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7CE6A" w14:textId="7CA90ADA" w:rsidR="001B28AE" w:rsidRPr="00261C59" w:rsidRDefault="00E0413E" w:rsidP="00814D08">
      <w:pPr>
        <w:pStyle w:val="CoverTitleMain"/>
        <w:widowControl/>
        <w:adjustRightInd/>
        <w:jc w:val="left"/>
        <w:textAlignment w:val="auto"/>
      </w:pPr>
      <w:bookmarkStart w:id="0" w:name="_Toc297973774"/>
      <w:bookmarkStart w:id="1" w:name="_Toc290657579"/>
      <w:bookmarkStart w:id="2" w:name="_Toc297973855"/>
      <w:r>
        <w:t xml:space="preserve">   </w:t>
      </w:r>
      <w:r w:rsidR="00DE174C" w:rsidRPr="00446ED6">
        <w:t xml:space="preserve"> </w:t>
      </w:r>
      <w:r w:rsidR="00AD69DC" w:rsidRPr="00446ED6">
        <w:t xml:space="preserve">                                        </w:t>
      </w:r>
      <w:r w:rsidR="68FEB2C1" w:rsidRPr="00261C59">
        <w:t>A</w:t>
      </w:r>
      <w:r w:rsidR="6B47A124" w:rsidRPr="00261C59">
        <w:t xml:space="preserve">ddendum to </w:t>
      </w:r>
      <w:r w:rsidR="008D2D81" w:rsidRPr="00261C59">
        <w:t xml:space="preserve">THE </w:t>
      </w:r>
      <w:r w:rsidR="6B47A124" w:rsidRPr="00261C59">
        <w:t xml:space="preserve">National </w:t>
      </w:r>
      <w:r w:rsidR="5F94807C" w:rsidRPr="00261C59">
        <w:t>H</w:t>
      </w:r>
      <w:r w:rsidR="6B47A124" w:rsidRPr="00261C59">
        <w:t xml:space="preserve">ealth </w:t>
      </w:r>
      <w:r w:rsidR="5F94807C" w:rsidRPr="00261C59">
        <w:t>R</w:t>
      </w:r>
      <w:r w:rsidR="6B47A124" w:rsidRPr="00261C59">
        <w:t xml:space="preserve">eform </w:t>
      </w:r>
      <w:r w:rsidR="5F94807C" w:rsidRPr="00261C59">
        <w:t>A</w:t>
      </w:r>
      <w:r w:rsidR="6B47A124" w:rsidRPr="00261C59">
        <w:t>greement</w:t>
      </w:r>
    </w:p>
    <w:p w14:paraId="7855A210" w14:textId="77777777" w:rsidR="00621828" w:rsidRPr="00261C59" w:rsidRDefault="00621828" w:rsidP="00814D08">
      <w:pPr>
        <w:pStyle w:val="CoverTitleMain"/>
        <w:widowControl/>
        <w:adjustRightInd/>
        <w:jc w:val="left"/>
        <w:textAlignment w:val="auto"/>
      </w:pPr>
    </w:p>
    <w:p w14:paraId="6B389044" w14:textId="600D467A" w:rsidR="001B28AE" w:rsidRPr="00261C59" w:rsidRDefault="001B28AE" w:rsidP="00814D08">
      <w:pPr>
        <w:pStyle w:val="CoverTitleMain"/>
        <w:widowControl/>
        <w:adjustRightInd/>
        <w:jc w:val="left"/>
        <w:textAlignment w:val="auto"/>
      </w:pPr>
      <w:r w:rsidRPr="00261C59">
        <w:t>202</w:t>
      </w:r>
      <w:r w:rsidR="00177896" w:rsidRPr="00261C59">
        <w:t>6</w:t>
      </w:r>
      <w:r w:rsidRPr="00261C59">
        <w:t>-20</w:t>
      </w:r>
      <w:r w:rsidR="00B23C90" w:rsidRPr="00261C59">
        <w:t>3</w:t>
      </w:r>
      <w:r w:rsidR="00177896" w:rsidRPr="00261C59">
        <w:t>1</w:t>
      </w:r>
    </w:p>
    <w:p w14:paraId="34082A83" w14:textId="77777777" w:rsidR="00952C42" w:rsidRPr="00261C59" w:rsidRDefault="00952C42" w:rsidP="00814D08">
      <w:pPr>
        <w:jc w:val="left"/>
      </w:pPr>
    </w:p>
    <w:p w14:paraId="44066012" w14:textId="3291DC49" w:rsidR="001B28AE" w:rsidRPr="00261C59" w:rsidRDefault="001B28AE" w:rsidP="00814D08">
      <w:pPr>
        <w:jc w:val="left"/>
        <w:rPr>
          <w:rFonts w:eastAsia="Calibri"/>
        </w:rPr>
      </w:pPr>
    </w:p>
    <w:p w14:paraId="6F89342B" w14:textId="0A6CB6F1" w:rsidR="001B28AE" w:rsidRPr="00261C59" w:rsidRDefault="001B28AE" w:rsidP="00814D08">
      <w:pPr>
        <w:pStyle w:val="NoSpacing"/>
        <w:jc w:val="left"/>
        <w:rPr>
          <w:rFonts w:asciiTheme="minorHAnsi" w:hAnsiTheme="minorHAnsi"/>
          <w:b/>
          <w:color w:val="3B3838" w:themeColor="background2" w:themeShade="40"/>
          <w:sz w:val="44"/>
        </w:rPr>
      </w:pPr>
      <w:r w:rsidRPr="00261C59">
        <w:rPr>
          <w:rFonts w:asciiTheme="minorHAnsi" w:hAnsiTheme="minorHAnsi"/>
          <w:b/>
          <w:color w:val="3B3838" w:themeColor="background2" w:themeShade="40"/>
          <w:sz w:val="44"/>
        </w:rPr>
        <w:t>This document is a compilation and is provided for ease of reference</w:t>
      </w:r>
    </w:p>
    <w:p w14:paraId="356A073C" w14:textId="77777777" w:rsidR="001B28AE" w:rsidRPr="00261C59" w:rsidRDefault="001B28AE" w:rsidP="00814D08">
      <w:pPr>
        <w:pStyle w:val="NoSpacing"/>
        <w:jc w:val="left"/>
        <w:rPr>
          <w:rFonts w:asciiTheme="minorHAnsi" w:hAnsiTheme="minorHAnsi"/>
          <w:b/>
          <w:bCs/>
          <w:color w:val="3B3838" w:themeColor="background2" w:themeShade="40"/>
          <w:sz w:val="28"/>
        </w:rPr>
      </w:pPr>
    </w:p>
    <w:p w14:paraId="5EC29047" w14:textId="77777777" w:rsidR="00DF77C2" w:rsidRPr="00261C59" w:rsidRDefault="00567724" w:rsidP="00463EF2">
      <w:pPr>
        <w:pStyle w:val="NoSpacing"/>
        <w:jc w:val="left"/>
        <w:rPr>
          <w:rFonts w:asciiTheme="minorHAnsi" w:hAnsiTheme="minorHAnsi"/>
          <w:b/>
          <w:color w:val="3B3838" w:themeColor="background2" w:themeShade="40"/>
          <w:sz w:val="32"/>
        </w:rPr>
      </w:pPr>
      <w:r w:rsidRPr="00261C59">
        <w:rPr>
          <w:rFonts w:asciiTheme="minorHAnsi" w:hAnsiTheme="minorHAnsi"/>
          <w:b/>
          <w:color w:val="3B3838" w:themeColor="background2" w:themeShade="40"/>
          <w:sz w:val="32"/>
        </w:rPr>
        <w:t>The A</w:t>
      </w:r>
      <w:r w:rsidR="001B28AE" w:rsidRPr="00261C59">
        <w:rPr>
          <w:rFonts w:asciiTheme="minorHAnsi" w:hAnsiTheme="minorHAnsi"/>
          <w:b/>
          <w:color w:val="3B3838" w:themeColor="background2" w:themeShade="40"/>
          <w:sz w:val="32"/>
        </w:rPr>
        <w:t xml:space="preserve">ddendum as signed by </w:t>
      </w:r>
      <w:r w:rsidR="00DF77C2" w:rsidRPr="00261C59">
        <w:rPr>
          <w:rFonts w:asciiTheme="minorHAnsi" w:hAnsiTheme="minorHAnsi"/>
          <w:b/>
          <w:color w:val="3B3838" w:themeColor="background2" w:themeShade="40"/>
          <w:sz w:val="32"/>
        </w:rPr>
        <w:t>First Ministers is available at:</w:t>
      </w:r>
    </w:p>
    <w:p w14:paraId="562DF3F6" w14:textId="787BA1F4" w:rsidR="00286BEA" w:rsidRPr="00261C59" w:rsidRDefault="00653064" w:rsidP="00463EF2">
      <w:pPr>
        <w:pStyle w:val="NoSpacing"/>
        <w:jc w:val="left"/>
        <w:rPr>
          <w:rFonts w:asciiTheme="minorHAnsi" w:hAnsiTheme="minorHAnsi" w:cs="Arial"/>
          <w:b/>
          <w:bCs/>
          <w:i/>
          <w:iCs/>
          <w:color w:val="3B3838" w:themeColor="background2" w:themeShade="40"/>
          <w:sz w:val="30"/>
          <w:szCs w:val="30"/>
        </w:rPr>
      </w:pPr>
      <w:hyperlink r:id="rId7" w:history="1">
        <w:r w:rsidRPr="007624B8">
          <w:rPr>
            <w:rStyle w:val="Hyperlink"/>
            <w:rFonts w:asciiTheme="minorHAnsi" w:hAnsiTheme="minorHAnsi" w:cs="Arial"/>
            <w:b/>
            <w:bCs/>
            <w:i/>
            <w:iCs/>
            <w:sz w:val="30"/>
            <w:szCs w:val="30"/>
          </w:rPr>
          <w:t>www.federalfinancialrelations.gov.au/agreements/national-health-reform-agreement</w:t>
        </w:r>
      </w:hyperlink>
    </w:p>
    <w:p w14:paraId="3D00A084" w14:textId="77777777" w:rsidR="00527AAE" w:rsidRPr="00261C59" w:rsidRDefault="00527AAE" w:rsidP="00814D08">
      <w:pPr>
        <w:pStyle w:val="NoSpacing"/>
        <w:tabs>
          <w:tab w:val="left" w:pos="6096"/>
        </w:tabs>
        <w:jc w:val="left"/>
        <w:rPr>
          <w:rFonts w:asciiTheme="minorHAnsi" w:hAnsiTheme="minorHAnsi" w:cs="Arial"/>
          <w:sz w:val="28"/>
        </w:rPr>
      </w:pPr>
    </w:p>
    <w:p w14:paraId="0363AB96" w14:textId="420F1228" w:rsidR="0061262A" w:rsidRPr="00261C59" w:rsidRDefault="0061262A">
      <w:pPr>
        <w:pStyle w:val="TOC1"/>
        <w:rPr>
          <w:rFonts w:ascii="Calibri" w:hAnsi="Calibri"/>
        </w:rPr>
        <w:sectPr w:rsidR="0061262A" w:rsidRPr="00261C59" w:rsidSect="00975D83">
          <w:headerReference w:type="even" r:id="rId8"/>
          <w:headerReference w:type="default" r:id="rId9"/>
          <w:footerReference w:type="even" r:id="rId10"/>
          <w:footerReference w:type="default" r:id="rId11"/>
          <w:headerReference w:type="first" r:id="rId12"/>
          <w:footerReference w:type="first" r:id="rId13"/>
          <w:pgSz w:w="11906" w:h="16838"/>
          <w:pgMar w:top="1440" w:right="1274" w:bottom="1440" w:left="1134" w:header="708" w:footer="708" w:gutter="0"/>
          <w:cols w:space="708"/>
          <w:docGrid w:linePitch="360"/>
        </w:sectPr>
      </w:pPr>
    </w:p>
    <w:p w14:paraId="6A475C9E" w14:textId="698C04F8" w:rsidR="00F150F9" w:rsidRDefault="001B28AE">
      <w:pPr>
        <w:pStyle w:val="TOC1"/>
        <w:rPr>
          <w:rFonts w:asciiTheme="minorHAnsi" w:eastAsiaTheme="minorEastAsia" w:hAnsiTheme="minorHAnsi" w:cstheme="minorBidi"/>
          <w:b w:val="0"/>
          <w:kern w:val="2"/>
          <w:sz w:val="24"/>
          <w:szCs w:val="24"/>
          <w14:ligatures w14:val="standardContextual"/>
        </w:rPr>
      </w:pPr>
      <w:r w:rsidRPr="00261C59">
        <w:rPr>
          <w:rFonts w:ascii="Calibri" w:hAnsi="Calibri"/>
        </w:rPr>
        <w:lastRenderedPageBreak/>
        <w:fldChar w:fldCharType="begin"/>
      </w:r>
      <w:r w:rsidRPr="00261C59">
        <w:rPr>
          <w:rFonts w:ascii="Calibri" w:hAnsi="Calibri"/>
        </w:rPr>
        <w:instrText xml:space="preserve"> TOC \o "1-3" \h \z \u </w:instrText>
      </w:r>
      <w:r w:rsidRPr="00261C59">
        <w:rPr>
          <w:rFonts w:ascii="Calibri" w:hAnsi="Calibri"/>
        </w:rPr>
        <w:fldChar w:fldCharType="separate"/>
      </w:r>
      <w:hyperlink w:anchor="_Toc221087943" w:history="1">
        <w:r w:rsidR="00F150F9" w:rsidRPr="00987BA6">
          <w:rPr>
            <w:rStyle w:val="Hyperlink"/>
            <w:rFonts w:eastAsia="Times New Roman" w:cs="Arial"/>
            <w:caps/>
            <w:kern w:val="32"/>
          </w:rPr>
          <w:t>Preliminaries</w:t>
        </w:r>
        <w:r w:rsidR="00F150F9">
          <w:rPr>
            <w:webHidden/>
          </w:rPr>
          <w:tab/>
        </w:r>
        <w:r w:rsidR="00F150F9">
          <w:rPr>
            <w:webHidden/>
          </w:rPr>
          <w:fldChar w:fldCharType="begin"/>
        </w:r>
        <w:r w:rsidR="00F150F9">
          <w:rPr>
            <w:webHidden/>
          </w:rPr>
          <w:instrText xml:space="preserve"> PAGEREF _Toc221087943 \h </w:instrText>
        </w:r>
        <w:r w:rsidR="00F150F9">
          <w:rPr>
            <w:webHidden/>
          </w:rPr>
        </w:r>
        <w:r w:rsidR="00F150F9">
          <w:rPr>
            <w:webHidden/>
          </w:rPr>
          <w:fldChar w:fldCharType="separate"/>
        </w:r>
        <w:r w:rsidR="007B754E">
          <w:rPr>
            <w:webHidden/>
          </w:rPr>
          <w:t>7</w:t>
        </w:r>
        <w:r w:rsidR="00F150F9">
          <w:rPr>
            <w:webHidden/>
          </w:rPr>
          <w:fldChar w:fldCharType="end"/>
        </w:r>
      </w:hyperlink>
    </w:p>
    <w:p w14:paraId="4EB907D8" w14:textId="198ECEE0"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7944" w:history="1">
        <w:r w:rsidRPr="00987BA6">
          <w:rPr>
            <w:rStyle w:val="Hyperlink"/>
            <w:rFonts w:ascii="Corbel" w:hAnsi="Corbel" w:cs="Arial"/>
          </w:rPr>
          <w:t>Vision</w:t>
        </w:r>
        <w:r>
          <w:rPr>
            <w:webHidden/>
          </w:rPr>
          <w:tab/>
        </w:r>
        <w:r>
          <w:rPr>
            <w:webHidden/>
          </w:rPr>
          <w:fldChar w:fldCharType="begin"/>
        </w:r>
        <w:r>
          <w:rPr>
            <w:webHidden/>
          </w:rPr>
          <w:instrText xml:space="preserve"> PAGEREF _Toc221087944 \h </w:instrText>
        </w:r>
        <w:r>
          <w:rPr>
            <w:webHidden/>
          </w:rPr>
        </w:r>
        <w:r>
          <w:rPr>
            <w:webHidden/>
          </w:rPr>
          <w:fldChar w:fldCharType="separate"/>
        </w:r>
        <w:r w:rsidR="007B754E">
          <w:rPr>
            <w:webHidden/>
          </w:rPr>
          <w:t>7</w:t>
        </w:r>
        <w:r>
          <w:rPr>
            <w:webHidden/>
          </w:rPr>
          <w:fldChar w:fldCharType="end"/>
        </w:r>
      </w:hyperlink>
    </w:p>
    <w:p w14:paraId="2B6EB945" w14:textId="097AF82F"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45" w:history="1">
        <w:r w:rsidRPr="00987BA6">
          <w:rPr>
            <w:rStyle w:val="Hyperlink"/>
            <w:rFonts w:ascii="Corbel" w:eastAsia="Times New Roman" w:hAnsi="Corbel"/>
            <w:noProof/>
            <w:lang w:eastAsia="ja-JP"/>
          </w:rPr>
          <w:t>Principles</w:t>
        </w:r>
        <w:r>
          <w:rPr>
            <w:noProof/>
            <w:webHidden/>
          </w:rPr>
          <w:tab/>
        </w:r>
        <w:r>
          <w:rPr>
            <w:noProof/>
            <w:webHidden/>
          </w:rPr>
          <w:fldChar w:fldCharType="begin"/>
        </w:r>
        <w:r>
          <w:rPr>
            <w:noProof/>
            <w:webHidden/>
          </w:rPr>
          <w:instrText xml:space="preserve"> PAGEREF _Toc221087945 \h </w:instrText>
        </w:r>
        <w:r>
          <w:rPr>
            <w:noProof/>
            <w:webHidden/>
          </w:rPr>
        </w:r>
        <w:r>
          <w:rPr>
            <w:noProof/>
            <w:webHidden/>
          </w:rPr>
          <w:fldChar w:fldCharType="separate"/>
        </w:r>
        <w:r w:rsidR="007B754E">
          <w:rPr>
            <w:noProof/>
            <w:webHidden/>
          </w:rPr>
          <w:t>7</w:t>
        </w:r>
        <w:r>
          <w:rPr>
            <w:noProof/>
            <w:webHidden/>
          </w:rPr>
          <w:fldChar w:fldCharType="end"/>
        </w:r>
      </w:hyperlink>
    </w:p>
    <w:p w14:paraId="51C650B3" w14:textId="208E8343"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7946" w:history="1">
        <w:r w:rsidRPr="00987BA6">
          <w:rPr>
            <w:rStyle w:val="Hyperlink"/>
            <w:rFonts w:ascii="Corbel" w:hAnsi="Corbel" w:cs="Arial"/>
          </w:rPr>
          <w:t>Objectives and outcomes</w:t>
        </w:r>
        <w:r>
          <w:rPr>
            <w:webHidden/>
          </w:rPr>
          <w:tab/>
        </w:r>
        <w:r>
          <w:rPr>
            <w:webHidden/>
          </w:rPr>
          <w:fldChar w:fldCharType="begin"/>
        </w:r>
        <w:r>
          <w:rPr>
            <w:webHidden/>
          </w:rPr>
          <w:instrText xml:space="preserve"> PAGEREF _Toc221087946 \h </w:instrText>
        </w:r>
        <w:r>
          <w:rPr>
            <w:webHidden/>
          </w:rPr>
        </w:r>
        <w:r>
          <w:rPr>
            <w:webHidden/>
          </w:rPr>
          <w:fldChar w:fldCharType="separate"/>
        </w:r>
        <w:r w:rsidR="007B754E">
          <w:rPr>
            <w:webHidden/>
          </w:rPr>
          <w:t>8</w:t>
        </w:r>
        <w:r>
          <w:rPr>
            <w:webHidden/>
          </w:rPr>
          <w:fldChar w:fldCharType="end"/>
        </w:r>
      </w:hyperlink>
    </w:p>
    <w:p w14:paraId="4012CB8D" w14:textId="577D178F"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7947" w:history="1">
        <w:r w:rsidRPr="00987BA6">
          <w:rPr>
            <w:rStyle w:val="Hyperlink"/>
            <w:rFonts w:ascii="Corbel" w:hAnsi="Corbel" w:cs="Arial"/>
          </w:rPr>
          <w:t>Scope</w:t>
        </w:r>
        <w:r>
          <w:rPr>
            <w:webHidden/>
          </w:rPr>
          <w:tab/>
        </w:r>
        <w:r>
          <w:rPr>
            <w:webHidden/>
          </w:rPr>
          <w:fldChar w:fldCharType="begin"/>
        </w:r>
        <w:r>
          <w:rPr>
            <w:webHidden/>
          </w:rPr>
          <w:instrText xml:space="preserve"> PAGEREF _Toc221087947 \h </w:instrText>
        </w:r>
        <w:r>
          <w:rPr>
            <w:webHidden/>
          </w:rPr>
        </w:r>
        <w:r>
          <w:rPr>
            <w:webHidden/>
          </w:rPr>
          <w:fldChar w:fldCharType="separate"/>
        </w:r>
        <w:r w:rsidR="007B754E">
          <w:rPr>
            <w:webHidden/>
          </w:rPr>
          <w:t>9</w:t>
        </w:r>
        <w:r>
          <w:rPr>
            <w:webHidden/>
          </w:rPr>
          <w:fldChar w:fldCharType="end"/>
        </w:r>
      </w:hyperlink>
    </w:p>
    <w:p w14:paraId="2C17C8F9" w14:textId="453204D3"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48" w:history="1">
        <w:r w:rsidRPr="00987BA6">
          <w:rPr>
            <w:rStyle w:val="Hyperlink"/>
            <w:rFonts w:ascii="Corbel" w:eastAsia="Times New Roman" w:hAnsi="Corbel"/>
            <w:noProof/>
            <w:lang w:eastAsia="ja-JP"/>
          </w:rPr>
          <w:t>National Health Reform Strategy</w:t>
        </w:r>
        <w:r>
          <w:rPr>
            <w:noProof/>
            <w:webHidden/>
          </w:rPr>
          <w:tab/>
        </w:r>
        <w:r>
          <w:rPr>
            <w:noProof/>
            <w:webHidden/>
          </w:rPr>
          <w:fldChar w:fldCharType="begin"/>
        </w:r>
        <w:r>
          <w:rPr>
            <w:noProof/>
            <w:webHidden/>
          </w:rPr>
          <w:instrText xml:space="preserve"> PAGEREF _Toc221087948 \h </w:instrText>
        </w:r>
        <w:r>
          <w:rPr>
            <w:noProof/>
            <w:webHidden/>
          </w:rPr>
        </w:r>
        <w:r>
          <w:rPr>
            <w:noProof/>
            <w:webHidden/>
          </w:rPr>
          <w:fldChar w:fldCharType="separate"/>
        </w:r>
        <w:r w:rsidR="007B754E">
          <w:rPr>
            <w:noProof/>
            <w:webHidden/>
          </w:rPr>
          <w:t>10</w:t>
        </w:r>
        <w:r>
          <w:rPr>
            <w:noProof/>
            <w:webHidden/>
          </w:rPr>
          <w:fldChar w:fldCharType="end"/>
        </w:r>
      </w:hyperlink>
    </w:p>
    <w:p w14:paraId="2785CFC0" w14:textId="52C05EE4"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7949" w:history="1">
        <w:r w:rsidRPr="00987BA6">
          <w:rPr>
            <w:rStyle w:val="Hyperlink"/>
            <w:rFonts w:ascii="Corbel" w:hAnsi="Corbel" w:cs="Arial"/>
            <w:lang w:val="en-GB"/>
          </w:rPr>
          <w:t>Stewardship, roles and responsibilities</w:t>
        </w:r>
        <w:r>
          <w:rPr>
            <w:webHidden/>
          </w:rPr>
          <w:tab/>
        </w:r>
        <w:r>
          <w:rPr>
            <w:webHidden/>
          </w:rPr>
          <w:fldChar w:fldCharType="begin"/>
        </w:r>
        <w:r>
          <w:rPr>
            <w:webHidden/>
          </w:rPr>
          <w:instrText xml:space="preserve"> PAGEREF _Toc221087949 \h </w:instrText>
        </w:r>
        <w:r>
          <w:rPr>
            <w:webHidden/>
          </w:rPr>
        </w:r>
        <w:r>
          <w:rPr>
            <w:webHidden/>
          </w:rPr>
          <w:fldChar w:fldCharType="separate"/>
        </w:r>
        <w:r w:rsidR="007B754E">
          <w:rPr>
            <w:webHidden/>
          </w:rPr>
          <w:t>11</w:t>
        </w:r>
        <w:r>
          <w:rPr>
            <w:webHidden/>
          </w:rPr>
          <w:fldChar w:fldCharType="end"/>
        </w:r>
      </w:hyperlink>
    </w:p>
    <w:p w14:paraId="537FC3AD" w14:textId="17A16405"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50" w:history="1">
        <w:r w:rsidRPr="00987BA6">
          <w:rPr>
            <w:rStyle w:val="Hyperlink"/>
            <w:rFonts w:ascii="Corbel" w:eastAsia="Times New Roman" w:hAnsi="Corbel"/>
            <w:noProof/>
            <w:lang w:eastAsia="ja-JP"/>
          </w:rPr>
          <w:t>Shared responsibilities</w:t>
        </w:r>
        <w:r>
          <w:rPr>
            <w:noProof/>
            <w:webHidden/>
          </w:rPr>
          <w:tab/>
        </w:r>
        <w:r>
          <w:rPr>
            <w:noProof/>
            <w:webHidden/>
          </w:rPr>
          <w:fldChar w:fldCharType="begin"/>
        </w:r>
        <w:r>
          <w:rPr>
            <w:noProof/>
            <w:webHidden/>
          </w:rPr>
          <w:instrText xml:space="preserve"> PAGEREF _Toc221087950 \h </w:instrText>
        </w:r>
        <w:r>
          <w:rPr>
            <w:noProof/>
            <w:webHidden/>
          </w:rPr>
        </w:r>
        <w:r>
          <w:rPr>
            <w:noProof/>
            <w:webHidden/>
          </w:rPr>
          <w:fldChar w:fldCharType="separate"/>
        </w:r>
        <w:r w:rsidR="007B754E">
          <w:rPr>
            <w:noProof/>
            <w:webHidden/>
          </w:rPr>
          <w:t>12</w:t>
        </w:r>
        <w:r>
          <w:rPr>
            <w:noProof/>
            <w:webHidden/>
          </w:rPr>
          <w:fldChar w:fldCharType="end"/>
        </w:r>
      </w:hyperlink>
    </w:p>
    <w:p w14:paraId="6782B643" w14:textId="3DEBE1AE"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51" w:history="1">
        <w:r w:rsidRPr="00987BA6">
          <w:rPr>
            <w:rStyle w:val="Hyperlink"/>
            <w:rFonts w:ascii="Corbel" w:eastAsia="Times New Roman" w:hAnsi="Corbel"/>
            <w:noProof/>
            <w:lang w:eastAsia="ja-JP"/>
          </w:rPr>
          <w:t>Commonwealth responsibilities</w:t>
        </w:r>
        <w:r>
          <w:rPr>
            <w:noProof/>
            <w:webHidden/>
          </w:rPr>
          <w:tab/>
        </w:r>
        <w:r>
          <w:rPr>
            <w:noProof/>
            <w:webHidden/>
          </w:rPr>
          <w:fldChar w:fldCharType="begin"/>
        </w:r>
        <w:r>
          <w:rPr>
            <w:noProof/>
            <w:webHidden/>
          </w:rPr>
          <w:instrText xml:space="preserve"> PAGEREF _Toc221087951 \h </w:instrText>
        </w:r>
        <w:r>
          <w:rPr>
            <w:noProof/>
            <w:webHidden/>
          </w:rPr>
        </w:r>
        <w:r>
          <w:rPr>
            <w:noProof/>
            <w:webHidden/>
          </w:rPr>
          <w:fldChar w:fldCharType="separate"/>
        </w:r>
        <w:r w:rsidR="007B754E">
          <w:rPr>
            <w:noProof/>
            <w:webHidden/>
          </w:rPr>
          <w:t>13</w:t>
        </w:r>
        <w:r>
          <w:rPr>
            <w:noProof/>
            <w:webHidden/>
          </w:rPr>
          <w:fldChar w:fldCharType="end"/>
        </w:r>
      </w:hyperlink>
    </w:p>
    <w:p w14:paraId="1C971031" w14:textId="5E6FEBE6"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52" w:history="1">
        <w:r w:rsidRPr="00987BA6">
          <w:rPr>
            <w:rStyle w:val="Hyperlink"/>
            <w:rFonts w:ascii="Corbel" w:eastAsia="Times New Roman" w:hAnsi="Corbel"/>
            <w:noProof/>
            <w:lang w:eastAsia="ja-JP"/>
          </w:rPr>
          <w:t>State and Territory responsibilities</w:t>
        </w:r>
        <w:r>
          <w:rPr>
            <w:noProof/>
            <w:webHidden/>
          </w:rPr>
          <w:tab/>
        </w:r>
        <w:r>
          <w:rPr>
            <w:noProof/>
            <w:webHidden/>
          </w:rPr>
          <w:fldChar w:fldCharType="begin"/>
        </w:r>
        <w:r>
          <w:rPr>
            <w:noProof/>
            <w:webHidden/>
          </w:rPr>
          <w:instrText xml:space="preserve"> PAGEREF _Toc221087952 \h </w:instrText>
        </w:r>
        <w:r>
          <w:rPr>
            <w:noProof/>
            <w:webHidden/>
          </w:rPr>
        </w:r>
        <w:r>
          <w:rPr>
            <w:noProof/>
            <w:webHidden/>
          </w:rPr>
          <w:fldChar w:fldCharType="separate"/>
        </w:r>
        <w:r w:rsidR="007B754E">
          <w:rPr>
            <w:noProof/>
            <w:webHidden/>
          </w:rPr>
          <w:t>14</w:t>
        </w:r>
        <w:r>
          <w:rPr>
            <w:noProof/>
            <w:webHidden/>
          </w:rPr>
          <w:fldChar w:fldCharType="end"/>
        </w:r>
      </w:hyperlink>
    </w:p>
    <w:p w14:paraId="6A54F832" w14:textId="1D7FDB0E"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53" w:history="1">
        <w:r w:rsidRPr="00987BA6">
          <w:rPr>
            <w:rStyle w:val="Hyperlink"/>
            <w:rFonts w:ascii="Corbel" w:eastAsia="Times New Roman" w:hAnsi="Corbel"/>
            <w:noProof/>
            <w:lang w:eastAsia="ja-JP"/>
          </w:rPr>
          <w:t>National bodies</w:t>
        </w:r>
        <w:r>
          <w:rPr>
            <w:noProof/>
            <w:webHidden/>
          </w:rPr>
          <w:tab/>
        </w:r>
        <w:r>
          <w:rPr>
            <w:noProof/>
            <w:webHidden/>
          </w:rPr>
          <w:fldChar w:fldCharType="begin"/>
        </w:r>
        <w:r>
          <w:rPr>
            <w:noProof/>
            <w:webHidden/>
          </w:rPr>
          <w:instrText xml:space="preserve"> PAGEREF _Toc221087953 \h </w:instrText>
        </w:r>
        <w:r>
          <w:rPr>
            <w:noProof/>
            <w:webHidden/>
          </w:rPr>
        </w:r>
        <w:r>
          <w:rPr>
            <w:noProof/>
            <w:webHidden/>
          </w:rPr>
          <w:fldChar w:fldCharType="separate"/>
        </w:r>
        <w:r w:rsidR="007B754E">
          <w:rPr>
            <w:noProof/>
            <w:webHidden/>
          </w:rPr>
          <w:t>15</w:t>
        </w:r>
        <w:r>
          <w:rPr>
            <w:noProof/>
            <w:webHidden/>
          </w:rPr>
          <w:fldChar w:fldCharType="end"/>
        </w:r>
      </w:hyperlink>
    </w:p>
    <w:p w14:paraId="58C2928B" w14:textId="1652242D"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7954" w:history="1">
        <w:r w:rsidRPr="00987BA6">
          <w:rPr>
            <w:rStyle w:val="Hyperlink"/>
            <w:rFonts w:ascii="Corbel" w:hAnsi="Corbel" w:cs="Arial"/>
          </w:rPr>
          <w:t>Transparency and performance</w:t>
        </w:r>
        <w:r>
          <w:rPr>
            <w:webHidden/>
          </w:rPr>
          <w:tab/>
        </w:r>
        <w:r>
          <w:rPr>
            <w:webHidden/>
          </w:rPr>
          <w:fldChar w:fldCharType="begin"/>
        </w:r>
        <w:r>
          <w:rPr>
            <w:webHidden/>
          </w:rPr>
          <w:instrText xml:space="preserve"> PAGEREF _Toc221087954 \h </w:instrText>
        </w:r>
        <w:r>
          <w:rPr>
            <w:webHidden/>
          </w:rPr>
        </w:r>
        <w:r>
          <w:rPr>
            <w:webHidden/>
          </w:rPr>
          <w:fldChar w:fldCharType="separate"/>
        </w:r>
        <w:r w:rsidR="007B754E">
          <w:rPr>
            <w:webHidden/>
          </w:rPr>
          <w:t>16</w:t>
        </w:r>
        <w:r>
          <w:rPr>
            <w:webHidden/>
          </w:rPr>
          <w:fldChar w:fldCharType="end"/>
        </w:r>
      </w:hyperlink>
    </w:p>
    <w:p w14:paraId="3B7CCC6B" w14:textId="5B373FC5"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7955" w:history="1">
        <w:r w:rsidRPr="00987BA6">
          <w:rPr>
            <w:rStyle w:val="Hyperlink"/>
            <w:rFonts w:ascii="Corbel" w:hAnsi="Corbel" w:cs="Arial"/>
          </w:rPr>
          <w:t>Governance</w:t>
        </w:r>
        <w:r>
          <w:rPr>
            <w:webHidden/>
          </w:rPr>
          <w:tab/>
        </w:r>
        <w:r>
          <w:rPr>
            <w:webHidden/>
          </w:rPr>
          <w:fldChar w:fldCharType="begin"/>
        </w:r>
        <w:r>
          <w:rPr>
            <w:webHidden/>
          </w:rPr>
          <w:instrText xml:space="preserve"> PAGEREF _Toc221087955 \h </w:instrText>
        </w:r>
        <w:r>
          <w:rPr>
            <w:webHidden/>
          </w:rPr>
        </w:r>
        <w:r>
          <w:rPr>
            <w:webHidden/>
          </w:rPr>
          <w:fldChar w:fldCharType="separate"/>
        </w:r>
        <w:r w:rsidR="007B754E">
          <w:rPr>
            <w:webHidden/>
          </w:rPr>
          <w:t>17</w:t>
        </w:r>
        <w:r>
          <w:rPr>
            <w:webHidden/>
          </w:rPr>
          <w:fldChar w:fldCharType="end"/>
        </w:r>
      </w:hyperlink>
    </w:p>
    <w:p w14:paraId="3DBAEA41" w14:textId="30837328"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7956" w:history="1">
        <w:r w:rsidRPr="00987BA6">
          <w:rPr>
            <w:rStyle w:val="Hyperlink"/>
            <w:rFonts w:ascii="Corbel" w:hAnsi="Corbel" w:cs="Arial"/>
          </w:rPr>
          <w:t>General provisions</w:t>
        </w:r>
        <w:r>
          <w:rPr>
            <w:webHidden/>
          </w:rPr>
          <w:tab/>
        </w:r>
        <w:r>
          <w:rPr>
            <w:webHidden/>
          </w:rPr>
          <w:fldChar w:fldCharType="begin"/>
        </w:r>
        <w:r>
          <w:rPr>
            <w:webHidden/>
          </w:rPr>
          <w:instrText xml:space="preserve"> PAGEREF _Toc221087956 \h </w:instrText>
        </w:r>
        <w:r>
          <w:rPr>
            <w:webHidden/>
          </w:rPr>
        </w:r>
        <w:r>
          <w:rPr>
            <w:webHidden/>
          </w:rPr>
          <w:fldChar w:fldCharType="separate"/>
        </w:r>
        <w:r w:rsidR="007B754E">
          <w:rPr>
            <w:webHidden/>
          </w:rPr>
          <w:t>18</w:t>
        </w:r>
        <w:r>
          <w:rPr>
            <w:webHidden/>
          </w:rPr>
          <w:fldChar w:fldCharType="end"/>
        </w:r>
      </w:hyperlink>
    </w:p>
    <w:p w14:paraId="46B9A118" w14:textId="2A6DF039"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57" w:history="1">
        <w:r w:rsidRPr="00987BA6">
          <w:rPr>
            <w:rStyle w:val="Hyperlink"/>
            <w:rFonts w:ascii="Corbel" w:eastAsia="Times New Roman" w:hAnsi="Corbel"/>
            <w:noProof/>
            <w:lang w:eastAsia="ja-JP"/>
          </w:rPr>
          <w:t>Alignment with other agreements</w:t>
        </w:r>
        <w:r>
          <w:rPr>
            <w:noProof/>
            <w:webHidden/>
          </w:rPr>
          <w:tab/>
        </w:r>
        <w:r>
          <w:rPr>
            <w:noProof/>
            <w:webHidden/>
          </w:rPr>
          <w:fldChar w:fldCharType="begin"/>
        </w:r>
        <w:r>
          <w:rPr>
            <w:noProof/>
            <w:webHidden/>
          </w:rPr>
          <w:instrText xml:space="preserve"> PAGEREF _Toc221087957 \h </w:instrText>
        </w:r>
        <w:r>
          <w:rPr>
            <w:noProof/>
            <w:webHidden/>
          </w:rPr>
        </w:r>
        <w:r>
          <w:rPr>
            <w:noProof/>
            <w:webHidden/>
          </w:rPr>
          <w:fldChar w:fldCharType="separate"/>
        </w:r>
        <w:r w:rsidR="007B754E">
          <w:rPr>
            <w:noProof/>
            <w:webHidden/>
          </w:rPr>
          <w:t>18</w:t>
        </w:r>
        <w:r>
          <w:rPr>
            <w:noProof/>
            <w:webHidden/>
          </w:rPr>
          <w:fldChar w:fldCharType="end"/>
        </w:r>
      </w:hyperlink>
    </w:p>
    <w:p w14:paraId="5A65FB9F" w14:textId="27ED5FCB"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58" w:history="1">
        <w:r w:rsidRPr="00987BA6">
          <w:rPr>
            <w:rStyle w:val="Hyperlink"/>
            <w:rFonts w:ascii="Corbel" w:eastAsia="Times New Roman" w:hAnsi="Corbel"/>
            <w:noProof/>
            <w:lang w:eastAsia="ja-JP"/>
          </w:rPr>
          <w:t>Amendment</w:t>
        </w:r>
        <w:r>
          <w:rPr>
            <w:noProof/>
            <w:webHidden/>
          </w:rPr>
          <w:tab/>
        </w:r>
        <w:r>
          <w:rPr>
            <w:noProof/>
            <w:webHidden/>
          </w:rPr>
          <w:fldChar w:fldCharType="begin"/>
        </w:r>
        <w:r>
          <w:rPr>
            <w:noProof/>
            <w:webHidden/>
          </w:rPr>
          <w:instrText xml:space="preserve"> PAGEREF _Toc221087958 \h </w:instrText>
        </w:r>
        <w:r>
          <w:rPr>
            <w:noProof/>
            <w:webHidden/>
          </w:rPr>
        </w:r>
        <w:r>
          <w:rPr>
            <w:noProof/>
            <w:webHidden/>
          </w:rPr>
          <w:fldChar w:fldCharType="separate"/>
        </w:r>
        <w:r w:rsidR="007B754E">
          <w:rPr>
            <w:noProof/>
            <w:webHidden/>
          </w:rPr>
          <w:t>18</w:t>
        </w:r>
        <w:r>
          <w:rPr>
            <w:noProof/>
            <w:webHidden/>
          </w:rPr>
          <w:fldChar w:fldCharType="end"/>
        </w:r>
      </w:hyperlink>
    </w:p>
    <w:p w14:paraId="1572DDCD" w14:textId="5DAD8A68"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59" w:history="1">
        <w:r w:rsidRPr="00987BA6">
          <w:rPr>
            <w:rStyle w:val="Hyperlink"/>
            <w:rFonts w:ascii="Corbel" w:eastAsia="Times New Roman" w:hAnsi="Corbel"/>
            <w:noProof/>
            <w:lang w:eastAsia="ja-JP"/>
          </w:rPr>
          <w:t>Review</w:t>
        </w:r>
        <w:r>
          <w:rPr>
            <w:noProof/>
            <w:webHidden/>
          </w:rPr>
          <w:tab/>
        </w:r>
        <w:r>
          <w:rPr>
            <w:noProof/>
            <w:webHidden/>
          </w:rPr>
          <w:fldChar w:fldCharType="begin"/>
        </w:r>
        <w:r>
          <w:rPr>
            <w:noProof/>
            <w:webHidden/>
          </w:rPr>
          <w:instrText xml:space="preserve"> PAGEREF _Toc221087959 \h </w:instrText>
        </w:r>
        <w:r>
          <w:rPr>
            <w:noProof/>
            <w:webHidden/>
          </w:rPr>
        </w:r>
        <w:r>
          <w:rPr>
            <w:noProof/>
            <w:webHidden/>
          </w:rPr>
          <w:fldChar w:fldCharType="separate"/>
        </w:r>
        <w:r w:rsidR="007B754E">
          <w:rPr>
            <w:noProof/>
            <w:webHidden/>
          </w:rPr>
          <w:t>18</w:t>
        </w:r>
        <w:r>
          <w:rPr>
            <w:noProof/>
            <w:webHidden/>
          </w:rPr>
          <w:fldChar w:fldCharType="end"/>
        </w:r>
      </w:hyperlink>
    </w:p>
    <w:p w14:paraId="72B3CF8C" w14:textId="51C273A7"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60" w:history="1">
        <w:r w:rsidRPr="00987BA6">
          <w:rPr>
            <w:rStyle w:val="Hyperlink"/>
            <w:rFonts w:ascii="Corbel" w:eastAsia="Times New Roman" w:hAnsi="Corbel"/>
            <w:noProof/>
            <w:lang w:eastAsia="ja-JP"/>
          </w:rPr>
          <w:t>Dispute resolution</w:t>
        </w:r>
        <w:r>
          <w:rPr>
            <w:noProof/>
            <w:webHidden/>
          </w:rPr>
          <w:tab/>
        </w:r>
        <w:r>
          <w:rPr>
            <w:noProof/>
            <w:webHidden/>
          </w:rPr>
          <w:fldChar w:fldCharType="begin"/>
        </w:r>
        <w:r>
          <w:rPr>
            <w:noProof/>
            <w:webHidden/>
          </w:rPr>
          <w:instrText xml:space="preserve"> PAGEREF _Toc221087960 \h </w:instrText>
        </w:r>
        <w:r>
          <w:rPr>
            <w:noProof/>
            <w:webHidden/>
          </w:rPr>
        </w:r>
        <w:r>
          <w:rPr>
            <w:noProof/>
            <w:webHidden/>
          </w:rPr>
          <w:fldChar w:fldCharType="separate"/>
        </w:r>
        <w:r w:rsidR="007B754E">
          <w:rPr>
            <w:noProof/>
            <w:webHidden/>
          </w:rPr>
          <w:t>19</w:t>
        </w:r>
        <w:r>
          <w:rPr>
            <w:noProof/>
            <w:webHidden/>
          </w:rPr>
          <w:fldChar w:fldCharType="end"/>
        </w:r>
      </w:hyperlink>
    </w:p>
    <w:p w14:paraId="772E1209" w14:textId="2722DBF7" w:rsidR="00F150F9" w:rsidRDefault="00F150F9">
      <w:pPr>
        <w:pStyle w:val="TOC1"/>
        <w:rPr>
          <w:rFonts w:asciiTheme="minorHAnsi" w:eastAsiaTheme="minorEastAsia" w:hAnsiTheme="minorHAnsi" w:cstheme="minorBidi"/>
          <w:b w:val="0"/>
          <w:kern w:val="2"/>
          <w:sz w:val="24"/>
          <w:szCs w:val="24"/>
          <w14:ligatures w14:val="standardContextual"/>
        </w:rPr>
      </w:pPr>
      <w:hyperlink w:anchor="_Toc221087961" w:history="1">
        <w:r w:rsidRPr="00987BA6">
          <w:rPr>
            <w:rStyle w:val="Hyperlink"/>
            <w:rFonts w:eastAsia="Times New Roman" w:cs="Arial"/>
            <w:caps/>
            <w:kern w:val="32"/>
          </w:rPr>
          <w:t>SCHEDULE A – More effective funding and payment models</w:t>
        </w:r>
        <w:r>
          <w:rPr>
            <w:webHidden/>
          </w:rPr>
          <w:tab/>
        </w:r>
        <w:r>
          <w:rPr>
            <w:webHidden/>
          </w:rPr>
          <w:fldChar w:fldCharType="begin"/>
        </w:r>
        <w:r>
          <w:rPr>
            <w:webHidden/>
          </w:rPr>
          <w:instrText xml:space="preserve"> PAGEREF _Toc221087961 \h </w:instrText>
        </w:r>
        <w:r>
          <w:rPr>
            <w:webHidden/>
          </w:rPr>
        </w:r>
        <w:r>
          <w:rPr>
            <w:webHidden/>
          </w:rPr>
          <w:fldChar w:fldCharType="separate"/>
        </w:r>
        <w:r w:rsidR="007B754E">
          <w:rPr>
            <w:webHidden/>
          </w:rPr>
          <w:t>20</w:t>
        </w:r>
        <w:r>
          <w:rPr>
            <w:webHidden/>
          </w:rPr>
          <w:fldChar w:fldCharType="end"/>
        </w:r>
      </w:hyperlink>
    </w:p>
    <w:p w14:paraId="3D76DDED" w14:textId="3CDEBCF0"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7962" w:history="1">
        <w:r w:rsidRPr="00987BA6">
          <w:rPr>
            <w:rStyle w:val="Hyperlink"/>
            <w:rFonts w:ascii="Corbel" w:hAnsi="Corbel" w:cs="Arial"/>
          </w:rPr>
          <w:t>Part 1 – The National Funding Model</w:t>
        </w:r>
        <w:r>
          <w:rPr>
            <w:webHidden/>
          </w:rPr>
          <w:tab/>
        </w:r>
        <w:r>
          <w:rPr>
            <w:webHidden/>
          </w:rPr>
          <w:fldChar w:fldCharType="begin"/>
        </w:r>
        <w:r>
          <w:rPr>
            <w:webHidden/>
          </w:rPr>
          <w:instrText xml:space="preserve"> PAGEREF _Toc221087962 \h </w:instrText>
        </w:r>
        <w:r>
          <w:rPr>
            <w:webHidden/>
          </w:rPr>
        </w:r>
        <w:r>
          <w:rPr>
            <w:webHidden/>
          </w:rPr>
          <w:fldChar w:fldCharType="separate"/>
        </w:r>
        <w:r w:rsidR="007B754E">
          <w:rPr>
            <w:webHidden/>
          </w:rPr>
          <w:t>24</w:t>
        </w:r>
        <w:r>
          <w:rPr>
            <w:webHidden/>
          </w:rPr>
          <w:fldChar w:fldCharType="end"/>
        </w:r>
      </w:hyperlink>
    </w:p>
    <w:p w14:paraId="142CB447" w14:textId="395DF426"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63" w:history="1">
        <w:r w:rsidRPr="00987BA6">
          <w:rPr>
            <w:rStyle w:val="Hyperlink"/>
            <w:rFonts w:ascii="Corbel" w:hAnsi="Corbel"/>
            <w:noProof/>
            <w:lang w:eastAsia="ja-JP"/>
          </w:rPr>
          <w:t>Activity Based Funding calculation</w:t>
        </w:r>
        <w:r>
          <w:rPr>
            <w:noProof/>
            <w:webHidden/>
          </w:rPr>
          <w:tab/>
        </w:r>
        <w:r>
          <w:rPr>
            <w:noProof/>
            <w:webHidden/>
          </w:rPr>
          <w:fldChar w:fldCharType="begin"/>
        </w:r>
        <w:r>
          <w:rPr>
            <w:noProof/>
            <w:webHidden/>
          </w:rPr>
          <w:instrText xml:space="preserve"> PAGEREF _Toc221087963 \h </w:instrText>
        </w:r>
        <w:r>
          <w:rPr>
            <w:noProof/>
            <w:webHidden/>
          </w:rPr>
        </w:r>
        <w:r>
          <w:rPr>
            <w:noProof/>
            <w:webHidden/>
          </w:rPr>
          <w:fldChar w:fldCharType="separate"/>
        </w:r>
        <w:r w:rsidR="007B754E">
          <w:rPr>
            <w:noProof/>
            <w:webHidden/>
          </w:rPr>
          <w:t>24</w:t>
        </w:r>
        <w:r>
          <w:rPr>
            <w:noProof/>
            <w:webHidden/>
          </w:rPr>
          <w:fldChar w:fldCharType="end"/>
        </w:r>
      </w:hyperlink>
    </w:p>
    <w:p w14:paraId="120CBFD8" w14:textId="23DFF076"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64" w:history="1">
        <w:r w:rsidRPr="00987BA6">
          <w:rPr>
            <w:rStyle w:val="Hyperlink"/>
            <w:rFonts w:ascii="Corbel" w:hAnsi="Corbel"/>
            <w:noProof/>
            <w:lang w:eastAsia="ja-JP"/>
          </w:rPr>
          <w:t>Block Funding calculation</w:t>
        </w:r>
        <w:r>
          <w:rPr>
            <w:noProof/>
            <w:webHidden/>
          </w:rPr>
          <w:tab/>
        </w:r>
        <w:r>
          <w:rPr>
            <w:noProof/>
            <w:webHidden/>
          </w:rPr>
          <w:fldChar w:fldCharType="begin"/>
        </w:r>
        <w:r>
          <w:rPr>
            <w:noProof/>
            <w:webHidden/>
          </w:rPr>
          <w:instrText xml:space="preserve"> PAGEREF _Toc221087964 \h </w:instrText>
        </w:r>
        <w:r>
          <w:rPr>
            <w:noProof/>
            <w:webHidden/>
          </w:rPr>
        </w:r>
        <w:r>
          <w:rPr>
            <w:noProof/>
            <w:webHidden/>
          </w:rPr>
          <w:fldChar w:fldCharType="separate"/>
        </w:r>
        <w:r w:rsidR="007B754E">
          <w:rPr>
            <w:noProof/>
            <w:webHidden/>
          </w:rPr>
          <w:t>24</w:t>
        </w:r>
        <w:r>
          <w:rPr>
            <w:noProof/>
            <w:webHidden/>
          </w:rPr>
          <w:fldChar w:fldCharType="end"/>
        </w:r>
      </w:hyperlink>
    </w:p>
    <w:p w14:paraId="0E286FDA" w14:textId="0B5ED5D8"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65" w:history="1">
        <w:r w:rsidRPr="00987BA6">
          <w:rPr>
            <w:rStyle w:val="Hyperlink"/>
            <w:rFonts w:ascii="Corbel" w:hAnsi="Corbel"/>
            <w:noProof/>
            <w:lang w:eastAsia="ja-JP"/>
          </w:rPr>
          <w:t>Public Health Funding calculation</w:t>
        </w:r>
        <w:r>
          <w:rPr>
            <w:noProof/>
            <w:webHidden/>
          </w:rPr>
          <w:tab/>
        </w:r>
        <w:r>
          <w:rPr>
            <w:noProof/>
            <w:webHidden/>
          </w:rPr>
          <w:fldChar w:fldCharType="begin"/>
        </w:r>
        <w:r>
          <w:rPr>
            <w:noProof/>
            <w:webHidden/>
          </w:rPr>
          <w:instrText xml:space="preserve"> PAGEREF _Toc221087965 \h </w:instrText>
        </w:r>
        <w:r>
          <w:rPr>
            <w:noProof/>
            <w:webHidden/>
          </w:rPr>
        </w:r>
        <w:r>
          <w:rPr>
            <w:noProof/>
            <w:webHidden/>
          </w:rPr>
          <w:fldChar w:fldCharType="separate"/>
        </w:r>
        <w:r w:rsidR="007B754E">
          <w:rPr>
            <w:noProof/>
            <w:webHidden/>
          </w:rPr>
          <w:t>25</w:t>
        </w:r>
        <w:r>
          <w:rPr>
            <w:noProof/>
            <w:webHidden/>
          </w:rPr>
          <w:fldChar w:fldCharType="end"/>
        </w:r>
      </w:hyperlink>
    </w:p>
    <w:p w14:paraId="4057C261" w14:textId="08872BAC"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66" w:history="1">
        <w:r w:rsidRPr="00987BA6">
          <w:rPr>
            <w:rStyle w:val="Hyperlink"/>
            <w:rFonts w:ascii="Corbel" w:hAnsi="Corbel"/>
            <w:noProof/>
            <w:lang w:eastAsia="ja-JP"/>
          </w:rPr>
          <w:t>Service Model Reform Funding calculation</w:t>
        </w:r>
        <w:r>
          <w:rPr>
            <w:noProof/>
            <w:webHidden/>
          </w:rPr>
          <w:tab/>
        </w:r>
        <w:r>
          <w:rPr>
            <w:noProof/>
            <w:webHidden/>
          </w:rPr>
          <w:fldChar w:fldCharType="begin"/>
        </w:r>
        <w:r>
          <w:rPr>
            <w:noProof/>
            <w:webHidden/>
          </w:rPr>
          <w:instrText xml:space="preserve"> PAGEREF _Toc221087966 \h </w:instrText>
        </w:r>
        <w:r>
          <w:rPr>
            <w:noProof/>
            <w:webHidden/>
          </w:rPr>
        </w:r>
        <w:r>
          <w:rPr>
            <w:noProof/>
            <w:webHidden/>
          </w:rPr>
          <w:fldChar w:fldCharType="separate"/>
        </w:r>
        <w:r w:rsidR="007B754E">
          <w:rPr>
            <w:noProof/>
            <w:webHidden/>
          </w:rPr>
          <w:t>25</w:t>
        </w:r>
        <w:r>
          <w:rPr>
            <w:noProof/>
            <w:webHidden/>
          </w:rPr>
          <w:fldChar w:fldCharType="end"/>
        </w:r>
      </w:hyperlink>
    </w:p>
    <w:p w14:paraId="01C8E852" w14:textId="4290C98E"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67" w:history="1">
        <w:r w:rsidRPr="00987BA6">
          <w:rPr>
            <w:rStyle w:val="Hyperlink"/>
            <w:rFonts w:ascii="Corbel" w:hAnsi="Corbel"/>
            <w:noProof/>
            <w:lang w:eastAsia="ja-JP"/>
          </w:rPr>
          <w:t>Private patient funding neutrality adjustment</w:t>
        </w:r>
        <w:r>
          <w:rPr>
            <w:noProof/>
            <w:webHidden/>
          </w:rPr>
          <w:tab/>
        </w:r>
        <w:r>
          <w:rPr>
            <w:noProof/>
            <w:webHidden/>
          </w:rPr>
          <w:fldChar w:fldCharType="begin"/>
        </w:r>
        <w:r>
          <w:rPr>
            <w:noProof/>
            <w:webHidden/>
          </w:rPr>
          <w:instrText xml:space="preserve"> PAGEREF _Toc221087967 \h </w:instrText>
        </w:r>
        <w:r>
          <w:rPr>
            <w:noProof/>
            <w:webHidden/>
          </w:rPr>
        </w:r>
        <w:r>
          <w:rPr>
            <w:noProof/>
            <w:webHidden/>
          </w:rPr>
          <w:fldChar w:fldCharType="separate"/>
        </w:r>
        <w:r w:rsidR="007B754E">
          <w:rPr>
            <w:noProof/>
            <w:webHidden/>
          </w:rPr>
          <w:t>25</w:t>
        </w:r>
        <w:r>
          <w:rPr>
            <w:noProof/>
            <w:webHidden/>
          </w:rPr>
          <w:fldChar w:fldCharType="end"/>
        </w:r>
      </w:hyperlink>
    </w:p>
    <w:p w14:paraId="1385468B" w14:textId="239656A3"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68" w:history="1">
        <w:r w:rsidRPr="00987BA6">
          <w:rPr>
            <w:rStyle w:val="Hyperlink"/>
            <w:rFonts w:ascii="Corbel" w:hAnsi="Corbel"/>
            <w:bCs/>
            <w:iCs/>
            <w:noProof/>
            <w:lang w:eastAsia="ja-JP"/>
          </w:rPr>
          <w:t>Commonwealth contribution rate</w:t>
        </w:r>
        <w:r>
          <w:rPr>
            <w:noProof/>
            <w:webHidden/>
          </w:rPr>
          <w:tab/>
        </w:r>
        <w:r>
          <w:rPr>
            <w:noProof/>
            <w:webHidden/>
          </w:rPr>
          <w:fldChar w:fldCharType="begin"/>
        </w:r>
        <w:r>
          <w:rPr>
            <w:noProof/>
            <w:webHidden/>
          </w:rPr>
          <w:instrText xml:space="preserve"> PAGEREF _Toc221087968 \h </w:instrText>
        </w:r>
        <w:r>
          <w:rPr>
            <w:noProof/>
            <w:webHidden/>
          </w:rPr>
        </w:r>
        <w:r>
          <w:rPr>
            <w:noProof/>
            <w:webHidden/>
          </w:rPr>
          <w:fldChar w:fldCharType="separate"/>
        </w:r>
        <w:r w:rsidR="007B754E">
          <w:rPr>
            <w:noProof/>
            <w:webHidden/>
          </w:rPr>
          <w:t>26</w:t>
        </w:r>
        <w:r>
          <w:rPr>
            <w:noProof/>
            <w:webHidden/>
          </w:rPr>
          <w:fldChar w:fldCharType="end"/>
        </w:r>
      </w:hyperlink>
    </w:p>
    <w:p w14:paraId="7AEFF12D" w14:textId="16F64F6B"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69" w:history="1">
        <w:r w:rsidRPr="00987BA6">
          <w:rPr>
            <w:rStyle w:val="Hyperlink"/>
            <w:rFonts w:ascii="Corbel" w:hAnsi="Corbel"/>
            <w:noProof/>
            <w:lang w:eastAsia="ja-JP"/>
          </w:rPr>
          <w:t>Funding cap</w:t>
        </w:r>
        <w:r>
          <w:rPr>
            <w:noProof/>
            <w:webHidden/>
          </w:rPr>
          <w:tab/>
        </w:r>
        <w:r>
          <w:rPr>
            <w:noProof/>
            <w:webHidden/>
          </w:rPr>
          <w:fldChar w:fldCharType="begin"/>
        </w:r>
        <w:r>
          <w:rPr>
            <w:noProof/>
            <w:webHidden/>
          </w:rPr>
          <w:instrText xml:space="preserve"> PAGEREF _Toc221087969 \h </w:instrText>
        </w:r>
        <w:r>
          <w:rPr>
            <w:noProof/>
            <w:webHidden/>
          </w:rPr>
        </w:r>
        <w:r>
          <w:rPr>
            <w:noProof/>
            <w:webHidden/>
          </w:rPr>
          <w:fldChar w:fldCharType="separate"/>
        </w:r>
        <w:r w:rsidR="007B754E">
          <w:rPr>
            <w:noProof/>
            <w:webHidden/>
          </w:rPr>
          <w:t>27</w:t>
        </w:r>
        <w:r>
          <w:rPr>
            <w:noProof/>
            <w:webHidden/>
          </w:rPr>
          <w:fldChar w:fldCharType="end"/>
        </w:r>
      </w:hyperlink>
    </w:p>
    <w:p w14:paraId="62044268" w14:textId="0AFB260F"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70" w:history="1">
        <w:r w:rsidRPr="00987BA6">
          <w:rPr>
            <w:rStyle w:val="Hyperlink"/>
            <w:rFonts w:ascii="Corbel" w:hAnsi="Corbel"/>
            <w:noProof/>
            <w:lang w:eastAsia="ja-JP"/>
          </w:rPr>
          <w:t>Redistribution of unspent cap funding in 2030-31</w:t>
        </w:r>
        <w:r>
          <w:rPr>
            <w:noProof/>
            <w:webHidden/>
          </w:rPr>
          <w:tab/>
        </w:r>
        <w:r>
          <w:rPr>
            <w:noProof/>
            <w:webHidden/>
          </w:rPr>
          <w:fldChar w:fldCharType="begin"/>
        </w:r>
        <w:r>
          <w:rPr>
            <w:noProof/>
            <w:webHidden/>
          </w:rPr>
          <w:instrText xml:space="preserve"> PAGEREF _Toc221087970 \h </w:instrText>
        </w:r>
        <w:r>
          <w:rPr>
            <w:noProof/>
            <w:webHidden/>
          </w:rPr>
        </w:r>
        <w:r>
          <w:rPr>
            <w:noProof/>
            <w:webHidden/>
          </w:rPr>
          <w:fldChar w:fldCharType="separate"/>
        </w:r>
        <w:r w:rsidR="007B754E">
          <w:rPr>
            <w:noProof/>
            <w:webHidden/>
          </w:rPr>
          <w:t>29</w:t>
        </w:r>
        <w:r>
          <w:rPr>
            <w:noProof/>
            <w:webHidden/>
          </w:rPr>
          <w:fldChar w:fldCharType="end"/>
        </w:r>
      </w:hyperlink>
    </w:p>
    <w:p w14:paraId="587481BF" w14:textId="0967C82F"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71" w:history="1">
        <w:r w:rsidRPr="00987BA6">
          <w:rPr>
            <w:rStyle w:val="Hyperlink"/>
            <w:rFonts w:ascii="Corbel" w:hAnsi="Corbel"/>
            <w:noProof/>
            <w:lang w:eastAsia="ja-JP"/>
          </w:rPr>
          <w:t>Minimum funding guarantee</w:t>
        </w:r>
        <w:r>
          <w:rPr>
            <w:noProof/>
            <w:webHidden/>
          </w:rPr>
          <w:tab/>
        </w:r>
        <w:r>
          <w:rPr>
            <w:noProof/>
            <w:webHidden/>
          </w:rPr>
          <w:fldChar w:fldCharType="begin"/>
        </w:r>
        <w:r>
          <w:rPr>
            <w:noProof/>
            <w:webHidden/>
          </w:rPr>
          <w:instrText xml:space="preserve"> PAGEREF _Toc221087971 \h </w:instrText>
        </w:r>
        <w:r>
          <w:rPr>
            <w:noProof/>
            <w:webHidden/>
          </w:rPr>
        </w:r>
        <w:r>
          <w:rPr>
            <w:noProof/>
            <w:webHidden/>
          </w:rPr>
          <w:fldChar w:fldCharType="separate"/>
        </w:r>
        <w:r w:rsidR="007B754E">
          <w:rPr>
            <w:noProof/>
            <w:webHidden/>
          </w:rPr>
          <w:t>30</w:t>
        </w:r>
        <w:r>
          <w:rPr>
            <w:noProof/>
            <w:webHidden/>
          </w:rPr>
          <w:fldChar w:fldCharType="end"/>
        </w:r>
      </w:hyperlink>
    </w:p>
    <w:p w14:paraId="08A260CB" w14:textId="1960D87E"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7972" w:history="1">
        <w:r w:rsidRPr="00987BA6">
          <w:rPr>
            <w:rStyle w:val="Hyperlink"/>
            <w:rFonts w:ascii="Corbel" w:hAnsi="Corbel" w:cs="Arial"/>
          </w:rPr>
          <w:t>Part 2 – The National Pricing Model</w:t>
        </w:r>
        <w:r>
          <w:rPr>
            <w:webHidden/>
          </w:rPr>
          <w:tab/>
        </w:r>
        <w:r>
          <w:rPr>
            <w:webHidden/>
          </w:rPr>
          <w:fldChar w:fldCharType="begin"/>
        </w:r>
        <w:r>
          <w:rPr>
            <w:webHidden/>
          </w:rPr>
          <w:instrText xml:space="preserve"> PAGEREF _Toc221087972 \h </w:instrText>
        </w:r>
        <w:r>
          <w:rPr>
            <w:webHidden/>
          </w:rPr>
        </w:r>
        <w:r>
          <w:rPr>
            <w:webHidden/>
          </w:rPr>
          <w:fldChar w:fldCharType="separate"/>
        </w:r>
        <w:r w:rsidR="007B754E">
          <w:rPr>
            <w:webHidden/>
          </w:rPr>
          <w:t>32</w:t>
        </w:r>
        <w:r>
          <w:rPr>
            <w:webHidden/>
          </w:rPr>
          <w:fldChar w:fldCharType="end"/>
        </w:r>
      </w:hyperlink>
    </w:p>
    <w:p w14:paraId="58680E82" w14:textId="3A3AA168"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73" w:history="1">
        <w:r w:rsidRPr="00987BA6">
          <w:rPr>
            <w:rStyle w:val="Hyperlink"/>
            <w:rFonts w:ascii="Corbel" w:hAnsi="Corbel"/>
            <w:noProof/>
            <w:lang w:eastAsia="ja-JP"/>
          </w:rPr>
          <w:t>Activity Based Funding - Principles for determining the National Efficient Price</w:t>
        </w:r>
        <w:r>
          <w:rPr>
            <w:noProof/>
            <w:webHidden/>
          </w:rPr>
          <w:tab/>
        </w:r>
        <w:r>
          <w:rPr>
            <w:noProof/>
            <w:webHidden/>
          </w:rPr>
          <w:fldChar w:fldCharType="begin"/>
        </w:r>
        <w:r>
          <w:rPr>
            <w:noProof/>
            <w:webHidden/>
          </w:rPr>
          <w:instrText xml:space="preserve"> PAGEREF _Toc221087973 \h </w:instrText>
        </w:r>
        <w:r>
          <w:rPr>
            <w:noProof/>
            <w:webHidden/>
          </w:rPr>
        </w:r>
        <w:r>
          <w:rPr>
            <w:noProof/>
            <w:webHidden/>
          </w:rPr>
          <w:fldChar w:fldCharType="separate"/>
        </w:r>
        <w:r w:rsidR="007B754E">
          <w:rPr>
            <w:noProof/>
            <w:webHidden/>
          </w:rPr>
          <w:t>32</w:t>
        </w:r>
        <w:r>
          <w:rPr>
            <w:noProof/>
            <w:webHidden/>
          </w:rPr>
          <w:fldChar w:fldCharType="end"/>
        </w:r>
      </w:hyperlink>
    </w:p>
    <w:p w14:paraId="2B0164FF" w14:textId="4A4EBEA9"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74" w:history="1">
        <w:r w:rsidRPr="00987BA6">
          <w:rPr>
            <w:rStyle w:val="Hyperlink"/>
            <w:rFonts w:ascii="Corbel" w:hAnsi="Corbel"/>
            <w:noProof/>
            <w:lang w:val="en-GB" w:eastAsia="ja-JP"/>
          </w:rPr>
          <w:t>Block Funding - Principles for determining the National Efficient Cost</w:t>
        </w:r>
        <w:r>
          <w:rPr>
            <w:noProof/>
            <w:webHidden/>
          </w:rPr>
          <w:tab/>
        </w:r>
        <w:r>
          <w:rPr>
            <w:noProof/>
            <w:webHidden/>
          </w:rPr>
          <w:fldChar w:fldCharType="begin"/>
        </w:r>
        <w:r>
          <w:rPr>
            <w:noProof/>
            <w:webHidden/>
          </w:rPr>
          <w:instrText xml:space="preserve"> PAGEREF _Toc221087974 \h </w:instrText>
        </w:r>
        <w:r>
          <w:rPr>
            <w:noProof/>
            <w:webHidden/>
          </w:rPr>
        </w:r>
        <w:r>
          <w:rPr>
            <w:noProof/>
            <w:webHidden/>
          </w:rPr>
          <w:fldChar w:fldCharType="separate"/>
        </w:r>
        <w:r w:rsidR="007B754E">
          <w:rPr>
            <w:noProof/>
            <w:webHidden/>
          </w:rPr>
          <w:t>34</w:t>
        </w:r>
        <w:r>
          <w:rPr>
            <w:noProof/>
            <w:webHidden/>
          </w:rPr>
          <w:fldChar w:fldCharType="end"/>
        </w:r>
      </w:hyperlink>
    </w:p>
    <w:p w14:paraId="6F8C6752" w14:textId="604244E1"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75" w:history="1">
        <w:r w:rsidRPr="00987BA6">
          <w:rPr>
            <w:rStyle w:val="Hyperlink"/>
            <w:rFonts w:ascii="Corbel" w:hAnsi="Corbel"/>
            <w:noProof/>
            <w:lang w:eastAsia="ja-JP"/>
          </w:rPr>
          <w:t>Public Health Funding - Principles for determining the cost/price</w:t>
        </w:r>
        <w:r>
          <w:rPr>
            <w:noProof/>
            <w:webHidden/>
          </w:rPr>
          <w:tab/>
        </w:r>
        <w:r>
          <w:rPr>
            <w:noProof/>
            <w:webHidden/>
          </w:rPr>
          <w:fldChar w:fldCharType="begin"/>
        </w:r>
        <w:r>
          <w:rPr>
            <w:noProof/>
            <w:webHidden/>
          </w:rPr>
          <w:instrText xml:space="preserve"> PAGEREF _Toc221087975 \h </w:instrText>
        </w:r>
        <w:r>
          <w:rPr>
            <w:noProof/>
            <w:webHidden/>
          </w:rPr>
        </w:r>
        <w:r>
          <w:rPr>
            <w:noProof/>
            <w:webHidden/>
          </w:rPr>
          <w:fldChar w:fldCharType="separate"/>
        </w:r>
        <w:r w:rsidR="007B754E">
          <w:rPr>
            <w:noProof/>
            <w:webHidden/>
          </w:rPr>
          <w:t>36</w:t>
        </w:r>
        <w:r>
          <w:rPr>
            <w:noProof/>
            <w:webHidden/>
          </w:rPr>
          <w:fldChar w:fldCharType="end"/>
        </w:r>
      </w:hyperlink>
    </w:p>
    <w:p w14:paraId="7864A913" w14:textId="22FCB75A"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76" w:history="1">
        <w:r w:rsidRPr="00987BA6">
          <w:rPr>
            <w:rStyle w:val="Hyperlink"/>
            <w:rFonts w:ascii="Corbel" w:hAnsi="Corbel"/>
            <w:noProof/>
            <w:lang w:eastAsia="ja-JP"/>
          </w:rPr>
          <w:t>Service Model Reform Funding</w:t>
        </w:r>
        <w:r>
          <w:rPr>
            <w:noProof/>
            <w:webHidden/>
          </w:rPr>
          <w:tab/>
        </w:r>
        <w:r>
          <w:rPr>
            <w:noProof/>
            <w:webHidden/>
          </w:rPr>
          <w:fldChar w:fldCharType="begin"/>
        </w:r>
        <w:r>
          <w:rPr>
            <w:noProof/>
            <w:webHidden/>
          </w:rPr>
          <w:instrText xml:space="preserve"> PAGEREF _Toc221087976 \h </w:instrText>
        </w:r>
        <w:r>
          <w:rPr>
            <w:noProof/>
            <w:webHidden/>
          </w:rPr>
        </w:r>
        <w:r>
          <w:rPr>
            <w:noProof/>
            <w:webHidden/>
          </w:rPr>
          <w:fldChar w:fldCharType="separate"/>
        </w:r>
        <w:r w:rsidR="007B754E">
          <w:rPr>
            <w:noProof/>
            <w:webHidden/>
          </w:rPr>
          <w:t>37</w:t>
        </w:r>
        <w:r>
          <w:rPr>
            <w:noProof/>
            <w:webHidden/>
          </w:rPr>
          <w:fldChar w:fldCharType="end"/>
        </w:r>
      </w:hyperlink>
    </w:p>
    <w:p w14:paraId="48B73A82" w14:textId="6C17FED3"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77" w:history="1">
        <w:r w:rsidRPr="00987BA6">
          <w:rPr>
            <w:rStyle w:val="Hyperlink"/>
            <w:rFonts w:ascii="Corbel" w:hAnsi="Corbel"/>
            <w:noProof/>
            <w:lang w:eastAsia="ja-JP"/>
          </w:rPr>
          <w:t>Safety, quality and value pricing adjustments</w:t>
        </w:r>
        <w:r>
          <w:rPr>
            <w:noProof/>
            <w:webHidden/>
          </w:rPr>
          <w:tab/>
        </w:r>
        <w:r>
          <w:rPr>
            <w:noProof/>
            <w:webHidden/>
          </w:rPr>
          <w:fldChar w:fldCharType="begin"/>
        </w:r>
        <w:r>
          <w:rPr>
            <w:noProof/>
            <w:webHidden/>
          </w:rPr>
          <w:instrText xml:space="preserve"> PAGEREF _Toc221087977 \h </w:instrText>
        </w:r>
        <w:r>
          <w:rPr>
            <w:noProof/>
            <w:webHidden/>
          </w:rPr>
        </w:r>
        <w:r>
          <w:rPr>
            <w:noProof/>
            <w:webHidden/>
          </w:rPr>
          <w:fldChar w:fldCharType="separate"/>
        </w:r>
        <w:r w:rsidR="007B754E">
          <w:rPr>
            <w:noProof/>
            <w:webHidden/>
          </w:rPr>
          <w:t>37</w:t>
        </w:r>
        <w:r>
          <w:rPr>
            <w:noProof/>
            <w:webHidden/>
          </w:rPr>
          <w:fldChar w:fldCharType="end"/>
        </w:r>
      </w:hyperlink>
    </w:p>
    <w:p w14:paraId="384C69C4" w14:textId="3030C2F2"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78" w:history="1">
        <w:r w:rsidRPr="00987BA6">
          <w:rPr>
            <w:rStyle w:val="Hyperlink"/>
            <w:rFonts w:ascii="Corbel" w:hAnsi="Corbel"/>
            <w:noProof/>
            <w:lang w:eastAsia="ja-JP"/>
          </w:rPr>
          <w:t>Transitional pricing and retrospective change arrangements</w:t>
        </w:r>
        <w:r>
          <w:rPr>
            <w:noProof/>
            <w:webHidden/>
          </w:rPr>
          <w:tab/>
        </w:r>
        <w:r>
          <w:rPr>
            <w:noProof/>
            <w:webHidden/>
          </w:rPr>
          <w:fldChar w:fldCharType="begin"/>
        </w:r>
        <w:r>
          <w:rPr>
            <w:noProof/>
            <w:webHidden/>
          </w:rPr>
          <w:instrText xml:space="preserve"> PAGEREF _Toc221087978 \h </w:instrText>
        </w:r>
        <w:r>
          <w:rPr>
            <w:noProof/>
            <w:webHidden/>
          </w:rPr>
        </w:r>
        <w:r>
          <w:rPr>
            <w:noProof/>
            <w:webHidden/>
          </w:rPr>
          <w:fldChar w:fldCharType="separate"/>
        </w:r>
        <w:r w:rsidR="007B754E">
          <w:rPr>
            <w:noProof/>
            <w:webHidden/>
          </w:rPr>
          <w:t>40</w:t>
        </w:r>
        <w:r>
          <w:rPr>
            <w:noProof/>
            <w:webHidden/>
          </w:rPr>
          <w:fldChar w:fldCharType="end"/>
        </w:r>
      </w:hyperlink>
    </w:p>
    <w:p w14:paraId="66824431" w14:textId="58E5E363"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7979" w:history="1">
        <w:r w:rsidRPr="00987BA6">
          <w:rPr>
            <w:rStyle w:val="Hyperlink"/>
            <w:rFonts w:ascii="Corbel" w:hAnsi="Corbel" w:cs="Arial"/>
          </w:rPr>
          <w:t>Part 3 – Scope of services and other activities that receive a Commonwealth contribution</w:t>
        </w:r>
        <w:r>
          <w:rPr>
            <w:webHidden/>
          </w:rPr>
          <w:tab/>
        </w:r>
        <w:r>
          <w:rPr>
            <w:webHidden/>
          </w:rPr>
          <w:fldChar w:fldCharType="begin"/>
        </w:r>
        <w:r>
          <w:rPr>
            <w:webHidden/>
          </w:rPr>
          <w:instrText xml:space="preserve"> PAGEREF _Toc221087979 \h </w:instrText>
        </w:r>
        <w:r>
          <w:rPr>
            <w:webHidden/>
          </w:rPr>
        </w:r>
        <w:r>
          <w:rPr>
            <w:webHidden/>
          </w:rPr>
          <w:fldChar w:fldCharType="separate"/>
        </w:r>
        <w:r w:rsidR="007B754E">
          <w:rPr>
            <w:webHidden/>
          </w:rPr>
          <w:t>41</w:t>
        </w:r>
        <w:r>
          <w:rPr>
            <w:webHidden/>
          </w:rPr>
          <w:fldChar w:fldCharType="end"/>
        </w:r>
      </w:hyperlink>
    </w:p>
    <w:p w14:paraId="2E7EEA49" w14:textId="76DF49BD"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80" w:history="1">
        <w:r w:rsidRPr="00987BA6">
          <w:rPr>
            <w:rStyle w:val="Hyperlink"/>
            <w:rFonts w:ascii="Corbel" w:hAnsi="Corbel"/>
            <w:noProof/>
            <w:lang w:eastAsia="ja-JP"/>
          </w:rPr>
          <w:t>General list of services eligible to receive a Commonwealth funding contribution</w:t>
        </w:r>
        <w:r>
          <w:rPr>
            <w:noProof/>
            <w:webHidden/>
          </w:rPr>
          <w:tab/>
        </w:r>
        <w:r>
          <w:rPr>
            <w:noProof/>
            <w:webHidden/>
          </w:rPr>
          <w:fldChar w:fldCharType="begin"/>
        </w:r>
        <w:r>
          <w:rPr>
            <w:noProof/>
            <w:webHidden/>
          </w:rPr>
          <w:instrText xml:space="preserve"> PAGEREF _Toc221087980 \h </w:instrText>
        </w:r>
        <w:r>
          <w:rPr>
            <w:noProof/>
            <w:webHidden/>
          </w:rPr>
        </w:r>
        <w:r>
          <w:rPr>
            <w:noProof/>
            <w:webHidden/>
          </w:rPr>
          <w:fldChar w:fldCharType="separate"/>
        </w:r>
        <w:r w:rsidR="007B754E">
          <w:rPr>
            <w:noProof/>
            <w:webHidden/>
          </w:rPr>
          <w:t>41</w:t>
        </w:r>
        <w:r>
          <w:rPr>
            <w:noProof/>
            <w:webHidden/>
          </w:rPr>
          <w:fldChar w:fldCharType="end"/>
        </w:r>
      </w:hyperlink>
    </w:p>
    <w:p w14:paraId="55EECE3B" w14:textId="417DC06D"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81" w:history="1">
        <w:r w:rsidRPr="00987BA6">
          <w:rPr>
            <w:rStyle w:val="Hyperlink"/>
            <w:rFonts w:ascii="Corbel" w:hAnsi="Corbel"/>
            <w:noProof/>
            <w:lang w:eastAsia="ja-JP"/>
          </w:rPr>
          <w:t>Other services eligible to receive a Commonwealth funding contribution</w:t>
        </w:r>
        <w:r>
          <w:rPr>
            <w:noProof/>
            <w:webHidden/>
          </w:rPr>
          <w:tab/>
        </w:r>
        <w:r>
          <w:rPr>
            <w:noProof/>
            <w:webHidden/>
          </w:rPr>
          <w:fldChar w:fldCharType="begin"/>
        </w:r>
        <w:r>
          <w:rPr>
            <w:noProof/>
            <w:webHidden/>
          </w:rPr>
          <w:instrText xml:space="preserve"> PAGEREF _Toc221087981 \h </w:instrText>
        </w:r>
        <w:r>
          <w:rPr>
            <w:noProof/>
            <w:webHidden/>
          </w:rPr>
        </w:r>
        <w:r>
          <w:rPr>
            <w:noProof/>
            <w:webHidden/>
          </w:rPr>
          <w:fldChar w:fldCharType="separate"/>
        </w:r>
        <w:r w:rsidR="007B754E">
          <w:rPr>
            <w:noProof/>
            <w:webHidden/>
          </w:rPr>
          <w:t>42</w:t>
        </w:r>
        <w:r>
          <w:rPr>
            <w:noProof/>
            <w:webHidden/>
          </w:rPr>
          <w:fldChar w:fldCharType="end"/>
        </w:r>
      </w:hyperlink>
    </w:p>
    <w:p w14:paraId="456A93DC" w14:textId="4E44154E"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7982" w:history="1">
        <w:r w:rsidRPr="00987BA6">
          <w:rPr>
            <w:rStyle w:val="Hyperlink"/>
            <w:rFonts w:ascii="Corbel" w:hAnsi="Corbel" w:cs="Arial"/>
          </w:rPr>
          <w:t>Part 4 – Commonwealth payment arrangements</w:t>
        </w:r>
        <w:r>
          <w:rPr>
            <w:webHidden/>
          </w:rPr>
          <w:tab/>
        </w:r>
        <w:r>
          <w:rPr>
            <w:webHidden/>
          </w:rPr>
          <w:fldChar w:fldCharType="begin"/>
        </w:r>
        <w:r>
          <w:rPr>
            <w:webHidden/>
          </w:rPr>
          <w:instrText xml:space="preserve"> PAGEREF _Toc221087982 \h </w:instrText>
        </w:r>
        <w:r>
          <w:rPr>
            <w:webHidden/>
          </w:rPr>
        </w:r>
        <w:r>
          <w:rPr>
            <w:webHidden/>
          </w:rPr>
          <w:fldChar w:fldCharType="separate"/>
        </w:r>
        <w:r w:rsidR="007B754E">
          <w:rPr>
            <w:webHidden/>
          </w:rPr>
          <w:t>43</w:t>
        </w:r>
        <w:r>
          <w:rPr>
            <w:webHidden/>
          </w:rPr>
          <w:fldChar w:fldCharType="end"/>
        </w:r>
      </w:hyperlink>
    </w:p>
    <w:p w14:paraId="24B74460" w14:textId="797AAE80"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83" w:history="1">
        <w:r w:rsidRPr="00987BA6">
          <w:rPr>
            <w:rStyle w:val="Hyperlink"/>
            <w:rFonts w:ascii="Corbel" w:hAnsi="Corbel"/>
            <w:noProof/>
            <w:lang w:eastAsia="ja-JP"/>
          </w:rPr>
          <w:t>Process to pay the Commonwealth’s funding contribution</w:t>
        </w:r>
        <w:r>
          <w:rPr>
            <w:noProof/>
            <w:webHidden/>
          </w:rPr>
          <w:tab/>
        </w:r>
        <w:r>
          <w:rPr>
            <w:noProof/>
            <w:webHidden/>
          </w:rPr>
          <w:fldChar w:fldCharType="begin"/>
        </w:r>
        <w:r>
          <w:rPr>
            <w:noProof/>
            <w:webHidden/>
          </w:rPr>
          <w:instrText xml:space="preserve"> PAGEREF _Toc221087983 \h </w:instrText>
        </w:r>
        <w:r>
          <w:rPr>
            <w:noProof/>
            <w:webHidden/>
          </w:rPr>
        </w:r>
        <w:r>
          <w:rPr>
            <w:noProof/>
            <w:webHidden/>
          </w:rPr>
          <w:fldChar w:fldCharType="separate"/>
        </w:r>
        <w:r w:rsidR="007B754E">
          <w:rPr>
            <w:noProof/>
            <w:webHidden/>
          </w:rPr>
          <w:t>43</w:t>
        </w:r>
        <w:r>
          <w:rPr>
            <w:noProof/>
            <w:webHidden/>
          </w:rPr>
          <w:fldChar w:fldCharType="end"/>
        </w:r>
      </w:hyperlink>
    </w:p>
    <w:p w14:paraId="25C6EE78" w14:textId="7FEB7C5D"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84" w:history="1">
        <w:r w:rsidRPr="00987BA6">
          <w:rPr>
            <w:rStyle w:val="Hyperlink"/>
            <w:rFonts w:ascii="Corbel" w:hAnsi="Corbel"/>
            <w:noProof/>
            <w:lang w:eastAsia="ja-JP"/>
          </w:rPr>
          <w:t>Process for the Service Model Reform Funding stream</w:t>
        </w:r>
        <w:r>
          <w:rPr>
            <w:noProof/>
            <w:webHidden/>
          </w:rPr>
          <w:tab/>
        </w:r>
        <w:r>
          <w:rPr>
            <w:noProof/>
            <w:webHidden/>
          </w:rPr>
          <w:fldChar w:fldCharType="begin"/>
        </w:r>
        <w:r>
          <w:rPr>
            <w:noProof/>
            <w:webHidden/>
          </w:rPr>
          <w:instrText xml:space="preserve"> PAGEREF _Toc221087984 \h </w:instrText>
        </w:r>
        <w:r>
          <w:rPr>
            <w:noProof/>
            <w:webHidden/>
          </w:rPr>
        </w:r>
        <w:r>
          <w:rPr>
            <w:noProof/>
            <w:webHidden/>
          </w:rPr>
          <w:fldChar w:fldCharType="separate"/>
        </w:r>
        <w:r w:rsidR="007B754E">
          <w:rPr>
            <w:noProof/>
            <w:webHidden/>
          </w:rPr>
          <w:t>48</w:t>
        </w:r>
        <w:r>
          <w:rPr>
            <w:noProof/>
            <w:webHidden/>
          </w:rPr>
          <w:fldChar w:fldCharType="end"/>
        </w:r>
      </w:hyperlink>
    </w:p>
    <w:p w14:paraId="5BB73208" w14:textId="3EBB4F21"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85" w:history="1">
        <w:r w:rsidRPr="00987BA6">
          <w:rPr>
            <w:rStyle w:val="Hyperlink"/>
            <w:rFonts w:ascii="Corbel" w:hAnsi="Corbel"/>
            <w:noProof/>
            <w:lang w:eastAsia="ja-JP"/>
          </w:rPr>
          <w:t>Funding pool arrangements</w:t>
        </w:r>
        <w:r>
          <w:rPr>
            <w:noProof/>
            <w:webHidden/>
          </w:rPr>
          <w:tab/>
        </w:r>
        <w:r>
          <w:rPr>
            <w:noProof/>
            <w:webHidden/>
          </w:rPr>
          <w:fldChar w:fldCharType="begin"/>
        </w:r>
        <w:r>
          <w:rPr>
            <w:noProof/>
            <w:webHidden/>
          </w:rPr>
          <w:instrText xml:space="preserve"> PAGEREF _Toc221087985 \h </w:instrText>
        </w:r>
        <w:r>
          <w:rPr>
            <w:noProof/>
            <w:webHidden/>
          </w:rPr>
        </w:r>
        <w:r>
          <w:rPr>
            <w:noProof/>
            <w:webHidden/>
          </w:rPr>
          <w:fldChar w:fldCharType="separate"/>
        </w:r>
        <w:r w:rsidR="007B754E">
          <w:rPr>
            <w:noProof/>
            <w:webHidden/>
          </w:rPr>
          <w:t>49</w:t>
        </w:r>
        <w:r>
          <w:rPr>
            <w:noProof/>
            <w:webHidden/>
          </w:rPr>
          <w:fldChar w:fldCharType="end"/>
        </w:r>
      </w:hyperlink>
    </w:p>
    <w:p w14:paraId="1E073ED7" w14:textId="0D12E041"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7986" w:history="1">
        <w:r w:rsidRPr="00987BA6">
          <w:rPr>
            <w:rStyle w:val="Hyperlink"/>
            <w:rFonts w:ascii="Corbel" w:hAnsi="Corbel" w:cs="Arial"/>
          </w:rPr>
          <w:t>Part 5 – State and Territory arrangements</w:t>
        </w:r>
        <w:r>
          <w:rPr>
            <w:webHidden/>
          </w:rPr>
          <w:tab/>
        </w:r>
        <w:r>
          <w:rPr>
            <w:webHidden/>
          </w:rPr>
          <w:fldChar w:fldCharType="begin"/>
        </w:r>
        <w:r>
          <w:rPr>
            <w:webHidden/>
          </w:rPr>
          <w:instrText xml:space="preserve"> PAGEREF _Toc221087986 \h </w:instrText>
        </w:r>
        <w:r>
          <w:rPr>
            <w:webHidden/>
          </w:rPr>
        </w:r>
        <w:r>
          <w:rPr>
            <w:webHidden/>
          </w:rPr>
          <w:fldChar w:fldCharType="separate"/>
        </w:r>
        <w:r w:rsidR="007B754E">
          <w:rPr>
            <w:webHidden/>
          </w:rPr>
          <w:t>51</w:t>
        </w:r>
        <w:r>
          <w:rPr>
            <w:webHidden/>
          </w:rPr>
          <w:fldChar w:fldCharType="end"/>
        </w:r>
      </w:hyperlink>
    </w:p>
    <w:p w14:paraId="17028118" w14:textId="1D3A2DFC"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87" w:history="1">
        <w:r w:rsidRPr="00987BA6">
          <w:rPr>
            <w:rStyle w:val="Hyperlink"/>
            <w:rFonts w:ascii="Corbel" w:hAnsi="Corbel"/>
            <w:noProof/>
            <w:lang w:eastAsia="ja-JP"/>
          </w:rPr>
          <w:t>Determining the State funding contribution</w:t>
        </w:r>
        <w:r>
          <w:rPr>
            <w:noProof/>
            <w:webHidden/>
          </w:rPr>
          <w:tab/>
        </w:r>
        <w:r>
          <w:rPr>
            <w:noProof/>
            <w:webHidden/>
          </w:rPr>
          <w:fldChar w:fldCharType="begin"/>
        </w:r>
        <w:r>
          <w:rPr>
            <w:noProof/>
            <w:webHidden/>
          </w:rPr>
          <w:instrText xml:space="preserve"> PAGEREF _Toc221087987 \h </w:instrText>
        </w:r>
        <w:r>
          <w:rPr>
            <w:noProof/>
            <w:webHidden/>
          </w:rPr>
        </w:r>
        <w:r>
          <w:rPr>
            <w:noProof/>
            <w:webHidden/>
          </w:rPr>
          <w:fldChar w:fldCharType="separate"/>
        </w:r>
        <w:r w:rsidR="007B754E">
          <w:rPr>
            <w:noProof/>
            <w:webHidden/>
          </w:rPr>
          <w:t>51</w:t>
        </w:r>
        <w:r>
          <w:rPr>
            <w:noProof/>
            <w:webHidden/>
          </w:rPr>
          <w:fldChar w:fldCharType="end"/>
        </w:r>
      </w:hyperlink>
    </w:p>
    <w:p w14:paraId="561F3807" w14:textId="723E2FFF"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88" w:history="1">
        <w:r w:rsidRPr="00987BA6">
          <w:rPr>
            <w:rStyle w:val="Hyperlink"/>
            <w:rFonts w:ascii="Corbel" w:hAnsi="Corbel"/>
            <w:noProof/>
            <w:lang w:eastAsia="ja-JP"/>
          </w:rPr>
          <w:t>Reporting the State funding contribution and service level data</w:t>
        </w:r>
        <w:r>
          <w:rPr>
            <w:noProof/>
            <w:webHidden/>
          </w:rPr>
          <w:tab/>
        </w:r>
        <w:r>
          <w:rPr>
            <w:noProof/>
            <w:webHidden/>
          </w:rPr>
          <w:fldChar w:fldCharType="begin"/>
        </w:r>
        <w:r>
          <w:rPr>
            <w:noProof/>
            <w:webHidden/>
          </w:rPr>
          <w:instrText xml:space="preserve"> PAGEREF _Toc221087988 \h </w:instrText>
        </w:r>
        <w:r>
          <w:rPr>
            <w:noProof/>
            <w:webHidden/>
          </w:rPr>
        </w:r>
        <w:r>
          <w:rPr>
            <w:noProof/>
            <w:webHidden/>
          </w:rPr>
          <w:fldChar w:fldCharType="separate"/>
        </w:r>
        <w:r w:rsidR="007B754E">
          <w:rPr>
            <w:noProof/>
            <w:webHidden/>
          </w:rPr>
          <w:t>53</w:t>
        </w:r>
        <w:r>
          <w:rPr>
            <w:noProof/>
            <w:webHidden/>
          </w:rPr>
          <w:fldChar w:fldCharType="end"/>
        </w:r>
      </w:hyperlink>
    </w:p>
    <w:p w14:paraId="06B55B3C" w14:textId="41EA3F18"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89" w:history="1">
        <w:r w:rsidRPr="00987BA6">
          <w:rPr>
            <w:rStyle w:val="Hyperlink"/>
            <w:rFonts w:ascii="Corbel" w:hAnsi="Corbel"/>
            <w:noProof/>
            <w:lang w:eastAsia="ja-JP"/>
          </w:rPr>
          <w:t>Maintenance of effort</w:t>
        </w:r>
        <w:r>
          <w:rPr>
            <w:noProof/>
            <w:webHidden/>
          </w:rPr>
          <w:tab/>
        </w:r>
        <w:r>
          <w:rPr>
            <w:noProof/>
            <w:webHidden/>
          </w:rPr>
          <w:fldChar w:fldCharType="begin"/>
        </w:r>
        <w:r>
          <w:rPr>
            <w:noProof/>
            <w:webHidden/>
          </w:rPr>
          <w:instrText xml:space="preserve"> PAGEREF _Toc221087989 \h </w:instrText>
        </w:r>
        <w:r>
          <w:rPr>
            <w:noProof/>
            <w:webHidden/>
          </w:rPr>
        </w:r>
        <w:r>
          <w:rPr>
            <w:noProof/>
            <w:webHidden/>
          </w:rPr>
          <w:fldChar w:fldCharType="separate"/>
        </w:r>
        <w:r w:rsidR="007B754E">
          <w:rPr>
            <w:noProof/>
            <w:webHidden/>
          </w:rPr>
          <w:t>54</w:t>
        </w:r>
        <w:r>
          <w:rPr>
            <w:noProof/>
            <w:webHidden/>
          </w:rPr>
          <w:fldChar w:fldCharType="end"/>
        </w:r>
      </w:hyperlink>
    </w:p>
    <w:p w14:paraId="7679B57B" w14:textId="12314F3D"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90" w:history="1">
        <w:r w:rsidRPr="00987BA6">
          <w:rPr>
            <w:rStyle w:val="Hyperlink"/>
            <w:rFonts w:ascii="Corbel" w:hAnsi="Corbel"/>
            <w:noProof/>
            <w:lang w:eastAsia="ja-JP"/>
          </w:rPr>
          <w:t>Private or not-for-profit provision of public hospital and health services</w:t>
        </w:r>
        <w:r>
          <w:rPr>
            <w:noProof/>
            <w:webHidden/>
          </w:rPr>
          <w:tab/>
        </w:r>
        <w:r>
          <w:rPr>
            <w:noProof/>
            <w:webHidden/>
          </w:rPr>
          <w:fldChar w:fldCharType="begin"/>
        </w:r>
        <w:r>
          <w:rPr>
            <w:noProof/>
            <w:webHidden/>
          </w:rPr>
          <w:instrText xml:space="preserve"> PAGEREF _Toc221087990 \h </w:instrText>
        </w:r>
        <w:r>
          <w:rPr>
            <w:noProof/>
            <w:webHidden/>
          </w:rPr>
        </w:r>
        <w:r>
          <w:rPr>
            <w:noProof/>
            <w:webHidden/>
          </w:rPr>
          <w:fldChar w:fldCharType="separate"/>
        </w:r>
        <w:r w:rsidR="007B754E">
          <w:rPr>
            <w:noProof/>
            <w:webHidden/>
          </w:rPr>
          <w:t>54</w:t>
        </w:r>
        <w:r>
          <w:rPr>
            <w:noProof/>
            <w:webHidden/>
          </w:rPr>
          <w:fldChar w:fldCharType="end"/>
        </w:r>
      </w:hyperlink>
    </w:p>
    <w:p w14:paraId="363421BA" w14:textId="51C3387B"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91" w:history="1">
        <w:r w:rsidRPr="00987BA6">
          <w:rPr>
            <w:rStyle w:val="Hyperlink"/>
            <w:rFonts w:ascii="Corbel" w:hAnsi="Corbel"/>
            <w:noProof/>
            <w:lang w:eastAsia="ja-JP"/>
          </w:rPr>
          <w:t>Cross-border arrangements</w:t>
        </w:r>
        <w:r>
          <w:rPr>
            <w:noProof/>
            <w:webHidden/>
          </w:rPr>
          <w:tab/>
        </w:r>
        <w:r>
          <w:rPr>
            <w:noProof/>
            <w:webHidden/>
          </w:rPr>
          <w:fldChar w:fldCharType="begin"/>
        </w:r>
        <w:r>
          <w:rPr>
            <w:noProof/>
            <w:webHidden/>
          </w:rPr>
          <w:instrText xml:space="preserve"> PAGEREF _Toc221087991 \h </w:instrText>
        </w:r>
        <w:r>
          <w:rPr>
            <w:noProof/>
            <w:webHidden/>
          </w:rPr>
        </w:r>
        <w:r>
          <w:rPr>
            <w:noProof/>
            <w:webHidden/>
          </w:rPr>
          <w:fldChar w:fldCharType="separate"/>
        </w:r>
        <w:r w:rsidR="007B754E">
          <w:rPr>
            <w:noProof/>
            <w:webHidden/>
          </w:rPr>
          <w:t>55</w:t>
        </w:r>
        <w:r>
          <w:rPr>
            <w:noProof/>
            <w:webHidden/>
          </w:rPr>
          <w:fldChar w:fldCharType="end"/>
        </w:r>
      </w:hyperlink>
    </w:p>
    <w:p w14:paraId="08FEA1BC" w14:textId="34D5A5F7"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7992" w:history="1">
        <w:r w:rsidRPr="00987BA6">
          <w:rPr>
            <w:rStyle w:val="Hyperlink"/>
            <w:rFonts w:ascii="Corbel" w:hAnsi="Corbel" w:cs="Arial"/>
          </w:rPr>
          <w:t>Part 6 – Other arrangements</w:t>
        </w:r>
        <w:r>
          <w:rPr>
            <w:webHidden/>
          </w:rPr>
          <w:tab/>
        </w:r>
        <w:r>
          <w:rPr>
            <w:webHidden/>
          </w:rPr>
          <w:fldChar w:fldCharType="begin"/>
        </w:r>
        <w:r>
          <w:rPr>
            <w:webHidden/>
          </w:rPr>
          <w:instrText xml:space="preserve"> PAGEREF _Toc221087992 \h </w:instrText>
        </w:r>
        <w:r>
          <w:rPr>
            <w:webHidden/>
          </w:rPr>
        </w:r>
        <w:r>
          <w:rPr>
            <w:webHidden/>
          </w:rPr>
          <w:fldChar w:fldCharType="separate"/>
        </w:r>
        <w:r w:rsidR="007B754E">
          <w:rPr>
            <w:webHidden/>
          </w:rPr>
          <w:t>59</w:t>
        </w:r>
        <w:r>
          <w:rPr>
            <w:webHidden/>
          </w:rPr>
          <w:fldChar w:fldCharType="end"/>
        </w:r>
      </w:hyperlink>
    </w:p>
    <w:p w14:paraId="2B8F4F83" w14:textId="32B1FED4"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93" w:history="1">
        <w:r w:rsidRPr="00987BA6">
          <w:rPr>
            <w:rStyle w:val="Hyperlink"/>
            <w:rFonts w:ascii="Corbel" w:hAnsi="Corbel"/>
            <w:noProof/>
            <w:lang w:eastAsia="ja-JP"/>
          </w:rPr>
          <w:t>Interactions with other Commonwealth-funded programs</w:t>
        </w:r>
        <w:r>
          <w:rPr>
            <w:noProof/>
            <w:webHidden/>
          </w:rPr>
          <w:tab/>
        </w:r>
        <w:r>
          <w:rPr>
            <w:noProof/>
            <w:webHidden/>
          </w:rPr>
          <w:fldChar w:fldCharType="begin"/>
        </w:r>
        <w:r>
          <w:rPr>
            <w:noProof/>
            <w:webHidden/>
          </w:rPr>
          <w:instrText xml:space="preserve"> PAGEREF _Toc221087993 \h </w:instrText>
        </w:r>
        <w:r>
          <w:rPr>
            <w:noProof/>
            <w:webHidden/>
          </w:rPr>
        </w:r>
        <w:r>
          <w:rPr>
            <w:noProof/>
            <w:webHidden/>
          </w:rPr>
          <w:fldChar w:fldCharType="separate"/>
        </w:r>
        <w:r w:rsidR="007B754E">
          <w:rPr>
            <w:noProof/>
            <w:webHidden/>
          </w:rPr>
          <w:t>59</w:t>
        </w:r>
        <w:r>
          <w:rPr>
            <w:noProof/>
            <w:webHidden/>
          </w:rPr>
          <w:fldChar w:fldCharType="end"/>
        </w:r>
      </w:hyperlink>
    </w:p>
    <w:p w14:paraId="33EA207E" w14:textId="4E6BD8C8"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94" w:history="1">
        <w:r w:rsidRPr="00987BA6">
          <w:rPr>
            <w:rStyle w:val="Hyperlink"/>
            <w:rFonts w:ascii="Corbel" w:hAnsi="Corbel"/>
            <w:noProof/>
            <w:lang w:eastAsia="ja-JP"/>
          </w:rPr>
          <w:t>Data requirements</w:t>
        </w:r>
        <w:r>
          <w:rPr>
            <w:noProof/>
            <w:webHidden/>
          </w:rPr>
          <w:tab/>
        </w:r>
        <w:r>
          <w:rPr>
            <w:noProof/>
            <w:webHidden/>
          </w:rPr>
          <w:fldChar w:fldCharType="begin"/>
        </w:r>
        <w:r>
          <w:rPr>
            <w:noProof/>
            <w:webHidden/>
          </w:rPr>
          <w:instrText xml:space="preserve"> PAGEREF _Toc221087994 \h </w:instrText>
        </w:r>
        <w:r>
          <w:rPr>
            <w:noProof/>
            <w:webHidden/>
          </w:rPr>
        </w:r>
        <w:r>
          <w:rPr>
            <w:noProof/>
            <w:webHidden/>
          </w:rPr>
          <w:fldChar w:fldCharType="separate"/>
        </w:r>
        <w:r w:rsidR="007B754E">
          <w:rPr>
            <w:noProof/>
            <w:webHidden/>
          </w:rPr>
          <w:t>60</w:t>
        </w:r>
        <w:r>
          <w:rPr>
            <w:noProof/>
            <w:webHidden/>
          </w:rPr>
          <w:fldChar w:fldCharType="end"/>
        </w:r>
      </w:hyperlink>
    </w:p>
    <w:p w14:paraId="37ED5BB0" w14:textId="2E88B59A"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95" w:history="1">
        <w:r w:rsidRPr="00987BA6">
          <w:rPr>
            <w:rStyle w:val="Hyperlink"/>
            <w:rFonts w:ascii="Corbel" w:hAnsi="Corbel"/>
            <w:noProof/>
            <w:lang w:eastAsia="ja-JP"/>
          </w:rPr>
          <w:t>Nationally cohesive health technology assessment</w:t>
        </w:r>
        <w:r>
          <w:rPr>
            <w:noProof/>
            <w:webHidden/>
          </w:rPr>
          <w:tab/>
        </w:r>
        <w:r>
          <w:rPr>
            <w:noProof/>
            <w:webHidden/>
          </w:rPr>
          <w:fldChar w:fldCharType="begin"/>
        </w:r>
        <w:r>
          <w:rPr>
            <w:noProof/>
            <w:webHidden/>
          </w:rPr>
          <w:instrText xml:space="preserve"> PAGEREF _Toc221087995 \h </w:instrText>
        </w:r>
        <w:r>
          <w:rPr>
            <w:noProof/>
            <w:webHidden/>
          </w:rPr>
        </w:r>
        <w:r>
          <w:rPr>
            <w:noProof/>
            <w:webHidden/>
          </w:rPr>
          <w:fldChar w:fldCharType="separate"/>
        </w:r>
        <w:r w:rsidR="007B754E">
          <w:rPr>
            <w:noProof/>
            <w:webHidden/>
          </w:rPr>
          <w:t>63</w:t>
        </w:r>
        <w:r>
          <w:rPr>
            <w:noProof/>
            <w:webHidden/>
          </w:rPr>
          <w:fldChar w:fldCharType="end"/>
        </w:r>
      </w:hyperlink>
    </w:p>
    <w:p w14:paraId="27E34794" w14:textId="4D65F1D0"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96" w:history="1">
        <w:r w:rsidRPr="00987BA6">
          <w:rPr>
            <w:rStyle w:val="Hyperlink"/>
            <w:rFonts w:ascii="Corbel" w:hAnsi="Corbel"/>
            <w:noProof/>
            <w:lang w:eastAsia="ja-JP"/>
          </w:rPr>
          <w:t>High Cost, Highly Specialised Therapies</w:t>
        </w:r>
        <w:r>
          <w:rPr>
            <w:noProof/>
            <w:webHidden/>
          </w:rPr>
          <w:tab/>
        </w:r>
        <w:r>
          <w:rPr>
            <w:noProof/>
            <w:webHidden/>
          </w:rPr>
          <w:fldChar w:fldCharType="begin"/>
        </w:r>
        <w:r>
          <w:rPr>
            <w:noProof/>
            <w:webHidden/>
          </w:rPr>
          <w:instrText xml:space="preserve"> PAGEREF _Toc221087996 \h </w:instrText>
        </w:r>
        <w:r>
          <w:rPr>
            <w:noProof/>
            <w:webHidden/>
          </w:rPr>
        </w:r>
        <w:r>
          <w:rPr>
            <w:noProof/>
            <w:webHidden/>
          </w:rPr>
          <w:fldChar w:fldCharType="separate"/>
        </w:r>
        <w:r w:rsidR="007B754E">
          <w:rPr>
            <w:noProof/>
            <w:webHidden/>
          </w:rPr>
          <w:t>64</w:t>
        </w:r>
        <w:r>
          <w:rPr>
            <w:noProof/>
            <w:webHidden/>
          </w:rPr>
          <w:fldChar w:fldCharType="end"/>
        </w:r>
      </w:hyperlink>
    </w:p>
    <w:p w14:paraId="553DCE08" w14:textId="5B1CBC16"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97" w:history="1">
        <w:r w:rsidRPr="00987BA6">
          <w:rPr>
            <w:rStyle w:val="Hyperlink"/>
            <w:rFonts w:ascii="Corbel" w:eastAsia="Times New Roman" w:hAnsi="Corbel"/>
            <w:noProof/>
            <w:lang w:eastAsia="ja-JP"/>
          </w:rPr>
          <w:t>Specialised, low-volume services</w:t>
        </w:r>
        <w:r>
          <w:rPr>
            <w:noProof/>
            <w:webHidden/>
          </w:rPr>
          <w:tab/>
        </w:r>
        <w:r>
          <w:rPr>
            <w:noProof/>
            <w:webHidden/>
          </w:rPr>
          <w:fldChar w:fldCharType="begin"/>
        </w:r>
        <w:r>
          <w:rPr>
            <w:noProof/>
            <w:webHidden/>
          </w:rPr>
          <w:instrText xml:space="preserve"> PAGEREF _Toc221087997 \h </w:instrText>
        </w:r>
        <w:r>
          <w:rPr>
            <w:noProof/>
            <w:webHidden/>
          </w:rPr>
        </w:r>
        <w:r>
          <w:rPr>
            <w:noProof/>
            <w:webHidden/>
          </w:rPr>
          <w:fldChar w:fldCharType="separate"/>
        </w:r>
        <w:r w:rsidR="007B754E">
          <w:rPr>
            <w:noProof/>
            <w:webHidden/>
          </w:rPr>
          <w:t>65</w:t>
        </w:r>
        <w:r>
          <w:rPr>
            <w:noProof/>
            <w:webHidden/>
          </w:rPr>
          <w:fldChar w:fldCharType="end"/>
        </w:r>
      </w:hyperlink>
    </w:p>
    <w:p w14:paraId="3F15FDDF" w14:textId="5CEBE722"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98" w:history="1">
        <w:r w:rsidRPr="00987BA6">
          <w:rPr>
            <w:rStyle w:val="Hyperlink"/>
            <w:rFonts w:ascii="Corbel" w:hAnsi="Corbel"/>
            <w:noProof/>
            <w:lang w:eastAsia="ja-JP"/>
          </w:rPr>
          <w:t>National Pharmaceutical Reform Arrangements</w:t>
        </w:r>
        <w:r>
          <w:rPr>
            <w:noProof/>
            <w:webHidden/>
          </w:rPr>
          <w:tab/>
        </w:r>
        <w:r>
          <w:rPr>
            <w:noProof/>
            <w:webHidden/>
          </w:rPr>
          <w:fldChar w:fldCharType="begin"/>
        </w:r>
        <w:r>
          <w:rPr>
            <w:noProof/>
            <w:webHidden/>
          </w:rPr>
          <w:instrText xml:space="preserve"> PAGEREF _Toc221087998 \h </w:instrText>
        </w:r>
        <w:r>
          <w:rPr>
            <w:noProof/>
            <w:webHidden/>
          </w:rPr>
        </w:r>
        <w:r>
          <w:rPr>
            <w:noProof/>
            <w:webHidden/>
          </w:rPr>
          <w:fldChar w:fldCharType="separate"/>
        </w:r>
        <w:r w:rsidR="007B754E">
          <w:rPr>
            <w:noProof/>
            <w:webHidden/>
          </w:rPr>
          <w:t>66</w:t>
        </w:r>
        <w:r>
          <w:rPr>
            <w:noProof/>
            <w:webHidden/>
          </w:rPr>
          <w:fldChar w:fldCharType="end"/>
        </w:r>
      </w:hyperlink>
    </w:p>
    <w:p w14:paraId="49B91C3E" w14:textId="12317383"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7999" w:history="1">
        <w:r w:rsidRPr="00987BA6">
          <w:rPr>
            <w:rStyle w:val="Hyperlink"/>
            <w:rFonts w:ascii="Corbel" w:hAnsi="Corbel"/>
            <w:noProof/>
            <w:lang w:eastAsia="ja-JP"/>
          </w:rPr>
          <w:t>Veteran entitlements</w:t>
        </w:r>
        <w:r>
          <w:rPr>
            <w:noProof/>
            <w:webHidden/>
          </w:rPr>
          <w:tab/>
        </w:r>
        <w:r>
          <w:rPr>
            <w:noProof/>
            <w:webHidden/>
          </w:rPr>
          <w:fldChar w:fldCharType="begin"/>
        </w:r>
        <w:r>
          <w:rPr>
            <w:noProof/>
            <w:webHidden/>
          </w:rPr>
          <w:instrText xml:space="preserve"> PAGEREF _Toc221087999 \h </w:instrText>
        </w:r>
        <w:r>
          <w:rPr>
            <w:noProof/>
            <w:webHidden/>
          </w:rPr>
        </w:r>
        <w:r>
          <w:rPr>
            <w:noProof/>
            <w:webHidden/>
          </w:rPr>
          <w:fldChar w:fldCharType="separate"/>
        </w:r>
        <w:r w:rsidR="007B754E">
          <w:rPr>
            <w:noProof/>
            <w:webHidden/>
          </w:rPr>
          <w:t>66</w:t>
        </w:r>
        <w:r>
          <w:rPr>
            <w:noProof/>
            <w:webHidden/>
          </w:rPr>
          <w:fldChar w:fldCharType="end"/>
        </w:r>
      </w:hyperlink>
    </w:p>
    <w:p w14:paraId="5D7D5442" w14:textId="594653EF" w:rsidR="00F150F9" w:rsidRDefault="00F150F9">
      <w:pPr>
        <w:pStyle w:val="TOC1"/>
        <w:rPr>
          <w:rFonts w:asciiTheme="minorHAnsi" w:eastAsiaTheme="minorEastAsia" w:hAnsiTheme="minorHAnsi" w:cstheme="minorBidi"/>
          <w:b w:val="0"/>
          <w:kern w:val="2"/>
          <w:sz w:val="24"/>
          <w:szCs w:val="24"/>
          <w14:ligatures w14:val="standardContextual"/>
        </w:rPr>
      </w:pPr>
      <w:hyperlink w:anchor="_Toc221088000" w:history="1">
        <w:r w:rsidRPr="00987BA6">
          <w:rPr>
            <w:rStyle w:val="Hyperlink"/>
            <w:rFonts w:eastAsia="Times New Roman" w:cs="Arial"/>
            <w:caps/>
            <w:kern w:val="32"/>
          </w:rPr>
          <w:t>SCHEDULE B – Better health outcomes for Aboriginal and Torres Strait Islander people</w:t>
        </w:r>
        <w:r>
          <w:rPr>
            <w:webHidden/>
          </w:rPr>
          <w:tab/>
        </w:r>
        <w:r>
          <w:rPr>
            <w:webHidden/>
          </w:rPr>
          <w:fldChar w:fldCharType="begin"/>
        </w:r>
        <w:r>
          <w:rPr>
            <w:webHidden/>
          </w:rPr>
          <w:instrText xml:space="preserve"> PAGEREF _Toc221088000 \h </w:instrText>
        </w:r>
        <w:r>
          <w:rPr>
            <w:webHidden/>
          </w:rPr>
        </w:r>
        <w:r>
          <w:rPr>
            <w:webHidden/>
          </w:rPr>
          <w:fldChar w:fldCharType="separate"/>
        </w:r>
        <w:r w:rsidR="007B754E">
          <w:rPr>
            <w:webHidden/>
          </w:rPr>
          <w:t>67</w:t>
        </w:r>
        <w:r>
          <w:rPr>
            <w:webHidden/>
          </w:rPr>
          <w:fldChar w:fldCharType="end"/>
        </w:r>
      </w:hyperlink>
    </w:p>
    <w:p w14:paraId="2C164ABC" w14:textId="27AAA01E"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01" w:history="1">
        <w:r w:rsidRPr="00987BA6">
          <w:rPr>
            <w:rStyle w:val="Hyperlink"/>
            <w:rFonts w:ascii="Corbel" w:hAnsi="Corbel" w:cs="Arial"/>
          </w:rPr>
          <w:t>Part 1 – Preliminaries</w:t>
        </w:r>
        <w:r>
          <w:rPr>
            <w:webHidden/>
          </w:rPr>
          <w:tab/>
        </w:r>
        <w:r>
          <w:rPr>
            <w:webHidden/>
          </w:rPr>
          <w:fldChar w:fldCharType="begin"/>
        </w:r>
        <w:r>
          <w:rPr>
            <w:webHidden/>
          </w:rPr>
          <w:instrText xml:space="preserve"> PAGEREF _Toc221088001 \h </w:instrText>
        </w:r>
        <w:r>
          <w:rPr>
            <w:webHidden/>
          </w:rPr>
        </w:r>
        <w:r>
          <w:rPr>
            <w:webHidden/>
          </w:rPr>
          <w:fldChar w:fldCharType="separate"/>
        </w:r>
        <w:r w:rsidR="007B754E">
          <w:rPr>
            <w:webHidden/>
          </w:rPr>
          <w:t>67</w:t>
        </w:r>
        <w:r>
          <w:rPr>
            <w:webHidden/>
          </w:rPr>
          <w:fldChar w:fldCharType="end"/>
        </w:r>
      </w:hyperlink>
    </w:p>
    <w:p w14:paraId="6E3DD135" w14:textId="7F72C9C7"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02" w:history="1">
        <w:r w:rsidRPr="00987BA6">
          <w:rPr>
            <w:rStyle w:val="Hyperlink"/>
            <w:rFonts w:ascii="Corbel" w:hAnsi="Corbel"/>
            <w:noProof/>
            <w:lang w:eastAsia="ja-JP"/>
          </w:rPr>
          <w:t>Recognition statement</w:t>
        </w:r>
        <w:r>
          <w:rPr>
            <w:noProof/>
            <w:webHidden/>
          </w:rPr>
          <w:tab/>
        </w:r>
        <w:r>
          <w:rPr>
            <w:noProof/>
            <w:webHidden/>
          </w:rPr>
          <w:fldChar w:fldCharType="begin"/>
        </w:r>
        <w:r>
          <w:rPr>
            <w:noProof/>
            <w:webHidden/>
          </w:rPr>
          <w:instrText xml:space="preserve"> PAGEREF _Toc221088002 \h </w:instrText>
        </w:r>
        <w:r>
          <w:rPr>
            <w:noProof/>
            <w:webHidden/>
          </w:rPr>
        </w:r>
        <w:r>
          <w:rPr>
            <w:noProof/>
            <w:webHidden/>
          </w:rPr>
          <w:fldChar w:fldCharType="separate"/>
        </w:r>
        <w:r w:rsidR="007B754E">
          <w:rPr>
            <w:noProof/>
            <w:webHidden/>
          </w:rPr>
          <w:t>67</w:t>
        </w:r>
        <w:r>
          <w:rPr>
            <w:noProof/>
            <w:webHidden/>
          </w:rPr>
          <w:fldChar w:fldCharType="end"/>
        </w:r>
      </w:hyperlink>
    </w:p>
    <w:p w14:paraId="548FBFF6" w14:textId="1C4AAA48"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03" w:history="1">
        <w:r w:rsidRPr="00987BA6">
          <w:rPr>
            <w:rStyle w:val="Hyperlink"/>
            <w:rFonts w:ascii="Corbel" w:hAnsi="Corbel"/>
            <w:noProof/>
            <w:lang w:eastAsia="ja-JP"/>
          </w:rPr>
          <w:t>Principles</w:t>
        </w:r>
        <w:r>
          <w:rPr>
            <w:noProof/>
            <w:webHidden/>
          </w:rPr>
          <w:tab/>
        </w:r>
        <w:r>
          <w:rPr>
            <w:noProof/>
            <w:webHidden/>
          </w:rPr>
          <w:fldChar w:fldCharType="begin"/>
        </w:r>
        <w:r>
          <w:rPr>
            <w:noProof/>
            <w:webHidden/>
          </w:rPr>
          <w:instrText xml:space="preserve"> PAGEREF _Toc221088003 \h </w:instrText>
        </w:r>
        <w:r>
          <w:rPr>
            <w:noProof/>
            <w:webHidden/>
          </w:rPr>
        </w:r>
        <w:r>
          <w:rPr>
            <w:noProof/>
            <w:webHidden/>
          </w:rPr>
          <w:fldChar w:fldCharType="separate"/>
        </w:r>
        <w:r w:rsidR="007B754E">
          <w:rPr>
            <w:noProof/>
            <w:webHidden/>
          </w:rPr>
          <w:t>68</w:t>
        </w:r>
        <w:r>
          <w:rPr>
            <w:noProof/>
            <w:webHidden/>
          </w:rPr>
          <w:fldChar w:fldCharType="end"/>
        </w:r>
      </w:hyperlink>
    </w:p>
    <w:p w14:paraId="29C414D0" w14:textId="1D73A379"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04" w:history="1">
        <w:r w:rsidRPr="00987BA6">
          <w:rPr>
            <w:rStyle w:val="Hyperlink"/>
            <w:rFonts w:ascii="Corbel" w:hAnsi="Corbel"/>
            <w:noProof/>
            <w:lang w:eastAsia="ja-JP"/>
          </w:rPr>
          <w:t>Objectives and Outcomes</w:t>
        </w:r>
        <w:r>
          <w:rPr>
            <w:noProof/>
            <w:webHidden/>
          </w:rPr>
          <w:tab/>
        </w:r>
        <w:r>
          <w:rPr>
            <w:noProof/>
            <w:webHidden/>
          </w:rPr>
          <w:fldChar w:fldCharType="begin"/>
        </w:r>
        <w:r>
          <w:rPr>
            <w:noProof/>
            <w:webHidden/>
          </w:rPr>
          <w:instrText xml:space="preserve"> PAGEREF _Toc221088004 \h </w:instrText>
        </w:r>
        <w:r>
          <w:rPr>
            <w:noProof/>
            <w:webHidden/>
          </w:rPr>
        </w:r>
        <w:r>
          <w:rPr>
            <w:noProof/>
            <w:webHidden/>
          </w:rPr>
          <w:fldChar w:fldCharType="separate"/>
        </w:r>
        <w:r w:rsidR="007B754E">
          <w:rPr>
            <w:noProof/>
            <w:webHidden/>
          </w:rPr>
          <w:t>69</w:t>
        </w:r>
        <w:r>
          <w:rPr>
            <w:noProof/>
            <w:webHidden/>
          </w:rPr>
          <w:fldChar w:fldCharType="end"/>
        </w:r>
      </w:hyperlink>
    </w:p>
    <w:p w14:paraId="625F3E3C" w14:textId="251C4F7B"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05" w:history="1">
        <w:r w:rsidRPr="00987BA6">
          <w:rPr>
            <w:rStyle w:val="Hyperlink"/>
            <w:rFonts w:ascii="Corbel" w:hAnsi="Corbel"/>
            <w:noProof/>
            <w:lang w:eastAsia="ja-JP"/>
          </w:rPr>
          <w:t>Commitments under agreed co-designed national Aboriginal and Torres Strait Islander health and wellbeing frameworks</w:t>
        </w:r>
        <w:r>
          <w:rPr>
            <w:noProof/>
            <w:webHidden/>
          </w:rPr>
          <w:tab/>
        </w:r>
        <w:r>
          <w:rPr>
            <w:noProof/>
            <w:webHidden/>
          </w:rPr>
          <w:fldChar w:fldCharType="begin"/>
        </w:r>
        <w:r>
          <w:rPr>
            <w:noProof/>
            <w:webHidden/>
          </w:rPr>
          <w:instrText xml:space="preserve"> PAGEREF _Toc221088005 \h </w:instrText>
        </w:r>
        <w:r>
          <w:rPr>
            <w:noProof/>
            <w:webHidden/>
          </w:rPr>
        </w:r>
        <w:r>
          <w:rPr>
            <w:noProof/>
            <w:webHidden/>
          </w:rPr>
          <w:fldChar w:fldCharType="separate"/>
        </w:r>
        <w:r w:rsidR="007B754E">
          <w:rPr>
            <w:noProof/>
            <w:webHidden/>
          </w:rPr>
          <w:t>69</w:t>
        </w:r>
        <w:r>
          <w:rPr>
            <w:noProof/>
            <w:webHidden/>
          </w:rPr>
          <w:fldChar w:fldCharType="end"/>
        </w:r>
      </w:hyperlink>
    </w:p>
    <w:p w14:paraId="7AE3795B" w14:textId="12373253"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06" w:history="1">
        <w:r w:rsidRPr="00987BA6">
          <w:rPr>
            <w:rStyle w:val="Hyperlink"/>
            <w:rFonts w:ascii="Corbel" w:hAnsi="Corbel" w:cs="Arial"/>
          </w:rPr>
          <w:t>Part 2 – Partnership and governance</w:t>
        </w:r>
        <w:r>
          <w:rPr>
            <w:webHidden/>
          </w:rPr>
          <w:tab/>
        </w:r>
        <w:r>
          <w:rPr>
            <w:webHidden/>
          </w:rPr>
          <w:fldChar w:fldCharType="begin"/>
        </w:r>
        <w:r>
          <w:rPr>
            <w:webHidden/>
          </w:rPr>
          <w:instrText xml:space="preserve"> PAGEREF _Toc221088006 \h </w:instrText>
        </w:r>
        <w:r>
          <w:rPr>
            <w:webHidden/>
          </w:rPr>
        </w:r>
        <w:r>
          <w:rPr>
            <w:webHidden/>
          </w:rPr>
          <w:fldChar w:fldCharType="separate"/>
        </w:r>
        <w:r w:rsidR="007B754E">
          <w:rPr>
            <w:webHidden/>
          </w:rPr>
          <w:t>71</w:t>
        </w:r>
        <w:r>
          <w:rPr>
            <w:webHidden/>
          </w:rPr>
          <w:fldChar w:fldCharType="end"/>
        </w:r>
      </w:hyperlink>
    </w:p>
    <w:p w14:paraId="03B3980A" w14:textId="0A03A7CD"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07" w:history="1">
        <w:r w:rsidRPr="00987BA6">
          <w:rPr>
            <w:rStyle w:val="Hyperlink"/>
            <w:rFonts w:ascii="Corbel" w:hAnsi="Corbel"/>
            <w:noProof/>
            <w:lang w:eastAsia="ja-JP"/>
          </w:rPr>
          <w:t>NHRA governance</w:t>
        </w:r>
        <w:r>
          <w:rPr>
            <w:noProof/>
            <w:webHidden/>
          </w:rPr>
          <w:tab/>
        </w:r>
        <w:r>
          <w:rPr>
            <w:noProof/>
            <w:webHidden/>
          </w:rPr>
          <w:fldChar w:fldCharType="begin"/>
        </w:r>
        <w:r>
          <w:rPr>
            <w:noProof/>
            <w:webHidden/>
          </w:rPr>
          <w:instrText xml:space="preserve"> PAGEREF _Toc221088007 \h </w:instrText>
        </w:r>
        <w:r>
          <w:rPr>
            <w:noProof/>
            <w:webHidden/>
          </w:rPr>
        </w:r>
        <w:r>
          <w:rPr>
            <w:noProof/>
            <w:webHidden/>
          </w:rPr>
          <w:fldChar w:fldCharType="separate"/>
        </w:r>
        <w:r w:rsidR="007B754E">
          <w:rPr>
            <w:noProof/>
            <w:webHidden/>
          </w:rPr>
          <w:t>71</w:t>
        </w:r>
        <w:r>
          <w:rPr>
            <w:noProof/>
            <w:webHidden/>
          </w:rPr>
          <w:fldChar w:fldCharType="end"/>
        </w:r>
      </w:hyperlink>
    </w:p>
    <w:p w14:paraId="1BDC7467" w14:textId="1521AD05"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08" w:history="1">
        <w:r w:rsidRPr="00987BA6">
          <w:rPr>
            <w:rStyle w:val="Hyperlink"/>
            <w:rFonts w:ascii="Corbel" w:hAnsi="Corbel"/>
            <w:noProof/>
            <w:lang w:eastAsia="ja-JP"/>
          </w:rPr>
          <w:t>Working in Partnerships with Aboriginal and Torres Strait Islander People</w:t>
        </w:r>
        <w:r>
          <w:rPr>
            <w:noProof/>
            <w:webHidden/>
          </w:rPr>
          <w:tab/>
        </w:r>
        <w:r>
          <w:rPr>
            <w:noProof/>
            <w:webHidden/>
          </w:rPr>
          <w:fldChar w:fldCharType="begin"/>
        </w:r>
        <w:r>
          <w:rPr>
            <w:noProof/>
            <w:webHidden/>
          </w:rPr>
          <w:instrText xml:space="preserve"> PAGEREF _Toc221088008 \h </w:instrText>
        </w:r>
        <w:r>
          <w:rPr>
            <w:noProof/>
            <w:webHidden/>
          </w:rPr>
        </w:r>
        <w:r>
          <w:rPr>
            <w:noProof/>
            <w:webHidden/>
          </w:rPr>
          <w:fldChar w:fldCharType="separate"/>
        </w:r>
        <w:r w:rsidR="007B754E">
          <w:rPr>
            <w:noProof/>
            <w:webHidden/>
          </w:rPr>
          <w:t>73</w:t>
        </w:r>
        <w:r>
          <w:rPr>
            <w:noProof/>
            <w:webHidden/>
          </w:rPr>
          <w:fldChar w:fldCharType="end"/>
        </w:r>
      </w:hyperlink>
    </w:p>
    <w:p w14:paraId="736A52CE" w14:textId="76A0DA9F"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09" w:history="1">
        <w:r w:rsidRPr="00987BA6">
          <w:rPr>
            <w:rStyle w:val="Hyperlink"/>
            <w:rFonts w:ascii="Corbel" w:hAnsi="Corbel"/>
            <w:noProof/>
            <w:lang w:eastAsia="ja-JP"/>
          </w:rPr>
          <w:t>National Aboriginal and Torres Strait Islander Health Collaboration (the Collaboration)</w:t>
        </w:r>
        <w:r>
          <w:rPr>
            <w:noProof/>
            <w:webHidden/>
          </w:rPr>
          <w:tab/>
        </w:r>
        <w:r>
          <w:rPr>
            <w:noProof/>
            <w:webHidden/>
          </w:rPr>
          <w:fldChar w:fldCharType="begin"/>
        </w:r>
        <w:r>
          <w:rPr>
            <w:noProof/>
            <w:webHidden/>
          </w:rPr>
          <w:instrText xml:space="preserve"> PAGEREF _Toc221088009 \h </w:instrText>
        </w:r>
        <w:r>
          <w:rPr>
            <w:noProof/>
            <w:webHidden/>
          </w:rPr>
        </w:r>
        <w:r>
          <w:rPr>
            <w:noProof/>
            <w:webHidden/>
          </w:rPr>
          <w:fldChar w:fldCharType="separate"/>
        </w:r>
        <w:r w:rsidR="007B754E">
          <w:rPr>
            <w:noProof/>
            <w:webHidden/>
          </w:rPr>
          <w:t>73</w:t>
        </w:r>
        <w:r>
          <w:rPr>
            <w:noProof/>
            <w:webHidden/>
          </w:rPr>
          <w:fldChar w:fldCharType="end"/>
        </w:r>
      </w:hyperlink>
    </w:p>
    <w:p w14:paraId="50F79C4D" w14:textId="76FCCAAF"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10" w:history="1">
        <w:r w:rsidRPr="00987BA6">
          <w:rPr>
            <w:rStyle w:val="Hyperlink"/>
            <w:rFonts w:ascii="Corbel" w:hAnsi="Corbel"/>
            <w:noProof/>
            <w:lang w:eastAsia="ja-JP"/>
          </w:rPr>
          <w:t>Aboriginal and Torres Strait Islander ('Indigenous') Data Sovereignty</w:t>
        </w:r>
        <w:r>
          <w:rPr>
            <w:noProof/>
            <w:webHidden/>
          </w:rPr>
          <w:tab/>
        </w:r>
        <w:r>
          <w:rPr>
            <w:noProof/>
            <w:webHidden/>
          </w:rPr>
          <w:fldChar w:fldCharType="begin"/>
        </w:r>
        <w:r>
          <w:rPr>
            <w:noProof/>
            <w:webHidden/>
          </w:rPr>
          <w:instrText xml:space="preserve"> PAGEREF _Toc221088010 \h </w:instrText>
        </w:r>
        <w:r>
          <w:rPr>
            <w:noProof/>
            <w:webHidden/>
          </w:rPr>
        </w:r>
        <w:r>
          <w:rPr>
            <w:noProof/>
            <w:webHidden/>
          </w:rPr>
          <w:fldChar w:fldCharType="separate"/>
        </w:r>
        <w:r w:rsidR="007B754E">
          <w:rPr>
            <w:noProof/>
            <w:webHidden/>
          </w:rPr>
          <w:t>74</w:t>
        </w:r>
        <w:r>
          <w:rPr>
            <w:noProof/>
            <w:webHidden/>
          </w:rPr>
          <w:fldChar w:fldCharType="end"/>
        </w:r>
      </w:hyperlink>
    </w:p>
    <w:p w14:paraId="46340C5D" w14:textId="0FEA02B2"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11" w:history="1">
        <w:r w:rsidRPr="00987BA6">
          <w:rPr>
            <w:rStyle w:val="Hyperlink"/>
            <w:rFonts w:ascii="Corbel" w:hAnsi="Corbel"/>
            <w:noProof/>
            <w:lang w:eastAsia="ja-JP"/>
          </w:rPr>
          <w:t>Accountability and Reporting</w:t>
        </w:r>
        <w:r>
          <w:rPr>
            <w:noProof/>
            <w:webHidden/>
          </w:rPr>
          <w:tab/>
        </w:r>
        <w:r>
          <w:rPr>
            <w:noProof/>
            <w:webHidden/>
          </w:rPr>
          <w:fldChar w:fldCharType="begin"/>
        </w:r>
        <w:r>
          <w:rPr>
            <w:noProof/>
            <w:webHidden/>
          </w:rPr>
          <w:instrText xml:space="preserve"> PAGEREF _Toc221088011 \h </w:instrText>
        </w:r>
        <w:r>
          <w:rPr>
            <w:noProof/>
            <w:webHidden/>
          </w:rPr>
        </w:r>
        <w:r>
          <w:rPr>
            <w:noProof/>
            <w:webHidden/>
          </w:rPr>
          <w:fldChar w:fldCharType="separate"/>
        </w:r>
        <w:r w:rsidR="007B754E">
          <w:rPr>
            <w:noProof/>
            <w:webHidden/>
          </w:rPr>
          <w:t>76</w:t>
        </w:r>
        <w:r>
          <w:rPr>
            <w:noProof/>
            <w:webHidden/>
          </w:rPr>
          <w:fldChar w:fldCharType="end"/>
        </w:r>
      </w:hyperlink>
    </w:p>
    <w:p w14:paraId="55CB362F" w14:textId="0F295C06"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12" w:history="1">
        <w:r w:rsidRPr="00987BA6">
          <w:rPr>
            <w:rStyle w:val="Hyperlink"/>
            <w:rFonts w:ascii="Corbel" w:hAnsi="Corbel"/>
            <w:noProof/>
            <w:lang w:eastAsia="ja-JP"/>
          </w:rPr>
          <w:t>National Bodies</w:t>
        </w:r>
        <w:r>
          <w:rPr>
            <w:noProof/>
            <w:webHidden/>
          </w:rPr>
          <w:tab/>
        </w:r>
        <w:r>
          <w:rPr>
            <w:noProof/>
            <w:webHidden/>
          </w:rPr>
          <w:fldChar w:fldCharType="begin"/>
        </w:r>
        <w:r>
          <w:rPr>
            <w:noProof/>
            <w:webHidden/>
          </w:rPr>
          <w:instrText xml:space="preserve"> PAGEREF _Toc221088012 \h </w:instrText>
        </w:r>
        <w:r>
          <w:rPr>
            <w:noProof/>
            <w:webHidden/>
          </w:rPr>
        </w:r>
        <w:r>
          <w:rPr>
            <w:noProof/>
            <w:webHidden/>
          </w:rPr>
          <w:fldChar w:fldCharType="separate"/>
        </w:r>
        <w:r w:rsidR="007B754E">
          <w:rPr>
            <w:noProof/>
            <w:webHidden/>
          </w:rPr>
          <w:t>77</w:t>
        </w:r>
        <w:r>
          <w:rPr>
            <w:noProof/>
            <w:webHidden/>
          </w:rPr>
          <w:fldChar w:fldCharType="end"/>
        </w:r>
      </w:hyperlink>
    </w:p>
    <w:p w14:paraId="6FEA8037" w14:textId="08293018"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13" w:history="1">
        <w:r w:rsidRPr="00987BA6">
          <w:rPr>
            <w:rStyle w:val="Hyperlink"/>
            <w:rFonts w:ascii="Corbel" w:hAnsi="Corbel" w:cs="Arial"/>
          </w:rPr>
          <w:t>Part 3 – Health equity</w:t>
        </w:r>
        <w:r>
          <w:rPr>
            <w:webHidden/>
          </w:rPr>
          <w:tab/>
        </w:r>
        <w:r>
          <w:rPr>
            <w:webHidden/>
          </w:rPr>
          <w:fldChar w:fldCharType="begin"/>
        </w:r>
        <w:r>
          <w:rPr>
            <w:webHidden/>
          </w:rPr>
          <w:instrText xml:space="preserve"> PAGEREF _Toc221088013 \h </w:instrText>
        </w:r>
        <w:r>
          <w:rPr>
            <w:webHidden/>
          </w:rPr>
        </w:r>
        <w:r>
          <w:rPr>
            <w:webHidden/>
          </w:rPr>
          <w:fldChar w:fldCharType="separate"/>
        </w:r>
        <w:r w:rsidR="007B754E">
          <w:rPr>
            <w:webHidden/>
          </w:rPr>
          <w:t>78</w:t>
        </w:r>
        <w:r>
          <w:rPr>
            <w:webHidden/>
          </w:rPr>
          <w:fldChar w:fldCharType="end"/>
        </w:r>
      </w:hyperlink>
    </w:p>
    <w:p w14:paraId="1245A157" w14:textId="7DD7A745"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14" w:history="1">
        <w:r w:rsidRPr="00987BA6">
          <w:rPr>
            <w:rStyle w:val="Hyperlink"/>
            <w:rFonts w:ascii="Corbel" w:hAnsi="Corbel"/>
            <w:noProof/>
            <w:lang w:eastAsia="ja-JP"/>
          </w:rPr>
          <w:t>Health Equity</w:t>
        </w:r>
        <w:r>
          <w:rPr>
            <w:noProof/>
            <w:webHidden/>
          </w:rPr>
          <w:tab/>
        </w:r>
        <w:r>
          <w:rPr>
            <w:noProof/>
            <w:webHidden/>
          </w:rPr>
          <w:fldChar w:fldCharType="begin"/>
        </w:r>
        <w:r>
          <w:rPr>
            <w:noProof/>
            <w:webHidden/>
          </w:rPr>
          <w:instrText xml:space="preserve"> PAGEREF _Toc221088014 \h </w:instrText>
        </w:r>
        <w:r>
          <w:rPr>
            <w:noProof/>
            <w:webHidden/>
          </w:rPr>
        </w:r>
        <w:r>
          <w:rPr>
            <w:noProof/>
            <w:webHidden/>
          </w:rPr>
          <w:fldChar w:fldCharType="separate"/>
        </w:r>
        <w:r w:rsidR="007B754E">
          <w:rPr>
            <w:noProof/>
            <w:webHidden/>
          </w:rPr>
          <w:t>78</w:t>
        </w:r>
        <w:r>
          <w:rPr>
            <w:noProof/>
            <w:webHidden/>
          </w:rPr>
          <w:fldChar w:fldCharType="end"/>
        </w:r>
      </w:hyperlink>
    </w:p>
    <w:p w14:paraId="144B34B0" w14:textId="0691C8D2"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15" w:history="1">
        <w:r w:rsidRPr="00987BA6">
          <w:rPr>
            <w:rStyle w:val="Hyperlink"/>
            <w:rFonts w:ascii="Corbel" w:hAnsi="Corbel" w:cs="Arial"/>
          </w:rPr>
          <w:t>Part 4 – Culturally safe health care</w:t>
        </w:r>
        <w:r>
          <w:rPr>
            <w:webHidden/>
          </w:rPr>
          <w:tab/>
        </w:r>
        <w:r>
          <w:rPr>
            <w:webHidden/>
          </w:rPr>
          <w:fldChar w:fldCharType="begin"/>
        </w:r>
        <w:r>
          <w:rPr>
            <w:webHidden/>
          </w:rPr>
          <w:instrText xml:space="preserve"> PAGEREF _Toc221088015 \h </w:instrText>
        </w:r>
        <w:r>
          <w:rPr>
            <w:webHidden/>
          </w:rPr>
        </w:r>
        <w:r>
          <w:rPr>
            <w:webHidden/>
          </w:rPr>
          <w:fldChar w:fldCharType="separate"/>
        </w:r>
        <w:r w:rsidR="007B754E">
          <w:rPr>
            <w:webHidden/>
          </w:rPr>
          <w:t>78</w:t>
        </w:r>
        <w:r>
          <w:rPr>
            <w:webHidden/>
          </w:rPr>
          <w:fldChar w:fldCharType="end"/>
        </w:r>
      </w:hyperlink>
    </w:p>
    <w:p w14:paraId="2431129D" w14:textId="09EC756C"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16" w:history="1">
        <w:r w:rsidRPr="00987BA6">
          <w:rPr>
            <w:rStyle w:val="Hyperlink"/>
            <w:rFonts w:ascii="Corbel" w:hAnsi="Corbel"/>
            <w:noProof/>
            <w:lang w:eastAsia="ja-JP"/>
          </w:rPr>
          <w:t>Cultural Safety and Racism</w:t>
        </w:r>
        <w:r>
          <w:rPr>
            <w:noProof/>
            <w:webHidden/>
          </w:rPr>
          <w:tab/>
        </w:r>
        <w:r>
          <w:rPr>
            <w:noProof/>
            <w:webHidden/>
          </w:rPr>
          <w:fldChar w:fldCharType="begin"/>
        </w:r>
        <w:r>
          <w:rPr>
            <w:noProof/>
            <w:webHidden/>
          </w:rPr>
          <w:instrText xml:space="preserve"> PAGEREF _Toc221088016 \h </w:instrText>
        </w:r>
        <w:r>
          <w:rPr>
            <w:noProof/>
            <w:webHidden/>
          </w:rPr>
        </w:r>
        <w:r>
          <w:rPr>
            <w:noProof/>
            <w:webHidden/>
          </w:rPr>
          <w:fldChar w:fldCharType="separate"/>
        </w:r>
        <w:r w:rsidR="007B754E">
          <w:rPr>
            <w:noProof/>
            <w:webHidden/>
          </w:rPr>
          <w:t>78</w:t>
        </w:r>
        <w:r>
          <w:rPr>
            <w:noProof/>
            <w:webHidden/>
          </w:rPr>
          <w:fldChar w:fldCharType="end"/>
        </w:r>
      </w:hyperlink>
    </w:p>
    <w:p w14:paraId="09A3E03D" w14:textId="65ED7247"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17" w:history="1">
        <w:r w:rsidRPr="00987BA6">
          <w:rPr>
            <w:rStyle w:val="Hyperlink"/>
            <w:rFonts w:ascii="Corbel" w:hAnsi="Corbel"/>
            <w:noProof/>
            <w:lang w:eastAsia="ja-JP"/>
          </w:rPr>
          <w:t>Prioritising the ACCHO Sector</w:t>
        </w:r>
        <w:r>
          <w:rPr>
            <w:noProof/>
            <w:webHidden/>
          </w:rPr>
          <w:tab/>
        </w:r>
        <w:r>
          <w:rPr>
            <w:noProof/>
            <w:webHidden/>
          </w:rPr>
          <w:fldChar w:fldCharType="begin"/>
        </w:r>
        <w:r>
          <w:rPr>
            <w:noProof/>
            <w:webHidden/>
          </w:rPr>
          <w:instrText xml:space="preserve"> PAGEREF _Toc221088017 \h </w:instrText>
        </w:r>
        <w:r>
          <w:rPr>
            <w:noProof/>
            <w:webHidden/>
          </w:rPr>
        </w:r>
        <w:r>
          <w:rPr>
            <w:noProof/>
            <w:webHidden/>
          </w:rPr>
          <w:fldChar w:fldCharType="separate"/>
        </w:r>
        <w:r w:rsidR="007B754E">
          <w:rPr>
            <w:noProof/>
            <w:webHidden/>
          </w:rPr>
          <w:t>80</w:t>
        </w:r>
        <w:r>
          <w:rPr>
            <w:noProof/>
            <w:webHidden/>
          </w:rPr>
          <w:fldChar w:fldCharType="end"/>
        </w:r>
      </w:hyperlink>
    </w:p>
    <w:p w14:paraId="6EDE3769" w14:textId="56EFE8AE"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18" w:history="1">
        <w:r w:rsidRPr="00987BA6">
          <w:rPr>
            <w:rStyle w:val="Hyperlink"/>
            <w:rFonts w:ascii="Corbel" w:hAnsi="Corbel"/>
            <w:noProof/>
            <w:lang w:eastAsia="ja-JP"/>
          </w:rPr>
          <w:t>Funding Reform</w:t>
        </w:r>
        <w:r>
          <w:rPr>
            <w:noProof/>
            <w:webHidden/>
          </w:rPr>
          <w:tab/>
        </w:r>
        <w:r>
          <w:rPr>
            <w:noProof/>
            <w:webHidden/>
          </w:rPr>
          <w:fldChar w:fldCharType="begin"/>
        </w:r>
        <w:r>
          <w:rPr>
            <w:noProof/>
            <w:webHidden/>
          </w:rPr>
          <w:instrText xml:space="preserve"> PAGEREF _Toc221088018 \h </w:instrText>
        </w:r>
        <w:r>
          <w:rPr>
            <w:noProof/>
            <w:webHidden/>
          </w:rPr>
        </w:r>
        <w:r>
          <w:rPr>
            <w:noProof/>
            <w:webHidden/>
          </w:rPr>
          <w:fldChar w:fldCharType="separate"/>
        </w:r>
        <w:r w:rsidR="007B754E">
          <w:rPr>
            <w:noProof/>
            <w:webHidden/>
          </w:rPr>
          <w:t>81</w:t>
        </w:r>
        <w:r>
          <w:rPr>
            <w:noProof/>
            <w:webHidden/>
          </w:rPr>
          <w:fldChar w:fldCharType="end"/>
        </w:r>
      </w:hyperlink>
    </w:p>
    <w:p w14:paraId="5E009A46" w14:textId="38A9DE06"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19" w:history="1">
        <w:r w:rsidRPr="00987BA6">
          <w:rPr>
            <w:rStyle w:val="Hyperlink"/>
            <w:rFonts w:ascii="Corbel" w:hAnsi="Corbel"/>
            <w:noProof/>
            <w:lang w:eastAsia="ja-JP"/>
          </w:rPr>
          <w:t>Workforce</w:t>
        </w:r>
        <w:r>
          <w:rPr>
            <w:noProof/>
            <w:webHidden/>
          </w:rPr>
          <w:tab/>
        </w:r>
        <w:r>
          <w:rPr>
            <w:noProof/>
            <w:webHidden/>
          </w:rPr>
          <w:fldChar w:fldCharType="begin"/>
        </w:r>
        <w:r>
          <w:rPr>
            <w:noProof/>
            <w:webHidden/>
          </w:rPr>
          <w:instrText xml:space="preserve"> PAGEREF _Toc221088019 \h </w:instrText>
        </w:r>
        <w:r>
          <w:rPr>
            <w:noProof/>
            <w:webHidden/>
          </w:rPr>
        </w:r>
        <w:r>
          <w:rPr>
            <w:noProof/>
            <w:webHidden/>
          </w:rPr>
          <w:fldChar w:fldCharType="separate"/>
        </w:r>
        <w:r w:rsidR="007B754E">
          <w:rPr>
            <w:noProof/>
            <w:webHidden/>
          </w:rPr>
          <w:t>81</w:t>
        </w:r>
        <w:r>
          <w:rPr>
            <w:noProof/>
            <w:webHidden/>
          </w:rPr>
          <w:fldChar w:fldCharType="end"/>
        </w:r>
      </w:hyperlink>
    </w:p>
    <w:p w14:paraId="582B5542" w14:textId="010B486A"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20" w:history="1">
        <w:r w:rsidRPr="00987BA6">
          <w:rPr>
            <w:rStyle w:val="Hyperlink"/>
            <w:rFonts w:ascii="Corbel" w:hAnsi="Corbel" w:cs="Arial"/>
          </w:rPr>
          <w:t>Part 5 – Terminology</w:t>
        </w:r>
        <w:r>
          <w:rPr>
            <w:webHidden/>
          </w:rPr>
          <w:tab/>
        </w:r>
        <w:r>
          <w:rPr>
            <w:webHidden/>
          </w:rPr>
          <w:fldChar w:fldCharType="begin"/>
        </w:r>
        <w:r>
          <w:rPr>
            <w:webHidden/>
          </w:rPr>
          <w:instrText xml:space="preserve"> PAGEREF _Toc221088020 \h </w:instrText>
        </w:r>
        <w:r>
          <w:rPr>
            <w:webHidden/>
          </w:rPr>
        </w:r>
        <w:r>
          <w:rPr>
            <w:webHidden/>
          </w:rPr>
          <w:fldChar w:fldCharType="separate"/>
        </w:r>
        <w:r w:rsidR="007B754E">
          <w:rPr>
            <w:webHidden/>
          </w:rPr>
          <w:t>82</w:t>
        </w:r>
        <w:r>
          <w:rPr>
            <w:webHidden/>
          </w:rPr>
          <w:fldChar w:fldCharType="end"/>
        </w:r>
      </w:hyperlink>
    </w:p>
    <w:p w14:paraId="1172990D" w14:textId="130383B6" w:rsidR="00F150F9" w:rsidRDefault="00F150F9">
      <w:pPr>
        <w:pStyle w:val="TOC1"/>
        <w:rPr>
          <w:rFonts w:asciiTheme="minorHAnsi" w:eastAsiaTheme="minorEastAsia" w:hAnsiTheme="minorHAnsi" w:cstheme="minorBidi"/>
          <w:b w:val="0"/>
          <w:kern w:val="2"/>
          <w:sz w:val="24"/>
          <w:szCs w:val="24"/>
          <w14:ligatures w14:val="standardContextual"/>
        </w:rPr>
      </w:pPr>
      <w:hyperlink w:anchor="_Toc221088021" w:history="1">
        <w:r w:rsidRPr="00987BA6">
          <w:rPr>
            <w:rStyle w:val="Hyperlink"/>
            <w:rFonts w:eastAsia="Times New Roman" w:cs="Arial"/>
            <w:caps/>
            <w:kern w:val="32"/>
          </w:rPr>
          <w:t>SCHEDULE C – System interface reform</w:t>
        </w:r>
        <w:r>
          <w:rPr>
            <w:webHidden/>
          </w:rPr>
          <w:tab/>
        </w:r>
        <w:r>
          <w:rPr>
            <w:webHidden/>
          </w:rPr>
          <w:fldChar w:fldCharType="begin"/>
        </w:r>
        <w:r>
          <w:rPr>
            <w:webHidden/>
          </w:rPr>
          <w:instrText xml:space="preserve"> PAGEREF _Toc221088021 \h </w:instrText>
        </w:r>
        <w:r>
          <w:rPr>
            <w:webHidden/>
          </w:rPr>
        </w:r>
        <w:r>
          <w:rPr>
            <w:webHidden/>
          </w:rPr>
          <w:fldChar w:fldCharType="separate"/>
        </w:r>
        <w:r w:rsidR="007B754E">
          <w:rPr>
            <w:webHidden/>
          </w:rPr>
          <w:t>88</w:t>
        </w:r>
        <w:r>
          <w:rPr>
            <w:webHidden/>
          </w:rPr>
          <w:fldChar w:fldCharType="end"/>
        </w:r>
      </w:hyperlink>
    </w:p>
    <w:p w14:paraId="7466338E" w14:textId="2BA0473D"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22" w:history="1">
        <w:r w:rsidRPr="00987BA6">
          <w:rPr>
            <w:rStyle w:val="Hyperlink"/>
            <w:rFonts w:ascii="Corbel" w:hAnsi="Corbel" w:cs="Arial"/>
          </w:rPr>
          <w:t>Roles and responsibilities</w:t>
        </w:r>
        <w:r>
          <w:rPr>
            <w:webHidden/>
          </w:rPr>
          <w:tab/>
        </w:r>
        <w:r>
          <w:rPr>
            <w:webHidden/>
          </w:rPr>
          <w:fldChar w:fldCharType="begin"/>
        </w:r>
        <w:r>
          <w:rPr>
            <w:webHidden/>
          </w:rPr>
          <w:instrText xml:space="preserve"> PAGEREF _Toc221088022 \h </w:instrText>
        </w:r>
        <w:r>
          <w:rPr>
            <w:webHidden/>
          </w:rPr>
        </w:r>
        <w:r>
          <w:rPr>
            <w:webHidden/>
          </w:rPr>
          <w:fldChar w:fldCharType="separate"/>
        </w:r>
        <w:r w:rsidR="007B754E">
          <w:rPr>
            <w:webHidden/>
          </w:rPr>
          <w:t>90</w:t>
        </w:r>
        <w:r>
          <w:rPr>
            <w:webHidden/>
          </w:rPr>
          <w:fldChar w:fldCharType="end"/>
        </w:r>
      </w:hyperlink>
    </w:p>
    <w:p w14:paraId="0FD4B265" w14:textId="42FF923F"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23" w:history="1">
        <w:r w:rsidRPr="00987BA6">
          <w:rPr>
            <w:rStyle w:val="Hyperlink"/>
            <w:rFonts w:ascii="Corbel" w:hAnsi="Corbel" w:cs="Arial"/>
          </w:rPr>
          <w:t>Monitoring supply of services to identify interface issues early</w:t>
        </w:r>
        <w:r>
          <w:rPr>
            <w:webHidden/>
          </w:rPr>
          <w:tab/>
        </w:r>
        <w:r>
          <w:rPr>
            <w:webHidden/>
          </w:rPr>
          <w:fldChar w:fldCharType="begin"/>
        </w:r>
        <w:r>
          <w:rPr>
            <w:webHidden/>
          </w:rPr>
          <w:instrText xml:space="preserve"> PAGEREF _Toc221088023 \h </w:instrText>
        </w:r>
        <w:r>
          <w:rPr>
            <w:webHidden/>
          </w:rPr>
        </w:r>
        <w:r>
          <w:rPr>
            <w:webHidden/>
          </w:rPr>
          <w:fldChar w:fldCharType="separate"/>
        </w:r>
        <w:r w:rsidR="007B754E">
          <w:rPr>
            <w:webHidden/>
          </w:rPr>
          <w:t>93</w:t>
        </w:r>
        <w:r>
          <w:rPr>
            <w:webHidden/>
          </w:rPr>
          <w:fldChar w:fldCharType="end"/>
        </w:r>
      </w:hyperlink>
    </w:p>
    <w:p w14:paraId="6DCC7E11" w14:textId="79498E62"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24" w:history="1">
        <w:r w:rsidRPr="00987BA6">
          <w:rPr>
            <w:rStyle w:val="Hyperlink"/>
            <w:rFonts w:ascii="Corbel" w:hAnsi="Corbel" w:cs="Arial"/>
          </w:rPr>
          <w:t>Governance and escalation pathways</w:t>
        </w:r>
        <w:r>
          <w:rPr>
            <w:webHidden/>
          </w:rPr>
          <w:tab/>
        </w:r>
        <w:r>
          <w:rPr>
            <w:webHidden/>
          </w:rPr>
          <w:fldChar w:fldCharType="begin"/>
        </w:r>
        <w:r>
          <w:rPr>
            <w:webHidden/>
          </w:rPr>
          <w:instrText xml:space="preserve"> PAGEREF _Toc221088024 \h </w:instrText>
        </w:r>
        <w:r>
          <w:rPr>
            <w:webHidden/>
          </w:rPr>
        </w:r>
        <w:r>
          <w:rPr>
            <w:webHidden/>
          </w:rPr>
          <w:fldChar w:fldCharType="separate"/>
        </w:r>
        <w:r w:rsidR="007B754E">
          <w:rPr>
            <w:webHidden/>
          </w:rPr>
          <w:t>93</w:t>
        </w:r>
        <w:r>
          <w:rPr>
            <w:webHidden/>
          </w:rPr>
          <w:fldChar w:fldCharType="end"/>
        </w:r>
      </w:hyperlink>
    </w:p>
    <w:p w14:paraId="590D46EA" w14:textId="0C7CCE22"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25" w:history="1">
        <w:r w:rsidRPr="00987BA6">
          <w:rPr>
            <w:rStyle w:val="Hyperlink"/>
            <w:rFonts w:ascii="Corbel" w:eastAsia="Times New Roman" w:hAnsi="Corbel"/>
            <w:noProof/>
            <w:lang w:eastAsia="ja-JP"/>
          </w:rPr>
          <w:t>Mechanisms to support continuity of aged care services</w:t>
        </w:r>
        <w:r>
          <w:rPr>
            <w:noProof/>
            <w:webHidden/>
          </w:rPr>
          <w:tab/>
        </w:r>
        <w:r>
          <w:rPr>
            <w:noProof/>
            <w:webHidden/>
          </w:rPr>
          <w:fldChar w:fldCharType="begin"/>
        </w:r>
        <w:r>
          <w:rPr>
            <w:noProof/>
            <w:webHidden/>
          </w:rPr>
          <w:instrText xml:space="preserve"> PAGEREF _Toc221088025 \h </w:instrText>
        </w:r>
        <w:r>
          <w:rPr>
            <w:noProof/>
            <w:webHidden/>
          </w:rPr>
        </w:r>
        <w:r>
          <w:rPr>
            <w:noProof/>
            <w:webHidden/>
          </w:rPr>
          <w:fldChar w:fldCharType="separate"/>
        </w:r>
        <w:r w:rsidR="007B754E">
          <w:rPr>
            <w:noProof/>
            <w:webHidden/>
          </w:rPr>
          <w:t>97</w:t>
        </w:r>
        <w:r>
          <w:rPr>
            <w:noProof/>
            <w:webHidden/>
          </w:rPr>
          <w:fldChar w:fldCharType="end"/>
        </w:r>
      </w:hyperlink>
    </w:p>
    <w:p w14:paraId="6D6658D8" w14:textId="3999AB06"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26" w:history="1">
        <w:r w:rsidRPr="00987BA6">
          <w:rPr>
            <w:rStyle w:val="Hyperlink"/>
            <w:rFonts w:ascii="Corbel" w:eastAsia="Times New Roman" w:hAnsi="Corbel"/>
            <w:noProof/>
            <w:lang w:eastAsia="ja-JP"/>
          </w:rPr>
          <w:t>Mechanisms to support continuity of disability services</w:t>
        </w:r>
        <w:r>
          <w:rPr>
            <w:noProof/>
            <w:webHidden/>
          </w:rPr>
          <w:tab/>
        </w:r>
        <w:r>
          <w:rPr>
            <w:noProof/>
            <w:webHidden/>
          </w:rPr>
          <w:fldChar w:fldCharType="begin"/>
        </w:r>
        <w:r>
          <w:rPr>
            <w:noProof/>
            <w:webHidden/>
          </w:rPr>
          <w:instrText xml:space="preserve"> PAGEREF _Toc221088026 \h </w:instrText>
        </w:r>
        <w:r>
          <w:rPr>
            <w:noProof/>
            <w:webHidden/>
          </w:rPr>
        </w:r>
        <w:r>
          <w:rPr>
            <w:noProof/>
            <w:webHidden/>
          </w:rPr>
          <w:fldChar w:fldCharType="separate"/>
        </w:r>
        <w:r w:rsidR="007B754E">
          <w:rPr>
            <w:noProof/>
            <w:webHidden/>
          </w:rPr>
          <w:t>97</w:t>
        </w:r>
        <w:r>
          <w:rPr>
            <w:noProof/>
            <w:webHidden/>
          </w:rPr>
          <w:fldChar w:fldCharType="end"/>
        </w:r>
      </w:hyperlink>
    </w:p>
    <w:p w14:paraId="0A6B4E82" w14:textId="3A3F0254"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27" w:history="1">
        <w:r w:rsidRPr="00987BA6">
          <w:rPr>
            <w:rStyle w:val="Hyperlink"/>
            <w:rFonts w:ascii="Corbel" w:hAnsi="Corbel" w:cs="Arial"/>
          </w:rPr>
          <w:t>Digital enablement of interface transitions</w:t>
        </w:r>
        <w:r>
          <w:rPr>
            <w:webHidden/>
          </w:rPr>
          <w:tab/>
        </w:r>
        <w:r>
          <w:rPr>
            <w:webHidden/>
          </w:rPr>
          <w:fldChar w:fldCharType="begin"/>
        </w:r>
        <w:r>
          <w:rPr>
            <w:webHidden/>
          </w:rPr>
          <w:instrText xml:space="preserve"> PAGEREF _Toc221088027 \h </w:instrText>
        </w:r>
        <w:r>
          <w:rPr>
            <w:webHidden/>
          </w:rPr>
        </w:r>
        <w:r>
          <w:rPr>
            <w:webHidden/>
          </w:rPr>
          <w:fldChar w:fldCharType="separate"/>
        </w:r>
        <w:r w:rsidR="007B754E">
          <w:rPr>
            <w:webHidden/>
          </w:rPr>
          <w:t>98</w:t>
        </w:r>
        <w:r>
          <w:rPr>
            <w:webHidden/>
          </w:rPr>
          <w:fldChar w:fldCharType="end"/>
        </w:r>
      </w:hyperlink>
    </w:p>
    <w:p w14:paraId="51AF8467" w14:textId="74F0F900"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28" w:history="1">
        <w:r w:rsidRPr="00987BA6">
          <w:rPr>
            <w:rStyle w:val="Hyperlink"/>
            <w:rFonts w:ascii="Corbel" w:eastAsia="Times New Roman" w:hAnsi="Corbel"/>
            <w:noProof/>
            <w:lang w:eastAsia="ja-JP"/>
          </w:rPr>
          <w:t>Mechanisms to support smooth client transitions</w:t>
        </w:r>
        <w:r>
          <w:rPr>
            <w:noProof/>
            <w:webHidden/>
          </w:rPr>
          <w:tab/>
        </w:r>
        <w:r>
          <w:rPr>
            <w:noProof/>
            <w:webHidden/>
          </w:rPr>
          <w:fldChar w:fldCharType="begin"/>
        </w:r>
        <w:r>
          <w:rPr>
            <w:noProof/>
            <w:webHidden/>
          </w:rPr>
          <w:instrText xml:space="preserve"> PAGEREF _Toc221088028 \h </w:instrText>
        </w:r>
        <w:r>
          <w:rPr>
            <w:noProof/>
            <w:webHidden/>
          </w:rPr>
        </w:r>
        <w:r>
          <w:rPr>
            <w:noProof/>
            <w:webHidden/>
          </w:rPr>
          <w:fldChar w:fldCharType="separate"/>
        </w:r>
        <w:r w:rsidR="007B754E">
          <w:rPr>
            <w:noProof/>
            <w:webHidden/>
          </w:rPr>
          <w:t>98</w:t>
        </w:r>
        <w:r>
          <w:rPr>
            <w:noProof/>
            <w:webHidden/>
          </w:rPr>
          <w:fldChar w:fldCharType="end"/>
        </w:r>
      </w:hyperlink>
    </w:p>
    <w:p w14:paraId="55773F94" w14:textId="59B421A5"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29" w:history="1">
        <w:r w:rsidRPr="00987BA6">
          <w:rPr>
            <w:rStyle w:val="Hyperlink"/>
            <w:rFonts w:ascii="Corbel" w:hAnsi="Corbel" w:cs="Arial"/>
          </w:rPr>
          <w:t>Interface data and performance monitoring</w:t>
        </w:r>
        <w:r>
          <w:rPr>
            <w:webHidden/>
          </w:rPr>
          <w:tab/>
        </w:r>
        <w:r>
          <w:rPr>
            <w:webHidden/>
          </w:rPr>
          <w:fldChar w:fldCharType="begin"/>
        </w:r>
        <w:r>
          <w:rPr>
            <w:webHidden/>
          </w:rPr>
          <w:instrText xml:space="preserve"> PAGEREF _Toc221088029 \h </w:instrText>
        </w:r>
        <w:r>
          <w:rPr>
            <w:webHidden/>
          </w:rPr>
        </w:r>
        <w:r>
          <w:rPr>
            <w:webHidden/>
          </w:rPr>
          <w:fldChar w:fldCharType="separate"/>
        </w:r>
        <w:r w:rsidR="007B754E">
          <w:rPr>
            <w:webHidden/>
          </w:rPr>
          <w:t>98</w:t>
        </w:r>
        <w:r>
          <w:rPr>
            <w:webHidden/>
          </w:rPr>
          <w:fldChar w:fldCharType="end"/>
        </w:r>
      </w:hyperlink>
    </w:p>
    <w:p w14:paraId="5ACEFAA3" w14:textId="1531BD0C"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30" w:history="1">
        <w:r w:rsidRPr="00987BA6">
          <w:rPr>
            <w:rStyle w:val="Hyperlink"/>
            <w:rFonts w:ascii="Corbel" w:eastAsia="Times New Roman" w:hAnsi="Corbel"/>
            <w:noProof/>
            <w:lang w:eastAsia="ja-JP"/>
          </w:rPr>
          <w:t>Strengthening consistent and regular delayed discharge of older patient data</w:t>
        </w:r>
        <w:r>
          <w:rPr>
            <w:noProof/>
            <w:webHidden/>
          </w:rPr>
          <w:tab/>
        </w:r>
        <w:r>
          <w:rPr>
            <w:noProof/>
            <w:webHidden/>
          </w:rPr>
          <w:fldChar w:fldCharType="begin"/>
        </w:r>
        <w:r>
          <w:rPr>
            <w:noProof/>
            <w:webHidden/>
          </w:rPr>
          <w:instrText xml:space="preserve"> PAGEREF _Toc221088030 \h </w:instrText>
        </w:r>
        <w:r>
          <w:rPr>
            <w:noProof/>
            <w:webHidden/>
          </w:rPr>
        </w:r>
        <w:r>
          <w:rPr>
            <w:noProof/>
            <w:webHidden/>
          </w:rPr>
          <w:fldChar w:fldCharType="separate"/>
        </w:r>
        <w:r w:rsidR="007B754E">
          <w:rPr>
            <w:noProof/>
            <w:webHidden/>
          </w:rPr>
          <w:t>99</w:t>
        </w:r>
        <w:r>
          <w:rPr>
            <w:noProof/>
            <w:webHidden/>
          </w:rPr>
          <w:fldChar w:fldCharType="end"/>
        </w:r>
      </w:hyperlink>
    </w:p>
    <w:p w14:paraId="5172324E" w14:textId="774B9B1E"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31" w:history="1">
        <w:r w:rsidRPr="00987BA6">
          <w:rPr>
            <w:rStyle w:val="Hyperlink"/>
            <w:rFonts w:ascii="Corbel" w:hAnsi="Corbel" w:cs="Arial"/>
          </w:rPr>
          <w:t>Further work to commence during the Addendum</w:t>
        </w:r>
        <w:r>
          <w:rPr>
            <w:webHidden/>
          </w:rPr>
          <w:tab/>
        </w:r>
        <w:r>
          <w:rPr>
            <w:webHidden/>
          </w:rPr>
          <w:fldChar w:fldCharType="begin"/>
        </w:r>
        <w:r>
          <w:rPr>
            <w:webHidden/>
          </w:rPr>
          <w:instrText xml:space="preserve"> PAGEREF _Toc221088031 \h </w:instrText>
        </w:r>
        <w:r>
          <w:rPr>
            <w:webHidden/>
          </w:rPr>
        </w:r>
        <w:r>
          <w:rPr>
            <w:webHidden/>
          </w:rPr>
          <w:fldChar w:fldCharType="separate"/>
        </w:r>
        <w:r w:rsidR="007B754E">
          <w:rPr>
            <w:webHidden/>
          </w:rPr>
          <w:t>101</w:t>
        </w:r>
        <w:r>
          <w:rPr>
            <w:webHidden/>
          </w:rPr>
          <w:fldChar w:fldCharType="end"/>
        </w:r>
      </w:hyperlink>
    </w:p>
    <w:p w14:paraId="2500B42D" w14:textId="26ECB168" w:rsidR="00F150F9" w:rsidRDefault="00F150F9">
      <w:pPr>
        <w:pStyle w:val="TOC1"/>
        <w:rPr>
          <w:rFonts w:asciiTheme="minorHAnsi" w:eastAsiaTheme="minorEastAsia" w:hAnsiTheme="minorHAnsi" w:cstheme="minorBidi"/>
          <w:b w:val="0"/>
          <w:kern w:val="2"/>
          <w:sz w:val="24"/>
          <w:szCs w:val="24"/>
          <w14:ligatures w14:val="standardContextual"/>
        </w:rPr>
      </w:pPr>
      <w:hyperlink w:anchor="_Toc221088032" w:history="1">
        <w:r w:rsidRPr="00987BA6">
          <w:rPr>
            <w:rStyle w:val="Hyperlink"/>
            <w:rFonts w:eastAsia="Times New Roman" w:cs="Arial"/>
            <w:caps/>
            <w:kern w:val="32"/>
          </w:rPr>
          <w:t>SCHEDULE D – Transforming service delivery</w:t>
        </w:r>
        <w:r>
          <w:rPr>
            <w:webHidden/>
          </w:rPr>
          <w:tab/>
        </w:r>
        <w:r>
          <w:rPr>
            <w:webHidden/>
          </w:rPr>
          <w:fldChar w:fldCharType="begin"/>
        </w:r>
        <w:r>
          <w:rPr>
            <w:webHidden/>
          </w:rPr>
          <w:instrText xml:space="preserve"> PAGEREF _Toc221088032 \h </w:instrText>
        </w:r>
        <w:r>
          <w:rPr>
            <w:webHidden/>
          </w:rPr>
        </w:r>
        <w:r>
          <w:rPr>
            <w:webHidden/>
          </w:rPr>
          <w:fldChar w:fldCharType="separate"/>
        </w:r>
        <w:r w:rsidR="007B754E">
          <w:rPr>
            <w:webHidden/>
          </w:rPr>
          <w:t>102</w:t>
        </w:r>
        <w:r>
          <w:rPr>
            <w:webHidden/>
          </w:rPr>
          <w:fldChar w:fldCharType="end"/>
        </w:r>
      </w:hyperlink>
    </w:p>
    <w:p w14:paraId="270CF405" w14:textId="0624433A"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33" w:history="1">
        <w:r w:rsidRPr="00987BA6">
          <w:rPr>
            <w:rStyle w:val="Hyperlink"/>
            <w:rFonts w:ascii="Corbel" w:eastAsia="Corbel" w:hAnsi="Corbel" w:cs="Corbel"/>
          </w:rPr>
          <w:t>Governance</w:t>
        </w:r>
        <w:r>
          <w:rPr>
            <w:webHidden/>
          </w:rPr>
          <w:tab/>
        </w:r>
        <w:r>
          <w:rPr>
            <w:webHidden/>
          </w:rPr>
          <w:fldChar w:fldCharType="begin"/>
        </w:r>
        <w:r>
          <w:rPr>
            <w:webHidden/>
          </w:rPr>
          <w:instrText xml:space="preserve"> PAGEREF _Toc221088033 \h </w:instrText>
        </w:r>
        <w:r>
          <w:rPr>
            <w:webHidden/>
          </w:rPr>
        </w:r>
        <w:r>
          <w:rPr>
            <w:webHidden/>
          </w:rPr>
          <w:fldChar w:fldCharType="separate"/>
        </w:r>
        <w:r w:rsidR="007B754E">
          <w:rPr>
            <w:webHidden/>
          </w:rPr>
          <w:t>103</w:t>
        </w:r>
        <w:r>
          <w:rPr>
            <w:webHidden/>
          </w:rPr>
          <w:fldChar w:fldCharType="end"/>
        </w:r>
      </w:hyperlink>
    </w:p>
    <w:p w14:paraId="36FA3D35" w14:textId="35AB84A4"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34" w:history="1">
        <w:r w:rsidRPr="00987BA6">
          <w:rPr>
            <w:rStyle w:val="Hyperlink"/>
            <w:rFonts w:ascii="Corbel" w:hAnsi="Corbel" w:cs="Arial"/>
          </w:rPr>
          <w:t>Developing a Service Model and Funding Reform Framework</w:t>
        </w:r>
        <w:r>
          <w:rPr>
            <w:webHidden/>
          </w:rPr>
          <w:tab/>
        </w:r>
        <w:r>
          <w:rPr>
            <w:webHidden/>
          </w:rPr>
          <w:fldChar w:fldCharType="begin"/>
        </w:r>
        <w:r>
          <w:rPr>
            <w:webHidden/>
          </w:rPr>
          <w:instrText xml:space="preserve"> PAGEREF _Toc221088034 \h </w:instrText>
        </w:r>
        <w:r>
          <w:rPr>
            <w:webHidden/>
          </w:rPr>
        </w:r>
        <w:r>
          <w:rPr>
            <w:webHidden/>
          </w:rPr>
          <w:fldChar w:fldCharType="separate"/>
        </w:r>
        <w:r w:rsidR="007B754E">
          <w:rPr>
            <w:webHidden/>
          </w:rPr>
          <w:t>105</w:t>
        </w:r>
        <w:r>
          <w:rPr>
            <w:webHidden/>
          </w:rPr>
          <w:fldChar w:fldCharType="end"/>
        </w:r>
      </w:hyperlink>
    </w:p>
    <w:p w14:paraId="390AE87B" w14:textId="45DCB939"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35" w:history="1">
        <w:r w:rsidRPr="00987BA6">
          <w:rPr>
            <w:rStyle w:val="Hyperlink"/>
            <w:rFonts w:ascii="Corbel" w:eastAsia="Times New Roman" w:hAnsi="Corbel"/>
            <w:noProof/>
            <w:lang w:eastAsia="ja-JP"/>
          </w:rPr>
          <w:t>Data and reporting requirements</w:t>
        </w:r>
        <w:r>
          <w:rPr>
            <w:noProof/>
            <w:webHidden/>
          </w:rPr>
          <w:tab/>
        </w:r>
        <w:r>
          <w:rPr>
            <w:noProof/>
            <w:webHidden/>
          </w:rPr>
          <w:fldChar w:fldCharType="begin"/>
        </w:r>
        <w:r>
          <w:rPr>
            <w:noProof/>
            <w:webHidden/>
          </w:rPr>
          <w:instrText xml:space="preserve"> PAGEREF _Toc221088035 \h </w:instrText>
        </w:r>
        <w:r>
          <w:rPr>
            <w:noProof/>
            <w:webHidden/>
          </w:rPr>
        </w:r>
        <w:r>
          <w:rPr>
            <w:noProof/>
            <w:webHidden/>
          </w:rPr>
          <w:fldChar w:fldCharType="separate"/>
        </w:r>
        <w:r w:rsidR="007B754E">
          <w:rPr>
            <w:noProof/>
            <w:webHidden/>
          </w:rPr>
          <w:t>107</w:t>
        </w:r>
        <w:r>
          <w:rPr>
            <w:noProof/>
            <w:webHidden/>
          </w:rPr>
          <w:fldChar w:fldCharType="end"/>
        </w:r>
      </w:hyperlink>
    </w:p>
    <w:p w14:paraId="7285826F" w14:textId="76D7A80D"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36" w:history="1">
        <w:r w:rsidRPr="00987BA6">
          <w:rPr>
            <w:rStyle w:val="Hyperlink"/>
            <w:rFonts w:ascii="Corbel" w:eastAsia="Times New Roman" w:hAnsi="Corbel"/>
            <w:noProof/>
            <w:lang w:eastAsia="ja-JP"/>
          </w:rPr>
          <w:t>Evaluation</w:t>
        </w:r>
        <w:r>
          <w:rPr>
            <w:noProof/>
            <w:webHidden/>
          </w:rPr>
          <w:tab/>
        </w:r>
        <w:r>
          <w:rPr>
            <w:noProof/>
            <w:webHidden/>
          </w:rPr>
          <w:fldChar w:fldCharType="begin"/>
        </w:r>
        <w:r>
          <w:rPr>
            <w:noProof/>
            <w:webHidden/>
          </w:rPr>
          <w:instrText xml:space="preserve"> PAGEREF _Toc221088036 \h </w:instrText>
        </w:r>
        <w:r>
          <w:rPr>
            <w:noProof/>
            <w:webHidden/>
          </w:rPr>
        </w:r>
        <w:r>
          <w:rPr>
            <w:noProof/>
            <w:webHidden/>
          </w:rPr>
          <w:fldChar w:fldCharType="separate"/>
        </w:r>
        <w:r w:rsidR="007B754E">
          <w:rPr>
            <w:noProof/>
            <w:webHidden/>
          </w:rPr>
          <w:t>107</w:t>
        </w:r>
        <w:r>
          <w:rPr>
            <w:noProof/>
            <w:webHidden/>
          </w:rPr>
          <w:fldChar w:fldCharType="end"/>
        </w:r>
      </w:hyperlink>
    </w:p>
    <w:p w14:paraId="06E9CEAB" w14:textId="04E5536F"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37" w:history="1">
        <w:r w:rsidRPr="00987BA6">
          <w:rPr>
            <w:rStyle w:val="Hyperlink"/>
            <w:rFonts w:ascii="Corbel" w:eastAsia="Times New Roman" w:hAnsi="Corbel"/>
            <w:noProof/>
            <w:lang w:eastAsia="ja-JP"/>
          </w:rPr>
          <w:t>Intellectual property</w:t>
        </w:r>
        <w:r>
          <w:rPr>
            <w:noProof/>
            <w:webHidden/>
          </w:rPr>
          <w:tab/>
        </w:r>
        <w:r>
          <w:rPr>
            <w:noProof/>
            <w:webHidden/>
          </w:rPr>
          <w:fldChar w:fldCharType="begin"/>
        </w:r>
        <w:r>
          <w:rPr>
            <w:noProof/>
            <w:webHidden/>
          </w:rPr>
          <w:instrText xml:space="preserve"> PAGEREF _Toc221088037 \h </w:instrText>
        </w:r>
        <w:r>
          <w:rPr>
            <w:noProof/>
            <w:webHidden/>
          </w:rPr>
        </w:r>
        <w:r>
          <w:rPr>
            <w:noProof/>
            <w:webHidden/>
          </w:rPr>
          <w:fldChar w:fldCharType="separate"/>
        </w:r>
        <w:r w:rsidR="007B754E">
          <w:rPr>
            <w:noProof/>
            <w:webHidden/>
          </w:rPr>
          <w:t>107</w:t>
        </w:r>
        <w:r>
          <w:rPr>
            <w:noProof/>
            <w:webHidden/>
          </w:rPr>
          <w:fldChar w:fldCharType="end"/>
        </w:r>
      </w:hyperlink>
    </w:p>
    <w:p w14:paraId="52AA30CA" w14:textId="62453BF6"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38" w:history="1">
        <w:r w:rsidRPr="00987BA6">
          <w:rPr>
            <w:rStyle w:val="Hyperlink"/>
            <w:rFonts w:ascii="Corbel" w:hAnsi="Corbel" w:cs="Arial"/>
          </w:rPr>
          <w:t>Implementing the Service Model Reform Funding stream</w:t>
        </w:r>
        <w:r>
          <w:rPr>
            <w:webHidden/>
          </w:rPr>
          <w:tab/>
        </w:r>
        <w:r>
          <w:rPr>
            <w:webHidden/>
          </w:rPr>
          <w:fldChar w:fldCharType="begin"/>
        </w:r>
        <w:r>
          <w:rPr>
            <w:webHidden/>
          </w:rPr>
          <w:instrText xml:space="preserve"> PAGEREF _Toc221088038 \h </w:instrText>
        </w:r>
        <w:r>
          <w:rPr>
            <w:webHidden/>
          </w:rPr>
        </w:r>
        <w:r>
          <w:rPr>
            <w:webHidden/>
          </w:rPr>
          <w:fldChar w:fldCharType="separate"/>
        </w:r>
        <w:r w:rsidR="007B754E">
          <w:rPr>
            <w:webHidden/>
          </w:rPr>
          <w:t>108</w:t>
        </w:r>
        <w:r>
          <w:rPr>
            <w:webHidden/>
          </w:rPr>
          <w:fldChar w:fldCharType="end"/>
        </w:r>
      </w:hyperlink>
    </w:p>
    <w:p w14:paraId="661E97D6" w14:textId="2BF59A5A"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39" w:history="1">
        <w:r w:rsidRPr="00987BA6">
          <w:rPr>
            <w:rStyle w:val="Hyperlink"/>
            <w:rFonts w:ascii="Corbel" w:hAnsi="Corbel"/>
            <w:noProof/>
          </w:rPr>
          <w:t>Scope</w:t>
        </w:r>
        <w:r>
          <w:rPr>
            <w:noProof/>
            <w:webHidden/>
          </w:rPr>
          <w:tab/>
        </w:r>
        <w:r>
          <w:rPr>
            <w:noProof/>
            <w:webHidden/>
          </w:rPr>
          <w:fldChar w:fldCharType="begin"/>
        </w:r>
        <w:r>
          <w:rPr>
            <w:noProof/>
            <w:webHidden/>
          </w:rPr>
          <w:instrText xml:space="preserve"> PAGEREF _Toc221088039 \h </w:instrText>
        </w:r>
        <w:r>
          <w:rPr>
            <w:noProof/>
            <w:webHidden/>
          </w:rPr>
        </w:r>
        <w:r>
          <w:rPr>
            <w:noProof/>
            <w:webHidden/>
          </w:rPr>
          <w:fldChar w:fldCharType="separate"/>
        </w:r>
        <w:r w:rsidR="007B754E">
          <w:rPr>
            <w:noProof/>
            <w:webHidden/>
          </w:rPr>
          <w:t>109</w:t>
        </w:r>
        <w:r>
          <w:rPr>
            <w:noProof/>
            <w:webHidden/>
          </w:rPr>
          <w:fldChar w:fldCharType="end"/>
        </w:r>
      </w:hyperlink>
    </w:p>
    <w:p w14:paraId="3EB3E082" w14:textId="17049835"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40" w:history="1">
        <w:r w:rsidRPr="00987BA6">
          <w:rPr>
            <w:rStyle w:val="Hyperlink"/>
            <w:rFonts w:ascii="Corbel" w:eastAsia="Times New Roman" w:hAnsi="Corbel"/>
            <w:noProof/>
            <w:lang w:eastAsia="ja-JP"/>
          </w:rPr>
          <w:t>Procedures and operations</w:t>
        </w:r>
        <w:r>
          <w:rPr>
            <w:noProof/>
            <w:webHidden/>
          </w:rPr>
          <w:tab/>
        </w:r>
        <w:r>
          <w:rPr>
            <w:noProof/>
            <w:webHidden/>
          </w:rPr>
          <w:fldChar w:fldCharType="begin"/>
        </w:r>
        <w:r>
          <w:rPr>
            <w:noProof/>
            <w:webHidden/>
          </w:rPr>
          <w:instrText xml:space="preserve"> PAGEREF _Toc221088040 \h </w:instrText>
        </w:r>
        <w:r>
          <w:rPr>
            <w:noProof/>
            <w:webHidden/>
          </w:rPr>
        </w:r>
        <w:r>
          <w:rPr>
            <w:noProof/>
            <w:webHidden/>
          </w:rPr>
          <w:fldChar w:fldCharType="separate"/>
        </w:r>
        <w:r w:rsidR="007B754E">
          <w:rPr>
            <w:noProof/>
            <w:webHidden/>
          </w:rPr>
          <w:t>110</w:t>
        </w:r>
        <w:r>
          <w:rPr>
            <w:noProof/>
            <w:webHidden/>
          </w:rPr>
          <w:fldChar w:fldCharType="end"/>
        </w:r>
      </w:hyperlink>
    </w:p>
    <w:p w14:paraId="15B8A70F" w14:textId="60388A96"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41" w:history="1">
        <w:r w:rsidRPr="00987BA6">
          <w:rPr>
            <w:rStyle w:val="Hyperlink"/>
            <w:rFonts w:ascii="Corbel" w:hAnsi="Corbel" w:cs="Arial"/>
          </w:rPr>
          <w:t>Value-based and alternative pricing and funding models</w:t>
        </w:r>
        <w:r>
          <w:rPr>
            <w:webHidden/>
          </w:rPr>
          <w:tab/>
        </w:r>
        <w:r>
          <w:rPr>
            <w:webHidden/>
          </w:rPr>
          <w:fldChar w:fldCharType="begin"/>
        </w:r>
        <w:r>
          <w:rPr>
            <w:webHidden/>
          </w:rPr>
          <w:instrText xml:space="preserve"> PAGEREF _Toc221088041 \h </w:instrText>
        </w:r>
        <w:r>
          <w:rPr>
            <w:webHidden/>
          </w:rPr>
        </w:r>
        <w:r>
          <w:rPr>
            <w:webHidden/>
          </w:rPr>
          <w:fldChar w:fldCharType="separate"/>
        </w:r>
        <w:r w:rsidR="007B754E">
          <w:rPr>
            <w:webHidden/>
          </w:rPr>
          <w:t>110</w:t>
        </w:r>
        <w:r>
          <w:rPr>
            <w:webHidden/>
          </w:rPr>
          <w:fldChar w:fldCharType="end"/>
        </w:r>
      </w:hyperlink>
    </w:p>
    <w:p w14:paraId="67ED9708" w14:textId="7A36B84D"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42" w:history="1">
        <w:r w:rsidRPr="00987BA6">
          <w:rPr>
            <w:rStyle w:val="Hyperlink"/>
            <w:rFonts w:ascii="Corbel" w:eastAsia="Times New Roman" w:hAnsi="Corbel"/>
            <w:noProof/>
            <w:lang w:eastAsia="ja-JP"/>
          </w:rPr>
          <w:t>Trialling value-based pricing approaches</w:t>
        </w:r>
        <w:r>
          <w:rPr>
            <w:noProof/>
            <w:webHidden/>
          </w:rPr>
          <w:tab/>
        </w:r>
        <w:r>
          <w:rPr>
            <w:noProof/>
            <w:webHidden/>
          </w:rPr>
          <w:fldChar w:fldCharType="begin"/>
        </w:r>
        <w:r>
          <w:rPr>
            <w:noProof/>
            <w:webHidden/>
          </w:rPr>
          <w:instrText xml:space="preserve"> PAGEREF _Toc221088042 \h </w:instrText>
        </w:r>
        <w:r>
          <w:rPr>
            <w:noProof/>
            <w:webHidden/>
          </w:rPr>
        </w:r>
        <w:r>
          <w:rPr>
            <w:noProof/>
            <w:webHidden/>
          </w:rPr>
          <w:fldChar w:fldCharType="separate"/>
        </w:r>
        <w:r w:rsidR="007B754E">
          <w:rPr>
            <w:noProof/>
            <w:webHidden/>
          </w:rPr>
          <w:t>110</w:t>
        </w:r>
        <w:r>
          <w:rPr>
            <w:noProof/>
            <w:webHidden/>
          </w:rPr>
          <w:fldChar w:fldCharType="end"/>
        </w:r>
      </w:hyperlink>
    </w:p>
    <w:p w14:paraId="20C7EAAB" w14:textId="37F244FF"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43" w:history="1">
        <w:r w:rsidRPr="00987BA6">
          <w:rPr>
            <w:rStyle w:val="Hyperlink"/>
            <w:rFonts w:ascii="Corbel" w:eastAsia="Times New Roman" w:hAnsi="Corbel"/>
            <w:noProof/>
            <w:lang w:eastAsia="ja-JP"/>
          </w:rPr>
          <w:t>Normative pricing</w:t>
        </w:r>
        <w:r>
          <w:rPr>
            <w:noProof/>
            <w:webHidden/>
          </w:rPr>
          <w:tab/>
        </w:r>
        <w:r>
          <w:rPr>
            <w:noProof/>
            <w:webHidden/>
          </w:rPr>
          <w:fldChar w:fldCharType="begin"/>
        </w:r>
        <w:r>
          <w:rPr>
            <w:noProof/>
            <w:webHidden/>
          </w:rPr>
          <w:instrText xml:space="preserve"> PAGEREF _Toc221088043 \h </w:instrText>
        </w:r>
        <w:r>
          <w:rPr>
            <w:noProof/>
            <w:webHidden/>
          </w:rPr>
        </w:r>
        <w:r>
          <w:rPr>
            <w:noProof/>
            <w:webHidden/>
          </w:rPr>
          <w:fldChar w:fldCharType="separate"/>
        </w:r>
        <w:r w:rsidR="007B754E">
          <w:rPr>
            <w:noProof/>
            <w:webHidden/>
          </w:rPr>
          <w:t>111</w:t>
        </w:r>
        <w:r>
          <w:rPr>
            <w:noProof/>
            <w:webHidden/>
          </w:rPr>
          <w:fldChar w:fldCharType="end"/>
        </w:r>
      </w:hyperlink>
    </w:p>
    <w:p w14:paraId="30827704" w14:textId="13AB8E33"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44" w:history="1">
        <w:r w:rsidRPr="00987BA6">
          <w:rPr>
            <w:rStyle w:val="Hyperlink"/>
            <w:rFonts w:ascii="Corbel" w:eastAsia="Times New Roman" w:hAnsi="Corbel"/>
            <w:noProof/>
            <w:lang w:eastAsia="ja-JP"/>
          </w:rPr>
          <w:t>Priority care loadings</w:t>
        </w:r>
        <w:r>
          <w:rPr>
            <w:noProof/>
            <w:webHidden/>
          </w:rPr>
          <w:tab/>
        </w:r>
        <w:r>
          <w:rPr>
            <w:noProof/>
            <w:webHidden/>
          </w:rPr>
          <w:fldChar w:fldCharType="begin"/>
        </w:r>
        <w:r>
          <w:rPr>
            <w:noProof/>
            <w:webHidden/>
          </w:rPr>
          <w:instrText xml:space="preserve"> PAGEREF _Toc221088044 \h </w:instrText>
        </w:r>
        <w:r>
          <w:rPr>
            <w:noProof/>
            <w:webHidden/>
          </w:rPr>
        </w:r>
        <w:r>
          <w:rPr>
            <w:noProof/>
            <w:webHidden/>
          </w:rPr>
          <w:fldChar w:fldCharType="separate"/>
        </w:r>
        <w:r w:rsidR="007B754E">
          <w:rPr>
            <w:noProof/>
            <w:webHidden/>
          </w:rPr>
          <w:t>111</w:t>
        </w:r>
        <w:r>
          <w:rPr>
            <w:noProof/>
            <w:webHidden/>
          </w:rPr>
          <w:fldChar w:fldCharType="end"/>
        </w:r>
      </w:hyperlink>
    </w:p>
    <w:p w14:paraId="181CA694" w14:textId="00855F80"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45" w:history="1">
        <w:r w:rsidRPr="00987BA6">
          <w:rPr>
            <w:rStyle w:val="Hyperlink"/>
            <w:rFonts w:ascii="Corbel" w:hAnsi="Corbel"/>
          </w:rPr>
          <w:t>Alternative payment model trials</w:t>
        </w:r>
        <w:r>
          <w:rPr>
            <w:webHidden/>
          </w:rPr>
          <w:tab/>
        </w:r>
        <w:r>
          <w:rPr>
            <w:webHidden/>
          </w:rPr>
          <w:fldChar w:fldCharType="begin"/>
        </w:r>
        <w:r>
          <w:rPr>
            <w:webHidden/>
          </w:rPr>
          <w:instrText xml:space="preserve"> PAGEREF _Toc221088045 \h </w:instrText>
        </w:r>
        <w:r>
          <w:rPr>
            <w:webHidden/>
          </w:rPr>
        </w:r>
        <w:r>
          <w:rPr>
            <w:webHidden/>
          </w:rPr>
          <w:fldChar w:fldCharType="separate"/>
        </w:r>
        <w:r w:rsidR="007B754E">
          <w:rPr>
            <w:webHidden/>
          </w:rPr>
          <w:t>111</w:t>
        </w:r>
        <w:r>
          <w:rPr>
            <w:webHidden/>
          </w:rPr>
          <w:fldChar w:fldCharType="end"/>
        </w:r>
      </w:hyperlink>
    </w:p>
    <w:p w14:paraId="1E2F323E" w14:textId="6F195E3F"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46" w:history="1">
        <w:r w:rsidRPr="00987BA6">
          <w:rPr>
            <w:rStyle w:val="Hyperlink"/>
            <w:rFonts w:ascii="Corbel" w:hAnsi="Corbel"/>
          </w:rPr>
          <w:t>Strengthening patient safety and improving quality of care</w:t>
        </w:r>
        <w:r>
          <w:rPr>
            <w:webHidden/>
          </w:rPr>
          <w:tab/>
        </w:r>
        <w:r>
          <w:rPr>
            <w:webHidden/>
          </w:rPr>
          <w:fldChar w:fldCharType="begin"/>
        </w:r>
        <w:r>
          <w:rPr>
            <w:webHidden/>
          </w:rPr>
          <w:instrText xml:space="preserve"> PAGEREF _Toc221088046 \h </w:instrText>
        </w:r>
        <w:r>
          <w:rPr>
            <w:webHidden/>
          </w:rPr>
        </w:r>
        <w:r>
          <w:rPr>
            <w:webHidden/>
          </w:rPr>
          <w:fldChar w:fldCharType="separate"/>
        </w:r>
        <w:r w:rsidR="007B754E">
          <w:rPr>
            <w:webHidden/>
          </w:rPr>
          <w:t>111</w:t>
        </w:r>
        <w:r>
          <w:rPr>
            <w:webHidden/>
          </w:rPr>
          <w:fldChar w:fldCharType="end"/>
        </w:r>
      </w:hyperlink>
    </w:p>
    <w:p w14:paraId="13A72A06" w14:textId="5A6CFBBF"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47" w:history="1">
        <w:r w:rsidRPr="00987BA6">
          <w:rPr>
            <w:rStyle w:val="Hyperlink"/>
            <w:rFonts w:ascii="Corbel" w:hAnsi="Corbel"/>
            <w:noProof/>
          </w:rPr>
          <w:t>Using discharge summaries to improve quality</w:t>
        </w:r>
        <w:r>
          <w:rPr>
            <w:noProof/>
            <w:webHidden/>
          </w:rPr>
          <w:tab/>
        </w:r>
        <w:r>
          <w:rPr>
            <w:noProof/>
            <w:webHidden/>
          </w:rPr>
          <w:fldChar w:fldCharType="begin"/>
        </w:r>
        <w:r>
          <w:rPr>
            <w:noProof/>
            <w:webHidden/>
          </w:rPr>
          <w:instrText xml:space="preserve"> PAGEREF _Toc221088047 \h </w:instrText>
        </w:r>
        <w:r>
          <w:rPr>
            <w:noProof/>
            <w:webHidden/>
          </w:rPr>
        </w:r>
        <w:r>
          <w:rPr>
            <w:noProof/>
            <w:webHidden/>
          </w:rPr>
          <w:fldChar w:fldCharType="separate"/>
        </w:r>
        <w:r w:rsidR="007B754E">
          <w:rPr>
            <w:noProof/>
            <w:webHidden/>
          </w:rPr>
          <w:t>112</w:t>
        </w:r>
        <w:r>
          <w:rPr>
            <w:noProof/>
            <w:webHidden/>
          </w:rPr>
          <w:fldChar w:fldCharType="end"/>
        </w:r>
      </w:hyperlink>
    </w:p>
    <w:p w14:paraId="0F03F62F" w14:textId="5C191DF0"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48" w:history="1">
        <w:r w:rsidRPr="00987BA6">
          <w:rPr>
            <w:rStyle w:val="Hyperlink"/>
            <w:rFonts w:ascii="Corbel" w:eastAsia="Times New Roman" w:hAnsi="Corbel"/>
            <w:noProof/>
            <w:lang w:eastAsia="ja-JP"/>
          </w:rPr>
          <w:t>Reporting for safety, quality and value</w:t>
        </w:r>
        <w:r>
          <w:rPr>
            <w:noProof/>
            <w:webHidden/>
          </w:rPr>
          <w:tab/>
        </w:r>
        <w:r>
          <w:rPr>
            <w:noProof/>
            <w:webHidden/>
          </w:rPr>
          <w:fldChar w:fldCharType="begin"/>
        </w:r>
        <w:r>
          <w:rPr>
            <w:noProof/>
            <w:webHidden/>
          </w:rPr>
          <w:instrText xml:space="preserve"> PAGEREF _Toc221088048 \h </w:instrText>
        </w:r>
        <w:r>
          <w:rPr>
            <w:noProof/>
            <w:webHidden/>
          </w:rPr>
        </w:r>
        <w:r>
          <w:rPr>
            <w:noProof/>
            <w:webHidden/>
          </w:rPr>
          <w:fldChar w:fldCharType="separate"/>
        </w:r>
        <w:r w:rsidR="007B754E">
          <w:rPr>
            <w:noProof/>
            <w:webHidden/>
          </w:rPr>
          <w:t>113</w:t>
        </w:r>
        <w:r>
          <w:rPr>
            <w:noProof/>
            <w:webHidden/>
          </w:rPr>
          <w:fldChar w:fldCharType="end"/>
        </w:r>
      </w:hyperlink>
    </w:p>
    <w:p w14:paraId="26081FEC" w14:textId="39F8D8CF"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49" w:history="1">
        <w:r w:rsidRPr="00987BA6">
          <w:rPr>
            <w:rStyle w:val="Hyperlink"/>
            <w:rFonts w:ascii="Corbel" w:hAnsi="Corbel"/>
            <w:noProof/>
          </w:rPr>
          <w:t>Review of safety and quality measures</w:t>
        </w:r>
        <w:r>
          <w:rPr>
            <w:noProof/>
            <w:webHidden/>
          </w:rPr>
          <w:tab/>
        </w:r>
        <w:r>
          <w:rPr>
            <w:noProof/>
            <w:webHidden/>
          </w:rPr>
          <w:fldChar w:fldCharType="begin"/>
        </w:r>
        <w:r>
          <w:rPr>
            <w:noProof/>
            <w:webHidden/>
          </w:rPr>
          <w:instrText xml:space="preserve"> PAGEREF _Toc221088049 \h </w:instrText>
        </w:r>
        <w:r>
          <w:rPr>
            <w:noProof/>
            <w:webHidden/>
          </w:rPr>
        </w:r>
        <w:r>
          <w:rPr>
            <w:noProof/>
            <w:webHidden/>
          </w:rPr>
          <w:fldChar w:fldCharType="separate"/>
        </w:r>
        <w:r w:rsidR="007B754E">
          <w:rPr>
            <w:noProof/>
            <w:webHidden/>
          </w:rPr>
          <w:t>113</w:t>
        </w:r>
        <w:r>
          <w:rPr>
            <w:noProof/>
            <w:webHidden/>
          </w:rPr>
          <w:fldChar w:fldCharType="end"/>
        </w:r>
      </w:hyperlink>
    </w:p>
    <w:p w14:paraId="20BD7914" w14:textId="5E542A70" w:rsidR="00F150F9" w:rsidRDefault="00F150F9">
      <w:pPr>
        <w:pStyle w:val="TOC1"/>
        <w:rPr>
          <w:rFonts w:asciiTheme="minorHAnsi" w:eastAsiaTheme="minorEastAsia" w:hAnsiTheme="minorHAnsi" w:cstheme="minorBidi"/>
          <w:b w:val="0"/>
          <w:kern w:val="2"/>
          <w:sz w:val="24"/>
          <w:szCs w:val="24"/>
          <w14:ligatures w14:val="standardContextual"/>
        </w:rPr>
      </w:pPr>
      <w:hyperlink w:anchor="_Toc221088050" w:history="1">
        <w:r w:rsidRPr="00987BA6">
          <w:rPr>
            <w:rStyle w:val="Hyperlink"/>
            <w:rFonts w:eastAsia="Times New Roman" w:cs="Arial"/>
            <w:caps/>
            <w:kern w:val="32"/>
          </w:rPr>
          <w:t>SCHEDULE E – Local governance</w:t>
        </w:r>
        <w:r>
          <w:rPr>
            <w:webHidden/>
          </w:rPr>
          <w:tab/>
        </w:r>
        <w:r>
          <w:rPr>
            <w:webHidden/>
          </w:rPr>
          <w:fldChar w:fldCharType="begin"/>
        </w:r>
        <w:r>
          <w:rPr>
            <w:webHidden/>
          </w:rPr>
          <w:instrText xml:space="preserve"> PAGEREF _Toc221088050 \h </w:instrText>
        </w:r>
        <w:r>
          <w:rPr>
            <w:webHidden/>
          </w:rPr>
        </w:r>
        <w:r>
          <w:rPr>
            <w:webHidden/>
          </w:rPr>
          <w:fldChar w:fldCharType="separate"/>
        </w:r>
        <w:r w:rsidR="007B754E">
          <w:rPr>
            <w:webHidden/>
          </w:rPr>
          <w:t>115</w:t>
        </w:r>
        <w:r>
          <w:rPr>
            <w:webHidden/>
          </w:rPr>
          <w:fldChar w:fldCharType="end"/>
        </w:r>
      </w:hyperlink>
    </w:p>
    <w:p w14:paraId="1FDAADAA" w14:textId="6421BF8D"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51" w:history="1">
        <w:r w:rsidRPr="00987BA6">
          <w:rPr>
            <w:rStyle w:val="Hyperlink"/>
            <w:rFonts w:ascii="Corbel" w:hAnsi="Corbel" w:cs="Arial"/>
          </w:rPr>
          <w:t>Local Hospital Networks</w:t>
        </w:r>
        <w:r>
          <w:rPr>
            <w:webHidden/>
          </w:rPr>
          <w:tab/>
        </w:r>
        <w:r>
          <w:rPr>
            <w:webHidden/>
          </w:rPr>
          <w:fldChar w:fldCharType="begin"/>
        </w:r>
        <w:r>
          <w:rPr>
            <w:webHidden/>
          </w:rPr>
          <w:instrText xml:space="preserve"> PAGEREF _Toc221088051 \h </w:instrText>
        </w:r>
        <w:r>
          <w:rPr>
            <w:webHidden/>
          </w:rPr>
        </w:r>
        <w:r>
          <w:rPr>
            <w:webHidden/>
          </w:rPr>
          <w:fldChar w:fldCharType="separate"/>
        </w:r>
        <w:r w:rsidR="007B754E">
          <w:rPr>
            <w:webHidden/>
          </w:rPr>
          <w:t>115</w:t>
        </w:r>
        <w:r>
          <w:rPr>
            <w:webHidden/>
          </w:rPr>
          <w:fldChar w:fldCharType="end"/>
        </w:r>
      </w:hyperlink>
    </w:p>
    <w:p w14:paraId="23450B7B" w14:textId="0B4AFC11"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52" w:history="1">
        <w:r w:rsidRPr="00987BA6">
          <w:rPr>
            <w:rStyle w:val="Hyperlink"/>
            <w:rFonts w:ascii="Corbel" w:eastAsia="Times New Roman" w:hAnsi="Corbel"/>
            <w:noProof/>
            <w:lang w:eastAsia="ja-JP"/>
          </w:rPr>
          <w:t>Local Hospital Network Structure</w:t>
        </w:r>
        <w:r>
          <w:rPr>
            <w:noProof/>
            <w:webHidden/>
          </w:rPr>
          <w:tab/>
        </w:r>
        <w:r>
          <w:rPr>
            <w:noProof/>
            <w:webHidden/>
          </w:rPr>
          <w:fldChar w:fldCharType="begin"/>
        </w:r>
        <w:r>
          <w:rPr>
            <w:noProof/>
            <w:webHidden/>
          </w:rPr>
          <w:instrText xml:space="preserve"> PAGEREF _Toc221088052 \h </w:instrText>
        </w:r>
        <w:r>
          <w:rPr>
            <w:noProof/>
            <w:webHidden/>
          </w:rPr>
        </w:r>
        <w:r>
          <w:rPr>
            <w:noProof/>
            <w:webHidden/>
          </w:rPr>
          <w:fldChar w:fldCharType="separate"/>
        </w:r>
        <w:r w:rsidR="007B754E">
          <w:rPr>
            <w:noProof/>
            <w:webHidden/>
          </w:rPr>
          <w:t>117</w:t>
        </w:r>
        <w:r>
          <w:rPr>
            <w:noProof/>
            <w:webHidden/>
          </w:rPr>
          <w:fldChar w:fldCharType="end"/>
        </w:r>
      </w:hyperlink>
    </w:p>
    <w:p w14:paraId="2AD6346B" w14:textId="6FDBE403"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53" w:history="1">
        <w:r w:rsidRPr="00987BA6">
          <w:rPr>
            <w:rStyle w:val="Hyperlink"/>
            <w:rFonts w:ascii="Corbel" w:hAnsi="Corbel" w:cs="Arial"/>
          </w:rPr>
          <w:t>Primary Health Networks</w:t>
        </w:r>
        <w:r>
          <w:rPr>
            <w:webHidden/>
          </w:rPr>
          <w:tab/>
        </w:r>
        <w:r>
          <w:rPr>
            <w:webHidden/>
          </w:rPr>
          <w:fldChar w:fldCharType="begin"/>
        </w:r>
        <w:r>
          <w:rPr>
            <w:webHidden/>
          </w:rPr>
          <w:instrText xml:space="preserve"> PAGEREF _Toc221088053 \h </w:instrText>
        </w:r>
        <w:r>
          <w:rPr>
            <w:webHidden/>
          </w:rPr>
        </w:r>
        <w:r>
          <w:rPr>
            <w:webHidden/>
          </w:rPr>
          <w:fldChar w:fldCharType="separate"/>
        </w:r>
        <w:r w:rsidR="007B754E">
          <w:rPr>
            <w:webHidden/>
          </w:rPr>
          <w:t>118</w:t>
        </w:r>
        <w:r>
          <w:rPr>
            <w:webHidden/>
          </w:rPr>
          <w:fldChar w:fldCharType="end"/>
        </w:r>
      </w:hyperlink>
    </w:p>
    <w:p w14:paraId="76A5B254" w14:textId="323DFA11"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54" w:history="1">
        <w:r w:rsidRPr="00987BA6">
          <w:rPr>
            <w:rStyle w:val="Hyperlink"/>
            <w:rFonts w:ascii="Corbel" w:hAnsi="Corbel" w:cs="Arial"/>
          </w:rPr>
          <w:t>Aboriginal Community Controlled Health Organisations</w:t>
        </w:r>
        <w:r>
          <w:rPr>
            <w:webHidden/>
          </w:rPr>
          <w:tab/>
        </w:r>
        <w:r>
          <w:rPr>
            <w:webHidden/>
          </w:rPr>
          <w:fldChar w:fldCharType="begin"/>
        </w:r>
        <w:r>
          <w:rPr>
            <w:webHidden/>
          </w:rPr>
          <w:instrText xml:space="preserve"> PAGEREF _Toc221088054 \h </w:instrText>
        </w:r>
        <w:r>
          <w:rPr>
            <w:webHidden/>
          </w:rPr>
        </w:r>
        <w:r>
          <w:rPr>
            <w:webHidden/>
          </w:rPr>
          <w:fldChar w:fldCharType="separate"/>
        </w:r>
        <w:r w:rsidR="007B754E">
          <w:rPr>
            <w:webHidden/>
          </w:rPr>
          <w:t>120</w:t>
        </w:r>
        <w:r>
          <w:rPr>
            <w:webHidden/>
          </w:rPr>
          <w:fldChar w:fldCharType="end"/>
        </w:r>
      </w:hyperlink>
    </w:p>
    <w:p w14:paraId="4DB728F7" w14:textId="71EDEFAB"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55" w:history="1">
        <w:r w:rsidRPr="00987BA6">
          <w:rPr>
            <w:rStyle w:val="Hyperlink"/>
            <w:rFonts w:ascii="Corbel" w:hAnsi="Corbel" w:cs="Arial"/>
          </w:rPr>
          <w:t>Supporting more integrated local care delivery</w:t>
        </w:r>
        <w:r>
          <w:rPr>
            <w:webHidden/>
          </w:rPr>
          <w:tab/>
        </w:r>
        <w:r>
          <w:rPr>
            <w:webHidden/>
          </w:rPr>
          <w:fldChar w:fldCharType="begin"/>
        </w:r>
        <w:r>
          <w:rPr>
            <w:webHidden/>
          </w:rPr>
          <w:instrText xml:space="preserve"> PAGEREF _Toc221088055 \h </w:instrText>
        </w:r>
        <w:r>
          <w:rPr>
            <w:webHidden/>
          </w:rPr>
        </w:r>
        <w:r>
          <w:rPr>
            <w:webHidden/>
          </w:rPr>
          <w:fldChar w:fldCharType="separate"/>
        </w:r>
        <w:r w:rsidR="007B754E">
          <w:rPr>
            <w:webHidden/>
          </w:rPr>
          <w:t>121</w:t>
        </w:r>
        <w:r>
          <w:rPr>
            <w:webHidden/>
          </w:rPr>
          <w:fldChar w:fldCharType="end"/>
        </w:r>
      </w:hyperlink>
    </w:p>
    <w:p w14:paraId="06AB6DAA" w14:textId="1EBE1003"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56" w:history="1">
        <w:r w:rsidRPr="00987BA6">
          <w:rPr>
            <w:rStyle w:val="Hyperlink"/>
            <w:rFonts w:ascii="Corbel" w:eastAsia="Times New Roman" w:hAnsi="Corbel"/>
            <w:noProof/>
            <w:lang w:eastAsia="ja-JP"/>
          </w:rPr>
          <w:t>Joint governance, planning, and commissioning</w:t>
        </w:r>
        <w:r>
          <w:rPr>
            <w:noProof/>
            <w:webHidden/>
          </w:rPr>
          <w:tab/>
        </w:r>
        <w:r>
          <w:rPr>
            <w:noProof/>
            <w:webHidden/>
          </w:rPr>
          <w:fldChar w:fldCharType="begin"/>
        </w:r>
        <w:r>
          <w:rPr>
            <w:noProof/>
            <w:webHidden/>
          </w:rPr>
          <w:instrText xml:space="preserve"> PAGEREF _Toc221088056 \h </w:instrText>
        </w:r>
        <w:r>
          <w:rPr>
            <w:noProof/>
            <w:webHidden/>
          </w:rPr>
        </w:r>
        <w:r>
          <w:rPr>
            <w:noProof/>
            <w:webHidden/>
          </w:rPr>
          <w:fldChar w:fldCharType="separate"/>
        </w:r>
        <w:r w:rsidR="007B754E">
          <w:rPr>
            <w:noProof/>
            <w:webHidden/>
          </w:rPr>
          <w:t>121</w:t>
        </w:r>
        <w:r>
          <w:rPr>
            <w:noProof/>
            <w:webHidden/>
          </w:rPr>
          <w:fldChar w:fldCharType="end"/>
        </w:r>
      </w:hyperlink>
    </w:p>
    <w:p w14:paraId="799AD5BE" w14:textId="4AAE66C8" w:rsidR="00F150F9" w:rsidRDefault="00F150F9">
      <w:pPr>
        <w:pStyle w:val="TOC1"/>
        <w:rPr>
          <w:rFonts w:asciiTheme="minorHAnsi" w:eastAsiaTheme="minorEastAsia" w:hAnsiTheme="minorHAnsi" w:cstheme="minorBidi"/>
          <w:b w:val="0"/>
          <w:kern w:val="2"/>
          <w:sz w:val="24"/>
          <w:szCs w:val="24"/>
          <w14:ligatures w14:val="standardContextual"/>
        </w:rPr>
      </w:pPr>
      <w:hyperlink w:anchor="_Toc221088057" w:history="1">
        <w:r w:rsidRPr="00987BA6">
          <w:rPr>
            <w:rStyle w:val="Hyperlink"/>
            <w:rFonts w:eastAsia="Times New Roman" w:cs="Arial"/>
            <w:caps/>
            <w:kern w:val="32"/>
          </w:rPr>
          <w:t>SCHEDULE F – Better health equity for rural and remote communities</w:t>
        </w:r>
        <w:r>
          <w:rPr>
            <w:webHidden/>
          </w:rPr>
          <w:tab/>
        </w:r>
        <w:r>
          <w:rPr>
            <w:webHidden/>
          </w:rPr>
          <w:fldChar w:fldCharType="begin"/>
        </w:r>
        <w:r>
          <w:rPr>
            <w:webHidden/>
          </w:rPr>
          <w:instrText xml:space="preserve"> PAGEREF _Toc221088057 \h </w:instrText>
        </w:r>
        <w:r>
          <w:rPr>
            <w:webHidden/>
          </w:rPr>
        </w:r>
        <w:r>
          <w:rPr>
            <w:webHidden/>
          </w:rPr>
          <w:fldChar w:fldCharType="separate"/>
        </w:r>
        <w:r w:rsidR="007B754E">
          <w:rPr>
            <w:webHidden/>
          </w:rPr>
          <w:t>125</w:t>
        </w:r>
        <w:r>
          <w:rPr>
            <w:webHidden/>
          </w:rPr>
          <w:fldChar w:fldCharType="end"/>
        </w:r>
      </w:hyperlink>
    </w:p>
    <w:p w14:paraId="4406C2B3" w14:textId="55AB5C10"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58" w:history="1">
        <w:r w:rsidRPr="00987BA6">
          <w:rPr>
            <w:rStyle w:val="Hyperlink"/>
            <w:rFonts w:ascii="Corbel" w:hAnsi="Corbel" w:cs="Arial"/>
          </w:rPr>
          <w:t>Access to services</w:t>
        </w:r>
        <w:r>
          <w:rPr>
            <w:webHidden/>
          </w:rPr>
          <w:tab/>
        </w:r>
        <w:r>
          <w:rPr>
            <w:webHidden/>
          </w:rPr>
          <w:fldChar w:fldCharType="begin"/>
        </w:r>
        <w:r>
          <w:rPr>
            <w:webHidden/>
          </w:rPr>
          <w:instrText xml:space="preserve"> PAGEREF _Toc221088058 \h </w:instrText>
        </w:r>
        <w:r>
          <w:rPr>
            <w:webHidden/>
          </w:rPr>
        </w:r>
        <w:r>
          <w:rPr>
            <w:webHidden/>
          </w:rPr>
          <w:fldChar w:fldCharType="separate"/>
        </w:r>
        <w:r w:rsidR="007B754E">
          <w:rPr>
            <w:webHidden/>
          </w:rPr>
          <w:t>126</w:t>
        </w:r>
        <w:r>
          <w:rPr>
            <w:webHidden/>
          </w:rPr>
          <w:fldChar w:fldCharType="end"/>
        </w:r>
      </w:hyperlink>
    </w:p>
    <w:p w14:paraId="52681D6D" w14:textId="1F1EE4B8"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59" w:history="1">
        <w:r w:rsidRPr="00987BA6">
          <w:rPr>
            <w:rStyle w:val="Hyperlink"/>
            <w:rFonts w:ascii="Corbel" w:hAnsi="Corbel" w:cs="Arial"/>
          </w:rPr>
          <w:t>Flexible models to support better health equity for rural and remote communities</w:t>
        </w:r>
        <w:r>
          <w:rPr>
            <w:webHidden/>
          </w:rPr>
          <w:tab/>
        </w:r>
        <w:r>
          <w:rPr>
            <w:webHidden/>
          </w:rPr>
          <w:fldChar w:fldCharType="begin"/>
        </w:r>
        <w:r>
          <w:rPr>
            <w:webHidden/>
          </w:rPr>
          <w:instrText xml:space="preserve"> PAGEREF _Toc221088059 \h </w:instrText>
        </w:r>
        <w:r>
          <w:rPr>
            <w:webHidden/>
          </w:rPr>
        </w:r>
        <w:r>
          <w:rPr>
            <w:webHidden/>
          </w:rPr>
          <w:fldChar w:fldCharType="separate"/>
        </w:r>
        <w:r w:rsidR="007B754E">
          <w:rPr>
            <w:webHidden/>
          </w:rPr>
          <w:t>127</w:t>
        </w:r>
        <w:r>
          <w:rPr>
            <w:webHidden/>
          </w:rPr>
          <w:fldChar w:fldCharType="end"/>
        </w:r>
      </w:hyperlink>
    </w:p>
    <w:p w14:paraId="7F3DB49D" w14:textId="4FB02B0F"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60" w:history="1">
        <w:r w:rsidRPr="00987BA6">
          <w:rPr>
            <w:rStyle w:val="Hyperlink"/>
            <w:rFonts w:ascii="Corbel" w:hAnsi="Corbel" w:cs="Arial"/>
          </w:rPr>
          <w:t>Initiatives to support better health equity for rural and remote communities</w:t>
        </w:r>
        <w:r>
          <w:rPr>
            <w:webHidden/>
          </w:rPr>
          <w:tab/>
        </w:r>
        <w:r>
          <w:rPr>
            <w:webHidden/>
          </w:rPr>
          <w:fldChar w:fldCharType="begin"/>
        </w:r>
        <w:r>
          <w:rPr>
            <w:webHidden/>
          </w:rPr>
          <w:instrText xml:space="preserve"> PAGEREF _Toc221088060 \h </w:instrText>
        </w:r>
        <w:r>
          <w:rPr>
            <w:webHidden/>
          </w:rPr>
        </w:r>
        <w:r>
          <w:rPr>
            <w:webHidden/>
          </w:rPr>
          <w:fldChar w:fldCharType="separate"/>
        </w:r>
        <w:r w:rsidR="007B754E">
          <w:rPr>
            <w:webHidden/>
          </w:rPr>
          <w:t>127</w:t>
        </w:r>
        <w:r>
          <w:rPr>
            <w:webHidden/>
          </w:rPr>
          <w:fldChar w:fldCharType="end"/>
        </w:r>
      </w:hyperlink>
    </w:p>
    <w:p w14:paraId="7D46D8F4" w14:textId="65BC2523" w:rsidR="00F150F9" w:rsidRDefault="00F150F9">
      <w:pPr>
        <w:pStyle w:val="TOC1"/>
        <w:rPr>
          <w:rFonts w:asciiTheme="minorHAnsi" w:eastAsiaTheme="minorEastAsia" w:hAnsiTheme="minorHAnsi" w:cstheme="minorBidi"/>
          <w:b w:val="0"/>
          <w:kern w:val="2"/>
          <w:sz w:val="24"/>
          <w:szCs w:val="24"/>
          <w14:ligatures w14:val="standardContextual"/>
        </w:rPr>
      </w:pPr>
      <w:hyperlink w:anchor="_Toc221088061" w:history="1">
        <w:r w:rsidRPr="00987BA6">
          <w:rPr>
            <w:rStyle w:val="Hyperlink"/>
            <w:rFonts w:eastAsia="Times New Roman" w:cs="Arial"/>
            <w:caps/>
            <w:kern w:val="32"/>
          </w:rPr>
          <w:t>SCHEDULE G – Health workforce</w:t>
        </w:r>
        <w:r>
          <w:rPr>
            <w:webHidden/>
          </w:rPr>
          <w:tab/>
        </w:r>
        <w:r>
          <w:rPr>
            <w:webHidden/>
          </w:rPr>
          <w:fldChar w:fldCharType="begin"/>
        </w:r>
        <w:r>
          <w:rPr>
            <w:webHidden/>
          </w:rPr>
          <w:instrText xml:space="preserve"> PAGEREF _Toc221088061 \h </w:instrText>
        </w:r>
        <w:r>
          <w:rPr>
            <w:webHidden/>
          </w:rPr>
        </w:r>
        <w:r>
          <w:rPr>
            <w:webHidden/>
          </w:rPr>
          <w:fldChar w:fldCharType="separate"/>
        </w:r>
        <w:r w:rsidR="007B754E">
          <w:rPr>
            <w:webHidden/>
          </w:rPr>
          <w:t>129</w:t>
        </w:r>
        <w:r>
          <w:rPr>
            <w:webHidden/>
          </w:rPr>
          <w:fldChar w:fldCharType="end"/>
        </w:r>
      </w:hyperlink>
    </w:p>
    <w:p w14:paraId="21FDF477" w14:textId="048B1009"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62" w:history="1">
        <w:r w:rsidRPr="00987BA6">
          <w:rPr>
            <w:rStyle w:val="Hyperlink"/>
            <w:rFonts w:ascii="Corbel" w:hAnsi="Corbel"/>
          </w:rPr>
          <w:t>Shared responsibilities, stewardship and governance</w:t>
        </w:r>
        <w:r>
          <w:rPr>
            <w:webHidden/>
          </w:rPr>
          <w:tab/>
        </w:r>
        <w:r>
          <w:rPr>
            <w:webHidden/>
          </w:rPr>
          <w:fldChar w:fldCharType="begin"/>
        </w:r>
        <w:r>
          <w:rPr>
            <w:webHidden/>
          </w:rPr>
          <w:instrText xml:space="preserve"> PAGEREF _Toc221088062 \h </w:instrText>
        </w:r>
        <w:r>
          <w:rPr>
            <w:webHidden/>
          </w:rPr>
        </w:r>
        <w:r>
          <w:rPr>
            <w:webHidden/>
          </w:rPr>
          <w:fldChar w:fldCharType="separate"/>
        </w:r>
        <w:r w:rsidR="007B754E">
          <w:rPr>
            <w:webHidden/>
          </w:rPr>
          <w:t>130</w:t>
        </w:r>
        <w:r>
          <w:rPr>
            <w:webHidden/>
          </w:rPr>
          <w:fldChar w:fldCharType="end"/>
        </w:r>
      </w:hyperlink>
    </w:p>
    <w:p w14:paraId="26983B65" w14:textId="320851AE"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63" w:history="1">
        <w:r w:rsidRPr="00987BA6">
          <w:rPr>
            <w:rStyle w:val="Hyperlink"/>
            <w:rFonts w:ascii="Corbel" w:hAnsi="Corbel" w:cs="Arial"/>
          </w:rPr>
          <w:t>National Strategic Workforce Planning</w:t>
        </w:r>
        <w:r>
          <w:rPr>
            <w:webHidden/>
          </w:rPr>
          <w:tab/>
        </w:r>
        <w:r>
          <w:rPr>
            <w:webHidden/>
          </w:rPr>
          <w:fldChar w:fldCharType="begin"/>
        </w:r>
        <w:r>
          <w:rPr>
            <w:webHidden/>
          </w:rPr>
          <w:instrText xml:space="preserve"> PAGEREF _Toc221088063 \h </w:instrText>
        </w:r>
        <w:r>
          <w:rPr>
            <w:webHidden/>
          </w:rPr>
        </w:r>
        <w:r>
          <w:rPr>
            <w:webHidden/>
          </w:rPr>
          <w:fldChar w:fldCharType="separate"/>
        </w:r>
        <w:r w:rsidR="007B754E">
          <w:rPr>
            <w:webHidden/>
          </w:rPr>
          <w:t>131</w:t>
        </w:r>
        <w:r>
          <w:rPr>
            <w:webHidden/>
          </w:rPr>
          <w:fldChar w:fldCharType="end"/>
        </w:r>
      </w:hyperlink>
    </w:p>
    <w:p w14:paraId="392B5414" w14:textId="1809552D"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64" w:history="1">
        <w:r w:rsidRPr="00987BA6">
          <w:rPr>
            <w:rStyle w:val="Hyperlink"/>
            <w:rFonts w:ascii="Corbel" w:hAnsi="Corbel"/>
          </w:rPr>
          <w:t xml:space="preserve">Strengthening health workforce data to enable </w:t>
        </w:r>
        <w:r w:rsidRPr="00987BA6">
          <w:rPr>
            <w:rStyle w:val="Hyperlink"/>
            <w:rFonts w:ascii="Corbel" w:hAnsi="Corbel" w:cs="Arial"/>
          </w:rPr>
          <w:t xml:space="preserve">national strategic </w:t>
        </w:r>
        <w:r w:rsidRPr="00987BA6">
          <w:rPr>
            <w:rStyle w:val="Hyperlink"/>
            <w:rFonts w:ascii="Corbel" w:hAnsi="Corbel"/>
          </w:rPr>
          <w:t>workforce planning</w:t>
        </w:r>
        <w:r>
          <w:rPr>
            <w:webHidden/>
          </w:rPr>
          <w:tab/>
        </w:r>
        <w:r>
          <w:rPr>
            <w:webHidden/>
          </w:rPr>
          <w:fldChar w:fldCharType="begin"/>
        </w:r>
        <w:r>
          <w:rPr>
            <w:webHidden/>
          </w:rPr>
          <w:instrText xml:space="preserve"> PAGEREF _Toc221088064 \h </w:instrText>
        </w:r>
        <w:r>
          <w:rPr>
            <w:webHidden/>
          </w:rPr>
        </w:r>
        <w:r>
          <w:rPr>
            <w:webHidden/>
          </w:rPr>
          <w:fldChar w:fldCharType="separate"/>
        </w:r>
        <w:r w:rsidR="007B754E">
          <w:rPr>
            <w:webHidden/>
          </w:rPr>
          <w:t>132</w:t>
        </w:r>
        <w:r>
          <w:rPr>
            <w:webHidden/>
          </w:rPr>
          <w:fldChar w:fldCharType="end"/>
        </w:r>
      </w:hyperlink>
    </w:p>
    <w:p w14:paraId="4E455A8E" w14:textId="05479599"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65" w:history="1">
        <w:r w:rsidRPr="00987BA6">
          <w:rPr>
            <w:rStyle w:val="Hyperlink"/>
            <w:rFonts w:ascii="Corbel" w:hAnsi="Corbel" w:cs="Arial"/>
          </w:rPr>
          <w:t>National workforce strategies and reviews</w:t>
        </w:r>
        <w:r>
          <w:rPr>
            <w:webHidden/>
          </w:rPr>
          <w:tab/>
        </w:r>
        <w:r>
          <w:rPr>
            <w:webHidden/>
          </w:rPr>
          <w:fldChar w:fldCharType="begin"/>
        </w:r>
        <w:r>
          <w:rPr>
            <w:webHidden/>
          </w:rPr>
          <w:instrText xml:space="preserve"> PAGEREF _Toc221088065 \h </w:instrText>
        </w:r>
        <w:r>
          <w:rPr>
            <w:webHidden/>
          </w:rPr>
        </w:r>
        <w:r>
          <w:rPr>
            <w:webHidden/>
          </w:rPr>
          <w:fldChar w:fldCharType="separate"/>
        </w:r>
        <w:r w:rsidR="007B754E">
          <w:rPr>
            <w:webHidden/>
          </w:rPr>
          <w:t>133</w:t>
        </w:r>
        <w:r>
          <w:rPr>
            <w:webHidden/>
          </w:rPr>
          <w:fldChar w:fldCharType="end"/>
        </w:r>
      </w:hyperlink>
    </w:p>
    <w:p w14:paraId="55AFEAE0" w14:textId="6CDEAB4E"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66" w:history="1">
        <w:r w:rsidRPr="00987BA6">
          <w:rPr>
            <w:rStyle w:val="Hyperlink"/>
            <w:rFonts w:ascii="Corbel" w:hAnsi="Corbel"/>
          </w:rPr>
          <w:t>Reducing complexity in the National Registration and Accreditation Scheme</w:t>
        </w:r>
        <w:r>
          <w:rPr>
            <w:webHidden/>
          </w:rPr>
          <w:tab/>
        </w:r>
        <w:r>
          <w:rPr>
            <w:webHidden/>
          </w:rPr>
          <w:fldChar w:fldCharType="begin"/>
        </w:r>
        <w:r>
          <w:rPr>
            <w:webHidden/>
          </w:rPr>
          <w:instrText xml:space="preserve"> PAGEREF _Toc221088066 \h </w:instrText>
        </w:r>
        <w:r>
          <w:rPr>
            <w:webHidden/>
          </w:rPr>
        </w:r>
        <w:r>
          <w:rPr>
            <w:webHidden/>
          </w:rPr>
          <w:fldChar w:fldCharType="separate"/>
        </w:r>
        <w:r w:rsidR="007B754E">
          <w:rPr>
            <w:webHidden/>
          </w:rPr>
          <w:t>134</w:t>
        </w:r>
        <w:r>
          <w:rPr>
            <w:webHidden/>
          </w:rPr>
          <w:fldChar w:fldCharType="end"/>
        </w:r>
      </w:hyperlink>
    </w:p>
    <w:p w14:paraId="58D285CA" w14:textId="0EC8CFDA"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67" w:history="1">
        <w:r w:rsidRPr="00987BA6">
          <w:rPr>
            <w:rStyle w:val="Hyperlink"/>
            <w:rFonts w:ascii="Corbel" w:hAnsi="Corbel"/>
          </w:rPr>
          <w:t>Growing and supporting the Aboriginal and Torres Strait Islander health workforce</w:t>
        </w:r>
        <w:r>
          <w:rPr>
            <w:webHidden/>
          </w:rPr>
          <w:tab/>
        </w:r>
        <w:r>
          <w:rPr>
            <w:webHidden/>
          </w:rPr>
          <w:fldChar w:fldCharType="begin"/>
        </w:r>
        <w:r>
          <w:rPr>
            <w:webHidden/>
          </w:rPr>
          <w:instrText xml:space="preserve"> PAGEREF _Toc221088067 \h </w:instrText>
        </w:r>
        <w:r>
          <w:rPr>
            <w:webHidden/>
          </w:rPr>
        </w:r>
        <w:r>
          <w:rPr>
            <w:webHidden/>
          </w:rPr>
          <w:fldChar w:fldCharType="separate"/>
        </w:r>
        <w:r w:rsidR="007B754E">
          <w:rPr>
            <w:webHidden/>
          </w:rPr>
          <w:t>135</w:t>
        </w:r>
        <w:r>
          <w:rPr>
            <w:webHidden/>
          </w:rPr>
          <w:fldChar w:fldCharType="end"/>
        </w:r>
      </w:hyperlink>
    </w:p>
    <w:p w14:paraId="1F637E3C" w14:textId="056955C5"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68" w:history="1">
        <w:r w:rsidRPr="00987BA6">
          <w:rPr>
            <w:rStyle w:val="Hyperlink"/>
            <w:rFonts w:ascii="Corbel" w:hAnsi="Corbel"/>
          </w:rPr>
          <w:t>Sustainability and training of the health workforce</w:t>
        </w:r>
        <w:r>
          <w:rPr>
            <w:webHidden/>
          </w:rPr>
          <w:tab/>
        </w:r>
        <w:r>
          <w:rPr>
            <w:webHidden/>
          </w:rPr>
          <w:fldChar w:fldCharType="begin"/>
        </w:r>
        <w:r>
          <w:rPr>
            <w:webHidden/>
          </w:rPr>
          <w:instrText xml:space="preserve"> PAGEREF _Toc221088068 \h </w:instrText>
        </w:r>
        <w:r>
          <w:rPr>
            <w:webHidden/>
          </w:rPr>
        </w:r>
        <w:r>
          <w:rPr>
            <w:webHidden/>
          </w:rPr>
          <w:fldChar w:fldCharType="separate"/>
        </w:r>
        <w:r w:rsidR="007B754E">
          <w:rPr>
            <w:webHidden/>
          </w:rPr>
          <w:t>136</w:t>
        </w:r>
        <w:r>
          <w:rPr>
            <w:webHidden/>
          </w:rPr>
          <w:fldChar w:fldCharType="end"/>
        </w:r>
      </w:hyperlink>
    </w:p>
    <w:p w14:paraId="46EE9432" w14:textId="2D7DBC17" w:rsidR="00F150F9" w:rsidRDefault="00F150F9">
      <w:pPr>
        <w:pStyle w:val="TOC1"/>
        <w:rPr>
          <w:rFonts w:asciiTheme="minorHAnsi" w:eastAsiaTheme="minorEastAsia" w:hAnsiTheme="minorHAnsi" w:cstheme="minorBidi"/>
          <w:b w:val="0"/>
          <w:kern w:val="2"/>
          <w:sz w:val="24"/>
          <w:szCs w:val="24"/>
          <w14:ligatures w14:val="standardContextual"/>
        </w:rPr>
      </w:pPr>
      <w:hyperlink w:anchor="_Toc221088069" w:history="1">
        <w:r w:rsidRPr="00987BA6">
          <w:rPr>
            <w:rStyle w:val="Hyperlink"/>
            <w:rFonts w:eastAsia="Times New Roman" w:cs="Arial"/>
            <w:caps/>
            <w:kern w:val="32"/>
          </w:rPr>
          <w:t>SCHEDULE H – Performance, data and digital reforms</w:t>
        </w:r>
        <w:r>
          <w:rPr>
            <w:webHidden/>
          </w:rPr>
          <w:tab/>
        </w:r>
        <w:r>
          <w:rPr>
            <w:webHidden/>
          </w:rPr>
          <w:fldChar w:fldCharType="begin"/>
        </w:r>
        <w:r>
          <w:rPr>
            <w:webHidden/>
          </w:rPr>
          <w:instrText xml:space="preserve"> PAGEREF _Toc221088069 \h </w:instrText>
        </w:r>
        <w:r>
          <w:rPr>
            <w:webHidden/>
          </w:rPr>
        </w:r>
        <w:r>
          <w:rPr>
            <w:webHidden/>
          </w:rPr>
          <w:fldChar w:fldCharType="separate"/>
        </w:r>
        <w:r w:rsidR="007B754E">
          <w:rPr>
            <w:webHidden/>
          </w:rPr>
          <w:t>137</w:t>
        </w:r>
        <w:r>
          <w:rPr>
            <w:webHidden/>
          </w:rPr>
          <w:fldChar w:fldCharType="end"/>
        </w:r>
      </w:hyperlink>
    </w:p>
    <w:p w14:paraId="49B8182E" w14:textId="29203B1B"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70" w:history="1">
        <w:r w:rsidRPr="00987BA6">
          <w:rPr>
            <w:rStyle w:val="Hyperlink"/>
            <w:rFonts w:ascii="Corbel" w:hAnsi="Corbel" w:cs="Arial"/>
          </w:rPr>
          <w:t>Transparency and performance</w:t>
        </w:r>
        <w:r>
          <w:rPr>
            <w:webHidden/>
          </w:rPr>
          <w:tab/>
        </w:r>
        <w:r>
          <w:rPr>
            <w:webHidden/>
          </w:rPr>
          <w:fldChar w:fldCharType="begin"/>
        </w:r>
        <w:r>
          <w:rPr>
            <w:webHidden/>
          </w:rPr>
          <w:instrText xml:space="preserve"> PAGEREF _Toc221088070 \h </w:instrText>
        </w:r>
        <w:r>
          <w:rPr>
            <w:webHidden/>
          </w:rPr>
        </w:r>
        <w:r>
          <w:rPr>
            <w:webHidden/>
          </w:rPr>
          <w:fldChar w:fldCharType="separate"/>
        </w:r>
        <w:r w:rsidR="007B754E">
          <w:rPr>
            <w:webHidden/>
          </w:rPr>
          <w:t>137</w:t>
        </w:r>
        <w:r>
          <w:rPr>
            <w:webHidden/>
          </w:rPr>
          <w:fldChar w:fldCharType="end"/>
        </w:r>
      </w:hyperlink>
    </w:p>
    <w:p w14:paraId="36848AA2" w14:textId="0D1B965E"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71" w:history="1">
        <w:r w:rsidRPr="00987BA6">
          <w:rPr>
            <w:rStyle w:val="Hyperlink"/>
            <w:rFonts w:ascii="Corbel" w:eastAsia="Times New Roman" w:hAnsi="Corbel"/>
            <w:noProof/>
            <w:lang w:eastAsia="ja-JP"/>
          </w:rPr>
          <w:t>Principles</w:t>
        </w:r>
        <w:r>
          <w:rPr>
            <w:noProof/>
            <w:webHidden/>
          </w:rPr>
          <w:tab/>
        </w:r>
        <w:r>
          <w:rPr>
            <w:noProof/>
            <w:webHidden/>
          </w:rPr>
          <w:fldChar w:fldCharType="begin"/>
        </w:r>
        <w:r>
          <w:rPr>
            <w:noProof/>
            <w:webHidden/>
          </w:rPr>
          <w:instrText xml:space="preserve"> PAGEREF _Toc221088071 \h </w:instrText>
        </w:r>
        <w:r>
          <w:rPr>
            <w:noProof/>
            <w:webHidden/>
          </w:rPr>
        </w:r>
        <w:r>
          <w:rPr>
            <w:noProof/>
            <w:webHidden/>
          </w:rPr>
          <w:fldChar w:fldCharType="separate"/>
        </w:r>
        <w:r w:rsidR="007B754E">
          <w:rPr>
            <w:noProof/>
            <w:webHidden/>
          </w:rPr>
          <w:t>139</w:t>
        </w:r>
        <w:r>
          <w:rPr>
            <w:noProof/>
            <w:webHidden/>
          </w:rPr>
          <w:fldChar w:fldCharType="end"/>
        </w:r>
      </w:hyperlink>
    </w:p>
    <w:p w14:paraId="15C72E3D" w14:textId="01E5A23D"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72" w:history="1">
        <w:r w:rsidRPr="00987BA6">
          <w:rPr>
            <w:rStyle w:val="Hyperlink"/>
            <w:rFonts w:ascii="Corbel" w:eastAsia="Times New Roman" w:hAnsi="Corbel"/>
            <w:noProof/>
            <w:lang w:eastAsia="ja-JP"/>
          </w:rPr>
          <w:t>Deliverables</w:t>
        </w:r>
        <w:r>
          <w:rPr>
            <w:noProof/>
            <w:webHidden/>
          </w:rPr>
          <w:tab/>
        </w:r>
        <w:r>
          <w:rPr>
            <w:noProof/>
            <w:webHidden/>
          </w:rPr>
          <w:fldChar w:fldCharType="begin"/>
        </w:r>
        <w:r>
          <w:rPr>
            <w:noProof/>
            <w:webHidden/>
          </w:rPr>
          <w:instrText xml:space="preserve"> PAGEREF _Toc221088072 \h </w:instrText>
        </w:r>
        <w:r>
          <w:rPr>
            <w:noProof/>
            <w:webHidden/>
          </w:rPr>
        </w:r>
        <w:r>
          <w:rPr>
            <w:noProof/>
            <w:webHidden/>
          </w:rPr>
          <w:fldChar w:fldCharType="separate"/>
        </w:r>
        <w:r w:rsidR="007B754E">
          <w:rPr>
            <w:noProof/>
            <w:webHidden/>
          </w:rPr>
          <w:t>140</w:t>
        </w:r>
        <w:r>
          <w:rPr>
            <w:noProof/>
            <w:webHidden/>
          </w:rPr>
          <w:fldChar w:fldCharType="end"/>
        </w:r>
      </w:hyperlink>
    </w:p>
    <w:p w14:paraId="15459548" w14:textId="136051D7"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73" w:history="1">
        <w:r w:rsidRPr="00987BA6">
          <w:rPr>
            <w:rStyle w:val="Hyperlink"/>
            <w:rFonts w:ascii="Corbel" w:eastAsia="Times New Roman" w:hAnsi="Corbel"/>
            <w:noProof/>
            <w:lang w:eastAsia="ja-JP"/>
          </w:rPr>
          <w:t>Implementation</w:t>
        </w:r>
        <w:r>
          <w:rPr>
            <w:noProof/>
            <w:webHidden/>
          </w:rPr>
          <w:tab/>
        </w:r>
        <w:r>
          <w:rPr>
            <w:noProof/>
            <w:webHidden/>
          </w:rPr>
          <w:fldChar w:fldCharType="begin"/>
        </w:r>
        <w:r>
          <w:rPr>
            <w:noProof/>
            <w:webHidden/>
          </w:rPr>
          <w:instrText xml:space="preserve"> PAGEREF _Toc221088073 \h </w:instrText>
        </w:r>
        <w:r>
          <w:rPr>
            <w:noProof/>
            <w:webHidden/>
          </w:rPr>
        </w:r>
        <w:r>
          <w:rPr>
            <w:noProof/>
            <w:webHidden/>
          </w:rPr>
          <w:fldChar w:fldCharType="separate"/>
        </w:r>
        <w:r w:rsidR="007B754E">
          <w:rPr>
            <w:noProof/>
            <w:webHidden/>
          </w:rPr>
          <w:t>140</w:t>
        </w:r>
        <w:r>
          <w:rPr>
            <w:noProof/>
            <w:webHidden/>
          </w:rPr>
          <w:fldChar w:fldCharType="end"/>
        </w:r>
      </w:hyperlink>
    </w:p>
    <w:p w14:paraId="297CAAB2" w14:textId="69CE1AC0"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74" w:history="1">
        <w:r w:rsidRPr="00987BA6">
          <w:rPr>
            <w:rStyle w:val="Hyperlink"/>
            <w:rFonts w:ascii="Corbel" w:eastAsia="Times New Roman" w:hAnsi="Corbel"/>
            <w:noProof/>
            <w:lang w:eastAsia="ja-JP"/>
          </w:rPr>
          <w:t>Milestones</w:t>
        </w:r>
        <w:r>
          <w:rPr>
            <w:noProof/>
            <w:webHidden/>
          </w:rPr>
          <w:tab/>
        </w:r>
        <w:r>
          <w:rPr>
            <w:noProof/>
            <w:webHidden/>
          </w:rPr>
          <w:fldChar w:fldCharType="begin"/>
        </w:r>
        <w:r>
          <w:rPr>
            <w:noProof/>
            <w:webHidden/>
          </w:rPr>
          <w:instrText xml:space="preserve"> PAGEREF _Toc221088074 \h </w:instrText>
        </w:r>
        <w:r>
          <w:rPr>
            <w:noProof/>
            <w:webHidden/>
          </w:rPr>
        </w:r>
        <w:r>
          <w:rPr>
            <w:noProof/>
            <w:webHidden/>
          </w:rPr>
          <w:fldChar w:fldCharType="separate"/>
        </w:r>
        <w:r w:rsidR="007B754E">
          <w:rPr>
            <w:noProof/>
            <w:webHidden/>
          </w:rPr>
          <w:t>141</w:t>
        </w:r>
        <w:r>
          <w:rPr>
            <w:noProof/>
            <w:webHidden/>
          </w:rPr>
          <w:fldChar w:fldCharType="end"/>
        </w:r>
      </w:hyperlink>
    </w:p>
    <w:p w14:paraId="2EAD49B4" w14:textId="4DEE2555"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75" w:history="1">
        <w:r w:rsidRPr="00987BA6">
          <w:rPr>
            <w:rStyle w:val="Hyperlink"/>
            <w:rFonts w:ascii="Corbel" w:eastAsia="Times New Roman" w:hAnsi="Corbel"/>
            <w:noProof/>
            <w:lang w:eastAsia="ja-JP"/>
          </w:rPr>
          <w:t>Governance</w:t>
        </w:r>
        <w:r>
          <w:rPr>
            <w:noProof/>
            <w:webHidden/>
          </w:rPr>
          <w:tab/>
        </w:r>
        <w:r>
          <w:rPr>
            <w:noProof/>
            <w:webHidden/>
          </w:rPr>
          <w:fldChar w:fldCharType="begin"/>
        </w:r>
        <w:r>
          <w:rPr>
            <w:noProof/>
            <w:webHidden/>
          </w:rPr>
          <w:instrText xml:space="preserve"> PAGEREF _Toc221088075 \h </w:instrText>
        </w:r>
        <w:r>
          <w:rPr>
            <w:noProof/>
            <w:webHidden/>
          </w:rPr>
        </w:r>
        <w:r>
          <w:rPr>
            <w:noProof/>
            <w:webHidden/>
          </w:rPr>
          <w:fldChar w:fldCharType="separate"/>
        </w:r>
        <w:r w:rsidR="007B754E">
          <w:rPr>
            <w:noProof/>
            <w:webHidden/>
          </w:rPr>
          <w:t>141</w:t>
        </w:r>
        <w:r>
          <w:rPr>
            <w:noProof/>
            <w:webHidden/>
          </w:rPr>
          <w:fldChar w:fldCharType="end"/>
        </w:r>
      </w:hyperlink>
    </w:p>
    <w:p w14:paraId="48F14C77" w14:textId="59FE86CB"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76" w:history="1">
        <w:r w:rsidRPr="00987BA6">
          <w:rPr>
            <w:rStyle w:val="Hyperlink"/>
            <w:rFonts w:ascii="Corbel" w:hAnsi="Corbel" w:cs="Arial"/>
          </w:rPr>
          <w:t>National Health Data System</w:t>
        </w:r>
        <w:r>
          <w:rPr>
            <w:webHidden/>
          </w:rPr>
          <w:tab/>
        </w:r>
        <w:r>
          <w:rPr>
            <w:webHidden/>
          </w:rPr>
          <w:fldChar w:fldCharType="begin"/>
        </w:r>
        <w:r>
          <w:rPr>
            <w:webHidden/>
          </w:rPr>
          <w:instrText xml:space="preserve"> PAGEREF _Toc221088076 \h </w:instrText>
        </w:r>
        <w:r>
          <w:rPr>
            <w:webHidden/>
          </w:rPr>
        </w:r>
        <w:r>
          <w:rPr>
            <w:webHidden/>
          </w:rPr>
          <w:fldChar w:fldCharType="separate"/>
        </w:r>
        <w:r w:rsidR="007B754E">
          <w:rPr>
            <w:webHidden/>
          </w:rPr>
          <w:t>142</w:t>
        </w:r>
        <w:r>
          <w:rPr>
            <w:webHidden/>
          </w:rPr>
          <w:fldChar w:fldCharType="end"/>
        </w:r>
      </w:hyperlink>
    </w:p>
    <w:p w14:paraId="6C0F5568" w14:textId="73BBBDB1"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77" w:history="1">
        <w:r w:rsidRPr="00987BA6">
          <w:rPr>
            <w:rStyle w:val="Hyperlink"/>
            <w:rFonts w:ascii="Corbel" w:hAnsi="Corbel"/>
            <w:noProof/>
            <w:lang w:eastAsia="ja-JP"/>
          </w:rPr>
          <w:t>Data sharing</w:t>
        </w:r>
        <w:r>
          <w:rPr>
            <w:noProof/>
            <w:webHidden/>
          </w:rPr>
          <w:tab/>
        </w:r>
        <w:r>
          <w:rPr>
            <w:noProof/>
            <w:webHidden/>
          </w:rPr>
          <w:fldChar w:fldCharType="begin"/>
        </w:r>
        <w:r>
          <w:rPr>
            <w:noProof/>
            <w:webHidden/>
          </w:rPr>
          <w:instrText xml:space="preserve"> PAGEREF _Toc221088077 \h </w:instrText>
        </w:r>
        <w:r>
          <w:rPr>
            <w:noProof/>
            <w:webHidden/>
          </w:rPr>
        </w:r>
        <w:r>
          <w:rPr>
            <w:noProof/>
            <w:webHidden/>
          </w:rPr>
          <w:fldChar w:fldCharType="separate"/>
        </w:r>
        <w:r w:rsidR="007B754E">
          <w:rPr>
            <w:noProof/>
            <w:webHidden/>
          </w:rPr>
          <w:t>144</w:t>
        </w:r>
        <w:r>
          <w:rPr>
            <w:noProof/>
            <w:webHidden/>
          </w:rPr>
          <w:fldChar w:fldCharType="end"/>
        </w:r>
      </w:hyperlink>
    </w:p>
    <w:p w14:paraId="234C715E" w14:textId="53362F43"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78" w:history="1">
        <w:r w:rsidRPr="00987BA6">
          <w:rPr>
            <w:rStyle w:val="Hyperlink"/>
            <w:rFonts w:ascii="Corbel" w:hAnsi="Corbel"/>
            <w:noProof/>
            <w:lang w:eastAsia="ja-JP"/>
          </w:rPr>
          <w:t>Data governance</w:t>
        </w:r>
        <w:r>
          <w:rPr>
            <w:noProof/>
            <w:webHidden/>
          </w:rPr>
          <w:tab/>
        </w:r>
        <w:r>
          <w:rPr>
            <w:noProof/>
            <w:webHidden/>
          </w:rPr>
          <w:fldChar w:fldCharType="begin"/>
        </w:r>
        <w:r>
          <w:rPr>
            <w:noProof/>
            <w:webHidden/>
          </w:rPr>
          <w:instrText xml:space="preserve"> PAGEREF _Toc221088078 \h </w:instrText>
        </w:r>
        <w:r>
          <w:rPr>
            <w:noProof/>
            <w:webHidden/>
          </w:rPr>
        </w:r>
        <w:r>
          <w:rPr>
            <w:noProof/>
            <w:webHidden/>
          </w:rPr>
          <w:fldChar w:fldCharType="separate"/>
        </w:r>
        <w:r w:rsidR="007B754E">
          <w:rPr>
            <w:noProof/>
            <w:webHidden/>
          </w:rPr>
          <w:t>146</w:t>
        </w:r>
        <w:r>
          <w:rPr>
            <w:noProof/>
            <w:webHidden/>
          </w:rPr>
          <w:fldChar w:fldCharType="end"/>
        </w:r>
      </w:hyperlink>
    </w:p>
    <w:p w14:paraId="46A5DCEB" w14:textId="42CA6B3B"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79" w:history="1">
        <w:r w:rsidRPr="00987BA6">
          <w:rPr>
            <w:rStyle w:val="Hyperlink"/>
            <w:rFonts w:ascii="Corbel" w:hAnsi="Corbel"/>
            <w:noProof/>
            <w:lang w:eastAsia="ja-JP"/>
          </w:rPr>
          <w:t>High-value data linkages</w:t>
        </w:r>
        <w:r>
          <w:rPr>
            <w:noProof/>
            <w:webHidden/>
          </w:rPr>
          <w:tab/>
        </w:r>
        <w:r>
          <w:rPr>
            <w:noProof/>
            <w:webHidden/>
          </w:rPr>
          <w:fldChar w:fldCharType="begin"/>
        </w:r>
        <w:r>
          <w:rPr>
            <w:noProof/>
            <w:webHidden/>
          </w:rPr>
          <w:instrText xml:space="preserve"> PAGEREF _Toc221088079 \h </w:instrText>
        </w:r>
        <w:r>
          <w:rPr>
            <w:noProof/>
            <w:webHidden/>
          </w:rPr>
        </w:r>
        <w:r>
          <w:rPr>
            <w:noProof/>
            <w:webHidden/>
          </w:rPr>
          <w:fldChar w:fldCharType="separate"/>
        </w:r>
        <w:r w:rsidR="007B754E">
          <w:rPr>
            <w:noProof/>
            <w:webHidden/>
          </w:rPr>
          <w:t>146</w:t>
        </w:r>
        <w:r>
          <w:rPr>
            <w:noProof/>
            <w:webHidden/>
          </w:rPr>
          <w:fldChar w:fldCharType="end"/>
        </w:r>
      </w:hyperlink>
    </w:p>
    <w:p w14:paraId="6418FEEE" w14:textId="62E36B50"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80" w:history="1">
        <w:r w:rsidRPr="00987BA6">
          <w:rPr>
            <w:rStyle w:val="Hyperlink"/>
            <w:rFonts w:ascii="Corbel" w:hAnsi="Corbel"/>
            <w:noProof/>
            <w:lang w:eastAsia="ja-JP"/>
          </w:rPr>
          <w:t>Analytic insights for system improvements</w:t>
        </w:r>
        <w:r>
          <w:rPr>
            <w:noProof/>
            <w:webHidden/>
          </w:rPr>
          <w:tab/>
        </w:r>
        <w:r>
          <w:rPr>
            <w:noProof/>
            <w:webHidden/>
          </w:rPr>
          <w:fldChar w:fldCharType="begin"/>
        </w:r>
        <w:r>
          <w:rPr>
            <w:noProof/>
            <w:webHidden/>
          </w:rPr>
          <w:instrText xml:space="preserve"> PAGEREF _Toc221088080 \h </w:instrText>
        </w:r>
        <w:r>
          <w:rPr>
            <w:noProof/>
            <w:webHidden/>
          </w:rPr>
        </w:r>
        <w:r>
          <w:rPr>
            <w:noProof/>
            <w:webHidden/>
          </w:rPr>
          <w:fldChar w:fldCharType="separate"/>
        </w:r>
        <w:r w:rsidR="007B754E">
          <w:rPr>
            <w:noProof/>
            <w:webHidden/>
          </w:rPr>
          <w:t>146</w:t>
        </w:r>
        <w:r>
          <w:rPr>
            <w:noProof/>
            <w:webHidden/>
          </w:rPr>
          <w:fldChar w:fldCharType="end"/>
        </w:r>
      </w:hyperlink>
    </w:p>
    <w:p w14:paraId="2DF8EF51" w14:textId="05B4ABFF"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81" w:history="1">
        <w:r w:rsidRPr="00987BA6">
          <w:rPr>
            <w:rStyle w:val="Hyperlink"/>
            <w:rFonts w:ascii="Corbel" w:hAnsi="Corbel"/>
            <w:bCs/>
            <w:iCs/>
            <w:noProof/>
            <w:lang w:eastAsia="ja-JP"/>
          </w:rPr>
          <w:t>Accountability and governance</w:t>
        </w:r>
        <w:r>
          <w:rPr>
            <w:noProof/>
            <w:webHidden/>
          </w:rPr>
          <w:tab/>
        </w:r>
        <w:r>
          <w:rPr>
            <w:noProof/>
            <w:webHidden/>
          </w:rPr>
          <w:fldChar w:fldCharType="begin"/>
        </w:r>
        <w:r>
          <w:rPr>
            <w:noProof/>
            <w:webHidden/>
          </w:rPr>
          <w:instrText xml:space="preserve"> PAGEREF _Toc221088081 \h </w:instrText>
        </w:r>
        <w:r>
          <w:rPr>
            <w:noProof/>
            <w:webHidden/>
          </w:rPr>
        </w:r>
        <w:r>
          <w:rPr>
            <w:noProof/>
            <w:webHidden/>
          </w:rPr>
          <w:fldChar w:fldCharType="separate"/>
        </w:r>
        <w:r w:rsidR="007B754E">
          <w:rPr>
            <w:noProof/>
            <w:webHidden/>
          </w:rPr>
          <w:t>147</w:t>
        </w:r>
        <w:r>
          <w:rPr>
            <w:noProof/>
            <w:webHidden/>
          </w:rPr>
          <w:fldChar w:fldCharType="end"/>
        </w:r>
      </w:hyperlink>
    </w:p>
    <w:p w14:paraId="4201BDC2" w14:textId="7B06EA7E"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82" w:history="1">
        <w:r w:rsidRPr="00987BA6">
          <w:rPr>
            <w:rStyle w:val="Hyperlink"/>
            <w:rFonts w:ascii="Corbel" w:hAnsi="Corbel" w:cs="Arial"/>
          </w:rPr>
          <w:t>Digitally enabled health care</w:t>
        </w:r>
        <w:r>
          <w:rPr>
            <w:webHidden/>
          </w:rPr>
          <w:tab/>
        </w:r>
        <w:r>
          <w:rPr>
            <w:webHidden/>
          </w:rPr>
          <w:fldChar w:fldCharType="begin"/>
        </w:r>
        <w:r>
          <w:rPr>
            <w:webHidden/>
          </w:rPr>
          <w:instrText xml:space="preserve"> PAGEREF _Toc221088082 \h </w:instrText>
        </w:r>
        <w:r>
          <w:rPr>
            <w:webHidden/>
          </w:rPr>
        </w:r>
        <w:r>
          <w:rPr>
            <w:webHidden/>
          </w:rPr>
          <w:fldChar w:fldCharType="separate"/>
        </w:r>
        <w:r w:rsidR="007B754E">
          <w:rPr>
            <w:webHidden/>
          </w:rPr>
          <w:t>147</w:t>
        </w:r>
        <w:r>
          <w:rPr>
            <w:webHidden/>
          </w:rPr>
          <w:fldChar w:fldCharType="end"/>
        </w:r>
      </w:hyperlink>
    </w:p>
    <w:p w14:paraId="57D99251" w14:textId="7862D653"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83" w:history="1">
        <w:r w:rsidRPr="00987BA6">
          <w:rPr>
            <w:rStyle w:val="Hyperlink"/>
            <w:rFonts w:ascii="Corbel" w:hAnsi="Corbel"/>
            <w:noProof/>
            <w:lang w:eastAsia="ja-JP"/>
          </w:rPr>
          <w:t>Outcomes</w:t>
        </w:r>
        <w:r>
          <w:rPr>
            <w:noProof/>
            <w:webHidden/>
          </w:rPr>
          <w:tab/>
        </w:r>
        <w:r>
          <w:rPr>
            <w:noProof/>
            <w:webHidden/>
          </w:rPr>
          <w:fldChar w:fldCharType="begin"/>
        </w:r>
        <w:r>
          <w:rPr>
            <w:noProof/>
            <w:webHidden/>
          </w:rPr>
          <w:instrText xml:space="preserve"> PAGEREF _Toc221088083 \h </w:instrText>
        </w:r>
        <w:r>
          <w:rPr>
            <w:noProof/>
            <w:webHidden/>
          </w:rPr>
        </w:r>
        <w:r>
          <w:rPr>
            <w:noProof/>
            <w:webHidden/>
          </w:rPr>
          <w:fldChar w:fldCharType="separate"/>
        </w:r>
        <w:r w:rsidR="007B754E">
          <w:rPr>
            <w:noProof/>
            <w:webHidden/>
          </w:rPr>
          <w:t>147</w:t>
        </w:r>
        <w:r>
          <w:rPr>
            <w:noProof/>
            <w:webHidden/>
          </w:rPr>
          <w:fldChar w:fldCharType="end"/>
        </w:r>
      </w:hyperlink>
    </w:p>
    <w:p w14:paraId="50CF1B45" w14:textId="620045D6"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84" w:history="1">
        <w:r w:rsidRPr="00987BA6">
          <w:rPr>
            <w:rStyle w:val="Hyperlink"/>
            <w:rFonts w:ascii="Corbel" w:hAnsi="Corbel"/>
            <w:noProof/>
            <w:lang w:eastAsia="ja-JP"/>
          </w:rPr>
          <w:t>Roles and responsibilities</w:t>
        </w:r>
        <w:r>
          <w:rPr>
            <w:noProof/>
            <w:webHidden/>
          </w:rPr>
          <w:tab/>
        </w:r>
        <w:r>
          <w:rPr>
            <w:noProof/>
            <w:webHidden/>
          </w:rPr>
          <w:fldChar w:fldCharType="begin"/>
        </w:r>
        <w:r>
          <w:rPr>
            <w:noProof/>
            <w:webHidden/>
          </w:rPr>
          <w:instrText xml:space="preserve"> PAGEREF _Toc221088084 \h </w:instrText>
        </w:r>
        <w:r>
          <w:rPr>
            <w:noProof/>
            <w:webHidden/>
          </w:rPr>
        </w:r>
        <w:r>
          <w:rPr>
            <w:noProof/>
            <w:webHidden/>
          </w:rPr>
          <w:fldChar w:fldCharType="separate"/>
        </w:r>
        <w:r w:rsidR="007B754E">
          <w:rPr>
            <w:noProof/>
            <w:webHidden/>
          </w:rPr>
          <w:t>148</w:t>
        </w:r>
        <w:r>
          <w:rPr>
            <w:noProof/>
            <w:webHidden/>
          </w:rPr>
          <w:fldChar w:fldCharType="end"/>
        </w:r>
      </w:hyperlink>
    </w:p>
    <w:p w14:paraId="34560AD9" w14:textId="466C5E12"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85" w:history="1">
        <w:r w:rsidRPr="00987BA6">
          <w:rPr>
            <w:rStyle w:val="Hyperlink"/>
            <w:rFonts w:ascii="Corbel" w:hAnsi="Corbel"/>
            <w:noProof/>
            <w:lang w:eastAsia="ja-JP"/>
          </w:rPr>
          <w:t>Accountability and governance</w:t>
        </w:r>
        <w:r>
          <w:rPr>
            <w:noProof/>
            <w:webHidden/>
          </w:rPr>
          <w:tab/>
        </w:r>
        <w:r>
          <w:rPr>
            <w:noProof/>
            <w:webHidden/>
          </w:rPr>
          <w:fldChar w:fldCharType="begin"/>
        </w:r>
        <w:r>
          <w:rPr>
            <w:noProof/>
            <w:webHidden/>
          </w:rPr>
          <w:instrText xml:space="preserve"> PAGEREF _Toc221088085 \h </w:instrText>
        </w:r>
        <w:r>
          <w:rPr>
            <w:noProof/>
            <w:webHidden/>
          </w:rPr>
        </w:r>
        <w:r>
          <w:rPr>
            <w:noProof/>
            <w:webHidden/>
          </w:rPr>
          <w:fldChar w:fldCharType="separate"/>
        </w:r>
        <w:r w:rsidR="007B754E">
          <w:rPr>
            <w:noProof/>
            <w:webHidden/>
          </w:rPr>
          <w:t>149</w:t>
        </w:r>
        <w:r>
          <w:rPr>
            <w:noProof/>
            <w:webHidden/>
          </w:rPr>
          <w:fldChar w:fldCharType="end"/>
        </w:r>
      </w:hyperlink>
    </w:p>
    <w:p w14:paraId="63EAE612" w14:textId="2C138FC6"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86" w:history="1">
        <w:r w:rsidRPr="00987BA6">
          <w:rPr>
            <w:rStyle w:val="Hyperlink"/>
            <w:rFonts w:ascii="Corbel" w:hAnsi="Corbel"/>
            <w:noProof/>
            <w:lang w:eastAsia="ja-JP"/>
          </w:rPr>
          <w:t>Deliverables</w:t>
        </w:r>
        <w:r>
          <w:rPr>
            <w:noProof/>
            <w:webHidden/>
          </w:rPr>
          <w:tab/>
        </w:r>
        <w:r>
          <w:rPr>
            <w:noProof/>
            <w:webHidden/>
          </w:rPr>
          <w:fldChar w:fldCharType="begin"/>
        </w:r>
        <w:r>
          <w:rPr>
            <w:noProof/>
            <w:webHidden/>
          </w:rPr>
          <w:instrText xml:space="preserve"> PAGEREF _Toc221088086 \h </w:instrText>
        </w:r>
        <w:r>
          <w:rPr>
            <w:noProof/>
            <w:webHidden/>
          </w:rPr>
        </w:r>
        <w:r>
          <w:rPr>
            <w:noProof/>
            <w:webHidden/>
          </w:rPr>
          <w:fldChar w:fldCharType="separate"/>
        </w:r>
        <w:r w:rsidR="007B754E">
          <w:rPr>
            <w:noProof/>
            <w:webHidden/>
          </w:rPr>
          <w:t>150</w:t>
        </w:r>
        <w:r>
          <w:rPr>
            <w:noProof/>
            <w:webHidden/>
          </w:rPr>
          <w:fldChar w:fldCharType="end"/>
        </w:r>
      </w:hyperlink>
    </w:p>
    <w:p w14:paraId="45892611" w14:textId="065A2E77" w:rsidR="00F150F9" w:rsidRDefault="00F150F9">
      <w:pPr>
        <w:pStyle w:val="TOC1"/>
        <w:rPr>
          <w:rFonts w:asciiTheme="minorHAnsi" w:eastAsiaTheme="minorEastAsia" w:hAnsiTheme="minorHAnsi" w:cstheme="minorBidi"/>
          <w:b w:val="0"/>
          <w:kern w:val="2"/>
          <w:sz w:val="24"/>
          <w:szCs w:val="24"/>
          <w14:ligatures w14:val="standardContextual"/>
        </w:rPr>
      </w:pPr>
      <w:hyperlink w:anchor="_Toc221088087" w:history="1">
        <w:r w:rsidRPr="00987BA6">
          <w:rPr>
            <w:rStyle w:val="Hyperlink"/>
            <w:rFonts w:cs="Arial"/>
            <w:caps/>
            <w:kern w:val="32"/>
          </w:rPr>
          <w:t>SCHEDULE I – National bodies</w:t>
        </w:r>
        <w:r>
          <w:rPr>
            <w:webHidden/>
          </w:rPr>
          <w:tab/>
        </w:r>
        <w:r>
          <w:rPr>
            <w:webHidden/>
          </w:rPr>
          <w:fldChar w:fldCharType="begin"/>
        </w:r>
        <w:r>
          <w:rPr>
            <w:webHidden/>
          </w:rPr>
          <w:instrText xml:space="preserve"> PAGEREF _Toc221088087 \h </w:instrText>
        </w:r>
        <w:r>
          <w:rPr>
            <w:webHidden/>
          </w:rPr>
        </w:r>
        <w:r>
          <w:rPr>
            <w:webHidden/>
          </w:rPr>
          <w:fldChar w:fldCharType="separate"/>
        </w:r>
        <w:r w:rsidR="007B754E">
          <w:rPr>
            <w:webHidden/>
          </w:rPr>
          <w:t>152</w:t>
        </w:r>
        <w:r>
          <w:rPr>
            <w:webHidden/>
          </w:rPr>
          <w:fldChar w:fldCharType="end"/>
        </w:r>
      </w:hyperlink>
    </w:p>
    <w:p w14:paraId="398638BC" w14:textId="622D60AA"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88" w:history="1">
        <w:r w:rsidRPr="00987BA6">
          <w:rPr>
            <w:rStyle w:val="Hyperlink"/>
            <w:rFonts w:ascii="Corbel" w:hAnsi="Corbel" w:cs="Arial"/>
          </w:rPr>
          <w:t>Objectives</w:t>
        </w:r>
        <w:r>
          <w:rPr>
            <w:webHidden/>
          </w:rPr>
          <w:tab/>
        </w:r>
        <w:r>
          <w:rPr>
            <w:webHidden/>
          </w:rPr>
          <w:fldChar w:fldCharType="begin"/>
        </w:r>
        <w:r>
          <w:rPr>
            <w:webHidden/>
          </w:rPr>
          <w:instrText xml:space="preserve"> PAGEREF _Toc221088088 \h </w:instrText>
        </w:r>
        <w:r>
          <w:rPr>
            <w:webHidden/>
          </w:rPr>
        </w:r>
        <w:r>
          <w:rPr>
            <w:webHidden/>
          </w:rPr>
          <w:fldChar w:fldCharType="separate"/>
        </w:r>
        <w:r w:rsidR="007B754E">
          <w:rPr>
            <w:webHidden/>
          </w:rPr>
          <w:t>152</w:t>
        </w:r>
        <w:r>
          <w:rPr>
            <w:webHidden/>
          </w:rPr>
          <w:fldChar w:fldCharType="end"/>
        </w:r>
      </w:hyperlink>
    </w:p>
    <w:p w14:paraId="6D3B66FA" w14:textId="5E5B00D2"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89" w:history="1">
        <w:r w:rsidRPr="00987BA6">
          <w:rPr>
            <w:rStyle w:val="Hyperlink"/>
            <w:rFonts w:ascii="Corbel" w:hAnsi="Corbel" w:cs="Arial"/>
          </w:rPr>
          <w:t>Standard consultation and dispute resolution</w:t>
        </w:r>
        <w:r>
          <w:rPr>
            <w:webHidden/>
          </w:rPr>
          <w:tab/>
        </w:r>
        <w:r>
          <w:rPr>
            <w:webHidden/>
          </w:rPr>
          <w:fldChar w:fldCharType="begin"/>
        </w:r>
        <w:r>
          <w:rPr>
            <w:webHidden/>
          </w:rPr>
          <w:instrText xml:space="preserve"> PAGEREF _Toc221088089 \h </w:instrText>
        </w:r>
        <w:r>
          <w:rPr>
            <w:webHidden/>
          </w:rPr>
        </w:r>
        <w:r>
          <w:rPr>
            <w:webHidden/>
          </w:rPr>
          <w:fldChar w:fldCharType="separate"/>
        </w:r>
        <w:r w:rsidR="007B754E">
          <w:rPr>
            <w:webHidden/>
          </w:rPr>
          <w:t>153</w:t>
        </w:r>
        <w:r>
          <w:rPr>
            <w:webHidden/>
          </w:rPr>
          <w:fldChar w:fldCharType="end"/>
        </w:r>
      </w:hyperlink>
    </w:p>
    <w:p w14:paraId="1AEA6721" w14:textId="5588051B"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90" w:history="1">
        <w:r w:rsidRPr="00987BA6">
          <w:rPr>
            <w:rStyle w:val="Hyperlink"/>
            <w:rFonts w:ascii="Corbel" w:hAnsi="Corbel" w:cs="Arial"/>
          </w:rPr>
          <w:t>National funding bodies</w:t>
        </w:r>
        <w:r>
          <w:rPr>
            <w:webHidden/>
          </w:rPr>
          <w:tab/>
        </w:r>
        <w:r>
          <w:rPr>
            <w:webHidden/>
          </w:rPr>
          <w:fldChar w:fldCharType="begin"/>
        </w:r>
        <w:r>
          <w:rPr>
            <w:webHidden/>
          </w:rPr>
          <w:instrText xml:space="preserve"> PAGEREF _Toc221088090 \h </w:instrText>
        </w:r>
        <w:r>
          <w:rPr>
            <w:webHidden/>
          </w:rPr>
        </w:r>
        <w:r>
          <w:rPr>
            <w:webHidden/>
          </w:rPr>
          <w:fldChar w:fldCharType="separate"/>
        </w:r>
        <w:r w:rsidR="007B754E">
          <w:rPr>
            <w:webHidden/>
          </w:rPr>
          <w:t>153</w:t>
        </w:r>
        <w:r>
          <w:rPr>
            <w:webHidden/>
          </w:rPr>
          <w:fldChar w:fldCharType="end"/>
        </w:r>
      </w:hyperlink>
    </w:p>
    <w:p w14:paraId="2D831C74" w14:textId="43E00C27"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091" w:history="1">
        <w:r w:rsidRPr="00987BA6">
          <w:rPr>
            <w:rStyle w:val="Hyperlink"/>
            <w:rFonts w:ascii="Corbel" w:hAnsi="Corbel"/>
            <w:noProof/>
            <w:lang w:eastAsia="ja-JP"/>
          </w:rPr>
          <w:t>Consultation and transparency</w:t>
        </w:r>
        <w:r>
          <w:rPr>
            <w:noProof/>
            <w:webHidden/>
          </w:rPr>
          <w:tab/>
        </w:r>
        <w:r>
          <w:rPr>
            <w:noProof/>
            <w:webHidden/>
          </w:rPr>
          <w:fldChar w:fldCharType="begin"/>
        </w:r>
        <w:r>
          <w:rPr>
            <w:noProof/>
            <w:webHidden/>
          </w:rPr>
          <w:instrText xml:space="preserve"> PAGEREF _Toc221088091 \h </w:instrText>
        </w:r>
        <w:r>
          <w:rPr>
            <w:noProof/>
            <w:webHidden/>
          </w:rPr>
        </w:r>
        <w:r>
          <w:rPr>
            <w:noProof/>
            <w:webHidden/>
          </w:rPr>
          <w:fldChar w:fldCharType="separate"/>
        </w:r>
        <w:r w:rsidR="007B754E">
          <w:rPr>
            <w:noProof/>
            <w:webHidden/>
          </w:rPr>
          <w:t>153</w:t>
        </w:r>
        <w:r>
          <w:rPr>
            <w:noProof/>
            <w:webHidden/>
          </w:rPr>
          <w:fldChar w:fldCharType="end"/>
        </w:r>
      </w:hyperlink>
    </w:p>
    <w:p w14:paraId="19E76236" w14:textId="605F4502"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92" w:history="1">
        <w:r w:rsidRPr="00987BA6">
          <w:rPr>
            <w:rStyle w:val="Hyperlink"/>
            <w:rFonts w:ascii="Corbel" w:hAnsi="Corbel" w:cs="Arial"/>
          </w:rPr>
          <w:t>Independent Health and Aged Care Pricing Authority</w:t>
        </w:r>
        <w:r>
          <w:rPr>
            <w:webHidden/>
          </w:rPr>
          <w:tab/>
        </w:r>
        <w:r>
          <w:rPr>
            <w:webHidden/>
          </w:rPr>
          <w:fldChar w:fldCharType="begin"/>
        </w:r>
        <w:r>
          <w:rPr>
            <w:webHidden/>
          </w:rPr>
          <w:instrText xml:space="preserve"> PAGEREF _Toc221088092 \h </w:instrText>
        </w:r>
        <w:r>
          <w:rPr>
            <w:webHidden/>
          </w:rPr>
        </w:r>
        <w:r>
          <w:rPr>
            <w:webHidden/>
          </w:rPr>
          <w:fldChar w:fldCharType="separate"/>
        </w:r>
        <w:r w:rsidR="007B754E">
          <w:rPr>
            <w:webHidden/>
          </w:rPr>
          <w:t>154</w:t>
        </w:r>
        <w:r>
          <w:rPr>
            <w:webHidden/>
          </w:rPr>
          <w:fldChar w:fldCharType="end"/>
        </w:r>
      </w:hyperlink>
    </w:p>
    <w:p w14:paraId="5CAF83D0" w14:textId="5F7959C4"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93" w:history="1">
        <w:r w:rsidRPr="00987BA6">
          <w:rPr>
            <w:rStyle w:val="Hyperlink"/>
            <w:rFonts w:ascii="Corbel" w:hAnsi="Corbel" w:cs="Arial"/>
          </w:rPr>
          <w:t>Administrator of the National Health Funding Pool</w:t>
        </w:r>
        <w:r>
          <w:rPr>
            <w:webHidden/>
          </w:rPr>
          <w:tab/>
        </w:r>
        <w:r>
          <w:rPr>
            <w:webHidden/>
          </w:rPr>
          <w:fldChar w:fldCharType="begin"/>
        </w:r>
        <w:r>
          <w:rPr>
            <w:webHidden/>
          </w:rPr>
          <w:instrText xml:space="preserve"> PAGEREF _Toc221088093 \h </w:instrText>
        </w:r>
        <w:r>
          <w:rPr>
            <w:webHidden/>
          </w:rPr>
        </w:r>
        <w:r>
          <w:rPr>
            <w:webHidden/>
          </w:rPr>
          <w:fldChar w:fldCharType="separate"/>
        </w:r>
        <w:r w:rsidR="007B754E">
          <w:rPr>
            <w:webHidden/>
          </w:rPr>
          <w:t>158</w:t>
        </w:r>
        <w:r>
          <w:rPr>
            <w:webHidden/>
          </w:rPr>
          <w:fldChar w:fldCharType="end"/>
        </w:r>
      </w:hyperlink>
    </w:p>
    <w:p w14:paraId="5460A65E" w14:textId="35EA7EB9"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94" w:history="1">
        <w:r w:rsidRPr="00987BA6">
          <w:rPr>
            <w:rStyle w:val="Hyperlink"/>
            <w:rFonts w:ascii="Corbel" w:hAnsi="Corbel" w:cs="Arial"/>
          </w:rPr>
          <w:t>Australian Commission on Safety and Quality in Health Care</w:t>
        </w:r>
        <w:r>
          <w:rPr>
            <w:webHidden/>
          </w:rPr>
          <w:tab/>
        </w:r>
        <w:r>
          <w:rPr>
            <w:webHidden/>
          </w:rPr>
          <w:fldChar w:fldCharType="begin"/>
        </w:r>
        <w:r>
          <w:rPr>
            <w:webHidden/>
          </w:rPr>
          <w:instrText xml:space="preserve"> PAGEREF _Toc221088094 \h </w:instrText>
        </w:r>
        <w:r>
          <w:rPr>
            <w:webHidden/>
          </w:rPr>
        </w:r>
        <w:r>
          <w:rPr>
            <w:webHidden/>
          </w:rPr>
          <w:fldChar w:fldCharType="separate"/>
        </w:r>
        <w:r w:rsidR="007B754E">
          <w:rPr>
            <w:webHidden/>
          </w:rPr>
          <w:t>160</w:t>
        </w:r>
        <w:r>
          <w:rPr>
            <w:webHidden/>
          </w:rPr>
          <w:fldChar w:fldCharType="end"/>
        </w:r>
      </w:hyperlink>
    </w:p>
    <w:p w14:paraId="1ADB3BE4" w14:textId="74B8536B"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95" w:history="1">
        <w:r w:rsidRPr="00987BA6">
          <w:rPr>
            <w:rStyle w:val="Hyperlink"/>
            <w:rFonts w:ascii="Corbel" w:hAnsi="Corbel" w:cs="Arial"/>
          </w:rPr>
          <w:t>Australian Institute of Health and Welfare</w:t>
        </w:r>
        <w:r>
          <w:rPr>
            <w:webHidden/>
          </w:rPr>
          <w:tab/>
        </w:r>
        <w:r>
          <w:rPr>
            <w:webHidden/>
          </w:rPr>
          <w:fldChar w:fldCharType="begin"/>
        </w:r>
        <w:r>
          <w:rPr>
            <w:webHidden/>
          </w:rPr>
          <w:instrText xml:space="preserve"> PAGEREF _Toc221088095 \h </w:instrText>
        </w:r>
        <w:r>
          <w:rPr>
            <w:webHidden/>
          </w:rPr>
        </w:r>
        <w:r>
          <w:rPr>
            <w:webHidden/>
          </w:rPr>
          <w:fldChar w:fldCharType="separate"/>
        </w:r>
        <w:r w:rsidR="007B754E">
          <w:rPr>
            <w:webHidden/>
          </w:rPr>
          <w:t>162</w:t>
        </w:r>
        <w:r>
          <w:rPr>
            <w:webHidden/>
          </w:rPr>
          <w:fldChar w:fldCharType="end"/>
        </w:r>
      </w:hyperlink>
    </w:p>
    <w:p w14:paraId="67956833" w14:textId="66FB7603"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96" w:history="1">
        <w:r w:rsidRPr="00987BA6">
          <w:rPr>
            <w:rStyle w:val="Hyperlink"/>
            <w:rFonts w:ascii="Corbel" w:hAnsi="Corbel" w:cs="Arial"/>
          </w:rPr>
          <w:t>Data requirements for the national bodies</w:t>
        </w:r>
        <w:r>
          <w:rPr>
            <w:webHidden/>
          </w:rPr>
          <w:tab/>
        </w:r>
        <w:r>
          <w:rPr>
            <w:webHidden/>
          </w:rPr>
          <w:fldChar w:fldCharType="begin"/>
        </w:r>
        <w:r>
          <w:rPr>
            <w:webHidden/>
          </w:rPr>
          <w:instrText xml:space="preserve"> PAGEREF _Toc221088096 \h </w:instrText>
        </w:r>
        <w:r>
          <w:rPr>
            <w:webHidden/>
          </w:rPr>
        </w:r>
        <w:r>
          <w:rPr>
            <w:webHidden/>
          </w:rPr>
          <w:fldChar w:fldCharType="separate"/>
        </w:r>
        <w:r w:rsidR="007B754E">
          <w:rPr>
            <w:webHidden/>
          </w:rPr>
          <w:t>163</w:t>
        </w:r>
        <w:r>
          <w:rPr>
            <w:webHidden/>
          </w:rPr>
          <w:fldChar w:fldCharType="end"/>
        </w:r>
      </w:hyperlink>
    </w:p>
    <w:p w14:paraId="69CB6C94" w14:textId="75C08846" w:rsidR="00F150F9" w:rsidRDefault="00F150F9">
      <w:pPr>
        <w:pStyle w:val="TOC1"/>
        <w:rPr>
          <w:rFonts w:asciiTheme="minorHAnsi" w:eastAsiaTheme="minorEastAsia" w:hAnsiTheme="minorHAnsi" w:cstheme="minorBidi"/>
          <w:b w:val="0"/>
          <w:kern w:val="2"/>
          <w:sz w:val="24"/>
          <w:szCs w:val="24"/>
          <w14:ligatures w14:val="standardContextual"/>
        </w:rPr>
      </w:pPr>
      <w:hyperlink w:anchor="_Toc221088097" w:history="1">
        <w:r w:rsidRPr="00987BA6">
          <w:rPr>
            <w:rStyle w:val="Hyperlink"/>
            <w:rFonts w:eastAsia="Times New Roman" w:cs="Arial"/>
            <w:caps/>
            <w:kern w:val="32"/>
          </w:rPr>
          <w:t>SCHEDULE J – Business rules</w:t>
        </w:r>
        <w:r>
          <w:rPr>
            <w:webHidden/>
          </w:rPr>
          <w:tab/>
        </w:r>
        <w:r>
          <w:rPr>
            <w:webHidden/>
          </w:rPr>
          <w:fldChar w:fldCharType="begin"/>
        </w:r>
        <w:r>
          <w:rPr>
            <w:webHidden/>
          </w:rPr>
          <w:instrText xml:space="preserve"> PAGEREF _Toc221088097 \h </w:instrText>
        </w:r>
        <w:r>
          <w:rPr>
            <w:webHidden/>
          </w:rPr>
        </w:r>
        <w:r>
          <w:rPr>
            <w:webHidden/>
          </w:rPr>
          <w:fldChar w:fldCharType="separate"/>
        </w:r>
        <w:r w:rsidR="007B754E">
          <w:rPr>
            <w:webHidden/>
          </w:rPr>
          <w:t>167</w:t>
        </w:r>
        <w:r>
          <w:rPr>
            <w:webHidden/>
          </w:rPr>
          <w:fldChar w:fldCharType="end"/>
        </w:r>
      </w:hyperlink>
    </w:p>
    <w:p w14:paraId="3C1153DD" w14:textId="7ED9F4AA"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98" w:history="1">
        <w:r w:rsidRPr="00987BA6">
          <w:rPr>
            <w:rStyle w:val="Hyperlink"/>
            <w:rFonts w:ascii="Corbel" w:hAnsi="Corbel" w:cs="Arial"/>
          </w:rPr>
          <w:t>Public patient charges</w:t>
        </w:r>
        <w:r>
          <w:rPr>
            <w:webHidden/>
          </w:rPr>
          <w:tab/>
        </w:r>
        <w:r>
          <w:rPr>
            <w:webHidden/>
          </w:rPr>
          <w:fldChar w:fldCharType="begin"/>
        </w:r>
        <w:r>
          <w:rPr>
            <w:webHidden/>
          </w:rPr>
          <w:instrText xml:space="preserve"> PAGEREF _Toc221088098 \h </w:instrText>
        </w:r>
        <w:r>
          <w:rPr>
            <w:webHidden/>
          </w:rPr>
        </w:r>
        <w:r>
          <w:rPr>
            <w:webHidden/>
          </w:rPr>
          <w:fldChar w:fldCharType="separate"/>
        </w:r>
        <w:r w:rsidR="007B754E">
          <w:rPr>
            <w:webHidden/>
          </w:rPr>
          <w:t>167</w:t>
        </w:r>
        <w:r>
          <w:rPr>
            <w:webHidden/>
          </w:rPr>
          <w:fldChar w:fldCharType="end"/>
        </w:r>
      </w:hyperlink>
    </w:p>
    <w:p w14:paraId="7FCB26EA" w14:textId="396F5A42"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099" w:history="1">
        <w:r w:rsidRPr="00987BA6">
          <w:rPr>
            <w:rStyle w:val="Hyperlink"/>
            <w:rFonts w:ascii="Corbel" w:hAnsi="Corbel" w:cs="Arial"/>
          </w:rPr>
          <w:t>Charges for patients other than public patients</w:t>
        </w:r>
        <w:r>
          <w:rPr>
            <w:webHidden/>
          </w:rPr>
          <w:tab/>
        </w:r>
        <w:r>
          <w:rPr>
            <w:webHidden/>
          </w:rPr>
          <w:fldChar w:fldCharType="begin"/>
        </w:r>
        <w:r>
          <w:rPr>
            <w:webHidden/>
          </w:rPr>
          <w:instrText xml:space="preserve"> PAGEREF _Toc221088099 \h </w:instrText>
        </w:r>
        <w:r>
          <w:rPr>
            <w:webHidden/>
          </w:rPr>
        </w:r>
        <w:r>
          <w:rPr>
            <w:webHidden/>
          </w:rPr>
          <w:fldChar w:fldCharType="separate"/>
        </w:r>
        <w:r w:rsidR="007B754E">
          <w:rPr>
            <w:webHidden/>
          </w:rPr>
          <w:t>167</w:t>
        </w:r>
        <w:r>
          <w:rPr>
            <w:webHidden/>
          </w:rPr>
          <w:fldChar w:fldCharType="end"/>
        </w:r>
      </w:hyperlink>
    </w:p>
    <w:p w14:paraId="2FA0D2D9" w14:textId="43A7B5C4"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100" w:history="1">
        <w:r w:rsidRPr="00987BA6">
          <w:rPr>
            <w:rStyle w:val="Hyperlink"/>
            <w:rFonts w:ascii="Corbel" w:hAnsi="Corbel" w:cs="Arial"/>
          </w:rPr>
          <w:t>Public health services</w:t>
        </w:r>
        <w:r>
          <w:rPr>
            <w:webHidden/>
          </w:rPr>
          <w:tab/>
        </w:r>
        <w:r>
          <w:rPr>
            <w:webHidden/>
          </w:rPr>
          <w:fldChar w:fldCharType="begin"/>
        </w:r>
        <w:r>
          <w:rPr>
            <w:webHidden/>
          </w:rPr>
          <w:instrText xml:space="preserve"> PAGEREF _Toc221088100 \h </w:instrText>
        </w:r>
        <w:r>
          <w:rPr>
            <w:webHidden/>
          </w:rPr>
        </w:r>
        <w:r>
          <w:rPr>
            <w:webHidden/>
          </w:rPr>
          <w:fldChar w:fldCharType="separate"/>
        </w:r>
        <w:r w:rsidR="007B754E">
          <w:rPr>
            <w:webHidden/>
          </w:rPr>
          <w:t>168</w:t>
        </w:r>
        <w:r>
          <w:rPr>
            <w:webHidden/>
          </w:rPr>
          <w:fldChar w:fldCharType="end"/>
        </w:r>
      </w:hyperlink>
    </w:p>
    <w:p w14:paraId="47C5A1C7" w14:textId="377711B0"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101" w:history="1">
        <w:r w:rsidRPr="00987BA6">
          <w:rPr>
            <w:rStyle w:val="Hyperlink"/>
            <w:rFonts w:ascii="Corbel" w:hAnsi="Corbel" w:cs="Arial"/>
          </w:rPr>
          <w:t>Public patients’ charter and complaints bodies</w:t>
        </w:r>
        <w:r>
          <w:rPr>
            <w:webHidden/>
          </w:rPr>
          <w:tab/>
        </w:r>
        <w:r>
          <w:rPr>
            <w:webHidden/>
          </w:rPr>
          <w:fldChar w:fldCharType="begin"/>
        </w:r>
        <w:r>
          <w:rPr>
            <w:webHidden/>
          </w:rPr>
          <w:instrText xml:space="preserve"> PAGEREF _Toc221088101 \h </w:instrText>
        </w:r>
        <w:r>
          <w:rPr>
            <w:webHidden/>
          </w:rPr>
        </w:r>
        <w:r>
          <w:rPr>
            <w:webHidden/>
          </w:rPr>
          <w:fldChar w:fldCharType="separate"/>
        </w:r>
        <w:r w:rsidR="007B754E">
          <w:rPr>
            <w:webHidden/>
          </w:rPr>
          <w:t>168</w:t>
        </w:r>
        <w:r>
          <w:rPr>
            <w:webHidden/>
          </w:rPr>
          <w:fldChar w:fldCharType="end"/>
        </w:r>
      </w:hyperlink>
    </w:p>
    <w:p w14:paraId="03DC2C0F" w14:textId="6BE4493E"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102" w:history="1">
        <w:r w:rsidRPr="00987BA6">
          <w:rPr>
            <w:rStyle w:val="Hyperlink"/>
            <w:rFonts w:ascii="Corbel" w:hAnsi="Corbel"/>
            <w:noProof/>
          </w:rPr>
          <w:t>Public Patients’ Hospital Charter</w:t>
        </w:r>
        <w:r>
          <w:rPr>
            <w:noProof/>
            <w:webHidden/>
          </w:rPr>
          <w:tab/>
        </w:r>
        <w:r>
          <w:rPr>
            <w:noProof/>
            <w:webHidden/>
          </w:rPr>
          <w:fldChar w:fldCharType="begin"/>
        </w:r>
        <w:r>
          <w:rPr>
            <w:noProof/>
            <w:webHidden/>
          </w:rPr>
          <w:instrText xml:space="preserve"> PAGEREF _Toc221088102 \h </w:instrText>
        </w:r>
        <w:r>
          <w:rPr>
            <w:noProof/>
            <w:webHidden/>
          </w:rPr>
        </w:r>
        <w:r>
          <w:rPr>
            <w:noProof/>
            <w:webHidden/>
          </w:rPr>
          <w:fldChar w:fldCharType="separate"/>
        </w:r>
        <w:r w:rsidR="007B754E">
          <w:rPr>
            <w:noProof/>
            <w:webHidden/>
          </w:rPr>
          <w:t>168</w:t>
        </w:r>
        <w:r>
          <w:rPr>
            <w:noProof/>
            <w:webHidden/>
          </w:rPr>
          <w:fldChar w:fldCharType="end"/>
        </w:r>
      </w:hyperlink>
    </w:p>
    <w:p w14:paraId="3092E9FB" w14:textId="748310CD" w:rsidR="00F150F9" w:rsidRDefault="00F150F9">
      <w:pPr>
        <w:pStyle w:val="TOC3"/>
        <w:rPr>
          <w:rFonts w:asciiTheme="minorHAnsi" w:eastAsiaTheme="minorEastAsia" w:hAnsiTheme="minorHAnsi" w:cstheme="minorBidi"/>
          <w:noProof/>
          <w:kern w:val="2"/>
          <w:sz w:val="24"/>
          <w:szCs w:val="24"/>
          <w14:ligatures w14:val="standardContextual"/>
        </w:rPr>
      </w:pPr>
      <w:hyperlink w:anchor="_Toc221088103" w:history="1">
        <w:r w:rsidRPr="00987BA6">
          <w:rPr>
            <w:rStyle w:val="Hyperlink"/>
            <w:rFonts w:ascii="Corbel" w:hAnsi="Corbel"/>
            <w:noProof/>
          </w:rPr>
          <w:t>Independent Complaints Bodies</w:t>
        </w:r>
        <w:r>
          <w:rPr>
            <w:noProof/>
            <w:webHidden/>
          </w:rPr>
          <w:tab/>
        </w:r>
        <w:r>
          <w:rPr>
            <w:noProof/>
            <w:webHidden/>
          </w:rPr>
          <w:fldChar w:fldCharType="begin"/>
        </w:r>
        <w:r>
          <w:rPr>
            <w:noProof/>
            <w:webHidden/>
          </w:rPr>
          <w:instrText xml:space="preserve"> PAGEREF _Toc221088103 \h </w:instrText>
        </w:r>
        <w:r>
          <w:rPr>
            <w:noProof/>
            <w:webHidden/>
          </w:rPr>
        </w:r>
        <w:r>
          <w:rPr>
            <w:noProof/>
            <w:webHidden/>
          </w:rPr>
          <w:fldChar w:fldCharType="separate"/>
        </w:r>
        <w:r w:rsidR="007B754E">
          <w:rPr>
            <w:noProof/>
            <w:webHidden/>
          </w:rPr>
          <w:t>169</w:t>
        </w:r>
        <w:r>
          <w:rPr>
            <w:noProof/>
            <w:webHidden/>
          </w:rPr>
          <w:fldChar w:fldCharType="end"/>
        </w:r>
      </w:hyperlink>
    </w:p>
    <w:p w14:paraId="0F27144F" w14:textId="25C53E86"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104" w:history="1">
        <w:r w:rsidRPr="00987BA6">
          <w:rPr>
            <w:rStyle w:val="Hyperlink"/>
            <w:rFonts w:ascii="Corbel" w:hAnsi="Corbel" w:cs="Arial"/>
          </w:rPr>
          <w:t>Patient arrangements</w:t>
        </w:r>
        <w:r>
          <w:rPr>
            <w:webHidden/>
          </w:rPr>
          <w:tab/>
        </w:r>
        <w:r>
          <w:rPr>
            <w:webHidden/>
          </w:rPr>
          <w:fldChar w:fldCharType="begin"/>
        </w:r>
        <w:r>
          <w:rPr>
            <w:webHidden/>
          </w:rPr>
          <w:instrText xml:space="preserve"> PAGEREF _Toc221088104 \h </w:instrText>
        </w:r>
        <w:r>
          <w:rPr>
            <w:webHidden/>
          </w:rPr>
        </w:r>
        <w:r>
          <w:rPr>
            <w:webHidden/>
          </w:rPr>
          <w:fldChar w:fldCharType="separate"/>
        </w:r>
        <w:r w:rsidR="007B754E">
          <w:rPr>
            <w:webHidden/>
          </w:rPr>
          <w:t>169</w:t>
        </w:r>
        <w:r>
          <w:rPr>
            <w:webHidden/>
          </w:rPr>
          <w:fldChar w:fldCharType="end"/>
        </w:r>
      </w:hyperlink>
    </w:p>
    <w:p w14:paraId="6942D12B" w14:textId="5FAA9F88"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105" w:history="1">
        <w:r w:rsidRPr="00987BA6">
          <w:rPr>
            <w:rStyle w:val="Hyperlink"/>
            <w:rFonts w:ascii="Corbel" w:hAnsi="Corbel" w:cs="Arial"/>
          </w:rPr>
          <w:t>Data provision to private health insurers</w:t>
        </w:r>
        <w:r>
          <w:rPr>
            <w:webHidden/>
          </w:rPr>
          <w:tab/>
        </w:r>
        <w:r>
          <w:rPr>
            <w:webHidden/>
          </w:rPr>
          <w:fldChar w:fldCharType="begin"/>
        </w:r>
        <w:r>
          <w:rPr>
            <w:webHidden/>
          </w:rPr>
          <w:instrText xml:space="preserve"> PAGEREF _Toc221088105 \h </w:instrText>
        </w:r>
        <w:r>
          <w:rPr>
            <w:webHidden/>
          </w:rPr>
        </w:r>
        <w:r>
          <w:rPr>
            <w:webHidden/>
          </w:rPr>
          <w:fldChar w:fldCharType="separate"/>
        </w:r>
        <w:r w:rsidR="007B754E">
          <w:rPr>
            <w:webHidden/>
          </w:rPr>
          <w:t>171</w:t>
        </w:r>
        <w:r>
          <w:rPr>
            <w:webHidden/>
          </w:rPr>
          <w:fldChar w:fldCharType="end"/>
        </w:r>
      </w:hyperlink>
    </w:p>
    <w:p w14:paraId="435F60D9" w14:textId="1F43AF03"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106" w:history="1">
        <w:r w:rsidRPr="00987BA6">
          <w:rPr>
            <w:rStyle w:val="Hyperlink"/>
            <w:rFonts w:ascii="Corbel" w:hAnsi="Corbel" w:cs="Arial"/>
          </w:rPr>
          <w:t>Public hospital patient election forms</w:t>
        </w:r>
        <w:r>
          <w:rPr>
            <w:webHidden/>
          </w:rPr>
          <w:tab/>
        </w:r>
        <w:r>
          <w:rPr>
            <w:webHidden/>
          </w:rPr>
          <w:fldChar w:fldCharType="begin"/>
        </w:r>
        <w:r>
          <w:rPr>
            <w:webHidden/>
          </w:rPr>
          <w:instrText xml:space="preserve"> PAGEREF _Toc221088106 \h </w:instrText>
        </w:r>
        <w:r>
          <w:rPr>
            <w:webHidden/>
          </w:rPr>
        </w:r>
        <w:r>
          <w:rPr>
            <w:webHidden/>
          </w:rPr>
          <w:fldChar w:fldCharType="separate"/>
        </w:r>
        <w:r w:rsidR="007B754E">
          <w:rPr>
            <w:webHidden/>
          </w:rPr>
          <w:t>171</w:t>
        </w:r>
        <w:r>
          <w:rPr>
            <w:webHidden/>
          </w:rPr>
          <w:fldChar w:fldCharType="end"/>
        </w:r>
      </w:hyperlink>
    </w:p>
    <w:p w14:paraId="3D1332D5" w14:textId="78F5D50F"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107" w:history="1">
        <w:r w:rsidRPr="00987BA6">
          <w:rPr>
            <w:rStyle w:val="Hyperlink"/>
            <w:rFonts w:ascii="Corbel" w:hAnsi="Corbel" w:cs="Arial"/>
          </w:rPr>
          <w:t>Multiple and frequent admissions election forms</w:t>
        </w:r>
        <w:r>
          <w:rPr>
            <w:webHidden/>
          </w:rPr>
          <w:tab/>
        </w:r>
        <w:r>
          <w:rPr>
            <w:webHidden/>
          </w:rPr>
          <w:fldChar w:fldCharType="begin"/>
        </w:r>
        <w:r>
          <w:rPr>
            <w:webHidden/>
          </w:rPr>
          <w:instrText xml:space="preserve"> PAGEREF _Toc221088107 \h </w:instrText>
        </w:r>
        <w:r>
          <w:rPr>
            <w:webHidden/>
          </w:rPr>
        </w:r>
        <w:r>
          <w:rPr>
            <w:webHidden/>
          </w:rPr>
          <w:fldChar w:fldCharType="separate"/>
        </w:r>
        <w:r w:rsidR="007B754E">
          <w:rPr>
            <w:webHidden/>
          </w:rPr>
          <w:t>173</w:t>
        </w:r>
        <w:r>
          <w:rPr>
            <w:webHidden/>
          </w:rPr>
          <w:fldChar w:fldCharType="end"/>
        </w:r>
      </w:hyperlink>
    </w:p>
    <w:p w14:paraId="2491F297" w14:textId="140FFDC7"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108" w:history="1">
        <w:r w:rsidRPr="00987BA6">
          <w:rPr>
            <w:rStyle w:val="Hyperlink"/>
            <w:rFonts w:ascii="Corbel" w:hAnsi="Corbel" w:cs="Arial"/>
          </w:rPr>
          <w:t>Other written material provided to patients</w:t>
        </w:r>
        <w:r>
          <w:rPr>
            <w:webHidden/>
          </w:rPr>
          <w:tab/>
        </w:r>
        <w:r>
          <w:rPr>
            <w:webHidden/>
          </w:rPr>
          <w:fldChar w:fldCharType="begin"/>
        </w:r>
        <w:r>
          <w:rPr>
            <w:webHidden/>
          </w:rPr>
          <w:instrText xml:space="preserve"> PAGEREF _Toc221088108 \h </w:instrText>
        </w:r>
        <w:r>
          <w:rPr>
            <w:webHidden/>
          </w:rPr>
        </w:r>
        <w:r>
          <w:rPr>
            <w:webHidden/>
          </w:rPr>
          <w:fldChar w:fldCharType="separate"/>
        </w:r>
        <w:r w:rsidR="007B754E">
          <w:rPr>
            <w:webHidden/>
          </w:rPr>
          <w:t>173</w:t>
        </w:r>
        <w:r>
          <w:rPr>
            <w:webHidden/>
          </w:rPr>
          <w:fldChar w:fldCharType="end"/>
        </w:r>
      </w:hyperlink>
    </w:p>
    <w:p w14:paraId="0E146333" w14:textId="19DF76AF"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109" w:history="1">
        <w:r w:rsidRPr="00987BA6">
          <w:rPr>
            <w:rStyle w:val="Hyperlink"/>
            <w:rFonts w:ascii="Corbel" w:hAnsi="Corbel" w:cs="Arial"/>
          </w:rPr>
          <w:t>Verbal advice provided to patients</w:t>
        </w:r>
        <w:r>
          <w:rPr>
            <w:webHidden/>
          </w:rPr>
          <w:tab/>
        </w:r>
        <w:r>
          <w:rPr>
            <w:webHidden/>
          </w:rPr>
          <w:fldChar w:fldCharType="begin"/>
        </w:r>
        <w:r>
          <w:rPr>
            <w:webHidden/>
          </w:rPr>
          <w:instrText xml:space="preserve"> PAGEREF _Toc221088109 \h </w:instrText>
        </w:r>
        <w:r>
          <w:rPr>
            <w:webHidden/>
          </w:rPr>
        </w:r>
        <w:r>
          <w:rPr>
            <w:webHidden/>
          </w:rPr>
          <w:fldChar w:fldCharType="separate"/>
        </w:r>
        <w:r w:rsidR="007B754E">
          <w:rPr>
            <w:webHidden/>
          </w:rPr>
          <w:t>173</w:t>
        </w:r>
        <w:r>
          <w:rPr>
            <w:webHidden/>
          </w:rPr>
          <w:fldChar w:fldCharType="end"/>
        </w:r>
      </w:hyperlink>
    </w:p>
    <w:p w14:paraId="3F2E54EC" w14:textId="12F86EA6"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110" w:history="1">
        <w:r w:rsidRPr="00987BA6">
          <w:rPr>
            <w:rStyle w:val="Hyperlink"/>
            <w:rFonts w:ascii="Corbel" w:hAnsi="Corbel" w:cs="Arial"/>
          </w:rPr>
          <w:t>Rights of private practice agreement</w:t>
        </w:r>
        <w:r>
          <w:rPr>
            <w:webHidden/>
          </w:rPr>
          <w:tab/>
        </w:r>
        <w:r>
          <w:rPr>
            <w:webHidden/>
          </w:rPr>
          <w:fldChar w:fldCharType="begin"/>
        </w:r>
        <w:r>
          <w:rPr>
            <w:webHidden/>
          </w:rPr>
          <w:instrText xml:space="preserve"> PAGEREF _Toc221088110 \h </w:instrText>
        </w:r>
        <w:r>
          <w:rPr>
            <w:webHidden/>
          </w:rPr>
        </w:r>
        <w:r>
          <w:rPr>
            <w:webHidden/>
          </w:rPr>
          <w:fldChar w:fldCharType="separate"/>
        </w:r>
        <w:r w:rsidR="007B754E">
          <w:rPr>
            <w:webHidden/>
          </w:rPr>
          <w:t>174</w:t>
        </w:r>
        <w:r>
          <w:rPr>
            <w:webHidden/>
          </w:rPr>
          <w:fldChar w:fldCharType="end"/>
        </w:r>
      </w:hyperlink>
    </w:p>
    <w:p w14:paraId="6F7CC0D1" w14:textId="6DD31936" w:rsidR="00F150F9" w:rsidRDefault="00F150F9">
      <w:pPr>
        <w:pStyle w:val="TOC1"/>
        <w:rPr>
          <w:rFonts w:asciiTheme="minorHAnsi" w:eastAsiaTheme="minorEastAsia" w:hAnsiTheme="minorHAnsi" w:cstheme="minorBidi"/>
          <w:b w:val="0"/>
          <w:kern w:val="2"/>
          <w:sz w:val="24"/>
          <w:szCs w:val="24"/>
          <w14:ligatures w14:val="standardContextual"/>
        </w:rPr>
      </w:pPr>
      <w:hyperlink w:anchor="_Toc221088111" w:history="1">
        <w:r w:rsidRPr="00987BA6">
          <w:rPr>
            <w:rStyle w:val="Hyperlink"/>
            <w:rFonts w:eastAsia="Times New Roman" w:cs="Arial"/>
            <w:caps/>
            <w:kern w:val="32"/>
          </w:rPr>
          <w:t>Appendix A – Definitions</w:t>
        </w:r>
        <w:r>
          <w:rPr>
            <w:webHidden/>
          </w:rPr>
          <w:tab/>
        </w:r>
        <w:r>
          <w:rPr>
            <w:webHidden/>
          </w:rPr>
          <w:fldChar w:fldCharType="begin"/>
        </w:r>
        <w:r>
          <w:rPr>
            <w:webHidden/>
          </w:rPr>
          <w:instrText xml:space="preserve"> PAGEREF _Toc221088111 \h </w:instrText>
        </w:r>
        <w:r>
          <w:rPr>
            <w:webHidden/>
          </w:rPr>
        </w:r>
        <w:r>
          <w:rPr>
            <w:webHidden/>
          </w:rPr>
          <w:fldChar w:fldCharType="separate"/>
        </w:r>
        <w:r w:rsidR="007B754E">
          <w:rPr>
            <w:webHidden/>
          </w:rPr>
          <w:t>175</w:t>
        </w:r>
        <w:r>
          <w:rPr>
            <w:webHidden/>
          </w:rPr>
          <w:fldChar w:fldCharType="end"/>
        </w:r>
      </w:hyperlink>
    </w:p>
    <w:p w14:paraId="1FFDFF06" w14:textId="4C42BF2E" w:rsidR="00F150F9" w:rsidRDefault="00F150F9">
      <w:pPr>
        <w:pStyle w:val="TOC1"/>
        <w:rPr>
          <w:rFonts w:asciiTheme="minorHAnsi" w:eastAsiaTheme="minorEastAsia" w:hAnsiTheme="minorHAnsi" w:cstheme="minorBidi"/>
          <w:b w:val="0"/>
          <w:kern w:val="2"/>
          <w:sz w:val="24"/>
          <w:szCs w:val="24"/>
          <w14:ligatures w14:val="standardContextual"/>
        </w:rPr>
      </w:pPr>
      <w:hyperlink w:anchor="_Toc221088112" w:history="1">
        <w:r w:rsidRPr="00987BA6">
          <w:rPr>
            <w:rStyle w:val="Hyperlink"/>
            <w:rFonts w:eastAsia="Times New Roman" w:cs="Arial"/>
            <w:caps/>
            <w:kern w:val="32"/>
          </w:rPr>
          <w:t>Appendix B – Safety and quality criteria</w:t>
        </w:r>
        <w:r>
          <w:rPr>
            <w:webHidden/>
          </w:rPr>
          <w:tab/>
        </w:r>
        <w:r>
          <w:rPr>
            <w:webHidden/>
          </w:rPr>
          <w:fldChar w:fldCharType="begin"/>
        </w:r>
        <w:r>
          <w:rPr>
            <w:webHidden/>
          </w:rPr>
          <w:instrText xml:space="preserve"> PAGEREF _Toc221088112 \h </w:instrText>
        </w:r>
        <w:r>
          <w:rPr>
            <w:webHidden/>
          </w:rPr>
        </w:r>
        <w:r>
          <w:rPr>
            <w:webHidden/>
          </w:rPr>
          <w:fldChar w:fldCharType="separate"/>
        </w:r>
        <w:r w:rsidR="007B754E">
          <w:rPr>
            <w:webHidden/>
          </w:rPr>
          <w:t>193</w:t>
        </w:r>
        <w:r>
          <w:rPr>
            <w:webHidden/>
          </w:rPr>
          <w:fldChar w:fldCharType="end"/>
        </w:r>
      </w:hyperlink>
    </w:p>
    <w:p w14:paraId="6E2D4EA3" w14:textId="078E142B"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113" w:history="1">
        <w:r w:rsidRPr="00987BA6">
          <w:rPr>
            <w:rStyle w:val="Hyperlink"/>
            <w:rFonts w:ascii="Corbel" w:hAnsi="Corbel" w:cs="Arial"/>
          </w:rPr>
          <w:t>Sentinel Events</w:t>
        </w:r>
        <w:r>
          <w:rPr>
            <w:webHidden/>
          </w:rPr>
          <w:tab/>
        </w:r>
        <w:r>
          <w:rPr>
            <w:webHidden/>
          </w:rPr>
          <w:fldChar w:fldCharType="begin"/>
        </w:r>
        <w:r>
          <w:rPr>
            <w:webHidden/>
          </w:rPr>
          <w:instrText xml:space="preserve"> PAGEREF _Toc221088113 \h </w:instrText>
        </w:r>
        <w:r>
          <w:rPr>
            <w:webHidden/>
          </w:rPr>
        </w:r>
        <w:r>
          <w:rPr>
            <w:webHidden/>
          </w:rPr>
          <w:fldChar w:fldCharType="separate"/>
        </w:r>
        <w:r w:rsidR="007B754E">
          <w:rPr>
            <w:webHidden/>
          </w:rPr>
          <w:t>193</w:t>
        </w:r>
        <w:r>
          <w:rPr>
            <w:webHidden/>
          </w:rPr>
          <w:fldChar w:fldCharType="end"/>
        </w:r>
      </w:hyperlink>
    </w:p>
    <w:p w14:paraId="5B2EABAA" w14:textId="0525B4AB"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114" w:history="1">
        <w:r w:rsidRPr="00987BA6">
          <w:rPr>
            <w:rStyle w:val="Hyperlink"/>
            <w:rFonts w:ascii="Corbel" w:hAnsi="Corbel" w:cs="Arial"/>
          </w:rPr>
          <w:t>Hospital Acquired Complications</w:t>
        </w:r>
        <w:r>
          <w:rPr>
            <w:webHidden/>
          </w:rPr>
          <w:tab/>
        </w:r>
        <w:r>
          <w:rPr>
            <w:webHidden/>
          </w:rPr>
          <w:fldChar w:fldCharType="begin"/>
        </w:r>
        <w:r>
          <w:rPr>
            <w:webHidden/>
          </w:rPr>
          <w:instrText xml:space="preserve"> PAGEREF _Toc221088114 \h </w:instrText>
        </w:r>
        <w:r>
          <w:rPr>
            <w:webHidden/>
          </w:rPr>
        </w:r>
        <w:r>
          <w:rPr>
            <w:webHidden/>
          </w:rPr>
          <w:fldChar w:fldCharType="separate"/>
        </w:r>
        <w:r w:rsidR="007B754E">
          <w:rPr>
            <w:webHidden/>
          </w:rPr>
          <w:t>193</w:t>
        </w:r>
        <w:r>
          <w:rPr>
            <w:webHidden/>
          </w:rPr>
          <w:fldChar w:fldCharType="end"/>
        </w:r>
      </w:hyperlink>
    </w:p>
    <w:p w14:paraId="287C7AB1" w14:textId="52F1D07F"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115" w:history="1">
        <w:r w:rsidRPr="00987BA6">
          <w:rPr>
            <w:rStyle w:val="Hyperlink"/>
            <w:rFonts w:ascii="Corbel" w:hAnsi="Corbel" w:cs="Arial"/>
          </w:rPr>
          <w:t>Avoidable Hospital Readmissions</w:t>
        </w:r>
        <w:r>
          <w:rPr>
            <w:webHidden/>
          </w:rPr>
          <w:tab/>
        </w:r>
        <w:r>
          <w:rPr>
            <w:webHidden/>
          </w:rPr>
          <w:fldChar w:fldCharType="begin"/>
        </w:r>
        <w:r>
          <w:rPr>
            <w:webHidden/>
          </w:rPr>
          <w:instrText xml:space="preserve"> PAGEREF _Toc221088115 \h </w:instrText>
        </w:r>
        <w:r>
          <w:rPr>
            <w:webHidden/>
          </w:rPr>
        </w:r>
        <w:r>
          <w:rPr>
            <w:webHidden/>
          </w:rPr>
          <w:fldChar w:fldCharType="separate"/>
        </w:r>
        <w:r w:rsidR="007B754E">
          <w:rPr>
            <w:webHidden/>
          </w:rPr>
          <w:t>194</w:t>
        </w:r>
        <w:r>
          <w:rPr>
            <w:webHidden/>
          </w:rPr>
          <w:fldChar w:fldCharType="end"/>
        </w:r>
      </w:hyperlink>
    </w:p>
    <w:p w14:paraId="4A7B9B49" w14:textId="0A4576B7" w:rsidR="00F150F9" w:rsidRDefault="00F150F9">
      <w:pPr>
        <w:pStyle w:val="TOC2"/>
        <w:rPr>
          <w:rFonts w:asciiTheme="minorHAnsi" w:eastAsiaTheme="minorEastAsia" w:hAnsiTheme="minorHAnsi" w:cstheme="minorBidi"/>
          <w:iCs w:val="0"/>
          <w:kern w:val="2"/>
          <w:sz w:val="24"/>
          <w:szCs w:val="24"/>
          <w14:ligatures w14:val="standardContextual"/>
        </w:rPr>
      </w:pPr>
      <w:hyperlink w:anchor="_Toc221088116" w:history="1">
        <w:r w:rsidRPr="00987BA6">
          <w:rPr>
            <w:rStyle w:val="Hyperlink"/>
            <w:rFonts w:ascii="Corbel" w:hAnsi="Corbel" w:cs="Arial"/>
          </w:rPr>
          <w:t>Review of safety and quality measures</w:t>
        </w:r>
        <w:r>
          <w:rPr>
            <w:webHidden/>
          </w:rPr>
          <w:tab/>
        </w:r>
        <w:r>
          <w:rPr>
            <w:webHidden/>
          </w:rPr>
          <w:fldChar w:fldCharType="begin"/>
        </w:r>
        <w:r>
          <w:rPr>
            <w:webHidden/>
          </w:rPr>
          <w:instrText xml:space="preserve"> PAGEREF _Toc221088116 \h </w:instrText>
        </w:r>
        <w:r>
          <w:rPr>
            <w:webHidden/>
          </w:rPr>
        </w:r>
        <w:r>
          <w:rPr>
            <w:webHidden/>
          </w:rPr>
          <w:fldChar w:fldCharType="separate"/>
        </w:r>
        <w:r w:rsidR="007B754E">
          <w:rPr>
            <w:webHidden/>
          </w:rPr>
          <w:t>194</w:t>
        </w:r>
        <w:r>
          <w:rPr>
            <w:webHidden/>
          </w:rPr>
          <w:fldChar w:fldCharType="end"/>
        </w:r>
      </w:hyperlink>
    </w:p>
    <w:p w14:paraId="126A49DD" w14:textId="03012833" w:rsidR="001E6FF9" w:rsidRPr="00261C59" w:rsidRDefault="001B28AE" w:rsidP="000153CC">
      <w:pPr>
        <w:pStyle w:val="PlainText"/>
        <w:rPr>
          <w:rFonts w:ascii="Calibri" w:eastAsia="Calibri" w:hAnsi="Calibri" w:cs="Consolas"/>
          <w:kern w:val="28"/>
          <w:szCs w:val="32"/>
        </w:rPr>
      </w:pPr>
      <w:r w:rsidRPr="00261C59">
        <w:rPr>
          <w:rFonts w:ascii="Calibri" w:eastAsia="Calibri" w:hAnsi="Calibri"/>
          <w:b/>
          <w:bCs/>
          <w:noProof/>
        </w:rPr>
        <w:fldChar w:fldCharType="end"/>
      </w:r>
      <w:r w:rsidRPr="00261C59">
        <w:rPr>
          <w:rFonts w:ascii="Calibri" w:eastAsia="Calibri" w:hAnsi="Calibri" w:cs="Consolas"/>
          <w:kern w:val="28"/>
          <w:szCs w:val="32"/>
        </w:rPr>
        <w:t xml:space="preserve"> </w:t>
      </w:r>
    </w:p>
    <w:p w14:paraId="27E079F5" w14:textId="5C6A8230" w:rsidR="00E60237" w:rsidRPr="00261C59" w:rsidRDefault="000F1379" w:rsidP="004C594D">
      <w:pPr>
        <w:pStyle w:val="Heading1"/>
        <w:keepLines w:val="0"/>
        <w:widowControl/>
        <w:tabs>
          <w:tab w:val="clear" w:pos="567"/>
        </w:tabs>
        <w:adjustRightInd/>
        <w:spacing w:before="480" w:after="180"/>
        <w:jc w:val="left"/>
        <w:textAlignment w:val="auto"/>
        <w:rPr>
          <w:b w:val="0"/>
        </w:rPr>
      </w:pPr>
      <w:r w:rsidRPr="00261C59">
        <w:rPr>
          <w:rFonts w:ascii="Calibri" w:hAnsi="Calibri"/>
          <w:kern w:val="28"/>
        </w:rPr>
        <w:br w:type="page"/>
      </w:r>
      <w:bookmarkStart w:id="4" w:name="_Toc210833564"/>
      <w:bookmarkStart w:id="5" w:name="_Toc214456464"/>
      <w:bookmarkStart w:id="6" w:name="_Toc221087943"/>
      <w:r w:rsidRPr="00261C59">
        <w:rPr>
          <w:rFonts w:ascii="Consolas" w:eastAsia="Times New Roman" w:hAnsi="Consolas" w:cs="Arial"/>
          <w:b w:val="0"/>
          <w:caps/>
          <w:color w:val="980033"/>
          <w:kern w:val="32"/>
        </w:rPr>
        <w:lastRenderedPageBreak/>
        <w:t>Preliminaries</w:t>
      </w:r>
      <w:bookmarkEnd w:id="0"/>
      <w:bookmarkEnd w:id="4"/>
      <w:bookmarkEnd w:id="5"/>
      <w:bookmarkEnd w:id="6"/>
    </w:p>
    <w:p w14:paraId="243483E9" w14:textId="77777777" w:rsidR="00322C2C" w:rsidRPr="00261C59" w:rsidRDefault="00322C2C" w:rsidP="00814D08">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7" w:name="_Toc165886201"/>
      <w:bookmarkStart w:id="8" w:name="_Toc210833565"/>
      <w:bookmarkStart w:id="9" w:name="_Toc214456465"/>
      <w:bookmarkStart w:id="10" w:name="_Toc221087944"/>
      <w:bookmarkStart w:id="11" w:name="_Toc290657580"/>
      <w:bookmarkStart w:id="12" w:name="_Toc297973775"/>
      <w:bookmarkEnd w:id="1"/>
      <w:r w:rsidRPr="00261C59">
        <w:rPr>
          <w:rFonts w:ascii="Corbel" w:eastAsia="Times New Roman" w:hAnsi="Corbel" w:cs="Arial"/>
          <w:iCs/>
          <w:color w:val="3D4B67"/>
          <w:sz w:val="28"/>
          <w:szCs w:val="28"/>
        </w:rPr>
        <w:t>Vision</w:t>
      </w:r>
      <w:bookmarkEnd w:id="7"/>
      <w:bookmarkEnd w:id="8"/>
      <w:bookmarkEnd w:id="9"/>
      <w:bookmarkEnd w:id="10"/>
    </w:p>
    <w:p w14:paraId="0DB55831" w14:textId="09B53013" w:rsidR="00322C2C" w:rsidRPr="00261C59" w:rsidRDefault="00322C2C" w:rsidP="004728D9">
      <w:pPr>
        <w:numPr>
          <w:ilvl w:val="0"/>
          <w:numId w:val="51"/>
        </w:numPr>
        <w:spacing w:after="240" w:line="260" w:lineRule="exact"/>
        <w:jc w:val="left"/>
        <w:rPr>
          <w:rFonts w:ascii="Calibri" w:hAnsi="Calibri"/>
          <w:sz w:val="24"/>
          <w:szCs w:val="24"/>
          <w:lang w:val="en-GB"/>
        </w:rPr>
      </w:pPr>
      <w:bookmarkStart w:id="13" w:name="_Hlk169619153"/>
      <w:bookmarkEnd w:id="11"/>
      <w:bookmarkEnd w:id="12"/>
      <w:r w:rsidRPr="00261C59">
        <w:rPr>
          <w:rFonts w:ascii="Calibri" w:hAnsi="Calibri"/>
          <w:sz w:val="24"/>
          <w:szCs w:val="24"/>
          <w:lang w:val="en-GB"/>
        </w:rPr>
        <w:t xml:space="preserve">The </w:t>
      </w:r>
      <w:r w:rsidR="3EB12939" w:rsidRPr="00261C59">
        <w:rPr>
          <w:rFonts w:ascii="Calibri" w:hAnsi="Calibri"/>
          <w:sz w:val="24"/>
          <w:szCs w:val="24"/>
          <w:lang w:val="en-GB"/>
        </w:rPr>
        <w:t>A</w:t>
      </w:r>
      <w:r w:rsidRPr="00261C59">
        <w:rPr>
          <w:rFonts w:ascii="Calibri" w:hAnsi="Calibri"/>
          <w:sz w:val="24"/>
          <w:szCs w:val="24"/>
          <w:lang w:val="en-GB"/>
        </w:rPr>
        <w:t>ustralian healthcare system should be person-centred, equitable, responsive, and sustainable. This means an integrated healthcare system that:</w:t>
      </w:r>
    </w:p>
    <w:p w14:paraId="0104FB6A" w14:textId="6984D889"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is shaped around and responsive to the health needs of individual people, their families and communities, including through </w:t>
      </w:r>
      <w:r w:rsidRPr="00261C59">
        <w:rPr>
          <w:rFonts w:asciiTheme="minorHAnsi" w:hAnsiTheme="minorHAnsi" w:cstheme="minorBidi"/>
          <w:sz w:val="24"/>
          <w:szCs w:val="24"/>
          <w:lang w:val="en-GB"/>
        </w:rPr>
        <w:t>best practice coordination of people’s journeys across the care continuum</w:t>
      </w:r>
    </w:p>
    <w:p w14:paraId="372DBA0B" w14:textId="2873FE40"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provides </w:t>
      </w:r>
      <w:r w:rsidR="00A505D6" w:rsidRPr="00261C59">
        <w:rPr>
          <w:rFonts w:ascii="Calibri" w:hAnsi="Calibri"/>
          <w:sz w:val="24"/>
          <w:szCs w:val="24"/>
          <w:lang w:val="en-GB"/>
        </w:rPr>
        <w:t>safe</w:t>
      </w:r>
      <w:r w:rsidR="008E0C0A" w:rsidRPr="00261C59">
        <w:rPr>
          <w:rFonts w:ascii="Calibri" w:hAnsi="Calibri"/>
          <w:sz w:val="24"/>
          <w:szCs w:val="24"/>
          <w:lang w:val="en-GB"/>
        </w:rPr>
        <w:t>,</w:t>
      </w:r>
      <w:r w:rsidR="00A505D6" w:rsidRPr="00261C59">
        <w:rPr>
          <w:rFonts w:ascii="Calibri" w:hAnsi="Calibri"/>
          <w:sz w:val="24"/>
          <w:szCs w:val="24"/>
          <w:lang w:val="en-GB"/>
        </w:rPr>
        <w:t xml:space="preserve"> </w:t>
      </w:r>
      <w:r w:rsidRPr="00261C59">
        <w:rPr>
          <w:rFonts w:ascii="Calibri" w:hAnsi="Calibri"/>
          <w:sz w:val="24"/>
          <w:szCs w:val="24"/>
          <w:lang w:val="en-GB"/>
        </w:rPr>
        <w:t xml:space="preserve">high quality, contemporary care that delivers optimal patient outcomes and experiences by ensuring the right care is provided in the right place, at the right time, regardless of where people live </w:t>
      </w:r>
    </w:p>
    <w:p w14:paraId="70471C19" w14:textId="04EDA81B"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is focused on evidence-based preventive health action to deliver improved population health and wellbeing, health equity and health system preparedness for emerging public health threats and rising chronic diseases</w:t>
      </w:r>
    </w:p>
    <w:p w14:paraId="4F37431C" w14:textId="2B44B50A" w:rsidR="00B403EF" w:rsidRPr="00261C59" w:rsidRDefault="00B403EF"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is respons</w:t>
      </w:r>
      <w:r w:rsidR="741EAC0F" w:rsidRPr="00261C59">
        <w:rPr>
          <w:rFonts w:ascii="Calibri" w:hAnsi="Calibri"/>
          <w:sz w:val="24"/>
          <w:szCs w:val="24"/>
        </w:rPr>
        <w:t>iv</w:t>
      </w:r>
      <w:r w:rsidRPr="00261C59">
        <w:rPr>
          <w:rFonts w:ascii="Calibri" w:hAnsi="Calibri"/>
          <w:sz w:val="24"/>
          <w:szCs w:val="24"/>
        </w:rPr>
        <w:t>e to the needs and aspirations of Aboriginal and Torres Strait Islander people to ensure they enjoy the highest attainable standard of health and wellbeing</w:t>
      </w:r>
      <w:r w:rsidR="003F1161" w:rsidRPr="00261C59">
        <w:rPr>
          <w:rFonts w:ascii="Calibri" w:hAnsi="Calibri"/>
          <w:sz w:val="24"/>
          <w:szCs w:val="24"/>
        </w:rPr>
        <w:t xml:space="preserve"> and experience a health system that is culturally safe and free of racism</w:t>
      </w:r>
    </w:p>
    <w:p w14:paraId="730DEA28" w14:textId="1ACB8ECD"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is supported by a sufficient and skilled health workforce</w:t>
      </w:r>
    </w:p>
    <w:p w14:paraId="77DD0321" w14:textId="0E321E80"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is agile, innovative and efficient, able to effectively and sustainably respond to needs of individuals and communities, emerging technologies and models of care </w:t>
      </w:r>
    </w:p>
    <w:p w14:paraId="74CDF9E7" w14:textId="33C8C7AD"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is financially sustainable</w:t>
      </w:r>
    </w:p>
    <w:p w14:paraId="2DB42DB7" w14:textId="38A11403" w:rsidR="001B6918"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is environmentally sustainable and climate resilient</w:t>
      </w:r>
      <w:r w:rsidR="00030179" w:rsidRPr="00261C59">
        <w:rPr>
          <w:rFonts w:ascii="Calibri" w:hAnsi="Calibri"/>
          <w:sz w:val="24"/>
          <w:szCs w:val="24"/>
        </w:rPr>
        <w:t>, with a national trajectory to net zero emissions</w:t>
      </w:r>
    </w:p>
    <w:p w14:paraId="423E11F4" w14:textId="3B4F3A63"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is adaptive in forecasting and planning for current and fu</w:t>
      </w:r>
      <w:r w:rsidR="008D4CB2" w:rsidRPr="00261C59">
        <w:rPr>
          <w:rFonts w:ascii="Calibri" w:hAnsi="Calibri"/>
          <w:sz w:val="24"/>
          <w:szCs w:val="24"/>
        </w:rPr>
        <w:t>t</w:t>
      </w:r>
      <w:r w:rsidRPr="00261C59">
        <w:rPr>
          <w:rFonts w:ascii="Calibri" w:hAnsi="Calibri"/>
          <w:sz w:val="24"/>
          <w:szCs w:val="24"/>
        </w:rPr>
        <w:t>ure challenges</w:t>
      </w:r>
      <w:bookmarkEnd w:id="13"/>
      <w:r w:rsidRPr="00261C59">
        <w:rPr>
          <w:rFonts w:ascii="Calibri" w:hAnsi="Calibri"/>
          <w:sz w:val="24"/>
          <w:szCs w:val="24"/>
        </w:rPr>
        <w:t xml:space="preserve">. </w:t>
      </w:r>
    </w:p>
    <w:p w14:paraId="6243A185" w14:textId="77777777" w:rsidR="00322C2C" w:rsidRPr="00261C59" w:rsidRDefault="00322C2C" w:rsidP="00814D08">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14" w:name="_Key_elements"/>
      <w:bookmarkStart w:id="15" w:name="_Toc165886203"/>
      <w:bookmarkStart w:id="16" w:name="_Toc210833566"/>
      <w:bookmarkStart w:id="17" w:name="_Toc214456466"/>
      <w:bookmarkStart w:id="18" w:name="_Toc221087945"/>
      <w:bookmarkStart w:id="19" w:name="_Hlk169619422"/>
      <w:bookmarkStart w:id="20" w:name="_Toc165886207"/>
      <w:bookmarkStart w:id="21" w:name="_Toc165886202"/>
      <w:bookmarkEnd w:id="14"/>
      <w:r w:rsidRPr="00261C59">
        <w:rPr>
          <w:rFonts w:ascii="Corbel" w:eastAsia="Times New Roman" w:hAnsi="Corbel"/>
          <w:b w:val="0"/>
          <w:bCs w:val="0"/>
          <w:iCs w:val="0"/>
          <w:color w:val="3D4B67"/>
          <w:sz w:val="28"/>
          <w:szCs w:val="48"/>
          <w:lang w:eastAsia="ja-JP"/>
        </w:rPr>
        <w:t>Principles</w:t>
      </w:r>
      <w:bookmarkEnd w:id="15"/>
      <w:bookmarkEnd w:id="16"/>
      <w:bookmarkEnd w:id="17"/>
      <w:bookmarkEnd w:id="18"/>
    </w:p>
    <w:p w14:paraId="57984A06" w14:textId="6E7BB761" w:rsidR="00322C2C" w:rsidRPr="00261C59" w:rsidRDefault="00322C2C" w:rsidP="004728D9">
      <w:pPr>
        <w:widowControl/>
        <w:numPr>
          <w:ilvl w:val="0"/>
          <w:numId w:val="52"/>
        </w:numPr>
        <w:spacing w:after="240" w:line="260" w:lineRule="exact"/>
        <w:jc w:val="left"/>
        <w:rPr>
          <w:rFonts w:ascii="Calibri" w:hAnsi="Calibri"/>
          <w:sz w:val="24"/>
          <w:szCs w:val="24"/>
        </w:rPr>
      </w:pPr>
      <w:r w:rsidRPr="00261C59">
        <w:rPr>
          <w:rFonts w:ascii="Calibri" w:hAnsi="Calibri"/>
          <w:sz w:val="24"/>
          <w:szCs w:val="24"/>
        </w:rPr>
        <w:t>The Parties agree that people</w:t>
      </w:r>
      <w:r w:rsidRPr="00261C59">
        <w:rPr>
          <w:rFonts w:asciiTheme="minorHAnsi" w:hAnsiTheme="minorHAnsi" w:cstheme="minorHAnsi"/>
          <w:sz w:val="24"/>
          <w:szCs w:val="24"/>
        </w:rPr>
        <w:t xml:space="preserve"> should be at the core of our health system</w:t>
      </w:r>
      <w:r w:rsidR="00A953F9" w:rsidRPr="00261C59">
        <w:rPr>
          <w:rFonts w:ascii="Calibri" w:eastAsia="Calibri" w:hAnsi="Calibri" w:cs="Calibri"/>
          <w:sz w:val="24"/>
          <w:szCs w:val="24"/>
        </w:rPr>
        <w:t xml:space="preserve"> and </w:t>
      </w:r>
      <w:r w:rsidR="00D3347C" w:rsidRPr="00261C59">
        <w:rPr>
          <w:rFonts w:ascii="Calibri" w:eastAsia="Calibri" w:hAnsi="Calibri" w:cs="Calibri"/>
          <w:sz w:val="24"/>
          <w:szCs w:val="24"/>
        </w:rPr>
        <w:t>will</w:t>
      </w:r>
      <w:r w:rsidR="00A953F9" w:rsidRPr="00261C59">
        <w:rPr>
          <w:rFonts w:ascii="Calibri" w:eastAsia="Calibri" w:hAnsi="Calibri" w:cs="Calibri"/>
          <w:sz w:val="24"/>
          <w:szCs w:val="24"/>
        </w:rPr>
        <w:t xml:space="preserve"> work in partnership to deliver an effective</w:t>
      </w:r>
      <w:r w:rsidR="00D11025" w:rsidRPr="00261C59">
        <w:rPr>
          <w:rFonts w:ascii="Calibri" w:eastAsia="Calibri" w:hAnsi="Calibri" w:cs="Calibri"/>
          <w:sz w:val="24"/>
          <w:szCs w:val="24"/>
        </w:rPr>
        <w:t>,</w:t>
      </w:r>
      <w:r w:rsidR="00A953F9" w:rsidRPr="00261C59">
        <w:rPr>
          <w:rFonts w:ascii="Calibri" w:eastAsia="Calibri" w:hAnsi="Calibri" w:cs="Calibri"/>
          <w:sz w:val="24"/>
          <w:szCs w:val="24"/>
        </w:rPr>
        <w:t xml:space="preserve"> integrated health system t</w:t>
      </w:r>
      <w:r w:rsidR="00D11025" w:rsidRPr="00261C59">
        <w:rPr>
          <w:rFonts w:ascii="Calibri" w:eastAsia="Calibri" w:hAnsi="Calibri" w:cs="Calibri"/>
          <w:sz w:val="24"/>
          <w:szCs w:val="24"/>
        </w:rPr>
        <w:t>hat</w:t>
      </w:r>
      <w:r w:rsidR="00A953F9" w:rsidRPr="00261C59">
        <w:rPr>
          <w:rFonts w:ascii="Calibri" w:eastAsia="Calibri" w:hAnsi="Calibri" w:cs="Calibri"/>
          <w:sz w:val="24"/>
          <w:szCs w:val="24"/>
        </w:rPr>
        <w:t xml:space="preserve"> reduce</w:t>
      </w:r>
      <w:r w:rsidR="00D11025" w:rsidRPr="00261C59">
        <w:rPr>
          <w:rFonts w:ascii="Calibri" w:eastAsia="Calibri" w:hAnsi="Calibri" w:cs="Calibri"/>
          <w:sz w:val="24"/>
          <w:szCs w:val="24"/>
        </w:rPr>
        <w:t>s</w:t>
      </w:r>
      <w:r w:rsidR="00A953F9" w:rsidRPr="00261C59">
        <w:rPr>
          <w:rFonts w:ascii="Calibri" w:eastAsia="Calibri" w:hAnsi="Calibri" w:cs="Calibri"/>
          <w:sz w:val="24"/>
          <w:szCs w:val="24"/>
        </w:rPr>
        <w:t xml:space="preserve"> service duplication and fragmentation</w:t>
      </w:r>
      <w:r w:rsidRPr="00261C59">
        <w:rPr>
          <w:rFonts w:asciiTheme="minorHAnsi" w:hAnsiTheme="minorHAnsi" w:cstheme="minorHAnsi"/>
          <w:sz w:val="24"/>
          <w:szCs w:val="24"/>
        </w:rPr>
        <w:t xml:space="preserve">. This Addendum </w:t>
      </w:r>
      <w:r w:rsidR="00907445" w:rsidRPr="00261C59">
        <w:rPr>
          <w:rFonts w:asciiTheme="minorHAnsi" w:hAnsiTheme="minorHAnsi" w:cstheme="minorHAnsi"/>
          <w:sz w:val="24"/>
          <w:szCs w:val="24"/>
        </w:rPr>
        <w:t>amends</w:t>
      </w:r>
      <w:r w:rsidR="00D2515C" w:rsidRPr="00261C59">
        <w:rPr>
          <w:rFonts w:asciiTheme="minorHAnsi" w:hAnsiTheme="minorHAnsi" w:cstheme="minorHAnsi"/>
          <w:sz w:val="24"/>
          <w:szCs w:val="24"/>
        </w:rPr>
        <w:t xml:space="preserve"> the National Health Reform Agreement (NHRA) </w:t>
      </w:r>
      <w:r w:rsidR="003B5436" w:rsidRPr="00261C59">
        <w:rPr>
          <w:rFonts w:asciiTheme="minorHAnsi" w:hAnsiTheme="minorHAnsi" w:cstheme="minorHAnsi"/>
          <w:sz w:val="24"/>
          <w:szCs w:val="24"/>
        </w:rPr>
        <w:t xml:space="preserve">for the </w:t>
      </w:r>
      <w:r w:rsidR="0094548B" w:rsidRPr="00261C59">
        <w:rPr>
          <w:rFonts w:asciiTheme="minorHAnsi" w:hAnsiTheme="minorHAnsi" w:cstheme="minorHAnsi"/>
          <w:sz w:val="24"/>
          <w:szCs w:val="24"/>
        </w:rPr>
        <w:t>period 1 July 202</w:t>
      </w:r>
      <w:r w:rsidR="00C87F26" w:rsidRPr="00261C59">
        <w:rPr>
          <w:rFonts w:asciiTheme="minorHAnsi" w:hAnsiTheme="minorHAnsi" w:cstheme="minorHAnsi"/>
          <w:sz w:val="24"/>
          <w:szCs w:val="24"/>
        </w:rPr>
        <w:t>6</w:t>
      </w:r>
      <w:r w:rsidR="0094548B" w:rsidRPr="00261C59">
        <w:rPr>
          <w:rFonts w:asciiTheme="minorHAnsi" w:hAnsiTheme="minorHAnsi" w:cstheme="minorHAnsi"/>
          <w:sz w:val="24"/>
          <w:szCs w:val="24"/>
        </w:rPr>
        <w:t xml:space="preserve"> to </w:t>
      </w:r>
      <w:r w:rsidR="00C86DAF" w:rsidRPr="00261C59">
        <w:rPr>
          <w:rFonts w:asciiTheme="minorHAnsi" w:hAnsiTheme="minorHAnsi" w:cstheme="minorHAnsi"/>
          <w:sz w:val="24"/>
          <w:szCs w:val="24"/>
        </w:rPr>
        <w:t>30 June 203</w:t>
      </w:r>
      <w:r w:rsidR="00C87F26" w:rsidRPr="00261C59">
        <w:rPr>
          <w:rFonts w:asciiTheme="minorHAnsi" w:hAnsiTheme="minorHAnsi" w:cstheme="minorHAnsi"/>
          <w:sz w:val="24"/>
          <w:szCs w:val="24"/>
        </w:rPr>
        <w:t>1</w:t>
      </w:r>
      <w:r w:rsidR="00C86DAF" w:rsidRPr="00261C59">
        <w:rPr>
          <w:rFonts w:asciiTheme="minorHAnsi" w:hAnsiTheme="minorHAnsi" w:cstheme="minorHAnsi"/>
          <w:sz w:val="24"/>
          <w:szCs w:val="24"/>
        </w:rPr>
        <w:t xml:space="preserve">, and </w:t>
      </w:r>
      <w:r w:rsidRPr="00261C59">
        <w:rPr>
          <w:rFonts w:asciiTheme="minorHAnsi" w:hAnsiTheme="minorHAnsi" w:cstheme="minorHAnsi"/>
          <w:sz w:val="24"/>
          <w:szCs w:val="24"/>
        </w:rPr>
        <w:t>confirms ongoing commitment to person centred, culturally safe, trauma-informed</w:t>
      </w:r>
      <w:r w:rsidR="002F7AEE" w:rsidRPr="00261C59">
        <w:rPr>
          <w:rFonts w:asciiTheme="minorHAnsi" w:hAnsiTheme="minorHAnsi" w:cstheme="minorHAnsi"/>
          <w:sz w:val="24"/>
          <w:szCs w:val="24"/>
        </w:rPr>
        <w:t>,</w:t>
      </w:r>
      <w:r w:rsidRPr="00261C59">
        <w:rPr>
          <w:rFonts w:asciiTheme="minorHAnsi" w:hAnsiTheme="minorHAnsi" w:cstheme="minorHAnsi"/>
          <w:sz w:val="24"/>
          <w:szCs w:val="24"/>
        </w:rPr>
        <w:t xml:space="preserve"> and place-based care.</w:t>
      </w:r>
    </w:p>
    <w:p w14:paraId="7ECDF411" w14:textId="641F11DC" w:rsidR="273B64A8" w:rsidRPr="00261C59" w:rsidRDefault="00322C2C" w:rsidP="004728D9">
      <w:pPr>
        <w:widowControl/>
        <w:numPr>
          <w:ilvl w:val="0"/>
          <w:numId w:val="52"/>
        </w:numPr>
        <w:spacing w:after="240" w:line="260" w:lineRule="exact"/>
        <w:jc w:val="left"/>
        <w:rPr>
          <w:rFonts w:ascii="Calibri" w:eastAsia="Calibri" w:hAnsi="Calibri" w:cs="Calibri"/>
          <w:sz w:val="24"/>
          <w:szCs w:val="24"/>
          <w:lang w:val="en-GB"/>
        </w:rPr>
      </w:pPr>
      <w:r w:rsidRPr="00261C59">
        <w:rPr>
          <w:rFonts w:ascii="Calibri" w:hAnsi="Calibri"/>
          <w:sz w:val="24"/>
          <w:szCs w:val="24"/>
          <w:lang w:val="en-GB"/>
        </w:rPr>
        <w:t>All governments agree that the healthcare system will strive to eliminate differences in health status of those groups currently experiencing poor health outcomes relative to the wider community.</w:t>
      </w:r>
    </w:p>
    <w:p w14:paraId="682A442C" w14:textId="05E217B4" w:rsidR="00322C2C" w:rsidRPr="00261C59" w:rsidRDefault="00322C2C" w:rsidP="004728D9">
      <w:pPr>
        <w:widowControl/>
        <w:numPr>
          <w:ilvl w:val="0"/>
          <w:numId w:val="52"/>
        </w:numPr>
        <w:spacing w:after="240" w:line="260" w:lineRule="exact"/>
        <w:jc w:val="left"/>
        <w:rPr>
          <w:rFonts w:asciiTheme="minorHAnsi" w:hAnsiTheme="minorHAnsi" w:cstheme="minorHAnsi"/>
          <w:sz w:val="24"/>
          <w:szCs w:val="24"/>
        </w:rPr>
      </w:pPr>
      <w:r w:rsidRPr="00261C59">
        <w:rPr>
          <w:rFonts w:ascii="Calibri" w:hAnsi="Calibri"/>
          <w:sz w:val="24"/>
          <w:szCs w:val="24"/>
        </w:rPr>
        <w:t xml:space="preserve">The Parties </w:t>
      </w:r>
      <w:r w:rsidR="00797BE6" w:rsidRPr="00261C59">
        <w:rPr>
          <w:rFonts w:ascii="Calibri" w:hAnsi="Calibri"/>
          <w:sz w:val="24"/>
          <w:szCs w:val="24"/>
        </w:rPr>
        <w:t>re-</w:t>
      </w:r>
      <w:r w:rsidRPr="00261C59">
        <w:rPr>
          <w:rFonts w:ascii="Calibri" w:hAnsi="Calibri"/>
          <w:sz w:val="24"/>
          <w:szCs w:val="24"/>
        </w:rPr>
        <w:t xml:space="preserve">affirm </w:t>
      </w:r>
      <w:r w:rsidR="00BB1D86" w:rsidRPr="00261C59">
        <w:rPr>
          <w:rFonts w:ascii="Calibri" w:hAnsi="Calibri"/>
          <w:sz w:val="24"/>
          <w:szCs w:val="24"/>
        </w:rPr>
        <w:t>their responsibility and</w:t>
      </w:r>
      <w:r w:rsidR="00797BE6" w:rsidRPr="00261C59">
        <w:rPr>
          <w:rFonts w:ascii="Calibri" w:hAnsi="Calibri"/>
          <w:sz w:val="24"/>
          <w:szCs w:val="24"/>
        </w:rPr>
        <w:t xml:space="preserve"> shared commitment </w:t>
      </w:r>
      <w:r w:rsidR="003C7A99" w:rsidRPr="00261C59">
        <w:rPr>
          <w:rFonts w:ascii="Calibri" w:hAnsi="Calibri"/>
          <w:sz w:val="24"/>
          <w:szCs w:val="24"/>
        </w:rPr>
        <w:t>to work in partnership</w:t>
      </w:r>
      <w:r w:rsidRPr="00261C59">
        <w:rPr>
          <w:rFonts w:ascii="Calibri" w:hAnsi="Calibri"/>
          <w:sz w:val="24"/>
          <w:szCs w:val="24"/>
        </w:rPr>
        <w:t xml:space="preserve"> </w:t>
      </w:r>
      <w:r w:rsidR="000E7258" w:rsidRPr="00261C59">
        <w:rPr>
          <w:rFonts w:ascii="Calibri" w:hAnsi="Calibri"/>
          <w:sz w:val="24"/>
          <w:szCs w:val="24"/>
        </w:rPr>
        <w:t xml:space="preserve">with Aboriginal and Torres Strait Islander </w:t>
      </w:r>
      <w:r w:rsidR="00A349FD" w:rsidRPr="00261C59">
        <w:rPr>
          <w:rFonts w:ascii="Calibri" w:hAnsi="Calibri"/>
          <w:sz w:val="24"/>
          <w:szCs w:val="24"/>
        </w:rPr>
        <w:t xml:space="preserve">people </w:t>
      </w:r>
      <w:r w:rsidR="001F0743" w:rsidRPr="00261C59">
        <w:rPr>
          <w:rFonts w:ascii="Calibri" w:hAnsi="Calibri"/>
          <w:sz w:val="24"/>
          <w:szCs w:val="24"/>
        </w:rPr>
        <w:t>to operationalise</w:t>
      </w:r>
      <w:r w:rsidR="000D4BEE" w:rsidRPr="00261C59">
        <w:rPr>
          <w:rFonts w:ascii="Calibri" w:hAnsi="Calibri"/>
          <w:sz w:val="24"/>
          <w:szCs w:val="24"/>
        </w:rPr>
        <w:t xml:space="preserve"> the National Agreement on Closing the Gap</w:t>
      </w:r>
      <w:r w:rsidR="00576D2C" w:rsidRPr="00261C59">
        <w:rPr>
          <w:rFonts w:ascii="Calibri" w:hAnsi="Calibri"/>
          <w:sz w:val="24"/>
          <w:szCs w:val="24"/>
        </w:rPr>
        <w:t>. H</w:t>
      </w:r>
      <w:r w:rsidR="00625323" w:rsidRPr="00261C59">
        <w:rPr>
          <w:rFonts w:ascii="Calibri" w:hAnsi="Calibri"/>
          <w:sz w:val="24"/>
          <w:szCs w:val="24"/>
        </w:rPr>
        <w:t xml:space="preserve">ealth system </w:t>
      </w:r>
      <w:r w:rsidR="00CF01DF" w:rsidRPr="00261C59">
        <w:rPr>
          <w:rFonts w:ascii="Calibri" w:hAnsi="Calibri"/>
          <w:sz w:val="24"/>
          <w:szCs w:val="24"/>
        </w:rPr>
        <w:t>reform</w:t>
      </w:r>
      <w:r w:rsidR="00576D2C" w:rsidRPr="00261C59">
        <w:rPr>
          <w:rFonts w:ascii="Calibri" w:hAnsi="Calibri"/>
          <w:sz w:val="24"/>
          <w:szCs w:val="24"/>
        </w:rPr>
        <w:t xml:space="preserve"> under this Addendum will be</w:t>
      </w:r>
      <w:r w:rsidR="00CF01DF" w:rsidRPr="00261C59">
        <w:rPr>
          <w:rFonts w:ascii="Calibri" w:hAnsi="Calibri"/>
          <w:sz w:val="24"/>
          <w:szCs w:val="24"/>
        </w:rPr>
        <w:t xml:space="preserve"> </w:t>
      </w:r>
      <w:r w:rsidR="00625323" w:rsidRPr="00261C59">
        <w:rPr>
          <w:rFonts w:ascii="Calibri" w:hAnsi="Calibri"/>
          <w:sz w:val="24"/>
          <w:szCs w:val="24"/>
        </w:rPr>
        <w:t>in line with</w:t>
      </w:r>
      <w:r w:rsidR="00531B71" w:rsidRPr="00261C59">
        <w:rPr>
          <w:rFonts w:ascii="Calibri" w:hAnsi="Calibri"/>
          <w:sz w:val="24"/>
          <w:szCs w:val="24"/>
        </w:rPr>
        <w:t xml:space="preserve"> the four</w:t>
      </w:r>
      <w:r w:rsidR="009569D1" w:rsidRPr="00261C59">
        <w:rPr>
          <w:rFonts w:ascii="Calibri" w:hAnsi="Calibri"/>
          <w:sz w:val="24"/>
          <w:szCs w:val="24"/>
        </w:rPr>
        <w:t xml:space="preserve"> Priority Reforms</w:t>
      </w:r>
      <w:r w:rsidR="00531B71" w:rsidRPr="00261C59">
        <w:rPr>
          <w:rFonts w:ascii="Calibri" w:hAnsi="Calibri"/>
          <w:sz w:val="24"/>
          <w:szCs w:val="24"/>
        </w:rPr>
        <w:t>:</w:t>
      </w:r>
      <w:r w:rsidR="009569D1" w:rsidRPr="00261C59">
        <w:rPr>
          <w:rFonts w:ascii="Calibri" w:hAnsi="Calibri"/>
          <w:sz w:val="24"/>
          <w:szCs w:val="24"/>
        </w:rPr>
        <w:t xml:space="preserve"> formal partnerships and decision making, building the community-controlled sector, transforming government organisations and their institutions, and shared access to data and information at the regional level.</w:t>
      </w:r>
      <w:r w:rsidRPr="00261C59">
        <w:rPr>
          <w:rFonts w:asciiTheme="minorHAnsi" w:hAnsiTheme="minorHAnsi" w:cstheme="minorHAnsi"/>
          <w:sz w:val="24"/>
          <w:szCs w:val="24"/>
        </w:rPr>
        <w:t xml:space="preserve"> </w:t>
      </w:r>
    </w:p>
    <w:p w14:paraId="37E09161" w14:textId="207DDB76" w:rsidR="00B3066A" w:rsidRPr="00261C59" w:rsidRDefault="006C658B" w:rsidP="004728D9">
      <w:pPr>
        <w:widowControl/>
        <w:numPr>
          <w:ilvl w:val="0"/>
          <w:numId w:val="52"/>
        </w:numPr>
        <w:spacing w:after="240" w:line="260" w:lineRule="exact"/>
        <w:jc w:val="left"/>
        <w:rPr>
          <w:rFonts w:asciiTheme="minorHAnsi" w:hAnsiTheme="minorHAnsi" w:cstheme="minorHAnsi"/>
          <w:sz w:val="24"/>
          <w:szCs w:val="24"/>
        </w:rPr>
      </w:pPr>
      <w:r w:rsidRPr="00261C59">
        <w:rPr>
          <w:rFonts w:asciiTheme="minorHAnsi" w:hAnsiTheme="minorHAnsi" w:cstheme="minorHAnsi"/>
          <w:sz w:val="24"/>
          <w:szCs w:val="24"/>
        </w:rPr>
        <w:lastRenderedPageBreak/>
        <w:t xml:space="preserve">Consistent with the National Aboriginal and Torres Strait Islander Health Plan 2021-2031, </w:t>
      </w:r>
      <w:r w:rsidR="00BE47A4" w:rsidRPr="00261C59">
        <w:rPr>
          <w:rFonts w:asciiTheme="minorHAnsi" w:hAnsiTheme="minorHAnsi" w:cstheme="minorHAnsi"/>
          <w:sz w:val="24"/>
          <w:szCs w:val="24"/>
        </w:rPr>
        <w:t>Parties agree the health system must recognise and embed</w:t>
      </w:r>
      <w:r w:rsidR="00CC1E1A" w:rsidRPr="00261C59">
        <w:rPr>
          <w:rFonts w:asciiTheme="minorHAnsi" w:hAnsiTheme="minorHAnsi" w:cstheme="minorHAnsi"/>
          <w:sz w:val="24"/>
          <w:szCs w:val="24"/>
        </w:rPr>
        <w:t xml:space="preserve"> Aboriginal and Torres Strait Islander holistic health and wellbeing</w:t>
      </w:r>
      <w:r w:rsidR="001060B2" w:rsidRPr="00261C59">
        <w:rPr>
          <w:rFonts w:asciiTheme="minorHAnsi" w:hAnsiTheme="minorHAnsi" w:cstheme="minorHAnsi"/>
          <w:sz w:val="24"/>
          <w:szCs w:val="24"/>
        </w:rPr>
        <w:t>,</w:t>
      </w:r>
      <w:r w:rsidR="00B3066A" w:rsidRPr="00261C59">
        <w:rPr>
          <w:rFonts w:asciiTheme="minorHAnsi" w:hAnsiTheme="minorHAnsi" w:cstheme="minorHAnsi"/>
          <w:sz w:val="24"/>
          <w:szCs w:val="24"/>
        </w:rPr>
        <w:t xml:space="preserve"> the cultural determinants of health, the social determinants of health and a life course approach.</w:t>
      </w:r>
    </w:p>
    <w:p w14:paraId="38863290" w14:textId="3E66D281" w:rsidR="00322C2C" w:rsidRPr="00261C59" w:rsidRDefault="00322C2C" w:rsidP="004728D9">
      <w:pPr>
        <w:keepNext/>
        <w:keepLines/>
        <w:widowControl/>
        <w:numPr>
          <w:ilvl w:val="0"/>
          <w:numId w:val="52"/>
        </w:numPr>
        <w:spacing w:after="240" w:line="260" w:lineRule="exact"/>
        <w:jc w:val="left"/>
        <w:rPr>
          <w:rFonts w:ascii="Calibri" w:hAnsi="Calibri"/>
          <w:sz w:val="24"/>
          <w:szCs w:val="24"/>
        </w:rPr>
      </w:pPr>
      <w:r w:rsidRPr="00261C59">
        <w:rPr>
          <w:rFonts w:ascii="Calibri" w:hAnsi="Calibri"/>
          <w:sz w:val="24"/>
          <w:szCs w:val="24"/>
        </w:rPr>
        <w:t xml:space="preserve">Activities under this Addendum will </w:t>
      </w:r>
      <w:r w:rsidR="00B27305" w:rsidRPr="00261C59">
        <w:rPr>
          <w:rFonts w:ascii="Calibri" w:hAnsi="Calibri"/>
          <w:sz w:val="24"/>
          <w:szCs w:val="24"/>
        </w:rPr>
        <w:t xml:space="preserve">also </w:t>
      </w:r>
      <w:r w:rsidRPr="00261C59">
        <w:rPr>
          <w:rFonts w:ascii="Calibri" w:hAnsi="Calibri"/>
          <w:sz w:val="24"/>
          <w:szCs w:val="24"/>
        </w:rPr>
        <w:t>help embed preventive health in services delivered to those already receiving care in the health system for existing conditions (secondary prevention), as well as alignment with and support for strategies and policies designed to keep people healthy and well in the community (primary prevention).</w:t>
      </w:r>
    </w:p>
    <w:p w14:paraId="0F4E8B58" w14:textId="5FF4831A" w:rsidR="00322C2C" w:rsidRPr="00261C59" w:rsidRDefault="00322C2C" w:rsidP="004728D9">
      <w:pPr>
        <w:widowControl/>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t>All governments and bodies described in this Addendum will make use of the best available information, will foster innovation and shar</w:t>
      </w:r>
      <w:r w:rsidR="00387FC0" w:rsidRPr="00261C59">
        <w:rPr>
          <w:rFonts w:ascii="Calibri" w:hAnsi="Calibri"/>
          <w:sz w:val="24"/>
          <w:szCs w:val="24"/>
          <w:lang w:val="en-GB"/>
        </w:rPr>
        <w:t>e</w:t>
      </w:r>
      <w:r w:rsidRPr="00261C59">
        <w:rPr>
          <w:rFonts w:ascii="Calibri" w:hAnsi="Calibri"/>
          <w:sz w:val="24"/>
          <w:szCs w:val="24"/>
          <w:lang w:val="en-GB"/>
        </w:rPr>
        <w:t xml:space="preserve"> </w:t>
      </w:r>
      <w:r w:rsidR="00507F49" w:rsidRPr="00261C59">
        <w:rPr>
          <w:rFonts w:ascii="Calibri" w:hAnsi="Calibri"/>
          <w:sz w:val="24"/>
          <w:szCs w:val="24"/>
          <w:lang w:val="en-GB"/>
        </w:rPr>
        <w:t>approaches</w:t>
      </w:r>
      <w:r w:rsidRPr="00261C59">
        <w:rPr>
          <w:rFonts w:ascii="Calibri" w:hAnsi="Calibri"/>
          <w:sz w:val="24"/>
          <w:szCs w:val="24"/>
          <w:lang w:val="en-GB"/>
        </w:rPr>
        <w:t xml:space="preserve"> to continuously improve and reflect best-practice service delivery in the system, to </w:t>
      </w:r>
      <w:r w:rsidR="00F869D8" w:rsidRPr="00261C59">
        <w:rPr>
          <w:rFonts w:ascii="Calibri" w:hAnsi="Calibri"/>
          <w:sz w:val="24"/>
          <w:szCs w:val="24"/>
          <w:lang w:val="en-GB"/>
        </w:rPr>
        <w:t xml:space="preserve">benefit </w:t>
      </w:r>
      <w:r w:rsidRPr="00261C59">
        <w:rPr>
          <w:rFonts w:ascii="Calibri" w:hAnsi="Calibri"/>
          <w:sz w:val="24"/>
          <w:szCs w:val="24"/>
          <w:lang w:val="en-GB"/>
        </w:rPr>
        <w:t>the health of all Australians.</w:t>
      </w:r>
    </w:p>
    <w:p w14:paraId="534457F4" w14:textId="77777777" w:rsidR="00322C2C" w:rsidRPr="00261C59" w:rsidRDefault="00322C2C" w:rsidP="004728D9">
      <w:pPr>
        <w:widowControl/>
        <w:numPr>
          <w:ilvl w:val="0"/>
          <w:numId w:val="52"/>
        </w:numPr>
        <w:spacing w:after="240" w:line="260" w:lineRule="exact"/>
        <w:jc w:val="left"/>
        <w:rPr>
          <w:rFonts w:ascii="Calibri" w:hAnsi="Calibri"/>
          <w:sz w:val="24"/>
          <w:szCs w:val="24"/>
        </w:rPr>
      </w:pPr>
      <w:r w:rsidRPr="00261C59">
        <w:rPr>
          <w:rFonts w:ascii="Calibri" w:hAnsi="Calibri"/>
          <w:sz w:val="24"/>
          <w:szCs w:val="24"/>
        </w:rPr>
        <w:t xml:space="preserve">The Parties commit to taking a learning system approach to implementing commitments outlined in this Addendum, including undertaking evaluation to assess progress on outcomes described below, and an evidence-based approach to scaling up successes. </w:t>
      </w:r>
    </w:p>
    <w:p w14:paraId="7FEF1330" w14:textId="3E9E51F9" w:rsidR="00322C2C" w:rsidRPr="00261C59" w:rsidRDefault="00322C2C" w:rsidP="004728D9">
      <w:pPr>
        <w:widowControl/>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The Parties recognise the importance of community and clinician engagement and the role of the </w:t>
      </w:r>
      <w:r w:rsidR="4A711618" w:rsidRPr="00261C59">
        <w:rPr>
          <w:rFonts w:ascii="Calibri" w:hAnsi="Calibri"/>
          <w:sz w:val="24"/>
          <w:szCs w:val="24"/>
          <w:lang w:val="en-GB"/>
        </w:rPr>
        <w:t xml:space="preserve">Aboriginal and Torres Strait Islander community-controlled, </w:t>
      </w:r>
      <w:r w:rsidRPr="00261C59">
        <w:rPr>
          <w:rFonts w:ascii="Calibri" w:hAnsi="Calibri"/>
          <w:sz w:val="24"/>
          <w:szCs w:val="24"/>
          <w:lang w:val="en-GB"/>
        </w:rPr>
        <w:t>private</w:t>
      </w:r>
      <w:r w:rsidR="1454965D" w:rsidRPr="00261C59">
        <w:rPr>
          <w:rFonts w:ascii="Calibri" w:hAnsi="Calibri"/>
          <w:sz w:val="24"/>
          <w:szCs w:val="24"/>
          <w:lang w:val="en-GB"/>
        </w:rPr>
        <w:t>,</w:t>
      </w:r>
      <w:r w:rsidRPr="00261C59">
        <w:rPr>
          <w:rFonts w:ascii="Calibri" w:hAnsi="Calibri"/>
          <w:sz w:val="24"/>
          <w:szCs w:val="24"/>
          <w:lang w:val="en-GB"/>
        </w:rPr>
        <w:t xml:space="preserve"> and not-for-profit sectors in supporting and delivering health system outcomes. Parties commit where appropriate to engaging providers, clinicians and communities in the design and delivery of services under this Addendum, such as new models of care.</w:t>
      </w:r>
    </w:p>
    <w:p w14:paraId="11C019B1" w14:textId="77777777" w:rsidR="00322C2C" w:rsidRPr="00261C59" w:rsidRDefault="00322C2C" w:rsidP="004728D9">
      <w:pPr>
        <w:numPr>
          <w:ilvl w:val="0"/>
          <w:numId w:val="52"/>
        </w:numPr>
        <w:spacing w:after="240" w:line="260" w:lineRule="exact"/>
        <w:jc w:val="left"/>
        <w:rPr>
          <w:rFonts w:asciiTheme="minorHAnsi" w:hAnsiTheme="minorHAnsi" w:cstheme="minorHAnsi"/>
          <w:sz w:val="24"/>
          <w:szCs w:val="24"/>
        </w:rPr>
      </w:pPr>
      <w:r w:rsidRPr="00261C59">
        <w:rPr>
          <w:rFonts w:asciiTheme="minorHAnsi" w:hAnsiTheme="minorHAnsi" w:cstheme="minorHAnsi"/>
          <w:sz w:val="24"/>
          <w:szCs w:val="24"/>
        </w:rPr>
        <w:t>In progressing shared national priorities agreed under this Addendum, States and Territories will have flexibility to prioritise service delivery reforms according to local needs and priorities.</w:t>
      </w:r>
    </w:p>
    <w:p w14:paraId="11A65B84" w14:textId="77777777" w:rsidR="00322C2C" w:rsidRPr="00261C59" w:rsidRDefault="00322C2C" w:rsidP="00814D08">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22" w:name="_Toc210833567"/>
      <w:bookmarkStart w:id="23" w:name="_Toc214456467"/>
      <w:bookmarkStart w:id="24" w:name="_Toc221087946"/>
      <w:bookmarkEnd w:id="19"/>
      <w:r w:rsidRPr="00261C59">
        <w:rPr>
          <w:rFonts w:ascii="Corbel" w:eastAsia="Times New Roman" w:hAnsi="Corbel" w:cs="Arial"/>
          <w:iCs/>
          <w:color w:val="3D4B67"/>
          <w:sz w:val="28"/>
          <w:szCs w:val="28"/>
        </w:rPr>
        <w:t>Objectives and outcomes</w:t>
      </w:r>
      <w:bookmarkEnd w:id="20"/>
      <w:bookmarkEnd w:id="22"/>
      <w:bookmarkEnd w:id="23"/>
      <w:bookmarkEnd w:id="24"/>
    </w:p>
    <w:p w14:paraId="3611A3FB" w14:textId="293F41E8" w:rsidR="00322C2C" w:rsidRPr="00261C59" w:rsidRDefault="00322C2C" w:rsidP="004728D9">
      <w:pPr>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t>The Parties recognise this Addendum provides an opportunity for all governments to work together to ensure their collective investments in healthcare can advance reform that delivers:</w:t>
      </w:r>
    </w:p>
    <w:p w14:paraId="5DCCA388" w14:textId="42A95EBF" w:rsidR="00322C2C" w:rsidRPr="00261C59" w:rsidRDefault="00D6387D"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b</w:t>
      </w:r>
      <w:r w:rsidR="00322C2C" w:rsidRPr="00261C59">
        <w:rPr>
          <w:rFonts w:ascii="Calibri" w:hAnsi="Calibri"/>
          <w:sz w:val="24"/>
          <w:szCs w:val="24"/>
        </w:rPr>
        <w:t xml:space="preserve">etter health outcomes </w:t>
      </w:r>
      <w:r w:rsidR="00073156" w:rsidRPr="00261C59">
        <w:rPr>
          <w:rFonts w:ascii="Calibri" w:hAnsi="Calibri"/>
          <w:sz w:val="24"/>
          <w:szCs w:val="24"/>
        </w:rPr>
        <w:t xml:space="preserve">and experiences </w:t>
      </w:r>
      <w:r w:rsidR="00322C2C" w:rsidRPr="00261C59">
        <w:rPr>
          <w:rFonts w:ascii="Calibri" w:hAnsi="Calibri"/>
          <w:sz w:val="24"/>
          <w:szCs w:val="24"/>
        </w:rPr>
        <w:t>for all Australians and better value for patients</w:t>
      </w:r>
    </w:p>
    <w:p w14:paraId="0EAA7FF6" w14:textId="5B5602E8" w:rsidR="00322C2C" w:rsidRPr="00261C59" w:rsidRDefault="00D6387D"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s</w:t>
      </w:r>
      <w:r w:rsidR="00322C2C" w:rsidRPr="00261C59">
        <w:rPr>
          <w:rFonts w:ascii="Calibri" w:hAnsi="Calibri"/>
          <w:sz w:val="24"/>
          <w:szCs w:val="24"/>
        </w:rPr>
        <w:t>tronger shared stewardship of the whole health system</w:t>
      </w:r>
    </w:p>
    <w:p w14:paraId="3DFBB4E4" w14:textId="45261D25" w:rsidR="00322C2C" w:rsidRPr="00261C59" w:rsidRDefault="00D6387D"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a</w:t>
      </w:r>
      <w:r w:rsidR="00322C2C" w:rsidRPr="00261C59">
        <w:rPr>
          <w:rFonts w:ascii="Calibri" w:hAnsi="Calibri"/>
          <w:sz w:val="24"/>
          <w:szCs w:val="24"/>
          <w:lang w:val="en-GB"/>
        </w:rPr>
        <w:t xml:space="preserve"> simpler, more equitable public hospital and health services funding model</w:t>
      </w:r>
      <w:r w:rsidR="000A7F2E" w:rsidRPr="00261C59">
        <w:rPr>
          <w:rFonts w:ascii="Calibri" w:hAnsi="Calibri"/>
          <w:sz w:val="24"/>
          <w:szCs w:val="24"/>
          <w:lang w:val="en-GB"/>
        </w:rPr>
        <w:t>.</w:t>
      </w:r>
    </w:p>
    <w:p w14:paraId="7C577554" w14:textId="77777777" w:rsidR="00322C2C" w:rsidRPr="00261C59" w:rsidRDefault="00322C2C" w:rsidP="004728D9">
      <w:pPr>
        <w:keepNext/>
        <w:widowControl/>
        <w:numPr>
          <w:ilvl w:val="0"/>
          <w:numId w:val="52"/>
        </w:numPr>
        <w:spacing w:after="240" w:line="260" w:lineRule="exact"/>
        <w:jc w:val="left"/>
        <w:rPr>
          <w:rFonts w:ascii="Calibri" w:hAnsi="Calibri"/>
          <w:sz w:val="24"/>
          <w:szCs w:val="24"/>
        </w:rPr>
      </w:pPr>
      <w:r w:rsidRPr="00261C59">
        <w:rPr>
          <w:rFonts w:ascii="Calibri" w:hAnsi="Calibri"/>
          <w:sz w:val="24"/>
          <w:szCs w:val="24"/>
        </w:rPr>
        <w:t xml:space="preserve">The Parties commit to working in partnership to implement arrangements to achieve the following health system outcomes: </w:t>
      </w:r>
    </w:p>
    <w:p w14:paraId="423D03F0" w14:textId="77777777"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Appropriate care</w:t>
      </w:r>
    </w:p>
    <w:p w14:paraId="39CCE1BC" w14:textId="3AFE6C78" w:rsidR="00322C2C" w:rsidRPr="00261C59" w:rsidRDefault="00322C2C" w:rsidP="004728D9">
      <w:pPr>
        <w:numPr>
          <w:ilvl w:val="2"/>
          <w:numId w:val="52"/>
        </w:numPr>
        <w:spacing w:after="240" w:line="260" w:lineRule="exact"/>
        <w:ind w:left="1842" w:hanging="181"/>
        <w:jc w:val="left"/>
        <w:rPr>
          <w:rFonts w:ascii="Calibri" w:hAnsi="Calibri"/>
          <w:sz w:val="24"/>
          <w:szCs w:val="24"/>
          <w:lang w:val="en-GB"/>
        </w:rPr>
      </w:pPr>
      <w:r w:rsidRPr="00261C59">
        <w:rPr>
          <w:rFonts w:ascii="Calibri" w:hAnsi="Calibri"/>
          <w:sz w:val="24"/>
          <w:szCs w:val="24"/>
          <w:lang w:val="en-GB"/>
        </w:rPr>
        <w:t>People access optimal models of care that encourage a shift to community care (Outcome 1.1)</w:t>
      </w:r>
    </w:p>
    <w:p w14:paraId="03FCB115" w14:textId="4D94188D" w:rsidR="00322C2C" w:rsidRPr="00261C59" w:rsidRDefault="00322C2C" w:rsidP="004728D9">
      <w:pPr>
        <w:widowControl/>
        <w:numPr>
          <w:ilvl w:val="2"/>
          <w:numId w:val="52"/>
        </w:numPr>
        <w:spacing w:after="240" w:line="260" w:lineRule="exact"/>
        <w:jc w:val="left"/>
        <w:rPr>
          <w:rFonts w:ascii="Calibri" w:hAnsi="Calibri"/>
          <w:sz w:val="24"/>
          <w:szCs w:val="24"/>
        </w:rPr>
      </w:pPr>
      <w:r w:rsidRPr="00261C59">
        <w:rPr>
          <w:rFonts w:ascii="Calibri" w:hAnsi="Calibri"/>
          <w:sz w:val="24"/>
          <w:szCs w:val="24"/>
        </w:rPr>
        <w:t>Demand for care is efficiently managed across public hospital and health services and alleviated by adjacent health and care systems</w:t>
      </w:r>
      <w:r w:rsidRPr="00261C59">
        <w:rPr>
          <w:rStyle w:val="FootnoteReference"/>
          <w:rFonts w:ascii="Calibri" w:hAnsi="Calibri"/>
          <w:sz w:val="24"/>
          <w:szCs w:val="24"/>
        </w:rPr>
        <w:footnoteReference w:id="2"/>
      </w:r>
      <w:r w:rsidRPr="00261C59">
        <w:rPr>
          <w:rFonts w:ascii="Calibri" w:hAnsi="Calibri"/>
          <w:sz w:val="24"/>
          <w:szCs w:val="24"/>
        </w:rPr>
        <w:t xml:space="preserve"> (Outcome 1.2)</w:t>
      </w:r>
    </w:p>
    <w:p w14:paraId="1022268F" w14:textId="457EB4B6" w:rsidR="00322C2C" w:rsidRPr="00261C59" w:rsidRDefault="003270FE" w:rsidP="004728D9">
      <w:pPr>
        <w:keepLines/>
        <w:widowControl/>
        <w:numPr>
          <w:ilvl w:val="2"/>
          <w:numId w:val="52"/>
        </w:numPr>
        <w:spacing w:after="240" w:line="260" w:lineRule="exact"/>
        <w:jc w:val="left"/>
        <w:rPr>
          <w:rFonts w:ascii="Calibri" w:hAnsi="Calibri"/>
          <w:sz w:val="24"/>
          <w:szCs w:val="24"/>
        </w:rPr>
      </w:pPr>
      <w:r w:rsidRPr="00261C59">
        <w:rPr>
          <w:rFonts w:ascii="Calibri" w:hAnsi="Calibri"/>
          <w:sz w:val="24"/>
          <w:szCs w:val="24"/>
        </w:rPr>
        <w:lastRenderedPageBreak/>
        <w:t>P</w:t>
      </w:r>
      <w:r w:rsidR="00322C2C" w:rsidRPr="00261C59">
        <w:rPr>
          <w:rFonts w:ascii="Calibri" w:hAnsi="Calibri"/>
          <w:sz w:val="24"/>
          <w:szCs w:val="24"/>
        </w:rPr>
        <w:t>revention and health promotion strategies are used to keep people well and reduce the burden of disease (Outcome 1.3)</w:t>
      </w:r>
    </w:p>
    <w:p w14:paraId="092DEAB5" w14:textId="77777777" w:rsidR="00322C2C" w:rsidRPr="00261C59" w:rsidRDefault="00322C2C" w:rsidP="004728D9">
      <w:pPr>
        <w:keepNext/>
        <w:numPr>
          <w:ilvl w:val="1"/>
          <w:numId w:val="52"/>
        </w:numPr>
        <w:spacing w:after="240" w:line="260" w:lineRule="exact"/>
        <w:jc w:val="left"/>
        <w:rPr>
          <w:rFonts w:ascii="Calibri" w:hAnsi="Calibri"/>
          <w:sz w:val="24"/>
          <w:szCs w:val="24"/>
        </w:rPr>
      </w:pPr>
      <w:r w:rsidRPr="00261C59">
        <w:rPr>
          <w:rFonts w:ascii="Calibri" w:hAnsi="Calibri"/>
          <w:sz w:val="24"/>
          <w:szCs w:val="24"/>
        </w:rPr>
        <w:t>Quality care</w:t>
      </w:r>
    </w:p>
    <w:p w14:paraId="4191E26B" w14:textId="28E77BA4" w:rsidR="00322C2C" w:rsidRPr="00261C59" w:rsidRDefault="00322C2C" w:rsidP="004728D9">
      <w:pPr>
        <w:numPr>
          <w:ilvl w:val="2"/>
          <w:numId w:val="52"/>
        </w:numPr>
        <w:spacing w:after="240" w:line="260" w:lineRule="exact"/>
        <w:jc w:val="left"/>
        <w:rPr>
          <w:rFonts w:ascii="Calibri" w:hAnsi="Calibri"/>
          <w:sz w:val="24"/>
          <w:szCs w:val="24"/>
        </w:rPr>
      </w:pPr>
      <w:r w:rsidRPr="00261C59">
        <w:rPr>
          <w:rFonts w:ascii="Calibri" w:hAnsi="Calibri"/>
          <w:sz w:val="24"/>
          <w:szCs w:val="24"/>
        </w:rPr>
        <w:t>People receive continuity of care across health and other care systems (Outcome 2.1)</w:t>
      </w:r>
    </w:p>
    <w:p w14:paraId="14A7F359" w14:textId="537F0E08" w:rsidR="00322C2C" w:rsidRPr="00261C59" w:rsidRDefault="00322C2C" w:rsidP="004728D9">
      <w:pPr>
        <w:numPr>
          <w:ilvl w:val="2"/>
          <w:numId w:val="52"/>
        </w:numPr>
        <w:spacing w:after="240" w:line="260" w:lineRule="exact"/>
        <w:jc w:val="left"/>
        <w:rPr>
          <w:rFonts w:ascii="Calibri" w:hAnsi="Calibri"/>
          <w:sz w:val="24"/>
          <w:szCs w:val="24"/>
        </w:rPr>
      </w:pPr>
      <w:r w:rsidRPr="00261C59">
        <w:rPr>
          <w:rFonts w:ascii="Calibri" w:hAnsi="Calibri"/>
          <w:sz w:val="24"/>
          <w:szCs w:val="24"/>
        </w:rPr>
        <w:t>Public hospitals and health services consistently provide safe, high-quality care (Outcome 2.2)</w:t>
      </w:r>
    </w:p>
    <w:p w14:paraId="0A2F53F5" w14:textId="77777777"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Equitable access and health outcomes</w:t>
      </w:r>
    </w:p>
    <w:p w14:paraId="54B4A170" w14:textId="4C4A1F60" w:rsidR="00322C2C" w:rsidRPr="00261C59" w:rsidRDefault="00322C2C" w:rsidP="004728D9">
      <w:pPr>
        <w:numPr>
          <w:ilvl w:val="2"/>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People have equitable access to care </w:t>
      </w:r>
      <w:r w:rsidR="00BC7912" w:rsidRPr="00261C59">
        <w:rPr>
          <w:rFonts w:ascii="Calibri" w:hAnsi="Calibri"/>
          <w:sz w:val="24"/>
          <w:szCs w:val="24"/>
          <w:lang w:val="en-GB"/>
        </w:rPr>
        <w:t xml:space="preserve">and equitable health outcomes </w:t>
      </w:r>
      <w:r w:rsidRPr="00261C59">
        <w:rPr>
          <w:rFonts w:ascii="Calibri" w:hAnsi="Calibri"/>
          <w:sz w:val="24"/>
          <w:szCs w:val="24"/>
          <w:lang w:val="en-GB"/>
        </w:rPr>
        <w:t>(Outcome 3.1)</w:t>
      </w:r>
    </w:p>
    <w:p w14:paraId="30A231CF" w14:textId="52A270E1" w:rsidR="00322C2C" w:rsidRPr="00261C59" w:rsidRDefault="00322C2C" w:rsidP="004728D9">
      <w:pPr>
        <w:numPr>
          <w:ilvl w:val="2"/>
          <w:numId w:val="52"/>
        </w:numPr>
        <w:spacing w:after="240" w:line="260" w:lineRule="exact"/>
        <w:jc w:val="left"/>
        <w:rPr>
          <w:rFonts w:ascii="Calibri" w:hAnsi="Calibri"/>
          <w:sz w:val="24"/>
          <w:szCs w:val="24"/>
          <w:lang w:val="en-GB"/>
        </w:rPr>
      </w:pPr>
      <w:r w:rsidRPr="00261C59">
        <w:rPr>
          <w:rFonts w:ascii="Calibri" w:hAnsi="Calibri"/>
          <w:sz w:val="24"/>
          <w:szCs w:val="24"/>
          <w:lang w:val="en-GB"/>
        </w:rPr>
        <w:t>Aboriginal and Torres Strait Islander people</w:t>
      </w:r>
      <w:r w:rsidR="09053447" w:rsidRPr="00261C59">
        <w:rPr>
          <w:rFonts w:ascii="Calibri" w:hAnsi="Calibri"/>
          <w:sz w:val="24"/>
          <w:szCs w:val="24"/>
          <w:lang w:val="en-GB"/>
        </w:rPr>
        <w:t>,</w:t>
      </w:r>
      <w:r w:rsidRPr="00261C59">
        <w:rPr>
          <w:rFonts w:ascii="Calibri" w:hAnsi="Calibri"/>
          <w:sz w:val="24"/>
          <w:szCs w:val="24"/>
          <w:lang w:val="en-GB"/>
        </w:rPr>
        <w:t xml:space="preserve"> </w:t>
      </w:r>
      <w:r w:rsidR="09053447" w:rsidRPr="00261C59">
        <w:rPr>
          <w:rFonts w:ascii="Calibri" w:hAnsi="Calibri"/>
          <w:sz w:val="24"/>
          <w:szCs w:val="24"/>
          <w:lang w:val="en-GB"/>
        </w:rPr>
        <w:t>regardless of where they live,</w:t>
      </w:r>
      <w:r w:rsidRPr="00261C59">
        <w:rPr>
          <w:rFonts w:ascii="Calibri" w:hAnsi="Calibri"/>
          <w:sz w:val="24"/>
          <w:szCs w:val="24"/>
          <w:lang w:val="en-GB"/>
        </w:rPr>
        <w:t xml:space="preserve"> </w:t>
      </w:r>
      <w:r w:rsidR="00852747" w:rsidRPr="00261C59">
        <w:rPr>
          <w:rFonts w:ascii="Calibri" w:hAnsi="Calibri"/>
          <w:sz w:val="24"/>
          <w:szCs w:val="24"/>
          <w:lang w:val="en-GB"/>
        </w:rPr>
        <w:t xml:space="preserve">have access to </w:t>
      </w:r>
      <w:r w:rsidR="006D3819" w:rsidRPr="00261C59">
        <w:rPr>
          <w:rFonts w:ascii="Calibri" w:hAnsi="Calibri"/>
          <w:sz w:val="24"/>
          <w:szCs w:val="24"/>
          <w:lang w:val="en-GB"/>
        </w:rPr>
        <w:t xml:space="preserve">health care that is </w:t>
      </w:r>
      <w:r w:rsidR="06FE6903" w:rsidRPr="00261C59">
        <w:rPr>
          <w:rFonts w:ascii="Calibri" w:hAnsi="Calibri"/>
          <w:sz w:val="24"/>
          <w:szCs w:val="24"/>
          <w:lang w:val="en-GB"/>
        </w:rPr>
        <w:t xml:space="preserve">effective, </w:t>
      </w:r>
      <w:r w:rsidR="006D3819" w:rsidRPr="00261C59">
        <w:rPr>
          <w:rFonts w:ascii="Calibri" w:hAnsi="Calibri"/>
          <w:sz w:val="24"/>
          <w:szCs w:val="24"/>
          <w:lang w:val="en-GB"/>
        </w:rPr>
        <w:t>culturally safe and appropriate, equitable, and free of racism</w:t>
      </w:r>
      <w:r w:rsidRPr="00261C59">
        <w:rPr>
          <w:rFonts w:ascii="Calibri" w:hAnsi="Calibri"/>
          <w:sz w:val="24"/>
          <w:szCs w:val="24"/>
          <w:lang w:val="en-GB"/>
        </w:rPr>
        <w:t xml:space="preserve"> (Outcome 3.2)</w:t>
      </w:r>
    </w:p>
    <w:p w14:paraId="595DB028" w14:textId="77777777"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Value</w:t>
      </w:r>
    </w:p>
    <w:p w14:paraId="7A3BE630" w14:textId="3CD13AC2" w:rsidR="00322C2C" w:rsidRPr="00261C59" w:rsidRDefault="00322C2C" w:rsidP="004728D9">
      <w:pPr>
        <w:numPr>
          <w:ilvl w:val="2"/>
          <w:numId w:val="52"/>
        </w:numPr>
        <w:spacing w:after="240" w:line="260" w:lineRule="exact"/>
        <w:jc w:val="left"/>
        <w:rPr>
          <w:rFonts w:ascii="Calibri" w:hAnsi="Calibri"/>
          <w:sz w:val="24"/>
          <w:szCs w:val="24"/>
        </w:rPr>
      </w:pPr>
      <w:r w:rsidRPr="00261C59">
        <w:rPr>
          <w:rFonts w:ascii="Calibri" w:hAnsi="Calibri"/>
          <w:sz w:val="24"/>
          <w:szCs w:val="24"/>
        </w:rPr>
        <w:t>Innovation and continuity of care are incentivised to generate value for patients and the system (Outcome 4.1)</w:t>
      </w:r>
    </w:p>
    <w:p w14:paraId="66FAC2B6" w14:textId="41C80835" w:rsidR="00322C2C" w:rsidRPr="00261C59" w:rsidRDefault="00322C2C" w:rsidP="004728D9">
      <w:pPr>
        <w:numPr>
          <w:ilvl w:val="2"/>
          <w:numId w:val="52"/>
        </w:numPr>
        <w:spacing w:after="240" w:line="260" w:lineRule="exact"/>
        <w:jc w:val="left"/>
        <w:rPr>
          <w:rFonts w:ascii="Calibri" w:hAnsi="Calibri"/>
          <w:sz w:val="24"/>
          <w:szCs w:val="24"/>
        </w:rPr>
      </w:pPr>
      <w:r w:rsidRPr="00261C59">
        <w:rPr>
          <w:rFonts w:ascii="Calibri" w:hAnsi="Calibri"/>
          <w:sz w:val="24"/>
          <w:szCs w:val="24"/>
        </w:rPr>
        <w:t>Care delivered across public hospital</w:t>
      </w:r>
      <w:r w:rsidR="000A1F47" w:rsidRPr="00261C59">
        <w:rPr>
          <w:rFonts w:ascii="Calibri" w:hAnsi="Calibri"/>
          <w:sz w:val="24"/>
          <w:szCs w:val="24"/>
        </w:rPr>
        <w:t>s</w:t>
      </w:r>
      <w:r w:rsidRPr="00261C59">
        <w:rPr>
          <w:rFonts w:ascii="Calibri" w:hAnsi="Calibri"/>
          <w:sz w:val="24"/>
          <w:szCs w:val="24"/>
        </w:rPr>
        <w:t xml:space="preserve"> and health services is </w:t>
      </w:r>
      <w:r w:rsidR="000A1F47" w:rsidRPr="00261C59">
        <w:rPr>
          <w:rFonts w:ascii="Calibri" w:hAnsi="Calibri"/>
          <w:sz w:val="24"/>
          <w:szCs w:val="24"/>
        </w:rPr>
        <w:t xml:space="preserve">efficient, </w:t>
      </w:r>
      <w:r w:rsidRPr="00261C59">
        <w:rPr>
          <w:rFonts w:ascii="Calibri" w:hAnsi="Calibri"/>
          <w:sz w:val="24"/>
          <w:szCs w:val="24"/>
        </w:rPr>
        <w:t>cost-effective</w:t>
      </w:r>
      <w:r w:rsidR="003C3FB6" w:rsidRPr="00261C59">
        <w:rPr>
          <w:rFonts w:ascii="Calibri" w:hAnsi="Calibri"/>
          <w:sz w:val="24"/>
          <w:szCs w:val="24"/>
        </w:rPr>
        <w:t>,</w:t>
      </w:r>
      <w:r w:rsidRPr="00261C59">
        <w:rPr>
          <w:rFonts w:ascii="Calibri" w:hAnsi="Calibri"/>
          <w:sz w:val="24"/>
          <w:szCs w:val="24"/>
        </w:rPr>
        <w:t xml:space="preserve"> and priced appropriately (Outcome 4.2)</w:t>
      </w:r>
    </w:p>
    <w:p w14:paraId="3D0CA2F3" w14:textId="77777777"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Governance</w:t>
      </w:r>
    </w:p>
    <w:p w14:paraId="28D40E29" w14:textId="77BEFFA1" w:rsidR="00322C2C" w:rsidRPr="00261C59" w:rsidRDefault="00322C2C" w:rsidP="004728D9">
      <w:pPr>
        <w:numPr>
          <w:ilvl w:val="2"/>
          <w:numId w:val="52"/>
        </w:numPr>
        <w:spacing w:after="240" w:line="260" w:lineRule="exact"/>
        <w:jc w:val="left"/>
        <w:rPr>
          <w:rFonts w:ascii="Calibri" w:hAnsi="Calibri"/>
          <w:sz w:val="24"/>
          <w:szCs w:val="24"/>
        </w:rPr>
      </w:pPr>
      <w:r w:rsidRPr="00261C59">
        <w:rPr>
          <w:rFonts w:ascii="Calibri" w:hAnsi="Calibri"/>
          <w:sz w:val="24"/>
          <w:szCs w:val="24"/>
        </w:rPr>
        <w:t>Robust governance enables innovation and collective stewardship across the continuum of care, particularly across adjacent care systems including primary, acute, aged and disability care settings</w:t>
      </w:r>
      <w:r w:rsidR="00B67160" w:rsidRPr="00261C59">
        <w:rPr>
          <w:rFonts w:ascii="Calibri" w:hAnsi="Calibri"/>
          <w:sz w:val="24"/>
          <w:szCs w:val="24"/>
        </w:rPr>
        <w:t xml:space="preserve"> (Outcome 5.1)</w:t>
      </w:r>
      <w:r w:rsidRPr="00261C59">
        <w:rPr>
          <w:rFonts w:ascii="Calibri" w:hAnsi="Calibri"/>
          <w:sz w:val="24"/>
          <w:szCs w:val="24"/>
        </w:rPr>
        <w:t>.</w:t>
      </w:r>
    </w:p>
    <w:p w14:paraId="6A2FF21D" w14:textId="4A140261" w:rsidR="00322C2C" w:rsidRPr="00261C59" w:rsidRDefault="00322C2C" w:rsidP="004728D9">
      <w:pPr>
        <w:numPr>
          <w:ilvl w:val="0"/>
          <w:numId w:val="52"/>
        </w:numPr>
        <w:spacing w:after="240" w:line="260" w:lineRule="exact"/>
        <w:jc w:val="left"/>
        <w:rPr>
          <w:rFonts w:ascii="Calibri" w:hAnsi="Calibri"/>
          <w:sz w:val="24"/>
          <w:szCs w:val="24"/>
        </w:rPr>
      </w:pPr>
      <w:r w:rsidRPr="00261C59">
        <w:rPr>
          <w:rFonts w:ascii="Calibri" w:hAnsi="Calibri"/>
          <w:sz w:val="24"/>
          <w:szCs w:val="24"/>
        </w:rPr>
        <w:t xml:space="preserve">Monitoring and assessing progress against these outcomes will be through the </w:t>
      </w:r>
      <w:r w:rsidR="00410B08" w:rsidRPr="00261C59">
        <w:rPr>
          <w:rFonts w:ascii="Calibri" w:hAnsi="Calibri"/>
          <w:sz w:val="24"/>
          <w:szCs w:val="24"/>
        </w:rPr>
        <w:t xml:space="preserve">health </w:t>
      </w:r>
      <w:r w:rsidR="00AA3A21" w:rsidRPr="00261C59">
        <w:rPr>
          <w:rFonts w:ascii="Calibri" w:hAnsi="Calibri"/>
          <w:sz w:val="24"/>
          <w:szCs w:val="24"/>
        </w:rPr>
        <w:t xml:space="preserve">system </w:t>
      </w:r>
      <w:r w:rsidR="00410B08" w:rsidRPr="00261C59">
        <w:rPr>
          <w:rFonts w:ascii="Calibri" w:hAnsi="Calibri"/>
          <w:sz w:val="24"/>
          <w:szCs w:val="24"/>
        </w:rPr>
        <w:t>p</w:t>
      </w:r>
      <w:r w:rsidRPr="00261C59">
        <w:rPr>
          <w:rFonts w:ascii="Calibri" w:hAnsi="Calibri"/>
          <w:sz w:val="24"/>
          <w:szCs w:val="24"/>
        </w:rPr>
        <w:t xml:space="preserve">erformance </w:t>
      </w:r>
      <w:r w:rsidR="00880509" w:rsidRPr="00261C59">
        <w:rPr>
          <w:rFonts w:ascii="Calibri" w:hAnsi="Calibri"/>
          <w:sz w:val="24"/>
          <w:szCs w:val="24"/>
        </w:rPr>
        <w:t>assessment</w:t>
      </w:r>
      <w:r w:rsidRPr="00261C59">
        <w:rPr>
          <w:rFonts w:ascii="Calibri" w:hAnsi="Calibri"/>
          <w:sz w:val="24"/>
          <w:szCs w:val="24"/>
        </w:rPr>
        <w:t xml:space="preserve"> </w:t>
      </w:r>
      <w:r w:rsidR="00410B08" w:rsidRPr="00261C59">
        <w:rPr>
          <w:rFonts w:ascii="Calibri" w:hAnsi="Calibri"/>
          <w:sz w:val="24"/>
          <w:szCs w:val="24"/>
        </w:rPr>
        <w:t>f</w:t>
      </w:r>
      <w:r w:rsidRPr="00261C59">
        <w:rPr>
          <w:rFonts w:ascii="Calibri" w:hAnsi="Calibri"/>
          <w:sz w:val="24"/>
          <w:szCs w:val="24"/>
        </w:rPr>
        <w:t>ramework described below and in Schedule </w:t>
      </w:r>
      <w:r w:rsidR="00410B08" w:rsidRPr="00261C59">
        <w:rPr>
          <w:rFonts w:ascii="Calibri" w:hAnsi="Calibri"/>
          <w:sz w:val="24"/>
          <w:szCs w:val="24"/>
        </w:rPr>
        <w:t>H</w:t>
      </w:r>
      <w:r w:rsidRPr="00261C59">
        <w:rPr>
          <w:rFonts w:ascii="Calibri" w:hAnsi="Calibri"/>
          <w:sz w:val="24"/>
          <w:szCs w:val="24"/>
        </w:rPr>
        <w:t>.</w:t>
      </w:r>
    </w:p>
    <w:p w14:paraId="4C683DB8" w14:textId="77777777" w:rsidR="00322C2C" w:rsidRPr="00261C59" w:rsidRDefault="00322C2C" w:rsidP="00814D08">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25" w:name="_Toc165886206"/>
      <w:bookmarkStart w:id="26" w:name="_Toc210833568"/>
      <w:bookmarkStart w:id="27" w:name="_Toc214456468"/>
      <w:bookmarkStart w:id="28" w:name="_Toc221087947"/>
      <w:bookmarkEnd w:id="21"/>
      <w:r w:rsidRPr="00261C59">
        <w:rPr>
          <w:rFonts w:ascii="Corbel" w:eastAsia="Times New Roman" w:hAnsi="Corbel" w:cs="Arial"/>
          <w:iCs/>
          <w:color w:val="3D4B67"/>
          <w:sz w:val="28"/>
          <w:szCs w:val="28"/>
        </w:rPr>
        <w:t>Scope</w:t>
      </w:r>
      <w:bookmarkEnd w:id="25"/>
      <w:bookmarkEnd w:id="26"/>
      <w:bookmarkEnd w:id="27"/>
      <w:bookmarkEnd w:id="28"/>
    </w:p>
    <w:p w14:paraId="561486FF" w14:textId="0646A2F4" w:rsidR="00322C2C" w:rsidRPr="00261C59" w:rsidRDefault="00322C2C" w:rsidP="004728D9">
      <w:pPr>
        <w:numPr>
          <w:ilvl w:val="0"/>
          <w:numId w:val="52"/>
        </w:numPr>
        <w:spacing w:after="240" w:line="260" w:lineRule="exact"/>
        <w:jc w:val="left"/>
        <w:rPr>
          <w:rFonts w:ascii="Calibri" w:hAnsi="Calibri"/>
          <w:sz w:val="24"/>
          <w:szCs w:val="24"/>
        </w:rPr>
      </w:pPr>
      <w:r w:rsidRPr="00261C59">
        <w:rPr>
          <w:rFonts w:ascii="Calibri" w:hAnsi="Calibri"/>
          <w:sz w:val="24"/>
          <w:szCs w:val="24"/>
        </w:rPr>
        <w:t>This Addendum sets out the shared commitments and actions of the Commonwealth and the States and Territories (</w:t>
      </w:r>
      <w:r w:rsidR="00DA710C" w:rsidRPr="00261C59">
        <w:rPr>
          <w:rFonts w:ascii="Calibri" w:hAnsi="Calibri"/>
          <w:sz w:val="24"/>
          <w:szCs w:val="24"/>
        </w:rPr>
        <w:t>S</w:t>
      </w:r>
      <w:r w:rsidRPr="00261C59">
        <w:rPr>
          <w:rFonts w:ascii="Calibri" w:hAnsi="Calibri"/>
          <w:sz w:val="24"/>
          <w:szCs w:val="24"/>
        </w:rPr>
        <w:t>tates) to work in partnership to deliver on the vision, principles and outcomes described above.</w:t>
      </w:r>
    </w:p>
    <w:p w14:paraId="6C8BC597" w14:textId="77777777" w:rsidR="00322C2C" w:rsidRPr="00261C59" w:rsidRDefault="00322C2C" w:rsidP="004728D9">
      <w:pPr>
        <w:numPr>
          <w:ilvl w:val="0"/>
          <w:numId w:val="52"/>
        </w:numPr>
        <w:spacing w:after="240" w:line="260" w:lineRule="exact"/>
        <w:jc w:val="left"/>
        <w:rPr>
          <w:rFonts w:ascii="Calibri" w:hAnsi="Calibri"/>
          <w:sz w:val="24"/>
          <w:szCs w:val="24"/>
        </w:rPr>
      </w:pPr>
      <w:r w:rsidRPr="00261C59">
        <w:rPr>
          <w:rFonts w:ascii="Calibri" w:hAnsi="Calibri"/>
          <w:sz w:val="24"/>
          <w:szCs w:val="24"/>
        </w:rPr>
        <w:t>The Schedules of the Addendum set out the Parties’ commitments in relation to:</w:t>
      </w:r>
    </w:p>
    <w:p w14:paraId="6FC94B8F" w14:textId="488088D0" w:rsidR="00B52816"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financial arrangements for Australian public hospital and health services, including the appropriate use of payment models spanning Activity Based Funding (ABF), capitation, bundled </w:t>
      </w:r>
      <w:r w:rsidR="00E333B9" w:rsidRPr="00261C59">
        <w:rPr>
          <w:rFonts w:ascii="Calibri" w:hAnsi="Calibri"/>
          <w:sz w:val="24"/>
          <w:szCs w:val="24"/>
          <w:lang w:val="en-GB"/>
        </w:rPr>
        <w:t xml:space="preserve">payments </w:t>
      </w:r>
      <w:r w:rsidRPr="00261C59">
        <w:rPr>
          <w:rFonts w:ascii="Calibri" w:hAnsi="Calibri"/>
          <w:sz w:val="24"/>
          <w:szCs w:val="24"/>
          <w:lang w:val="en-GB"/>
        </w:rPr>
        <w:t>and block methods. The financial arrangements will also support develop</w:t>
      </w:r>
      <w:r w:rsidR="00BA0A78" w:rsidRPr="00261C59">
        <w:rPr>
          <w:rFonts w:ascii="Calibri" w:hAnsi="Calibri"/>
          <w:sz w:val="24"/>
          <w:szCs w:val="24"/>
          <w:lang w:val="en-GB"/>
        </w:rPr>
        <w:t>ing</w:t>
      </w:r>
      <w:r w:rsidRPr="00261C59">
        <w:rPr>
          <w:rFonts w:ascii="Calibri" w:hAnsi="Calibri"/>
          <w:sz w:val="24"/>
          <w:szCs w:val="24"/>
          <w:lang w:val="en-GB"/>
        </w:rPr>
        <w:t xml:space="preserve"> other payment methods as required to enable and scale </w:t>
      </w:r>
      <w:r w:rsidR="002935F7" w:rsidRPr="00261C59">
        <w:rPr>
          <w:rFonts w:ascii="Calibri" w:hAnsi="Calibri"/>
          <w:sz w:val="24"/>
          <w:szCs w:val="24"/>
          <w:lang w:val="en-GB"/>
        </w:rPr>
        <w:t xml:space="preserve">optimal models of care </w:t>
      </w:r>
      <w:r w:rsidRPr="00261C59">
        <w:rPr>
          <w:rFonts w:ascii="Calibri" w:hAnsi="Calibri"/>
          <w:sz w:val="24"/>
          <w:szCs w:val="24"/>
          <w:lang w:val="en-GB"/>
        </w:rPr>
        <w:t xml:space="preserve">and </w:t>
      </w:r>
      <w:r w:rsidR="00730A78" w:rsidRPr="00261C59">
        <w:rPr>
          <w:rFonts w:ascii="Calibri" w:hAnsi="Calibri"/>
          <w:sz w:val="24"/>
          <w:szCs w:val="24"/>
          <w:lang w:val="en-GB"/>
        </w:rPr>
        <w:t>set out</w:t>
      </w:r>
      <w:r w:rsidRPr="00261C59">
        <w:rPr>
          <w:rFonts w:ascii="Calibri" w:hAnsi="Calibri"/>
          <w:sz w:val="24"/>
          <w:szCs w:val="24"/>
          <w:lang w:val="en-GB"/>
        </w:rPr>
        <w:t xml:space="preserve"> cross-border service delivery arrangements (Schedule A)</w:t>
      </w:r>
    </w:p>
    <w:p w14:paraId="2654785A" w14:textId="48F765DE" w:rsidR="00322C2C" w:rsidRPr="00261C59" w:rsidRDefault="00E5396B" w:rsidP="004728D9">
      <w:pPr>
        <w:keepLines/>
        <w:widowControl/>
        <w:numPr>
          <w:ilvl w:val="1"/>
          <w:numId w:val="52"/>
        </w:numPr>
        <w:spacing w:after="240" w:line="260" w:lineRule="exact"/>
        <w:jc w:val="left"/>
        <w:rPr>
          <w:rFonts w:ascii="Calibri" w:hAnsi="Calibri"/>
          <w:sz w:val="24"/>
          <w:szCs w:val="24"/>
        </w:rPr>
      </w:pPr>
      <w:r w:rsidRPr="00261C59">
        <w:rPr>
          <w:rFonts w:ascii="Calibri" w:hAnsi="Calibri"/>
          <w:sz w:val="24"/>
          <w:szCs w:val="24"/>
        </w:rPr>
        <w:lastRenderedPageBreak/>
        <w:t>reforms</w:t>
      </w:r>
      <w:r w:rsidR="00DF14EA" w:rsidRPr="00261C59">
        <w:rPr>
          <w:rFonts w:ascii="Calibri" w:hAnsi="Calibri"/>
          <w:sz w:val="24"/>
          <w:szCs w:val="24"/>
        </w:rPr>
        <w:t xml:space="preserve"> to </w:t>
      </w:r>
      <w:r w:rsidR="00E91BDB" w:rsidRPr="00261C59">
        <w:rPr>
          <w:rFonts w:ascii="Calibri" w:hAnsi="Calibri"/>
          <w:sz w:val="24"/>
          <w:szCs w:val="24"/>
        </w:rPr>
        <w:t>embed Aboriginal and Torres Strait Islander leadership and</w:t>
      </w:r>
      <w:r w:rsidR="0005703E">
        <w:rPr>
          <w:rFonts w:ascii="Calibri" w:hAnsi="Calibri"/>
          <w:sz w:val="24"/>
          <w:szCs w:val="24"/>
        </w:rPr>
        <w:t xml:space="preserve"> </w:t>
      </w:r>
      <w:r w:rsidR="00E91BDB" w:rsidRPr="00261C59">
        <w:rPr>
          <w:rFonts w:ascii="Calibri" w:hAnsi="Calibri"/>
          <w:sz w:val="24"/>
          <w:szCs w:val="24"/>
        </w:rPr>
        <w:t>decision</w:t>
      </w:r>
      <w:r w:rsidR="00054C25" w:rsidRPr="00261C59">
        <w:rPr>
          <w:rFonts w:ascii="Calibri" w:hAnsi="Calibri"/>
          <w:sz w:val="24"/>
          <w:szCs w:val="24"/>
        </w:rPr>
        <w:t>-</w:t>
      </w:r>
      <w:r w:rsidR="00E91BDB" w:rsidRPr="00261C59">
        <w:rPr>
          <w:rFonts w:ascii="Calibri" w:hAnsi="Calibri"/>
          <w:sz w:val="24"/>
          <w:szCs w:val="24"/>
        </w:rPr>
        <w:t xml:space="preserve">making and </w:t>
      </w:r>
      <w:r w:rsidR="00B52816" w:rsidRPr="00261C59">
        <w:rPr>
          <w:rFonts w:ascii="Calibri" w:hAnsi="Calibri"/>
          <w:sz w:val="24"/>
          <w:szCs w:val="24"/>
        </w:rPr>
        <w:t>address the inequity experienced by</w:t>
      </w:r>
      <w:r w:rsidR="00DF14EA" w:rsidRPr="00261C59">
        <w:rPr>
          <w:rFonts w:ascii="Calibri" w:hAnsi="Calibri"/>
          <w:sz w:val="24"/>
          <w:szCs w:val="24"/>
        </w:rPr>
        <w:t xml:space="preserve"> Aboriginal and Torres Strait Islander people</w:t>
      </w:r>
      <w:r w:rsidR="000A51FA" w:rsidRPr="00261C59">
        <w:rPr>
          <w:rFonts w:ascii="Calibri" w:hAnsi="Calibri"/>
          <w:sz w:val="24"/>
          <w:szCs w:val="24"/>
        </w:rPr>
        <w:t xml:space="preserve"> across the health system</w:t>
      </w:r>
      <w:r w:rsidR="00322C2C" w:rsidRPr="00261C59">
        <w:rPr>
          <w:rFonts w:ascii="Calibri" w:hAnsi="Calibri"/>
          <w:sz w:val="24"/>
          <w:szCs w:val="24"/>
        </w:rPr>
        <w:t xml:space="preserve"> through specific actions and increased focus on </w:t>
      </w:r>
      <w:r w:rsidR="004A6B07" w:rsidRPr="00261C59">
        <w:rPr>
          <w:rFonts w:ascii="Calibri" w:hAnsi="Calibri"/>
          <w:sz w:val="24"/>
          <w:szCs w:val="24"/>
        </w:rPr>
        <w:t>operationalising</w:t>
      </w:r>
      <w:r w:rsidR="006639AD" w:rsidRPr="00261C59">
        <w:rPr>
          <w:rFonts w:ascii="Calibri" w:hAnsi="Calibri"/>
          <w:sz w:val="24"/>
          <w:szCs w:val="24"/>
        </w:rPr>
        <w:t xml:space="preserve"> </w:t>
      </w:r>
      <w:r w:rsidR="00322C2C" w:rsidRPr="00261C59">
        <w:rPr>
          <w:rFonts w:ascii="Calibri" w:hAnsi="Calibri"/>
          <w:sz w:val="24"/>
          <w:szCs w:val="24"/>
        </w:rPr>
        <w:t>Closing the Gap</w:t>
      </w:r>
      <w:r w:rsidR="3F0B2D56" w:rsidRPr="00261C59">
        <w:rPr>
          <w:rFonts w:ascii="Calibri" w:hAnsi="Calibri"/>
          <w:sz w:val="24"/>
          <w:szCs w:val="24"/>
        </w:rPr>
        <w:t xml:space="preserve">, the National Aboriginal and Torres Strait Islander </w:t>
      </w:r>
      <w:r w:rsidR="06E1B751" w:rsidRPr="00261C59">
        <w:rPr>
          <w:rFonts w:ascii="Calibri" w:hAnsi="Calibri"/>
          <w:sz w:val="24"/>
          <w:szCs w:val="24"/>
        </w:rPr>
        <w:t xml:space="preserve">Health Plan 2021-2031, and the National Aboriginal and Torres Strait Islander Health Workforce Strategic Framework and Implementation </w:t>
      </w:r>
      <w:r w:rsidR="1B33B631" w:rsidRPr="00261C59">
        <w:rPr>
          <w:rFonts w:ascii="Calibri" w:hAnsi="Calibri"/>
          <w:sz w:val="24"/>
          <w:szCs w:val="24"/>
        </w:rPr>
        <w:t>Plan 2021-2031</w:t>
      </w:r>
      <w:r w:rsidR="7247B951" w:rsidRPr="00261C59">
        <w:rPr>
          <w:rFonts w:ascii="Calibri" w:hAnsi="Calibri"/>
          <w:sz w:val="24"/>
          <w:szCs w:val="24"/>
        </w:rPr>
        <w:t xml:space="preserve"> </w:t>
      </w:r>
      <w:r w:rsidR="00322C2C" w:rsidRPr="00261C59">
        <w:rPr>
          <w:rFonts w:ascii="Calibri" w:hAnsi="Calibri"/>
          <w:sz w:val="24"/>
          <w:szCs w:val="24"/>
        </w:rPr>
        <w:t>across the Addendum</w:t>
      </w:r>
      <w:r w:rsidR="1FEB3770" w:rsidRPr="00261C59">
        <w:rPr>
          <w:rFonts w:ascii="Calibri" w:hAnsi="Calibri"/>
          <w:sz w:val="24"/>
          <w:szCs w:val="24"/>
        </w:rPr>
        <w:t xml:space="preserve"> (Schedule B)</w:t>
      </w:r>
    </w:p>
    <w:p w14:paraId="1199E71F" w14:textId="32587230"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providing better coordination between care sectors, supported by reforms at the interfaces between hospitals, primary and community care services, aged care</w:t>
      </w:r>
      <w:r w:rsidR="00260995" w:rsidRPr="00261C59">
        <w:rPr>
          <w:rFonts w:ascii="Calibri" w:hAnsi="Calibri"/>
          <w:sz w:val="24"/>
          <w:szCs w:val="24"/>
          <w:lang w:val="en-GB"/>
        </w:rPr>
        <w:t>,</w:t>
      </w:r>
      <w:r w:rsidRPr="00261C59">
        <w:rPr>
          <w:rFonts w:ascii="Calibri" w:hAnsi="Calibri"/>
          <w:sz w:val="24"/>
          <w:szCs w:val="24"/>
          <w:lang w:val="en-GB"/>
        </w:rPr>
        <w:t xml:space="preserve"> disability</w:t>
      </w:r>
      <w:r w:rsidR="00897E3D" w:rsidRPr="00261C59">
        <w:rPr>
          <w:rFonts w:ascii="Calibri" w:hAnsi="Calibri"/>
          <w:sz w:val="24"/>
          <w:szCs w:val="24"/>
          <w:lang w:val="en-GB"/>
        </w:rPr>
        <w:t>,</w:t>
      </w:r>
      <w:r w:rsidRPr="00261C59">
        <w:rPr>
          <w:rFonts w:ascii="Calibri" w:hAnsi="Calibri"/>
          <w:sz w:val="24"/>
          <w:szCs w:val="24"/>
          <w:lang w:val="en-GB"/>
        </w:rPr>
        <w:t xml:space="preserve"> </w:t>
      </w:r>
      <w:r w:rsidR="00260995" w:rsidRPr="00261C59">
        <w:rPr>
          <w:rFonts w:ascii="Calibri" w:hAnsi="Calibri"/>
          <w:sz w:val="24"/>
          <w:szCs w:val="24"/>
          <w:lang w:val="en-GB"/>
        </w:rPr>
        <w:t>mental health and suicide prevention</w:t>
      </w:r>
      <w:r w:rsidRPr="00261C59">
        <w:rPr>
          <w:rFonts w:ascii="Calibri" w:hAnsi="Calibri"/>
          <w:sz w:val="24"/>
          <w:szCs w:val="24"/>
          <w:lang w:val="en-GB"/>
        </w:rPr>
        <w:t>, and across both the public and private health system (Schedule C)</w:t>
      </w:r>
    </w:p>
    <w:p w14:paraId="58443C3E" w14:textId="611F9294"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 xml:space="preserve">delivering more contemporary </w:t>
      </w:r>
      <w:r w:rsidR="00423ABC" w:rsidRPr="00261C59">
        <w:rPr>
          <w:rFonts w:ascii="Calibri" w:hAnsi="Calibri"/>
          <w:sz w:val="24"/>
          <w:szCs w:val="24"/>
        </w:rPr>
        <w:t xml:space="preserve">service </w:t>
      </w:r>
      <w:r w:rsidR="003B39D3" w:rsidRPr="00261C59">
        <w:rPr>
          <w:rFonts w:ascii="Calibri" w:hAnsi="Calibri"/>
          <w:sz w:val="24"/>
          <w:szCs w:val="24"/>
        </w:rPr>
        <w:t xml:space="preserve">models </w:t>
      </w:r>
      <w:r w:rsidR="00423ABC" w:rsidRPr="00261C59">
        <w:rPr>
          <w:rFonts w:ascii="Calibri" w:hAnsi="Calibri"/>
          <w:sz w:val="24"/>
          <w:szCs w:val="24"/>
        </w:rPr>
        <w:t xml:space="preserve">and </w:t>
      </w:r>
      <w:r w:rsidRPr="00261C59">
        <w:rPr>
          <w:rFonts w:ascii="Calibri" w:hAnsi="Calibri"/>
          <w:sz w:val="24"/>
          <w:szCs w:val="24"/>
        </w:rPr>
        <w:t xml:space="preserve">pathways that increasingly provide care in community settings, supported by flexible funding models, incentives for </w:t>
      </w:r>
      <w:r w:rsidR="008602BC" w:rsidRPr="00261C59">
        <w:rPr>
          <w:rFonts w:ascii="Calibri" w:hAnsi="Calibri"/>
          <w:sz w:val="24"/>
          <w:szCs w:val="24"/>
        </w:rPr>
        <w:t xml:space="preserve">reform </w:t>
      </w:r>
      <w:r w:rsidRPr="00261C59">
        <w:rPr>
          <w:rFonts w:ascii="Calibri" w:hAnsi="Calibri"/>
          <w:sz w:val="24"/>
          <w:szCs w:val="24"/>
        </w:rPr>
        <w:t xml:space="preserve">and dedicated resources to evaluate, scale and embed best practice </w:t>
      </w:r>
      <w:r w:rsidR="00891688" w:rsidRPr="00261C59">
        <w:rPr>
          <w:rFonts w:ascii="Calibri" w:hAnsi="Calibri"/>
          <w:sz w:val="24"/>
          <w:szCs w:val="24"/>
        </w:rPr>
        <w:t>(</w:t>
      </w:r>
      <w:r w:rsidRPr="00261C59">
        <w:rPr>
          <w:rFonts w:ascii="Calibri" w:hAnsi="Calibri"/>
          <w:sz w:val="24"/>
          <w:szCs w:val="24"/>
        </w:rPr>
        <w:t>Schedule</w:t>
      </w:r>
      <w:r w:rsidR="00A65CB1" w:rsidRPr="00261C59">
        <w:rPr>
          <w:rFonts w:ascii="Calibri" w:hAnsi="Calibri"/>
          <w:sz w:val="24"/>
          <w:szCs w:val="24"/>
        </w:rPr>
        <w:t> </w:t>
      </w:r>
      <w:r w:rsidRPr="00261C59">
        <w:rPr>
          <w:rFonts w:ascii="Calibri" w:hAnsi="Calibri"/>
          <w:sz w:val="24"/>
          <w:szCs w:val="24"/>
        </w:rPr>
        <w:t>D)</w:t>
      </w:r>
    </w:p>
    <w:p w14:paraId="1630C45B" w14:textId="6970BA4E" w:rsidR="0005335E" w:rsidRPr="00261C59" w:rsidRDefault="0005335E"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 xml:space="preserve">supporting an integrated health and care system through </w:t>
      </w:r>
      <w:r w:rsidR="00B716F5" w:rsidRPr="00261C59">
        <w:rPr>
          <w:rFonts w:ascii="Calibri" w:hAnsi="Calibri"/>
          <w:sz w:val="24"/>
          <w:szCs w:val="24"/>
        </w:rPr>
        <w:t xml:space="preserve">joined up </w:t>
      </w:r>
      <w:r w:rsidRPr="00261C59">
        <w:rPr>
          <w:rFonts w:ascii="Calibri" w:hAnsi="Calibri"/>
          <w:sz w:val="24"/>
          <w:szCs w:val="24"/>
        </w:rPr>
        <w:t>local governance arrangements (Schedule E)</w:t>
      </w:r>
    </w:p>
    <w:p w14:paraId="4CC80844" w14:textId="1347173A"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 xml:space="preserve">ensuring improved access to care in rural and remote areas (Schedule </w:t>
      </w:r>
      <w:r w:rsidR="00B716F5" w:rsidRPr="00261C59">
        <w:rPr>
          <w:rFonts w:ascii="Calibri" w:hAnsi="Calibri"/>
          <w:sz w:val="24"/>
          <w:szCs w:val="24"/>
        </w:rPr>
        <w:t>F</w:t>
      </w:r>
      <w:r w:rsidRPr="00261C59">
        <w:rPr>
          <w:rFonts w:ascii="Calibri" w:hAnsi="Calibri"/>
          <w:sz w:val="24"/>
          <w:szCs w:val="24"/>
        </w:rPr>
        <w:t>)</w:t>
      </w:r>
    </w:p>
    <w:p w14:paraId="30F1E834" w14:textId="2952CF48"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 xml:space="preserve">maintaining a sustainable and resilient health workforce (Schedule </w:t>
      </w:r>
      <w:r w:rsidR="008A0AB2" w:rsidRPr="00261C59">
        <w:rPr>
          <w:rFonts w:ascii="Calibri" w:hAnsi="Calibri"/>
          <w:sz w:val="24"/>
          <w:szCs w:val="24"/>
        </w:rPr>
        <w:t>G</w:t>
      </w:r>
      <w:r w:rsidRPr="00261C59">
        <w:rPr>
          <w:rFonts w:ascii="Calibri" w:hAnsi="Calibri"/>
          <w:sz w:val="24"/>
          <w:szCs w:val="24"/>
        </w:rPr>
        <w:t>)</w:t>
      </w:r>
    </w:p>
    <w:p w14:paraId="4B65E204" w14:textId="68E6D45F"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providing transparency, accountability and quality of care supported by a whole-of-health</w:t>
      </w:r>
      <w:r w:rsidR="0076395F" w:rsidRPr="00261C59">
        <w:rPr>
          <w:rFonts w:ascii="Calibri" w:hAnsi="Calibri"/>
          <w:sz w:val="24"/>
          <w:szCs w:val="24"/>
        </w:rPr>
        <w:t xml:space="preserve"> </w:t>
      </w:r>
      <w:r w:rsidRPr="00261C59">
        <w:rPr>
          <w:rFonts w:ascii="Calibri" w:hAnsi="Calibri"/>
          <w:sz w:val="24"/>
          <w:szCs w:val="24"/>
        </w:rPr>
        <w:t xml:space="preserve">system performance </w:t>
      </w:r>
      <w:r w:rsidR="007C7D0B" w:rsidRPr="00261C59">
        <w:rPr>
          <w:rFonts w:ascii="Calibri" w:hAnsi="Calibri"/>
          <w:sz w:val="24"/>
          <w:szCs w:val="24"/>
        </w:rPr>
        <w:t xml:space="preserve">assessment </w:t>
      </w:r>
      <w:r w:rsidRPr="00261C59">
        <w:rPr>
          <w:rFonts w:ascii="Calibri" w:hAnsi="Calibri"/>
          <w:sz w:val="24"/>
          <w:szCs w:val="24"/>
        </w:rPr>
        <w:t xml:space="preserve">framework, a National Health Data System and digitally enabled health care (Schedule </w:t>
      </w:r>
      <w:r w:rsidR="00D109B6" w:rsidRPr="00261C59">
        <w:rPr>
          <w:rFonts w:ascii="Calibri" w:hAnsi="Calibri"/>
          <w:sz w:val="24"/>
          <w:szCs w:val="24"/>
        </w:rPr>
        <w:t>H</w:t>
      </w:r>
      <w:r w:rsidRPr="00261C59">
        <w:rPr>
          <w:rFonts w:ascii="Calibri" w:hAnsi="Calibri"/>
          <w:sz w:val="24"/>
          <w:szCs w:val="24"/>
        </w:rPr>
        <w:t>)</w:t>
      </w:r>
    </w:p>
    <w:p w14:paraId="1E9C861A" w14:textId="21DD7AEF" w:rsidR="00322C2C" w:rsidRPr="00261C59" w:rsidRDefault="00180A75"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 xml:space="preserve">reaffirming </w:t>
      </w:r>
      <w:r w:rsidR="00322C2C" w:rsidRPr="00261C59">
        <w:rPr>
          <w:rFonts w:ascii="Calibri" w:hAnsi="Calibri"/>
          <w:sz w:val="24"/>
          <w:szCs w:val="24"/>
        </w:rPr>
        <w:t xml:space="preserve">roles of key bodies in supporting and implementing reform, including the Independent Health and Aged Care Pricing Authority, Administrator of the National Health Funding Pool, National Health Funding Body, Australian Commission on Safety and Quality in Health Care and </w:t>
      </w:r>
      <w:r w:rsidR="00546CFF" w:rsidRPr="00261C59">
        <w:rPr>
          <w:rFonts w:ascii="Calibri" w:hAnsi="Calibri"/>
          <w:sz w:val="24"/>
          <w:szCs w:val="24"/>
        </w:rPr>
        <w:t xml:space="preserve">the </w:t>
      </w:r>
      <w:r w:rsidR="00322C2C" w:rsidRPr="00261C59">
        <w:rPr>
          <w:rFonts w:ascii="Calibri" w:hAnsi="Calibri"/>
          <w:sz w:val="24"/>
          <w:szCs w:val="24"/>
        </w:rPr>
        <w:t xml:space="preserve">Australian Institute of Health and Welfare (Schedule </w:t>
      </w:r>
      <w:r w:rsidR="00193753" w:rsidRPr="00261C59">
        <w:rPr>
          <w:rFonts w:ascii="Calibri" w:hAnsi="Calibri"/>
          <w:sz w:val="24"/>
          <w:szCs w:val="24"/>
        </w:rPr>
        <w:t>I</w:t>
      </w:r>
      <w:r w:rsidR="00322C2C" w:rsidRPr="00261C59">
        <w:rPr>
          <w:rFonts w:ascii="Calibri" w:hAnsi="Calibri"/>
          <w:sz w:val="24"/>
          <w:szCs w:val="24"/>
        </w:rPr>
        <w:t>).</w:t>
      </w:r>
    </w:p>
    <w:p w14:paraId="79D182AC" w14:textId="0EC447A8" w:rsidR="00322C2C" w:rsidRPr="00261C59" w:rsidRDefault="00322C2C" w:rsidP="004728D9">
      <w:pPr>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t>The Parties commit to progressing reforms in each of these Schedules to achieve the objectives of this Addendum. This includes continued efforts to implement reform commitments agreed in the 2011 National Health Reform Agreement and subsequent Addenda, including the six long</w:t>
      </w:r>
      <w:r w:rsidR="001B39AF">
        <w:rPr>
          <w:rFonts w:ascii="Calibri" w:hAnsi="Calibri"/>
          <w:sz w:val="24"/>
          <w:szCs w:val="24"/>
          <w:lang w:val="en-GB"/>
        </w:rPr>
        <w:t>-</w:t>
      </w:r>
      <w:r w:rsidRPr="00261C59">
        <w:rPr>
          <w:rFonts w:ascii="Calibri" w:hAnsi="Calibri"/>
          <w:sz w:val="24"/>
          <w:szCs w:val="24"/>
          <w:lang w:val="en-GB"/>
        </w:rPr>
        <w:t>term health reforms identified in the 2020</w:t>
      </w:r>
      <w:r w:rsidR="004C2FA2" w:rsidRPr="00261C59">
        <w:rPr>
          <w:rFonts w:ascii="Calibri" w:hAnsi="Calibri"/>
          <w:sz w:val="24"/>
          <w:szCs w:val="24"/>
        </w:rPr>
        <w:t>-</w:t>
      </w:r>
      <w:r w:rsidRPr="00261C59">
        <w:rPr>
          <w:rFonts w:ascii="Calibri" w:hAnsi="Calibri"/>
          <w:sz w:val="24"/>
          <w:szCs w:val="24"/>
          <w:lang w:val="en-GB"/>
        </w:rPr>
        <w:t xml:space="preserve">2025 Addendum. </w:t>
      </w:r>
    </w:p>
    <w:p w14:paraId="1662AED1" w14:textId="77777777" w:rsidR="00C45E86" w:rsidRPr="00261C59" w:rsidRDefault="00C45E86" w:rsidP="001D2BA9">
      <w:pPr>
        <w:pStyle w:val="Heading3"/>
        <w:keepNext/>
        <w:widowControl/>
        <w:adjustRightInd/>
        <w:spacing w:before="0" w:after="120"/>
        <w:ind w:left="0"/>
        <w:jc w:val="left"/>
        <w:textAlignment w:val="auto"/>
        <w:rPr>
          <w:rFonts w:ascii="Corbel" w:eastAsia="Times New Roman" w:hAnsi="Corbel"/>
          <w:b w:val="0"/>
          <w:bCs w:val="0"/>
          <w:color w:val="3D4B67"/>
          <w:sz w:val="28"/>
          <w:szCs w:val="28"/>
          <w:lang w:eastAsia="ja-JP"/>
        </w:rPr>
      </w:pPr>
      <w:bookmarkStart w:id="29" w:name="_Toc210833569"/>
      <w:bookmarkStart w:id="30" w:name="_Toc214456469"/>
      <w:bookmarkStart w:id="31" w:name="_Toc221087948"/>
      <w:r w:rsidRPr="00261C59">
        <w:rPr>
          <w:rFonts w:ascii="Corbel" w:eastAsia="Times New Roman" w:hAnsi="Corbel"/>
          <w:b w:val="0"/>
          <w:bCs w:val="0"/>
          <w:color w:val="3D4B67"/>
          <w:sz w:val="28"/>
          <w:szCs w:val="28"/>
          <w:lang w:eastAsia="ja-JP"/>
        </w:rPr>
        <w:t>National Health Reform Strategy</w:t>
      </w:r>
      <w:bookmarkEnd w:id="29"/>
      <w:bookmarkEnd w:id="30"/>
      <w:bookmarkEnd w:id="31"/>
      <w:r w:rsidRPr="00261C59">
        <w:rPr>
          <w:rFonts w:ascii="Corbel" w:eastAsia="Times New Roman" w:hAnsi="Corbel"/>
          <w:b w:val="0"/>
          <w:bCs w:val="0"/>
          <w:color w:val="3D4B67"/>
          <w:sz w:val="28"/>
          <w:szCs w:val="28"/>
          <w:lang w:eastAsia="ja-JP"/>
        </w:rPr>
        <w:t xml:space="preserve"> </w:t>
      </w:r>
    </w:p>
    <w:p w14:paraId="62D93D20" w14:textId="7AF4739B" w:rsidR="00C45E86" w:rsidRPr="00261C59" w:rsidRDefault="006213FE" w:rsidP="004728D9">
      <w:pPr>
        <w:numPr>
          <w:ilvl w:val="0"/>
          <w:numId w:val="52"/>
        </w:numPr>
        <w:spacing w:after="240" w:line="260" w:lineRule="exact"/>
        <w:jc w:val="left"/>
        <w:rPr>
          <w:rFonts w:ascii="Calibri" w:hAnsi="Calibri"/>
          <w:sz w:val="24"/>
          <w:szCs w:val="24"/>
        </w:rPr>
      </w:pPr>
      <w:r w:rsidRPr="00261C59">
        <w:rPr>
          <w:rFonts w:ascii="Calibri" w:hAnsi="Calibri"/>
          <w:sz w:val="24"/>
          <w:szCs w:val="24"/>
        </w:rPr>
        <w:t>To support clear governance</w:t>
      </w:r>
      <w:r w:rsidR="002D4A94" w:rsidRPr="00261C59">
        <w:rPr>
          <w:rFonts w:ascii="Calibri" w:hAnsi="Calibri"/>
          <w:sz w:val="24"/>
          <w:szCs w:val="24"/>
        </w:rPr>
        <w:t>,</w:t>
      </w:r>
      <w:r w:rsidRPr="00261C59">
        <w:rPr>
          <w:rFonts w:ascii="Calibri" w:hAnsi="Calibri"/>
          <w:sz w:val="24"/>
          <w:szCs w:val="24"/>
        </w:rPr>
        <w:t xml:space="preserve"> accountability</w:t>
      </w:r>
      <w:r w:rsidR="002D4A94" w:rsidRPr="00261C59">
        <w:rPr>
          <w:rFonts w:ascii="Calibri" w:hAnsi="Calibri"/>
          <w:sz w:val="24"/>
          <w:szCs w:val="24"/>
        </w:rPr>
        <w:t xml:space="preserve"> and stewardship</w:t>
      </w:r>
      <w:r w:rsidR="00FB0AC1" w:rsidRPr="00261C59">
        <w:rPr>
          <w:rFonts w:ascii="Calibri" w:hAnsi="Calibri"/>
          <w:sz w:val="24"/>
          <w:szCs w:val="24"/>
        </w:rPr>
        <w:t>, t</w:t>
      </w:r>
      <w:r w:rsidR="00C45E86" w:rsidRPr="00261C59">
        <w:rPr>
          <w:rFonts w:ascii="Calibri" w:hAnsi="Calibri"/>
          <w:sz w:val="24"/>
          <w:szCs w:val="24"/>
        </w:rPr>
        <w:t xml:space="preserve">he Parties will develop a National Health Reform Strategy (the Strategy) for </w:t>
      </w:r>
      <w:r w:rsidR="00FB0AC1" w:rsidRPr="00261C59">
        <w:rPr>
          <w:rFonts w:ascii="Calibri" w:hAnsi="Calibri"/>
          <w:sz w:val="24"/>
          <w:szCs w:val="24"/>
        </w:rPr>
        <w:t>Health Ministers’</w:t>
      </w:r>
      <w:r w:rsidR="00C45E86" w:rsidRPr="00261C59">
        <w:rPr>
          <w:rFonts w:ascii="Calibri" w:hAnsi="Calibri"/>
          <w:sz w:val="24"/>
          <w:szCs w:val="24"/>
        </w:rPr>
        <w:t xml:space="preserve"> agreement by </w:t>
      </w:r>
      <w:r w:rsidR="007900B9" w:rsidRPr="00261C59">
        <w:rPr>
          <w:rFonts w:ascii="Calibri" w:hAnsi="Calibri"/>
          <w:sz w:val="24"/>
          <w:szCs w:val="24"/>
        </w:rPr>
        <w:t>30</w:t>
      </w:r>
      <w:r w:rsidR="00E705FA" w:rsidRPr="00261C59">
        <w:rPr>
          <w:rFonts w:ascii="Calibri" w:hAnsi="Calibri"/>
          <w:sz w:val="24"/>
          <w:szCs w:val="24"/>
        </w:rPr>
        <w:t> </w:t>
      </w:r>
      <w:r w:rsidR="00C45E86" w:rsidRPr="00261C59">
        <w:rPr>
          <w:rFonts w:ascii="Calibri" w:hAnsi="Calibri"/>
          <w:sz w:val="24"/>
          <w:szCs w:val="24"/>
        </w:rPr>
        <w:t>September</w:t>
      </w:r>
      <w:r w:rsidR="00750053">
        <w:rPr>
          <w:rFonts w:ascii="Calibri" w:hAnsi="Calibri"/>
          <w:sz w:val="24"/>
          <w:szCs w:val="24"/>
        </w:rPr>
        <w:t> </w:t>
      </w:r>
      <w:r w:rsidR="00C45E86" w:rsidRPr="00261C59">
        <w:rPr>
          <w:rFonts w:ascii="Calibri" w:hAnsi="Calibri"/>
          <w:sz w:val="24"/>
          <w:szCs w:val="24"/>
        </w:rPr>
        <w:t>202</w:t>
      </w:r>
      <w:r w:rsidR="002647A3" w:rsidRPr="00261C59">
        <w:rPr>
          <w:rFonts w:ascii="Calibri" w:hAnsi="Calibri"/>
          <w:sz w:val="24"/>
          <w:szCs w:val="24"/>
        </w:rPr>
        <w:t>6</w:t>
      </w:r>
      <w:r w:rsidR="00C45E86" w:rsidRPr="00261C59">
        <w:rPr>
          <w:rFonts w:ascii="Calibri" w:hAnsi="Calibri"/>
          <w:sz w:val="24"/>
          <w:szCs w:val="24"/>
        </w:rPr>
        <w:t xml:space="preserve">. The Strategy </w:t>
      </w:r>
      <w:r w:rsidR="00AA561A" w:rsidRPr="00261C59">
        <w:rPr>
          <w:rFonts w:ascii="Calibri" w:hAnsi="Calibri"/>
          <w:sz w:val="24"/>
          <w:szCs w:val="24"/>
        </w:rPr>
        <w:t>will</w:t>
      </w:r>
      <w:r w:rsidR="00C45E86" w:rsidRPr="00261C59">
        <w:rPr>
          <w:rFonts w:ascii="Calibri" w:hAnsi="Calibri"/>
          <w:sz w:val="24"/>
          <w:szCs w:val="24"/>
        </w:rPr>
        <w:t xml:space="preserve"> guide cohesive implementation of the Addendum </w:t>
      </w:r>
      <w:r w:rsidR="00FB0AC1" w:rsidRPr="00261C59">
        <w:rPr>
          <w:rFonts w:ascii="Calibri" w:hAnsi="Calibri"/>
          <w:sz w:val="24"/>
          <w:szCs w:val="24"/>
        </w:rPr>
        <w:t xml:space="preserve">as outlined above, </w:t>
      </w:r>
      <w:r w:rsidR="00C45E86" w:rsidRPr="00261C59">
        <w:rPr>
          <w:rFonts w:ascii="Calibri" w:hAnsi="Calibri"/>
          <w:sz w:val="24"/>
          <w:szCs w:val="24"/>
        </w:rPr>
        <w:t xml:space="preserve">and: </w:t>
      </w:r>
    </w:p>
    <w:p w14:paraId="66926BF5" w14:textId="6F64AFA2" w:rsidR="00B05B2E" w:rsidRPr="00261C59" w:rsidRDefault="00B05B2E"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be developed and amended as needed in collaboration with Aboriginal and Torres Strait Islander stakeholders as set out in Schedule B</w:t>
      </w:r>
    </w:p>
    <w:p w14:paraId="430ACD1E" w14:textId="04B2BBC9" w:rsidR="00C45E86" w:rsidRPr="00261C59" w:rsidRDefault="00C45E86"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describe the objectives </w:t>
      </w:r>
      <w:r w:rsidR="00ED18D5" w:rsidRPr="00261C59">
        <w:rPr>
          <w:rFonts w:ascii="Calibri" w:hAnsi="Calibri"/>
          <w:sz w:val="24"/>
          <w:szCs w:val="24"/>
          <w:lang w:val="en-GB"/>
        </w:rPr>
        <w:t xml:space="preserve">and outcomes </w:t>
      </w:r>
      <w:r w:rsidRPr="00261C59">
        <w:rPr>
          <w:rFonts w:ascii="Calibri" w:hAnsi="Calibri"/>
          <w:sz w:val="24"/>
          <w:szCs w:val="24"/>
          <w:lang w:val="en-GB"/>
        </w:rPr>
        <w:t xml:space="preserve">and how </w:t>
      </w:r>
      <w:r w:rsidR="008D0795" w:rsidRPr="00261C59">
        <w:rPr>
          <w:rFonts w:ascii="Calibri" w:hAnsi="Calibri"/>
          <w:sz w:val="24"/>
          <w:szCs w:val="24"/>
          <w:lang w:val="en-GB"/>
        </w:rPr>
        <w:t xml:space="preserve">Parties will </w:t>
      </w:r>
      <w:r w:rsidRPr="00261C59">
        <w:rPr>
          <w:rFonts w:ascii="Calibri" w:hAnsi="Calibri"/>
          <w:sz w:val="24"/>
          <w:szCs w:val="24"/>
          <w:lang w:val="en-GB"/>
        </w:rPr>
        <w:t xml:space="preserve">measure the success of the Addendum and </w:t>
      </w:r>
      <w:r w:rsidR="00801343" w:rsidRPr="00261C59">
        <w:rPr>
          <w:rFonts w:ascii="Calibri" w:hAnsi="Calibri"/>
          <w:sz w:val="24"/>
          <w:szCs w:val="24"/>
          <w:lang w:val="en-GB"/>
        </w:rPr>
        <w:t xml:space="preserve">its </w:t>
      </w:r>
      <w:r w:rsidRPr="00261C59">
        <w:rPr>
          <w:rFonts w:ascii="Calibri" w:hAnsi="Calibri"/>
          <w:sz w:val="24"/>
          <w:szCs w:val="24"/>
          <w:lang w:val="en-GB"/>
        </w:rPr>
        <w:t>reforms</w:t>
      </w:r>
    </w:p>
    <w:p w14:paraId="3AECD32F" w14:textId="57DAD114" w:rsidR="00C45E86" w:rsidRPr="00261C59" w:rsidRDefault="00C45E86" w:rsidP="004728D9">
      <w:pPr>
        <w:widowControl/>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lastRenderedPageBreak/>
        <w:t>outline a</w:t>
      </w:r>
      <w:r w:rsidR="00801343" w:rsidRPr="00261C59">
        <w:rPr>
          <w:rFonts w:ascii="Calibri" w:hAnsi="Calibri"/>
          <w:sz w:val="24"/>
          <w:szCs w:val="24"/>
          <w:lang w:val="en-GB"/>
        </w:rPr>
        <w:t>n implementation</w:t>
      </w:r>
      <w:r w:rsidRPr="00261C59">
        <w:rPr>
          <w:rFonts w:ascii="Calibri" w:hAnsi="Calibri"/>
          <w:sz w:val="24"/>
          <w:szCs w:val="24"/>
          <w:lang w:val="en-GB"/>
        </w:rPr>
        <w:t xml:space="preserve"> plan to</w:t>
      </w:r>
      <w:r w:rsidR="000C6650" w:rsidRPr="00261C59">
        <w:rPr>
          <w:rFonts w:ascii="Calibri" w:hAnsi="Calibri"/>
          <w:sz w:val="24"/>
          <w:szCs w:val="24"/>
          <w:lang w:val="en-GB"/>
        </w:rPr>
        <w:t xml:space="preserve"> deliver and</w:t>
      </w:r>
      <w:r w:rsidRPr="00261C59">
        <w:rPr>
          <w:rFonts w:ascii="Calibri" w:hAnsi="Calibri"/>
          <w:sz w:val="24"/>
          <w:szCs w:val="24"/>
          <w:lang w:val="en-GB"/>
        </w:rPr>
        <w:t xml:space="preserve"> monitor reforms and commitments</w:t>
      </w:r>
      <w:r w:rsidR="0032173E" w:rsidRPr="00261C59">
        <w:rPr>
          <w:rFonts w:ascii="Calibri" w:hAnsi="Calibri"/>
          <w:sz w:val="24"/>
          <w:szCs w:val="24"/>
          <w:lang w:val="en-GB"/>
        </w:rPr>
        <w:t xml:space="preserve">, complemented by </w:t>
      </w:r>
      <w:r w:rsidR="0065069A" w:rsidRPr="00261C59">
        <w:rPr>
          <w:rFonts w:ascii="Calibri" w:hAnsi="Calibri"/>
          <w:sz w:val="24"/>
          <w:szCs w:val="24"/>
          <w:lang w:val="en-GB"/>
        </w:rPr>
        <w:t xml:space="preserve">the </w:t>
      </w:r>
      <w:r w:rsidR="006252AD" w:rsidRPr="00261C59">
        <w:rPr>
          <w:rFonts w:ascii="Calibri" w:hAnsi="Calibri"/>
          <w:sz w:val="24"/>
          <w:szCs w:val="24"/>
          <w:lang w:val="en-GB"/>
        </w:rPr>
        <w:t xml:space="preserve">Service Model and Funding Reform </w:t>
      </w:r>
      <w:r w:rsidR="0065069A" w:rsidRPr="00261C59">
        <w:rPr>
          <w:rFonts w:ascii="Calibri" w:hAnsi="Calibri"/>
          <w:sz w:val="24"/>
          <w:szCs w:val="24"/>
          <w:lang w:val="en-GB"/>
        </w:rPr>
        <w:t xml:space="preserve">Framework </w:t>
      </w:r>
      <w:r w:rsidR="00337867" w:rsidRPr="00261C59">
        <w:rPr>
          <w:rFonts w:ascii="Calibri" w:hAnsi="Calibri"/>
          <w:sz w:val="24"/>
          <w:szCs w:val="24"/>
          <w:lang w:val="en-GB"/>
        </w:rPr>
        <w:t>detailed in Schedule D</w:t>
      </w:r>
    </w:p>
    <w:p w14:paraId="2A6E85B2" w14:textId="0093DBEA" w:rsidR="00C45E86" w:rsidRPr="00261C59" w:rsidRDefault="47DA5BAE"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describe an </w:t>
      </w:r>
      <w:r w:rsidR="1805DAFC" w:rsidRPr="00261C59">
        <w:rPr>
          <w:rFonts w:ascii="Calibri" w:hAnsi="Calibri"/>
          <w:sz w:val="24"/>
          <w:szCs w:val="24"/>
          <w:lang w:val="en-GB"/>
        </w:rPr>
        <w:t xml:space="preserve">annual process </w:t>
      </w:r>
      <w:r w:rsidRPr="00261C59">
        <w:rPr>
          <w:rFonts w:ascii="Calibri" w:hAnsi="Calibri"/>
          <w:sz w:val="24"/>
          <w:szCs w:val="24"/>
          <w:lang w:val="en-GB"/>
        </w:rPr>
        <w:t>for Parties to review progress against Addendum objectives and recalibrate direction</w:t>
      </w:r>
      <w:r w:rsidR="0F82259A" w:rsidRPr="00261C59">
        <w:rPr>
          <w:rFonts w:ascii="Calibri" w:hAnsi="Calibri"/>
          <w:sz w:val="24"/>
          <w:szCs w:val="24"/>
          <w:lang w:val="en-GB"/>
        </w:rPr>
        <w:t xml:space="preserve"> if necessary</w:t>
      </w:r>
      <w:r w:rsidR="2CB983B7" w:rsidRPr="00261C59">
        <w:rPr>
          <w:rFonts w:ascii="Calibri" w:hAnsi="Calibri"/>
          <w:sz w:val="24"/>
          <w:szCs w:val="24"/>
          <w:lang w:val="en-GB"/>
        </w:rPr>
        <w:t xml:space="preserve"> (as per clause </w:t>
      </w:r>
      <w:r w:rsidR="3C9A4395" w:rsidRPr="00261C59">
        <w:rPr>
          <w:rFonts w:ascii="Calibri" w:hAnsi="Calibri"/>
          <w:sz w:val="24"/>
          <w:szCs w:val="24"/>
          <w:lang w:val="en-GB"/>
        </w:rPr>
        <w:t>H1</w:t>
      </w:r>
      <w:r w:rsidR="6F64C1A8" w:rsidRPr="00261C59">
        <w:rPr>
          <w:rFonts w:ascii="Calibri" w:hAnsi="Calibri"/>
          <w:sz w:val="24"/>
          <w:szCs w:val="24"/>
          <w:lang w:val="en-GB"/>
        </w:rPr>
        <w:t>6</w:t>
      </w:r>
      <w:r w:rsidR="2CB983B7" w:rsidRPr="00261C59">
        <w:rPr>
          <w:rFonts w:ascii="Calibri" w:hAnsi="Calibri"/>
          <w:sz w:val="24"/>
          <w:szCs w:val="24"/>
          <w:lang w:val="en-GB"/>
        </w:rPr>
        <w:t>)</w:t>
      </w:r>
      <w:r w:rsidRPr="00261C59">
        <w:rPr>
          <w:rFonts w:ascii="Calibri" w:hAnsi="Calibri"/>
          <w:sz w:val="24"/>
          <w:szCs w:val="24"/>
          <w:lang w:val="en-GB"/>
        </w:rPr>
        <w:t xml:space="preserve"> </w:t>
      </w:r>
    </w:p>
    <w:p w14:paraId="4D0FA499" w14:textId="6D0BCC69" w:rsidR="00C15430" w:rsidRPr="00261C59" w:rsidRDefault="00C45E86"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 xml:space="preserve">consider how to position reforms for scaling or adjustment in the next Addendum. </w:t>
      </w:r>
    </w:p>
    <w:p w14:paraId="758EF273" w14:textId="73E608EF" w:rsidR="00322C2C" w:rsidRPr="00261C59" w:rsidRDefault="00322C2C" w:rsidP="00814D08">
      <w:pPr>
        <w:pStyle w:val="Heading2"/>
        <w:spacing w:before="180" w:after="120"/>
        <w:jc w:val="left"/>
        <w:rPr>
          <w:rFonts w:ascii="Corbel" w:hAnsi="Corbel" w:cs="Arial"/>
          <w:color w:val="3D4B67"/>
          <w:sz w:val="28"/>
          <w:szCs w:val="28"/>
          <w:lang w:val="en-GB"/>
        </w:rPr>
      </w:pPr>
      <w:bookmarkStart w:id="32" w:name="_Toc165886209"/>
      <w:bookmarkStart w:id="33" w:name="_Toc210833570"/>
      <w:bookmarkStart w:id="34" w:name="_Toc214456470"/>
      <w:bookmarkStart w:id="35" w:name="_Toc221087949"/>
      <w:r w:rsidRPr="00261C59">
        <w:rPr>
          <w:rFonts w:ascii="Corbel" w:eastAsia="Times New Roman" w:hAnsi="Corbel" w:cs="Arial"/>
          <w:color w:val="3D4B67"/>
          <w:sz w:val="28"/>
          <w:szCs w:val="28"/>
          <w:lang w:val="en-GB"/>
        </w:rPr>
        <w:t>Stewardship, roles</w:t>
      </w:r>
      <w:bookmarkEnd w:id="32"/>
      <w:r w:rsidRPr="00261C59">
        <w:rPr>
          <w:rFonts w:ascii="Corbel" w:eastAsia="Times New Roman" w:hAnsi="Corbel" w:cs="Arial"/>
          <w:color w:val="3D4B67"/>
          <w:sz w:val="28"/>
          <w:szCs w:val="28"/>
          <w:lang w:val="en-GB"/>
        </w:rPr>
        <w:t xml:space="preserve"> and responsibilities</w:t>
      </w:r>
      <w:bookmarkEnd w:id="33"/>
      <w:bookmarkEnd w:id="34"/>
      <w:bookmarkEnd w:id="35"/>
    </w:p>
    <w:p w14:paraId="51AE4FC8" w14:textId="10B501DD" w:rsidR="00322C2C" w:rsidRPr="00261C59" w:rsidRDefault="00322C2C" w:rsidP="004728D9">
      <w:pPr>
        <w:numPr>
          <w:ilvl w:val="0"/>
          <w:numId w:val="52"/>
        </w:numPr>
        <w:spacing w:after="240" w:line="260" w:lineRule="exact"/>
        <w:jc w:val="left"/>
        <w:rPr>
          <w:rFonts w:ascii="Calibri" w:hAnsi="Calibri"/>
          <w:sz w:val="24"/>
          <w:szCs w:val="24"/>
        </w:rPr>
      </w:pPr>
      <w:bookmarkStart w:id="36" w:name="_Toc165886210"/>
      <w:r w:rsidRPr="00261C59">
        <w:rPr>
          <w:rFonts w:ascii="Calibri" w:hAnsi="Calibri"/>
          <w:sz w:val="24"/>
          <w:szCs w:val="24"/>
        </w:rPr>
        <w:t xml:space="preserve">This Addendum recognises that responsibility for health care is shared between the Commonwealth and the States and Territories, and that governments </w:t>
      </w:r>
      <w:r w:rsidR="00DD7D11" w:rsidRPr="00261C59">
        <w:rPr>
          <w:rFonts w:ascii="Calibri" w:hAnsi="Calibri"/>
          <w:sz w:val="24"/>
          <w:szCs w:val="24"/>
        </w:rPr>
        <w:t xml:space="preserve">must </w:t>
      </w:r>
      <w:r w:rsidRPr="00261C59">
        <w:rPr>
          <w:rFonts w:ascii="Calibri" w:hAnsi="Calibri"/>
          <w:sz w:val="24"/>
          <w:szCs w:val="24"/>
        </w:rPr>
        <w:t xml:space="preserve">ensure all parts of the health system </w:t>
      </w:r>
      <w:r w:rsidR="008D1D32" w:rsidRPr="00261C59">
        <w:rPr>
          <w:rFonts w:ascii="Calibri" w:hAnsi="Calibri"/>
          <w:sz w:val="24"/>
          <w:szCs w:val="24"/>
        </w:rPr>
        <w:t xml:space="preserve">and other care systems </w:t>
      </w:r>
      <w:r w:rsidRPr="00261C59">
        <w:rPr>
          <w:rFonts w:ascii="Calibri" w:hAnsi="Calibri"/>
          <w:sz w:val="24"/>
          <w:szCs w:val="24"/>
        </w:rPr>
        <w:t xml:space="preserve">work together effectively and efficiently to deliver the best outcomes for all Australians, </w:t>
      </w:r>
      <w:r w:rsidR="00AF0DC5" w:rsidRPr="00261C59">
        <w:rPr>
          <w:rFonts w:ascii="Calibri" w:hAnsi="Calibri"/>
          <w:sz w:val="24"/>
          <w:szCs w:val="24"/>
        </w:rPr>
        <w:t xml:space="preserve">including to </w:t>
      </w:r>
      <w:r w:rsidR="00B35C9C" w:rsidRPr="00261C59">
        <w:rPr>
          <w:rFonts w:ascii="Calibri" w:hAnsi="Calibri"/>
          <w:sz w:val="24"/>
          <w:szCs w:val="24"/>
        </w:rPr>
        <w:t>fulfil</w:t>
      </w:r>
      <w:r w:rsidR="00AF0DC5" w:rsidRPr="00261C59">
        <w:rPr>
          <w:rFonts w:ascii="Calibri" w:hAnsi="Calibri"/>
          <w:sz w:val="24"/>
          <w:szCs w:val="24"/>
        </w:rPr>
        <w:t xml:space="preserve"> </w:t>
      </w:r>
      <w:r w:rsidRPr="00261C59">
        <w:rPr>
          <w:rFonts w:ascii="Calibri" w:hAnsi="Calibri"/>
          <w:sz w:val="24"/>
          <w:szCs w:val="24"/>
        </w:rPr>
        <w:t xml:space="preserve">the roles outlined in </w:t>
      </w:r>
      <w:r w:rsidR="00586D7E" w:rsidRPr="00261C59">
        <w:rPr>
          <w:rFonts w:ascii="Calibri" w:hAnsi="Calibri"/>
          <w:sz w:val="24"/>
          <w:szCs w:val="24"/>
        </w:rPr>
        <w:t xml:space="preserve">the </w:t>
      </w:r>
      <w:r w:rsidR="00586D7E" w:rsidRPr="00261C59">
        <w:rPr>
          <w:rFonts w:ascii="Calibri" w:hAnsi="Calibri"/>
          <w:sz w:val="24"/>
        </w:rPr>
        <w:t>National Agreement on Closing the Gap</w:t>
      </w:r>
      <w:r w:rsidRPr="00261C59">
        <w:rPr>
          <w:rFonts w:ascii="Calibri" w:hAnsi="Calibri"/>
          <w:sz w:val="24"/>
          <w:szCs w:val="24"/>
        </w:rPr>
        <w:t xml:space="preserve">. </w:t>
      </w:r>
    </w:p>
    <w:p w14:paraId="39223EBD" w14:textId="5C359771" w:rsidR="00F70A69" w:rsidRPr="00261C59" w:rsidRDefault="004763B2" w:rsidP="00830547">
      <w:pPr>
        <w:numPr>
          <w:ilvl w:val="0"/>
          <w:numId w:val="52"/>
        </w:numPr>
        <w:spacing w:after="240" w:line="260" w:lineRule="exact"/>
        <w:jc w:val="left"/>
        <w:rPr>
          <w:rFonts w:ascii="Calibri" w:hAnsi="Calibri"/>
          <w:sz w:val="24"/>
          <w:szCs w:val="24"/>
        </w:rPr>
      </w:pPr>
      <w:r w:rsidRPr="00261C59">
        <w:rPr>
          <w:rFonts w:ascii="Calibri" w:hAnsi="Calibri"/>
          <w:sz w:val="24"/>
          <w:szCs w:val="24"/>
        </w:rPr>
        <w:t xml:space="preserve">The Commonwealth is the market steward of the aged care, primary care and NDIS systems. States are the stewards of the public hospital and health system. </w:t>
      </w:r>
      <w:r w:rsidR="00740BF9" w:rsidRPr="00261C59">
        <w:rPr>
          <w:rFonts w:ascii="Calibri" w:hAnsi="Calibri"/>
          <w:sz w:val="24"/>
          <w:szCs w:val="24"/>
        </w:rPr>
        <w:t>Effective stewardship ensures that services are accessible and sustainable, creating incentives that shape behaviour towards desired outcomes and addressing service accessibility issues and</w:t>
      </w:r>
      <w:r w:rsidR="00E810E0">
        <w:rPr>
          <w:rFonts w:ascii="Calibri" w:hAnsi="Calibri"/>
          <w:sz w:val="24"/>
          <w:szCs w:val="24"/>
        </w:rPr>
        <w:t xml:space="preserve"> </w:t>
      </w:r>
      <w:r w:rsidR="00740BF9" w:rsidRPr="00261C59">
        <w:rPr>
          <w:rFonts w:ascii="Calibri" w:hAnsi="Calibri"/>
          <w:sz w:val="24"/>
          <w:szCs w:val="24"/>
        </w:rPr>
        <w:t>service gaps.</w:t>
      </w:r>
    </w:p>
    <w:p w14:paraId="5D7B52E4" w14:textId="4FE48C1F" w:rsidR="004763B2" w:rsidRPr="00261C59" w:rsidRDefault="004763B2" w:rsidP="00830547">
      <w:pPr>
        <w:numPr>
          <w:ilvl w:val="0"/>
          <w:numId w:val="52"/>
        </w:numPr>
        <w:spacing w:after="240" w:line="260" w:lineRule="exact"/>
        <w:jc w:val="left"/>
        <w:rPr>
          <w:rFonts w:ascii="Calibri" w:hAnsi="Calibri"/>
          <w:sz w:val="24"/>
          <w:szCs w:val="24"/>
        </w:rPr>
      </w:pPr>
      <w:r w:rsidRPr="00261C59">
        <w:rPr>
          <w:rFonts w:ascii="Calibri" w:hAnsi="Calibri"/>
          <w:sz w:val="24"/>
          <w:szCs w:val="24"/>
        </w:rPr>
        <w:t>Parties recognise that these are all part of a whole care and support system, and all governments play</w:t>
      </w:r>
      <w:r w:rsidRPr="00261C59" w:rsidDel="008667AF">
        <w:rPr>
          <w:rFonts w:ascii="Calibri" w:hAnsi="Calibri"/>
          <w:sz w:val="24"/>
          <w:szCs w:val="24"/>
        </w:rPr>
        <w:t xml:space="preserve"> a</w:t>
      </w:r>
      <w:r w:rsidRPr="00261C59">
        <w:rPr>
          <w:rFonts w:ascii="Calibri" w:hAnsi="Calibri"/>
          <w:sz w:val="24"/>
          <w:szCs w:val="24"/>
        </w:rPr>
        <w:t xml:space="preserve"> </w:t>
      </w:r>
      <w:r w:rsidRPr="00261C59" w:rsidDel="00A02A5D">
        <w:rPr>
          <w:rFonts w:ascii="Calibri" w:hAnsi="Calibri"/>
          <w:sz w:val="24"/>
          <w:szCs w:val="24"/>
        </w:rPr>
        <w:t xml:space="preserve">collective </w:t>
      </w:r>
      <w:r w:rsidRPr="00261C59">
        <w:rPr>
          <w:rFonts w:ascii="Calibri" w:hAnsi="Calibri"/>
          <w:sz w:val="24"/>
          <w:szCs w:val="24"/>
        </w:rPr>
        <w:t>stewardship role. Parties agree that key principles of stewardship include:</w:t>
      </w:r>
    </w:p>
    <w:p w14:paraId="5F27E080" w14:textId="10071FCB" w:rsidR="004763B2" w:rsidRPr="00261C59" w:rsidRDefault="004763B2" w:rsidP="00830547">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a systematic, evidence-informed approach to planning, designing, regulating and funding systems to support equitable, and sustainable access to care and health outcomes</w:t>
      </w:r>
    </w:p>
    <w:p w14:paraId="17DC6904" w14:textId="7C5B69A3" w:rsidR="004763B2" w:rsidRPr="00261C59" w:rsidRDefault="004763B2" w:rsidP="00830547">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transparency and regular monitoring of service demand, supply, utilisation, access</w:t>
      </w:r>
      <w:r w:rsidR="00E61856" w:rsidRPr="00261C59">
        <w:rPr>
          <w:rFonts w:ascii="Calibri" w:hAnsi="Calibri"/>
          <w:sz w:val="24"/>
          <w:szCs w:val="24"/>
          <w:lang w:val="en-GB"/>
        </w:rPr>
        <w:t xml:space="preserve"> and </w:t>
      </w:r>
      <w:r w:rsidRPr="00261C59">
        <w:rPr>
          <w:rFonts w:ascii="Calibri" w:hAnsi="Calibri"/>
          <w:sz w:val="24"/>
          <w:szCs w:val="24"/>
          <w:lang w:val="en-GB"/>
        </w:rPr>
        <w:t>quality, in line with policy objectives</w:t>
      </w:r>
    </w:p>
    <w:p w14:paraId="7DB5821C" w14:textId="59F08993" w:rsidR="004763B2" w:rsidRPr="00261C59" w:rsidRDefault="004763B2" w:rsidP="00830547">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early identification and proactive intervention to support appropriate and timely collaborative action to address service delivery gaps</w:t>
      </w:r>
    </w:p>
    <w:p w14:paraId="374D6D33" w14:textId="7BDAB3E0" w:rsidR="004763B2" w:rsidRPr="00261C59" w:rsidRDefault="004763B2" w:rsidP="00830547">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regular review and adjustment of regulatory, policy and program settings, funding and service delivery models informed by evidence and changing conditions</w:t>
      </w:r>
    </w:p>
    <w:p w14:paraId="26C290F6" w14:textId="1DDADCE1" w:rsidR="00433FAE" w:rsidRPr="00261C59" w:rsidRDefault="004763B2" w:rsidP="00830547">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supporting capability and innovation including tailored solutions in local or regional/remote areas to promote long</w:t>
      </w:r>
      <w:r w:rsidR="00157B27">
        <w:rPr>
          <w:rFonts w:ascii="Calibri" w:hAnsi="Calibri"/>
          <w:sz w:val="24"/>
          <w:szCs w:val="24"/>
          <w:lang w:val="en-GB"/>
        </w:rPr>
        <w:t xml:space="preserve"> </w:t>
      </w:r>
      <w:r w:rsidRPr="00261C59">
        <w:rPr>
          <w:rFonts w:ascii="Calibri" w:hAnsi="Calibri"/>
          <w:sz w:val="24"/>
          <w:szCs w:val="24"/>
          <w:lang w:val="en-GB"/>
        </w:rPr>
        <w:t>term market sustainability</w:t>
      </w:r>
    </w:p>
    <w:p w14:paraId="068C5F05" w14:textId="58ADEFB7" w:rsidR="004763B2" w:rsidRPr="00261C59" w:rsidRDefault="004763B2" w:rsidP="00830547">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collaboration between the Parties to support alignment across all care systems (primary care, aged care, disability, and public hospitals) and proactively address any barriers to coordinated care</w:t>
      </w:r>
      <w:r w:rsidR="00F71DED" w:rsidRPr="00261C59">
        <w:rPr>
          <w:rFonts w:ascii="Calibri" w:hAnsi="Calibri"/>
          <w:sz w:val="24"/>
          <w:szCs w:val="24"/>
          <w:lang w:val="en-GB"/>
        </w:rPr>
        <w:t>.</w:t>
      </w:r>
    </w:p>
    <w:p w14:paraId="27378246" w14:textId="24E880D6" w:rsidR="00322C2C" w:rsidRPr="00261C59" w:rsidRDefault="00322C2C" w:rsidP="004728D9">
      <w:pPr>
        <w:widowControl/>
        <w:numPr>
          <w:ilvl w:val="0"/>
          <w:numId w:val="52"/>
        </w:numPr>
        <w:spacing w:after="240" w:line="260" w:lineRule="exact"/>
        <w:jc w:val="left"/>
        <w:rPr>
          <w:rFonts w:ascii="Calibri" w:hAnsi="Calibri"/>
          <w:sz w:val="24"/>
          <w:szCs w:val="24"/>
        </w:rPr>
      </w:pPr>
      <w:r w:rsidRPr="00261C59">
        <w:rPr>
          <w:rFonts w:ascii="Calibri" w:hAnsi="Calibri"/>
          <w:sz w:val="24"/>
          <w:szCs w:val="24"/>
        </w:rPr>
        <w:t xml:space="preserve">All Parties affirm their commitment to deliver health services under this Addendum based on the following Medicare </w:t>
      </w:r>
      <w:r w:rsidR="00F022A5" w:rsidRPr="00261C59">
        <w:rPr>
          <w:rFonts w:ascii="Calibri" w:hAnsi="Calibri"/>
          <w:sz w:val="24"/>
          <w:szCs w:val="24"/>
        </w:rPr>
        <w:t>P</w:t>
      </w:r>
      <w:r w:rsidRPr="00261C59">
        <w:rPr>
          <w:rFonts w:ascii="Calibri" w:hAnsi="Calibri"/>
          <w:sz w:val="24"/>
          <w:szCs w:val="24"/>
        </w:rPr>
        <w:t>rinciples and will adhere to the Business Rules and other requirements set out in Schedule J</w:t>
      </w:r>
      <w:r w:rsidR="00EA6075" w:rsidRPr="00261C59">
        <w:rPr>
          <w:rFonts w:ascii="Calibri" w:hAnsi="Calibri"/>
          <w:sz w:val="24"/>
          <w:szCs w:val="24"/>
        </w:rPr>
        <w:t>.</w:t>
      </w:r>
    </w:p>
    <w:p w14:paraId="178D905F" w14:textId="4DB4F560" w:rsidR="00322C2C" w:rsidRPr="00261C59" w:rsidRDefault="00F71DED"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E</w:t>
      </w:r>
      <w:r w:rsidR="00322C2C" w:rsidRPr="00261C59">
        <w:rPr>
          <w:rFonts w:ascii="Calibri" w:hAnsi="Calibri"/>
          <w:sz w:val="24"/>
          <w:szCs w:val="24"/>
        </w:rPr>
        <w:t>ligible persons must be given the choice to receive public hospital services free of charge as public patients</w:t>
      </w:r>
      <w:r w:rsidR="004C0B2D" w:rsidRPr="00261C59">
        <w:rPr>
          <w:rFonts w:ascii="Calibri" w:hAnsi="Calibri"/>
          <w:sz w:val="24"/>
          <w:szCs w:val="24"/>
        </w:rPr>
        <w:t>.</w:t>
      </w:r>
    </w:p>
    <w:p w14:paraId="2CE8574B" w14:textId="6651E27F" w:rsidR="00322C2C" w:rsidRPr="00261C59" w:rsidRDefault="00F71DED"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lastRenderedPageBreak/>
        <w:t>A</w:t>
      </w:r>
      <w:r w:rsidR="00322C2C" w:rsidRPr="00261C59">
        <w:rPr>
          <w:rFonts w:ascii="Calibri" w:hAnsi="Calibri"/>
          <w:sz w:val="24"/>
          <w:szCs w:val="24"/>
          <w:lang w:val="en-GB"/>
        </w:rPr>
        <w:t>ccess to public hospital services is to be based on clinical need and within a clinically appropriate period</w:t>
      </w:r>
      <w:r w:rsidR="004C0B2D" w:rsidRPr="00261C59">
        <w:rPr>
          <w:rFonts w:ascii="Calibri" w:hAnsi="Calibri"/>
          <w:sz w:val="24"/>
          <w:szCs w:val="24"/>
          <w:lang w:val="en-GB"/>
        </w:rPr>
        <w:t>.</w:t>
      </w:r>
    </w:p>
    <w:p w14:paraId="6869965C" w14:textId="1A03AF7A" w:rsidR="00322C2C" w:rsidRPr="00261C59" w:rsidRDefault="00F71DED" w:rsidP="004728D9">
      <w:pPr>
        <w:widowControl/>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A</w:t>
      </w:r>
      <w:r w:rsidR="00322C2C" w:rsidRPr="00261C59">
        <w:rPr>
          <w:rFonts w:ascii="Calibri" w:hAnsi="Calibri"/>
          <w:sz w:val="24"/>
          <w:szCs w:val="24"/>
          <w:lang w:val="en-GB"/>
        </w:rPr>
        <w:t>rrangements are to be in place to ensure equitable access to such services for all eligible persons, regardless of their geographic location.</w:t>
      </w:r>
    </w:p>
    <w:p w14:paraId="35BA3784" w14:textId="3A8B2A09" w:rsidR="00322C2C" w:rsidRPr="00261C59" w:rsidRDefault="00322C2C" w:rsidP="004728D9">
      <w:pPr>
        <w:widowControl/>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This Addendum describes how </w:t>
      </w:r>
      <w:r w:rsidR="198CB7C8" w:rsidRPr="00261C59">
        <w:rPr>
          <w:rFonts w:ascii="Calibri" w:hAnsi="Calibri"/>
          <w:sz w:val="24"/>
          <w:szCs w:val="24"/>
          <w:lang w:val="en-GB"/>
        </w:rPr>
        <w:t xml:space="preserve">Parties, including </w:t>
      </w:r>
      <w:r w:rsidRPr="00261C59">
        <w:rPr>
          <w:rFonts w:ascii="Calibri" w:hAnsi="Calibri"/>
          <w:sz w:val="24"/>
          <w:szCs w:val="24"/>
          <w:lang w:val="en-GB"/>
        </w:rPr>
        <w:t xml:space="preserve">governments </w:t>
      </w:r>
      <w:r w:rsidR="503E8750" w:rsidRPr="00261C59">
        <w:rPr>
          <w:rFonts w:ascii="Calibri" w:hAnsi="Calibri"/>
          <w:sz w:val="24"/>
          <w:szCs w:val="24"/>
          <w:lang w:val="en-GB"/>
        </w:rPr>
        <w:t>and national bodies,</w:t>
      </w:r>
      <w:r w:rsidRPr="00261C59">
        <w:rPr>
          <w:rFonts w:ascii="Calibri" w:hAnsi="Calibri"/>
          <w:sz w:val="24"/>
          <w:szCs w:val="24"/>
          <w:lang w:val="en-GB"/>
        </w:rPr>
        <w:t xml:space="preserve"> will work </w:t>
      </w:r>
      <w:r w:rsidR="00EB7165" w:rsidRPr="00261C59">
        <w:rPr>
          <w:rFonts w:ascii="Calibri" w:hAnsi="Calibri"/>
          <w:sz w:val="24"/>
          <w:szCs w:val="24"/>
          <w:lang w:val="en-GB"/>
        </w:rPr>
        <w:t xml:space="preserve">together and in partnership </w:t>
      </w:r>
      <w:r w:rsidRPr="00261C59">
        <w:rPr>
          <w:rFonts w:ascii="Calibri" w:hAnsi="Calibri"/>
          <w:sz w:val="24"/>
          <w:szCs w:val="24"/>
          <w:lang w:val="en-GB"/>
        </w:rPr>
        <w:t xml:space="preserve">with Local Hospital Networks (LHNs), Primary Health Networks (PHNs), Aboriginal Community Controlled Health Organisations (ACCHOs) including peak and professional bodies, </w:t>
      </w:r>
      <w:r w:rsidR="7589805F" w:rsidRPr="00261C59">
        <w:rPr>
          <w:rFonts w:ascii="Calibri" w:hAnsi="Calibri"/>
          <w:sz w:val="24"/>
          <w:szCs w:val="24"/>
          <w:lang w:val="en-GB"/>
        </w:rPr>
        <w:t xml:space="preserve">and </w:t>
      </w:r>
      <w:r w:rsidRPr="00261C59">
        <w:rPr>
          <w:rFonts w:ascii="Calibri" w:hAnsi="Calibri"/>
          <w:sz w:val="24"/>
          <w:szCs w:val="24"/>
          <w:lang w:val="en-GB"/>
        </w:rPr>
        <w:t>aged care and disability services</w:t>
      </w:r>
      <w:r w:rsidR="1189DBD4" w:rsidRPr="00261C59">
        <w:rPr>
          <w:rFonts w:ascii="Calibri" w:hAnsi="Calibri"/>
          <w:sz w:val="24"/>
          <w:szCs w:val="24"/>
          <w:lang w:val="en-GB"/>
        </w:rPr>
        <w:t xml:space="preserve"> to </w:t>
      </w:r>
      <w:r w:rsidR="00056551" w:rsidRPr="00261C59">
        <w:rPr>
          <w:rFonts w:ascii="Calibri" w:hAnsi="Calibri"/>
          <w:sz w:val="24"/>
          <w:szCs w:val="24"/>
          <w:lang w:val="en-GB"/>
        </w:rPr>
        <w:t>enact</w:t>
      </w:r>
      <w:r w:rsidR="005E4E8A" w:rsidRPr="00261C59">
        <w:rPr>
          <w:rFonts w:ascii="Calibri" w:hAnsi="Calibri"/>
          <w:sz w:val="24"/>
          <w:szCs w:val="24"/>
          <w:lang w:val="en-GB"/>
        </w:rPr>
        <w:t xml:space="preserve"> the vision, principles, objectives and outcomes described above</w:t>
      </w:r>
      <w:r w:rsidR="1189DBD4" w:rsidRPr="00261C59">
        <w:rPr>
          <w:rFonts w:ascii="Calibri" w:hAnsi="Calibri"/>
          <w:sz w:val="24"/>
          <w:szCs w:val="24"/>
          <w:lang w:val="en-GB"/>
        </w:rPr>
        <w:t>.</w:t>
      </w:r>
    </w:p>
    <w:p w14:paraId="7F34FB01" w14:textId="77777777" w:rsidR="00322C2C" w:rsidRPr="00261C59" w:rsidRDefault="00322C2C" w:rsidP="00814D08">
      <w:pPr>
        <w:pStyle w:val="Heading3"/>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37" w:name="_Toc165886212"/>
      <w:bookmarkStart w:id="38" w:name="_Toc210833571"/>
      <w:bookmarkStart w:id="39" w:name="_Toc214456471"/>
      <w:bookmarkStart w:id="40" w:name="_Toc221087950"/>
      <w:r w:rsidRPr="00261C59">
        <w:rPr>
          <w:rFonts w:ascii="Corbel" w:eastAsia="Times New Roman" w:hAnsi="Corbel"/>
          <w:b w:val="0"/>
          <w:bCs w:val="0"/>
          <w:iCs w:val="0"/>
          <w:color w:val="3D4B67"/>
          <w:sz w:val="28"/>
          <w:szCs w:val="48"/>
          <w:lang w:eastAsia="ja-JP"/>
        </w:rPr>
        <w:t>Shared responsibilities</w:t>
      </w:r>
      <w:bookmarkEnd w:id="37"/>
      <w:bookmarkEnd w:id="38"/>
      <w:bookmarkEnd w:id="39"/>
      <w:bookmarkEnd w:id="40"/>
    </w:p>
    <w:p w14:paraId="2E8E4622" w14:textId="2FED0024" w:rsidR="00322C2C" w:rsidRPr="00261C59" w:rsidRDefault="00322C2C" w:rsidP="004728D9">
      <w:pPr>
        <w:numPr>
          <w:ilvl w:val="0"/>
          <w:numId w:val="52"/>
        </w:numPr>
        <w:spacing w:after="240" w:line="260" w:lineRule="exact"/>
        <w:jc w:val="left"/>
        <w:rPr>
          <w:rFonts w:ascii="Calibri" w:hAnsi="Calibri"/>
          <w:sz w:val="24"/>
          <w:szCs w:val="24"/>
        </w:rPr>
      </w:pPr>
      <w:r w:rsidRPr="00261C59">
        <w:rPr>
          <w:rFonts w:ascii="Calibri" w:hAnsi="Calibri"/>
          <w:sz w:val="24"/>
          <w:szCs w:val="24"/>
        </w:rPr>
        <w:t>Under this Addendum the Parties will be jointly responsible for:</w:t>
      </w:r>
    </w:p>
    <w:p w14:paraId="23254811" w14:textId="4B1FA5E2"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 xml:space="preserve">funding public hospital and health services using a range of approaches, including Activity Based Funding, block, capitation, bundling and other </w:t>
      </w:r>
      <w:r w:rsidR="00566065" w:rsidRPr="00261C59">
        <w:rPr>
          <w:rFonts w:ascii="Calibri" w:hAnsi="Calibri"/>
          <w:sz w:val="24"/>
          <w:szCs w:val="24"/>
        </w:rPr>
        <w:t>contemporary</w:t>
      </w:r>
      <w:r w:rsidR="0075598D" w:rsidRPr="00261C59">
        <w:rPr>
          <w:rFonts w:ascii="Calibri" w:hAnsi="Calibri"/>
          <w:sz w:val="24"/>
          <w:szCs w:val="24"/>
        </w:rPr>
        <w:t xml:space="preserve"> </w:t>
      </w:r>
      <w:r w:rsidRPr="00261C59">
        <w:rPr>
          <w:rFonts w:ascii="Calibri" w:hAnsi="Calibri"/>
          <w:sz w:val="24"/>
          <w:szCs w:val="24"/>
        </w:rPr>
        <w:t>and alternative funding models based on agreed framework</w:t>
      </w:r>
      <w:r w:rsidR="00457A3A" w:rsidRPr="00261C59">
        <w:rPr>
          <w:rFonts w:ascii="Calibri" w:hAnsi="Calibri"/>
          <w:sz w:val="24"/>
          <w:szCs w:val="24"/>
        </w:rPr>
        <w:t>s</w:t>
      </w:r>
      <w:r w:rsidRPr="00261C59">
        <w:rPr>
          <w:rFonts w:ascii="Calibri" w:hAnsi="Calibri"/>
          <w:sz w:val="24"/>
          <w:szCs w:val="24"/>
        </w:rPr>
        <w:t xml:space="preserve"> and </w:t>
      </w:r>
      <w:r w:rsidR="00E5477E" w:rsidRPr="00261C59">
        <w:rPr>
          <w:rFonts w:ascii="Calibri" w:hAnsi="Calibri"/>
          <w:sz w:val="24"/>
          <w:szCs w:val="24"/>
        </w:rPr>
        <w:t xml:space="preserve">shared </w:t>
      </w:r>
      <w:r w:rsidRPr="00261C59">
        <w:rPr>
          <w:rFonts w:ascii="Calibri" w:hAnsi="Calibri"/>
          <w:sz w:val="24"/>
          <w:szCs w:val="24"/>
        </w:rPr>
        <w:t>decision-making criteria</w:t>
      </w:r>
    </w:p>
    <w:p w14:paraId="684A731D" w14:textId="182BBE5F"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 xml:space="preserve">determining funding policy and exploring the potential to introduce </w:t>
      </w:r>
      <w:r w:rsidR="001B5A38" w:rsidRPr="00261C59">
        <w:rPr>
          <w:rFonts w:ascii="Calibri" w:hAnsi="Calibri"/>
          <w:sz w:val="24"/>
          <w:szCs w:val="24"/>
        </w:rPr>
        <w:t xml:space="preserve">optimal </w:t>
      </w:r>
      <w:r w:rsidRPr="00261C59">
        <w:rPr>
          <w:rFonts w:ascii="Calibri" w:hAnsi="Calibri"/>
          <w:sz w:val="24"/>
          <w:szCs w:val="24"/>
        </w:rPr>
        <w:t>models of care in</w:t>
      </w:r>
      <w:r w:rsidR="00F46993" w:rsidRPr="00261C59">
        <w:rPr>
          <w:rFonts w:ascii="Calibri" w:hAnsi="Calibri"/>
          <w:sz w:val="24"/>
          <w:szCs w:val="24"/>
        </w:rPr>
        <w:t>to</w:t>
      </w:r>
      <w:r w:rsidRPr="00261C59">
        <w:rPr>
          <w:rFonts w:ascii="Calibri" w:hAnsi="Calibri"/>
          <w:sz w:val="24"/>
          <w:szCs w:val="24"/>
        </w:rPr>
        <w:t xml:space="preserve"> the national funding model with support of the Independent Health and Aged Care Pricing Authority</w:t>
      </w:r>
      <w:r w:rsidR="00346285" w:rsidRPr="00261C59">
        <w:rPr>
          <w:rFonts w:ascii="Calibri" w:hAnsi="Calibri"/>
          <w:sz w:val="24"/>
          <w:szCs w:val="24"/>
        </w:rPr>
        <w:t>.</w:t>
      </w:r>
      <w:r w:rsidRPr="00261C59">
        <w:rPr>
          <w:rFonts w:ascii="Calibri" w:hAnsi="Calibri"/>
          <w:sz w:val="24"/>
          <w:szCs w:val="24"/>
        </w:rPr>
        <w:t xml:space="preserve"> </w:t>
      </w:r>
      <w:r w:rsidR="00346285" w:rsidRPr="00261C59">
        <w:rPr>
          <w:rFonts w:ascii="Calibri" w:hAnsi="Calibri"/>
          <w:sz w:val="24"/>
          <w:szCs w:val="24"/>
        </w:rPr>
        <w:t xml:space="preserve">This </w:t>
      </w:r>
      <w:r w:rsidRPr="00261C59">
        <w:rPr>
          <w:rFonts w:ascii="Calibri" w:hAnsi="Calibri"/>
          <w:sz w:val="24"/>
          <w:szCs w:val="24"/>
        </w:rPr>
        <w:t>includ</w:t>
      </w:r>
      <w:r w:rsidR="00346285" w:rsidRPr="00261C59">
        <w:rPr>
          <w:rFonts w:ascii="Calibri" w:hAnsi="Calibri"/>
          <w:sz w:val="24"/>
          <w:szCs w:val="24"/>
        </w:rPr>
        <w:t>es</w:t>
      </w:r>
      <w:r w:rsidRPr="00261C59">
        <w:rPr>
          <w:rFonts w:ascii="Calibri" w:hAnsi="Calibri"/>
          <w:sz w:val="24"/>
          <w:szCs w:val="24"/>
        </w:rPr>
        <w:t xml:space="preserve"> reviewing and broadening the scope of public hospital services to incorporate those that are provided beyond the hospital door, including virtual services, in-reach/out-reach services and other new models of care that replace or avoid hospital admissions</w:t>
      </w:r>
      <w:r w:rsidR="002C0D85" w:rsidRPr="00261C59">
        <w:rPr>
          <w:rFonts w:ascii="Calibri" w:hAnsi="Calibri"/>
          <w:sz w:val="24"/>
          <w:szCs w:val="24"/>
        </w:rPr>
        <w:t>, enabled by contemporary funding arrangements</w:t>
      </w:r>
    </w:p>
    <w:p w14:paraId="0437D2B9" w14:textId="1BF9B077" w:rsidR="007460CE" w:rsidRPr="00261C59" w:rsidRDefault="00D53FB0" w:rsidP="004728D9">
      <w:pPr>
        <w:widowControl/>
        <w:numPr>
          <w:ilvl w:val="1"/>
          <w:numId w:val="52"/>
        </w:numPr>
        <w:spacing w:after="240" w:line="260" w:lineRule="exact"/>
        <w:jc w:val="left"/>
        <w:rPr>
          <w:rFonts w:ascii="Calibri" w:hAnsi="Calibri"/>
          <w:sz w:val="24"/>
          <w:szCs w:val="24"/>
        </w:rPr>
      </w:pPr>
      <w:r w:rsidRPr="00261C59">
        <w:rPr>
          <w:rFonts w:ascii="Calibri" w:hAnsi="Calibri"/>
          <w:sz w:val="24"/>
          <w:szCs w:val="24"/>
        </w:rPr>
        <w:t>improv</w:t>
      </w:r>
      <w:r w:rsidR="00146031" w:rsidRPr="00261C59">
        <w:rPr>
          <w:rFonts w:ascii="Calibri" w:hAnsi="Calibri"/>
          <w:sz w:val="24"/>
          <w:szCs w:val="24"/>
        </w:rPr>
        <w:t>ing</w:t>
      </w:r>
      <w:r w:rsidR="004C0531" w:rsidRPr="00261C59">
        <w:rPr>
          <w:rFonts w:ascii="Calibri" w:hAnsi="Calibri"/>
          <w:sz w:val="24"/>
          <w:szCs w:val="24"/>
        </w:rPr>
        <w:t xml:space="preserve"> the health of Aboriginal and Torres Strait Islander people </w:t>
      </w:r>
      <w:r w:rsidR="00AA007F" w:rsidRPr="00261C59">
        <w:rPr>
          <w:rFonts w:ascii="Calibri" w:hAnsi="Calibri"/>
          <w:sz w:val="24"/>
          <w:szCs w:val="24"/>
        </w:rPr>
        <w:t xml:space="preserve">through specific actions and </w:t>
      </w:r>
      <w:r w:rsidR="005063EC" w:rsidRPr="00261C59">
        <w:rPr>
          <w:rFonts w:ascii="Calibri" w:hAnsi="Calibri"/>
          <w:sz w:val="24"/>
          <w:szCs w:val="24"/>
        </w:rPr>
        <w:t xml:space="preserve">increased </w:t>
      </w:r>
      <w:r w:rsidR="00AA007F" w:rsidRPr="00261C59">
        <w:rPr>
          <w:rFonts w:ascii="Calibri" w:hAnsi="Calibri"/>
          <w:sz w:val="24"/>
          <w:szCs w:val="24"/>
        </w:rPr>
        <w:t>accountabilit</w:t>
      </w:r>
      <w:r w:rsidR="005063EC" w:rsidRPr="00261C59">
        <w:rPr>
          <w:rFonts w:ascii="Calibri" w:hAnsi="Calibri"/>
          <w:sz w:val="24"/>
          <w:szCs w:val="24"/>
        </w:rPr>
        <w:t>y</w:t>
      </w:r>
      <w:r w:rsidR="00322C2C" w:rsidRPr="00261C59">
        <w:rPr>
          <w:rFonts w:ascii="Calibri" w:hAnsi="Calibri"/>
          <w:sz w:val="24"/>
          <w:szCs w:val="24"/>
        </w:rPr>
        <w:t xml:space="preserve"> </w:t>
      </w:r>
      <w:r w:rsidR="005063EC" w:rsidRPr="00261C59">
        <w:rPr>
          <w:rFonts w:ascii="Calibri" w:hAnsi="Calibri"/>
          <w:sz w:val="24"/>
          <w:szCs w:val="24"/>
        </w:rPr>
        <w:t>by</w:t>
      </w:r>
      <w:r w:rsidR="007460CE" w:rsidRPr="00261C59">
        <w:rPr>
          <w:rFonts w:ascii="Calibri" w:hAnsi="Calibri"/>
          <w:sz w:val="24"/>
          <w:szCs w:val="24"/>
        </w:rPr>
        <w:t>:</w:t>
      </w:r>
    </w:p>
    <w:p w14:paraId="63AF0D4C" w14:textId="6133123C" w:rsidR="00007410" w:rsidRPr="00261C59" w:rsidRDefault="007E66B2" w:rsidP="004728D9">
      <w:pPr>
        <w:numPr>
          <w:ilvl w:val="2"/>
          <w:numId w:val="52"/>
        </w:numPr>
        <w:spacing w:after="240" w:line="260" w:lineRule="exact"/>
        <w:jc w:val="left"/>
        <w:rPr>
          <w:rFonts w:ascii="Calibri" w:hAnsi="Calibri"/>
          <w:sz w:val="24"/>
          <w:szCs w:val="24"/>
        </w:rPr>
      </w:pPr>
      <w:r w:rsidRPr="00261C59">
        <w:rPr>
          <w:rFonts w:ascii="Calibri" w:hAnsi="Calibri"/>
          <w:sz w:val="24"/>
          <w:szCs w:val="24"/>
        </w:rPr>
        <w:t xml:space="preserve">operationalising </w:t>
      </w:r>
      <w:r w:rsidR="00CF3CB4" w:rsidRPr="00261C59">
        <w:rPr>
          <w:rFonts w:ascii="Calibri" w:hAnsi="Calibri"/>
          <w:sz w:val="24"/>
          <w:szCs w:val="24"/>
        </w:rPr>
        <w:t xml:space="preserve">commitments to the National Agreement on Closing the </w:t>
      </w:r>
      <w:r w:rsidR="00500512" w:rsidRPr="00261C59">
        <w:rPr>
          <w:rFonts w:ascii="Calibri" w:hAnsi="Calibri"/>
          <w:sz w:val="24"/>
          <w:szCs w:val="24"/>
        </w:rPr>
        <w:t>G</w:t>
      </w:r>
      <w:r w:rsidR="00CF3CB4" w:rsidRPr="00261C59">
        <w:rPr>
          <w:rFonts w:ascii="Calibri" w:hAnsi="Calibri"/>
          <w:sz w:val="24"/>
          <w:szCs w:val="24"/>
        </w:rPr>
        <w:t>ap</w:t>
      </w:r>
      <w:r w:rsidR="00007410" w:rsidRPr="00261C59">
        <w:rPr>
          <w:rFonts w:ascii="Calibri" w:hAnsi="Calibri"/>
          <w:sz w:val="24"/>
          <w:szCs w:val="24"/>
        </w:rPr>
        <w:t>, particularly the Priority Reforms</w:t>
      </w:r>
    </w:p>
    <w:p w14:paraId="7B574FE7" w14:textId="7F4F6BD3" w:rsidR="00B72B40" w:rsidRPr="00261C59" w:rsidRDefault="00B72B40" w:rsidP="004728D9">
      <w:pPr>
        <w:numPr>
          <w:ilvl w:val="2"/>
          <w:numId w:val="52"/>
        </w:numPr>
        <w:spacing w:after="240" w:line="260" w:lineRule="exact"/>
        <w:jc w:val="left"/>
        <w:rPr>
          <w:rFonts w:ascii="Calibri" w:hAnsi="Calibri"/>
          <w:sz w:val="24"/>
          <w:szCs w:val="24"/>
        </w:rPr>
      </w:pPr>
      <w:r w:rsidRPr="00261C59">
        <w:rPr>
          <w:rFonts w:ascii="Calibri" w:hAnsi="Calibri"/>
          <w:sz w:val="24"/>
          <w:szCs w:val="24"/>
        </w:rPr>
        <w:t>implementing the National Aboriginal and Torres Strait Islander Health Plan 2021-2031 and National Aboriginal and Torres Strait Islander Workforce Strategic Framework and Implementation Plan 2021-2031</w:t>
      </w:r>
    </w:p>
    <w:p w14:paraId="121F605A" w14:textId="24E86A4D" w:rsidR="00EA3624" w:rsidRPr="00261C59" w:rsidRDefault="00CF5D97" w:rsidP="004728D9">
      <w:pPr>
        <w:numPr>
          <w:ilvl w:val="2"/>
          <w:numId w:val="52"/>
        </w:numPr>
        <w:spacing w:after="240" w:line="260" w:lineRule="exact"/>
        <w:jc w:val="left"/>
        <w:rPr>
          <w:rFonts w:ascii="Calibri" w:hAnsi="Calibri"/>
          <w:sz w:val="24"/>
          <w:szCs w:val="24"/>
        </w:rPr>
      </w:pPr>
      <w:r w:rsidRPr="00261C59">
        <w:rPr>
          <w:rFonts w:ascii="Calibri" w:hAnsi="Calibri"/>
          <w:sz w:val="24"/>
          <w:szCs w:val="24"/>
        </w:rPr>
        <w:t xml:space="preserve">embedding </w:t>
      </w:r>
      <w:r w:rsidR="00EA3624" w:rsidRPr="00261C59">
        <w:rPr>
          <w:rFonts w:ascii="Calibri" w:hAnsi="Calibri"/>
          <w:sz w:val="24"/>
          <w:szCs w:val="24"/>
        </w:rPr>
        <w:t xml:space="preserve">Aboriginal and Torres Strait Islander </w:t>
      </w:r>
      <w:r w:rsidR="000E7461" w:rsidRPr="00261C59">
        <w:rPr>
          <w:rFonts w:ascii="Calibri" w:hAnsi="Calibri"/>
          <w:sz w:val="24"/>
          <w:szCs w:val="24"/>
        </w:rPr>
        <w:t xml:space="preserve">co-design, </w:t>
      </w:r>
      <w:r w:rsidR="00EA3624" w:rsidRPr="00261C59">
        <w:rPr>
          <w:rFonts w:ascii="Calibri" w:hAnsi="Calibri"/>
          <w:sz w:val="24"/>
          <w:szCs w:val="24"/>
        </w:rPr>
        <w:t>leadership and decision making</w:t>
      </w:r>
      <w:r w:rsidR="00991023" w:rsidRPr="00261C59">
        <w:rPr>
          <w:rFonts w:ascii="Calibri" w:hAnsi="Calibri"/>
          <w:sz w:val="24"/>
          <w:szCs w:val="24"/>
        </w:rPr>
        <w:t xml:space="preserve"> in governance </w:t>
      </w:r>
      <w:r w:rsidR="0069350F" w:rsidRPr="00261C59">
        <w:rPr>
          <w:rFonts w:ascii="Calibri" w:hAnsi="Calibri"/>
          <w:sz w:val="24"/>
          <w:szCs w:val="24"/>
        </w:rPr>
        <w:t>structures</w:t>
      </w:r>
    </w:p>
    <w:p w14:paraId="0D62FEE1" w14:textId="0342CE23" w:rsidR="00BD04B7" w:rsidRPr="00261C59" w:rsidRDefault="00276107" w:rsidP="004728D9">
      <w:pPr>
        <w:numPr>
          <w:ilvl w:val="2"/>
          <w:numId w:val="52"/>
        </w:numPr>
        <w:spacing w:after="240" w:line="260" w:lineRule="exact"/>
        <w:jc w:val="left"/>
        <w:rPr>
          <w:rFonts w:ascii="Calibri" w:hAnsi="Calibri"/>
          <w:sz w:val="24"/>
          <w:szCs w:val="24"/>
        </w:rPr>
      </w:pPr>
      <w:r w:rsidRPr="00261C59">
        <w:rPr>
          <w:rFonts w:ascii="Calibri" w:hAnsi="Calibri"/>
          <w:sz w:val="24"/>
          <w:szCs w:val="24"/>
        </w:rPr>
        <w:t xml:space="preserve">recognising </w:t>
      </w:r>
      <w:r w:rsidR="00203802" w:rsidRPr="00261C59">
        <w:rPr>
          <w:rFonts w:ascii="Calibri" w:hAnsi="Calibri"/>
          <w:sz w:val="24"/>
          <w:szCs w:val="24"/>
        </w:rPr>
        <w:t xml:space="preserve">the </w:t>
      </w:r>
      <w:r w:rsidR="00466912" w:rsidRPr="00261C59">
        <w:rPr>
          <w:rFonts w:ascii="Calibri" w:hAnsi="Calibri"/>
          <w:sz w:val="24"/>
          <w:szCs w:val="24"/>
        </w:rPr>
        <w:t>ACCHO</w:t>
      </w:r>
      <w:r w:rsidR="00203802" w:rsidRPr="00261C59">
        <w:rPr>
          <w:rFonts w:ascii="Calibri" w:hAnsi="Calibri"/>
          <w:sz w:val="24"/>
          <w:szCs w:val="24"/>
        </w:rPr>
        <w:t xml:space="preserve"> sector</w:t>
      </w:r>
      <w:r w:rsidR="00466912" w:rsidRPr="00261C59">
        <w:rPr>
          <w:rFonts w:ascii="Calibri" w:hAnsi="Calibri"/>
          <w:sz w:val="24"/>
          <w:szCs w:val="24"/>
        </w:rPr>
        <w:t xml:space="preserve"> as legitimate partners in the health system</w:t>
      </w:r>
    </w:p>
    <w:p w14:paraId="69C31E14" w14:textId="34EAD71A" w:rsidR="00E25BFD" w:rsidRPr="00261C59" w:rsidRDefault="00001BEA" w:rsidP="004728D9">
      <w:pPr>
        <w:numPr>
          <w:ilvl w:val="2"/>
          <w:numId w:val="52"/>
        </w:numPr>
        <w:spacing w:after="240" w:line="260" w:lineRule="exact"/>
        <w:jc w:val="left"/>
        <w:rPr>
          <w:rFonts w:ascii="Calibri" w:hAnsi="Calibri"/>
          <w:sz w:val="24"/>
          <w:szCs w:val="24"/>
          <w:lang w:val="en-GB"/>
        </w:rPr>
      </w:pPr>
      <w:r w:rsidRPr="00261C59">
        <w:rPr>
          <w:rFonts w:ascii="Calibri" w:hAnsi="Calibri"/>
          <w:sz w:val="24"/>
          <w:szCs w:val="24"/>
          <w:lang w:val="en-GB"/>
        </w:rPr>
        <w:t>addressing racism with the long</w:t>
      </w:r>
      <w:r w:rsidR="00E25BFD" w:rsidRPr="00261C59">
        <w:rPr>
          <w:rFonts w:ascii="Calibri" w:hAnsi="Calibri"/>
          <w:sz w:val="24"/>
          <w:szCs w:val="24"/>
          <w:lang w:val="en-GB"/>
        </w:rPr>
        <w:t>-</w:t>
      </w:r>
      <w:r w:rsidRPr="00261C59">
        <w:rPr>
          <w:rFonts w:ascii="Calibri" w:hAnsi="Calibri"/>
          <w:sz w:val="24"/>
          <w:szCs w:val="24"/>
          <w:lang w:val="en-GB"/>
        </w:rPr>
        <w:t xml:space="preserve">term goal </w:t>
      </w:r>
      <w:r w:rsidR="003F3EB6" w:rsidRPr="00261C59">
        <w:rPr>
          <w:rFonts w:ascii="Calibri" w:hAnsi="Calibri"/>
          <w:sz w:val="24"/>
          <w:szCs w:val="24"/>
          <w:lang w:val="en-GB"/>
        </w:rPr>
        <w:t>of</w:t>
      </w:r>
      <w:r w:rsidRPr="00261C59">
        <w:rPr>
          <w:rFonts w:ascii="Calibri" w:hAnsi="Calibri"/>
          <w:sz w:val="24"/>
          <w:szCs w:val="24"/>
          <w:lang w:val="en-GB"/>
        </w:rPr>
        <w:t xml:space="preserve"> eliminat</w:t>
      </w:r>
      <w:r w:rsidR="003F3EB6" w:rsidRPr="00261C59">
        <w:rPr>
          <w:rFonts w:ascii="Calibri" w:hAnsi="Calibri"/>
          <w:sz w:val="24"/>
          <w:szCs w:val="24"/>
          <w:lang w:val="en-GB"/>
        </w:rPr>
        <w:t>ing</w:t>
      </w:r>
      <w:r w:rsidRPr="00261C59">
        <w:rPr>
          <w:rFonts w:ascii="Calibri" w:hAnsi="Calibri"/>
          <w:sz w:val="24"/>
          <w:szCs w:val="24"/>
          <w:lang w:val="en-GB"/>
        </w:rPr>
        <w:t xml:space="preserve"> racism</w:t>
      </w:r>
      <w:r w:rsidR="004E16AD" w:rsidRPr="00261C59">
        <w:rPr>
          <w:rFonts w:ascii="Calibri" w:hAnsi="Calibri"/>
          <w:sz w:val="24"/>
          <w:szCs w:val="24"/>
          <w:lang w:val="en-GB"/>
        </w:rPr>
        <w:t xml:space="preserve"> </w:t>
      </w:r>
      <w:r w:rsidR="00E25BFD" w:rsidRPr="00261C59">
        <w:rPr>
          <w:rFonts w:ascii="Calibri" w:hAnsi="Calibri"/>
          <w:sz w:val="24"/>
          <w:szCs w:val="24"/>
          <w:lang w:val="en-GB"/>
        </w:rPr>
        <w:t>across the health system</w:t>
      </w:r>
    </w:p>
    <w:p w14:paraId="08FE039C" w14:textId="304AD7BE" w:rsidR="006F2A49" w:rsidRPr="00261C59" w:rsidRDefault="00B45F01" w:rsidP="004728D9">
      <w:pPr>
        <w:numPr>
          <w:ilvl w:val="2"/>
          <w:numId w:val="52"/>
        </w:numPr>
        <w:spacing w:after="240" w:line="260" w:lineRule="exact"/>
        <w:jc w:val="left"/>
        <w:rPr>
          <w:rFonts w:ascii="Calibri" w:hAnsi="Calibri"/>
          <w:sz w:val="24"/>
          <w:szCs w:val="24"/>
        </w:rPr>
      </w:pPr>
      <w:r w:rsidRPr="00261C59">
        <w:rPr>
          <w:rFonts w:ascii="Calibri" w:hAnsi="Calibri"/>
          <w:sz w:val="24"/>
          <w:szCs w:val="24"/>
        </w:rPr>
        <w:t>ensuring cultural safety in health service delivery with agreed measurement and reporting</w:t>
      </w:r>
    </w:p>
    <w:p w14:paraId="6BF3DFF1" w14:textId="1B95A77D" w:rsidR="00686028" w:rsidRPr="00261C59" w:rsidRDefault="00D5578A" w:rsidP="004728D9">
      <w:pPr>
        <w:numPr>
          <w:ilvl w:val="2"/>
          <w:numId w:val="52"/>
        </w:numPr>
        <w:spacing w:after="240" w:line="260" w:lineRule="exact"/>
        <w:jc w:val="left"/>
        <w:rPr>
          <w:rFonts w:ascii="Calibri" w:hAnsi="Calibri"/>
          <w:sz w:val="24"/>
          <w:szCs w:val="24"/>
          <w:lang w:val="en-GB"/>
        </w:rPr>
      </w:pPr>
      <w:r w:rsidRPr="00261C59">
        <w:rPr>
          <w:rFonts w:ascii="Calibri" w:hAnsi="Calibri"/>
          <w:sz w:val="24"/>
          <w:szCs w:val="24"/>
          <w:lang w:val="en-GB"/>
        </w:rPr>
        <w:t>improv</w:t>
      </w:r>
      <w:r w:rsidR="00854C26" w:rsidRPr="00261C59">
        <w:rPr>
          <w:rFonts w:ascii="Calibri" w:hAnsi="Calibri"/>
          <w:sz w:val="24"/>
          <w:szCs w:val="24"/>
          <w:lang w:val="en-GB"/>
        </w:rPr>
        <w:t>ing</w:t>
      </w:r>
      <w:r w:rsidRPr="00261C59">
        <w:rPr>
          <w:rFonts w:ascii="Calibri" w:hAnsi="Calibri"/>
          <w:sz w:val="24"/>
          <w:szCs w:val="24"/>
          <w:lang w:val="en-GB"/>
        </w:rPr>
        <w:t xml:space="preserve"> processes</w:t>
      </w:r>
      <w:r w:rsidR="6AAC435D" w:rsidRPr="00261C59">
        <w:rPr>
          <w:rFonts w:ascii="Calibri" w:hAnsi="Calibri"/>
          <w:sz w:val="24"/>
          <w:szCs w:val="24"/>
          <w:lang w:val="en-GB"/>
        </w:rPr>
        <w:t xml:space="preserve"> and capacity</w:t>
      </w:r>
      <w:r w:rsidRPr="00261C59">
        <w:rPr>
          <w:rFonts w:ascii="Calibri" w:hAnsi="Calibri"/>
          <w:sz w:val="24"/>
          <w:szCs w:val="24"/>
          <w:lang w:val="en-GB"/>
        </w:rPr>
        <w:t xml:space="preserve"> to collect, share and use data at the regional level</w:t>
      </w:r>
      <w:r w:rsidR="00C6069B" w:rsidRPr="00261C59">
        <w:rPr>
          <w:rFonts w:ascii="Calibri" w:hAnsi="Calibri"/>
          <w:sz w:val="24"/>
          <w:szCs w:val="24"/>
          <w:lang w:val="en-GB"/>
        </w:rPr>
        <w:t xml:space="preserve"> with active recognition of Aboriginal and Torres Strait Islander people</w:t>
      </w:r>
      <w:r w:rsidR="00066AA2" w:rsidRPr="00261C59">
        <w:rPr>
          <w:rFonts w:ascii="Calibri" w:hAnsi="Calibri"/>
          <w:sz w:val="24"/>
          <w:szCs w:val="24"/>
          <w:lang w:val="en-GB"/>
        </w:rPr>
        <w:t>’</w:t>
      </w:r>
      <w:r w:rsidR="00DC524D">
        <w:rPr>
          <w:rFonts w:ascii="Calibri" w:hAnsi="Calibri"/>
          <w:sz w:val="24"/>
          <w:szCs w:val="24"/>
          <w:lang w:val="en-GB"/>
        </w:rPr>
        <w:t>s</w:t>
      </w:r>
      <w:r w:rsidR="00C6069B" w:rsidRPr="00261C59">
        <w:rPr>
          <w:rFonts w:ascii="Calibri" w:hAnsi="Calibri"/>
          <w:sz w:val="24"/>
          <w:szCs w:val="24"/>
          <w:lang w:val="en-GB"/>
        </w:rPr>
        <w:t xml:space="preserve"> data sovereignty and aligned with the APS Framework for Governance of Indigenous Data principles</w:t>
      </w:r>
    </w:p>
    <w:p w14:paraId="0B2F0F8E" w14:textId="51B20A3D" w:rsidR="00322C2C" w:rsidRPr="00261C59" w:rsidRDefault="006D0FDB" w:rsidP="004728D9">
      <w:pPr>
        <w:numPr>
          <w:ilvl w:val="2"/>
          <w:numId w:val="52"/>
        </w:numPr>
        <w:spacing w:after="240" w:line="260" w:lineRule="exact"/>
        <w:jc w:val="left"/>
        <w:rPr>
          <w:rFonts w:ascii="Calibri" w:hAnsi="Calibri"/>
          <w:sz w:val="24"/>
          <w:szCs w:val="24"/>
        </w:rPr>
      </w:pPr>
      <w:r w:rsidRPr="00261C59">
        <w:rPr>
          <w:rFonts w:ascii="Calibri" w:hAnsi="Calibri"/>
          <w:sz w:val="24"/>
          <w:szCs w:val="24"/>
        </w:rPr>
        <w:lastRenderedPageBreak/>
        <w:t>ensuring the health system is accountable to Aboriginal and Torres Strait Islander people through improved</w:t>
      </w:r>
      <w:r w:rsidR="00E13770" w:rsidRPr="00261C59">
        <w:rPr>
          <w:rFonts w:ascii="Calibri" w:hAnsi="Calibri"/>
          <w:sz w:val="24"/>
          <w:szCs w:val="24"/>
        </w:rPr>
        <w:t xml:space="preserve"> reporting and transparency</w:t>
      </w:r>
      <w:r w:rsidR="00242568">
        <w:rPr>
          <w:rFonts w:ascii="Calibri" w:hAnsi="Calibri"/>
          <w:sz w:val="24"/>
          <w:szCs w:val="24"/>
        </w:rPr>
        <w:t>.</w:t>
      </w:r>
    </w:p>
    <w:p w14:paraId="18261026" w14:textId="2B513D35" w:rsidR="00E630B5" w:rsidRPr="00261C59" w:rsidRDefault="00235DB2"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 xml:space="preserve">working together </w:t>
      </w:r>
      <w:r w:rsidR="00ED1868" w:rsidRPr="00261C59">
        <w:rPr>
          <w:rFonts w:ascii="Calibri" w:hAnsi="Calibri"/>
          <w:sz w:val="24"/>
          <w:szCs w:val="24"/>
        </w:rPr>
        <w:t xml:space="preserve">to improve </w:t>
      </w:r>
      <w:r w:rsidR="00C10C86" w:rsidRPr="00261C59">
        <w:rPr>
          <w:rFonts w:ascii="Calibri" w:hAnsi="Calibri"/>
          <w:sz w:val="24"/>
          <w:szCs w:val="24"/>
        </w:rPr>
        <w:t xml:space="preserve">mental health </w:t>
      </w:r>
      <w:r w:rsidR="0013163D" w:rsidRPr="00261C59">
        <w:rPr>
          <w:rFonts w:ascii="Calibri" w:hAnsi="Calibri"/>
          <w:sz w:val="24"/>
          <w:szCs w:val="24"/>
        </w:rPr>
        <w:t xml:space="preserve">and suicide prevention </w:t>
      </w:r>
      <w:r w:rsidR="00C10C86" w:rsidRPr="00261C59">
        <w:rPr>
          <w:rFonts w:ascii="Calibri" w:hAnsi="Calibri"/>
          <w:sz w:val="24"/>
          <w:szCs w:val="24"/>
        </w:rPr>
        <w:t xml:space="preserve">outcomes by </w:t>
      </w:r>
      <w:r w:rsidR="009F1842" w:rsidRPr="00261C59">
        <w:rPr>
          <w:rFonts w:ascii="Calibri" w:hAnsi="Calibri"/>
          <w:sz w:val="24"/>
          <w:szCs w:val="24"/>
        </w:rPr>
        <w:t>re-affirming</w:t>
      </w:r>
      <w:r w:rsidR="00C10C86" w:rsidRPr="00261C59">
        <w:rPr>
          <w:rFonts w:ascii="Calibri" w:hAnsi="Calibri"/>
          <w:sz w:val="24"/>
          <w:szCs w:val="24"/>
        </w:rPr>
        <w:t xml:space="preserve"> </w:t>
      </w:r>
      <w:r w:rsidR="005016E9" w:rsidRPr="00261C59">
        <w:rPr>
          <w:rFonts w:ascii="Calibri" w:hAnsi="Calibri"/>
          <w:sz w:val="24"/>
          <w:szCs w:val="24"/>
        </w:rPr>
        <w:t xml:space="preserve">commitments in the National Mental Health and Suicide Prevention Agreement, including through </w:t>
      </w:r>
      <w:r w:rsidR="0013163D" w:rsidRPr="00261C59">
        <w:rPr>
          <w:rFonts w:ascii="Calibri" w:hAnsi="Calibri"/>
          <w:sz w:val="24"/>
          <w:szCs w:val="24"/>
        </w:rPr>
        <w:t xml:space="preserve">improving system integration and </w:t>
      </w:r>
      <w:r w:rsidR="005016E9" w:rsidRPr="00261C59">
        <w:rPr>
          <w:rFonts w:ascii="Calibri" w:hAnsi="Calibri"/>
          <w:sz w:val="24"/>
          <w:szCs w:val="24"/>
        </w:rPr>
        <w:t>new reforms under this Addendum</w:t>
      </w:r>
    </w:p>
    <w:p w14:paraId="27748345" w14:textId="5E1406DD"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establishing and maintaining nationally consistent standards for healthcare and reporting to the community on the performance of health services</w:t>
      </w:r>
    </w:p>
    <w:p w14:paraId="3BDCA8E3" w14:textId="41584705"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collecting and providing patient-level data to support delivering and evaluating services</w:t>
      </w:r>
    </w:p>
    <w:p w14:paraId="1B47D67F" w14:textId="72A95285"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working together on policy decisions or areas of the system that impact on each other’s responsibilities</w:t>
      </w:r>
      <w:r w:rsidR="3A2D87C4" w:rsidRPr="00261C59">
        <w:rPr>
          <w:rFonts w:ascii="Calibri" w:eastAsia="Calibri" w:hAnsi="Calibri" w:cs="Calibri"/>
          <w:sz w:val="24"/>
          <w:szCs w:val="24"/>
          <w:lang w:val="en-GB"/>
        </w:rPr>
        <w:t xml:space="preserve">, including </w:t>
      </w:r>
      <w:r w:rsidR="006951F7" w:rsidRPr="00261C59">
        <w:rPr>
          <w:rFonts w:ascii="Calibri" w:eastAsia="Calibri" w:hAnsi="Calibri" w:cs="Calibri"/>
          <w:sz w:val="24"/>
          <w:szCs w:val="24"/>
          <w:lang w:val="en-GB"/>
        </w:rPr>
        <w:t>across</w:t>
      </w:r>
      <w:r w:rsidR="3A2D87C4" w:rsidRPr="00261C59">
        <w:rPr>
          <w:rFonts w:ascii="Calibri" w:eastAsia="Calibri" w:hAnsi="Calibri" w:cs="Calibri"/>
          <w:sz w:val="24"/>
          <w:szCs w:val="24"/>
          <w:lang w:val="en-GB"/>
        </w:rPr>
        <w:t xml:space="preserve"> primary</w:t>
      </w:r>
      <w:r w:rsidR="00ED0E86" w:rsidRPr="00261C59">
        <w:rPr>
          <w:rFonts w:ascii="Calibri" w:eastAsia="Calibri" w:hAnsi="Calibri" w:cs="Calibri"/>
          <w:sz w:val="24"/>
          <w:szCs w:val="24"/>
          <w:lang w:val="en-GB"/>
        </w:rPr>
        <w:t xml:space="preserve"> health</w:t>
      </w:r>
      <w:r w:rsidR="00C34AC1" w:rsidRPr="00261C59">
        <w:rPr>
          <w:rFonts w:ascii="Calibri" w:eastAsia="Calibri" w:hAnsi="Calibri" w:cs="Calibri"/>
          <w:sz w:val="24"/>
          <w:szCs w:val="24"/>
          <w:lang w:val="en-GB"/>
        </w:rPr>
        <w:t xml:space="preserve"> care</w:t>
      </w:r>
      <w:r w:rsidR="3A2D87C4" w:rsidRPr="00261C59">
        <w:rPr>
          <w:rFonts w:ascii="Calibri" w:eastAsia="Calibri" w:hAnsi="Calibri" w:cs="Calibri"/>
          <w:sz w:val="24"/>
          <w:szCs w:val="24"/>
          <w:lang w:val="en-GB"/>
        </w:rPr>
        <w:t xml:space="preserve">, </w:t>
      </w:r>
      <w:r w:rsidR="00C34AC1" w:rsidRPr="00261C59">
        <w:rPr>
          <w:rFonts w:ascii="Calibri" w:eastAsia="Calibri" w:hAnsi="Calibri" w:cs="Calibri"/>
          <w:sz w:val="24"/>
          <w:szCs w:val="24"/>
          <w:lang w:val="en-GB"/>
        </w:rPr>
        <w:t>mental health and suicide prevention, and</w:t>
      </w:r>
      <w:r w:rsidR="3A2D87C4" w:rsidRPr="00261C59">
        <w:rPr>
          <w:rFonts w:ascii="Calibri" w:eastAsia="Calibri" w:hAnsi="Calibri" w:cs="Calibri"/>
          <w:sz w:val="24"/>
          <w:szCs w:val="24"/>
          <w:lang w:val="en-GB"/>
        </w:rPr>
        <w:t xml:space="preserve"> disability and aged care sectors</w:t>
      </w:r>
    </w:p>
    <w:p w14:paraId="2DFC8B4C" w14:textId="64CFB1FF"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identifying rural and remote areas where there is limited access to health and related services with a view to developing new models of care to address equity of access and improve outcomes</w:t>
      </w:r>
    </w:p>
    <w:p w14:paraId="4C78AF30" w14:textId="0EEC833E"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maintaining and improving </w:t>
      </w:r>
      <w:r w:rsidR="06C52A81" w:rsidRPr="00261C59">
        <w:rPr>
          <w:rFonts w:ascii="Calibri" w:hAnsi="Calibri"/>
          <w:sz w:val="24"/>
          <w:szCs w:val="24"/>
          <w:lang w:val="en-GB"/>
        </w:rPr>
        <w:t xml:space="preserve">efforts in </w:t>
      </w:r>
      <w:r w:rsidRPr="00261C59">
        <w:rPr>
          <w:rFonts w:ascii="Calibri" w:hAnsi="Calibri"/>
          <w:sz w:val="24"/>
          <w:szCs w:val="24"/>
          <w:lang w:val="en-GB"/>
        </w:rPr>
        <w:t>population health</w:t>
      </w:r>
      <w:r w:rsidR="74938A79" w:rsidRPr="00261C59">
        <w:rPr>
          <w:rFonts w:ascii="Calibri" w:hAnsi="Calibri"/>
          <w:sz w:val="24"/>
          <w:szCs w:val="24"/>
          <w:lang w:val="en-GB"/>
        </w:rPr>
        <w:t>, public health and health promotion</w:t>
      </w:r>
    </w:p>
    <w:p w14:paraId="4CE59057" w14:textId="5A1B89B1"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ensuring maintenance of effort across health sectors</w:t>
      </w:r>
      <w:r w:rsidR="000100D7" w:rsidRPr="00261C59">
        <w:rPr>
          <w:rFonts w:ascii="Calibri" w:hAnsi="Calibri"/>
          <w:sz w:val="24"/>
          <w:szCs w:val="24"/>
        </w:rPr>
        <w:t>,</w:t>
      </w:r>
      <w:r w:rsidRPr="00261C59">
        <w:rPr>
          <w:rFonts w:ascii="Calibri" w:hAnsi="Calibri"/>
          <w:sz w:val="24"/>
          <w:szCs w:val="24"/>
        </w:rPr>
        <w:t xml:space="preserve"> acknowledging ongoing reforms.</w:t>
      </w:r>
    </w:p>
    <w:p w14:paraId="1DDF3386" w14:textId="77777777" w:rsidR="00322C2C" w:rsidRPr="00261C59" w:rsidRDefault="00322C2C" w:rsidP="009425C4">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41" w:name="_Toc210833572"/>
      <w:bookmarkStart w:id="42" w:name="_Toc214456472"/>
      <w:bookmarkStart w:id="43" w:name="_Toc221087951"/>
      <w:r w:rsidRPr="00261C59">
        <w:rPr>
          <w:rFonts w:ascii="Corbel" w:eastAsia="Times New Roman" w:hAnsi="Corbel"/>
          <w:b w:val="0"/>
          <w:bCs w:val="0"/>
          <w:iCs w:val="0"/>
          <w:color w:val="3D4B67"/>
          <w:sz w:val="28"/>
          <w:szCs w:val="48"/>
          <w:lang w:eastAsia="ja-JP"/>
        </w:rPr>
        <w:t>Commonwealth responsibilities</w:t>
      </w:r>
      <w:bookmarkEnd w:id="36"/>
      <w:bookmarkEnd w:id="41"/>
      <w:bookmarkEnd w:id="42"/>
      <w:bookmarkEnd w:id="43"/>
    </w:p>
    <w:p w14:paraId="16C84DF6" w14:textId="77777777" w:rsidR="00322C2C" w:rsidRPr="00261C59" w:rsidRDefault="00322C2C" w:rsidP="004728D9">
      <w:pPr>
        <w:keepNext/>
        <w:widowControl/>
        <w:numPr>
          <w:ilvl w:val="0"/>
          <w:numId w:val="52"/>
        </w:numPr>
        <w:spacing w:after="240" w:line="260" w:lineRule="exact"/>
        <w:jc w:val="left"/>
        <w:rPr>
          <w:rFonts w:ascii="Calibri" w:hAnsi="Calibri"/>
          <w:sz w:val="24"/>
          <w:szCs w:val="24"/>
        </w:rPr>
      </w:pPr>
      <w:r w:rsidRPr="00261C59">
        <w:rPr>
          <w:rFonts w:ascii="Calibri" w:hAnsi="Calibri"/>
          <w:sz w:val="24"/>
          <w:szCs w:val="24"/>
        </w:rPr>
        <w:t>The Commonwealth affirms its commitment to:</w:t>
      </w:r>
    </w:p>
    <w:p w14:paraId="1D638546" w14:textId="2273A1D0"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funding the Medicare Benefits Schedule (MBS) to ensure equitable and timely access to affordable primary health care and specialist medical services</w:t>
      </w:r>
    </w:p>
    <w:p w14:paraId="0DFC9D08" w14:textId="49137C8F"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funding the Pharmaceutical Benefits Scheme (PBS) to ensure timely and affordable access to safe, cost-effective, and high-quality medicines</w:t>
      </w:r>
    </w:p>
    <w:p w14:paraId="370B7E5F" w14:textId="0B9E452E" w:rsidR="00440C1E"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affordable aged care services so that people needing this care can access it when required, regardless of geographic location</w:t>
      </w:r>
    </w:p>
    <w:p w14:paraId="742FEBD0" w14:textId="5FE3B22D" w:rsidR="00235334" w:rsidRPr="00261C59" w:rsidRDefault="00672D21"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e</w:t>
      </w:r>
      <w:r w:rsidR="00235334" w:rsidRPr="00261C59">
        <w:rPr>
          <w:rFonts w:ascii="Calibri" w:hAnsi="Calibri"/>
          <w:sz w:val="24"/>
          <w:szCs w:val="24"/>
          <w:lang w:val="en-GB"/>
        </w:rPr>
        <w:t xml:space="preserve">nsuring </w:t>
      </w:r>
      <w:r w:rsidRPr="00261C59">
        <w:rPr>
          <w:rFonts w:ascii="Calibri" w:hAnsi="Calibri"/>
          <w:sz w:val="24"/>
          <w:szCs w:val="24"/>
          <w:lang w:val="en-GB"/>
        </w:rPr>
        <w:t>that Ab</w:t>
      </w:r>
      <w:r w:rsidR="00EB0351" w:rsidRPr="00261C59">
        <w:rPr>
          <w:rFonts w:ascii="Calibri" w:hAnsi="Calibri"/>
          <w:sz w:val="24"/>
          <w:szCs w:val="24"/>
          <w:lang w:val="en-GB"/>
        </w:rPr>
        <w:t xml:space="preserve">original and Torres Strait Islander people have </w:t>
      </w:r>
      <w:r w:rsidR="00C55454" w:rsidRPr="00261C59">
        <w:rPr>
          <w:rFonts w:ascii="Calibri" w:hAnsi="Calibri"/>
          <w:sz w:val="24"/>
          <w:szCs w:val="24"/>
          <w:lang w:val="en-GB"/>
        </w:rPr>
        <w:t>choice</w:t>
      </w:r>
      <w:r w:rsidR="00052526" w:rsidRPr="00261C59">
        <w:rPr>
          <w:rFonts w:ascii="Calibri" w:hAnsi="Calibri"/>
          <w:sz w:val="24"/>
          <w:szCs w:val="24"/>
          <w:lang w:val="en-GB"/>
        </w:rPr>
        <w:t xml:space="preserve"> </w:t>
      </w:r>
      <w:r w:rsidR="00281B21" w:rsidRPr="00261C59">
        <w:rPr>
          <w:rFonts w:ascii="Calibri" w:hAnsi="Calibri"/>
          <w:sz w:val="24"/>
          <w:szCs w:val="24"/>
          <w:lang w:val="en-GB"/>
        </w:rPr>
        <w:t xml:space="preserve">and control </w:t>
      </w:r>
      <w:r w:rsidR="00052526" w:rsidRPr="00261C59">
        <w:rPr>
          <w:rFonts w:ascii="Calibri" w:hAnsi="Calibri"/>
          <w:sz w:val="24"/>
          <w:szCs w:val="24"/>
          <w:lang w:val="en-GB"/>
        </w:rPr>
        <w:t xml:space="preserve">in </w:t>
      </w:r>
      <w:r w:rsidR="00EB0351" w:rsidRPr="00261C59">
        <w:rPr>
          <w:rFonts w:ascii="Calibri" w:hAnsi="Calibri"/>
          <w:sz w:val="24"/>
          <w:szCs w:val="24"/>
          <w:lang w:val="en-GB"/>
        </w:rPr>
        <w:t>access</w:t>
      </w:r>
      <w:r w:rsidR="00052526" w:rsidRPr="00261C59">
        <w:rPr>
          <w:rFonts w:ascii="Calibri" w:hAnsi="Calibri"/>
          <w:sz w:val="24"/>
          <w:szCs w:val="24"/>
          <w:lang w:val="en-GB"/>
        </w:rPr>
        <w:t>ing</w:t>
      </w:r>
      <w:r w:rsidR="00EB0351" w:rsidRPr="00261C59">
        <w:rPr>
          <w:rFonts w:ascii="Calibri" w:hAnsi="Calibri"/>
          <w:sz w:val="24"/>
          <w:szCs w:val="24"/>
          <w:lang w:val="en-GB"/>
        </w:rPr>
        <w:t xml:space="preserve"> culturally safe and appropriate </w:t>
      </w:r>
      <w:r w:rsidR="00052526" w:rsidRPr="00261C59">
        <w:rPr>
          <w:rFonts w:ascii="Calibri" w:hAnsi="Calibri"/>
          <w:sz w:val="24"/>
          <w:szCs w:val="24"/>
          <w:lang w:val="en-GB"/>
        </w:rPr>
        <w:t>mainstream primary care services</w:t>
      </w:r>
      <w:r w:rsidR="00281B21" w:rsidRPr="00261C59">
        <w:rPr>
          <w:rFonts w:ascii="Calibri" w:hAnsi="Calibri"/>
          <w:sz w:val="24"/>
          <w:szCs w:val="24"/>
          <w:lang w:val="en-GB"/>
        </w:rPr>
        <w:t>.</w:t>
      </w:r>
    </w:p>
    <w:p w14:paraId="20A89074" w14:textId="49F9E0B0" w:rsidR="00322C2C" w:rsidRPr="00261C59" w:rsidRDefault="00322C2C" w:rsidP="004728D9">
      <w:pPr>
        <w:keepNext/>
        <w:widowControl/>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t>The Commonwealth is responsible for system management, support, planning and policy for general practice (GP) and primary health care, including:</w:t>
      </w:r>
    </w:p>
    <w:p w14:paraId="7DBA6E88" w14:textId="0C51F4B9"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maintaining and enabling PHNs to commission a range of activities that promote coordinated GP and primary health care service delivery, collaboration and integration</w:t>
      </w:r>
    </w:p>
    <w:p w14:paraId="742F40AD" w14:textId="3D374C01"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 xml:space="preserve">funding and support for </w:t>
      </w:r>
      <w:r w:rsidR="007C09A9" w:rsidRPr="00261C59">
        <w:rPr>
          <w:rFonts w:ascii="Calibri" w:hAnsi="Calibri"/>
          <w:sz w:val="24"/>
          <w:szCs w:val="24"/>
        </w:rPr>
        <w:t xml:space="preserve">ACCHOs </w:t>
      </w:r>
      <w:r w:rsidRPr="00261C59">
        <w:rPr>
          <w:rFonts w:ascii="Calibri" w:hAnsi="Calibri"/>
          <w:sz w:val="24"/>
          <w:szCs w:val="24"/>
        </w:rPr>
        <w:t xml:space="preserve">and other organisations to deliver comprehensive, culturally safe primary </w:t>
      </w:r>
      <w:r w:rsidR="00417CB3" w:rsidRPr="00261C59">
        <w:rPr>
          <w:rFonts w:ascii="Calibri" w:hAnsi="Calibri"/>
          <w:sz w:val="24"/>
          <w:szCs w:val="24"/>
        </w:rPr>
        <w:t xml:space="preserve">health </w:t>
      </w:r>
      <w:r w:rsidRPr="00261C59">
        <w:rPr>
          <w:rFonts w:ascii="Calibri" w:hAnsi="Calibri"/>
          <w:sz w:val="24"/>
          <w:szCs w:val="24"/>
        </w:rPr>
        <w:t xml:space="preserve">care services </w:t>
      </w:r>
      <w:r w:rsidR="00223E08" w:rsidRPr="00261C59">
        <w:rPr>
          <w:rFonts w:ascii="Calibri" w:hAnsi="Calibri"/>
          <w:sz w:val="24"/>
          <w:szCs w:val="24"/>
        </w:rPr>
        <w:t>for Aboriginal and Torres Strait Islander people</w:t>
      </w:r>
      <w:r w:rsidRPr="00261C59">
        <w:rPr>
          <w:rFonts w:ascii="Calibri" w:hAnsi="Calibri"/>
          <w:sz w:val="24"/>
          <w:szCs w:val="24"/>
        </w:rPr>
        <w:t xml:space="preserve"> (noting contributions of the States)</w:t>
      </w:r>
    </w:p>
    <w:p w14:paraId="53D134FE" w14:textId="33606F7A"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lastRenderedPageBreak/>
        <w:t>collaborating with each State and their PHNs and ACCHOs on system-wide policy and State-wide planning for GP and primary health care</w:t>
      </w:r>
    </w:p>
    <w:p w14:paraId="1BEACFC3" w14:textId="15A17D54"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continuing to focus on reforms in primary care that are designed to improve patient outcomes and experiences and reduce avoidable hospital presentations and admissions</w:t>
      </w:r>
    </w:p>
    <w:p w14:paraId="1A313D5D" w14:textId="77777777" w:rsidR="00322C2C" w:rsidRPr="00261C59" w:rsidRDefault="00322C2C" w:rsidP="004728D9">
      <w:pPr>
        <w:widowControl/>
        <w:numPr>
          <w:ilvl w:val="1"/>
          <w:numId w:val="52"/>
        </w:numPr>
        <w:spacing w:after="240" w:line="260" w:lineRule="exact"/>
        <w:jc w:val="left"/>
        <w:rPr>
          <w:rFonts w:ascii="Calibri" w:hAnsi="Calibri"/>
          <w:sz w:val="24"/>
          <w:szCs w:val="24"/>
        </w:rPr>
      </w:pPr>
      <w:r w:rsidRPr="00261C59">
        <w:rPr>
          <w:rFonts w:ascii="Calibri" w:hAnsi="Calibri"/>
          <w:sz w:val="24"/>
          <w:szCs w:val="24"/>
        </w:rPr>
        <w:t>regulation for the primary care workforce to support working to full scope of practice, collaboration across care systems, and innovation in workforce models at scale.</w:t>
      </w:r>
    </w:p>
    <w:p w14:paraId="6E0BE43C" w14:textId="77777777" w:rsidR="00322C2C" w:rsidRPr="00261C59" w:rsidRDefault="00322C2C" w:rsidP="004728D9">
      <w:pPr>
        <w:keepNext/>
        <w:widowControl/>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In addition, the Commonwealth is responsible for: </w:t>
      </w:r>
    </w:p>
    <w:p w14:paraId="593FCEA0" w14:textId="6F51C978"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supporting and regulating private health insurance to enable an effective private health sector and patient choice, including access to private specialist medical services</w:t>
      </w:r>
    </w:p>
    <w:p w14:paraId="7FE6C1A3" w14:textId="2FAAE526"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system management, policy and planning for the national aged care system</w:t>
      </w:r>
    </w:p>
    <w:p w14:paraId="529F9189" w14:textId="4A25B3A7"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eastAsia="Calibri" w:hAnsi="Calibri" w:cs="Calibri"/>
          <w:kern w:val="2"/>
          <w:sz w:val="24"/>
          <w:szCs w:val="24"/>
          <w:lang w:val="en-GB" w:eastAsia="en-US"/>
        </w:rPr>
        <w:t>national health workforce planning and governance oversight to drive workforce priorities, based on shared responsibility and commitment of all jurisdictions to meaningfully engage in collaborative reform efforts</w:t>
      </w:r>
    </w:p>
    <w:p w14:paraId="4E9F1068" w14:textId="53A3EF8B" w:rsidR="00322C2C" w:rsidRPr="00261C59" w:rsidDel="004F6270"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 xml:space="preserve">maintaining the legislative basis and governance arrangements for the key independent national bodies outlined in Schedule </w:t>
      </w:r>
      <w:r w:rsidR="00AD2BFC" w:rsidRPr="00261C59">
        <w:rPr>
          <w:rFonts w:ascii="Calibri" w:hAnsi="Calibri"/>
          <w:sz w:val="24"/>
          <w:szCs w:val="24"/>
        </w:rPr>
        <w:t>I</w:t>
      </w:r>
      <w:r w:rsidRPr="00261C59">
        <w:rPr>
          <w:rFonts w:ascii="Calibri" w:hAnsi="Calibri"/>
          <w:sz w:val="24"/>
          <w:szCs w:val="24"/>
        </w:rPr>
        <w:t>.</w:t>
      </w:r>
    </w:p>
    <w:p w14:paraId="4745453D" w14:textId="77777777" w:rsidR="00322C2C" w:rsidRPr="00261C59" w:rsidRDefault="00322C2C" w:rsidP="004728D9">
      <w:pPr>
        <w:pStyle w:val="Heading3"/>
        <w:keepNext/>
        <w:widowControl/>
        <w:adjustRightInd/>
        <w:spacing w:before="120" w:after="240" w:line="260" w:lineRule="exact"/>
        <w:ind w:left="0"/>
        <w:jc w:val="left"/>
        <w:textAlignment w:val="auto"/>
        <w:rPr>
          <w:rFonts w:ascii="Corbel" w:eastAsia="Times New Roman" w:hAnsi="Corbel"/>
          <w:b w:val="0"/>
          <w:bCs w:val="0"/>
          <w:iCs w:val="0"/>
          <w:color w:val="3D4B67"/>
          <w:sz w:val="28"/>
          <w:szCs w:val="48"/>
          <w:lang w:eastAsia="ja-JP"/>
        </w:rPr>
      </w:pPr>
      <w:bookmarkStart w:id="44" w:name="_Toc165886211"/>
      <w:bookmarkStart w:id="45" w:name="_Toc210833573"/>
      <w:bookmarkStart w:id="46" w:name="_Toc214456473"/>
      <w:bookmarkStart w:id="47" w:name="_Toc221087952"/>
      <w:r w:rsidRPr="00261C59">
        <w:rPr>
          <w:rFonts w:ascii="Corbel" w:eastAsia="Times New Roman" w:hAnsi="Corbel"/>
          <w:b w:val="0"/>
          <w:bCs w:val="0"/>
          <w:iCs w:val="0"/>
          <w:color w:val="3D4B67"/>
          <w:sz w:val="28"/>
          <w:szCs w:val="48"/>
          <w:lang w:eastAsia="ja-JP"/>
        </w:rPr>
        <w:t>State and Territory responsibilities</w:t>
      </w:r>
      <w:bookmarkEnd w:id="44"/>
      <w:bookmarkEnd w:id="45"/>
      <w:bookmarkEnd w:id="46"/>
      <w:bookmarkEnd w:id="47"/>
    </w:p>
    <w:p w14:paraId="477E1EBC" w14:textId="1D248251" w:rsidR="00322C2C" w:rsidRPr="00261C59" w:rsidRDefault="009E07DF" w:rsidP="004728D9">
      <w:pPr>
        <w:keepNext/>
        <w:widowControl/>
        <w:numPr>
          <w:ilvl w:val="0"/>
          <w:numId w:val="52"/>
        </w:numPr>
        <w:spacing w:after="240" w:line="260" w:lineRule="exact"/>
        <w:jc w:val="left"/>
        <w:rPr>
          <w:rFonts w:ascii="Calibri" w:hAnsi="Calibri"/>
          <w:sz w:val="24"/>
          <w:szCs w:val="24"/>
        </w:rPr>
      </w:pPr>
      <w:r w:rsidRPr="00261C59">
        <w:rPr>
          <w:rFonts w:ascii="Calibri" w:hAnsi="Calibri"/>
          <w:sz w:val="24"/>
          <w:szCs w:val="24"/>
        </w:rPr>
        <w:t xml:space="preserve">States </w:t>
      </w:r>
      <w:r w:rsidR="00322C2C" w:rsidRPr="00261C59">
        <w:rPr>
          <w:rFonts w:ascii="Calibri" w:hAnsi="Calibri"/>
          <w:sz w:val="24"/>
          <w:szCs w:val="24"/>
        </w:rPr>
        <w:t xml:space="preserve">will provide health and emergency services through their public hospitals and health </w:t>
      </w:r>
      <w:r w:rsidR="006F093E" w:rsidRPr="00261C59">
        <w:rPr>
          <w:rFonts w:ascii="Calibri" w:hAnsi="Calibri"/>
          <w:sz w:val="24"/>
          <w:szCs w:val="24"/>
        </w:rPr>
        <w:t>services</w:t>
      </w:r>
      <w:r w:rsidR="00322C2C" w:rsidRPr="00261C59">
        <w:rPr>
          <w:rFonts w:ascii="Calibri" w:hAnsi="Calibri"/>
          <w:sz w:val="24"/>
          <w:szCs w:val="24"/>
        </w:rPr>
        <w:t>, based on the Medicare Principles at clause</w:t>
      </w:r>
      <w:r w:rsidR="00B074E2" w:rsidRPr="00261C59">
        <w:rPr>
          <w:rFonts w:ascii="Calibri" w:hAnsi="Calibri"/>
          <w:sz w:val="24"/>
          <w:szCs w:val="24"/>
        </w:rPr>
        <w:t> </w:t>
      </w:r>
      <w:r w:rsidR="00065331" w:rsidRPr="00261C59">
        <w:rPr>
          <w:rFonts w:ascii="Calibri" w:hAnsi="Calibri"/>
          <w:sz w:val="24"/>
          <w:szCs w:val="24"/>
        </w:rPr>
        <w:t>2</w:t>
      </w:r>
      <w:r w:rsidR="00594F9A" w:rsidRPr="00261C59">
        <w:rPr>
          <w:rFonts w:ascii="Calibri" w:hAnsi="Calibri"/>
          <w:sz w:val="24"/>
          <w:szCs w:val="24"/>
        </w:rPr>
        <w:t>1</w:t>
      </w:r>
      <w:r w:rsidR="00322C2C" w:rsidRPr="00261C59">
        <w:rPr>
          <w:rFonts w:ascii="Calibri" w:hAnsi="Calibri"/>
          <w:sz w:val="24"/>
          <w:szCs w:val="24"/>
        </w:rPr>
        <w:t>.</w:t>
      </w:r>
    </w:p>
    <w:p w14:paraId="4C6DE983" w14:textId="3D144213" w:rsidR="00322C2C" w:rsidRPr="00261C59" w:rsidRDefault="00322C2C" w:rsidP="004728D9">
      <w:pPr>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Under this Addendum, </w:t>
      </w:r>
      <w:r w:rsidR="00B8404C">
        <w:rPr>
          <w:rFonts w:ascii="Calibri" w:hAnsi="Calibri"/>
          <w:sz w:val="24"/>
          <w:szCs w:val="24"/>
          <w:lang w:val="en-GB"/>
        </w:rPr>
        <w:t xml:space="preserve">the </w:t>
      </w:r>
      <w:r w:rsidRPr="00261C59">
        <w:rPr>
          <w:rFonts w:ascii="Calibri" w:hAnsi="Calibri"/>
          <w:sz w:val="24"/>
          <w:szCs w:val="24"/>
          <w:lang w:val="en-GB"/>
        </w:rPr>
        <w:t>States will be responsible for system management of public hospitals and health services, including:</w:t>
      </w:r>
    </w:p>
    <w:p w14:paraId="2FA430EA" w14:textId="2369E722"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ensuring the legislative basis and governance arrangements for LHNs are consistent with the objectives of this Addendum</w:t>
      </w:r>
    </w:p>
    <w:p w14:paraId="48F5512E" w14:textId="30D4D88C"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system-wide public hospital, health service and LHN planning and performance</w:t>
      </w:r>
    </w:p>
    <w:p w14:paraId="06383931" w14:textId="70843A7D"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purchasing of public hospital services and monitoring delivery of services purchased</w:t>
      </w:r>
    </w:p>
    <w:p w14:paraId="35F6BA5C" w14:textId="1BC4C021"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planning, funding and delivering capital works and adequate infrastructure for public hospitals and community health facilities to meet future needs </w:t>
      </w:r>
    </w:p>
    <w:p w14:paraId="55581FAE" w14:textId="660B690F"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delivering teaching, training</w:t>
      </w:r>
      <w:r w:rsidR="005842B3" w:rsidRPr="00261C59">
        <w:rPr>
          <w:rFonts w:ascii="Calibri" w:hAnsi="Calibri"/>
          <w:sz w:val="24"/>
          <w:szCs w:val="24"/>
        </w:rPr>
        <w:t xml:space="preserve"> </w:t>
      </w:r>
      <w:r w:rsidR="006263B4" w:rsidRPr="00261C59">
        <w:rPr>
          <w:rFonts w:ascii="Calibri" w:hAnsi="Calibri"/>
          <w:sz w:val="24"/>
          <w:szCs w:val="24"/>
        </w:rPr>
        <w:t>(</w:t>
      </w:r>
      <w:r w:rsidR="005842B3" w:rsidRPr="00261C59">
        <w:rPr>
          <w:rFonts w:ascii="Calibri" w:hAnsi="Calibri"/>
          <w:sz w:val="24"/>
          <w:szCs w:val="24"/>
        </w:rPr>
        <w:t>including cultural safety</w:t>
      </w:r>
      <w:r w:rsidR="006263B4" w:rsidRPr="00261C59">
        <w:rPr>
          <w:rFonts w:ascii="Calibri" w:hAnsi="Calibri"/>
          <w:sz w:val="24"/>
          <w:szCs w:val="24"/>
        </w:rPr>
        <w:t>)</w:t>
      </w:r>
      <w:r w:rsidR="005842B3" w:rsidRPr="00261C59">
        <w:rPr>
          <w:rFonts w:ascii="Calibri" w:hAnsi="Calibri"/>
          <w:sz w:val="24"/>
          <w:szCs w:val="24"/>
        </w:rPr>
        <w:t>,</w:t>
      </w:r>
      <w:r w:rsidRPr="00261C59">
        <w:rPr>
          <w:rFonts w:ascii="Calibri" w:hAnsi="Calibri"/>
          <w:sz w:val="24"/>
          <w:szCs w:val="24"/>
        </w:rPr>
        <w:t xml:space="preserve"> and research in public hospitals</w:t>
      </w:r>
    </w:p>
    <w:p w14:paraId="30C44242" w14:textId="5ECA51B1"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State-wide public hospital industrial relations functions, including negotiation of enterprise bargaining agreements and establishment of remuneration and employment terms and conditions to be adopted by LHNs</w:t>
      </w:r>
    </w:p>
    <w:p w14:paraId="742EB4F7" w14:textId="0D6B8C2C"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ensuring Aboriginal and Torres Strait Islander people have access to culturally safe and appropriate public hospital and health services.</w:t>
      </w:r>
    </w:p>
    <w:p w14:paraId="3EE16383" w14:textId="77777777" w:rsidR="00322C2C" w:rsidRPr="00261C59" w:rsidRDefault="00322C2C" w:rsidP="004728D9">
      <w:pPr>
        <w:keepNext/>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lastRenderedPageBreak/>
        <w:t>States are responsible for:</w:t>
      </w:r>
    </w:p>
    <w:p w14:paraId="67B37520" w14:textId="12ACED10"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delivering public health, community health</w:t>
      </w:r>
      <w:r w:rsidR="005C1A7A" w:rsidRPr="00261C59" w:rsidDel="009043ED">
        <w:rPr>
          <w:rFonts w:ascii="Calibri" w:hAnsi="Calibri"/>
          <w:sz w:val="24"/>
          <w:szCs w:val="24"/>
        </w:rPr>
        <w:t xml:space="preserve"> </w:t>
      </w:r>
      <w:r w:rsidRPr="00261C59">
        <w:rPr>
          <w:rFonts w:ascii="Calibri" w:hAnsi="Calibri"/>
          <w:sz w:val="24"/>
          <w:szCs w:val="24"/>
        </w:rPr>
        <w:t>and health promotion programs, including a lead role in managing public health activities</w:t>
      </w:r>
    </w:p>
    <w:p w14:paraId="452D7F4E" w14:textId="0F0F38A9"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providing public patients with access to all services provided to private patients in a public hospital</w:t>
      </w:r>
    </w:p>
    <w:p w14:paraId="4DFF6A70" w14:textId="55FD6790"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ensuring that eligible persons who have elected to be treated as private patients have done so based on informed financial consent</w:t>
      </w:r>
    </w:p>
    <w:p w14:paraId="403D45C9" w14:textId="757AD3AE"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providing and funding pharmaceuticals for public and private inpatients and for public non-admitted patients in public hospitals (except where Pharmaceutical Reform Arrangements are in place)</w:t>
      </w:r>
    </w:p>
    <w:p w14:paraId="09AB158D" w14:textId="77777777" w:rsidR="00322C2C" w:rsidRPr="00261C59" w:rsidRDefault="00322C2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 xml:space="preserve">maintaining a Public Patients Hospital Charter and an independent complaints body and ensuring that people are aware of how to access these provisions. </w:t>
      </w:r>
    </w:p>
    <w:p w14:paraId="03667A6C" w14:textId="57FF2840" w:rsidR="00322C2C" w:rsidRPr="00261C59" w:rsidRDefault="00322C2C" w:rsidP="004728D9">
      <w:pPr>
        <w:numPr>
          <w:ilvl w:val="0"/>
          <w:numId w:val="52"/>
        </w:numPr>
        <w:spacing w:after="240" w:line="260" w:lineRule="exact"/>
        <w:jc w:val="left"/>
        <w:rPr>
          <w:rFonts w:ascii="Calibri" w:hAnsi="Calibri"/>
          <w:sz w:val="24"/>
          <w:szCs w:val="24"/>
        </w:rPr>
      </w:pPr>
      <w:r w:rsidRPr="00261C59">
        <w:rPr>
          <w:rFonts w:ascii="Calibri" w:hAnsi="Calibri"/>
          <w:sz w:val="24"/>
          <w:szCs w:val="24"/>
        </w:rPr>
        <w:t xml:space="preserve">In providing these services States will adhere to the Business Rules and other requirements set out in Schedule J. </w:t>
      </w:r>
    </w:p>
    <w:p w14:paraId="0D733D8E" w14:textId="77777777" w:rsidR="00322C2C" w:rsidRPr="00261C59" w:rsidRDefault="00322C2C" w:rsidP="009674F9">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48" w:name="_Toc165886213"/>
      <w:bookmarkStart w:id="49" w:name="_Toc210833574"/>
      <w:bookmarkStart w:id="50" w:name="_Toc214456474"/>
      <w:bookmarkStart w:id="51" w:name="_Toc221087953"/>
      <w:bookmarkStart w:id="52" w:name="_Hlk169014625"/>
      <w:r w:rsidRPr="00261C59">
        <w:rPr>
          <w:rFonts w:ascii="Corbel" w:eastAsia="Times New Roman" w:hAnsi="Corbel"/>
          <w:b w:val="0"/>
          <w:bCs w:val="0"/>
          <w:iCs w:val="0"/>
          <w:color w:val="3D4B67"/>
          <w:sz w:val="28"/>
          <w:szCs w:val="48"/>
          <w:lang w:eastAsia="ja-JP"/>
        </w:rPr>
        <w:t>National bodies</w:t>
      </w:r>
      <w:bookmarkEnd w:id="48"/>
      <w:bookmarkEnd w:id="49"/>
      <w:bookmarkEnd w:id="50"/>
      <w:bookmarkEnd w:id="51"/>
    </w:p>
    <w:p w14:paraId="190D2C88" w14:textId="6EC88208" w:rsidR="00322C2C" w:rsidRPr="00261C59" w:rsidRDefault="00322C2C" w:rsidP="004728D9">
      <w:pPr>
        <w:numPr>
          <w:ilvl w:val="0"/>
          <w:numId w:val="52"/>
        </w:numPr>
        <w:spacing w:after="240" w:line="260" w:lineRule="exact"/>
        <w:jc w:val="left"/>
        <w:rPr>
          <w:rFonts w:ascii="Calibri" w:hAnsi="Calibri"/>
          <w:sz w:val="24"/>
          <w:szCs w:val="24"/>
        </w:rPr>
      </w:pPr>
      <w:r w:rsidRPr="00261C59">
        <w:rPr>
          <w:rFonts w:ascii="Calibri" w:hAnsi="Calibri"/>
          <w:sz w:val="24"/>
          <w:szCs w:val="24"/>
        </w:rPr>
        <w:t xml:space="preserve">The Parties acknowledge that national bodies play a key enabling role in </w:t>
      </w:r>
      <w:r w:rsidR="0D0EA485" w:rsidRPr="00261C59">
        <w:rPr>
          <w:rFonts w:ascii="Calibri" w:hAnsi="Calibri"/>
          <w:sz w:val="24"/>
          <w:szCs w:val="24"/>
        </w:rPr>
        <w:t>informing</w:t>
      </w:r>
      <w:r w:rsidRPr="00261C59">
        <w:rPr>
          <w:rFonts w:ascii="Calibri" w:hAnsi="Calibri"/>
          <w:sz w:val="24"/>
          <w:szCs w:val="24"/>
        </w:rPr>
        <w:t xml:space="preserve"> a dynamic and sustainable health system which</w:t>
      </w:r>
      <w:r w:rsidRPr="00261C59" w:rsidDel="00D83D94">
        <w:rPr>
          <w:rFonts w:ascii="Calibri" w:hAnsi="Calibri"/>
          <w:sz w:val="24"/>
          <w:szCs w:val="24"/>
        </w:rPr>
        <w:t xml:space="preserve"> </w:t>
      </w:r>
      <w:r w:rsidRPr="00261C59">
        <w:rPr>
          <w:rFonts w:ascii="Calibri" w:hAnsi="Calibri"/>
          <w:sz w:val="24"/>
          <w:szCs w:val="24"/>
        </w:rPr>
        <w:t>meet</w:t>
      </w:r>
      <w:r w:rsidR="1BE33F5F" w:rsidRPr="00261C59">
        <w:rPr>
          <w:rFonts w:ascii="Calibri" w:hAnsi="Calibri"/>
          <w:sz w:val="24"/>
          <w:szCs w:val="24"/>
        </w:rPr>
        <w:t>s</w:t>
      </w:r>
      <w:r w:rsidRPr="00261C59">
        <w:rPr>
          <w:rFonts w:ascii="Calibri" w:hAnsi="Calibri"/>
          <w:sz w:val="24"/>
          <w:szCs w:val="24"/>
        </w:rPr>
        <w:t xml:space="preserve"> emerging healthcare challenges and evolving patient and community needs.</w:t>
      </w:r>
    </w:p>
    <w:p w14:paraId="29721CDF" w14:textId="779FF3F3" w:rsidR="00322C2C" w:rsidRPr="00261C59" w:rsidRDefault="00322C2C" w:rsidP="004728D9">
      <w:pPr>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t>National bodies will support reform directions and Ministerial priorities to help deliver outcomes under this Addendum and incorporate their expertise and data insights into national policy development processes</w:t>
      </w:r>
      <w:r w:rsidR="007C667C" w:rsidRPr="00261C59">
        <w:rPr>
          <w:rFonts w:ascii="Calibri" w:hAnsi="Calibri"/>
          <w:sz w:val="24"/>
          <w:szCs w:val="24"/>
          <w:lang w:val="en-GB"/>
        </w:rPr>
        <w:t xml:space="preserve">, including </w:t>
      </w:r>
      <w:r w:rsidR="00521D0D" w:rsidRPr="00261C59">
        <w:rPr>
          <w:rFonts w:ascii="Calibri" w:hAnsi="Calibri"/>
          <w:sz w:val="24"/>
          <w:szCs w:val="24"/>
          <w:lang w:val="en-GB"/>
        </w:rPr>
        <w:t>through</w:t>
      </w:r>
      <w:r w:rsidR="007C667C" w:rsidRPr="00261C59">
        <w:rPr>
          <w:rFonts w:ascii="Calibri" w:hAnsi="Calibri"/>
          <w:sz w:val="24"/>
          <w:szCs w:val="24"/>
          <w:lang w:val="en-GB"/>
        </w:rPr>
        <w:t xml:space="preserve"> relevant governance forums outlined in clause </w:t>
      </w:r>
      <w:r w:rsidR="00B07783" w:rsidRPr="00261C59">
        <w:rPr>
          <w:rFonts w:ascii="Calibri" w:hAnsi="Calibri"/>
          <w:sz w:val="24"/>
          <w:szCs w:val="24"/>
          <w:lang w:val="en-GB"/>
        </w:rPr>
        <w:t>4</w:t>
      </w:r>
      <w:r w:rsidR="00C92CB7" w:rsidRPr="00261C59">
        <w:rPr>
          <w:rFonts w:ascii="Calibri" w:hAnsi="Calibri"/>
          <w:sz w:val="24"/>
          <w:szCs w:val="24"/>
          <w:lang w:val="en-GB"/>
        </w:rPr>
        <w:t>2</w:t>
      </w:r>
      <w:r w:rsidRPr="00261C59">
        <w:rPr>
          <w:rFonts w:ascii="Calibri" w:hAnsi="Calibri"/>
          <w:sz w:val="24"/>
          <w:szCs w:val="24"/>
          <w:lang w:val="en-GB"/>
        </w:rPr>
        <w:t>.</w:t>
      </w:r>
    </w:p>
    <w:p w14:paraId="19CA6B15" w14:textId="3C6F540D" w:rsidR="00322C2C" w:rsidRPr="00261C59" w:rsidRDefault="00322C2C" w:rsidP="004728D9">
      <w:pPr>
        <w:keepNext/>
        <w:widowControl/>
        <w:numPr>
          <w:ilvl w:val="0"/>
          <w:numId w:val="52"/>
        </w:numPr>
        <w:spacing w:after="240" w:line="260" w:lineRule="exact"/>
        <w:jc w:val="left"/>
        <w:rPr>
          <w:rFonts w:ascii="Calibri" w:hAnsi="Calibri"/>
          <w:sz w:val="24"/>
          <w:szCs w:val="24"/>
        </w:rPr>
      </w:pPr>
      <w:bookmarkStart w:id="53" w:name="_Hlk169014685"/>
      <w:r w:rsidRPr="00261C59">
        <w:rPr>
          <w:rFonts w:ascii="Calibri" w:hAnsi="Calibri"/>
          <w:sz w:val="24"/>
          <w:szCs w:val="24"/>
        </w:rPr>
        <w:t xml:space="preserve">The roles and responsibilities of the following national bodies and organisations under this Addendum are outlined in Schedule </w:t>
      </w:r>
      <w:r w:rsidR="007C1077" w:rsidRPr="00261C59">
        <w:rPr>
          <w:rFonts w:ascii="Calibri" w:hAnsi="Calibri"/>
          <w:sz w:val="24"/>
          <w:szCs w:val="24"/>
        </w:rPr>
        <w:t>I</w:t>
      </w:r>
      <w:r w:rsidR="00045A3C" w:rsidRPr="00261C59">
        <w:rPr>
          <w:rFonts w:ascii="Calibri" w:hAnsi="Calibri"/>
          <w:sz w:val="24"/>
          <w:szCs w:val="24"/>
        </w:rPr>
        <w:t>,</w:t>
      </w:r>
      <w:r w:rsidR="596E4D21" w:rsidRPr="00261C59">
        <w:rPr>
          <w:rFonts w:ascii="Calibri" w:hAnsi="Calibri"/>
          <w:sz w:val="24"/>
          <w:szCs w:val="24"/>
        </w:rPr>
        <w:t xml:space="preserve"> </w:t>
      </w:r>
      <w:r w:rsidR="00D07921" w:rsidRPr="00261C59">
        <w:rPr>
          <w:rFonts w:ascii="Calibri" w:hAnsi="Calibri"/>
          <w:sz w:val="24"/>
          <w:szCs w:val="24"/>
        </w:rPr>
        <w:t xml:space="preserve">in addition to </w:t>
      </w:r>
      <w:r w:rsidR="009B05EB" w:rsidRPr="00261C59">
        <w:rPr>
          <w:rFonts w:ascii="Calibri" w:hAnsi="Calibri"/>
          <w:sz w:val="24"/>
          <w:szCs w:val="24"/>
        </w:rPr>
        <w:t>th</w:t>
      </w:r>
      <w:r w:rsidR="006B674B" w:rsidRPr="00261C59">
        <w:rPr>
          <w:rFonts w:ascii="Calibri" w:hAnsi="Calibri"/>
          <w:sz w:val="24"/>
          <w:szCs w:val="24"/>
        </w:rPr>
        <w:t xml:space="preserve">ose set out in </w:t>
      </w:r>
      <w:r w:rsidR="596E4D21" w:rsidRPr="00261C59">
        <w:rPr>
          <w:rFonts w:ascii="Calibri" w:hAnsi="Calibri"/>
          <w:sz w:val="24"/>
          <w:szCs w:val="24"/>
        </w:rPr>
        <w:t>relevant legislation</w:t>
      </w:r>
      <w:r w:rsidRPr="00261C59">
        <w:rPr>
          <w:rFonts w:ascii="Calibri" w:hAnsi="Calibri"/>
          <w:sz w:val="24"/>
          <w:szCs w:val="24"/>
        </w:rPr>
        <w:t>:</w:t>
      </w:r>
    </w:p>
    <w:bookmarkEnd w:id="53"/>
    <w:p w14:paraId="057AD6D4" w14:textId="6ED71A5C" w:rsidR="00322C2C" w:rsidRPr="00261C59" w:rsidRDefault="002078A8" w:rsidP="004728D9">
      <w:pPr>
        <w:numPr>
          <w:ilvl w:val="1"/>
          <w:numId w:val="52"/>
        </w:numPr>
        <w:spacing w:after="240" w:line="260" w:lineRule="exact"/>
        <w:jc w:val="left"/>
        <w:rPr>
          <w:rFonts w:ascii="Calibri" w:hAnsi="Calibri"/>
          <w:sz w:val="24"/>
          <w:szCs w:val="24"/>
        </w:rPr>
      </w:pPr>
      <w:r>
        <w:rPr>
          <w:rFonts w:ascii="Calibri" w:hAnsi="Calibri"/>
          <w:sz w:val="24"/>
          <w:szCs w:val="24"/>
        </w:rPr>
        <w:t>t</w:t>
      </w:r>
      <w:r w:rsidR="00322C2C" w:rsidRPr="00261C59">
        <w:rPr>
          <w:rFonts w:ascii="Calibri" w:hAnsi="Calibri"/>
          <w:sz w:val="24"/>
          <w:szCs w:val="24"/>
        </w:rPr>
        <w:t>he Independent Health and Aged Care Pricing Authority (IHACPA) – independent national price and cost setting</w:t>
      </w:r>
    </w:p>
    <w:p w14:paraId="54904075" w14:textId="4D1B2213" w:rsidR="00322C2C" w:rsidRPr="00261C59" w:rsidRDefault="002078A8" w:rsidP="004728D9">
      <w:pPr>
        <w:numPr>
          <w:ilvl w:val="1"/>
          <w:numId w:val="52"/>
        </w:numPr>
        <w:spacing w:after="240" w:line="260" w:lineRule="exact"/>
        <w:jc w:val="left"/>
        <w:rPr>
          <w:rFonts w:ascii="Calibri" w:hAnsi="Calibri"/>
          <w:sz w:val="24"/>
          <w:szCs w:val="24"/>
        </w:rPr>
      </w:pPr>
      <w:r>
        <w:rPr>
          <w:rFonts w:ascii="Calibri" w:hAnsi="Calibri"/>
          <w:sz w:val="24"/>
          <w:szCs w:val="24"/>
        </w:rPr>
        <w:t>t</w:t>
      </w:r>
      <w:r w:rsidR="00322C2C" w:rsidRPr="00261C59">
        <w:rPr>
          <w:rFonts w:ascii="Calibri" w:hAnsi="Calibri"/>
          <w:sz w:val="24"/>
          <w:szCs w:val="24"/>
        </w:rPr>
        <w:t>he Administrator of the National Health Funding Pool and the National Health Funding Body (NHFB) – independent Commonwealth NHRA funding calculation and administration</w:t>
      </w:r>
    </w:p>
    <w:p w14:paraId="3D05A03F" w14:textId="24F7070C" w:rsidR="00322C2C" w:rsidRPr="00261C59" w:rsidRDefault="002078A8" w:rsidP="004728D9">
      <w:pPr>
        <w:numPr>
          <w:ilvl w:val="1"/>
          <w:numId w:val="52"/>
        </w:numPr>
        <w:spacing w:after="240" w:line="260" w:lineRule="exact"/>
        <w:jc w:val="left"/>
        <w:rPr>
          <w:rFonts w:ascii="Calibri" w:hAnsi="Calibri"/>
          <w:sz w:val="24"/>
          <w:szCs w:val="24"/>
        </w:rPr>
      </w:pPr>
      <w:r>
        <w:rPr>
          <w:rFonts w:ascii="Calibri" w:hAnsi="Calibri"/>
          <w:sz w:val="24"/>
          <w:szCs w:val="24"/>
        </w:rPr>
        <w:t>t</w:t>
      </w:r>
      <w:r w:rsidR="00322C2C" w:rsidRPr="00261C59">
        <w:rPr>
          <w:rFonts w:ascii="Calibri" w:hAnsi="Calibri"/>
          <w:sz w:val="24"/>
          <w:szCs w:val="24"/>
        </w:rPr>
        <w:t>he Australian Commission on Safety and Quality in Health Care (ACSQHC) – supporting national health system safety and quality service provision</w:t>
      </w:r>
    </w:p>
    <w:p w14:paraId="1BE15F44" w14:textId="46A21AFF" w:rsidR="00322C2C" w:rsidRPr="00261C59" w:rsidRDefault="002078A8" w:rsidP="004728D9">
      <w:pPr>
        <w:numPr>
          <w:ilvl w:val="1"/>
          <w:numId w:val="52"/>
        </w:numPr>
        <w:spacing w:after="240" w:line="260" w:lineRule="exact"/>
        <w:jc w:val="left"/>
        <w:rPr>
          <w:rFonts w:ascii="Calibri" w:hAnsi="Calibri"/>
          <w:sz w:val="24"/>
          <w:szCs w:val="24"/>
        </w:rPr>
      </w:pPr>
      <w:r>
        <w:rPr>
          <w:rFonts w:ascii="Calibri" w:hAnsi="Calibri"/>
          <w:sz w:val="24"/>
          <w:szCs w:val="24"/>
        </w:rPr>
        <w:t>t</w:t>
      </w:r>
      <w:r w:rsidR="00322C2C" w:rsidRPr="00261C59">
        <w:rPr>
          <w:rFonts w:ascii="Calibri" w:hAnsi="Calibri"/>
          <w:sz w:val="24"/>
          <w:szCs w:val="24"/>
        </w:rPr>
        <w:t>he Australian Institute of Health and Welfare (AIHW) – collection, analysis, and reporting of health</w:t>
      </w:r>
      <w:r w:rsidR="00ED7A2E" w:rsidRPr="00261C59">
        <w:rPr>
          <w:rFonts w:ascii="Calibri" w:hAnsi="Calibri"/>
          <w:sz w:val="24"/>
          <w:szCs w:val="24"/>
        </w:rPr>
        <w:t xml:space="preserve"> </w:t>
      </w:r>
      <w:r w:rsidR="00322C2C" w:rsidRPr="00261C59">
        <w:rPr>
          <w:rFonts w:ascii="Calibri" w:hAnsi="Calibri"/>
          <w:sz w:val="24"/>
          <w:szCs w:val="24"/>
        </w:rPr>
        <w:t>performance data</w:t>
      </w:r>
      <w:r w:rsidR="006263B4" w:rsidRPr="00261C59">
        <w:rPr>
          <w:rFonts w:ascii="Calibri" w:hAnsi="Calibri"/>
          <w:sz w:val="24"/>
          <w:szCs w:val="24"/>
        </w:rPr>
        <w:t xml:space="preserve"> (including social and cultural determinants)</w:t>
      </w:r>
      <w:r w:rsidR="00322C2C" w:rsidRPr="00261C59">
        <w:rPr>
          <w:rFonts w:ascii="Calibri" w:hAnsi="Calibri"/>
          <w:sz w:val="24"/>
          <w:szCs w:val="24"/>
        </w:rPr>
        <w:t xml:space="preserve">. </w:t>
      </w:r>
    </w:p>
    <w:p w14:paraId="436C8F18" w14:textId="5A44BF21" w:rsidR="00322C2C" w:rsidRPr="00261C59" w:rsidRDefault="000E02BE" w:rsidP="004728D9">
      <w:pPr>
        <w:numPr>
          <w:ilvl w:val="0"/>
          <w:numId w:val="52"/>
        </w:numPr>
        <w:spacing w:after="240" w:line="260" w:lineRule="exact"/>
        <w:jc w:val="left"/>
        <w:rPr>
          <w:rFonts w:ascii="Calibri" w:hAnsi="Calibri"/>
          <w:sz w:val="24"/>
          <w:szCs w:val="24"/>
        </w:rPr>
      </w:pPr>
      <w:r w:rsidRPr="00261C59">
        <w:rPr>
          <w:rFonts w:ascii="Calibri" w:hAnsi="Calibri"/>
          <w:sz w:val="24"/>
          <w:szCs w:val="24"/>
        </w:rPr>
        <w:t xml:space="preserve">The </w:t>
      </w:r>
      <w:r w:rsidR="00322C2C" w:rsidRPr="00261C59">
        <w:rPr>
          <w:rFonts w:ascii="Calibri" w:hAnsi="Calibri"/>
          <w:sz w:val="24"/>
          <w:szCs w:val="24"/>
        </w:rPr>
        <w:t xml:space="preserve">Parties acknowledge the role and contribution of other national agencies </w:t>
      </w:r>
      <w:r w:rsidR="009837BD" w:rsidRPr="00261C59">
        <w:rPr>
          <w:rFonts w:ascii="Calibri" w:hAnsi="Calibri"/>
          <w:sz w:val="24"/>
          <w:szCs w:val="24"/>
        </w:rPr>
        <w:t xml:space="preserve">and bodies </w:t>
      </w:r>
      <w:r w:rsidR="00322C2C" w:rsidRPr="00261C59">
        <w:rPr>
          <w:rFonts w:ascii="Calibri" w:hAnsi="Calibri"/>
          <w:sz w:val="24"/>
          <w:szCs w:val="24"/>
        </w:rPr>
        <w:t>in advancing and enabling health reform under this Addendum, including</w:t>
      </w:r>
      <w:r w:rsidR="009837BD" w:rsidRPr="00261C59">
        <w:rPr>
          <w:rFonts w:ascii="Calibri" w:hAnsi="Calibri"/>
          <w:sz w:val="24"/>
          <w:szCs w:val="24"/>
        </w:rPr>
        <w:t xml:space="preserve"> </w:t>
      </w:r>
      <w:r w:rsidR="00173F3D" w:rsidRPr="00261C59">
        <w:rPr>
          <w:rFonts w:ascii="Calibri" w:hAnsi="Calibri"/>
          <w:sz w:val="24"/>
          <w:szCs w:val="24"/>
        </w:rPr>
        <w:t xml:space="preserve">but not limited to </w:t>
      </w:r>
      <w:r w:rsidR="009837BD" w:rsidRPr="00261C59">
        <w:rPr>
          <w:rFonts w:ascii="Calibri" w:hAnsi="Calibri"/>
          <w:sz w:val="24"/>
          <w:szCs w:val="24"/>
        </w:rPr>
        <w:t>the Australian Digital Health Agency.</w:t>
      </w:r>
    </w:p>
    <w:p w14:paraId="6B30D4C8" w14:textId="5E283BF2" w:rsidR="00F444EA" w:rsidRPr="00261C59" w:rsidRDefault="00322C2C" w:rsidP="004728D9">
      <w:pPr>
        <w:widowControl/>
        <w:numPr>
          <w:ilvl w:val="0"/>
          <w:numId w:val="52"/>
        </w:numPr>
        <w:spacing w:after="240" w:line="260" w:lineRule="exact"/>
        <w:jc w:val="left"/>
        <w:rPr>
          <w:rFonts w:ascii="Calibri" w:hAnsi="Calibri"/>
          <w:sz w:val="24"/>
          <w:szCs w:val="24"/>
        </w:rPr>
      </w:pPr>
      <w:r w:rsidRPr="00261C59">
        <w:rPr>
          <w:rFonts w:ascii="Calibri" w:hAnsi="Calibri"/>
          <w:sz w:val="24"/>
          <w:szCs w:val="24"/>
        </w:rPr>
        <w:lastRenderedPageBreak/>
        <w:t xml:space="preserve">The Parties acknowledge that </w:t>
      </w:r>
      <w:r w:rsidR="60865621" w:rsidRPr="00261C59">
        <w:rPr>
          <w:rFonts w:ascii="Calibri" w:hAnsi="Calibri"/>
          <w:sz w:val="24"/>
          <w:szCs w:val="24"/>
        </w:rPr>
        <w:t xml:space="preserve">to enact their obligations under the National Agreement on Closing the Gap </w:t>
      </w:r>
      <w:r w:rsidRPr="00261C59">
        <w:rPr>
          <w:rFonts w:ascii="Calibri" w:hAnsi="Calibri"/>
          <w:sz w:val="24"/>
          <w:szCs w:val="24"/>
        </w:rPr>
        <w:t>national bodies must embed Aboriginal and Torres Strait Islander leadership and decision-making in their operations</w:t>
      </w:r>
      <w:r w:rsidR="00BE716B" w:rsidRPr="00261C59">
        <w:rPr>
          <w:rFonts w:ascii="Calibri" w:hAnsi="Calibri"/>
          <w:sz w:val="24"/>
          <w:szCs w:val="24"/>
        </w:rPr>
        <w:t xml:space="preserve">. This </w:t>
      </w:r>
      <w:r w:rsidR="00F444EA" w:rsidRPr="00261C59">
        <w:rPr>
          <w:rFonts w:ascii="Calibri" w:hAnsi="Calibri"/>
          <w:sz w:val="24"/>
          <w:szCs w:val="24"/>
        </w:rPr>
        <w:t>includes through</w:t>
      </w:r>
      <w:r w:rsidR="00F76B2F" w:rsidRPr="00261C59">
        <w:rPr>
          <w:rFonts w:ascii="Calibri" w:hAnsi="Calibri"/>
          <w:sz w:val="24"/>
          <w:szCs w:val="24"/>
        </w:rPr>
        <w:t>:</w:t>
      </w:r>
    </w:p>
    <w:p w14:paraId="6DCAE3D9" w14:textId="3A2F5A13" w:rsidR="00D56CF4" w:rsidRPr="00261C59" w:rsidRDefault="00E179F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e</w:t>
      </w:r>
      <w:r w:rsidR="00D56CF4" w:rsidRPr="00261C59">
        <w:rPr>
          <w:rFonts w:ascii="Calibri" w:hAnsi="Calibri"/>
          <w:sz w:val="24"/>
          <w:szCs w:val="24"/>
          <w:lang w:val="en-GB"/>
        </w:rPr>
        <w:t xml:space="preserve">mploying and retaining Aboriginal and Torres Strait Islander staff </w:t>
      </w:r>
      <w:r w:rsidR="7D551D05" w:rsidRPr="00261C59">
        <w:rPr>
          <w:rFonts w:ascii="Calibri" w:hAnsi="Calibri"/>
          <w:sz w:val="24"/>
          <w:szCs w:val="24"/>
          <w:lang w:val="en-GB"/>
        </w:rPr>
        <w:t xml:space="preserve">throughout </w:t>
      </w:r>
      <w:r w:rsidR="00D56CF4" w:rsidRPr="00261C59">
        <w:rPr>
          <w:rFonts w:ascii="Calibri" w:hAnsi="Calibri"/>
          <w:sz w:val="24"/>
          <w:szCs w:val="24"/>
          <w:lang w:val="en-GB"/>
        </w:rPr>
        <w:t>their organisations</w:t>
      </w:r>
    </w:p>
    <w:p w14:paraId="705249DB" w14:textId="459F4B91" w:rsidR="6B48629E" w:rsidRPr="00261C59" w:rsidRDefault="002953B9" w:rsidP="004728D9">
      <w:pPr>
        <w:widowControl/>
        <w:numPr>
          <w:ilvl w:val="1"/>
          <w:numId w:val="52"/>
        </w:numPr>
        <w:spacing w:after="240" w:line="260" w:lineRule="exact"/>
        <w:jc w:val="left"/>
        <w:rPr>
          <w:rFonts w:ascii="Calibri" w:hAnsi="Calibri"/>
          <w:sz w:val="24"/>
          <w:szCs w:val="24"/>
        </w:rPr>
      </w:pPr>
      <w:r w:rsidRPr="00261C59">
        <w:rPr>
          <w:rFonts w:ascii="Calibri" w:hAnsi="Calibri"/>
          <w:sz w:val="24"/>
          <w:szCs w:val="24"/>
        </w:rPr>
        <w:t>h</w:t>
      </w:r>
      <w:r w:rsidR="7B41DBB9" w:rsidRPr="00261C59">
        <w:rPr>
          <w:rFonts w:ascii="Calibri" w:hAnsi="Calibri"/>
          <w:sz w:val="24"/>
          <w:szCs w:val="24"/>
        </w:rPr>
        <w:t xml:space="preserve">aving </w:t>
      </w:r>
      <w:r w:rsidR="356053A9" w:rsidRPr="00261C59">
        <w:rPr>
          <w:rFonts w:ascii="Calibri" w:hAnsi="Calibri"/>
          <w:sz w:val="24"/>
          <w:szCs w:val="24"/>
        </w:rPr>
        <w:t>team</w:t>
      </w:r>
      <w:r w:rsidR="26061310" w:rsidRPr="00261C59">
        <w:rPr>
          <w:rFonts w:ascii="Calibri" w:hAnsi="Calibri"/>
          <w:sz w:val="24"/>
          <w:szCs w:val="24"/>
        </w:rPr>
        <w:t xml:space="preserve">s </w:t>
      </w:r>
      <w:r w:rsidR="51E01059" w:rsidRPr="00261C59">
        <w:rPr>
          <w:rFonts w:ascii="Calibri" w:hAnsi="Calibri"/>
          <w:sz w:val="24"/>
          <w:szCs w:val="24"/>
        </w:rPr>
        <w:t>to lead</w:t>
      </w:r>
      <w:r w:rsidR="26061310" w:rsidRPr="00261C59">
        <w:rPr>
          <w:rFonts w:ascii="Calibri" w:hAnsi="Calibri"/>
          <w:sz w:val="24"/>
          <w:szCs w:val="24"/>
        </w:rPr>
        <w:t xml:space="preserve"> their </w:t>
      </w:r>
      <w:r w:rsidR="07F80E04" w:rsidRPr="00261C59">
        <w:rPr>
          <w:rFonts w:ascii="Calibri" w:hAnsi="Calibri"/>
          <w:sz w:val="24"/>
          <w:szCs w:val="24"/>
        </w:rPr>
        <w:t>Aboriginal and Torres Strait Islander projects and priorities, as well as embed Aboriginal and Torres Strait Islander perspectives across the</w:t>
      </w:r>
      <w:r w:rsidR="29E9A797" w:rsidRPr="00261C59">
        <w:rPr>
          <w:rFonts w:ascii="Calibri" w:hAnsi="Calibri"/>
          <w:sz w:val="24"/>
          <w:szCs w:val="24"/>
        </w:rPr>
        <w:t>ir</w:t>
      </w:r>
      <w:r w:rsidR="07F80E04" w:rsidRPr="00261C59">
        <w:rPr>
          <w:rFonts w:ascii="Calibri" w:hAnsi="Calibri"/>
          <w:sz w:val="24"/>
          <w:szCs w:val="24"/>
        </w:rPr>
        <w:t xml:space="preserve"> organisa</w:t>
      </w:r>
      <w:r w:rsidR="5824CA58" w:rsidRPr="00261C59">
        <w:rPr>
          <w:rFonts w:ascii="Calibri" w:hAnsi="Calibri"/>
          <w:sz w:val="24"/>
          <w:szCs w:val="24"/>
        </w:rPr>
        <w:t>tion</w:t>
      </w:r>
      <w:r w:rsidR="0D11D6CA" w:rsidRPr="00261C59">
        <w:rPr>
          <w:rFonts w:ascii="Calibri" w:hAnsi="Calibri"/>
          <w:sz w:val="24"/>
          <w:szCs w:val="24"/>
        </w:rPr>
        <w:t xml:space="preserve"> </w:t>
      </w:r>
    </w:p>
    <w:p w14:paraId="2982CFA4" w14:textId="34F4B47D" w:rsidR="003E7724" w:rsidRPr="00261C59" w:rsidRDefault="00E179F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i</w:t>
      </w:r>
      <w:r w:rsidR="00C20463" w:rsidRPr="00261C59">
        <w:rPr>
          <w:rFonts w:ascii="Calibri" w:hAnsi="Calibri"/>
          <w:sz w:val="24"/>
          <w:szCs w:val="24"/>
        </w:rPr>
        <w:t>ncluding Aboriginal and Torres Strait Islander representation and decision making on boards and/or committees</w:t>
      </w:r>
    </w:p>
    <w:p w14:paraId="36BA6CE7" w14:textId="71ED243C" w:rsidR="00322C2C" w:rsidRPr="00261C59" w:rsidRDefault="00E179FC"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e</w:t>
      </w:r>
      <w:r w:rsidR="003E7724" w:rsidRPr="00261C59">
        <w:rPr>
          <w:rFonts w:ascii="Calibri" w:hAnsi="Calibri"/>
          <w:sz w:val="24"/>
          <w:szCs w:val="24"/>
        </w:rPr>
        <w:t>ngaging in partnership with Aboriginal and Torres Strait Islander people and organisations to inform policy development and the use of data</w:t>
      </w:r>
      <w:r w:rsidR="00322C2C" w:rsidRPr="00261C59">
        <w:rPr>
          <w:rFonts w:ascii="Calibri" w:hAnsi="Calibri"/>
          <w:sz w:val="24"/>
          <w:szCs w:val="24"/>
        </w:rPr>
        <w:t>.</w:t>
      </w:r>
    </w:p>
    <w:p w14:paraId="28F0A3F3" w14:textId="1637FBC4" w:rsidR="00322C2C" w:rsidRPr="00261C59" w:rsidRDefault="6D139517" w:rsidP="00814D08">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54" w:name="_Toc165886214"/>
      <w:bookmarkStart w:id="55" w:name="_Toc210833575"/>
      <w:bookmarkStart w:id="56" w:name="_Toc214456475"/>
      <w:bookmarkStart w:id="57" w:name="_Toc221087954"/>
      <w:bookmarkEnd w:id="52"/>
      <w:r w:rsidRPr="00261C59">
        <w:rPr>
          <w:rFonts w:ascii="Corbel" w:eastAsia="Times New Roman" w:hAnsi="Corbel" w:cs="Arial"/>
          <w:color w:val="3D4B67"/>
          <w:sz w:val="28"/>
          <w:szCs w:val="28"/>
        </w:rPr>
        <w:t>Transparency</w:t>
      </w:r>
      <w:r w:rsidR="00322C2C" w:rsidRPr="00261C59">
        <w:rPr>
          <w:rFonts w:ascii="Corbel" w:eastAsia="Times New Roman" w:hAnsi="Corbel" w:cs="Arial"/>
          <w:iCs/>
          <w:color w:val="3D4B67"/>
          <w:sz w:val="28"/>
          <w:szCs w:val="28"/>
        </w:rPr>
        <w:t xml:space="preserve"> and performance</w:t>
      </w:r>
      <w:bookmarkEnd w:id="54"/>
      <w:bookmarkEnd w:id="55"/>
      <w:bookmarkEnd w:id="56"/>
      <w:bookmarkEnd w:id="57"/>
    </w:p>
    <w:p w14:paraId="6905C57E" w14:textId="6E055A0C" w:rsidR="001B4EAD" w:rsidRPr="00261C59" w:rsidRDefault="001B4EAD" w:rsidP="004728D9">
      <w:pPr>
        <w:numPr>
          <w:ilvl w:val="0"/>
          <w:numId w:val="52"/>
        </w:numPr>
        <w:spacing w:after="240" w:line="260" w:lineRule="exact"/>
        <w:jc w:val="left"/>
        <w:rPr>
          <w:rFonts w:ascii="Calibri" w:hAnsi="Calibri"/>
          <w:sz w:val="24"/>
          <w:szCs w:val="24"/>
          <w:lang w:val="en-GB"/>
        </w:rPr>
      </w:pPr>
      <w:bookmarkStart w:id="58" w:name="_Toc165886216"/>
      <w:r w:rsidRPr="00261C59">
        <w:rPr>
          <w:rFonts w:ascii="Calibri" w:hAnsi="Calibri"/>
          <w:sz w:val="24"/>
          <w:szCs w:val="24"/>
          <w:lang w:val="en-GB"/>
        </w:rPr>
        <w:t>All Australians are entitled to access simple, timely and nationally comparable performance data and information on hospitals, GP and primary health care, aged care, disability and other care systems that meaningfully measures progress against agreed accountabilities.</w:t>
      </w:r>
    </w:p>
    <w:p w14:paraId="1D7653E2" w14:textId="28175895" w:rsidR="001B4EAD" w:rsidRPr="00261C59" w:rsidRDefault="001B4EAD" w:rsidP="004728D9">
      <w:pPr>
        <w:widowControl/>
        <w:numPr>
          <w:ilvl w:val="0"/>
          <w:numId w:val="52"/>
        </w:numPr>
        <w:spacing w:after="240" w:line="260" w:lineRule="exact"/>
        <w:jc w:val="left"/>
        <w:rPr>
          <w:rFonts w:ascii="Calibri" w:hAnsi="Calibri"/>
          <w:sz w:val="24"/>
          <w:szCs w:val="24"/>
        </w:rPr>
      </w:pPr>
      <w:r w:rsidRPr="00261C59">
        <w:rPr>
          <w:rFonts w:ascii="Calibri" w:hAnsi="Calibri"/>
          <w:sz w:val="24"/>
          <w:szCs w:val="24"/>
        </w:rPr>
        <w:t xml:space="preserve">The Parties will implement a performance </w:t>
      </w:r>
      <w:r w:rsidR="00880509" w:rsidRPr="00261C59">
        <w:rPr>
          <w:rFonts w:ascii="Calibri" w:hAnsi="Calibri"/>
          <w:sz w:val="24"/>
          <w:szCs w:val="24"/>
        </w:rPr>
        <w:t>assessment</w:t>
      </w:r>
      <w:r w:rsidRPr="00261C59">
        <w:rPr>
          <w:rFonts w:ascii="Calibri" w:hAnsi="Calibri"/>
          <w:sz w:val="24"/>
          <w:szCs w:val="24"/>
        </w:rPr>
        <w:t xml:space="preserve"> framework incorporating quantitative and qualitative indicators to accurately report on the performance of the whole health system, and its interactions with other care and support systems. The framework will help measure progress of health programs, strategies and agreements, including this Addendum.  </w:t>
      </w:r>
    </w:p>
    <w:p w14:paraId="5F7CC829" w14:textId="0B22C25A" w:rsidR="001B4EAD" w:rsidRPr="00261C59" w:rsidRDefault="001B4EAD" w:rsidP="004728D9">
      <w:pPr>
        <w:widowControl/>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The Parties agree to actively address gaps in performance assessment including establishing and implementing data development plans should appropriate data and indicators not be available. </w:t>
      </w:r>
    </w:p>
    <w:p w14:paraId="5117BC89" w14:textId="1F494187" w:rsidR="001B4EAD" w:rsidRPr="00261C59" w:rsidRDefault="001B4EAD" w:rsidP="004728D9">
      <w:pPr>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Reporting should enable </w:t>
      </w:r>
      <w:r w:rsidR="00C0660B" w:rsidRPr="00261C59">
        <w:rPr>
          <w:rFonts w:ascii="Calibri" w:hAnsi="Calibri"/>
          <w:sz w:val="24"/>
          <w:szCs w:val="24"/>
          <w:lang w:val="en-GB"/>
        </w:rPr>
        <w:t xml:space="preserve">performance </w:t>
      </w:r>
      <w:r w:rsidRPr="00261C59">
        <w:rPr>
          <w:rFonts w:ascii="Calibri" w:hAnsi="Calibri"/>
          <w:sz w:val="24"/>
          <w:szCs w:val="24"/>
          <w:lang w:val="en-GB"/>
        </w:rPr>
        <w:t xml:space="preserve">assessment by Ministers and other </w:t>
      </w:r>
      <w:r w:rsidR="001D53A9" w:rsidRPr="00261C59">
        <w:rPr>
          <w:rFonts w:ascii="Calibri" w:hAnsi="Calibri"/>
          <w:sz w:val="24"/>
          <w:szCs w:val="24"/>
          <w:lang w:val="en-GB"/>
        </w:rPr>
        <w:t>stakeholders with</w:t>
      </w:r>
      <w:r w:rsidRPr="00261C59">
        <w:rPr>
          <w:rFonts w:ascii="Calibri" w:hAnsi="Calibri"/>
          <w:sz w:val="24"/>
          <w:szCs w:val="24"/>
          <w:lang w:val="en-GB"/>
        </w:rPr>
        <w:t xml:space="preserve"> responsibility for effecting change </w:t>
      </w:r>
      <w:r w:rsidR="00C75BDF" w:rsidRPr="00261C59">
        <w:rPr>
          <w:rFonts w:ascii="Calibri" w:hAnsi="Calibri"/>
          <w:sz w:val="24"/>
          <w:szCs w:val="24"/>
          <w:lang w:val="en-GB"/>
        </w:rPr>
        <w:t xml:space="preserve">within and across </w:t>
      </w:r>
      <w:r w:rsidRPr="00261C59">
        <w:rPr>
          <w:rFonts w:ascii="Calibri" w:hAnsi="Calibri"/>
          <w:sz w:val="24"/>
          <w:szCs w:val="24"/>
          <w:lang w:val="en-GB"/>
        </w:rPr>
        <w:t>system</w:t>
      </w:r>
      <w:r w:rsidR="00C75BDF" w:rsidRPr="00261C59">
        <w:rPr>
          <w:rFonts w:ascii="Calibri" w:hAnsi="Calibri"/>
          <w:sz w:val="24"/>
          <w:szCs w:val="24"/>
          <w:lang w:val="en-GB"/>
        </w:rPr>
        <w:t>s</w:t>
      </w:r>
      <w:r w:rsidR="00C0660B" w:rsidRPr="00261C59">
        <w:rPr>
          <w:rFonts w:ascii="Calibri" w:hAnsi="Calibri"/>
          <w:sz w:val="24"/>
          <w:szCs w:val="24"/>
          <w:lang w:val="en-GB"/>
        </w:rPr>
        <w:t>. This includes measures</w:t>
      </w:r>
      <w:r w:rsidRPr="00261C59">
        <w:rPr>
          <w:rFonts w:ascii="Calibri" w:hAnsi="Calibri"/>
          <w:sz w:val="24"/>
          <w:szCs w:val="24"/>
          <w:lang w:val="en-GB"/>
        </w:rPr>
        <w:t xml:space="preserve"> of whether the health system is working as a whole and together with adjacent care systems to achieve better health outcomes. </w:t>
      </w:r>
      <w:r w:rsidR="0098312F" w:rsidRPr="00261C59">
        <w:rPr>
          <w:rFonts w:ascii="Calibri" w:hAnsi="Calibri"/>
          <w:sz w:val="24"/>
          <w:szCs w:val="24"/>
          <w:lang w:val="en-GB"/>
        </w:rPr>
        <w:t>Performance reporting</w:t>
      </w:r>
      <w:r w:rsidRPr="00261C59">
        <w:rPr>
          <w:rFonts w:ascii="Calibri" w:hAnsi="Calibri"/>
          <w:sz w:val="24"/>
          <w:szCs w:val="24"/>
          <w:lang w:val="en-GB"/>
        </w:rPr>
        <w:t xml:space="preserve"> should galvanise action to improve services and prepare for future challenges.</w:t>
      </w:r>
    </w:p>
    <w:p w14:paraId="16A8C656" w14:textId="77777777" w:rsidR="001B4EAD" w:rsidRPr="00261C59" w:rsidRDefault="001B4EAD" w:rsidP="004728D9">
      <w:pPr>
        <w:widowControl/>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t>The Parties and national bodies will comply with all applicable privacy legislation and principles during implementation of this Addendum, including for data collection, sharing and provision.</w:t>
      </w:r>
    </w:p>
    <w:p w14:paraId="63CDA0AA" w14:textId="77777777" w:rsidR="001B4EAD" w:rsidRPr="00261C59" w:rsidRDefault="001B4EAD"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As part of this commitment all Parties agree to uphold Aboriginal and Torres Strait Islander data governance and sovereignty principles in line with the Framework for Governance of Indigenous Data, increasing public reporting and transparency.</w:t>
      </w:r>
    </w:p>
    <w:p w14:paraId="62998846" w14:textId="15E4D7CF" w:rsidR="001B4EAD" w:rsidRPr="00261C59" w:rsidRDefault="001B4EAD" w:rsidP="004728D9">
      <w:pPr>
        <w:numPr>
          <w:ilvl w:val="0"/>
          <w:numId w:val="52"/>
        </w:numPr>
        <w:spacing w:after="240" w:line="260" w:lineRule="exact"/>
        <w:jc w:val="left"/>
        <w:rPr>
          <w:rFonts w:ascii="Calibri" w:hAnsi="Calibri"/>
          <w:sz w:val="24"/>
          <w:szCs w:val="24"/>
        </w:rPr>
      </w:pPr>
      <w:r w:rsidRPr="00261C59">
        <w:rPr>
          <w:rFonts w:ascii="Calibri" w:hAnsi="Calibri"/>
          <w:sz w:val="24"/>
          <w:szCs w:val="24"/>
        </w:rPr>
        <w:t>Performance monitoring, assessment and reporting arrangements, including enhanced accountability, are outlined in Schedule H.</w:t>
      </w:r>
    </w:p>
    <w:p w14:paraId="3B0E1FA1" w14:textId="77777777" w:rsidR="00322C2C" w:rsidRPr="00261C59" w:rsidRDefault="00322C2C" w:rsidP="00814D08">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59" w:name="_Toc210833576"/>
      <w:bookmarkStart w:id="60" w:name="_Toc214456476"/>
      <w:bookmarkStart w:id="61" w:name="_Toc221087955"/>
      <w:r w:rsidRPr="00261C59">
        <w:rPr>
          <w:rFonts w:ascii="Corbel" w:eastAsia="Times New Roman" w:hAnsi="Corbel" w:cs="Arial"/>
          <w:iCs/>
          <w:color w:val="3D4B67"/>
          <w:sz w:val="28"/>
          <w:szCs w:val="28"/>
        </w:rPr>
        <w:lastRenderedPageBreak/>
        <w:t>Governance</w:t>
      </w:r>
      <w:bookmarkEnd w:id="59"/>
      <w:bookmarkEnd w:id="60"/>
      <w:bookmarkEnd w:id="61"/>
    </w:p>
    <w:p w14:paraId="27E03E3A" w14:textId="3D70AE52" w:rsidR="00322C2C" w:rsidRPr="00261C59" w:rsidRDefault="00322C2C" w:rsidP="004728D9">
      <w:pPr>
        <w:keepNext/>
        <w:numPr>
          <w:ilvl w:val="0"/>
          <w:numId w:val="52"/>
        </w:numPr>
        <w:spacing w:after="240" w:line="260" w:lineRule="exact"/>
        <w:jc w:val="left"/>
        <w:rPr>
          <w:rFonts w:ascii="Calibri" w:hAnsi="Calibri"/>
          <w:sz w:val="24"/>
          <w:szCs w:val="24"/>
        </w:rPr>
      </w:pPr>
      <w:r w:rsidRPr="00261C59">
        <w:rPr>
          <w:rFonts w:ascii="Calibri" w:hAnsi="Calibri"/>
          <w:sz w:val="24"/>
          <w:szCs w:val="24"/>
        </w:rPr>
        <w:t>The Addendum will be implemented through the following mechanisms</w:t>
      </w:r>
      <w:r w:rsidR="001C63B9">
        <w:rPr>
          <w:rFonts w:ascii="Calibri" w:hAnsi="Calibri"/>
          <w:sz w:val="24"/>
          <w:szCs w:val="24"/>
        </w:rPr>
        <w:t>.</w:t>
      </w:r>
      <w:r w:rsidRPr="00261C59">
        <w:rPr>
          <w:rFonts w:ascii="Calibri" w:hAnsi="Calibri"/>
          <w:sz w:val="24"/>
          <w:szCs w:val="24"/>
        </w:rPr>
        <w:t xml:space="preserve"> </w:t>
      </w:r>
    </w:p>
    <w:p w14:paraId="60C00FA2" w14:textId="131C2C01" w:rsidR="00322C2C" w:rsidRPr="00261C59" w:rsidRDefault="00322C2C"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National Cabinet will provide overall leadership and facilitate joint decision making, supported by Health Ministers and other Ministerial Councils as needed.</w:t>
      </w:r>
    </w:p>
    <w:p w14:paraId="4324AE84" w14:textId="3B8232CC" w:rsidR="00322C2C" w:rsidRPr="00261C59" w:rsidRDefault="00AC578D" w:rsidP="004728D9">
      <w:pPr>
        <w:keepNext/>
        <w:widowControl/>
        <w:numPr>
          <w:ilvl w:val="1"/>
          <w:numId w:val="52"/>
        </w:numPr>
        <w:spacing w:after="240" w:line="260" w:lineRule="exact"/>
        <w:jc w:val="left"/>
        <w:rPr>
          <w:rFonts w:ascii="Calibri" w:hAnsi="Calibri"/>
          <w:sz w:val="24"/>
          <w:szCs w:val="24"/>
        </w:rPr>
      </w:pPr>
      <w:r w:rsidRPr="00261C59">
        <w:rPr>
          <w:rFonts w:ascii="Calibri" w:hAnsi="Calibri"/>
          <w:sz w:val="24"/>
          <w:szCs w:val="24"/>
        </w:rPr>
        <w:t xml:space="preserve">The </w:t>
      </w:r>
      <w:r w:rsidR="00322C2C" w:rsidRPr="00261C59">
        <w:rPr>
          <w:rFonts w:ascii="Calibri" w:hAnsi="Calibri"/>
          <w:sz w:val="24"/>
          <w:szCs w:val="24"/>
        </w:rPr>
        <w:t xml:space="preserve">Health Ministers </w:t>
      </w:r>
      <w:r w:rsidRPr="00261C59">
        <w:rPr>
          <w:rFonts w:ascii="Calibri" w:hAnsi="Calibri"/>
          <w:sz w:val="24"/>
          <w:szCs w:val="24"/>
        </w:rPr>
        <w:t xml:space="preserve">Meeting (HMM) </w:t>
      </w:r>
      <w:r w:rsidR="00322C2C" w:rsidRPr="00261C59">
        <w:rPr>
          <w:rFonts w:ascii="Calibri" w:hAnsi="Calibri"/>
          <w:sz w:val="24"/>
          <w:szCs w:val="24"/>
        </w:rPr>
        <w:t>will have delegated authority from National Cabinet to agree and lead implementation of commitments under this Addendum</w:t>
      </w:r>
      <w:r w:rsidR="00EC0334" w:rsidRPr="00261C59">
        <w:rPr>
          <w:rFonts w:ascii="Calibri" w:hAnsi="Calibri"/>
          <w:sz w:val="24"/>
          <w:szCs w:val="24"/>
        </w:rPr>
        <w:t>, including</w:t>
      </w:r>
      <w:r w:rsidR="000F06BF" w:rsidRPr="00261C59">
        <w:rPr>
          <w:rFonts w:ascii="Calibri" w:hAnsi="Calibri"/>
          <w:sz w:val="24"/>
          <w:szCs w:val="24"/>
        </w:rPr>
        <w:t xml:space="preserve"> through</w:t>
      </w:r>
      <w:r w:rsidR="00EC0334" w:rsidRPr="00261C59">
        <w:rPr>
          <w:rFonts w:ascii="Calibri" w:hAnsi="Calibri"/>
          <w:sz w:val="24"/>
          <w:szCs w:val="24"/>
        </w:rPr>
        <w:t>:</w:t>
      </w:r>
    </w:p>
    <w:p w14:paraId="3C3393C4" w14:textId="6C907D6A" w:rsidR="0079191F" w:rsidRPr="00261C59" w:rsidRDefault="0079191F" w:rsidP="004728D9">
      <w:pPr>
        <w:numPr>
          <w:ilvl w:val="2"/>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annual priority setting in line with objectives and performance </w:t>
      </w:r>
      <w:r w:rsidR="002C38EC" w:rsidRPr="00261C59">
        <w:rPr>
          <w:rFonts w:ascii="Calibri" w:hAnsi="Calibri"/>
          <w:sz w:val="24"/>
          <w:szCs w:val="24"/>
          <w:lang w:val="en-GB"/>
        </w:rPr>
        <w:t>assessment</w:t>
      </w:r>
      <w:r w:rsidRPr="00261C59">
        <w:rPr>
          <w:rFonts w:ascii="Calibri" w:hAnsi="Calibri"/>
          <w:sz w:val="24"/>
          <w:szCs w:val="24"/>
          <w:lang w:val="en-GB"/>
        </w:rPr>
        <w:t xml:space="preserve"> framework outcomes</w:t>
      </w:r>
      <w:r w:rsidR="005B0D7E" w:rsidRPr="00261C59">
        <w:rPr>
          <w:rFonts w:ascii="Calibri" w:hAnsi="Calibri"/>
          <w:sz w:val="24"/>
          <w:szCs w:val="24"/>
          <w:lang w:val="en-GB"/>
        </w:rPr>
        <w:t xml:space="preserve">, including </w:t>
      </w:r>
      <w:r w:rsidR="00C304EB" w:rsidRPr="00261C59">
        <w:rPr>
          <w:rFonts w:ascii="Calibri" w:hAnsi="Calibri"/>
          <w:sz w:val="24"/>
          <w:szCs w:val="24"/>
          <w:lang w:val="en-GB"/>
        </w:rPr>
        <w:t xml:space="preserve">to guide the </w:t>
      </w:r>
      <w:r w:rsidR="00147312" w:rsidRPr="00261C59">
        <w:rPr>
          <w:rFonts w:ascii="Calibri" w:hAnsi="Calibri"/>
          <w:sz w:val="24"/>
          <w:szCs w:val="24"/>
          <w:lang w:val="en-GB"/>
        </w:rPr>
        <w:t xml:space="preserve">Service Model Reform </w:t>
      </w:r>
      <w:r w:rsidR="00C57E74" w:rsidRPr="00261C59">
        <w:rPr>
          <w:rFonts w:ascii="Calibri" w:hAnsi="Calibri"/>
          <w:sz w:val="24"/>
          <w:szCs w:val="24"/>
          <w:lang w:val="en-GB"/>
        </w:rPr>
        <w:t>F</w:t>
      </w:r>
      <w:r w:rsidR="00147312" w:rsidRPr="00261C59">
        <w:rPr>
          <w:rFonts w:ascii="Calibri" w:hAnsi="Calibri"/>
          <w:sz w:val="24"/>
          <w:szCs w:val="24"/>
          <w:lang w:val="en-GB"/>
        </w:rPr>
        <w:t>unding stream</w:t>
      </w:r>
    </w:p>
    <w:p w14:paraId="0D90280F" w14:textId="7E282EEF" w:rsidR="00E47B2A" w:rsidRPr="00261C59" w:rsidRDefault="00E47B2A" w:rsidP="004728D9">
      <w:pPr>
        <w:numPr>
          <w:ilvl w:val="2"/>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seeking input from </w:t>
      </w:r>
      <w:r w:rsidR="0079191F" w:rsidRPr="00261C59">
        <w:rPr>
          <w:rFonts w:ascii="Calibri" w:hAnsi="Calibri"/>
          <w:sz w:val="24"/>
          <w:szCs w:val="24"/>
          <w:lang w:val="en-GB"/>
        </w:rPr>
        <w:t>national bodies</w:t>
      </w:r>
      <w:r w:rsidR="00553C4B" w:rsidRPr="00261C59">
        <w:rPr>
          <w:rFonts w:ascii="Calibri" w:hAnsi="Calibri"/>
          <w:sz w:val="24"/>
          <w:szCs w:val="24"/>
          <w:lang w:val="en-GB"/>
        </w:rPr>
        <w:t xml:space="preserve">, other stakeholders and other Ministerial Councils to </w:t>
      </w:r>
      <w:r w:rsidR="00904391" w:rsidRPr="00261C59">
        <w:rPr>
          <w:rFonts w:ascii="Calibri" w:hAnsi="Calibri"/>
          <w:sz w:val="24"/>
          <w:szCs w:val="24"/>
          <w:lang w:val="en-GB"/>
        </w:rPr>
        <w:t>support</w:t>
      </w:r>
      <w:r w:rsidR="00553C4B" w:rsidRPr="00261C59">
        <w:rPr>
          <w:rFonts w:ascii="Calibri" w:hAnsi="Calibri"/>
          <w:sz w:val="24"/>
          <w:szCs w:val="24"/>
          <w:lang w:val="en-GB"/>
        </w:rPr>
        <w:t xml:space="preserve"> </w:t>
      </w:r>
      <w:r w:rsidR="0079191F" w:rsidRPr="00261C59">
        <w:rPr>
          <w:rFonts w:ascii="Calibri" w:hAnsi="Calibri"/>
          <w:sz w:val="24"/>
          <w:szCs w:val="24"/>
          <w:lang w:val="en-GB"/>
        </w:rPr>
        <w:t>priority reforms</w:t>
      </w:r>
    </w:p>
    <w:p w14:paraId="44E60064" w14:textId="669D8886" w:rsidR="0079191F" w:rsidRPr="00261C59" w:rsidRDefault="0079191F" w:rsidP="004728D9">
      <w:pPr>
        <w:numPr>
          <w:ilvl w:val="2"/>
          <w:numId w:val="52"/>
        </w:numPr>
        <w:spacing w:after="240" w:line="260" w:lineRule="exact"/>
        <w:jc w:val="left"/>
        <w:rPr>
          <w:rFonts w:ascii="Calibri" w:hAnsi="Calibri"/>
          <w:sz w:val="24"/>
          <w:szCs w:val="24"/>
        </w:rPr>
      </w:pPr>
      <w:r w:rsidRPr="00261C59">
        <w:rPr>
          <w:rFonts w:ascii="Calibri" w:hAnsi="Calibri"/>
          <w:sz w:val="24"/>
          <w:szCs w:val="24"/>
        </w:rPr>
        <w:t xml:space="preserve">regular strategic dialogue on progress of priorities and reforms informed by performance </w:t>
      </w:r>
      <w:r w:rsidR="00D41EC0" w:rsidRPr="00261C59">
        <w:rPr>
          <w:rFonts w:ascii="Calibri" w:hAnsi="Calibri"/>
          <w:sz w:val="24"/>
          <w:szCs w:val="24"/>
        </w:rPr>
        <w:t>dashboards</w:t>
      </w:r>
    </w:p>
    <w:p w14:paraId="46A9C8D4" w14:textId="448B66B4" w:rsidR="0079191F" w:rsidRPr="00261C59" w:rsidRDefault="0079191F" w:rsidP="004728D9">
      <w:pPr>
        <w:numPr>
          <w:ilvl w:val="2"/>
          <w:numId w:val="52"/>
        </w:numPr>
        <w:spacing w:after="240" w:line="260" w:lineRule="exact"/>
        <w:jc w:val="left"/>
        <w:rPr>
          <w:rFonts w:ascii="Calibri" w:hAnsi="Calibri"/>
          <w:sz w:val="24"/>
          <w:szCs w:val="24"/>
        </w:rPr>
      </w:pPr>
      <w:r w:rsidRPr="00261C59">
        <w:rPr>
          <w:rFonts w:ascii="Calibri" w:hAnsi="Calibri"/>
          <w:sz w:val="24"/>
          <w:szCs w:val="24"/>
        </w:rPr>
        <w:t>use of separate and joint levers to address priority strategic issues or solve specific problems</w:t>
      </w:r>
    </w:p>
    <w:p w14:paraId="5FC0CEA5" w14:textId="6274F370" w:rsidR="00C97BC8" w:rsidRPr="00261C59" w:rsidRDefault="00AA0EF9" w:rsidP="004728D9">
      <w:pPr>
        <w:numPr>
          <w:ilvl w:val="2"/>
          <w:numId w:val="52"/>
        </w:numPr>
        <w:spacing w:after="240" w:line="260" w:lineRule="exact"/>
        <w:jc w:val="left"/>
        <w:rPr>
          <w:rFonts w:ascii="Calibri" w:hAnsi="Calibri"/>
          <w:sz w:val="24"/>
          <w:szCs w:val="24"/>
        </w:rPr>
      </w:pPr>
      <w:r w:rsidRPr="00261C59">
        <w:rPr>
          <w:rFonts w:ascii="Calibri" w:hAnsi="Calibri"/>
          <w:sz w:val="24"/>
          <w:szCs w:val="24"/>
        </w:rPr>
        <w:t>a</w:t>
      </w:r>
      <w:r w:rsidR="00C97BC8" w:rsidRPr="00261C59">
        <w:rPr>
          <w:rFonts w:ascii="Calibri" w:hAnsi="Calibri"/>
          <w:sz w:val="24"/>
          <w:szCs w:val="24"/>
        </w:rPr>
        <w:t>gr</w:t>
      </w:r>
      <w:r w:rsidR="00D73E98" w:rsidRPr="00261C59">
        <w:rPr>
          <w:rFonts w:ascii="Calibri" w:hAnsi="Calibri"/>
          <w:sz w:val="24"/>
          <w:szCs w:val="24"/>
        </w:rPr>
        <w:t xml:space="preserve">eeing </w:t>
      </w:r>
      <w:r w:rsidR="00F912BD" w:rsidRPr="00261C59">
        <w:rPr>
          <w:rFonts w:ascii="Calibri" w:hAnsi="Calibri"/>
          <w:sz w:val="24"/>
          <w:szCs w:val="24"/>
        </w:rPr>
        <w:t xml:space="preserve">amended or new schedules to this Addendum as per clauses </w:t>
      </w:r>
      <w:r w:rsidR="0027436D" w:rsidRPr="00261C59">
        <w:rPr>
          <w:rFonts w:ascii="Calibri" w:hAnsi="Calibri"/>
          <w:sz w:val="24"/>
          <w:szCs w:val="24"/>
        </w:rPr>
        <w:t>4</w:t>
      </w:r>
      <w:r w:rsidR="00962E34" w:rsidRPr="00261C59">
        <w:rPr>
          <w:rFonts w:ascii="Calibri" w:hAnsi="Calibri"/>
          <w:sz w:val="24"/>
          <w:szCs w:val="24"/>
        </w:rPr>
        <w:t>5</w:t>
      </w:r>
      <w:r w:rsidR="003A3FBE" w:rsidRPr="00261C59">
        <w:rPr>
          <w:rFonts w:ascii="Calibri" w:hAnsi="Calibri"/>
          <w:sz w:val="24"/>
          <w:szCs w:val="24"/>
        </w:rPr>
        <w:t xml:space="preserve"> </w:t>
      </w:r>
      <w:r w:rsidR="00F66CB5" w:rsidRPr="00261C59">
        <w:rPr>
          <w:rFonts w:ascii="Calibri" w:hAnsi="Calibri"/>
          <w:sz w:val="24"/>
          <w:szCs w:val="24"/>
        </w:rPr>
        <w:br/>
      </w:r>
      <w:r w:rsidR="003A3FBE" w:rsidRPr="00261C59">
        <w:rPr>
          <w:rFonts w:ascii="Calibri" w:hAnsi="Calibri"/>
          <w:sz w:val="24"/>
          <w:szCs w:val="24"/>
        </w:rPr>
        <w:t xml:space="preserve">and </w:t>
      </w:r>
      <w:r w:rsidR="0027436D" w:rsidRPr="00261C59">
        <w:rPr>
          <w:rFonts w:ascii="Calibri" w:hAnsi="Calibri"/>
          <w:sz w:val="24"/>
          <w:szCs w:val="24"/>
        </w:rPr>
        <w:t>4</w:t>
      </w:r>
      <w:r w:rsidR="00962E34" w:rsidRPr="00261C59">
        <w:rPr>
          <w:rFonts w:ascii="Calibri" w:hAnsi="Calibri"/>
          <w:sz w:val="24"/>
          <w:szCs w:val="24"/>
        </w:rPr>
        <w:t>6</w:t>
      </w:r>
      <w:r w:rsidR="00D25666">
        <w:rPr>
          <w:rFonts w:ascii="Calibri" w:hAnsi="Calibri"/>
          <w:sz w:val="24"/>
          <w:szCs w:val="24"/>
        </w:rPr>
        <w:t>.</w:t>
      </w:r>
    </w:p>
    <w:p w14:paraId="0B74F216" w14:textId="0B97E9A0" w:rsidR="00637946" w:rsidRPr="00261C59" w:rsidRDefault="00732210"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 xml:space="preserve">The </w:t>
      </w:r>
      <w:r w:rsidR="00322C2C" w:rsidRPr="00261C59">
        <w:rPr>
          <w:rFonts w:ascii="Calibri" w:hAnsi="Calibri"/>
          <w:sz w:val="24"/>
          <w:szCs w:val="24"/>
        </w:rPr>
        <w:t>Health Chief Executives</w:t>
      </w:r>
      <w:r w:rsidR="005F2A1A" w:rsidRPr="00261C59">
        <w:rPr>
          <w:rFonts w:ascii="Calibri" w:hAnsi="Calibri"/>
          <w:sz w:val="24"/>
          <w:szCs w:val="24"/>
        </w:rPr>
        <w:t xml:space="preserve"> Forum (HCEF)</w:t>
      </w:r>
      <w:r w:rsidR="00322C2C" w:rsidRPr="00261C59">
        <w:rPr>
          <w:rFonts w:ascii="Calibri" w:hAnsi="Calibri"/>
          <w:sz w:val="24"/>
          <w:szCs w:val="24"/>
        </w:rPr>
        <w:t xml:space="preserve"> will provide strategic advice and support to Health Ministers</w:t>
      </w:r>
      <w:r w:rsidR="00637946" w:rsidRPr="00261C59">
        <w:rPr>
          <w:rFonts w:ascii="Calibri" w:hAnsi="Calibri"/>
          <w:sz w:val="24"/>
          <w:szCs w:val="24"/>
        </w:rPr>
        <w:t>, including through:</w:t>
      </w:r>
    </w:p>
    <w:p w14:paraId="63CACB3A" w14:textId="51F907B4" w:rsidR="00637946" w:rsidRPr="00261C59" w:rsidRDefault="00637946" w:rsidP="004728D9">
      <w:pPr>
        <w:numPr>
          <w:ilvl w:val="2"/>
          <w:numId w:val="52"/>
        </w:numPr>
        <w:spacing w:after="240" w:line="260" w:lineRule="exact"/>
        <w:jc w:val="left"/>
        <w:rPr>
          <w:rFonts w:ascii="Calibri" w:hAnsi="Calibri"/>
          <w:sz w:val="24"/>
          <w:szCs w:val="24"/>
          <w:lang w:val="en-GB"/>
        </w:rPr>
      </w:pPr>
      <w:r w:rsidRPr="00261C59">
        <w:rPr>
          <w:rFonts w:ascii="Calibri" w:hAnsi="Calibri"/>
          <w:sz w:val="24"/>
          <w:szCs w:val="24"/>
          <w:lang w:val="en-GB"/>
        </w:rPr>
        <w:t>oversight of the Addendum work program, responding to emerging issues in a timely manner, and collaboratively developing solutions to improve health outcomes</w:t>
      </w:r>
    </w:p>
    <w:p w14:paraId="75E36914" w14:textId="59A97143" w:rsidR="00637946" w:rsidRPr="00261C59" w:rsidRDefault="005F2A1A" w:rsidP="004728D9">
      <w:pPr>
        <w:numPr>
          <w:ilvl w:val="2"/>
          <w:numId w:val="52"/>
        </w:numPr>
        <w:spacing w:after="240" w:line="260" w:lineRule="exact"/>
        <w:jc w:val="left"/>
        <w:rPr>
          <w:rFonts w:ascii="Calibri" w:hAnsi="Calibri"/>
          <w:sz w:val="24"/>
          <w:szCs w:val="24"/>
          <w:lang w:val="en-GB"/>
        </w:rPr>
      </w:pPr>
      <w:r w:rsidRPr="00261C59">
        <w:rPr>
          <w:rFonts w:ascii="Calibri" w:hAnsi="Calibri"/>
          <w:sz w:val="24"/>
          <w:szCs w:val="24"/>
          <w:lang w:val="en-GB"/>
        </w:rPr>
        <w:t>p</w:t>
      </w:r>
      <w:r w:rsidR="00637946" w:rsidRPr="00261C59">
        <w:rPr>
          <w:rFonts w:ascii="Calibri" w:hAnsi="Calibri"/>
          <w:sz w:val="24"/>
          <w:szCs w:val="24"/>
          <w:lang w:val="en-GB"/>
        </w:rPr>
        <w:t xml:space="preserve">roviding authority for decisions on resourcing and policy direction to achieve the </w:t>
      </w:r>
      <w:r w:rsidRPr="00261C59">
        <w:rPr>
          <w:rFonts w:ascii="Calibri" w:hAnsi="Calibri"/>
          <w:sz w:val="24"/>
          <w:szCs w:val="24"/>
          <w:lang w:val="en-GB"/>
        </w:rPr>
        <w:t xml:space="preserve">Addendum’s </w:t>
      </w:r>
      <w:r w:rsidR="00637946" w:rsidRPr="00261C59">
        <w:rPr>
          <w:rFonts w:ascii="Calibri" w:hAnsi="Calibri"/>
          <w:sz w:val="24"/>
          <w:szCs w:val="24"/>
          <w:lang w:val="en-GB"/>
        </w:rPr>
        <w:t>objectives and HMM priorities</w:t>
      </w:r>
    </w:p>
    <w:p w14:paraId="30430B85" w14:textId="019DB237" w:rsidR="00637946" w:rsidRPr="00261C59" w:rsidRDefault="005F2A1A" w:rsidP="004728D9">
      <w:pPr>
        <w:numPr>
          <w:ilvl w:val="2"/>
          <w:numId w:val="52"/>
        </w:numPr>
        <w:spacing w:after="240" w:line="260" w:lineRule="exact"/>
        <w:jc w:val="left"/>
        <w:rPr>
          <w:rFonts w:ascii="Calibri" w:hAnsi="Calibri"/>
          <w:sz w:val="24"/>
          <w:szCs w:val="24"/>
        </w:rPr>
      </w:pPr>
      <w:r w:rsidRPr="00261C59">
        <w:rPr>
          <w:rFonts w:ascii="Calibri" w:hAnsi="Calibri"/>
          <w:sz w:val="24"/>
          <w:szCs w:val="24"/>
        </w:rPr>
        <w:t>r</w:t>
      </w:r>
      <w:r w:rsidR="00637946" w:rsidRPr="00261C59">
        <w:rPr>
          <w:rFonts w:ascii="Calibri" w:hAnsi="Calibri"/>
          <w:sz w:val="24"/>
          <w:szCs w:val="24"/>
        </w:rPr>
        <w:t>esolving contested policy issues</w:t>
      </w:r>
      <w:r w:rsidR="00D25666">
        <w:rPr>
          <w:rFonts w:ascii="Calibri" w:hAnsi="Calibri"/>
          <w:sz w:val="24"/>
          <w:szCs w:val="24"/>
        </w:rPr>
        <w:t>.</w:t>
      </w:r>
    </w:p>
    <w:p w14:paraId="574B878A" w14:textId="19CAA32D" w:rsidR="0067045D" w:rsidRPr="00261C59" w:rsidRDefault="0067045D"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 xml:space="preserve">A time-limited </w:t>
      </w:r>
      <w:r w:rsidR="00CC4A43" w:rsidRPr="00261C59">
        <w:rPr>
          <w:rFonts w:ascii="Calibri" w:hAnsi="Calibri"/>
          <w:sz w:val="24"/>
          <w:szCs w:val="24"/>
        </w:rPr>
        <w:t>System Reform Deputies</w:t>
      </w:r>
      <w:r w:rsidR="009F3CF1" w:rsidRPr="00261C59">
        <w:rPr>
          <w:rFonts w:ascii="Calibri" w:hAnsi="Calibri"/>
          <w:sz w:val="24"/>
          <w:szCs w:val="24"/>
        </w:rPr>
        <w:t xml:space="preserve"> </w:t>
      </w:r>
      <w:r w:rsidR="00DA200F" w:rsidRPr="00261C59">
        <w:rPr>
          <w:rFonts w:ascii="Calibri" w:hAnsi="Calibri"/>
          <w:sz w:val="24"/>
          <w:szCs w:val="24"/>
        </w:rPr>
        <w:t>G</w:t>
      </w:r>
      <w:r w:rsidRPr="00261C59">
        <w:rPr>
          <w:rFonts w:ascii="Calibri" w:hAnsi="Calibri"/>
          <w:sz w:val="24"/>
          <w:szCs w:val="24"/>
        </w:rPr>
        <w:t>roup for the period 202</w:t>
      </w:r>
      <w:r w:rsidR="00B81AFF" w:rsidRPr="00261C59">
        <w:rPr>
          <w:rFonts w:ascii="Calibri" w:hAnsi="Calibri"/>
          <w:sz w:val="24"/>
          <w:szCs w:val="24"/>
        </w:rPr>
        <w:t>6</w:t>
      </w:r>
      <w:r w:rsidRPr="00261C59">
        <w:rPr>
          <w:rFonts w:ascii="Calibri" w:hAnsi="Calibri"/>
          <w:sz w:val="24"/>
          <w:szCs w:val="24"/>
        </w:rPr>
        <w:t>-203</w:t>
      </w:r>
      <w:r w:rsidR="00B81AFF" w:rsidRPr="00261C59">
        <w:rPr>
          <w:rFonts w:ascii="Calibri" w:hAnsi="Calibri"/>
          <w:sz w:val="24"/>
          <w:szCs w:val="24"/>
        </w:rPr>
        <w:t>1</w:t>
      </w:r>
      <w:r w:rsidRPr="00261C59">
        <w:rPr>
          <w:rFonts w:ascii="Calibri" w:hAnsi="Calibri"/>
          <w:sz w:val="24"/>
          <w:szCs w:val="24"/>
        </w:rPr>
        <w:t xml:space="preserve"> will lead collaboration across governments to implement the </w:t>
      </w:r>
      <w:r w:rsidR="009F3CF1" w:rsidRPr="00261C59">
        <w:rPr>
          <w:rFonts w:ascii="Calibri" w:hAnsi="Calibri"/>
          <w:sz w:val="24"/>
          <w:szCs w:val="24"/>
        </w:rPr>
        <w:t>Addendum</w:t>
      </w:r>
      <w:r w:rsidR="00F22F8A" w:rsidRPr="00261C59">
        <w:rPr>
          <w:rFonts w:ascii="Calibri" w:hAnsi="Calibri"/>
          <w:sz w:val="24"/>
          <w:szCs w:val="24"/>
        </w:rPr>
        <w:t xml:space="preserve"> and will be supported </w:t>
      </w:r>
      <w:r w:rsidRPr="00261C59">
        <w:rPr>
          <w:rFonts w:ascii="Calibri" w:hAnsi="Calibri"/>
          <w:sz w:val="24"/>
          <w:szCs w:val="24"/>
        </w:rPr>
        <w:t>by</w:t>
      </w:r>
      <w:r w:rsidR="00F22F8A" w:rsidRPr="00261C59">
        <w:rPr>
          <w:rFonts w:ascii="Calibri" w:hAnsi="Calibri"/>
          <w:sz w:val="24"/>
          <w:szCs w:val="24"/>
        </w:rPr>
        <w:t xml:space="preserve"> </w:t>
      </w:r>
      <w:r w:rsidR="004C4BDF" w:rsidRPr="00261C59">
        <w:rPr>
          <w:rFonts w:ascii="Calibri" w:hAnsi="Calibri"/>
          <w:sz w:val="24"/>
          <w:szCs w:val="24"/>
        </w:rPr>
        <w:t xml:space="preserve">a limited number of </w:t>
      </w:r>
      <w:r w:rsidR="00A167FB" w:rsidRPr="00261C59">
        <w:rPr>
          <w:rFonts w:ascii="Calibri" w:hAnsi="Calibri"/>
          <w:sz w:val="24"/>
          <w:szCs w:val="24"/>
        </w:rPr>
        <w:t xml:space="preserve">existing and new </w:t>
      </w:r>
      <w:r w:rsidR="00A66F61" w:rsidRPr="00261C59">
        <w:rPr>
          <w:rFonts w:ascii="Calibri" w:hAnsi="Calibri"/>
          <w:sz w:val="24"/>
          <w:szCs w:val="24"/>
        </w:rPr>
        <w:t>HCEF-established Collaborations and Taskforces</w:t>
      </w:r>
      <w:r w:rsidR="00A167FB" w:rsidRPr="00261C59">
        <w:rPr>
          <w:rFonts w:ascii="Calibri" w:hAnsi="Calibri"/>
          <w:sz w:val="24"/>
          <w:szCs w:val="24"/>
        </w:rPr>
        <w:t xml:space="preserve"> specified in relevant Schedules</w:t>
      </w:r>
      <w:r w:rsidR="00D25666">
        <w:rPr>
          <w:rFonts w:ascii="Calibri" w:hAnsi="Calibri"/>
          <w:sz w:val="24"/>
          <w:szCs w:val="24"/>
        </w:rPr>
        <w:t>.</w:t>
      </w:r>
    </w:p>
    <w:p w14:paraId="35899FD5" w14:textId="0DE2BBDC" w:rsidR="00B767D7" w:rsidRPr="00261C59" w:rsidRDefault="00353A1C" w:rsidP="004728D9">
      <w:pPr>
        <w:numPr>
          <w:ilvl w:val="2"/>
          <w:numId w:val="52"/>
        </w:numPr>
        <w:spacing w:after="240" w:line="260" w:lineRule="exact"/>
        <w:jc w:val="left"/>
        <w:rPr>
          <w:rFonts w:ascii="Calibri" w:hAnsi="Calibri"/>
          <w:sz w:val="24"/>
          <w:szCs w:val="24"/>
        </w:rPr>
      </w:pPr>
      <w:r w:rsidRPr="00261C59">
        <w:rPr>
          <w:rFonts w:ascii="Calibri" w:eastAsia="Calibri" w:hAnsi="Calibri" w:cs="Calibri"/>
          <w:sz w:val="24"/>
          <w:szCs w:val="24"/>
        </w:rPr>
        <w:t xml:space="preserve">The </w:t>
      </w:r>
      <w:r w:rsidR="00827FED" w:rsidRPr="00261C59">
        <w:rPr>
          <w:rFonts w:ascii="Calibri" w:eastAsia="Calibri" w:hAnsi="Calibri" w:cs="Calibri"/>
          <w:sz w:val="24"/>
          <w:szCs w:val="24"/>
        </w:rPr>
        <w:t>System Reform Deputies</w:t>
      </w:r>
      <w:r w:rsidRPr="00261C59">
        <w:rPr>
          <w:rFonts w:ascii="Calibri" w:eastAsia="Calibri" w:hAnsi="Calibri" w:cs="Calibri"/>
          <w:sz w:val="24"/>
          <w:szCs w:val="24"/>
        </w:rPr>
        <w:t xml:space="preserve"> </w:t>
      </w:r>
      <w:r w:rsidR="50B8AC87" w:rsidRPr="00261C59">
        <w:rPr>
          <w:rFonts w:ascii="Calibri" w:eastAsia="Calibri" w:hAnsi="Calibri" w:cs="Calibri"/>
          <w:sz w:val="24"/>
          <w:szCs w:val="24"/>
        </w:rPr>
        <w:t xml:space="preserve">Group </w:t>
      </w:r>
      <w:r w:rsidRPr="00261C59">
        <w:rPr>
          <w:rFonts w:ascii="Calibri" w:eastAsia="Calibri" w:hAnsi="Calibri" w:cs="Calibri"/>
          <w:sz w:val="24"/>
          <w:szCs w:val="24"/>
        </w:rPr>
        <w:t>will</w:t>
      </w:r>
      <w:r w:rsidR="00603A06" w:rsidRPr="00261C59">
        <w:rPr>
          <w:rFonts w:ascii="Calibri" w:eastAsia="Calibri" w:hAnsi="Calibri" w:cs="Calibri"/>
          <w:sz w:val="24"/>
          <w:szCs w:val="24"/>
        </w:rPr>
        <w:t xml:space="preserve"> include </w:t>
      </w:r>
      <w:r w:rsidR="50B8AC87" w:rsidRPr="00261C59">
        <w:rPr>
          <w:rFonts w:ascii="Calibri" w:eastAsia="Calibri" w:hAnsi="Calibri" w:cs="Calibri"/>
          <w:sz w:val="24"/>
          <w:szCs w:val="24"/>
        </w:rPr>
        <w:t>a non-government</w:t>
      </w:r>
      <w:r w:rsidR="00603A06" w:rsidRPr="00261C59">
        <w:rPr>
          <w:rFonts w:ascii="Calibri" w:eastAsia="Calibri" w:hAnsi="Calibri" w:cs="Calibri"/>
          <w:sz w:val="24"/>
          <w:szCs w:val="24"/>
        </w:rPr>
        <w:t xml:space="preserve"> Aboriginal and</w:t>
      </w:r>
      <w:r w:rsidR="50B8AC87" w:rsidRPr="00261C59">
        <w:rPr>
          <w:rFonts w:ascii="Calibri" w:eastAsia="Calibri" w:hAnsi="Calibri" w:cs="Calibri"/>
          <w:sz w:val="24"/>
          <w:szCs w:val="24"/>
        </w:rPr>
        <w:t>/or</w:t>
      </w:r>
      <w:r w:rsidR="00603A06" w:rsidRPr="00261C59">
        <w:rPr>
          <w:rFonts w:ascii="Calibri" w:eastAsia="Calibri" w:hAnsi="Calibri" w:cs="Calibri"/>
          <w:sz w:val="24"/>
          <w:szCs w:val="24"/>
        </w:rPr>
        <w:t xml:space="preserve"> Torres Strait Islander </w:t>
      </w:r>
      <w:r w:rsidR="50B8AC87" w:rsidRPr="00261C59">
        <w:rPr>
          <w:rFonts w:ascii="Calibri" w:eastAsia="Calibri" w:hAnsi="Calibri" w:cs="Calibri"/>
          <w:sz w:val="24"/>
          <w:szCs w:val="24"/>
        </w:rPr>
        <w:t>representative</w:t>
      </w:r>
      <w:r w:rsidR="00603A06" w:rsidRPr="00261C59">
        <w:rPr>
          <w:rFonts w:ascii="Calibri" w:eastAsia="Calibri" w:hAnsi="Calibri" w:cs="Calibri"/>
          <w:sz w:val="24"/>
          <w:szCs w:val="24"/>
        </w:rPr>
        <w:t xml:space="preserve"> as a standing member with </w:t>
      </w:r>
      <w:r w:rsidR="50B8AC87" w:rsidRPr="00261C59">
        <w:rPr>
          <w:rFonts w:ascii="Calibri" w:eastAsia="Calibri" w:hAnsi="Calibri" w:cs="Calibri"/>
          <w:sz w:val="24"/>
          <w:szCs w:val="24"/>
        </w:rPr>
        <w:t>decisio</w:t>
      </w:r>
      <w:r w:rsidR="00691333" w:rsidRPr="00261C59">
        <w:rPr>
          <w:rFonts w:ascii="Calibri" w:eastAsia="Calibri" w:hAnsi="Calibri" w:cs="Calibri"/>
          <w:sz w:val="24"/>
          <w:szCs w:val="24"/>
        </w:rPr>
        <w:t>n</w:t>
      </w:r>
      <w:r w:rsidR="50B8AC87" w:rsidRPr="00261C59">
        <w:rPr>
          <w:rFonts w:ascii="Calibri" w:eastAsia="Calibri" w:hAnsi="Calibri" w:cs="Calibri"/>
          <w:sz w:val="24"/>
          <w:szCs w:val="24"/>
        </w:rPr>
        <w:t>-making authority equal to other members</w:t>
      </w:r>
      <w:r w:rsidR="003C0550" w:rsidRPr="00261C59">
        <w:rPr>
          <w:rFonts w:ascii="Calibri" w:eastAsiaTheme="majorEastAsia" w:hAnsi="Calibri"/>
          <w:sz w:val="24"/>
          <w:szCs w:val="24"/>
        </w:rPr>
        <w:t xml:space="preserve"> (</w:t>
      </w:r>
      <w:r w:rsidR="003C0550" w:rsidRPr="00261C59">
        <w:rPr>
          <w:rFonts w:ascii="Calibri" w:hAnsi="Calibri"/>
          <w:sz w:val="24"/>
          <w:szCs w:val="24"/>
        </w:rPr>
        <w:t>detailed in Schedule</w:t>
      </w:r>
      <w:r w:rsidR="00B767D7" w:rsidRPr="00261C59">
        <w:rPr>
          <w:rFonts w:ascii="Calibri" w:hAnsi="Calibri"/>
          <w:sz w:val="24"/>
          <w:szCs w:val="24"/>
        </w:rPr>
        <w:t> </w:t>
      </w:r>
      <w:r w:rsidR="003C0550" w:rsidRPr="00261C59">
        <w:rPr>
          <w:rFonts w:ascii="Calibri" w:hAnsi="Calibri"/>
          <w:sz w:val="24"/>
          <w:szCs w:val="24"/>
        </w:rPr>
        <w:t>B)</w:t>
      </w:r>
      <w:r w:rsidR="00D25666">
        <w:rPr>
          <w:rFonts w:ascii="Calibri" w:hAnsi="Calibri"/>
          <w:sz w:val="24"/>
          <w:szCs w:val="24"/>
        </w:rPr>
        <w:t>.</w:t>
      </w:r>
    </w:p>
    <w:p w14:paraId="57FAB278" w14:textId="3E012ACB" w:rsidR="00272266" w:rsidRPr="00261C59" w:rsidRDefault="00B951BA" w:rsidP="00830547">
      <w:pPr>
        <w:numPr>
          <w:ilvl w:val="2"/>
          <w:numId w:val="52"/>
        </w:numPr>
        <w:spacing w:after="240" w:line="260" w:lineRule="exact"/>
        <w:jc w:val="left"/>
        <w:rPr>
          <w:rFonts w:ascii="Calibri" w:hAnsi="Calibri"/>
          <w:sz w:val="24"/>
          <w:szCs w:val="24"/>
        </w:rPr>
      </w:pPr>
      <w:r w:rsidRPr="00261C59">
        <w:rPr>
          <w:rFonts w:ascii="Calibri" w:hAnsi="Calibri"/>
          <w:sz w:val="24"/>
          <w:szCs w:val="24"/>
        </w:rPr>
        <w:t>Specific Collaborations and Taskforces referenced in Schedules refer to those in operation at the time of signing and may change during this Addendum.</w:t>
      </w:r>
    </w:p>
    <w:p w14:paraId="58DCE3F8" w14:textId="5AD6AB10" w:rsidR="00322C2C" w:rsidRPr="00261C59" w:rsidRDefault="00322C2C" w:rsidP="00814D08">
      <w:pPr>
        <w:pStyle w:val="Heading2"/>
        <w:keepLines w:val="0"/>
        <w:widowControl/>
        <w:adjustRightInd/>
        <w:spacing w:before="180" w:after="120"/>
        <w:jc w:val="left"/>
        <w:textAlignment w:val="auto"/>
        <w:rPr>
          <w:rFonts w:ascii="Corbel" w:eastAsia="Times New Roman" w:hAnsi="Corbel" w:cs="Arial"/>
          <w:color w:val="3D4B67"/>
          <w:sz w:val="28"/>
          <w:szCs w:val="28"/>
        </w:rPr>
      </w:pPr>
      <w:bookmarkStart w:id="62" w:name="_Toc210833577"/>
      <w:bookmarkStart w:id="63" w:name="_Toc214456477"/>
      <w:bookmarkStart w:id="64" w:name="_Toc221087956"/>
      <w:r w:rsidRPr="00261C59">
        <w:rPr>
          <w:rFonts w:ascii="Corbel" w:eastAsia="Times New Roman" w:hAnsi="Corbel" w:cs="Arial"/>
          <w:color w:val="3D4B67"/>
          <w:sz w:val="28"/>
          <w:szCs w:val="28"/>
        </w:rPr>
        <w:lastRenderedPageBreak/>
        <w:t>General provisions</w:t>
      </w:r>
      <w:bookmarkEnd w:id="58"/>
      <w:bookmarkEnd w:id="62"/>
      <w:bookmarkEnd w:id="63"/>
      <w:bookmarkEnd w:id="64"/>
    </w:p>
    <w:p w14:paraId="1A238DA3" w14:textId="77777777" w:rsidR="008D6F72" w:rsidRPr="00261C59" w:rsidRDefault="008D6F72" w:rsidP="004728D9">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65" w:name="_Toc165886215"/>
      <w:bookmarkStart w:id="66" w:name="_Toc210833578"/>
      <w:bookmarkStart w:id="67" w:name="_Toc214456478"/>
      <w:bookmarkStart w:id="68" w:name="_Toc221087957"/>
      <w:bookmarkStart w:id="69" w:name="_Toc165886217"/>
      <w:r w:rsidRPr="00261C59">
        <w:rPr>
          <w:rFonts w:ascii="Corbel" w:eastAsia="Times New Roman" w:hAnsi="Corbel"/>
          <w:b w:val="0"/>
          <w:bCs w:val="0"/>
          <w:iCs w:val="0"/>
          <w:color w:val="3D4B67"/>
          <w:sz w:val="28"/>
          <w:szCs w:val="48"/>
          <w:lang w:eastAsia="ja-JP"/>
        </w:rPr>
        <w:t>Alignment with other agreements</w:t>
      </w:r>
      <w:bookmarkEnd w:id="65"/>
      <w:bookmarkEnd w:id="66"/>
      <w:bookmarkEnd w:id="67"/>
      <w:bookmarkEnd w:id="68"/>
    </w:p>
    <w:p w14:paraId="60FD54AB" w14:textId="77777777" w:rsidR="008D6F72" w:rsidRPr="00261C59" w:rsidRDefault="15F07167" w:rsidP="004728D9">
      <w:pPr>
        <w:keepNext/>
        <w:numPr>
          <w:ilvl w:val="0"/>
          <w:numId w:val="52"/>
        </w:numPr>
        <w:spacing w:after="240" w:line="260" w:lineRule="exact"/>
        <w:jc w:val="left"/>
        <w:rPr>
          <w:rFonts w:ascii="Calibri" w:hAnsi="Calibri"/>
          <w:sz w:val="24"/>
          <w:szCs w:val="24"/>
        </w:rPr>
      </w:pPr>
      <w:r w:rsidRPr="00261C59">
        <w:rPr>
          <w:rFonts w:ascii="Calibri" w:hAnsi="Calibri"/>
          <w:sz w:val="24"/>
          <w:szCs w:val="24"/>
        </w:rPr>
        <w:t>This Addendum:</w:t>
      </w:r>
      <w:r w:rsidR="008D6F72" w:rsidRPr="00261C59">
        <w:tab/>
      </w:r>
    </w:p>
    <w:p w14:paraId="71A615A2" w14:textId="256015D0" w:rsidR="008D6F72" w:rsidRPr="00261C59" w:rsidRDefault="008D6F72"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amends the National Health Reform Agreement (NHRA) for the period 1 July 202</w:t>
      </w:r>
      <w:r w:rsidR="00B81AFF" w:rsidRPr="00261C59">
        <w:rPr>
          <w:rFonts w:ascii="Calibri" w:hAnsi="Calibri"/>
          <w:sz w:val="24"/>
          <w:szCs w:val="24"/>
        </w:rPr>
        <w:t>6</w:t>
      </w:r>
      <w:r w:rsidRPr="00261C59">
        <w:rPr>
          <w:rFonts w:ascii="Calibri" w:hAnsi="Calibri"/>
          <w:sz w:val="24"/>
          <w:szCs w:val="24"/>
        </w:rPr>
        <w:t xml:space="preserve"> to 30 June 203</w:t>
      </w:r>
      <w:r w:rsidR="00B81AFF" w:rsidRPr="00261C59">
        <w:rPr>
          <w:rFonts w:ascii="Calibri" w:hAnsi="Calibri"/>
          <w:sz w:val="24"/>
          <w:szCs w:val="24"/>
        </w:rPr>
        <w:t>1</w:t>
      </w:r>
    </w:p>
    <w:p w14:paraId="0B98EF2D" w14:textId="72318907" w:rsidR="008D6F72" w:rsidRPr="00261C59" w:rsidRDefault="008D6F72"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builds on and re-affirms the high-level service delivery principles, objectives, roles and responsibilities in the National Healthcare Agreement 2012 for the period of this Addendum</w:t>
      </w:r>
    </w:p>
    <w:p w14:paraId="051C46A0" w14:textId="77777777" w:rsidR="008D6F72" w:rsidRPr="00261C59" w:rsidRDefault="008D6F72"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is subject to the Intergovernmental Agreement on Federal Financial Relations overseen by the Council on Federal Financial Relations and should be monitored and read in conjunction with that Agreement and subsidiary schedules.</w:t>
      </w:r>
    </w:p>
    <w:p w14:paraId="28CE2139" w14:textId="127C7835" w:rsidR="008D6F72" w:rsidRPr="00261C59" w:rsidRDefault="008D6F72" w:rsidP="004728D9">
      <w:pPr>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t>The Parties recognise the Addendum does not function in isolation but sits within a wider set of national and bilateral Agreements</w:t>
      </w:r>
      <w:r w:rsidR="00D31717" w:rsidRPr="00261C59">
        <w:rPr>
          <w:rFonts w:ascii="Calibri" w:hAnsi="Calibri"/>
          <w:sz w:val="24"/>
          <w:szCs w:val="24"/>
          <w:lang w:val="en-GB"/>
        </w:rPr>
        <w:t>, including the National Mental Health and Suicide Prevention Agreement</w:t>
      </w:r>
      <w:r w:rsidR="024B70D6" w:rsidRPr="00261C59">
        <w:rPr>
          <w:rFonts w:ascii="Calibri" w:hAnsi="Calibri"/>
          <w:sz w:val="24"/>
          <w:szCs w:val="24"/>
          <w:lang w:val="en-GB"/>
        </w:rPr>
        <w:t>,</w:t>
      </w:r>
      <w:r w:rsidRPr="00261C59">
        <w:rPr>
          <w:rFonts w:ascii="Calibri" w:hAnsi="Calibri"/>
          <w:sz w:val="24"/>
          <w:szCs w:val="24"/>
          <w:lang w:val="en-GB"/>
        </w:rPr>
        <w:t xml:space="preserve"> strategies</w:t>
      </w:r>
      <w:r w:rsidR="00EC1B02" w:rsidRPr="00261C59">
        <w:rPr>
          <w:rFonts w:ascii="Calibri" w:hAnsi="Calibri"/>
          <w:sz w:val="24"/>
          <w:szCs w:val="24"/>
          <w:lang w:val="en-GB"/>
        </w:rPr>
        <w:t xml:space="preserve">, </w:t>
      </w:r>
      <w:r w:rsidR="6EF916E7" w:rsidRPr="00261C59">
        <w:rPr>
          <w:rFonts w:ascii="Calibri" w:hAnsi="Calibri"/>
          <w:sz w:val="24"/>
          <w:szCs w:val="24"/>
          <w:lang w:val="en-GB"/>
        </w:rPr>
        <w:t>and legislation</w:t>
      </w:r>
      <w:r w:rsidRPr="00261C59">
        <w:rPr>
          <w:rFonts w:ascii="Calibri" w:hAnsi="Calibri"/>
          <w:sz w:val="24"/>
          <w:szCs w:val="24"/>
          <w:lang w:val="en-GB"/>
        </w:rPr>
        <w:t xml:space="preserve">. The Parties will strive to ensure new and existing Agreements have shared visions, principles and reform goals for the health system where possible and that objectives and actions are mutually reinforcing across Agreements. </w:t>
      </w:r>
    </w:p>
    <w:p w14:paraId="2D2274A4" w14:textId="77777777" w:rsidR="00322C2C" w:rsidRPr="00261C59" w:rsidRDefault="00322C2C" w:rsidP="00814D08">
      <w:pPr>
        <w:pStyle w:val="Heading3"/>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70" w:name="_Toc210833579"/>
      <w:bookmarkStart w:id="71" w:name="_Toc214456479"/>
      <w:bookmarkStart w:id="72" w:name="_Toc221087958"/>
      <w:r w:rsidRPr="00261C59">
        <w:rPr>
          <w:rFonts w:ascii="Corbel" w:eastAsia="Times New Roman" w:hAnsi="Corbel"/>
          <w:b w:val="0"/>
          <w:bCs w:val="0"/>
          <w:iCs w:val="0"/>
          <w:color w:val="3D4B67"/>
          <w:sz w:val="28"/>
          <w:szCs w:val="48"/>
          <w:lang w:eastAsia="ja-JP"/>
        </w:rPr>
        <w:t>Amendment</w:t>
      </w:r>
      <w:bookmarkEnd w:id="69"/>
      <w:bookmarkEnd w:id="70"/>
      <w:bookmarkEnd w:id="71"/>
      <w:bookmarkEnd w:id="72"/>
    </w:p>
    <w:p w14:paraId="1DE17F5D" w14:textId="113FE3D4" w:rsidR="00322C2C" w:rsidRPr="00261C59" w:rsidRDefault="00322C2C" w:rsidP="004728D9">
      <w:pPr>
        <w:numPr>
          <w:ilvl w:val="0"/>
          <w:numId w:val="52"/>
        </w:numPr>
        <w:spacing w:after="240" w:line="260" w:lineRule="exact"/>
        <w:jc w:val="left"/>
        <w:rPr>
          <w:rFonts w:ascii="Calibri" w:hAnsi="Calibri"/>
          <w:sz w:val="24"/>
          <w:szCs w:val="24"/>
        </w:rPr>
      </w:pPr>
      <w:r w:rsidRPr="00261C59">
        <w:rPr>
          <w:rFonts w:ascii="Calibri" w:hAnsi="Calibri"/>
          <w:sz w:val="24"/>
          <w:szCs w:val="24"/>
        </w:rPr>
        <w:t>Subject to clause 4</w:t>
      </w:r>
      <w:r w:rsidR="00011860" w:rsidRPr="00261C59">
        <w:rPr>
          <w:rFonts w:ascii="Calibri" w:hAnsi="Calibri"/>
          <w:sz w:val="24"/>
          <w:szCs w:val="24"/>
        </w:rPr>
        <w:t>6</w:t>
      </w:r>
      <w:r w:rsidRPr="00261C59">
        <w:rPr>
          <w:rFonts w:ascii="Calibri" w:hAnsi="Calibri"/>
          <w:sz w:val="24"/>
          <w:szCs w:val="24"/>
        </w:rPr>
        <w:t>, the NHRA and this Addendum may be amended at any time in writing with the agreement of all Parties and with terms and conditions as agreed by all Parties.</w:t>
      </w:r>
    </w:p>
    <w:p w14:paraId="5C75FC1F" w14:textId="6BFEC95C" w:rsidR="00AB7F3A" w:rsidRPr="00261C59" w:rsidRDefault="00322C2C" w:rsidP="004728D9">
      <w:pPr>
        <w:numPr>
          <w:ilvl w:val="0"/>
          <w:numId w:val="52"/>
        </w:numPr>
        <w:spacing w:after="240" w:line="260" w:lineRule="exact"/>
        <w:jc w:val="left"/>
        <w:rPr>
          <w:rFonts w:ascii="Calibri" w:hAnsi="Calibri"/>
          <w:sz w:val="24"/>
          <w:szCs w:val="24"/>
        </w:rPr>
      </w:pPr>
      <w:r w:rsidRPr="00261C59">
        <w:rPr>
          <w:rFonts w:ascii="Calibri" w:hAnsi="Calibri"/>
          <w:sz w:val="24"/>
          <w:szCs w:val="24"/>
        </w:rPr>
        <w:t>The schedules to the Addendum</w:t>
      </w:r>
      <w:r w:rsidR="00212331" w:rsidRPr="00261C59">
        <w:rPr>
          <w:rFonts w:ascii="Calibri" w:hAnsi="Calibri"/>
          <w:sz w:val="24"/>
          <w:szCs w:val="24"/>
        </w:rPr>
        <w:t xml:space="preserve"> </w:t>
      </w:r>
      <w:r w:rsidRPr="00261C59">
        <w:rPr>
          <w:rFonts w:ascii="Calibri" w:hAnsi="Calibri"/>
          <w:sz w:val="24"/>
          <w:szCs w:val="24"/>
        </w:rPr>
        <w:t>may be amended or revoked, and new schedules added at any time, with the written agreement of the relevant portfolio Commonwealth Minister and all State and Territory Ministers for Health. Where an amendment has material funding implications for more than one State or Territory, agreement will be sought from First Ministers.</w:t>
      </w:r>
    </w:p>
    <w:p w14:paraId="4C41F133" w14:textId="059F2F7A" w:rsidR="00143BD1" w:rsidRPr="00261C59" w:rsidRDefault="00C14461" w:rsidP="004728D9">
      <w:pPr>
        <w:numPr>
          <w:ilvl w:val="1"/>
          <w:numId w:val="52"/>
        </w:numPr>
        <w:spacing w:after="240" w:line="260" w:lineRule="exact"/>
        <w:jc w:val="left"/>
        <w:rPr>
          <w:rFonts w:ascii="Calibri" w:hAnsi="Calibri"/>
          <w:sz w:val="24"/>
          <w:szCs w:val="24"/>
        </w:rPr>
      </w:pPr>
      <w:r>
        <w:rPr>
          <w:rFonts w:ascii="Calibri" w:hAnsi="Calibri"/>
          <w:sz w:val="24"/>
          <w:szCs w:val="24"/>
        </w:rPr>
        <w:t>C</w:t>
      </w:r>
      <w:r w:rsidR="00212331" w:rsidRPr="00261C59">
        <w:rPr>
          <w:rFonts w:ascii="Calibri" w:hAnsi="Calibri"/>
          <w:sz w:val="24"/>
          <w:szCs w:val="24"/>
        </w:rPr>
        <w:t xml:space="preserve">hanges </w:t>
      </w:r>
      <w:r w:rsidR="004A54DB" w:rsidRPr="00261C59">
        <w:rPr>
          <w:rFonts w:ascii="Calibri" w:hAnsi="Calibri"/>
          <w:sz w:val="24"/>
          <w:szCs w:val="24"/>
        </w:rPr>
        <w:t xml:space="preserve">relevant to Aboriginal and Torres Strait Islander people must first be </w:t>
      </w:r>
      <w:r w:rsidR="1041BD46" w:rsidRPr="00261C59">
        <w:rPr>
          <w:rFonts w:ascii="Calibri" w:hAnsi="Calibri"/>
          <w:sz w:val="24"/>
          <w:szCs w:val="24"/>
        </w:rPr>
        <w:t>made in partnership wit</w:t>
      </w:r>
      <w:r w:rsidR="1041BD46" w:rsidRPr="00261C59">
        <w:rPr>
          <w:rFonts w:asciiTheme="minorHAnsi" w:eastAsiaTheme="minorEastAsia" w:hAnsiTheme="minorHAnsi" w:cstheme="minorBidi"/>
          <w:sz w:val="24"/>
          <w:szCs w:val="24"/>
        </w:rPr>
        <w:t xml:space="preserve">h </w:t>
      </w:r>
      <w:r w:rsidR="673330F1" w:rsidRPr="00261C59">
        <w:rPr>
          <w:rFonts w:asciiTheme="minorHAnsi" w:eastAsiaTheme="minorEastAsia" w:hAnsiTheme="minorHAnsi" w:cstheme="minorBidi"/>
          <w:sz w:val="24"/>
          <w:szCs w:val="24"/>
        </w:rPr>
        <w:t>Aboriginal and Torres Strait Islander</w:t>
      </w:r>
      <w:r w:rsidR="1041BD46" w:rsidRPr="00261C59">
        <w:rPr>
          <w:rFonts w:asciiTheme="minorHAnsi" w:eastAsiaTheme="minorEastAsia" w:hAnsiTheme="minorHAnsi" w:cstheme="minorBidi"/>
          <w:sz w:val="24"/>
          <w:szCs w:val="24"/>
        </w:rPr>
        <w:t xml:space="preserve"> </w:t>
      </w:r>
      <w:r w:rsidR="00985A48" w:rsidRPr="00261C59">
        <w:rPr>
          <w:rFonts w:asciiTheme="minorHAnsi" w:eastAsiaTheme="minorEastAsia" w:hAnsiTheme="minorHAnsi" w:cstheme="minorBidi"/>
          <w:sz w:val="24"/>
          <w:szCs w:val="24"/>
        </w:rPr>
        <w:t>stakeholders</w:t>
      </w:r>
      <w:r w:rsidR="398E56EA" w:rsidRPr="00261C59">
        <w:rPr>
          <w:rFonts w:asciiTheme="minorHAnsi" w:eastAsiaTheme="minorEastAsia" w:hAnsiTheme="minorHAnsi" w:cstheme="minorBidi"/>
          <w:sz w:val="24"/>
          <w:szCs w:val="24"/>
        </w:rPr>
        <w:t>,</w:t>
      </w:r>
      <w:r w:rsidR="03F25140" w:rsidRPr="00261C59">
        <w:rPr>
          <w:rFonts w:asciiTheme="minorHAnsi" w:eastAsiaTheme="minorEastAsia" w:hAnsiTheme="minorHAnsi" w:cstheme="minorBidi"/>
          <w:sz w:val="24"/>
          <w:szCs w:val="24"/>
        </w:rPr>
        <w:t xml:space="preserve"> </w:t>
      </w:r>
      <w:r>
        <w:rPr>
          <w:rFonts w:asciiTheme="minorHAnsi" w:eastAsiaTheme="minorEastAsia" w:hAnsiTheme="minorHAnsi" w:cstheme="minorBidi"/>
          <w:sz w:val="24"/>
          <w:szCs w:val="24"/>
        </w:rPr>
        <w:t xml:space="preserve">as </w:t>
      </w:r>
      <w:r w:rsidR="001F0373" w:rsidRPr="00261C59">
        <w:rPr>
          <w:rFonts w:ascii="Calibri" w:hAnsi="Calibri"/>
          <w:sz w:val="24"/>
          <w:szCs w:val="24"/>
        </w:rPr>
        <w:t>outline</w:t>
      </w:r>
      <w:r w:rsidR="0075107E" w:rsidRPr="00261C59">
        <w:rPr>
          <w:rFonts w:ascii="Calibri" w:hAnsi="Calibri"/>
          <w:sz w:val="24"/>
          <w:szCs w:val="24"/>
        </w:rPr>
        <w:t>d</w:t>
      </w:r>
      <w:r w:rsidR="001F0373" w:rsidRPr="00261C59">
        <w:rPr>
          <w:rFonts w:ascii="Calibri" w:hAnsi="Calibri"/>
          <w:sz w:val="24"/>
          <w:szCs w:val="24"/>
        </w:rPr>
        <w:t xml:space="preserve"> in Schedule</w:t>
      </w:r>
      <w:r w:rsidR="00E54B3A" w:rsidRPr="00261C59">
        <w:rPr>
          <w:rFonts w:ascii="Calibri" w:hAnsi="Calibri"/>
          <w:sz w:val="24"/>
          <w:szCs w:val="24"/>
        </w:rPr>
        <w:t> </w:t>
      </w:r>
      <w:r w:rsidR="001F0373" w:rsidRPr="00261C59">
        <w:rPr>
          <w:rFonts w:ascii="Calibri" w:hAnsi="Calibri"/>
          <w:sz w:val="24"/>
          <w:szCs w:val="24"/>
        </w:rPr>
        <w:t xml:space="preserve">B. </w:t>
      </w:r>
    </w:p>
    <w:p w14:paraId="19D7093D" w14:textId="77777777" w:rsidR="00322C2C" w:rsidRPr="00261C59" w:rsidRDefault="00322C2C" w:rsidP="00814D08">
      <w:pPr>
        <w:pStyle w:val="Heading3"/>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73" w:name="_Toc165886218"/>
      <w:bookmarkStart w:id="74" w:name="_Toc210833580"/>
      <w:bookmarkStart w:id="75" w:name="_Toc214456480"/>
      <w:bookmarkStart w:id="76" w:name="_Toc221087959"/>
      <w:r w:rsidRPr="00261C59">
        <w:rPr>
          <w:rFonts w:ascii="Corbel" w:eastAsia="Times New Roman" w:hAnsi="Corbel"/>
          <w:b w:val="0"/>
          <w:bCs w:val="0"/>
          <w:iCs w:val="0"/>
          <w:color w:val="3D4B67"/>
          <w:sz w:val="28"/>
          <w:szCs w:val="48"/>
          <w:lang w:eastAsia="ja-JP"/>
        </w:rPr>
        <w:t>Review</w:t>
      </w:r>
      <w:bookmarkEnd w:id="73"/>
      <w:bookmarkEnd w:id="74"/>
      <w:bookmarkEnd w:id="75"/>
      <w:bookmarkEnd w:id="76"/>
    </w:p>
    <w:p w14:paraId="698A29D2" w14:textId="65C374D1" w:rsidR="00322C2C" w:rsidRPr="00261C59" w:rsidRDefault="00322C2C" w:rsidP="004728D9">
      <w:pPr>
        <w:numPr>
          <w:ilvl w:val="0"/>
          <w:numId w:val="52"/>
        </w:numPr>
        <w:spacing w:after="240" w:line="260" w:lineRule="exact"/>
        <w:jc w:val="left"/>
        <w:rPr>
          <w:rFonts w:ascii="Calibri" w:hAnsi="Calibri"/>
          <w:sz w:val="24"/>
          <w:szCs w:val="24"/>
        </w:rPr>
      </w:pPr>
      <w:r w:rsidRPr="00261C59">
        <w:rPr>
          <w:rFonts w:ascii="Calibri" w:hAnsi="Calibri"/>
          <w:sz w:val="24"/>
          <w:szCs w:val="24"/>
        </w:rPr>
        <w:t xml:space="preserve">An independent </w:t>
      </w:r>
      <w:r w:rsidR="00E86E4F" w:rsidRPr="00261C59">
        <w:rPr>
          <w:rFonts w:ascii="Calibri" w:hAnsi="Calibri"/>
          <w:sz w:val="24"/>
          <w:szCs w:val="24"/>
        </w:rPr>
        <w:t xml:space="preserve">mid-term </w:t>
      </w:r>
      <w:r w:rsidRPr="00261C59">
        <w:rPr>
          <w:rFonts w:ascii="Calibri" w:hAnsi="Calibri"/>
          <w:sz w:val="24"/>
          <w:szCs w:val="24"/>
        </w:rPr>
        <w:t xml:space="preserve">review of the Addendum commissioned by Health Ministers will be completed by </w:t>
      </w:r>
      <w:r w:rsidR="00ED39FD" w:rsidRPr="00261C59">
        <w:rPr>
          <w:rFonts w:ascii="Calibri" w:hAnsi="Calibri"/>
          <w:sz w:val="24"/>
          <w:szCs w:val="24"/>
        </w:rPr>
        <w:t xml:space="preserve">30 </w:t>
      </w:r>
      <w:r w:rsidR="00D0233B" w:rsidRPr="00261C59">
        <w:rPr>
          <w:rFonts w:ascii="Calibri" w:hAnsi="Calibri"/>
          <w:sz w:val="24"/>
          <w:szCs w:val="24"/>
        </w:rPr>
        <w:t>June</w:t>
      </w:r>
      <w:r w:rsidR="00EA3FEC" w:rsidRPr="00261C59">
        <w:rPr>
          <w:rFonts w:ascii="Calibri" w:hAnsi="Calibri"/>
          <w:sz w:val="24"/>
          <w:szCs w:val="24"/>
        </w:rPr>
        <w:t xml:space="preserve"> 202</w:t>
      </w:r>
      <w:r w:rsidR="008364B6" w:rsidRPr="00261C59">
        <w:rPr>
          <w:rFonts w:ascii="Calibri" w:hAnsi="Calibri"/>
          <w:sz w:val="24"/>
          <w:szCs w:val="24"/>
        </w:rPr>
        <w:t>9</w:t>
      </w:r>
      <w:r w:rsidR="00EA3FEC" w:rsidRPr="00261C59">
        <w:rPr>
          <w:rFonts w:ascii="Calibri" w:hAnsi="Calibri"/>
          <w:sz w:val="24"/>
          <w:szCs w:val="24"/>
        </w:rPr>
        <w:t xml:space="preserve"> </w:t>
      </w:r>
      <w:r w:rsidRPr="00261C59">
        <w:rPr>
          <w:rFonts w:ascii="Calibri" w:hAnsi="Calibri"/>
          <w:sz w:val="24"/>
          <w:szCs w:val="24"/>
        </w:rPr>
        <w:t>to enable any recommendations to be considered, agreed, and included in the future Agreement.</w:t>
      </w:r>
    </w:p>
    <w:p w14:paraId="7473541F" w14:textId="2E1E9897" w:rsidR="00322C2C" w:rsidRPr="00261C59" w:rsidRDefault="00322C2C" w:rsidP="004728D9">
      <w:pPr>
        <w:keepNext/>
        <w:keepLines/>
        <w:widowControl/>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t>The review will assess if the Addendum is meeting its stated vision, objectives and outcomes, and report on the sustainability, efficiency</w:t>
      </w:r>
      <w:r w:rsidR="009119A5" w:rsidRPr="00261C59">
        <w:rPr>
          <w:rFonts w:ascii="Calibri" w:hAnsi="Calibri"/>
          <w:sz w:val="24"/>
          <w:szCs w:val="24"/>
          <w:lang w:val="en-GB"/>
        </w:rPr>
        <w:t>,</w:t>
      </w:r>
      <w:r w:rsidRPr="00261C59">
        <w:rPr>
          <w:rFonts w:ascii="Calibri" w:hAnsi="Calibri"/>
          <w:sz w:val="24"/>
          <w:szCs w:val="24"/>
          <w:lang w:val="en-GB"/>
        </w:rPr>
        <w:t xml:space="preserve"> and effectiveness of reforms across the health system.  The review may consider other matters as agreed by Health Ministers or National Cabinet</w:t>
      </w:r>
      <w:r w:rsidR="00D66CE7" w:rsidRPr="00261C59">
        <w:rPr>
          <w:rFonts w:ascii="Calibri" w:hAnsi="Calibri"/>
          <w:sz w:val="24"/>
          <w:szCs w:val="24"/>
          <w:lang w:val="en-GB"/>
        </w:rPr>
        <w:t>, and include but not be limited to</w:t>
      </w:r>
      <w:r w:rsidR="00F34D46" w:rsidRPr="00261C59">
        <w:rPr>
          <w:rFonts w:ascii="Calibri" w:hAnsi="Calibri"/>
          <w:sz w:val="24"/>
          <w:szCs w:val="24"/>
          <w:lang w:val="en-GB"/>
        </w:rPr>
        <w:t>, assessing</w:t>
      </w:r>
      <w:r w:rsidR="00D66CE7" w:rsidRPr="00261C59">
        <w:rPr>
          <w:rFonts w:ascii="Calibri" w:hAnsi="Calibri"/>
          <w:sz w:val="24"/>
          <w:szCs w:val="24"/>
          <w:lang w:val="en-GB"/>
        </w:rPr>
        <w:t>:</w:t>
      </w:r>
    </w:p>
    <w:p w14:paraId="6DB3AE1C" w14:textId="5716980E" w:rsidR="00D66CE7" w:rsidRPr="00261C59" w:rsidRDefault="00F34D46" w:rsidP="004728D9">
      <w:pPr>
        <w:widowControl/>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the </w:t>
      </w:r>
      <w:r w:rsidR="008A722A" w:rsidRPr="00261C59">
        <w:rPr>
          <w:rFonts w:ascii="Calibri" w:hAnsi="Calibri"/>
          <w:sz w:val="24"/>
          <w:szCs w:val="24"/>
          <w:lang w:val="en-GB"/>
        </w:rPr>
        <w:t xml:space="preserve">impacts </w:t>
      </w:r>
      <w:r w:rsidR="00A60542" w:rsidRPr="00261C59">
        <w:rPr>
          <w:rFonts w:ascii="Calibri" w:hAnsi="Calibri"/>
          <w:sz w:val="24"/>
          <w:szCs w:val="24"/>
          <w:lang w:val="en-GB"/>
        </w:rPr>
        <w:t xml:space="preserve">of reforms </w:t>
      </w:r>
      <w:r w:rsidR="008A722A" w:rsidRPr="00261C59">
        <w:rPr>
          <w:rFonts w:ascii="Calibri" w:hAnsi="Calibri"/>
          <w:sz w:val="24"/>
          <w:szCs w:val="24"/>
          <w:lang w:val="en-GB"/>
        </w:rPr>
        <w:t>on Aboriginal and Torres Strait Islander people</w:t>
      </w:r>
      <w:r w:rsidR="036FD5D2" w:rsidRPr="00261C59">
        <w:rPr>
          <w:rFonts w:ascii="Calibri" w:hAnsi="Calibri"/>
          <w:sz w:val="24"/>
          <w:szCs w:val="24"/>
          <w:lang w:val="en-GB"/>
        </w:rPr>
        <w:t xml:space="preserve">, </w:t>
      </w:r>
      <w:r w:rsidR="002B4431" w:rsidRPr="00261C59">
        <w:rPr>
          <w:rFonts w:ascii="Calibri" w:hAnsi="Calibri"/>
          <w:sz w:val="24"/>
          <w:szCs w:val="24"/>
          <w:lang w:val="en-GB"/>
        </w:rPr>
        <w:t xml:space="preserve">with </w:t>
      </w:r>
      <w:r w:rsidR="036FD5D2" w:rsidRPr="00261C59">
        <w:rPr>
          <w:rFonts w:ascii="Calibri" w:hAnsi="Calibri"/>
          <w:sz w:val="24"/>
          <w:szCs w:val="24"/>
          <w:lang w:val="en-GB"/>
        </w:rPr>
        <w:t xml:space="preserve">this component </w:t>
      </w:r>
      <w:r w:rsidR="00BF4A6A" w:rsidRPr="00261C59">
        <w:rPr>
          <w:rFonts w:ascii="Calibri" w:hAnsi="Calibri"/>
          <w:sz w:val="24"/>
          <w:szCs w:val="24"/>
          <w:lang w:val="en-GB"/>
        </w:rPr>
        <w:t>to</w:t>
      </w:r>
      <w:r w:rsidR="036FD5D2" w:rsidRPr="00261C59">
        <w:rPr>
          <w:rFonts w:ascii="Calibri" w:hAnsi="Calibri"/>
          <w:sz w:val="24"/>
          <w:szCs w:val="24"/>
          <w:lang w:val="en-GB"/>
        </w:rPr>
        <w:t xml:space="preserve"> be led by Aboriginal and Torres Strait Islander people</w:t>
      </w:r>
    </w:p>
    <w:p w14:paraId="26E6C732" w14:textId="50A171C6" w:rsidR="00743255" w:rsidRPr="00261C59" w:rsidRDefault="0088747C" w:rsidP="004728D9">
      <w:pPr>
        <w:widowControl/>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lastRenderedPageBreak/>
        <w:t>whether reforms in this Addendum, including governance and funding arrangements</w:t>
      </w:r>
      <w:r w:rsidR="00D812D8" w:rsidRPr="00261C59">
        <w:rPr>
          <w:rFonts w:ascii="Calibri" w:hAnsi="Calibri"/>
          <w:sz w:val="24"/>
          <w:szCs w:val="24"/>
          <w:lang w:val="en-GB"/>
        </w:rPr>
        <w:t xml:space="preserve">, are delivering on </w:t>
      </w:r>
      <w:r w:rsidR="006413E7" w:rsidRPr="00261C59">
        <w:rPr>
          <w:rFonts w:ascii="Calibri" w:hAnsi="Calibri"/>
          <w:sz w:val="24"/>
          <w:szCs w:val="24"/>
          <w:lang w:val="en-GB"/>
        </w:rPr>
        <w:t xml:space="preserve">the </w:t>
      </w:r>
      <w:r w:rsidR="006F3055" w:rsidRPr="00261C59">
        <w:rPr>
          <w:rFonts w:ascii="Calibri" w:hAnsi="Calibri"/>
          <w:sz w:val="24"/>
          <w:szCs w:val="24"/>
          <w:lang w:val="en-GB"/>
        </w:rPr>
        <w:t>objectives</w:t>
      </w:r>
      <w:r w:rsidR="00F55268" w:rsidRPr="00261C59">
        <w:rPr>
          <w:rFonts w:ascii="Calibri" w:hAnsi="Calibri"/>
          <w:sz w:val="24"/>
          <w:szCs w:val="24"/>
          <w:lang w:val="en-GB"/>
        </w:rPr>
        <w:t xml:space="preserve"> and changing </w:t>
      </w:r>
      <w:r w:rsidR="00E9080D" w:rsidRPr="00261C59">
        <w:rPr>
          <w:rFonts w:ascii="Calibri" w:hAnsi="Calibri"/>
          <w:sz w:val="24"/>
          <w:szCs w:val="24"/>
          <w:lang w:val="en-GB"/>
        </w:rPr>
        <w:t xml:space="preserve">individual and system </w:t>
      </w:r>
      <w:r w:rsidR="00F55268" w:rsidRPr="00261C59">
        <w:rPr>
          <w:rFonts w:ascii="Calibri" w:hAnsi="Calibri"/>
          <w:sz w:val="24"/>
          <w:szCs w:val="24"/>
          <w:lang w:val="en-GB"/>
        </w:rPr>
        <w:t>outcomes</w:t>
      </w:r>
      <w:r w:rsidR="00DA200F" w:rsidRPr="00261C59">
        <w:rPr>
          <w:rFonts w:ascii="Calibri" w:hAnsi="Calibri"/>
          <w:sz w:val="24"/>
          <w:szCs w:val="24"/>
          <w:lang w:val="en-GB"/>
        </w:rPr>
        <w:t xml:space="preserve">, informed by </w:t>
      </w:r>
      <w:r w:rsidR="00743255" w:rsidRPr="00261C59">
        <w:rPr>
          <w:rFonts w:ascii="Calibri" w:hAnsi="Calibri"/>
          <w:sz w:val="24"/>
          <w:szCs w:val="24"/>
          <w:lang w:val="en-GB"/>
        </w:rPr>
        <w:t>the National Health Reform Strategy at clause 17</w:t>
      </w:r>
    </w:p>
    <w:p w14:paraId="72BA5592" w14:textId="5C96A0DB" w:rsidR="00D812D8" w:rsidRPr="00261C59" w:rsidRDefault="00D812D8" w:rsidP="004728D9">
      <w:pPr>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any </w:t>
      </w:r>
      <w:r w:rsidR="00F55268" w:rsidRPr="00261C59">
        <w:rPr>
          <w:rFonts w:ascii="Calibri" w:hAnsi="Calibri"/>
          <w:sz w:val="24"/>
          <w:szCs w:val="24"/>
          <w:lang w:val="en-GB"/>
        </w:rPr>
        <w:t>unintended consequences such as cost-shifting, perverse incentives</w:t>
      </w:r>
      <w:r w:rsidR="00F1066F" w:rsidRPr="00261C59">
        <w:rPr>
          <w:rFonts w:ascii="Calibri" w:hAnsi="Calibri"/>
          <w:sz w:val="24"/>
          <w:szCs w:val="24"/>
          <w:lang w:val="en-GB"/>
        </w:rPr>
        <w:t>,</w:t>
      </w:r>
      <w:r w:rsidR="00ED7F8C" w:rsidRPr="00261C59">
        <w:rPr>
          <w:rFonts w:ascii="Calibri" w:hAnsi="Calibri"/>
          <w:sz w:val="24"/>
          <w:szCs w:val="24"/>
          <w:lang w:val="en-GB"/>
        </w:rPr>
        <w:t xml:space="preserve"> or other inefficiencies that impact on patient outcomes, and the capacity of Parties to adopt </w:t>
      </w:r>
      <w:r w:rsidR="00E61670" w:rsidRPr="00261C59">
        <w:rPr>
          <w:rFonts w:ascii="Calibri" w:hAnsi="Calibri"/>
          <w:sz w:val="24"/>
          <w:szCs w:val="24"/>
          <w:lang w:val="en-GB"/>
        </w:rPr>
        <w:t>and deliver innovative models, as a result of financial and other arrangements in this Addendum</w:t>
      </w:r>
    </w:p>
    <w:p w14:paraId="4CAD140B" w14:textId="19A5C8ED" w:rsidR="008F0CFB" w:rsidRPr="00261C59" w:rsidRDefault="008F0CFB" w:rsidP="004728D9">
      <w:pPr>
        <w:numPr>
          <w:ilvl w:val="1"/>
          <w:numId w:val="52"/>
        </w:numPr>
        <w:spacing w:after="240" w:line="260" w:lineRule="exact"/>
        <w:jc w:val="left"/>
        <w:rPr>
          <w:rFonts w:ascii="Calibri" w:hAnsi="Calibri"/>
          <w:sz w:val="24"/>
          <w:szCs w:val="24"/>
        </w:rPr>
      </w:pPr>
      <w:r w:rsidRPr="00261C59">
        <w:rPr>
          <w:rFonts w:ascii="Calibri" w:hAnsi="Calibri"/>
          <w:sz w:val="24"/>
          <w:szCs w:val="24"/>
        </w:rPr>
        <w:t>performance of the national bodies against their functions, roles, and responsibilities under this Addendum</w:t>
      </w:r>
    </w:p>
    <w:p w14:paraId="26E6C9FB" w14:textId="4D1BC66F" w:rsidR="008F0CFB" w:rsidRPr="00261C59" w:rsidRDefault="008F0CFB" w:rsidP="004728D9">
      <w:pPr>
        <w:widowControl/>
        <w:numPr>
          <w:ilvl w:val="1"/>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all other intergovernmental health agreements to determine how they relate to this Addendum’s objectives, with the intent to cross-reference, subsume or replace those agreements, as appropriate (for example, the </w:t>
      </w:r>
      <w:r w:rsidRPr="00261C59">
        <w:rPr>
          <w:rFonts w:ascii="Calibri" w:hAnsi="Calibri"/>
          <w:sz w:val="24"/>
          <w:lang w:val="en-GB"/>
        </w:rPr>
        <w:t>National Healthcare Agreement 2012</w:t>
      </w:r>
      <w:r w:rsidR="00F76A15" w:rsidRPr="00261C59">
        <w:rPr>
          <w:rFonts w:ascii="Calibri" w:hAnsi="Calibri"/>
          <w:sz w:val="24"/>
          <w:szCs w:val="24"/>
          <w:lang w:val="en-GB"/>
        </w:rPr>
        <w:t xml:space="preserve"> and </w:t>
      </w:r>
      <w:r w:rsidR="00A669FA" w:rsidRPr="00261C59">
        <w:rPr>
          <w:rFonts w:ascii="Calibri" w:hAnsi="Calibri"/>
          <w:sz w:val="24"/>
          <w:szCs w:val="24"/>
          <w:lang w:val="en-GB"/>
        </w:rPr>
        <w:t>National Mental Health and Suicide Prevention Agreement</w:t>
      </w:r>
      <w:r w:rsidRPr="00261C59">
        <w:rPr>
          <w:rFonts w:ascii="Calibri" w:hAnsi="Calibri"/>
          <w:sz w:val="24"/>
          <w:szCs w:val="24"/>
          <w:lang w:val="en-GB"/>
        </w:rPr>
        <w:t>).</w:t>
      </w:r>
    </w:p>
    <w:p w14:paraId="4F0F468C" w14:textId="2DDCBE6C" w:rsidR="00322C2C" w:rsidRPr="00261C59" w:rsidRDefault="00322C2C" w:rsidP="004728D9">
      <w:pPr>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A separate independent review of the National Efficient Price </w:t>
      </w:r>
      <w:r w:rsidR="00E048CE">
        <w:rPr>
          <w:rFonts w:ascii="Calibri" w:hAnsi="Calibri"/>
          <w:sz w:val="24"/>
          <w:szCs w:val="24"/>
          <w:lang w:val="en-GB"/>
        </w:rPr>
        <w:t>m</w:t>
      </w:r>
      <w:r w:rsidRPr="00261C59">
        <w:rPr>
          <w:rFonts w:ascii="Calibri" w:hAnsi="Calibri"/>
          <w:sz w:val="24"/>
          <w:szCs w:val="24"/>
          <w:lang w:val="en-GB"/>
        </w:rPr>
        <w:t>ethodology (NEP) will be undertaken in consultation with all jurisdictions</w:t>
      </w:r>
      <w:r w:rsidR="00D31107" w:rsidRPr="00261C59">
        <w:rPr>
          <w:rFonts w:ascii="Calibri" w:hAnsi="Calibri"/>
          <w:sz w:val="24"/>
          <w:szCs w:val="24"/>
          <w:lang w:val="en-GB"/>
        </w:rPr>
        <w:t xml:space="preserve"> and completed by</w:t>
      </w:r>
      <w:r w:rsidR="00FB712F" w:rsidRPr="00261C59">
        <w:rPr>
          <w:rFonts w:ascii="Calibri" w:hAnsi="Calibri"/>
          <w:sz w:val="24"/>
          <w:szCs w:val="24"/>
          <w:lang w:val="en-GB"/>
        </w:rPr>
        <w:t xml:space="preserve"> no later than</w:t>
      </w:r>
      <w:r w:rsidR="00D31107" w:rsidRPr="00261C59">
        <w:rPr>
          <w:rFonts w:ascii="Calibri" w:hAnsi="Calibri"/>
          <w:sz w:val="24"/>
          <w:szCs w:val="24"/>
          <w:lang w:val="en-GB"/>
        </w:rPr>
        <w:t xml:space="preserve"> </w:t>
      </w:r>
      <w:r w:rsidR="00B25F4C" w:rsidRPr="00261C59">
        <w:rPr>
          <w:rFonts w:ascii="Calibri" w:hAnsi="Calibri"/>
          <w:sz w:val="24"/>
          <w:szCs w:val="24"/>
          <w:lang w:val="en-GB"/>
        </w:rPr>
        <w:br/>
      </w:r>
      <w:r w:rsidR="003D021B" w:rsidRPr="00261C59">
        <w:rPr>
          <w:rFonts w:ascii="Calibri" w:hAnsi="Calibri"/>
          <w:sz w:val="24"/>
          <w:szCs w:val="24"/>
          <w:lang w:val="en-GB"/>
        </w:rPr>
        <w:t xml:space="preserve">30 </w:t>
      </w:r>
      <w:r w:rsidR="00D31107" w:rsidRPr="00261C59">
        <w:rPr>
          <w:rFonts w:ascii="Calibri" w:hAnsi="Calibri"/>
          <w:sz w:val="24"/>
          <w:szCs w:val="24"/>
          <w:lang w:val="en-GB"/>
        </w:rPr>
        <w:t>June 202</w:t>
      </w:r>
      <w:r w:rsidR="008364B6" w:rsidRPr="00261C59">
        <w:rPr>
          <w:rFonts w:ascii="Calibri" w:hAnsi="Calibri"/>
          <w:sz w:val="24"/>
          <w:szCs w:val="24"/>
          <w:lang w:val="en-GB"/>
        </w:rPr>
        <w:t>9</w:t>
      </w:r>
      <w:r w:rsidRPr="00261C59">
        <w:rPr>
          <w:rFonts w:ascii="Calibri" w:hAnsi="Calibri"/>
          <w:sz w:val="24"/>
          <w:szCs w:val="24"/>
          <w:lang w:val="en-GB"/>
        </w:rPr>
        <w:t xml:space="preserve">. The </w:t>
      </w:r>
      <w:r w:rsidR="042B47A7" w:rsidRPr="00261C59">
        <w:rPr>
          <w:rFonts w:ascii="Calibri" w:hAnsi="Calibri"/>
          <w:sz w:val="24"/>
          <w:szCs w:val="24"/>
          <w:lang w:val="en-GB"/>
        </w:rPr>
        <w:t xml:space="preserve">terms of reference for the </w:t>
      </w:r>
      <w:r w:rsidRPr="00261C59">
        <w:rPr>
          <w:rFonts w:ascii="Calibri" w:hAnsi="Calibri"/>
          <w:sz w:val="24"/>
          <w:szCs w:val="24"/>
          <w:lang w:val="en-GB"/>
        </w:rPr>
        <w:t xml:space="preserve">review will </w:t>
      </w:r>
      <w:r w:rsidR="042B47A7" w:rsidRPr="00261C59">
        <w:rPr>
          <w:rFonts w:ascii="Calibri" w:hAnsi="Calibri"/>
          <w:sz w:val="24"/>
          <w:szCs w:val="24"/>
          <w:lang w:val="en-GB"/>
        </w:rPr>
        <w:t xml:space="preserve">be agreed by Health Ministers and will include a </w:t>
      </w:r>
      <w:r w:rsidRPr="00261C59">
        <w:rPr>
          <w:rFonts w:ascii="Calibri" w:hAnsi="Calibri"/>
          <w:sz w:val="24"/>
          <w:szCs w:val="24"/>
          <w:lang w:val="en-GB"/>
        </w:rPr>
        <w:t xml:space="preserve">review </w:t>
      </w:r>
      <w:r w:rsidR="4AE885C5" w:rsidRPr="00261C59">
        <w:rPr>
          <w:rFonts w:ascii="Calibri" w:hAnsi="Calibri"/>
          <w:sz w:val="24"/>
          <w:szCs w:val="24"/>
          <w:lang w:val="en-GB"/>
        </w:rPr>
        <w:t>of</w:t>
      </w:r>
      <w:r w:rsidRPr="00261C59">
        <w:rPr>
          <w:rFonts w:ascii="Calibri" w:hAnsi="Calibri"/>
          <w:sz w:val="24"/>
          <w:szCs w:val="24"/>
          <w:lang w:val="en-GB"/>
        </w:rPr>
        <w:t xml:space="preserve"> methodology including </w:t>
      </w:r>
      <w:r w:rsidR="34529DDA" w:rsidRPr="00261C59">
        <w:rPr>
          <w:rFonts w:ascii="Calibri" w:hAnsi="Calibri"/>
          <w:sz w:val="24"/>
          <w:szCs w:val="24"/>
          <w:lang w:val="en-GB"/>
        </w:rPr>
        <w:t xml:space="preserve">timing of </w:t>
      </w:r>
      <w:r w:rsidR="6E81D25D" w:rsidRPr="00261C59">
        <w:rPr>
          <w:rFonts w:ascii="Calibri" w:hAnsi="Calibri"/>
          <w:sz w:val="24"/>
          <w:szCs w:val="24"/>
          <w:lang w:val="en-GB"/>
        </w:rPr>
        <w:t xml:space="preserve">data </w:t>
      </w:r>
      <w:r w:rsidR="79D37272" w:rsidRPr="00261C59">
        <w:rPr>
          <w:rFonts w:ascii="Calibri" w:hAnsi="Calibri"/>
          <w:sz w:val="24"/>
          <w:szCs w:val="24"/>
          <w:lang w:val="en-GB"/>
        </w:rPr>
        <w:t xml:space="preserve">provision, data </w:t>
      </w:r>
      <w:r w:rsidR="6E81D25D" w:rsidRPr="00261C59">
        <w:rPr>
          <w:rFonts w:ascii="Calibri" w:hAnsi="Calibri"/>
          <w:sz w:val="24"/>
          <w:szCs w:val="24"/>
          <w:lang w:val="en-GB"/>
        </w:rPr>
        <w:t>quality</w:t>
      </w:r>
      <w:r w:rsidR="035A6022" w:rsidRPr="00261C59">
        <w:rPr>
          <w:rFonts w:ascii="Calibri" w:hAnsi="Calibri"/>
          <w:sz w:val="24"/>
          <w:szCs w:val="24"/>
          <w:lang w:val="en-GB"/>
        </w:rPr>
        <w:t>,</w:t>
      </w:r>
      <w:r w:rsidR="6E81D25D" w:rsidRPr="00261C59">
        <w:rPr>
          <w:rFonts w:ascii="Calibri" w:hAnsi="Calibri"/>
          <w:sz w:val="24"/>
          <w:szCs w:val="24"/>
          <w:lang w:val="en-GB"/>
        </w:rPr>
        <w:t xml:space="preserve"> and other inputs</w:t>
      </w:r>
      <w:r w:rsidRPr="00261C59">
        <w:rPr>
          <w:rFonts w:ascii="Calibri" w:hAnsi="Calibri"/>
          <w:sz w:val="24"/>
          <w:szCs w:val="24"/>
          <w:lang w:val="en-GB"/>
        </w:rPr>
        <w:t>. Any agreed options for improvement based on the review findings will be implemented in the next Addendum</w:t>
      </w:r>
      <w:r w:rsidR="00E33FBA" w:rsidRPr="00261C59">
        <w:rPr>
          <w:rFonts w:ascii="Calibri" w:hAnsi="Calibri"/>
          <w:sz w:val="24"/>
          <w:szCs w:val="24"/>
          <w:lang w:val="en-GB"/>
        </w:rPr>
        <w:t>, or earlier if deemed appropriate</w:t>
      </w:r>
      <w:r w:rsidRPr="00261C59">
        <w:rPr>
          <w:rFonts w:ascii="Calibri" w:hAnsi="Calibri"/>
          <w:sz w:val="24"/>
          <w:szCs w:val="24"/>
          <w:lang w:val="en-GB"/>
        </w:rPr>
        <w:t>.</w:t>
      </w:r>
    </w:p>
    <w:p w14:paraId="18123597" w14:textId="77777777" w:rsidR="00322C2C" w:rsidRPr="00261C59" w:rsidRDefault="00322C2C" w:rsidP="00814D08">
      <w:pPr>
        <w:pStyle w:val="Heading3"/>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77" w:name="_Toc165886219"/>
      <w:bookmarkStart w:id="78" w:name="_Toc210833581"/>
      <w:bookmarkStart w:id="79" w:name="_Toc214456481"/>
      <w:bookmarkStart w:id="80" w:name="_Toc221087960"/>
      <w:r w:rsidRPr="00261C59">
        <w:rPr>
          <w:rFonts w:ascii="Corbel" w:eastAsia="Times New Roman" w:hAnsi="Corbel"/>
          <w:b w:val="0"/>
          <w:bCs w:val="0"/>
          <w:iCs w:val="0"/>
          <w:color w:val="3D4B67"/>
          <w:sz w:val="28"/>
          <w:szCs w:val="48"/>
          <w:lang w:eastAsia="ja-JP"/>
        </w:rPr>
        <w:t>Dispute resolution</w:t>
      </w:r>
      <w:bookmarkEnd w:id="77"/>
      <w:bookmarkEnd w:id="78"/>
      <w:bookmarkEnd w:id="79"/>
      <w:bookmarkEnd w:id="80"/>
    </w:p>
    <w:p w14:paraId="0D9E9556" w14:textId="77777777" w:rsidR="00322C2C" w:rsidRPr="00261C59" w:rsidRDefault="00322C2C" w:rsidP="004728D9">
      <w:pPr>
        <w:numPr>
          <w:ilvl w:val="0"/>
          <w:numId w:val="52"/>
        </w:numPr>
        <w:spacing w:after="240" w:line="260" w:lineRule="exact"/>
        <w:jc w:val="left"/>
        <w:rPr>
          <w:rFonts w:ascii="Calibri" w:hAnsi="Calibri"/>
          <w:sz w:val="24"/>
          <w:szCs w:val="24"/>
        </w:rPr>
      </w:pPr>
      <w:r w:rsidRPr="00261C59">
        <w:rPr>
          <w:rFonts w:ascii="Calibri" w:hAnsi="Calibri"/>
          <w:sz w:val="24"/>
          <w:szCs w:val="24"/>
        </w:rPr>
        <w:t xml:space="preserve">Any Party may give notice to other Parties of a dispute to under this Addendum. </w:t>
      </w:r>
    </w:p>
    <w:p w14:paraId="17D3AF8E" w14:textId="77777777" w:rsidR="00322C2C" w:rsidRPr="00261C59" w:rsidRDefault="00322C2C" w:rsidP="004728D9">
      <w:pPr>
        <w:numPr>
          <w:ilvl w:val="0"/>
          <w:numId w:val="52"/>
        </w:numPr>
        <w:spacing w:after="240" w:line="260" w:lineRule="exact"/>
        <w:jc w:val="left"/>
        <w:rPr>
          <w:rFonts w:ascii="Calibri" w:hAnsi="Calibri"/>
          <w:sz w:val="24"/>
          <w:szCs w:val="24"/>
          <w:lang w:val="en-GB"/>
        </w:rPr>
      </w:pPr>
      <w:r w:rsidRPr="00261C59">
        <w:rPr>
          <w:rFonts w:ascii="Calibri" w:hAnsi="Calibri"/>
          <w:sz w:val="24"/>
          <w:szCs w:val="24"/>
          <w:lang w:val="en-GB"/>
        </w:rPr>
        <w:t xml:space="preserve">The Officials of relevant Parties will attempt to resolve any dispute in the first instance. If a dispute cannot be resolved by Officials it may be escalated to the relevant jurisdictions’ Ministers, and if necessary, to all Health Ministers. </w:t>
      </w:r>
    </w:p>
    <w:p w14:paraId="71EE0C62" w14:textId="07CB8AFA" w:rsidR="000F1379" w:rsidRPr="00261C59" w:rsidRDefault="00322C2C" w:rsidP="004728D9">
      <w:pPr>
        <w:numPr>
          <w:ilvl w:val="0"/>
          <w:numId w:val="52"/>
        </w:numPr>
        <w:spacing w:after="240" w:line="260" w:lineRule="exact"/>
        <w:jc w:val="left"/>
        <w:rPr>
          <w:rFonts w:ascii="Consolas" w:hAnsi="Consolas"/>
          <w:caps/>
          <w:kern w:val="32"/>
        </w:rPr>
      </w:pPr>
      <w:r w:rsidRPr="00261C59">
        <w:rPr>
          <w:rFonts w:ascii="Calibri" w:hAnsi="Calibri"/>
          <w:sz w:val="24"/>
          <w:szCs w:val="24"/>
          <w:lang w:val="en-GB"/>
        </w:rPr>
        <w:t xml:space="preserve">If a dispute cannot be resolved at Ministerial level, it may be referred to National Cabinet for consideration.  </w:t>
      </w:r>
    </w:p>
    <w:p w14:paraId="4DC63EAB" w14:textId="77777777" w:rsidR="00E60237" w:rsidRPr="00261C59" w:rsidRDefault="00E60237" w:rsidP="00814D08">
      <w:pPr>
        <w:pStyle w:val="Heading1"/>
        <w:keepLines w:val="0"/>
        <w:widowControl/>
        <w:tabs>
          <w:tab w:val="clear" w:pos="567"/>
        </w:tabs>
        <w:adjustRightInd/>
        <w:spacing w:before="480" w:after="180"/>
        <w:jc w:val="left"/>
        <w:textAlignment w:val="auto"/>
        <w:rPr>
          <w:rFonts w:ascii="Consolas" w:eastAsia="Times New Roman" w:hAnsi="Consolas" w:cs="Arial"/>
          <w:b w:val="0"/>
          <w:caps/>
          <w:color w:val="980033"/>
          <w:kern w:val="32"/>
        </w:rPr>
        <w:sectPr w:rsidR="00E60237" w:rsidRPr="00261C59" w:rsidSect="00975D83">
          <w:pgSz w:w="11906" w:h="16838"/>
          <w:pgMar w:top="1440" w:right="1274" w:bottom="1440" w:left="1134" w:header="708" w:footer="708" w:gutter="0"/>
          <w:cols w:space="708"/>
          <w:docGrid w:linePitch="360"/>
        </w:sectPr>
      </w:pPr>
    </w:p>
    <w:p w14:paraId="68435D85" w14:textId="5160CB9E" w:rsidR="005460E8" w:rsidRPr="00261C59" w:rsidRDefault="005460E8" w:rsidP="005460E8">
      <w:pPr>
        <w:pStyle w:val="Heading1"/>
        <w:keepLines w:val="0"/>
        <w:widowControl/>
        <w:tabs>
          <w:tab w:val="clear" w:pos="567"/>
        </w:tabs>
        <w:adjustRightInd/>
        <w:spacing w:before="480" w:after="180"/>
        <w:jc w:val="left"/>
        <w:textAlignment w:val="auto"/>
        <w:rPr>
          <w:rFonts w:ascii="Consolas" w:eastAsia="Times New Roman" w:hAnsi="Consolas" w:cs="Arial"/>
          <w:b w:val="0"/>
          <w:caps/>
          <w:color w:val="980033"/>
          <w:kern w:val="32"/>
        </w:rPr>
      </w:pPr>
      <w:bookmarkStart w:id="81" w:name="_Toc172787674"/>
      <w:bookmarkStart w:id="82" w:name="_Toc183183290"/>
      <w:bookmarkStart w:id="83" w:name="_Toc210833582"/>
      <w:bookmarkStart w:id="84" w:name="_Toc214456482"/>
      <w:bookmarkStart w:id="85" w:name="_Toc221087961"/>
      <w:r w:rsidRPr="00261C59">
        <w:rPr>
          <w:rFonts w:ascii="Consolas" w:eastAsia="Times New Roman" w:hAnsi="Consolas" w:cs="Arial"/>
          <w:b w:val="0"/>
          <w:caps/>
          <w:color w:val="980033"/>
          <w:kern w:val="32"/>
        </w:rPr>
        <w:lastRenderedPageBreak/>
        <w:t>SCHEDULE A – M</w:t>
      </w:r>
      <w:r w:rsidR="00731671">
        <w:rPr>
          <w:rFonts w:ascii="Consolas" w:eastAsia="Times New Roman" w:hAnsi="Consolas" w:cs="Arial"/>
          <w:b w:val="0"/>
          <w:caps/>
          <w:color w:val="980033"/>
          <w:kern w:val="32"/>
        </w:rPr>
        <w:t>ore effective funding and payment models</w:t>
      </w:r>
      <w:bookmarkEnd w:id="81"/>
      <w:bookmarkEnd w:id="82"/>
      <w:bookmarkEnd w:id="83"/>
      <w:bookmarkEnd w:id="84"/>
      <w:bookmarkEnd w:id="85"/>
    </w:p>
    <w:p w14:paraId="2C948267" w14:textId="77777777" w:rsidR="00271836" w:rsidRPr="00261C59" w:rsidRDefault="00271836" w:rsidP="004728D9">
      <w:pPr>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This Schedule details the funding arrangements for public hospitals and health services agreed between the Parties for the period 1 July 2026 to 30 June 2031. </w:t>
      </w:r>
    </w:p>
    <w:p w14:paraId="585B6E5A"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This Schedule intends to deliver sustainable and effective funding for public hospitals and health services. This schedule has been informed by recommendations from </w:t>
      </w:r>
      <w:r w:rsidRPr="00261C59">
        <w:rPr>
          <w:rFonts w:asciiTheme="minorHAnsi" w:eastAsia="Calibri" w:hAnsiTheme="minorHAnsi"/>
          <w:sz w:val="24"/>
        </w:rPr>
        <w:t>the 2023 NHRA Mid-Term Review</w:t>
      </w:r>
      <w:r w:rsidRPr="00261C59">
        <w:rPr>
          <w:rFonts w:ascii="Calibri" w:hAnsi="Calibri"/>
          <w:sz w:val="24"/>
          <w:szCs w:val="24"/>
        </w:rPr>
        <w:t xml:space="preserve"> to improve the core funding arrangements and drive reform in service and care delivery models, by:</w:t>
      </w:r>
    </w:p>
    <w:p w14:paraId="46A550BB" w14:textId="6B3AB6DE"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improving Commonwealth funding contributions, including through a commitment to an increasing share over time, higher growth caps compared to the previous </w:t>
      </w:r>
      <w:r w:rsidR="00AE2A54">
        <w:br/>
      </w:r>
      <w:r w:rsidRPr="00261C59">
        <w:rPr>
          <w:rFonts w:ascii="Calibri" w:hAnsi="Calibri"/>
          <w:sz w:val="24"/>
          <w:szCs w:val="24"/>
          <w:lang w:val="en-GB"/>
        </w:rPr>
        <w:t>2020-2025 Addendum, and a minimum funding guarantee for the States</w:t>
      </w:r>
    </w:p>
    <w:p w14:paraId="4F16EE33" w14:textId="3DC78284"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dedicated reform funding to better support optimal care pathways and payment models to improve the system’s allocative efficiency and greater productivity</w:t>
      </w:r>
    </w:p>
    <w:p w14:paraId="3DBCF351" w14:textId="23570BB7" w:rsidR="00271836" w:rsidRPr="00261C59" w:rsidRDefault="00271836" w:rsidP="004728D9">
      <w:pPr>
        <w:numPr>
          <w:ilvl w:val="1"/>
          <w:numId w:val="54"/>
        </w:numPr>
        <w:spacing w:after="240" w:line="260" w:lineRule="exact"/>
        <w:jc w:val="left"/>
        <w:rPr>
          <w:rFonts w:ascii="Calibri" w:hAnsi="Calibri"/>
          <w:sz w:val="24"/>
          <w:szCs w:val="24"/>
        </w:rPr>
      </w:pPr>
      <w:r w:rsidRPr="6C97FDB0">
        <w:rPr>
          <w:rFonts w:ascii="Calibri" w:hAnsi="Calibri"/>
          <w:sz w:val="24"/>
          <w:szCs w:val="24"/>
        </w:rPr>
        <w:t xml:space="preserve">expanding incentives for services to deliver safe, high quality, high-value care </w:t>
      </w:r>
    </w:p>
    <w:p w14:paraId="14CF4DA2" w14:textId="7186403D"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greater funding transparency through improved reporting, classification and data sharing. </w:t>
      </w:r>
    </w:p>
    <w:p w14:paraId="6FE20635" w14:textId="5B13E4ED" w:rsidR="00271836" w:rsidRPr="00261C59" w:rsidRDefault="00271836" w:rsidP="004728D9">
      <w:pPr>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The Parties agree the Commonwealth's contribution to health services in respect of this Addendum will comprise funding relating to:</w:t>
      </w:r>
    </w:p>
    <w:p w14:paraId="4D150E99" w14:textId="5C05136F"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hospital and health services provided to public patients in a range of settings and funded on an activity basis, as appropriate</w:t>
      </w:r>
    </w:p>
    <w:p w14:paraId="3BDDDA6D" w14:textId="35EF89E7" w:rsidR="00271836" w:rsidRPr="00261C59" w:rsidRDefault="00271836" w:rsidP="004728D9">
      <w:pPr>
        <w:numPr>
          <w:ilvl w:val="1"/>
          <w:numId w:val="54"/>
        </w:numPr>
        <w:spacing w:after="240" w:line="260" w:lineRule="exact"/>
        <w:jc w:val="left"/>
        <w:rPr>
          <w:rFonts w:ascii="Calibri" w:hAnsi="Calibri"/>
          <w:sz w:val="24"/>
          <w:szCs w:val="24"/>
          <w:lang w:val="en-GB"/>
        </w:rPr>
      </w:pPr>
      <w:r w:rsidRPr="6E36A152">
        <w:rPr>
          <w:rFonts w:ascii="Calibri" w:hAnsi="Calibri"/>
          <w:sz w:val="24"/>
          <w:szCs w:val="24"/>
          <w:lang w:val="en-GB"/>
        </w:rPr>
        <w:t>hospital and health services provided to eligible private patients in public hospitals</w:t>
      </w:r>
    </w:p>
    <w:p w14:paraId="49114F14" w14:textId="777CDA1F" w:rsidR="00271836" w:rsidRPr="00261C59" w:rsidRDefault="00271836" w:rsidP="004728D9">
      <w:pPr>
        <w:numPr>
          <w:ilvl w:val="1"/>
          <w:numId w:val="54"/>
        </w:numPr>
        <w:spacing w:after="240" w:line="260" w:lineRule="exact"/>
        <w:jc w:val="left"/>
        <w:rPr>
          <w:rFonts w:ascii="Calibri" w:hAnsi="Calibri"/>
          <w:sz w:val="24"/>
          <w:szCs w:val="24"/>
          <w:lang w:val="en-GB"/>
        </w:rPr>
      </w:pPr>
      <w:r w:rsidRPr="6E36A152">
        <w:rPr>
          <w:rFonts w:ascii="Calibri" w:hAnsi="Calibri"/>
          <w:sz w:val="24"/>
          <w:szCs w:val="24"/>
          <w:lang w:val="en-GB"/>
        </w:rPr>
        <w:t>hospital and health services provided to patients in public hospitals through block funding, including relevant services in rural and remote communities and trialling of alternative payment models</w:t>
      </w:r>
    </w:p>
    <w:p w14:paraId="3813970C" w14:textId="16C8CE70"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teaching and training functions facilitated by States and undertaken in public hospitals or other organisations (such as universities and training providers</w:t>
      </w:r>
      <w:r w:rsidRPr="6E36A152">
        <w:rPr>
          <w:rFonts w:ascii="Calibri" w:hAnsi="Calibri"/>
          <w:sz w:val="24"/>
          <w:szCs w:val="24"/>
          <w:lang w:val="en-GB"/>
        </w:rPr>
        <w:t>)</w:t>
      </w:r>
    </w:p>
    <w:p w14:paraId="62966699" w14:textId="4B7F1457"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research facilitated by States and undertaken in public hospitals</w:t>
      </w:r>
    </w:p>
    <w:p w14:paraId="3EEAE11C" w14:textId="332CED8D"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public health activities as determined by clause </w:t>
      </w:r>
      <w:r w:rsidRPr="6E36A152">
        <w:rPr>
          <w:rFonts w:ascii="Calibri" w:hAnsi="Calibri"/>
          <w:sz w:val="24"/>
          <w:szCs w:val="24"/>
          <w:lang w:val="en-GB"/>
        </w:rPr>
        <w:t>A</w:t>
      </w:r>
      <w:r w:rsidR="00621CAA" w:rsidRPr="6E36A152">
        <w:rPr>
          <w:rFonts w:ascii="Calibri" w:hAnsi="Calibri"/>
          <w:sz w:val="24"/>
          <w:szCs w:val="24"/>
          <w:lang w:val="en-GB"/>
        </w:rPr>
        <w:t>25</w:t>
      </w:r>
      <w:r w:rsidRPr="6E36A152">
        <w:rPr>
          <w:rFonts w:ascii="Calibri" w:hAnsi="Calibri"/>
          <w:sz w:val="24"/>
          <w:szCs w:val="24"/>
          <w:lang w:val="en-GB"/>
        </w:rPr>
        <w:t xml:space="preserve"> and A</w:t>
      </w:r>
      <w:r w:rsidR="00621CAA" w:rsidRPr="6E36A152">
        <w:rPr>
          <w:rFonts w:ascii="Calibri" w:hAnsi="Calibri"/>
          <w:sz w:val="24"/>
          <w:szCs w:val="24"/>
          <w:lang w:val="en-GB"/>
        </w:rPr>
        <w:t>26</w:t>
      </w:r>
    </w:p>
    <w:p w14:paraId="2643619E" w14:textId="38053AB7"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 xml:space="preserve">activities undertaken through the </w:t>
      </w:r>
      <w:r w:rsidRPr="00261C59">
        <w:rPr>
          <w:rFonts w:ascii="Calibri" w:hAnsi="Calibri"/>
          <w:sz w:val="24"/>
          <w:szCs w:val="24"/>
          <w:lang w:val="en-GB"/>
        </w:rPr>
        <w:t>Service Model</w:t>
      </w:r>
      <w:r w:rsidRPr="00261C59">
        <w:rPr>
          <w:rFonts w:ascii="Calibri" w:hAnsi="Calibri"/>
          <w:sz w:val="24"/>
          <w:lang w:val="en-GB"/>
        </w:rPr>
        <w:t xml:space="preserve"> Reform </w:t>
      </w:r>
      <w:r w:rsidRPr="00261C59">
        <w:rPr>
          <w:rFonts w:ascii="Calibri" w:hAnsi="Calibri"/>
          <w:sz w:val="24"/>
          <w:szCs w:val="24"/>
          <w:lang w:val="en-GB"/>
        </w:rPr>
        <w:t>Funding (SMRF) stream</w:t>
      </w:r>
      <w:r w:rsidRPr="00261C59">
        <w:rPr>
          <w:rFonts w:ascii="Calibri" w:hAnsi="Calibri"/>
          <w:sz w:val="24"/>
          <w:lang w:val="en-GB"/>
        </w:rPr>
        <w:t>, including capitation and bundled payment trials.</w:t>
      </w:r>
    </w:p>
    <w:p w14:paraId="0204A658" w14:textId="77777777" w:rsidR="00271836" w:rsidRPr="00261C59" w:rsidRDefault="00271836" w:rsidP="004728D9">
      <w:pPr>
        <w:keepLines/>
        <w:widowControl/>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The Parties agree the States’ contribution to public hospital and health services in respect of this Addendum will comprise funding relating to the delivery of services within their jurisdiction consistent with the activities described in clause </w:t>
      </w:r>
      <w:r w:rsidRPr="00261C59">
        <w:rPr>
          <w:rFonts w:ascii="Calibri" w:hAnsi="Calibri"/>
          <w:sz w:val="24"/>
          <w:lang w:val="en-GB"/>
        </w:rPr>
        <w:t>A3</w:t>
      </w:r>
      <w:r w:rsidRPr="00261C59">
        <w:rPr>
          <w:rFonts w:ascii="Calibri" w:hAnsi="Calibri"/>
          <w:sz w:val="24"/>
          <w:szCs w:val="24"/>
          <w:lang w:val="en-GB"/>
        </w:rPr>
        <w:t xml:space="preserve"> and in line with processes described in Part 5. </w:t>
      </w:r>
    </w:p>
    <w:p w14:paraId="076E3D70" w14:textId="01CD5C82" w:rsidR="00271836" w:rsidRPr="00261C59" w:rsidRDefault="00271836" w:rsidP="004728D9">
      <w:pPr>
        <w:keepNext/>
        <w:widowControl/>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lastRenderedPageBreak/>
        <w:t>As the National Funding Model evolves over time, funding arrangements will be implemented in accordance with the following principles, so States have financial predictability and sustainability</w:t>
      </w:r>
      <w:r w:rsidR="5404CDD6" w:rsidRPr="1E17E550">
        <w:rPr>
          <w:rFonts w:ascii="Calibri" w:hAnsi="Calibri"/>
          <w:sz w:val="24"/>
          <w:szCs w:val="24"/>
          <w:lang w:val="en-GB"/>
        </w:rPr>
        <w:t>.</w:t>
      </w:r>
    </w:p>
    <w:p w14:paraId="2B379F66" w14:textId="2E040B29" w:rsidR="00271836" w:rsidRPr="00261C59" w:rsidRDefault="25F35470" w:rsidP="004728D9">
      <w:pPr>
        <w:numPr>
          <w:ilvl w:val="1"/>
          <w:numId w:val="54"/>
        </w:numPr>
        <w:spacing w:after="240" w:line="260" w:lineRule="exact"/>
        <w:jc w:val="left"/>
        <w:rPr>
          <w:rFonts w:ascii="Calibri" w:hAnsi="Calibri"/>
          <w:sz w:val="24"/>
          <w:szCs w:val="24"/>
          <w:lang w:val="en-GB"/>
        </w:rPr>
      </w:pPr>
      <w:r w:rsidRPr="00CB3E6D">
        <w:rPr>
          <w:rFonts w:ascii="Calibri" w:hAnsi="Calibri"/>
          <w:sz w:val="24"/>
          <w:szCs w:val="24"/>
          <w:lang w:val="en-GB"/>
        </w:rPr>
        <w:t>I</w:t>
      </w:r>
      <w:r w:rsidR="00271836" w:rsidRPr="00CB3E6D">
        <w:rPr>
          <w:rFonts w:ascii="Calibri" w:hAnsi="Calibri"/>
          <w:sz w:val="24"/>
          <w:szCs w:val="24"/>
          <w:lang w:val="en-GB"/>
        </w:rPr>
        <w:t>nformation</w:t>
      </w:r>
      <w:r w:rsidR="00271836" w:rsidRPr="00261C59">
        <w:rPr>
          <w:rFonts w:ascii="Calibri" w:hAnsi="Calibri"/>
          <w:sz w:val="24"/>
          <w:szCs w:val="24"/>
          <w:lang w:val="en-GB"/>
        </w:rPr>
        <w:t xml:space="preserve"> and data will be shared between jurisdictions and the national bodies on a timely and transparent basis to support development of the National Funding Model each year, implementation of services under the model, and final reconciliation of payments</w:t>
      </w:r>
      <w:r w:rsidR="7A01C12F" w:rsidRPr="58F5ED73">
        <w:rPr>
          <w:rFonts w:ascii="Calibri" w:hAnsi="Calibri"/>
          <w:sz w:val="24"/>
          <w:szCs w:val="24"/>
          <w:lang w:val="en-GB"/>
        </w:rPr>
        <w:t>.</w:t>
      </w:r>
    </w:p>
    <w:p w14:paraId="0FEACEE2" w14:textId="25A320D8" w:rsidR="00271836" w:rsidRPr="00261C59" w:rsidRDefault="32C06707" w:rsidP="004728D9">
      <w:pPr>
        <w:numPr>
          <w:ilvl w:val="1"/>
          <w:numId w:val="54"/>
        </w:numPr>
        <w:spacing w:after="240" w:line="260" w:lineRule="exact"/>
        <w:jc w:val="left"/>
        <w:rPr>
          <w:rFonts w:ascii="Calibri" w:hAnsi="Calibri"/>
          <w:sz w:val="24"/>
          <w:szCs w:val="24"/>
          <w:lang w:val="en-GB"/>
        </w:rPr>
      </w:pPr>
      <w:r w:rsidRPr="00CB3E6D">
        <w:rPr>
          <w:rFonts w:ascii="Calibri" w:hAnsi="Calibri"/>
          <w:sz w:val="24"/>
          <w:szCs w:val="24"/>
          <w:lang w:val="en-GB"/>
        </w:rPr>
        <w:t>D</w:t>
      </w:r>
      <w:r w:rsidR="00271836" w:rsidRPr="00CB3E6D">
        <w:rPr>
          <w:rFonts w:ascii="Calibri" w:hAnsi="Calibri"/>
          <w:sz w:val="24"/>
          <w:szCs w:val="24"/>
          <w:lang w:val="en-GB"/>
        </w:rPr>
        <w:t>ata</w:t>
      </w:r>
      <w:r w:rsidR="00271836" w:rsidRPr="00261C59">
        <w:rPr>
          <w:rFonts w:ascii="Calibri" w:hAnsi="Calibri"/>
          <w:sz w:val="24"/>
          <w:szCs w:val="24"/>
          <w:lang w:val="en-GB"/>
        </w:rPr>
        <w:t xml:space="preserve"> reporting, activity and funding calculations should be accurate, based on the most complete data available, transparent, accountable, and in accordance with the National Funding Model</w:t>
      </w:r>
      <w:r w:rsidR="0E7884A5" w:rsidRPr="58F5ED73">
        <w:rPr>
          <w:rFonts w:ascii="Calibri" w:hAnsi="Calibri"/>
          <w:sz w:val="24"/>
          <w:szCs w:val="24"/>
          <w:lang w:val="en-GB"/>
        </w:rPr>
        <w:t>.</w:t>
      </w:r>
    </w:p>
    <w:p w14:paraId="3E0F7F98" w14:textId="26B4CBF6" w:rsidR="00271836" w:rsidRPr="00261C59" w:rsidRDefault="2EC82044" w:rsidP="004728D9">
      <w:pPr>
        <w:numPr>
          <w:ilvl w:val="1"/>
          <w:numId w:val="54"/>
        </w:numPr>
        <w:spacing w:after="240" w:line="260" w:lineRule="exact"/>
        <w:jc w:val="left"/>
        <w:rPr>
          <w:rFonts w:ascii="Calibri" w:hAnsi="Calibri"/>
          <w:sz w:val="24"/>
          <w:szCs w:val="24"/>
          <w:lang w:val="en-GB"/>
        </w:rPr>
      </w:pPr>
      <w:r w:rsidRPr="00CB3E6D">
        <w:rPr>
          <w:rFonts w:ascii="Calibri" w:hAnsi="Calibri"/>
          <w:sz w:val="24"/>
          <w:szCs w:val="24"/>
          <w:lang w:val="en-GB"/>
        </w:rPr>
        <w:t>D</w:t>
      </w:r>
      <w:r w:rsidR="00271836" w:rsidRPr="00CB3E6D">
        <w:rPr>
          <w:rFonts w:ascii="Calibri" w:hAnsi="Calibri"/>
          <w:sz w:val="24"/>
          <w:szCs w:val="24"/>
          <w:lang w:val="en-GB"/>
        </w:rPr>
        <w:t>ata</w:t>
      </w:r>
      <w:r w:rsidR="00271836" w:rsidRPr="00261C59">
        <w:rPr>
          <w:rFonts w:ascii="Calibri" w:hAnsi="Calibri"/>
          <w:sz w:val="24"/>
          <w:szCs w:val="24"/>
          <w:lang w:val="en-GB"/>
        </w:rPr>
        <w:t xml:space="preserve"> reporting from jurisdictions and advice from national bodies should be provided as early as possible to facilitate timely payments to Local Hospital Networks (LHNs) and determine Commonwealth funding entitlements</w:t>
      </w:r>
      <w:r w:rsidR="207F3BBB" w:rsidRPr="00CB3E6D">
        <w:rPr>
          <w:rFonts w:ascii="Calibri" w:hAnsi="Calibri"/>
          <w:sz w:val="24"/>
          <w:szCs w:val="24"/>
          <w:lang w:val="en-GB"/>
        </w:rPr>
        <w:t>.</w:t>
      </w:r>
    </w:p>
    <w:p w14:paraId="739EB0FC" w14:textId="77777777"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Commonwealth funding entitlements should be determined in a timely manner.</w:t>
      </w:r>
    </w:p>
    <w:p w14:paraId="29F8B613" w14:textId="760F63A8" w:rsidR="00271836" w:rsidRPr="00261C59" w:rsidRDefault="2B712925" w:rsidP="004728D9">
      <w:pPr>
        <w:numPr>
          <w:ilvl w:val="1"/>
          <w:numId w:val="54"/>
        </w:numPr>
        <w:spacing w:after="240" w:line="260" w:lineRule="exact"/>
        <w:jc w:val="left"/>
        <w:rPr>
          <w:rFonts w:ascii="Calibri" w:hAnsi="Calibri"/>
          <w:sz w:val="24"/>
          <w:szCs w:val="24"/>
          <w:lang w:val="en-GB"/>
        </w:rPr>
      </w:pPr>
      <w:r w:rsidRPr="00CB3E6D">
        <w:rPr>
          <w:rFonts w:ascii="Calibri" w:hAnsi="Calibri"/>
          <w:sz w:val="24"/>
          <w:szCs w:val="24"/>
          <w:lang w:val="en-GB"/>
        </w:rPr>
        <w:t>A</w:t>
      </w:r>
      <w:r w:rsidR="00271836" w:rsidRPr="00CB3E6D">
        <w:rPr>
          <w:rFonts w:ascii="Calibri" w:hAnsi="Calibri"/>
          <w:sz w:val="24"/>
          <w:szCs w:val="24"/>
          <w:lang w:val="en-GB"/>
        </w:rPr>
        <w:t>ctivity and cost data will progressively be incorporated into the development of the National Pricing Model (including the National Efficient Price and the National Efficient Cost), and the National Funding Model.</w:t>
      </w:r>
    </w:p>
    <w:p w14:paraId="456DBA90" w14:textId="206FD6DB" w:rsidR="00271836" w:rsidRPr="00261C59" w:rsidRDefault="51DB1F3F" w:rsidP="004728D9">
      <w:pPr>
        <w:numPr>
          <w:ilvl w:val="1"/>
          <w:numId w:val="54"/>
        </w:numPr>
        <w:spacing w:after="240" w:line="260" w:lineRule="exact"/>
        <w:jc w:val="left"/>
        <w:rPr>
          <w:rFonts w:ascii="Calibri" w:hAnsi="Calibri"/>
          <w:sz w:val="24"/>
          <w:szCs w:val="24"/>
          <w:lang w:val="en-GB"/>
        </w:rPr>
      </w:pPr>
      <w:r w:rsidRPr="00CB3E6D">
        <w:rPr>
          <w:rFonts w:ascii="Calibri" w:hAnsi="Calibri"/>
          <w:sz w:val="24"/>
          <w:szCs w:val="24"/>
          <w:lang w:val="en-GB"/>
        </w:rPr>
        <w:t>I</w:t>
      </w:r>
      <w:r w:rsidR="00271836" w:rsidRPr="00CB3E6D">
        <w:rPr>
          <w:rFonts w:ascii="Calibri" w:hAnsi="Calibri"/>
          <w:sz w:val="24"/>
          <w:szCs w:val="24"/>
          <w:lang w:val="en-GB"/>
        </w:rPr>
        <w:t>n continuously improving the pricing and classification of public hospital and health services, the national funding bodies will endeavour to ensure that changes from one year to another do not result in unintended volatility in National Health Reform (NHR) funding.</w:t>
      </w:r>
    </w:p>
    <w:p w14:paraId="1D9B00FA" w14:textId="68F0BF85" w:rsidR="00271836" w:rsidRPr="00261C59" w:rsidRDefault="78CD2B7B" w:rsidP="004728D9">
      <w:pPr>
        <w:numPr>
          <w:ilvl w:val="1"/>
          <w:numId w:val="54"/>
        </w:numPr>
        <w:spacing w:after="240" w:line="260" w:lineRule="exact"/>
        <w:jc w:val="left"/>
        <w:rPr>
          <w:rFonts w:ascii="Calibri" w:hAnsi="Calibri"/>
          <w:sz w:val="24"/>
          <w:szCs w:val="24"/>
          <w:lang w:val="en-GB"/>
        </w:rPr>
      </w:pPr>
      <w:r w:rsidRPr="00CB3E6D">
        <w:rPr>
          <w:rFonts w:ascii="Calibri" w:hAnsi="Calibri"/>
          <w:sz w:val="24"/>
          <w:szCs w:val="24"/>
          <w:lang w:val="en-GB"/>
        </w:rPr>
        <w:t>W</w:t>
      </w:r>
      <w:r w:rsidR="00271836" w:rsidRPr="00CB3E6D">
        <w:rPr>
          <w:rFonts w:ascii="Calibri" w:hAnsi="Calibri"/>
          <w:sz w:val="24"/>
          <w:szCs w:val="24"/>
          <w:lang w:val="en-GB"/>
        </w:rPr>
        <w:t>here</w:t>
      </w:r>
      <w:r w:rsidR="00271836" w:rsidRPr="00261C59">
        <w:rPr>
          <w:rFonts w:ascii="Calibri" w:hAnsi="Calibri"/>
          <w:sz w:val="24"/>
          <w:szCs w:val="24"/>
          <w:lang w:val="en-GB"/>
        </w:rPr>
        <w:t xml:space="preserve"> an error or unexpected outcome in activity, funding, pricing or cost data has been identified, national bodies must consult with jurisdictions before taking any further action.</w:t>
      </w:r>
    </w:p>
    <w:p w14:paraId="5E81486A" w14:textId="77777777"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Parties, the Administrator of the National Health Funding Pool (the Administrator), and the Independent Health and Aged Care Pricing Authority (IHACPA) will seek to resolve any disputes in a timely and transparent manner. </w:t>
      </w:r>
    </w:p>
    <w:p w14:paraId="20C4034B" w14:textId="69261C6D" w:rsidR="00271836" w:rsidRPr="00261C59" w:rsidRDefault="00271836" w:rsidP="004728D9">
      <w:pPr>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Parties agree to replace the previous base plus growth funding model with a new glide path funding model, commencing from 1 July 2026. Details on the operation of the glide path funding model are outlined in clauses </w:t>
      </w:r>
      <w:r w:rsidRPr="00261C59">
        <w:rPr>
          <w:rFonts w:ascii="Calibri" w:hAnsi="Calibri"/>
          <w:sz w:val="24"/>
          <w:lang w:val="en-GB"/>
        </w:rPr>
        <w:t>A</w:t>
      </w:r>
      <w:r w:rsidR="001B1C5A" w:rsidRPr="00261C59">
        <w:rPr>
          <w:rFonts w:ascii="Calibri" w:hAnsi="Calibri"/>
          <w:sz w:val="24"/>
          <w:lang w:val="en-GB"/>
        </w:rPr>
        <w:t>2</w:t>
      </w:r>
      <w:r w:rsidR="00C06361" w:rsidRPr="00261C59">
        <w:rPr>
          <w:rFonts w:ascii="Calibri" w:hAnsi="Calibri"/>
          <w:sz w:val="24"/>
          <w:lang w:val="en-GB"/>
        </w:rPr>
        <w:t xml:space="preserve">2, </w:t>
      </w:r>
      <w:r w:rsidRPr="00261C59">
        <w:rPr>
          <w:rFonts w:ascii="Calibri" w:hAnsi="Calibri"/>
          <w:sz w:val="24"/>
          <w:lang w:val="en-GB"/>
        </w:rPr>
        <w:t>A</w:t>
      </w:r>
      <w:r w:rsidR="001B1C5A" w:rsidRPr="00261C59">
        <w:rPr>
          <w:rFonts w:ascii="Calibri" w:hAnsi="Calibri"/>
          <w:sz w:val="24"/>
          <w:lang w:val="en-GB"/>
        </w:rPr>
        <w:t xml:space="preserve">24, </w:t>
      </w:r>
      <w:r w:rsidR="00FF70AE" w:rsidRPr="00261C59">
        <w:rPr>
          <w:rFonts w:ascii="Calibri" w:hAnsi="Calibri"/>
          <w:sz w:val="24"/>
          <w:lang w:val="en-GB"/>
        </w:rPr>
        <w:t xml:space="preserve">and </w:t>
      </w:r>
      <w:r w:rsidR="001B1C5A" w:rsidRPr="00261C59">
        <w:rPr>
          <w:rFonts w:ascii="Calibri" w:hAnsi="Calibri"/>
          <w:sz w:val="24"/>
          <w:lang w:val="en-GB"/>
        </w:rPr>
        <w:t>A3</w:t>
      </w:r>
      <w:r w:rsidR="002F7722" w:rsidRPr="00261C59">
        <w:rPr>
          <w:rFonts w:ascii="Calibri" w:hAnsi="Calibri"/>
          <w:sz w:val="24"/>
          <w:lang w:val="en-GB"/>
        </w:rPr>
        <w:t>1</w:t>
      </w:r>
      <w:r w:rsidR="001B1C5A" w:rsidRPr="00261C59">
        <w:rPr>
          <w:rFonts w:ascii="Calibri" w:hAnsi="Calibri"/>
          <w:sz w:val="24"/>
          <w:lang w:val="en-GB"/>
        </w:rPr>
        <w:t xml:space="preserve"> to A37</w:t>
      </w:r>
      <w:r w:rsidRPr="00261C59">
        <w:rPr>
          <w:rFonts w:ascii="Calibri" w:hAnsi="Calibri"/>
          <w:sz w:val="24"/>
          <w:szCs w:val="24"/>
          <w:lang w:val="en-GB"/>
        </w:rPr>
        <w:t xml:space="preserve">. </w:t>
      </w:r>
    </w:p>
    <w:p w14:paraId="1ABF2698" w14:textId="7C4DB912"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Commonwealth’s total annual funding contribution to health services for each State under this Addendum will be subject to a funding cap. Details on the operation of the state-based, cumulative funding cap are outlined in clauses </w:t>
      </w:r>
      <w:r w:rsidRPr="00261C59">
        <w:rPr>
          <w:rFonts w:ascii="Calibri" w:hAnsi="Calibri"/>
          <w:sz w:val="24"/>
        </w:rPr>
        <w:t>A</w:t>
      </w:r>
      <w:r w:rsidR="00700524" w:rsidRPr="00261C59">
        <w:rPr>
          <w:rFonts w:ascii="Calibri" w:hAnsi="Calibri"/>
          <w:sz w:val="24"/>
        </w:rPr>
        <w:t>38</w:t>
      </w:r>
      <w:r w:rsidRPr="00261C59">
        <w:rPr>
          <w:rFonts w:ascii="Calibri" w:hAnsi="Calibri"/>
          <w:sz w:val="24"/>
        </w:rPr>
        <w:t xml:space="preserve"> to A</w:t>
      </w:r>
      <w:r w:rsidR="00700524" w:rsidRPr="00261C59">
        <w:rPr>
          <w:rFonts w:ascii="Calibri" w:hAnsi="Calibri"/>
          <w:sz w:val="24"/>
        </w:rPr>
        <w:t>47</w:t>
      </w:r>
      <w:r w:rsidRPr="00261C59">
        <w:rPr>
          <w:rFonts w:ascii="Calibri" w:hAnsi="Calibri"/>
          <w:sz w:val="24"/>
          <w:szCs w:val="24"/>
        </w:rPr>
        <w:t xml:space="preserve">. </w:t>
      </w:r>
    </w:p>
    <w:p w14:paraId="32386099"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Parties agree that the Commonwealth’s annual funding contribution will encompass the streams listed below, with distinct rules for calculating the funding amount under each stream:</w:t>
      </w:r>
    </w:p>
    <w:p w14:paraId="37DE9D15" w14:textId="7ED3940E"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Activity Based Funding (ABF) (clauses A20 to A22</w:t>
      </w:r>
      <w:r w:rsidRPr="41090232">
        <w:rPr>
          <w:rFonts w:ascii="Calibri" w:hAnsi="Calibri"/>
          <w:sz w:val="24"/>
          <w:szCs w:val="24"/>
          <w:lang w:val="en-GB"/>
        </w:rPr>
        <w:t>)</w:t>
      </w:r>
    </w:p>
    <w:p w14:paraId="723CFDC0" w14:textId="476C5EB9"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Block Funding (clauses A23 and A24</w:t>
      </w:r>
      <w:r w:rsidRPr="2C674343">
        <w:rPr>
          <w:rFonts w:ascii="Calibri" w:hAnsi="Calibri"/>
          <w:sz w:val="24"/>
          <w:szCs w:val="24"/>
          <w:lang w:val="en-GB"/>
        </w:rPr>
        <w:t>)</w:t>
      </w:r>
    </w:p>
    <w:p w14:paraId="28DFA7C3" w14:textId="5AA18D9C" w:rsidR="00271836" w:rsidRPr="00261C59" w:rsidRDefault="00271836" w:rsidP="0053291B">
      <w:pPr>
        <w:keepNext/>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lastRenderedPageBreak/>
        <w:t>Public Health Funding (clauses A</w:t>
      </w:r>
      <w:r w:rsidR="007C3DDE" w:rsidRPr="00261C59">
        <w:rPr>
          <w:rFonts w:ascii="Calibri" w:hAnsi="Calibri"/>
          <w:sz w:val="24"/>
          <w:szCs w:val="24"/>
          <w:lang w:val="en-GB"/>
        </w:rPr>
        <w:t>25</w:t>
      </w:r>
      <w:r w:rsidRPr="00261C59">
        <w:rPr>
          <w:rFonts w:ascii="Calibri" w:hAnsi="Calibri"/>
          <w:sz w:val="24"/>
          <w:szCs w:val="24"/>
          <w:lang w:val="en-GB"/>
        </w:rPr>
        <w:t xml:space="preserve"> and A</w:t>
      </w:r>
      <w:r w:rsidR="007C3DDE" w:rsidRPr="00261C59">
        <w:rPr>
          <w:rFonts w:ascii="Calibri" w:hAnsi="Calibri"/>
          <w:sz w:val="24"/>
          <w:szCs w:val="24"/>
          <w:lang w:val="en-GB"/>
        </w:rPr>
        <w:t>26</w:t>
      </w:r>
      <w:r w:rsidRPr="2C674343">
        <w:rPr>
          <w:rFonts w:ascii="Calibri" w:hAnsi="Calibri"/>
          <w:sz w:val="24"/>
          <w:szCs w:val="24"/>
          <w:lang w:val="en-GB"/>
        </w:rPr>
        <w:t>)</w:t>
      </w:r>
    </w:p>
    <w:p w14:paraId="2733A4CE" w14:textId="3B0CEE73" w:rsidR="00271836" w:rsidRPr="00261C59" w:rsidRDefault="005D1003"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Service Model Reform Fun</w:t>
      </w:r>
      <w:r w:rsidR="000825F3" w:rsidRPr="00261C59">
        <w:rPr>
          <w:rFonts w:ascii="Calibri" w:hAnsi="Calibri"/>
          <w:sz w:val="24"/>
          <w:szCs w:val="24"/>
          <w:lang w:val="en-GB"/>
        </w:rPr>
        <w:t>ding (</w:t>
      </w:r>
      <w:r w:rsidR="00271836" w:rsidRPr="00261C59">
        <w:rPr>
          <w:rFonts w:ascii="Calibri" w:hAnsi="Calibri"/>
          <w:sz w:val="24"/>
          <w:szCs w:val="24"/>
          <w:lang w:val="en-GB"/>
        </w:rPr>
        <w:t>SMRF</w:t>
      </w:r>
      <w:r w:rsidR="000825F3" w:rsidRPr="00261C59">
        <w:rPr>
          <w:rFonts w:ascii="Calibri" w:hAnsi="Calibri"/>
          <w:sz w:val="24"/>
          <w:szCs w:val="24"/>
          <w:lang w:val="en-GB"/>
        </w:rPr>
        <w:t>)</w:t>
      </w:r>
      <w:r w:rsidR="005F51E2" w:rsidRPr="00261C59">
        <w:rPr>
          <w:rFonts w:ascii="Calibri" w:hAnsi="Calibri"/>
          <w:sz w:val="24"/>
          <w:szCs w:val="24"/>
          <w:lang w:val="en-GB"/>
        </w:rPr>
        <w:t xml:space="preserve"> </w:t>
      </w:r>
      <w:r w:rsidR="00271836" w:rsidRPr="00261C59">
        <w:rPr>
          <w:rFonts w:ascii="Calibri" w:hAnsi="Calibri"/>
          <w:sz w:val="24"/>
          <w:szCs w:val="24"/>
          <w:lang w:val="en-GB"/>
        </w:rPr>
        <w:t>(clauses A</w:t>
      </w:r>
      <w:r w:rsidR="00BC070A" w:rsidRPr="00261C59">
        <w:rPr>
          <w:rFonts w:ascii="Calibri" w:hAnsi="Calibri"/>
          <w:sz w:val="24"/>
          <w:szCs w:val="24"/>
          <w:lang w:val="en-GB"/>
        </w:rPr>
        <w:t>27</w:t>
      </w:r>
      <w:r w:rsidR="00271836" w:rsidRPr="00261C59">
        <w:rPr>
          <w:rFonts w:ascii="Calibri" w:hAnsi="Calibri"/>
          <w:sz w:val="24"/>
          <w:szCs w:val="24"/>
          <w:lang w:val="en-GB"/>
        </w:rPr>
        <w:t xml:space="preserve"> to A</w:t>
      </w:r>
      <w:r w:rsidR="00BC070A" w:rsidRPr="00261C59">
        <w:rPr>
          <w:rFonts w:ascii="Calibri" w:hAnsi="Calibri"/>
          <w:sz w:val="24"/>
          <w:szCs w:val="24"/>
          <w:lang w:val="en-GB"/>
        </w:rPr>
        <w:t>29</w:t>
      </w:r>
      <w:r w:rsidR="00271836" w:rsidRPr="00261C59">
        <w:rPr>
          <w:rFonts w:ascii="Calibri" w:hAnsi="Calibri"/>
          <w:sz w:val="24"/>
          <w:szCs w:val="24"/>
          <w:lang w:val="en-GB"/>
        </w:rPr>
        <w:t>).</w:t>
      </w:r>
    </w:p>
    <w:p w14:paraId="37FE9CCB" w14:textId="7A2494E7" w:rsidR="00271836" w:rsidRPr="00261C59" w:rsidRDefault="00271836" w:rsidP="004728D9">
      <w:pPr>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The IHACPA will consult with all Parties to develop the first version of a Funding Models Framework by 30 June 2027 for HCEF consideration. The IHACPA will be responsible for ongoing updates to the Funding Models Framework as necessary to support and contribute to reform implementation</w:t>
      </w:r>
      <w:r w:rsidR="00EE7043" w:rsidRPr="00261C59">
        <w:rPr>
          <w:rFonts w:ascii="Calibri" w:hAnsi="Calibri"/>
          <w:sz w:val="24"/>
          <w:szCs w:val="24"/>
          <w:lang w:val="en-GB"/>
        </w:rPr>
        <w:t xml:space="preserve"> (refer </w:t>
      </w:r>
      <w:r w:rsidR="00915D87" w:rsidRPr="00261C59">
        <w:rPr>
          <w:rFonts w:ascii="Calibri" w:hAnsi="Calibri"/>
          <w:sz w:val="24"/>
          <w:szCs w:val="24"/>
          <w:lang w:val="en-GB"/>
        </w:rPr>
        <w:t>clause</w:t>
      </w:r>
      <w:r w:rsidR="001054AF" w:rsidRPr="00261C59">
        <w:rPr>
          <w:rFonts w:ascii="Calibri" w:hAnsi="Calibri"/>
          <w:sz w:val="24"/>
          <w:szCs w:val="24"/>
          <w:lang w:val="en-GB"/>
        </w:rPr>
        <w:t>s</w:t>
      </w:r>
      <w:r w:rsidR="00915D87" w:rsidRPr="00261C59">
        <w:rPr>
          <w:rFonts w:ascii="Calibri" w:hAnsi="Calibri"/>
          <w:sz w:val="24"/>
          <w:szCs w:val="24"/>
          <w:lang w:val="en-GB"/>
        </w:rPr>
        <w:t xml:space="preserve"> D16 and D17)</w:t>
      </w:r>
      <w:r w:rsidRPr="00261C59">
        <w:rPr>
          <w:rFonts w:ascii="Calibri" w:hAnsi="Calibri"/>
          <w:sz w:val="24"/>
          <w:szCs w:val="24"/>
          <w:lang w:val="en-GB"/>
        </w:rPr>
        <w:t xml:space="preserve">. The framework will: </w:t>
      </w:r>
    </w:p>
    <w:p w14:paraId="3DD1DCAF" w14:textId="2B326906" w:rsidR="00271836" w:rsidRPr="00261C59" w:rsidRDefault="00271836" w:rsidP="004728D9">
      <w:pPr>
        <w:numPr>
          <w:ilvl w:val="1"/>
          <w:numId w:val="54"/>
        </w:numPr>
        <w:spacing w:after="240" w:line="260" w:lineRule="exact"/>
        <w:jc w:val="left"/>
        <w:rPr>
          <w:rFonts w:ascii="Calibri" w:hAnsi="Calibri"/>
          <w:sz w:val="24"/>
          <w:szCs w:val="24"/>
          <w:lang w:val="en-GB"/>
        </w:rPr>
      </w:pPr>
      <w:r w:rsidRPr="1182785A">
        <w:rPr>
          <w:rFonts w:ascii="Calibri" w:hAnsi="Calibri"/>
          <w:sz w:val="24"/>
          <w:szCs w:val="24"/>
          <w:lang w:val="en-GB"/>
        </w:rPr>
        <w:t xml:space="preserve">collate advice on IHACPA processes to increase transparency of IHACPA decision making related to pricing, classification, scope, and funding stream criteria </w:t>
      </w:r>
    </w:p>
    <w:p w14:paraId="370BF440" w14:textId="3482D4EC"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outline principles and criteria for determining when each funding stream is most appropriate and practicable, consistent with the objectives of this Addendum</w:t>
      </w:r>
    </w:p>
    <w:p w14:paraId="60A60A73" w14:textId="0841BA2C" w:rsidR="00271836" w:rsidRPr="00261C59" w:rsidRDefault="00271836" w:rsidP="004728D9">
      <w:pPr>
        <w:numPr>
          <w:ilvl w:val="1"/>
          <w:numId w:val="54"/>
        </w:numPr>
        <w:spacing w:after="240" w:line="260" w:lineRule="exact"/>
        <w:jc w:val="left"/>
        <w:rPr>
          <w:rFonts w:ascii="Calibri" w:hAnsi="Calibri"/>
          <w:sz w:val="24"/>
          <w:szCs w:val="24"/>
          <w:lang w:val="en-GB"/>
        </w:rPr>
      </w:pPr>
      <w:r w:rsidRPr="1182785A">
        <w:rPr>
          <w:rFonts w:ascii="Calibri" w:hAnsi="Calibri"/>
          <w:sz w:val="24"/>
          <w:szCs w:val="24"/>
          <w:lang w:val="en-GB"/>
        </w:rPr>
        <w:t>describe the pathways to transition service categories between funding streams, and their treatment within the General List</w:t>
      </w:r>
    </w:p>
    <w:p w14:paraId="5CEBB764" w14:textId="6D3B6F3A" w:rsidR="00271836" w:rsidRPr="00261C59" w:rsidRDefault="00271836" w:rsidP="004728D9">
      <w:pPr>
        <w:numPr>
          <w:ilvl w:val="1"/>
          <w:numId w:val="54"/>
        </w:numPr>
        <w:spacing w:after="240" w:line="260" w:lineRule="exact"/>
        <w:jc w:val="left"/>
        <w:rPr>
          <w:rFonts w:ascii="Calibri" w:hAnsi="Calibri"/>
          <w:sz w:val="24"/>
          <w:szCs w:val="24"/>
          <w:lang w:val="en-GB"/>
        </w:rPr>
      </w:pPr>
      <w:r w:rsidRPr="7BF4DBD1">
        <w:rPr>
          <w:rFonts w:ascii="Calibri" w:hAnsi="Calibri"/>
          <w:sz w:val="24"/>
          <w:szCs w:val="24"/>
          <w:lang w:val="en-GB"/>
        </w:rPr>
        <w:t xml:space="preserve">describe processes for scaling and embedding successful </w:t>
      </w:r>
      <w:r w:rsidRPr="00261C59">
        <w:rPr>
          <w:rFonts w:ascii="Calibri" w:hAnsi="Calibri"/>
          <w:sz w:val="24"/>
          <w:szCs w:val="24"/>
          <w:lang w:val="en-GB"/>
        </w:rPr>
        <w:t>SMRF</w:t>
      </w:r>
      <w:r w:rsidRPr="7BF4DBD1">
        <w:rPr>
          <w:rFonts w:ascii="Calibri" w:hAnsi="Calibri"/>
          <w:sz w:val="24"/>
          <w:szCs w:val="24"/>
          <w:lang w:val="en-GB"/>
        </w:rPr>
        <w:t xml:space="preserve"> and alternative payment model trials </w:t>
      </w:r>
    </w:p>
    <w:p w14:paraId="59E75A75" w14:textId="47A4F7E8" w:rsidR="00271836" w:rsidRPr="00261C59" w:rsidRDefault="00271836" w:rsidP="004728D9">
      <w:pPr>
        <w:numPr>
          <w:ilvl w:val="1"/>
          <w:numId w:val="54"/>
        </w:numPr>
        <w:spacing w:after="240" w:line="260" w:lineRule="exact"/>
        <w:jc w:val="left"/>
        <w:rPr>
          <w:rFonts w:ascii="Calibri" w:hAnsi="Calibri"/>
          <w:sz w:val="24"/>
          <w:szCs w:val="24"/>
          <w:lang w:val="en-GB"/>
        </w:rPr>
      </w:pPr>
      <w:r w:rsidRPr="7BF4DBD1">
        <w:rPr>
          <w:rFonts w:ascii="Calibri" w:hAnsi="Calibri"/>
          <w:sz w:val="24"/>
          <w:szCs w:val="24"/>
          <w:lang w:val="en-GB"/>
        </w:rPr>
        <w:t xml:space="preserve">include guidance for Parties on how to request pricing, classification, or stream changes (either through the </w:t>
      </w:r>
      <w:r w:rsidR="00955534">
        <w:rPr>
          <w:rFonts w:ascii="Calibri" w:hAnsi="Calibri"/>
          <w:sz w:val="24"/>
          <w:szCs w:val="24"/>
          <w:lang w:val="en-GB"/>
        </w:rPr>
        <w:t>Service Model and Funding Model</w:t>
      </w:r>
      <w:r w:rsidR="00955534" w:rsidRPr="7BF4DBD1">
        <w:rPr>
          <w:rFonts w:ascii="Calibri" w:hAnsi="Calibri"/>
          <w:sz w:val="24"/>
          <w:szCs w:val="24"/>
          <w:lang w:val="en-GB"/>
        </w:rPr>
        <w:t xml:space="preserve"> Framework </w:t>
      </w:r>
      <w:r w:rsidRPr="7BF4DBD1">
        <w:rPr>
          <w:rFonts w:ascii="Calibri" w:hAnsi="Calibri"/>
          <w:sz w:val="24"/>
          <w:szCs w:val="24"/>
          <w:lang w:val="en-GB"/>
        </w:rPr>
        <w:t xml:space="preserve">described in Schedule D or direct request). </w:t>
      </w:r>
    </w:p>
    <w:p w14:paraId="1B862042" w14:textId="77777777" w:rsidR="00271836" w:rsidRPr="00261C59" w:rsidRDefault="00271836" w:rsidP="004728D9">
      <w:pPr>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Commonwealth funding will be provided for in-scope health services through the most appropriate and practicable funding stream in line with clauses </w:t>
      </w:r>
      <w:r w:rsidRPr="00261C59">
        <w:rPr>
          <w:rFonts w:ascii="Calibri" w:hAnsi="Calibri"/>
          <w:sz w:val="24"/>
          <w:lang w:val="en-GB"/>
        </w:rPr>
        <w:t>A8</w:t>
      </w:r>
      <w:r w:rsidRPr="00261C59">
        <w:rPr>
          <w:rFonts w:ascii="Calibri" w:hAnsi="Calibri"/>
          <w:sz w:val="24"/>
          <w:szCs w:val="24"/>
          <w:lang w:val="en-GB"/>
        </w:rPr>
        <w:t xml:space="preserve"> and A9. Funding will only be provided through the Block Funding stream where other streams are not appropriate or practicable.</w:t>
      </w:r>
    </w:p>
    <w:p w14:paraId="03905115" w14:textId="62971C85"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 xml:space="preserve">Parties agree to progress work to incorporate Public Health Funding into the Block Funding stream in line with clause </w:t>
      </w:r>
      <w:r w:rsidRPr="00261C59">
        <w:rPr>
          <w:rFonts w:ascii="Calibri" w:hAnsi="Calibri"/>
          <w:sz w:val="24"/>
          <w:szCs w:val="24"/>
          <w:lang w:val="en-GB"/>
        </w:rPr>
        <w:t>A8</w:t>
      </w:r>
      <w:r w:rsidR="00534E87" w:rsidRPr="00261C59">
        <w:rPr>
          <w:rFonts w:ascii="Calibri" w:hAnsi="Calibri"/>
          <w:sz w:val="24"/>
          <w:szCs w:val="24"/>
          <w:lang w:val="en-GB"/>
        </w:rPr>
        <w:t>0</w:t>
      </w:r>
      <w:r w:rsidRPr="00261C59">
        <w:rPr>
          <w:rFonts w:ascii="Calibri" w:hAnsi="Calibri"/>
          <w:sz w:val="24"/>
          <w:lang w:val="en-GB"/>
        </w:rPr>
        <w:t>.</w:t>
      </w:r>
    </w:p>
    <w:p w14:paraId="52834295" w14:textId="77777777" w:rsidR="00271836" w:rsidRPr="00261C59" w:rsidRDefault="00271836" w:rsidP="004728D9">
      <w:pPr>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HCEF will review the funding arrangements after the first annual reconciliation to ensure it is operating in accordance with the model’s intentions: to simplify funding arrangements, increase the CCR, and improve equity in the model. </w:t>
      </w:r>
    </w:p>
    <w:p w14:paraId="109E3190" w14:textId="433B7732"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The terms of reference of this review will be agreed by Health Ministers (HMM), and adjustments may be agreed by HMM in accordance with </w:t>
      </w:r>
      <w:r w:rsidR="00260B9D" w:rsidRPr="00261C59">
        <w:rPr>
          <w:rFonts w:ascii="Calibri" w:hAnsi="Calibri"/>
          <w:sz w:val="24"/>
          <w:szCs w:val="24"/>
          <w:lang w:val="en-GB"/>
        </w:rPr>
        <w:t xml:space="preserve">Preliminaries </w:t>
      </w:r>
      <w:r w:rsidRPr="00261C59">
        <w:rPr>
          <w:rFonts w:ascii="Calibri" w:hAnsi="Calibri"/>
          <w:sz w:val="24"/>
          <w:szCs w:val="24"/>
          <w:lang w:val="en-GB"/>
        </w:rPr>
        <w:t>clauses 4</w:t>
      </w:r>
      <w:r w:rsidR="00844EC5" w:rsidRPr="00261C59">
        <w:rPr>
          <w:rFonts w:ascii="Calibri" w:hAnsi="Calibri"/>
          <w:sz w:val="24"/>
          <w:szCs w:val="24"/>
          <w:lang w:val="en-GB"/>
        </w:rPr>
        <w:t>5</w:t>
      </w:r>
      <w:r w:rsidRPr="00261C59">
        <w:rPr>
          <w:rFonts w:ascii="Calibri" w:hAnsi="Calibri"/>
          <w:sz w:val="24"/>
          <w:szCs w:val="24"/>
          <w:lang w:val="en-GB"/>
        </w:rPr>
        <w:t xml:space="preserve"> and 4</w:t>
      </w:r>
      <w:r w:rsidR="00A064EC" w:rsidRPr="00261C59">
        <w:rPr>
          <w:rFonts w:ascii="Calibri" w:hAnsi="Calibri"/>
          <w:sz w:val="24"/>
          <w:szCs w:val="24"/>
          <w:lang w:val="en-GB"/>
        </w:rPr>
        <w:t>6</w:t>
      </w:r>
      <w:r w:rsidRPr="00261C59">
        <w:rPr>
          <w:rFonts w:ascii="Calibri" w:hAnsi="Calibri"/>
          <w:sz w:val="24"/>
          <w:szCs w:val="24"/>
          <w:lang w:val="en-GB"/>
        </w:rPr>
        <w:t xml:space="preserve"> for implementation in the term of this Addendum.</w:t>
      </w:r>
    </w:p>
    <w:p w14:paraId="1FE01637" w14:textId="5A6F035A"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If unintended outcomes from implementing the new funding arrangements are identified prior to the review, Parties may raise them with HMM, and adjustments may be agreed as per clauses 4</w:t>
      </w:r>
      <w:r w:rsidR="00A064EC" w:rsidRPr="00261C59">
        <w:rPr>
          <w:rFonts w:ascii="Calibri" w:hAnsi="Calibri"/>
          <w:sz w:val="24"/>
          <w:szCs w:val="24"/>
          <w:lang w:val="en-GB"/>
        </w:rPr>
        <w:t>5</w:t>
      </w:r>
      <w:r w:rsidRPr="00261C59">
        <w:rPr>
          <w:rFonts w:ascii="Calibri" w:hAnsi="Calibri"/>
          <w:sz w:val="24"/>
          <w:szCs w:val="24"/>
          <w:lang w:val="en-GB"/>
        </w:rPr>
        <w:t xml:space="preserve"> and 4</w:t>
      </w:r>
      <w:r w:rsidR="00A064EC" w:rsidRPr="00261C59">
        <w:rPr>
          <w:rFonts w:ascii="Calibri" w:hAnsi="Calibri"/>
          <w:sz w:val="24"/>
          <w:szCs w:val="24"/>
          <w:lang w:val="en-GB"/>
        </w:rPr>
        <w:t>6</w:t>
      </w:r>
      <w:r w:rsidRPr="00261C59">
        <w:rPr>
          <w:rFonts w:ascii="Calibri" w:hAnsi="Calibri"/>
          <w:sz w:val="24"/>
          <w:szCs w:val="24"/>
          <w:lang w:val="en-GB"/>
        </w:rPr>
        <w:t>.</w:t>
      </w:r>
    </w:p>
    <w:p w14:paraId="72C0F898" w14:textId="21730BE0" w:rsidR="00271836" w:rsidRPr="00261C59" w:rsidRDefault="00271836" w:rsidP="004728D9">
      <w:pPr>
        <w:keepLines/>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Subject to any exceptions specifically made in this Addendum or through variation to the Addendum (such as those described at clause </w:t>
      </w:r>
      <w:r w:rsidRPr="00261C59">
        <w:rPr>
          <w:rFonts w:ascii="Calibri" w:hAnsi="Calibri"/>
          <w:sz w:val="24"/>
        </w:rPr>
        <w:t>A13</w:t>
      </w:r>
      <w:r w:rsidRPr="00261C59">
        <w:rPr>
          <w:rFonts w:ascii="Calibri" w:hAnsi="Calibri"/>
          <w:sz w:val="24"/>
          <w:szCs w:val="24"/>
        </w:rPr>
        <w:t>), the Commonwealth will not fund services t</w:t>
      </w:r>
      <w:r w:rsidRPr="00261C59">
        <w:rPr>
          <w:rFonts w:asciiTheme="minorHAnsi" w:eastAsiaTheme="minorEastAsia" w:hAnsiTheme="minorHAnsi" w:cstheme="minorBidi"/>
          <w:sz w:val="24"/>
          <w:szCs w:val="24"/>
        </w:rPr>
        <w:t xml:space="preserve">hrough the NHRA </w:t>
      </w:r>
      <w:r w:rsidRPr="00261C59">
        <w:rPr>
          <w:rFonts w:ascii="Calibri" w:hAnsi="Calibri"/>
          <w:sz w:val="24"/>
          <w:szCs w:val="24"/>
        </w:rPr>
        <w:t xml:space="preserve">if the same service, or any part of the same service, is funded through any of the benefit programs listed in </w:t>
      </w:r>
      <w:r w:rsidR="00F713B0" w:rsidRPr="00261C59">
        <w:rPr>
          <w:rFonts w:ascii="Calibri" w:hAnsi="Calibri"/>
          <w:sz w:val="24"/>
          <w:szCs w:val="24"/>
        </w:rPr>
        <w:t xml:space="preserve">clause </w:t>
      </w:r>
      <w:r w:rsidRPr="00261C59">
        <w:rPr>
          <w:rFonts w:ascii="Calibri" w:hAnsi="Calibri"/>
          <w:sz w:val="24"/>
          <w:szCs w:val="24"/>
        </w:rPr>
        <w:t xml:space="preserve">A17(a), any other Commonwealth program or another NHRA stream. </w:t>
      </w:r>
    </w:p>
    <w:p w14:paraId="700DDD65" w14:textId="77777777" w:rsidR="00271836" w:rsidRPr="00261C59" w:rsidRDefault="00271836" w:rsidP="004728D9">
      <w:pPr>
        <w:keepNext/>
        <w:keepLines/>
        <w:widowControl/>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lastRenderedPageBreak/>
        <w:t xml:space="preserve">The Parties agree the following Commonwealth benefits and other programs constitute exceptions to clause </w:t>
      </w:r>
      <w:r w:rsidRPr="00261C59">
        <w:rPr>
          <w:rFonts w:ascii="Calibri" w:hAnsi="Calibri"/>
          <w:sz w:val="24"/>
          <w:lang w:val="en-GB"/>
        </w:rPr>
        <w:t>A12:</w:t>
      </w:r>
    </w:p>
    <w:p w14:paraId="5EF36765" w14:textId="78F85BBC" w:rsidR="00271836" w:rsidRPr="00261C59" w:rsidRDefault="00271836" w:rsidP="00117EE8">
      <w:pPr>
        <w:keepLines/>
        <w:numPr>
          <w:ilvl w:val="1"/>
          <w:numId w:val="54"/>
        </w:numPr>
        <w:spacing w:after="240" w:line="260" w:lineRule="exact"/>
        <w:jc w:val="left"/>
        <w:rPr>
          <w:rFonts w:ascii="Calibri" w:hAnsi="Calibri"/>
          <w:sz w:val="24"/>
          <w:szCs w:val="24"/>
          <w:lang w:val="en-GB"/>
        </w:rPr>
      </w:pPr>
      <w:r w:rsidRPr="760DF02B">
        <w:rPr>
          <w:rFonts w:ascii="Calibri" w:hAnsi="Calibri"/>
          <w:sz w:val="24"/>
          <w:szCs w:val="24"/>
          <w:lang w:val="en-GB"/>
        </w:rPr>
        <w:t xml:space="preserve">Medicare Benefits Schedule (MBS) payments covered by a determination made by the Commonwealth Health Minister, or a delegate of the Minister, under s19(2) of the </w:t>
      </w:r>
      <w:r w:rsidRPr="760DF02B">
        <w:rPr>
          <w:rFonts w:ascii="Calibri" w:hAnsi="Calibri"/>
          <w:i/>
          <w:sz w:val="24"/>
          <w:szCs w:val="24"/>
          <w:lang w:val="en-GB"/>
        </w:rPr>
        <w:t>Health Insurance Act 1973</w:t>
      </w:r>
    </w:p>
    <w:p w14:paraId="3AD289B3" w14:textId="5033E3AA" w:rsidR="00271836" w:rsidRPr="00261C59" w:rsidRDefault="00271836" w:rsidP="004728D9">
      <w:pPr>
        <w:numPr>
          <w:ilvl w:val="1"/>
          <w:numId w:val="54"/>
        </w:numPr>
        <w:spacing w:after="240" w:line="260" w:lineRule="exact"/>
        <w:jc w:val="left"/>
        <w:rPr>
          <w:rFonts w:ascii="Calibri" w:hAnsi="Calibri"/>
          <w:sz w:val="24"/>
          <w:szCs w:val="24"/>
          <w:lang w:val="en-GB"/>
        </w:rPr>
      </w:pPr>
      <w:r w:rsidRPr="760DF02B">
        <w:rPr>
          <w:rFonts w:ascii="Calibri" w:hAnsi="Calibri"/>
          <w:sz w:val="24"/>
          <w:szCs w:val="24"/>
          <w:lang w:val="en-GB"/>
        </w:rPr>
        <w:t xml:space="preserve">MBS payments relating to services provided to eligible admitted private patients in public hospitals </w:t>
      </w:r>
    </w:p>
    <w:p w14:paraId="39F9631B" w14:textId="2A0F2068"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Pharmaceutical Benefits Schedule (PBS) benefits dispensed under Pharmaceutical Reform Arrangements agreed between the Commonwealth and the relevant State (in accordance with clauses A2</w:t>
      </w:r>
      <w:r w:rsidR="005B1B17" w:rsidRPr="00261C59">
        <w:rPr>
          <w:rFonts w:ascii="Calibri" w:hAnsi="Calibri"/>
          <w:sz w:val="24"/>
          <w:szCs w:val="24"/>
          <w:lang w:val="en-GB"/>
        </w:rPr>
        <w:t>45</w:t>
      </w:r>
      <w:r w:rsidR="00661211" w:rsidRPr="00261C59">
        <w:rPr>
          <w:rFonts w:ascii="Calibri" w:hAnsi="Calibri"/>
          <w:sz w:val="24"/>
          <w:szCs w:val="24"/>
          <w:lang w:val="en-GB"/>
        </w:rPr>
        <w:t xml:space="preserve"> to A</w:t>
      </w:r>
      <w:r w:rsidRPr="00261C59">
        <w:rPr>
          <w:rFonts w:ascii="Calibri" w:hAnsi="Calibri"/>
          <w:sz w:val="24"/>
          <w:szCs w:val="24"/>
          <w:lang w:val="en-GB"/>
        </w:rPr>
        <w:t>25</w:t>
      </w:r>
      <w:r w:rsidR="005B1B17" w:rsidRPr="00261C59">
        <w:rPr>
          <w:rFonts w:ascii="Calibri" w:hAnsi="Calibri"/>
          <w:sz w:val="24"/>
          <w:szCs w:val="24"/>
          <w:lang w:val="en-GB"/>
        </w:rPr>
        <w:t>0</w:t>
      </w:r>
      <w:r w:rsidRPr="00261C59">
        <w:rPr>
          <w:rFonts w:ascii="Calibri" w:hAnsi="Calibri"/>
          <w:sz w:val="24"/>
          <w:szCs w:val="24"/>
          <w:lang w:val="en-GB"/>
        </w:rPr>
        <w:t xml:space="preserve">), or under relevant Section 100 special arrangements established under the </w:t>
      </w:r>
      <w:r w:rsidRPr="760DF02B">
        <w:rPr>
          <w:rFonts w:ascii="Calibri" w:hAnsi="Calibri"/>
          <w:i/>
          <w:sz w:val="24"/>
          <w:szCs w:val="24"/>
          <w:lang w:val="en-GB"/>
        </w:rPr>
        <w:t>National Health Act 1953</w:t>
      </w:r>
    </w:p>
    <w:p w14:paraId="2F5BDCCC" w14:textId="4C326CA7"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The payment (which could be the default, </w:t>
      </w:r>
      <w:r w:rsidRPr="56B6963C">
        <w:rPr>
          <w:rFonts w:ascii="Calibri" w:hAnsi="Calibri"/>
          <w:sz w:val="24"/>
          <w:szCs w:val="24"/>
          <w:lang w:val="en-GB"/>
        </w:rPr>
        <w:t xml:space="preserve">the gazetted or </w:t>
      </w:r>
      <w:r w:rsidRPr="00261C59">
        <w:rPr>
          <w:rFonts w:ascii="Calibri" w:hAnsi="Calibri"/>
          <w:sz w:val="24"/>
          <w:szCs w:val="24"/>
          <w:lang w:val="en-GB"/>
        </w:rPr>
        <w:t xml:space="preserve">an </w:t>
      </w:r>
      <w:r w:rsidRPr="56B6963C">
        <w:rPr>
          <w:rFonts w:ascii="Calibri" w:hAnsi="Calibri"/>
          <w:sz w:val="24"/>
          <w:szCs w:val="24"/>
          <w:lang w:val="en-GB"/>
        </w:rPr>
        <w:t>equivalent payment</w:t>
      </w:r>
      <w:r w:rsidRPr="00261C59">
        <w:rPr>
          <w:rFonts w:ascii="Calibri" w:hAnsi="Calibri"/>
          <w:sz w:val="24"/>
          <w:szCs w:val="24"/>
          <w:lang w:val="en-GB"/>
        </w:rPr>
        <w:t>) received for daily bed fees</w:t>
      </w:r>
      <w:r w:rsidRPr="56B6963C">
        <w:rPr>
          <w:rFonts w:ascii="Calibri" w:hAnsi="Calibri"/>
          <w:sz w:val="24"/>
          <w:szCs w:val="24"/>
          <w:lang w:val="en-GB"/>
        </w:rPr>
        <w:t xml:space="preserve"> for eligible admitted private patients in public hospitals supported through the private health insurance rebate</w:t>
      </w:r>
    </w:p>
    <w:p w14:paraId="72325DB7" w14:textId="5DBCB59F"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 xml:space="preserve">activities </w:t>
      </w:r>
      <w:r w:rsidRPr="00261C59">
        <w:rPr>
          <w:rFonts w:ascii="Calibri" w:hAnsi="Calibri"/>
          <w:sz w:val="24"/>
          <w:szCs w:val="24"/>
          <w:lang w:val="en-GB"/>
        </w:rPr>
        <w:t>through</w:t>
      </w:r>
      <w:r w:rsidRPr="00261C59">
        <w:rPr>
          <w:rFonts w:ascii="Calibri" w:hAnsi="Calibri"/>
          <w:sz w:val="24"/>
          <w:lang w:val="en-GB"/>
        </w:rPr>
        <w:t xml:space="preserve"> the </w:t>
      </w:r>
      <w:r w:rsidRPr="00261C59">
        <w:rPr>
          <w:rFonts w:ascii="Calibri" w:hAnsi="Calibri"/>
          <w:sz w:val="24"/>
          <w:szCs w:val="24"/>
          <w:lang w:val="en-GB"/>
        </w:rPr>
        <w:t>SMRF</w:t>
      </w:r>
      <w:r w:rsidRPr="00261C59">
        <w:rPr>
          <w:rFonts w:ascii="Calibri" w:hAnsi="Calibri"/>
          <w:sz w:val="24"/>
          <w:lang w:val="en-GB"/>
        </w:rPr>
        <w:t xml:space="preserve"> stream</w:t>
      </w:r>
      <w:r w:rsidRPr="00261C59">
        <w:rPr>
          <w:rFonts w:ascii="Calibri" w:hAnsi="Calibri"/>
          <w:sz w:val="24"/>
          <w:szCs w:val="24"/>
          <w:lang w:val="en-GB"/>
        </w:rPr>
        <w:t xml:space="preserve"> that are partly funded outside the NHRA,</w:t>
      </w:r>
      <w:r w:rsidRPr="00261C59">
        <w:rPr>
          <w:rFonts w:ascii="Calibri" w:hAnsi="Calibri"/>
          <w:sz w:val="24"/>
          <w:lang w:val="en-GB"/>
        </w:rPr>
        <w:t xml:space="preserve"> where explicitly agreed by the Commonwealth Health Minister and one or more State Health Ministers.</w:t>
      </w:r>
    </w:p>
    <w:p w14:paraId="11422CFF" w14:textId="5DA28B95"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To enact the principle set out in</w:t>
      </w:r>
      <w:r w:rsidRPr="00261C59">
        <w:rPr>
          <w:rFonts w:ascii="Calibri" w:hAnsi="Calibri"/>
          <w:sz w:val="24"/>
        </w:rPr>
        <w:t xml:space="preserve"> </w:t>
      </w:r>
      <w:r w:rsidR="00693209" w:rsidRPr="00261C59">
        <w:rPr>
          <w:rFonts w:ascii="Calibri" w:hAnsi="Calibri"/>
          <w:sz w:val="24"/>
        </w:rPr>
        <w:t xml:space="preserve">clause </w:t>
      </w:r>
      <w:r w:rsidRPr="00261C59">
        <w:rPr>
          <w:rFonts w:ascii="Calibri" w:hAnsi="Calibri"/>
          <w:sz w:val="24"/>
        </w:rPr>
        <w:t>A12</w:t>
      </w:r>
      <w:r w:rsidRPr="00261C59">
        <w:rPr>
          <w:rFonts w:ascii="Calibri" w:hAnsi="Calibri"/>
          <w:sz w:val="24"/>
          <w:szCs w:val="24"/>
        </w:rPr>
        <w:t xml:space="preserve">: </w:t>
      </w:r>
    </w:p>
    <w:p w14:paraId="32C4DB53" w14:textId="2E870215"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States will ensure that any practitioner privately billing services at a public hospital operates under a rights of private practice agreement, made in accordance with the minimum standards of this Addendum  </w:t>
      </w:r>
    </w:p>
    <w:p w14:paraId="451ECAD4" w14:textId="77777777"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Commonwealth NHR funding for admitted and non-admitted patient services will be contingent on valid patient elections, made in accordance with the minimum standards of this Addendum set out in Schedule J.   </w:t>
      </w:r>
    </w:p>
    <w:p w14:paraId="49581263" w14:textId="77777777" w:rsidR="00271836" w:rsidRPr="00261C59" w:rsidRDefault="00271836" w:rsidP="004728D9">
      <w:pPr>
        <w:numPr>
          <w:ilvl w:val="0"/>
          <w:numId w:val="54"/>
        </w:numPr>
        <w:spacing w:after="240" w:line="260" w:lineRule="exact"/>
        <w:jc w:val="left"/>
        <w:rPr>
          <w:rFonts w:ascii="Calibri" w:hAnsi="Calibri"/>
          <w:sz w:val="24"/>
        </w:rPr>
      </w:pPr>
      <w:r w:rsidRPr="00261C59">
        <w:rPr>
          <w:rFonts w:ascii="Calibri" w:hAnsi="Calibri"/>
          <w:sz w:val="24"/>
        </w:rPr>
        <w:t xml:space="preserve">The Parties agree to the principle that both the Commonwealth’s and States’ funding models will not incentivise hospitals to treat public or private patients differently. </w:t>
      </w:r>
    </w:p>
    <w:p w14:paraId="52C644F8" w14:textId="77777777" w:rsidR="00271836" w:rsidRPr="00261C59" w:rsidRDefault="00271836" w:rsidP="004728D9">
      <w:pPr>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States agree they will not change the management, delivery and funding of health and related services for the dominant purpose of making that service eligible for Commonwealth funding.  </w:t>
      </w:r>
    </w:p>
    <w:p w14:paraId="1B50B23E"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Commonwealth agrees that it will not change the management, delivery and funding of health and related services for the dominant purpose of directing services from the community into the hospital setting.</w:t>
      </w:r>
    </w:p>
    <w:p w14:paraId="01D2A754" w14:textId="77777777"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The Commonwealth will continue to support private health services through the Medicare Benefits Schedule (MBS), the Pharmaceutical Benefits Scheme (PBS) and Private Health Insurance Rebate.</w:t>
      </w:r>
    </w:p>
    <w:p w14:paraId="0969FAD7" w14:textId="77777777" w:rsidR="00271836" w:rsidRPr="00261C59" w:rsidRDefault="00271836" w:rsidP="00863A34">
      <w:pPr>
        <w:pStyle w:val="Heading2"/>
        <w:widowControl/>
        <w:adjustRightInd/>
        <w:spacing w:before="180" w:after="120"/>
        <w:jc w:val="left"/>
        <w:textAlignment w:val="auto"/>
        <w:rPr>
          <w:rFonts w:ascii="Corbel" w:hAnsi="Corbel" w:cs="Arial"/>
          <w:b w:val="0"/>
          <w:bCs w:val="0"/>
          <w:iCs/>
          <w:color w:val="3D4B67"/>
          <w:sz w:val="28"/>
          <w:szCs w:val="28"/>
        </w:rPr>
      </w:pPr>
      <w:bookmarkStart w:id="86" w:name="_Toc168578995"/>
      <w:bookmarkStart w:id="87" w:name="_Toc171350343"/>
      <w:bookmarkStart w:id="88" w:name="_Toc172210225"/>
      <w:bookmarkStart w:id="89" w:name="_Toc172787675"/>
      <w:bookmarkStart w:id="90" w:name="_Toc173937693"/>
      <w:bookmarkStart w:id="91" w:name="_Toc183183291"/>
      <w:bookmarkStart w:id="92" w:name="_Toc201673949"/>
      <w:bookmarkStart w:id="93" w:name="_Toc210833583"/>
      <w:bookmarkStart w:id="94" w:name="_Toc214456483"/>
      <w:bookmarkStart w:id="95" w:name="_Toc221087962"/>
      <w:r w:rsidRPr="00261C59">
        <w:rPr>
          <w:rFonts w:ascii="Corbel" w:eastAsia="Times New Roman" w:hAnsi="Corbel" w:cs="Arial"/>
          <w:color w:val="3D4B67"/>
          <w:sz w:val="28"/>
          <w:szCs w:val="28"/>
        </w:rPr>
        <w:lastRenderedPageBreak/>
        <w:t xml:space="preserve">Part 1 – </w:t>
      </w:r>
      <w:bookmarkEnd w:id="86"/>
      <w:bookmarkEnd w:id="87"/>
      <w:bookmarkEnd w:id="88"/>
      <w:bookmarkEnd w:id="89"/>
      <w:bookmarkEnd w:id="90"/>
      <w:r w:rsidRPr="00261C59">
        <w:rPr>
          <w:rFonts w:ascii="Corbel" w:eastAsia="Times New Roman" w:hAnsi="Corbel" w:cs="Arial"/>
          <w:color w:val="3D4B67"/>
          <w:sz w:val="28"/>
          <w:szCs w:val="28"/>
        </w:rPr>
        <w:t>The National Funding Model</w:t>
      </w:r>
      <w:bookmarkEnd w:id="91"/>
      <w:bookmarkEnd w:id="92"/>
      <w:bookmarkEnd w:id="93"/>
      <w:bookmarkEnd w:id="94"/>
      <w:bookmarkEnd w:id="95"/>
    </w:p>
    <w:p w14:paraId="41C8BBDC" w14:textId="2B907100" w:rsidR="00271836" w:rsidRPr="00261C59" w:rsidRDefault="00271836" w:rsidP="00B2231F">
      <w:pPr>
        <w:keepLines/>
        <w:numPr>
          <w:ilvl w:val="0"/>
          <w:numId w:val="54"/>
        </w:numPr>
        <w:spacing w:after="240" w:line="260" w:lineRule="exact"/>
        <w:jc w:val="left"/>
        <w:rPr>
          <w:rFonts w:ascii="Calibri" w:hAnsi="Calibri"/>
          <w:sz w:val="24"/>
          <w:szCs w:val="24"/>
          <w:lang w:val="en-GB"/>
        </w:rPr>
      </w:pPr>
      <w:r w:rsidRPr="00261C59">
        <w:rPr>
          <w:rFonts w:ascii="Calibri" w:hAnsi="Calibri" w:cs="Calibri"/>
          <w:sz w:val="24"/>
          <w:szCs w:val="24"/>
          <w:lang w:val="en-GB"/>
        </w:rPr>
        <w:t>This Addendum is to be used for calculating the Commonwealth’s funding contribution to the States for the five financial years of 2026-27 to 2030-31. The calculation of the Commonwealth’s funding contribution for 2025-26 will be undertaken according to arrangements and processes in Schedule K – Addendum to the National Health Reform Agreement: Revised public hospital funding and health reform arrangements for 2025-26.</w:t>
      </w:r>
    </w:p>
    <w:p w14:paraId="4CDBC8C5" w14:textId="77777777" w:rsidR="00271836" w:rsidRPr="00261C59" w:rsidRDefault="00271836" w:rsidP="004728D9">
      <w:pPr>
        <w:numPr>
          <w:ilvl w:val="0"/>
          <w:numId w:val="54"/>
        </w:numPr>
        <w:spacing w:after="240" w:line="260" w:lineRule="exact"/>
        <w:jc w:val="left"/>
        <w:rPr>
          <w:rFonts w:ascii="Calibri" w:hAnsi="Calibri"/>
          <w:sz w:val="24"/>
          <w:szCs w:val="24"/>
          <w:lang w:val="en-GB"/>
        </w:rPr>
      </w:pPr>
      <w:r w:rsidRPr="00261C59">
        <w:rPr>
          <w:rFonts w:ascii="Calibri" w:hAnsi="Calibri" w:cs="Calibri"/>
          <w:sz w:val="24"/>
          <w:szCs w:val="24"/>
          <w:lang w:val="en-GB"/>
        </w:rPr>
        <w:t xml:space="preserve">The Administrator is responsible for performing the calculations contained in this Part and advising all Parties on the outputs of those calculations. </w:t>
      </w:r>
    </w:p>
    <w:p w14:paraId="26B200AA" w14:textId="77777777"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Where the calculations contained in this Part rely on an input or parameter that is not available, or is not finalised, the Administrator will calculate and apply an approach consistent with the intent of this Schedule and Schedule I.</w:t>
      </w:r>
    </w:p>
    <w:p w14:paraId="15D03E18" w14:textId="77777777" w:rsidR="00271836" w:rsidRPr="00261C59" w:rsidRDefault="00271836" w:rsidP="00863A34">
      <w:pPr>
        <w:jc w:val="left"/>
        <w:outlineLvl w:val="2"/>
        <w:rPr>
          <w:rFonts w:ascii="Corbel" w:hAnsi="Corbel"/>
          <w:color w:val="3D4B67"/>
          <w:sz w:val="28"/>
          <w:szCs w:val="48"/>
          <w:lang w:eastAsia="ja-JP"/>
        </w:rPr>
      </w:pPr>
      <w:bookmarkStart w:id="96" w:name="_Toc171350344"/>
      <w:bookmarkStart w:id="97" w:name="_Toc172210226"/>
      <w:bookmarkStart w:id="98" w:name="_Toc172787676"/>
      <w:bookmarkStart w:id="99" w:name="_Toc173937694"/>
      <w:bookmarkStart w:id="100" w:name="_Toc183183292"/>
      <w:bookmarkStart w:id="101" w:name="_Toc201673950"/>
      <w:bookmarkStart w:id="102" w:name="_Toc210833584"/>
      <w:bookmarkStart w:id="103" w:name="_Toc214456484"/>
      <w:bookmarkStart w:id="104" w:name="_Toc221087963"/>
      <w:r w:rsidRPr="00261C59">
        <w:rPr>
          <w:rFonts w:ascii="Corbel" w:hAnsi="Corbel"/>
          <w:color w:val="3D4B67"/>
          <w:sz w:val="28"/>
          <w:szCs w:val="48"/>
          <w:lang w:eastAsia="ja-JP"/>
        </w:rPr>
        <w:t>Activity Based Funding calculation</w:t>
      </w:r>
      <w:bookmarkEnd w:id="96"/>
      <w:bookmarkEnd w:id="97"/>
      <w:bookmarkEnd w:id="98"/>
      <w:bookmarkEnd w:id="99"/>
      <w:bookmarkEnd w:id="100"/>
      <w:bookmarkEnd w:id="101"/>
      <w:bookmarkEnd w:id="102"/>
      <w:bookmarkEnd w:id="103"/>
      <w:bookmarkEnd w:id="104"/>
      <w:r w:rsidRPr="00261C59">
        <w:rPr>
          <w:rFonts w:ascii="Corbel" w:hAnsi="Corbel"/>
          <w:color w:val="3D4B67"/>
          <w:sz w:val="28"/>
          <w:szCs w:val="48"/>
          <w:lang w:eastAsia="ja-JP"/>
        </w:rPr>
        <w:t xml:space="preserve"> </w:t>
      </w:r>
    </w:p>
    <w:p w14:paraId="70EAEB5E" w14:textId="7B965249" w:rsidR="00271836" w:rsidRPr="00261C59" w:rsidRDefault="00271836" w:rsidP="004728D9">
      <w:pPr>
        <w:numPr>
          <w:ilvl w:val="0"/>
          <w:numId w:val="54"/>
        </w:numPr>
        <w:spacing w:after="240" w:line="260" w:lineRule="exact"/>
        <w:jc w:val="left"/>
        <w:rPr>
          <w:rFonts w:ascii="Calibri" w:hAnsi="Calibri" w:cs="Calibri"/>
          <w:sz w:val="24"/>
          <w:szCs w:val="24"/>
          <w:lang w:val="en-GB"/>
        </w:rPr>
      </w:pPr>
      <w:r w:rsidRPr="00261C59">
        <w:rPr>
          <w:rFonts w:ascii="Calibri" w:hAnsi="Calibri" w:cs="Calibri"/>
          <w:sz w:val="24"/>
          <w:szCs w:val="24"/>
          <w:lang w:val="en-GB"/>
        </w:rPr>
        <w:t xml:space="preserve">The Commonwealth will fund ABF service delivery at an increasing rate, as determined by the glide path </w:t>
      </w:r>
      <w:r w:rsidR="00431306" w:rsidRPr="00261C59">
        <w:rPr>
          <w:rFonts w:ascii="Calibri" w:hAnsi="Calibri" w:cs="Calibri"/>
          <w:sz w:val="24"/>
          <w:szCs w:val="24"/>
          <w:lang w:val="en-GB"/>
        </w:rPr>
        <w:t>(</w:t>
      </w:r>
      <w:r w:rsidRPr="00261C59">
        <w:rPr>
          <w:rFonts w:ascii="Calibri" w:hAnsi="Calibri" w:cs="Calibri"/>
          <w:sz w:val="24"/>
          <w:szCs w:val="24"/>
          <w:lang w:val="en-GB"/>
        </w:rPr>
        <w:t>clause A</w:t>
      </w:r>
      <w:r w:rsidR="00E14903" w:rsidRPr="00261C59">
        <w:rPr>
          <w:rFonts w:ascii="Calibri" w:hAnsi="Calibri" w:cs="Calibri"/>
          <w:sz w:val="24"/>
          <w:szCs w:val="24"/>
          <w:lang w:val="en-GB"/>
        </w:rPr>
        <w:t>36</w:t>
      </w:r>
      <w:r w:rsidR="00431306" w:rsidRPr="00261C59">
        <w:rPr>
          <w:rFonts w:ascii="Calibri" w:hAnsi="Calibri" w:cs="Calibri"/>
          <w:sz w:val="24"/>
          <w:szCs w:val="24"/>
          <w:lang w:val="en-GB"/>
        </w:rPr>
        <w:t>)</w:t>
      </w:r>
      <w:r w:rsidRPr="00261C59">
        <w:rPr>
          <w:rFonts w:ascii="Calibri" w:hAnsi="Calibri" w:cs="Calibri"/>
          <w:sz w:val="24"/>
          <w:szCs w:val="24"/>
          <w:lang w:val="en-GB"/>
        </w:rPr>
        <w:t>.</w:t>
      </w:r>
      <w:r w:rsidRPr="00261C59" w:rsidDel="00F35F3B">
        <w:rPr>
          <w:rFonts w:ascii="Calibri" w:hAnsi="Calibri" w:cs="Calibri"/>
          <w:sz w:val="24"/>
          <w:szCs w:val="24"/>
          <w:lang w:val="en-GB"/>
        </w:rPr>
        <w:t xml:space="preserve"> </w:t>
      </w:r>
    </w:p>
    <w:p w14:paraId="7F546E61" w14:textId="77777777" w:rsidR="00271836" w:rsidRPr="00261C59" w:rsidRDefault="00271836" w:rsidP="004728D9">
      <w:pPr>
        <w:numPr>
          <w:ilvl w:val="0"/>
          <w:numId w:val="54"/>
        </w:numPr>
        <w:spacing w:after="240" w:line="260" w:lineRule="exact"/>
        <w:jc w:val="left"/>
        <w:rPr>
          <w:rFonts w:ascii="Calibri" w:hAnsi="Calibri" w:cs="Calibri"/>
          <w:sz w:val="24"/>
          <w:szCs w:val="24"/>
        </w:rPr>
      </w:pPr>
      <w:r w:rsidRPr="00261C59">
        <w:rPr>
          <w:rFonts w:ascii="Calibri" w:hAnsi="Calibri" w:cs="Calibri"/>
          <w:sz w:val="24"/>
          <w:szCs w:val="24"/>
        </w:rPr>
        <w:t>The Commonwealth’s funding of ABF service delivery will be calculated and reported on discrete categories of service as defined by the Administrator, known as ABF service categories.</w:t>
      </w:r>
    </w:p>
    <w:p w14:paraId="651B7B8B" w14:textId="77777777" w:rsidR="00271836" w:rsidRPr="00261C59" w:rsidRDefault="00271836" w:rsidP="004728D9">
      <w:pPr>
        <w:numPr>
          <w:ilvl w:val="0"/>
          <w:numId w:val="54"/>
        </w:numPr>
        <w:spacing w:after="240" w:line="260" w:lineRule="exact"/>
        <w:jc w:val="left"/>
        <w:rPr>
          <w:rFonts w:ascii="Calibri" w:hAnsi="Calibri" w:cs="Calibri"/>
          <w:sz w:val="24"/>
          <w:szCs w:val="24"/>
        </w:rPr>
      </w:pPr>
      <w:r w:rsidRPr="00261C59">
        <w:rPr>
          <w:rFonts w:ascii="Calibri" w:hAnsi="Calibri" w:cs="Calibri"/>
          <w:sz w:val="24"/>
          <w:szCs w:val="24"/>
        </w:rPr>
        <w:t>The Commonwealth’s funding contribution for each ABF service category will be calculated individually for each State by multiplying:</w:t>
      </w:r>
    </w:p>
    <w:p w14:paraId="6A5F6A85" w14:textId="2B603CE1" w:rsidR="00271836" w:rsidRPr="00261C59" w:rsidRDefault="00271836" w:rsidP="004728D9">
      <w:pPr>
        <w:numPr>
          <w:ilvl w:val="1"/>
          <w:numId w:val="54"/>
        </w:numPr>
        <w:spacing w:after="240" w:line="260" w:lineRule="exact"/>
        <w:jc w:val="left"/>
        <w:rPr>
          <w:rFonts w:ascii="Calibri" w:hAnsi="Calibri"/>
          <w:sz w:val="24"/>
          <w:szCs w:val="24"/>
          <w:lang w:val="en-GB"/>
        </w:rPr>
      </w:pPr>
      <w:r w:rsidRPr="5AEF6EDE">
        <w:rPr>
          <w:rFonts w:ascii="Calibri" w:hAnsi="Calibri"/>
          <w:sz w:val="24"/>
          <w:szCs w:val="24"/>
          <w:lang w:val="en-GB"/>
        </w:rPr>
        <w:t>activity – the volume of weighted ABF services provided in the current year for that ABF service category as measured in National Weighted Activity Units (NWAUs)</w:t>
      </w:r>
    </w:p>
    <w:p w14:paraId="69866727" w14:textId="0D05CA21" w:rsidR="00271836" w:rsidRPr="00261C59" w:rsidRDefault="00271836" w:rsidP="004728D9">
      <w:pPr>
        <w:numPr>
          <w:ilvl w:val="1"/>
          <w:numId w:val="54"/>
        </w:numPr>
        <w:spacing w:after="240" w:line="260" w:lineRule="exact"/>
        <w:jc w:val="left"/>
        <w:rPr>
          <w:rFonts w:ascii="Calibri" w:hAnsi="Calibri"/>
          <w:sz w:val="24"/>
          <w:szCs w:val="24"/>
          <w:lang w:val="en-GB"/>
        </w:rPr>
      </w:pPr>
      <w:r w:rsidRPr="524C7F12">
        <w:rPr>
          <w:rFonts w:ascii="Calibri" w:hAnsi="Calibri"/>
          <w:sz w:val="24"/>
          <w:szCs w:val="24"/>
          <w:lang w:val="en-GB"/>
        </w:rPr>
        <w:t xml:space="preserve">price – </w:t>
      </w:r>
      <w:r w:rsidRPr="00261C59">
        <w:rPr>
          <w:rFonts w:ascii="Calibri" w:hAnsi="Calibri"/>
          <w:sz w:val="24"/>
          <w:szCs w:val="24"/>
          <w:lang w:val="en-GB"/>
        </w:rPr>
        <w:t>the National Efficient Price for that year as determined by the IHACPA</w:t>
      </w:r>
    </w:p>
    <w:p w14:paraId="64302027" w14:textId="16BFCE95"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lang w:val="en-GB"/>
        </w:rPr>
        <w:t xml:space="preserve">input contribution rate </w:t>
      </w:r>
      <w:r w:rsidRPr="00261C59">
        <w:rPr>
          <w:rFonts w:ascii="Calibri" w:hAnsi="Calibri"/>
          <w:sz w:val="24"/>
          <w:szCs w:val="24"/>
          <w:lang w:val="en-GB"/>
        </w:rPr>
        <w:t>– the rate for that financial year as determined by clause</w:t>
      </w:r>
      <w:r w:rsidR="004274C2" w:rsidRPr="00261C59">
        <w:rPr>
          <w:rFonts w:ascii="Calibri" w:hAnsi="Calibri"/>
          <w:sz w:val="24"/>
          <w:szCs w:val="24"/>
          <w:lang w:val="en-GB"/>
        </w:rPr>
        <w:t>s A3</w:t>
      </w:r>
      <w:r w:rsidR="00545DB0" w:rsidRPr="00261C59">
        <w:rPr>
          <w:rFonts w:ascii="Calibri" w:hAnsi="Calibri"/>
          <w:sz w:val="24"/>
          <w:szCs w:val="24"/>
          <w:lang w:val="en-GB"/>
        </w:rPr>
        <w:t>4 to</w:t>
      </w:r>
      <w:r w:rsidRPr="00261C59">
        <w:rPr>
          <w:rFonts w:ascii="Calibri" w:hAnsi="Calibri"/>
          <w:sz w:val="24"/>
          <w:szCs w:val="24"/>
          <w:lang w:val="en-GB"/>
        </w:rPr>
        <w:t xml:space="preserve"> A</w:t>
      </w:r>
      <w:r w:rsidR="00AA10B1" w:rsidRPr="00261C59">
        <w:rPr>
          <w:rFonts w:ascii="Calibri" w:hAnsi="Calibri"/>
          <w:sz w:val="24"/>
          <w:szCs w:val="24"/>
          <w:lang w:val="en-GB"/>
        </w:rPr>
        <w:t>36</w:t>
      </w:r>
      <w:r w:rsidRPr="00261C59">
        <w:rPr>
          <w:rFonts w:ascii="Calibri" w:hAnsi="Calibri"/>
          <w:sz w:val="24"/>
          <w:szCs w:val="24"/>
          <w:lang w:val="en-GB"/>
        </w:rPr>
        <w:t>.</w:t>
      </w:r>
      <w:r w:rsidRPr="00261C59" w:rsidDel="00894B52">
        <w:rPr>
          <w:rFonts w:ascii="Calibri" w:hAnsi="Calibri"/>
          <w:sz w:val="24"/>
          <w:lang w:val="en-GB"/>
        </w:rPr>
        <w:t xml:space="preserve"> </w:t>
      </w:r>
    </w:p>
    <w:p w14:paraId="254E61F8" w14:textId="77777777" w:rsidR="00271836" w:rsidRPr="00261C59" w:rsidRDefault="00271836" w:rsidP="00A40790">
      <w:pPr>
        <w:jc w:val="left"/>
        <w:outlineLvl w:val="2"/>
        <w:rPr>
          <w:rFonts w:ascii="Corbel" w:eastAsia="Yu Gothic Light" w:hAnsi="Corbel"/>
          <w:b/>
          <w:bCs/>
          <w:iCs/>
          <w:color w:val="3D4B67"/>
          <w:sz w:val="28"/>
          <w:szCs w:val="48"/>
          <w:lang w:eastAsia="ja-JP"/>
        </w:rPr>
      </w:pPr>
      <w:bookmarkStart w:id="105" w:name="_Toc171350345"/>
      <w:bookmarkStart w:id="106" w:name="_Toc172210227"/>
      <w:bookmarkStart w:id="107" w:name="_Toc172787677"/>
      <w:bookmarkStart w:id="108" w:name="_Toc173937695"/>
      <w:bookmarkStart w:id="109" w:name="_Toc183183293"/>
      <w:bookmarkStart w:id="110" w:name="_Toc201673951"/>
      <w:bookmarkStart w:id="111" w:name="_Toc210833585"/>
      <w:bookmarkStart w:id="112" w:name="_Toc214456485"/>
      <w:bookmarkStart w:id="113" w:name="_Toc221087964"/>
      <w:r w:rsidRPr="00261C59">
        <w:rPr>
          <w:rFonts w:ascii="Corbel" w:hAnsi="Corbel"/>
          <w:color w:val="3D4B67"/>
          <w:sz w:val="28"/>
          <w:szCs w:val="48"/>
          <w:lang w:eastAsia="ja-JP"/>
        </w:rPr>
        <w:t>Block Funding calculation</w:t>
      </w:r>
      <w:bookmarkEnd w:id="105"/>
      <w:bookmarkEnd w:id="106"/>
      <w:bookmarkEnd w:id="107"/>
      <w:bookmarkEnd w:id="108"/>
      <w:bookmarkEnd w:id="109"/>
      <w:bookmarkEnd w:id="110"/>
      <w:bookmarkEnd w:id="111"/>
      <w:bookmarkEnd w:id="112"/>
      <w:bookmarkEnd w:id="113"/>
      <w:r w:rsidRPr="00261C59">
        <w:rPr>
          <w:rFonts w:ascii="Corbel" w:hAnsi="Corbel"/>
          <w:color w:val="3D4B67"/>
          <w:sz w:val="28"/>
          <w:szCs w:val="48"/>
          <w:lang w:eastAsia="ja-JP"/>
        </w:rPr>
        <w:t xml:space="preserve"> </w:t>
      </w:r>
    </w:p>
    <w:p w14:paraId="4B112CDA"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Commonwealth’s funding of Block service delivery will be calculated and reported on discrete categories of service as defined in the Block Funding Criteria, known as block service categories.</w:t>
      </w:r>
    </w:p>
    <w:p w14:paraId="6CF28527"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Commonwealth’s funding contribution for each block service category will be calculated for each State by multiplying:</w:t>
      </w:r>
    </w:p>
    <w:p w14:paraId="2EEB20D4" w14:textId="470CB1DC" w:rsidR="00271836" w:rsidRPr="00261C59" w:rsidRDefault="00271836" w:rsidP="004728D9">
      <w:pPr>
        <w:numPr>
          <w:ilvl w:val="1"/>
          <w:numId w:val="54"/>
        </w:numPr>
        <w:spacing w:after="240" w:line="260" w:lineRule="exact"/>
        <w:jc w:val="left"/>
        <w:rPr>
          <w:rFonts w:ascii="Calibri" w:hAnsi="Calibri"/>
          <w:sz w:val="24"/>
          <w:szCs w:val="24"/>
          <w:lang w:val="en-GB"/>
        </w:rPr>
      </w:pPr>
      <w:r w:rsidRPr="63926B42">
        <w:rPr>
          <w:rFonts w:ascii="Calibri" w:hAnsi="Calibri"/>
          <w:sz w:val="24"/>
          <w:szCs w:val="24"/>
          <w:lang w:val="en-GB"/>
        </w:rPr>
        <w:t>cost</w:t>
      </w:r>
      <w:r w:rsidRPr="00261C59">
        <w:rPr>
          <w:rFonts w:ascii="Calibri" w:hAnsi="Calibri"/>
          <w:sz w:val="24"/>
          <w:szCs w:val="24"/>
          <w:lang w:val="en-GB"/>
        </w:rPr>
        <w:t xml:space="preserve"> – the National Efficient Cost for each State in the current year for that block service category as determined by the IHACPA</w:t>
      </w:r>
    </w:p>
    <w:p w14:paraId="0D574201" w14:textId="5658FCCE"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lang w:val="en-GB"/>
        </w:rPr>
        <w:t>input contribution rate</w:t>
      </w:r>
      <w:r w:rsidRPr="00261C59">
        <w:rPr>
          <w:rFonts w:ascii="Calibri" w:hAnsi="Calibri"/>
          <w:sz w:val="24"/>
          <w:szCs w:val="24"/>
          <w:lang w:val="en-GB"/>
        </w:rPr>
        <w:t xml:space="preserve"> – the rate for that financial year as determined by clause</w:t>
      </w:r>
      <w:r w:rsidR="007C438E" w:rsidRPr="00261C59">
        <w:rPr>
          <w:rFonts w:ascii="Calibri" w:hAnsi="Calibri"/>
          <w:sz w:val="24"/>
          <w:szCs w:val="24"/>
          <w:lang w:val="en-GB"/>
        </w:rPr>
        <w:t>s A3</w:t>
      </w:r>
      <w:r w:rsidR="00545DB0" w:rsidRPr="00261C59">
        <w:rPr>
          <w:rFonts w:ascii="Calibri" w:hAnsi="Calibri"/>
          <w:sz w:val="24"/>
          <w:szCs w:val="24"/>
          <w:lang w:val="en-GB"/>
        </w:rPr>
        <w:t>4 to</w:t>
      </w:r>
      <w:r w:rsidR="007C438E" w:rsidRPr="00261C59">
        <w:rPr>
          <w:rFonts w:ascii="Calibri" w:hAnsi="Calibri"/>
          <w:sz w:val="24"/>
          <w:szCs w:val="24"/>
          <w:lang w:val="en-GB"/>
        </w:rPr>
        <w:t xml:space="preserve"> A36</w:t>
      </w:r>
      <w:r w:rsidRPr="00261C59">
        <w:rPr>
          <w:rFonts w:ascii="Calibri" w:hAnsi="Calibri"/>
          <w:sz w:val="24"/>
          <w:szCs w:val="24"/>
          <w:lang w:val="en-GB"/>
        </w:rPr>
        <w:t>.</w:t>
      </w:r>
      <w:r w:rsidRPr="00261C59" w:rsidDel="00D77E23">
        <w:rPr>
          <w:rFonts w:ascii="Calibri" w:hAnsi="Calibri"/>
          <w:sz w:val="24"/>
          <w:szCs w:val="24"/>
          <w:lang w:val="en-GB"/>
        </w:rPr>
        <w:t xml:space="preserve"> </w:t>
      </w:r>
    </w:p>
    <w:p w14:paraId="678BE3CC" w14:textId="77777777" w:rsidR="00271836" w:rsidRPr="00261C59" w:rsidRDefault="00271836" w:rsidP="00B2231F">
      <w:pPr>
        <w:keepNext/>
        <w:jc w:val="left"/>
        <w:outlineLvl w:val="2"/>
        <w:rPr>
          <w:rFonts w:ascii="Corbel" w:hAnsi="Corbel"/>
          <w:color w:val="3D4B67"/>
          <w:sz w:val="28"/>
          <w:szCs w:val="28"/>
          <w:lang w:eastAsia="ja-JP"/>
        </w:rPr>
      </w:pPr>
      <w:bookmarkStart w:id="114" w:name="_Toc172210229"/>
      <w:bookmarkStart w:id="115" w:name="_Toc171350347"/>
      <w:bookmarkStart w:id="116" w:name="_Toc172787679"/>
      <w:bookmarkStart w:id="117" w:name="_Toc173937697"/>
      <w:bookmarkStart w:id="118" w:name="_Toc183183294"/>
      <w:bookmarkStart w:id="119" w:name="_Toc201673952"/>
      <w:bookmarkStart w:id="120" w:name="_Toc210833586"/>
      <w:bookmarkStart w:id="121" w:name="_Toc214456486"/>
      <w:bookmarkStart w:id="122" w:name="_Toc221087965"/>
      <w:r w:rsidRPr="00261C59">
        <w:rPr>
          <w:rFonts w:ascii="Corbel" w:hAnsi="Corbel"/>
          <w:color w:val="3D4B67"/>
          <w:sz w:val="28"/>
          <w:szCs w:val="28"/>
          <w:lang w:eastAsia="ja-JP"/>
        </w:rPr>
        <w:lastRenderedPageBreak/>
        <w:t>Public Health Funding</w:t>
      </w:r>
      <w:bookmarkEnd w:id="114"/>
      <w:r w:rsidRPr="00261C59">
        <w:rPr>
          <w:rFonts w:ascii="Corbel" w:hAnsi="Corbel"/>
          <w:color w:val="3D4B67"/>
          <w:sz w:val="28"/>
          <w:szCs w:val="28"/>
          <w:lang w:eastAsia="ja-JP"/>
        </w:rPr>
        <w:t xml:space="preserve"> </w:t>
      </w:r>
      <w:bookmarkEnd w:id="115"/>
      <w:r w:rsidRPr="00261C59">
        <w:rPr>
          <w:rFonts w:ascii="Corbel" w:hAnsi="Corbel"/>
          <w:color w:val="3D4B67"/>
          <w:sz w:val="28"/>
          <w:szCs w:val="28"/>
          <w:lang w:eastAsia="ja-JP"/>
        </w:rPr>
        <w:t>calculation</w:t>
      </w:r>
      <w:bookmarkEnd w:id="116"/>
      <w:bookmarkEnd w:id="117"/>
      <w:bookmarkEnd w:id="118"/>
      <w:bookmarkEnd w:id="119"/>
      <w:bookmarkEnd w:id="120"/>
      <w:bookmarkEnd w:id="121"/>
      <w:bookmarkEnd w:id="122"/>
    </w:p>
    <w:p w14:paraId="7CAEF53A" w14:textId="2EE75516" w:rsidR="00271836" w:rsidRPr="00261C59" w:rsidRDefault="00271836" w:rsidP="00B2231F">
      <w:pPr>
        <w:keepLines/>
        <w:numPr>
          <w:ilvl w:val="0"/>
          <w:numId w:val="54"/>
        </w:numPr>
        <w:spacing w:after="240" w:line="260" w:lineRule="exact"/>
        <w:jc w:val="left"/>
        <w:rPr>
          <w:rFonts w:ascii="Calibri" w:hAnsi="Calibri"/>
          <w:sz w:val="24"/>
        </w:rPr>
      </w:pPr>
      <w:r w:rsidRPr="00261C59">
        <w:rPr>
          <w:rFonts w:ascii="Calibri" w:hAnsi="Calibri"/>
          <w:sz w:val="24"/>
          <w:szCs w:val="24"/>
        </w:rPr>
        <w:t xml:space="preserve">The Commonwealth’s funding contribution to public health will continue to grow by the former National Healthcare Specific Purpose Payment (SPP) growth factor until the process for incorporating Public Health Funding in the Block Funding stream is resolved and adopted by unanimous agreement of the Parties through HMM (see clause </w:t>
      </w:r>
      <w:r w:rsidRPr="00261C59">
        <w:rPr>
          <w:rFonts w:ascii="Calibri" w:hAnsi="Calibri"/>
          <w:sz w:val="24"/>
        </w:rPr>
        <w:t>A8</w:t>
      </w:r>
      <w:r w:rsidR="00837B9D" w:rsidRPr="00261C59">
        <w:rPr>
          <w:rFonts w:ascii="Calibri" w:hAnsi="Calibri"/>
          <w:sz w:val="24"/>
        </w:rPr>
        <w:t>0</w:t>
      </w:r>
      <w:r w:rsidRPr="00261C59">
        <w:rPr>
          <w:rFonts w:ascii="Calibri" w:hAnsi="Calibri"/>
          <w:sz w:val="24"/>
          <w:szCs w:val="24"/>
        </w:rPr>
        <w:t>).</w:t>
      </w:r>
    </w:p>
    <w:p w14:paraId="5F02B664" w14:textId="77777777" w:rsidR="00271836" w:rsidRPr="00261C59" w:rsidRDefault="00271836" w:rsidP="004728D9">
      <w:pPr>
        <w:keepNext/>
        <w:numPr>
          <w:ilvl w:val="0"/>
          <w:numId w:val="54"/>
        </w:numPr>
        <w:spacing w:after="240" w:line="260" w:lineRule="exact"/>
        <w:jc w:val="left"/>
        <w:rPr>
          <w:rFonts w:ascii="Calibri" w:hAnsi="Calibri"/>
          <w:sz w:val="24"/>
        </w:rPr>
      </w:pPr>
      <w:r w:rsidRPr="00261C59">
        <w:rPr>
          <w:rFonts w:ascii="Calibri" w:hAnsi="Calibri"/>
          <w:sz w:val="24"/>
          <w:szCs w:val="24"/>
        </w:rPr>
        <w:t>Until Public Health Funding is included in the Block Funding stream:</w:t>
      </w:r>
    </w:p>
    <w:p w14:paraId="061C1224" w14:textId="0D4CD153" w:rsidR="00271836" w:rsidRPr="00261C59" w:rsidRDefault="1CE54120" w:rsidP="004728D9">
      <w:pPr>
        <w:numPr>
          <w:ilvl w:val="1"/>
          <w:numId w:val="54"/>
        </w:numPr>
        <w:spacing w:after="240" w:line="260" w:lineRule="exact"/>
        <w:jc w:val="left"/>
        <w:rPr>
          <w:rFonts w:ascii="Calibri" w:hAnsi="Calibri"/>
          <w:sz w:val="24"/>
          <w:szCs w:val="24"/>
          <w:lang w:val="en-GB"/>
        </w:rPr>
      </w:pPr>
      <w:r w:rsidRPr="63926B42">
        <w:rPr>
          <w:rFonts w:ascii="Calibri" w:hAnsi="Calibri"/>
          <w:sz w:val="24"/>
          <w:szCs w:val="24"/>
          <w:lang w:val="en-GB"/>
        </w:rPr>
        <w:t>t</w:t>
      </w:r>
      <w:r w:rsidR="00271836" w:rsidRPr="63926B42">
        <w:rPr>
          <w:rFonts w:ascii="Calibri" w:hAnsi="Calibri"/>
          <w:sz w:val="24"/>
          <w:szCs w:val="24"/>
          <w:lang w:val="en-GB"/>
        </w:rPr>
        <w:t>he Commonwealth’s funding contribution for public health activities will be equal to the previous year’s funding indexed by the former National Healthcare SPP growth factor</w:t>
      </w:r>
    </w:p>
    <w:p w14:paraId="7DF0B38F" w14:textId="77777777"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States will continue to have full discretion over application of the Public Health Funding to achieve the outcomes set out in the National Healthcare Agreement 2012.</w:t>
      </w:r>
    </w:p>
    <w:p w14:paraId="162575E7" w14:textId="5B6CC7C2" w:rsidR="00271836" w:rsidRPr="00261C59" w:rsidRDefault="00271836" w:rsidP="00863A34">
      <w:pPr>
        <w:keepNext/>
        <w:widowControl/>
        <w:jc w:val="left"/>
        <w:outlineLvl w:val="2"/>
        <w:rPr>
          <w:rFonts w:ascii="Corbel" w:hAnsi="Corbel"/>
          <w:color w:val="3D4B67"/>
          <w:sz w:val="28"/>
          <w:szCs w:val="48"/>
          <w:lang w:eastAsia="ja-JP"/>
        </w:rPr>
      </w:pPr>
      <w:bookmarkStart w:id="123" w:name="_Toc171350348"/>
      <w:bookmarkStart w:id="124" w:name="_Toc172787680"/>
      <w:bookmarkStart w:id="125" w:name="_Toc173937698"/>
      <w:bookmarkStart w:id="126" w:name="_Toc183183295"/>
      <w:bookmarkStart w:id="127" w:name="_Toc201673953"/>
      <w:bookmarkStart w:id="128" w:name="_Toc210833587"/>
      <w:bookmarkStart w:id="129" w:name="_Toc214456487"/>
      <w:bookmarkStart w:id="130" w:name="_Toc221087966"/>
      <w:bookmarkStart w:id="131" w:name="_Toc172210230"/>
      <w:r w:rsidRPr="00261C59">
        <w:rPr>
          <w:rFonts w:ascii="Corbel" w:hAnsi="Corbel"/>
          <w:color w:val="3D4B67"/>
          <w:sz w:val="28"/>
          <w:szCs w:val="28"/>
          <w:lang w:eastAsia="ja-JP"/>
        </w:rPr>
        <w:t xml:space="preserve">Service Model Reform Funding </w:t>
      </w:r>
      <w:bookmarkEnd w:id="123"/>
      <w:r w:rsidRPr="00261C59">
        <w:rPr>
          <w:rFonts w:ascii="Corbel" w:hAnsi="Corbel"/>
          <w:color w:val="3D4B67"/>
          <w:sz w:val="28"/>
          <w:szCs w:val="28"/>
          <w:lang w:eastAsia="ja-JP"/>
        </w:rPr>
        <w:t>calculation</w:t>
      </w:r>
      <w:bookmarkEnd w:id="124"/>
      <w:bookmarkEnd w:id="125"/>
      <w:bookmarkEnd w:id="126"/>
      <w:bookmarkEnd w:id="127"/>
      <w:bookmarkEnd w:id="128"/>
      <w:bookmarkEnd w:id="129"/>
      <w:bookmarkEnd w:id="130"/>
      <w:r w:rsidRPr="00261C59">
        <w:rPr>
          <w:rFonts w:ascii="Corbel" w:hAnsi="Corbel"/>
          <w:color w:val="3D4B67"/>
          <w:sz w:val="28"/>
          <w:szCs w:val="28"/>
          <w:lang w:eastAsia="ja-JP"/>
        </w:rPr>
        <w:t xml:space="preserve"> </w:t>
      </w:r>
      <w:bookmarkEnd w:id="131"/>
    </w:p>
    <w:p w14:paraId="3628E99F" w14:textId="1AEED826" w:rsidR="00271836" w:rsidRPr="00261C59" w:rsidRDefault="00271836" w:rsidP="00830547">
      <w:pPr>
        <w:numPr>
          <w:ilvl w:val="0"/>
          <w:numId w:val="54"/>
        </w:numPr>
        <w:spacing w:after="240" w:line="260" w:lineRule="exact"/>
        <w:jc w:val="left"/>
        <w:rPr>
          <w:rFonts w:ascii="Calibri" w:hAnsi="Calibri"/>
          <w:sz w:val="24"/>
          <w:szCs w:val="24"/>
          <w:lang w:val="en-GB"/>
        </w:rPr>
      </w:pPr>
      <w:r w:rsidRPr="00261C59">
        <w:rPr>
          <w:rFonts w:ascii="Calibri" w:hAnsi="Calibri"/>
          <w:sz w:val="24"/>
          <w:szCs w:val="24"/>
        </w:rPr>
        <w:t>The Service Model Reform Funding (SMRF) stream is a new dedicated funding stream to be established under this agreement from 2027-28 as a mechanism to foster system-wide innovation and improved productivity (refer Schedule D)</w:t>
      </w:r>
      <w:r w:rsidRPr="00261C59">
        <w:rPr>
          <w:rFonts w:ascii="Calibri" w:hAnsi="Calibri"/>
          <w:sz w:val="24"/>
          <w:szCs w:val="24"/>
          <w:lang w:val="en-GB"/>
        </w:rPr>
        <w:t>.</w:t>
      </w:r>
    </w:p>
    <w:p w14:paraId="5A975645" w14:textId="28729710" w:rsidR="00271836" w:rsidRPr="00261C59" w:rsidRDefault="00271836" w:rsidP="004728D9">
      <w:pPr>
        <w:numPr>
          <w:ilvl w:val="1"/>
          <w:numId w:val="242"/>
        </w:numPr>
        <w:spacing w:after="240" w:line="260" w:lineRule="exact"/>
        <w:ind w:left="1134" w:hanging="425"/>
        <w:jc w:val="left"/>
        <w:rPr>
          <w:rFonts w:ascii="Calibri" w:hAnsi="Calibri"/>
          <w:sz w:val="24"/>
        </w:rPr>
      </w:pPr>
      <w:r w:rsidRPr="00261C59">
        <w:rPr>
          <w:rFonts w:ascii="Calibri" w:hAnsi="Calibri"/>
          <w:sz w:val="24"/>
          <w:szCs w:val="24"/>
          <w:lang w:val="en-GB"/>
        </w:rPr>
        <w:t>For each year of the Addendum from 2027-28, States can opt in to the SMRF stream for a designated amount in line with clause A28</w:t>
      </w:r>
      <w:r w:rsidRPr="00261C59">
        <w:rPr>
          <w:rFonts w:ascii="Calibri" w:hAnsi="Calibri"/>
          <w:sz w:val="24"/>
          <w:szCs w:val="24"/>
        </w:rPr>
        <w:t xml:space="preserve">. </w:t>
      </w:r>
    </w:p>
    <w:p w14:paraId="7AD58947" w14:textId="2C0C34F2"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From 2027-28, the Commonwealth’s funding contribution for approved projects within the SMRF stream, for each State that opts in will be within the State’s annual funding cap (refer A</w:t>
      </w:r>
      <w:r w:rsidR="0021025F" w:rsidRPr="00261C59">
        <w:rPr>
          <w:rFonts w:ascii="Calibri" w:hAnsi="Calibri"/>
          <w:sz w:val="24"/>
          <w:szCs w:val="24"/>
        </w:rPr>
        <w:t>41</w:t>
      </w:r>
      <w:r w:rsidRPr="00261C59">
        <w:rPr>
          <w:rFonts w:ascii="Calibri" w:hAnsi="Calibri"/>
          <w:sz w:val="24"/>
          <w:szCs w:val="24"/>
        </w:rPr>
        <w:t>) and will be equal to the lesser of:</w:t>
      </w:r>
    </w:p>
    <w:p w14:paraId="6D005E6E" w14:textId="77777777"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the advised value of the approved projects multiplied by 50.0 per cent, or</w:t>
      </w:r>
    </w:p>
    <w:p w14:paraId="4D29AD52" w14:textId="476667F6"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szCs w:val="24"/>
          <w:lang w:val="en-GB"/>
        </w:rPr>
        <w:t>a designated</w:t>
      </w:r>
      <w:r w:rsidRPr="00261C59">
        <w:rPr>
          <w:rFonts w:ascii="Calibri" w:hAnsi="Calibri"/>
          <w:sz w:val="24"/>
          <w:lang w:val="en-GB"/>
        </w:rPr>
        <w:t xml:space="preserve"> amount </w:t>
      </w:r>
      <w:r w:rsidRPr="00261C59">
        <w:rPr>
          <w:rFonts w:ascii="Calibri" w:hAnsi="Calibri"/>
          <w:sz w:val="24"/>
          <w:szCs w:val="24"/>
          <w:lang w:val="en-GB"/>
        </w:rPr>
        <w:t>up</w:t>
      </w:r>
      <w:r w:rsidRPr="00261C59">
        <w:rPr>
          <w:rFonts w:ascii="Calibri" w:hAnsi="Calibri"/>
          <w:sz w:val="24"/>
          <w:lang w:val="en-GB"/>
        </w:rPr>
        <w:t xml:space="preserve"> to 0.50 per cent of that State’s funding cap for the relevant financial year</w:t>
      </w:r>
      <w:r w:rsidRPr="00261C59">
        <w:rPr>
          <w:rFonts w:ascii="Calibri" w:hAnsi="Calibri"/>
          <w:sz w:val="24"/>
          <w:szCs w:val="24"/>
          <w:lang w:val="en-GB"/>
        </w:rPr>
        <w:t xml:space="preserve"> plus any SMRF rollover amounts from prior years (refer clause A29).</w:t>
      </w:r>
    </w:p>
    <w:p w14:paraId="33A7008D" w14:textId="4B4717B6" w:rsidR="00271836" w:rsidRPr="00261C59" w:rsidRDefault="00271836" w:rsidP="00830547">
      <w:pPr>
        <w:numPr>
          <w:ilvl w:val="0"/>
          <w:numId w:val="54"/>
        </w:numPr>
        <w:spacing w:after="240" w:line="260" w:lineRule="exact"/>
        <w:jc w:val="left"/>
        <w:rPr>
          <w:rFonts w:ascii="Calibri" w:hAnsi="Calibri"/>
          <w:sz w:val="24"/>
          <w:szCs w:val="24"/>
          <w:lang w:val="en-GB"/>
        </w:rPr>
      </w:pPr>
      <w:r w:rsidRPr="00261C59">
        <w:rPr>
          <w:rFonts w:ascii="Calibri" w:hAnsi="Calibri"/>
          <w:sz w:val="24"/>
          <w:szCs w:val="24"/>
        </w:rPr>
        <w:t xml:space="preserve">For a given financial year, if a State opts in for a designated amount but does not fully expend this amount against approved projects, the unexpended amount may be rolled over into the following financial year, only within the SMRF stream. </w:t>
      </w:r>
    </w:p>
    <w:p w14:paraId="28CD0062" w14:textId="5680CF91"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For the avoidance of doubt, up to 100 per cent of a State’s SMRF designated opt in amount can be rolled over into the following year within the SMRF stream.</w:t>
      </w:r>
    </w:p>
    <w:p w14:paraId="294C71F6" w14:textId="3BA92DC3"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szCs w:val="24"/>
          <w:lang w:val="en-GB"/>
        </w:rPr>
        <w:t xml:space="preserve">Unspent </w:t>
      </w:r>
      <w:r w:rsidR="00841E74" w:rsidRPr="00261C59">
        <w:rPr>
          <w:rFonts w:ascii="Calibri" w:hAnsi="Calibri"/>
          <w:sz w:val="24"/>
          <w:szCs w:val="24"/>
          <w:lang w:val="en-GB"/>
        </w:rPr>
        <w:t xml:space="preserve">Commonwealth </w:t>
      </w:r>
      <w:r w:rsidRPr="00261C59">
        <w:rPr>
          <w:rFonts w:ascii="Calibri" w:hAnsi="Calibri"/>
          <w:sz w:val="24"/>
          <w:szCs w:val="24"/>
          <w:lang w:val="en-GB"/>
        </w:rPr>
        <w:t xml:space="preserve">SMRF </w:t>
      </w:r>
      <w:r w:rsidRPr="00261C59">
        <w:rPr>
          <w:rFonts w:ascii="Calibri" w:hAnsi="Calibri"/>
          <w:sz w:val="24"/>
          <w:lang w:val="en-GB"/>
        </w:rPr>
        <w:t xml:space="preserve">amounts </w:t>
      </w:r>
      <w:r w:rsidRPr="00261C59">
        <w:rPr>
          <w:rFonts w:ascii="Calibri" w:hAnsi="Calibri"/>
          <w:sz w:val="24"/>
          <w:szCs w:val="24"/>
          <w:lang w:val="en-GB"/>
        </w:rPr>
        <w:t>do</w:t>
      </w:r>
      <w:r w:rsidRPr="00261C59">
        <w:rPr>
          <w:rFonts w:ascii="Calibri" w:hAnsi="Calibri"/>
          <w:sz w:val="24"/>
          <w:lang w:val="en-GB"/>
        </w:rPr>
        <w:t xml:space="preserve"> not </w:t>
      </w:r>
      <w:r w:rsidRPr="00261C59">
        <w:rPr>
          <w:rFonts w:ascii="Calibri" w:hAnsi="Calibri"/>
          <w:sz w:val="24"/>
          <w:szCs w:val="24"/>
          <w:lang w:val="en-GB"/>
        </w:rPr>
        <w:t>contribute to the</w:t>
      </w:r>
      <w:r w:rsidRPr="00261C59">
        <w:rPr>
          <w:rFonts w:ascii="Calibri" w:hAnsi="Calibri"/>
          <w:sz w:val="24"/>
          <w:lang w:val="en-GB"/>
        </w:rPr>
        <w:t xml:space="preserve"> redistribution of unspent cap funding in 2030-31</w:t>
      </w:r>
      <w:r w:rsidRPr="00261C59">
        <w:rPr>
          <w:rFonts w:ascii="Calibri" w:hAnsi="Calibri"/>
          <w:sz w:val="24"/>
          <w:szCs w:val="24"/>
          <w:lang w:val="en-GB"/>
        </w:rPr>
        <w:t xml:space="preserve"> set out in clauses A48</w:t>
      </w:r>
      <w:r w:rsidR="00145A04" w:rsidRPr="00261C59">
        <w:rPr>
          <w:rFonts w:ascii="Calibri" w:hAnsi="Calibri"/>
          <w:sz w:val="24"/>
          <w:szCs w:val="24"/>
          <w:lang w:val="en-GB"/>
        </w:rPr>
        <w:t xml:space="preserve"> to A</w:t>
      </w:r>
      <w:r w:rsidRPr="00261C59">
        <w:rPr>
          <w:rFonts w:ascii="Calibri" w:hAnsi="Calibri"/>
          <w:sz w:val="24"/>
          <w:szCs w:val="24"/>
          <w:lang w:val="en-GB"/>
        </w:rPr>
        <w:t xml:space="preserve">52. </w:t>
      </w:r>
    </w:p>
    <w:p w14:paraId="466097CC" w14:textId="77777777" w:rsidR="00271836" w:rsidRPr="00261C59" w:rsidRDefault="00271836" w:rsidP="007E218C">
      <w:pPr>
        <w:jc w:val="left"/>
        <w:outlineLvl w:val="2"/>
        <w:rPr>
          <w:rFonts w:ascii="Corbel" w:hAnsi="Corbel"/>
          <w:color w:val="3D4B67"/>
          <w:sz w:val="28"/>
          <w:szCs w:val="48"/>
          <w:lang w:eastAsia="ja-JP"/>
        </w:rPr>
      </w:pPr>
      <w:bookmarkStart w:id="132" w:name="_Toc171350350"/>
      <w:bookmarkStart w:id="133" w:name="_Toc172210232"/>
      <w:bookmarkStart w:id="134" w:name="_Toc172787682"/>
      <w:bookmarkStart w:id="135" w:name="_Toc173937700"/>
      <w:bookmarkStart w:id="136" w:name="_Toc183183297"/>
      <w:bookmarkStart w:id="137" w:name="_Toc201673955"/>
      <w:bookmarkStart w:id="138" w:name="_Toc210833589"/>
      <w:bookmarkStart w:id="139" w:name="_Toc214456489"/>
      <w:bookmarkStart w:id="140" w:name="_Toc221087967"/>
      <w:bookmarkStart w:id="141" w:name="_Toc168578996"/>
      <w:bookmarkStart w:id="142" w:name="_Toc170217616"/>
      <w:r w:rsidRPr="00261C59">
        <w:rPr>
          <w:rFonts w:ascii="Corbel" w:hAnsi="Corbel"/>
          <w:color w:val="3D4B67"/>
          <w:sz w:val="28"/>
          <w:szCs w:val="48"/>
          <w:lang w:eastAsia="ja-JP"/>
        </w:rPr>
        <w:t>Private patient funding neutrality adjustment</w:t>
      </w:r>
      <w:bookmarkEnd w:id="132"/>
      <w:bookmarkEnd w:id="133"/>
      <w:bookmarkEnd w:id="134"/>
      <w:bookmarkEnd w:id="135"/>
      <w:bookmarkEnd w:id="136"/>
      <w:bookmarkEnd w:id="137"/>
      <w:bookmarkEnd w:id="138"/>
      <w:bookmarkEnd w:id="139"/>
      <w:bookmarkEnd w:id="140"/>
    </w:p>
    <w:p w14:paraId="02AC3FD6"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IHACPA and the Administrator, in consultation with the Parties, will review the methodology for calculating funding adjustments for private patient neutrality established by clause A44 of the 2020-2025 Addendum. </w:t>
      </w:r>
    </w:p>
    <w:p w14:paraId="2519963D" w14:textId="05B36BB8"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The intent of review is to ensure that funding models do not incentivise public hospitals to treat private or public patients differently as per clause A15</w:t>
      </w:r>
      <w:r w:rsidR="00B8712D" w:rsidRPr="00261C59">
        <w:rPr>
          <w:rFonts w:ascii="Calibri" w:hAnsi="Calibri"/>
          <w:sz w:val="24"/>
          <w:szCs w:val="24"/>
          <w:lang w:val="en-GB"/>
        </w:rPr>
        <w:t>.</w:t>
      </w:r>
      <w:r w:rsidRPr="00261C59">
        <w:rPr>
          <w:rFonts w:ascii="Calibri" w:hAnsi="Calibri"/>
          <w:sz w:val="24"/>
          <w:lang w:val="en-GB"/>
        </w:rPr>
        <w:t xml:space="preserve"> The terms of reference for the review will be agreed by HMM.</w:t>
      </w:r>
    </w:p>
    <w:p w14:paraId="61A55D0E" w14:textId="77777777" w:rsidR="00271836" w:rsidRPr="00261C59" w:rsidRDefault="00271836" w:rsidP="00117EE8">
      <w:pPr>
        <w:keepLines/>
        <w:numPr>
          <w:ilvl w:val="1"/>
          <w:numId w:val="54"/>
        </w:numPr>
        <w:spacing w:after="240" w:line="260" w:lineRule="exact"/>
        <w:jc w:val="left"/>
        <w:rPr>
          <w:rFonts w:ascii="Calibri" w:hAnsi="Calibri"/>
          <w:sz w:val="24"/>
          <w:lang w:val="en-GB"/>
        </w:rPr>
      </w:pPr>
      <w:r w:rsidRPr="00261C59">
        <w:rPr>
          <w:rFonts w:ascii="Calibri" w:hAnsi="Calibri"/>
          <w:sz w:val="24"/>
          <w:lang w:val="en-GB"/>
        </w:rPr>
        <w:lastRenderedPageBreak/>
        <w:t>The completed review will be provided to HMM by December 2027 and include an assessment of the existing methodology and recommendations for alternative processes for future private patient neutrality adjustments.</w:t>
      </w:r>
    </w:p>
    <w:p w14:paraId="1FEFCA17" w14:textId="77777777"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Until this review is completed and actioned, the existing private patient neutrality funding adjustment methodology will apply.</w:t>
      </w:r>
    </w:p>
    <w:p w14:paraId="4D288C54" w14:textId="77777777" w:rsidR="00271836" w:rsidRPr="00261C59" w:rsidRDefault="00271836" w:rsidP="00DA5141">
      <w:pPr>
        <w:keepNext/>
        <w:widowControl/>
        <w:jc w:val="left"/>
        <w:outlineLvl w:val="2"/>
        <w:rPr>
          <w:rFonts w:ascii="Corbel" w:eastAsia="Yu Gothic Light" w:hAnsi="Corbel"/>
          <w:color w:val="3D4B67"/>
          <w:sz w:val="28"/>
          <w:szCs w:val="48"/>
          <w:lang w:eastAsia="ja-JP"/>
        </w:rPr>
      </w:pPr>
      <w:bookmarkStart w:id="143" w:name="_Toc171350351"/>
      <w:bookmarkStart w:id="144" w:name="_Toc172210233"/>
      <w:bookmarkStart w:id="145" w:name="_Toc172787683"/>
      <w:bookmarkStart w:id="146" w:name="_Toc173937701"/>
      <w:bookmarkStart w:id="147" w:name="_Toc183183298"/>
      <w:bookmarkStart w:id="148" w:name="_Toc201673956"/>
      <w:bookmarkStart w:id="149" w:name="_Toc210833590"/>
      <w:bookmarkStart w:id="150" w:name="_Toc214456490"/>
      <w:bookmarkStart w:id="151" w:name="_Toc221087968"/>
      <w:r w:rsidRPr="00261C59">
        <w:rPr>
          <w:rFonts w:ascii="Corbel" w:hAnsi="Corbel"/>
          <w:bCs/>
          <w:iCs/>
          <w:color w:val="3D4B67"/>
          <w:sz w:val="28"/>
          <w:szCs w:val="48"/>
          <w:lang w:eastAsia="ja-JP"/>
        </w:rPr>
        <w:t>Commonwealth contribution rate</w:t>
      </w:r>
      <w:bookmarkStart w:id="152" w:name="_Toc165886222"/>
      <w:bookmarkEnd w:id="141"/>
      <w:bookmarkEnd w:id="142"/>
      <w:bookmarkEnd w:id="143"/>
      <w:bookmarkEnd w:id="144"/>
      <w:bookmarkEnd w:id="145"/>
      <w:bookmarkEnd w:id="146"/>
      <w:bookmarkEnd w:id="147"/>
      <w:bookmarkEnd w:id="148"/>
      <w:bookmarkEnd w:id="149"/>
      <w:bookmarkEnd w:id="150"/>
      <w:bookmarkEnd w:id="151"/>
      <w:r w:rsidRPr="00261C59">
        <w:rPr>
          <w:rFonts w:ascii="Corbel" w:hAnsi="Corbel"/>
          <w:bCs/>
          <w:iCs/>
          <w:color w:val="3D4B67"/>
          <w:sz w:val="28"/>
          <w:szCs w:val="48"/>
          <w:lang w:eastAsia="ja-JP"/>
        </w:rPr>
        <w:t xml:space="preserve"> </w:t>
      </w:r>
      <w:bookmarkEnd w:id="152"/>
    </w:p>
    <w:p w14:paraId="279C404B" w14:textId="77777777" w:rsidR="00271836" w:rsidRPr="00261C59" w:rsidRDefault="00271836" w:rsidP="004728D9">
      <w:pPr>
        <w:keepNext/>
        <w:widowControl/>
        <w:numPr>
          <w:ilvl w:val="0"/>
          <w:numId w:val="54"/>
        </w:numPr>
        <w:spacing w:after="240" w:line="260" w:lineRule="exact"/>
        <w:jc w:val="left"/>
        <w:rPr>
          <w:rFonts w:ascii="Calibri" w:hAnsi="Calibri"/>
          <w:sz w:val="24"/>
          <w:szCs w:val="24"/>
        </w:rPr>
      </w:pPr>
      <w:bookmarkStart w:id="153" w:name="_Toc201673957"/>
      <w:r w:rsidRPr="00261C59">
        <w:rPr>
          <w:rFonts w:ascii="Calibri" w:hAnsi="Calibri"/>
          <w:sz w:val="24"/>
          <w:szCs w:val="24"/>
        </w:rPr>
        <w:t>The Commonwealth Contribution Rate (CCR) is an output metric. Previously the CCR has been defined only for the ABF stream as:</w:t>
      </w:r>
    </w:p>
    <w:p w14:paraId="305B458E" w14:textId="074FD320" w:rsidR="00271836" w:rsidRPr="00261C59" w:rsidRDefault="004565A9" w:rsidP="004728D9">
      <w:pPr>
        <w:spacing w:before="240" w:after="240" w:line="280" w:lineRule="exact"/>
        <w:ind w:firstLine="709"/>
        <w:jc w:val="left"/>
        <w:rPr>
          <w:rFonts w:ascii="Calibri" w:hAnsi="Calibri"/>
          <w:sz w:val="24"/>
          <w:szCs w:val="24"/>
        </w:rPr>
      </w:pPr>
      <m:oMath>
        <m:r>
          <w:rPr>
            <w:rFonts w:ascii="Cambria Math" w:hAnsi="Cambria Math"/>
          </w:rPr>
          <m:t xml:space="preserve"> State Y's CCR (2020</m:t>
        </m:r>
        <m:r>
          <m:rPr>
            <m:sty m:val="p"/>
          </m:rPr>
          <w:rPr>
            <w:rFonts w:ascii="Cambria Math" w:hAnsi="Cambria Math"/>
          </w:rPr>
          <w:noBreakHyphen/>
        </m:r>
        <m:r>
          <w:rPr>
            <w:rFonts w:ascii="Cambria Math" w:hAnsi="Cambria Math"/>
          </w:rPr>
          <m:t>25 Addendum) =</m:t>
        </m:r>
        <m:f>
          <m:fPr>
            <m:ctrlPr>
              <w:rPr>
                <w:rFonts w:ascii="Cambria Math" w:hAnsi="Cambria Math"/>
              </w:rPr>
            </m:ctrlPr>
          </m:fPr>
          <m:num>
            <m:r>
              <m:rPr>
                <m:sty m:val="p"/>
              </m:rPr>
              <w:rPr>
                <w:rFonts w:ascii="Cambria Math" w:hAnsi="Cambria Math"/>
              </w:rPr>
              <m:t xml:space="preserve">ABF entitlement for Year X in State Y </m:t>
            </m:r>
          </m:num>
          <m:den>
            <m:r>
              <m:rPr>
                <m:sty m:val="p"/>
              </m:rPr>
              <w:rPr>
                <w:rFonts w:ascii="Cambria Math" w:hAnsi="Cambria Math"/>
              </w:rPr>
              <m:t>Total volume of weighted services for Year X  in State Y × NEP for Year X</m:t>
            </m:r>
          </m:den>
        </m:f>
      </m:oMath>
      <w:r w:rsidR="00271836" w:rsidRPr="00261C59">
        <w:rPr>
          <w:rFonts w:ascii="Calibri" w:hAnsi="Calibri"/>
          <w:sz w:val="24"/>
          <w:szCs w:val="24"/>
        </w:rPr>
        <w:t xml:space="preserve"> </w:t>
      </w:r>
    </w:p>
    <w:p w14:paraId="388816ED" w14:textId="28DCD14E"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new funding model requires a separately defined Commonwealth Contribution Rate for each of ABF and </w:t>
      </w:r>
      <w:r w:rsidR="00A73CFF">
        <w:rPr>
          <w:rFonts w:ascii="Calibri" w:hAnsi="Calibri"/>
          <w:sz w:val="24"/>
          <w:szCs w:val="24"/>
        </w:rPr>
        <w:t>Block Funding</w:t>
      </w:r>
      <w:r w:rsidRPr="00261C59">
        <w:rPr>
          <w:rFonts w:ascii="Calibri" w:hAnsi="Calibri"/>
          <w:sz w:val="24"/>
          <w:szCs w:val="24"/>
        </w:rPr>
        <w:t>. Each State’s Commonwealth Contribution Rates for these funding streams will be calculated in each year as follows:</w:t>
      </w:r>
    </w:p>
    <w:p w14:paraId="57E460BB" w14:textId="77777777"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ABF Commonwealth Contribution Rate (ABF CCR):</w:t>
      </w:r>
    </w:p>
    <w:p w14:paraId="6F5FCF94" w14:textId="77777777" w:rsidR="00271836" w:rsidRPr="00261C59" w:rsidRDefault="00271836" w:rsidP="004728D9">
      <w:pPr>
        <w:spacing w:before="240" w:after="240" w:line="360" w:lineRule="auto"/>
        <w:jc w:val="left"/>
        <w:rPr>
          <w:rFonts w:ascii="Calibri" w:hAnsi="Calibri"/>
          <w:sz w:val="18"/>
          <w:szCs w:val="18"/>
        </w:rPr>
      </w:pPr>
      <m:oMathPara>
        <m:oMath>
          <m:r>
            <w:rPr>
              <w:rFonts w:ascii="Cambria Math" w:hAnsi="Cambria Math"/>
              <w:sz w:val="18"/>
              <w:szCs w:val="18"/>
            </w:rPr>
            <m:t>State Y's ABF CCR =</m:t>
          </m:r>
          <m:f>
            <m:fPr>
              <m:ctrlPr>
                <w:rPr>
                  <w:rFonts w:ascii="Cambria Math" w:hAnsi="Cambria Math"/>
                  <w:sz w:val="18"/>
                  <w:szCs w:val="18"/>
                </w:rPr>
              </m:ctrlPr>
            </m:fPr>
            <m:num>
              <m:r>
                <m:rPr>
                  <m:sty m:val="p"/>
                </m:rPr>
                <w:rPr>
                  <w:rFonts w:ascii="Cambria Math" w:hAnsi="Cambria Math"/>
                  <w:sz w:val="18"/>
                  <w:szCs w:val="18"/>
                </w:rPr>
                <m:t>ABF entitlement for Year X in State Y</m:t>
              </m:r>
            </m:num>
            <m:den>
              <m:r>
                <m:rPr>
                  <m:sty m:val="p"/>
                </m:rPr>
                <w:rPr>
                  <w:rFonts w:ascii="Cambria Math" w:hAnsi="Cambria Math"/>
                  <w:sz w:val="18"/>
                  <w:szCs w:val="18"/>
                </w:rPr>
                <m:t xml:space="preserve">Total volume of weighted services for Year X in State Y </m:t>
              </m:r>
              <m:r>
                <w:rPr>
                  <w:rFonts w:ascii="Cambria Math" w:hAnsi="Cambria Math"/>
                  <w:sz w:val="18"/>
                  <w:szCs w:val="18"/>
                </w:rPr>
                <m:t xml:space="preserve">×NEP </m:t>
              </m:r>
              <m:r>
                <m:rPr>
                  <m:sty m:val="p"/>
                </m:rPr>
                <w:rPr>
                  <w:rFonts w:ascii="Cambria Math" w:hAnsi="Cambria Math"/>
                  <w:sz w:val="18"/>
                  <w:szCs w:val="18"/>
                </w:rPr>
                <m:t xml:space="preserve">for Year X </m:t>
              </m:r>
            </m:den>
          </m:f>
        </m:oMath>
      </m:oMathPara>
    </w:p>
    <w:p w14:paraId="49AB6550" w14:textId="77777777" w:rsidR="00271836" w:rsidRPr="00261C59" w:rsidRDefault="00271836" w:rsidP="004728D9">
      <w:pPr>
        <w:pStyle w:val="ListParagraph"/>
        <w:numPr>
          <w:ilvl w:val="2"/>
          <w:numId w:val="54"/>
        </w:numPr>
        <w:spacing w:after="240" w:line="260" w:lineRule="exact"/>
        <w:ind w:left="2552"/>
        <w:jc w:val="left"/>
        <w:rPr>
          <w:rFonts w:ascii="Calibri" w:hAnsi="Calibri" w:cs="Calibri"/>
          <w:sz w:val="24"/>
          <w:szCs w:val="24"/>
        </w:rPr>
      </w:pPr>
      <w:r w:rsidRPr="00261C59">
        <w:rPr>
          <w:rFonts w:ascii="Calibri" w:hAnsi="Calibri" w:cs="Calibri"/>
          <w:sz w:val="24"/>
          <w:szCs w:val="24"/>
        </w:rPr>
        <w:t xml:space="preserve">Tasmania’s 2025-26 ABF CCR, accounting for the Transfer of the Mersey Community Hospital, will be calculated instead as follows: </w:t>
      </w:r>
    </w:p>
    <w:p w14:paraId="4F5A9457" w14:textId="77777777" w:rsidR="00271836" w:rsidRPr="00261C59" w:rsidRDefault="00271836" w:rsidP="00F62F37">
      <w:pPr>
        <w:spacing w:before="240" w:after="240"/>
        <w:jc w:val="left"/>
        <w:rPr>
          <w:rFonts w:ascii="Calibri" w:hAnsi="Calibri" w:cs="Calibri"/>
          <w:sz w:val="24"/>
          <w:szCs w:val="24"/>
        </w:rPr>
      </w:pPr>
      <m:oMathPara>
        <m:oMathParaPr>
          <m:jc m:val="right"/>
        </m:oMathParaPr>
        <m:oMath>
          <m:r>
            <w:rPr>
              <w:rFonts w:ascii="Cambria Math" w:hAnsi="Cambria Math"/>
              <w:sz w:val="18"/>
              <w:szCs w:val="18"/>
            </w:rPr>
            <m:t>TAS 2025</m:t>
          </m:r>
          <m:r>
            <m:rPr>
              <m:sty m:val="p"/>
            </m:rPr>
            <w:rPr>
              <w:rFonts w:ascii="Cambria Math" w:hAnsi="Cambria Math"/>
              <w:sz w:val="18"/>
              <w:szCs w:val="18"/>
            </w:rPr>
            <w:noBreakHyphen/>
          </m:r>
          <m:r>
            <w:rPr>
              <w:rFonts w:ascii="Cambria Math" w:hAnsi="Cambria Math"/>
              <w:sz w:val="18"/>
              <w:szCs w:val="18"/>
            </w:rPr>
            <m:t>26 ABF CCR =</m:t>
          </m:r>
          <m:f>
            <m:fPr>
              <m:ctrlPr>
                <w:rPr>
                  <w:rFonts w:ascii="Cambria Math" w:hAnsi="Cambria Math"/>
                  <w:sz w:val="18"/>
                  <w:szCs w:val="18"/>
                </w:rPr>
              </m:ctrlPr>
            </m:fPr>
            <m:num>
              <m:r>
                <m:rPr>
                  <m:sty m:val="p"/>
                </m:rPr>
                <w:rPr>
                  <w:rFonts w:ascii="Cambria Math" w:hAnsi="Cambria Math"/>
                  <w:sz w:val="18"/>
                  <w:szCs w:val="18"/>
                </w:rPr>
                <m:t>ABF entitlement for TAS in 2025/26 + $32,858,722</m:t>
              </m:r>
            </m:num>
            <m:den>
              <m:r>
                <m:rPr>
                  <m:sty m:val="p"/>
                </m:rPr>
                <w:rPr>
                  <w:rFonts w:ascii="Cambria Math" w:hAnsi="Cambria Math"/>
                  <w:sz w:val="18"/>
                  <w:szCs w:val="18"/>
                </w:rPr>
                <m:t xml:space="preserve">Total volume of weighted services for TAS in 2025/26 </m:t>
              </m:r>
              <m:r>
                <w:rPr>
                  <w:rFonts w:ascii="Cambria Math" w:hAnsi="Cambria Math"/>
                  <w:sz w:val="18"/>
                  <w:szCs w:val="18"/>
                </w:rPr>
                <m:t xml:space="preserve">×NEP </m:t>
              </m:r>
              <m:r>
                <m:rPr>
                  <m:sty m:val="p"/>
                </m:rPr>
                <w:rPr>
                  <w:rFonts w:ascii="Cambria Math" w:hAnsi="Cambria Math"/>
                  <w:sz w:val="18"/>
                  <w:szCs w:val="18"/>
                </w:rPr>
                <m:t xml:space="preserve">for 2025/26 </m:t>
              </m:r>
            </m:den>
          </m:f>
          <m:r>
            <w:rPr>
              <w:rFonts w:ascii="Cambria Math" w:hAnsi="Cambria Math"/>
              <w:sz w:val="18"/>
              <w:szCs w:val="18"/>
            </w:rPr>
            <m:t xml:space="preserve"> </m:t>
          </m:r>
        </m:oMath>
      </m:oMathPara>
    </w:p>
    <w:p w14:paraId="60F9A51F" w14:textId="77777777" w:rsidR="00271836" w:rsidRPr="00261C59" w:rsidRDefault="00271836" w:rsidP="004728D9">
      <w:pPr>
        <w:pStyle w:val="ListParagraph"/>
        <w:spacing w:after="240" w:line="260" w:lineRule="exact"/>
        <w:ind w:left="1843" w:firstLine="0"/>
        <w:jc w:val="left"/>
        <w:rPr>
          <w:rFonts w:ascii="Calibri" w:hAnsi="Calibri" w:cs="Calibri"/>
          <w:sz w:val="24"/>
          <w:szCs w:val="24"/>
        </w:rPr>
      </w:pPr>
      <w:r w:rsidRPr="00261C59">
        <w:rPr>
          <w:rFonts w:ascii="Calibri" w:hAnsi="Calibri" w:cs="Calibri"/>
          <w:sz w:val="24"/>
          <w:szCs w:val="24"/>
        </w:rPr>
        <w:t>where $32,858,722 is the 2025-26 funding adjustment as set out in Table 1 of the National Partnership on Transfer of the Mersey Community Hospital.</w:t>
      </w:r>
    </w:p>
    <w:p w14:paraId="64407618" w14:textId="77777777"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Block Commonwealth Contribution Rate (Block CCR):</w:t>
      </w:r>
    </w:p>
    <w:p w14:paraId="17FF5CC6" w14:textId="77777777" w:rsidR="00271836" w:rsidRPr="00261C59" w:rsidRDefault="00271836" w:rsidP="004728D9">
      <w:pPr>
        <w:pStyle w:val="ListParagraph"/>
        <w:spacing w:after="240"/>
        <w:ind w:left="709" w:firstLine="0"/>
        <w:jc w:val="left"/>
        <w:rPr>
          <w:rFonts w:ascii="Calibri" w:hAnsi="Calibri"/>
          <w:sz w:val="18"/>
          <w:szCs w:val="18"/>
        </w:rPr>
      </w:pPr>
      <m:oMathPara>
        <m:oMath>
          <m:r>
            <w:rPr>
              <w:rFonts w:ascii="Cambria Math" w:hAnsi="Cambria Math"/>
            </w:rPr>
            <m:t>State Y's Block CCR =</m:t>
          </m:r>
          <m:f>
            <m:fPr>
              <m:ctrlPr>
                <w:rPr>
                  <w:rFonts w:ascii="Cambria Math" w:hAnsi="Cambria Math"/>
                </w:rPr>
              </m:ctrlPr>
            </m:fPr>
            <m:num>
              <m:r>
                <m:rPr>
                  <m:sty m:val="p"/>
                </m:rPr>
                <w:rPr>
                  <w:rFonts w:ascii="Cambria Math" w:hAnsi="Cambria Math"/>
                </w:rPr>
                <m:t xml:space="preserve">Block Funding entitlement for Year X in State Y </m:t>
              </m:r>
            </m:num>
            <m:den>
              <m:r>
                <m:rPr>
                  <m:sty m:val="p"/>
                </m:rPr>
                <w:rPr>
                  <w:rFonts w:ascii="Cambria Math" w:hAnsi="Cambria Math"/>
                </w:rPr>
                <m:t>National Efficient Cost for Year X in State Y</m:t>
              </m:r>
            </m:den>
          </m:f>
          <m:r>
            <w:rPr>
              <w:rFonts w:ascii="Cambria Math" w:hAnsi="Cambria Math"/>
            </w:rPr>
            <m:t xml:space="preserve"> </m:t>
          </m:r>
        </m:oMath>
      </m:oMathPara>
    </w:p>
    <w:p w14:paraId="3A96DA8B" w14:textId="25238950"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To avoid confusion, Parties agree that updated terminology for ABF CCR and Block CCR are defined as per clause A3</w:t>
      </w:r>
      <w:r w:rsidR="00C148A0" w:rsidRPr="00261C59">
        <w:rPr>
          <w:rFonts w:ascii="Calibri" w:hAnsi="Calibri"/>
          <w:sz w:val="24"/>
          <w:szCs w:val="24"/>
        </w:rPr>
        <w:t>2</w:t>
      </w:r>
      <w:r w:rsidRPr="00261C59">
        <w:rPr>
          <w:rFonts w:ascii="Calibri" w:hAnsi="Calibri"/>
          <w:sz w:val="24"/>
          <w:szCs w:val="24"/>
        </w:rPr>
        <w:t>.</w:t>
      </w:r>
    </w:p>
    <w:p w14:paraId="484ACC54"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An Input Contribution Rate (as required by clauses A22(c) and A24(b)) will be determined separately for each funding stream for each State, except for the Public Health Funding stream.</w:t>
      </w:r>
      <w:r w:rsidRPr="00261C59">
        <w:rPr>
          <w:rFonts w:ascii="Calibri" w:hAnsi="Calibri"/>
          <w:sz w:val="24"/>
          <w:szCs w:val="24"/>
          <w:shd w:val="clear" w:color="auto" w:fill="BDD6EE"/>
        </w:rPr>
        <w:t xml:space="preserve"> </w:t>
      </w:r>
    </w:p>
    <w:p w14:paraId="788D9771"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Input Contribution Rate for the ABF and Block Funding streams for each year of this Addendum is the greater of: </w:t>
      </w:r>
    </w:p>
    <w:p w14:paraId="6AF7BD97" w14:textId="02EFC043"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szCs w:val="24"/>
          <w:lang w:val="en-GB"/>
        </w:rPr>
        <w:t>the</w:t>
      </w:r>
      <w:r w:rsidRPr="00261C59">
        <w:rPr>
          <w:rFonts w:ascii="Calibri" w:hAnsi="Calibri"/>
          <w:sz w:val="24"/>
          <w:lang w:val="en-GB"/>
        </w:rPr>
        <w:t xml:space="preserve"> rate specified in clause </w:t>
      </w:r>
      <w:r w:rsidRPr="00261C59">
        <w:rPr>
          <w:rFonts w:ascii="Calibri" w:hAnsi="Calibri"/>
          <w:sz w:val="24"/>
          <w:szCs w:val="24"/>
          <w:lang w:val="en-GB"/>
        </w:rPr>
        <w:t>A</w:t>
      </w:r>
      <w:r w:rsidR="00B1325D" w:rsidRPr="00261C59">
        <w:rPr>
          <w:rFonts w:ascii="Calibri" w:hAnsi="Calibri"/>
          <w:sz w:val="24"/>
          <w:szCs w:val="24"/>
          <w:lang w:val="en-GB"/>
        </w:rPr>
        <w:t>36</w:t>
      </w:r>
      <w:r w:rsidRPr="00261C59">
        <w:rPr>
          <w:rFonts w:ascii="Calibri" w:hAnsi="Calibri"/>
          <w:sz w:val="24"/>
          <w:lang w:val="en-GB"/>
        </w:rPr>
        <w:t>, or</w:t>
      </w:r>
    </w:p>
    <w:p w14:paraId="3D31274B" w14:textId="626641FE"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 xml:space="preserve">the State’s 2025-26 ABF or Block CCR respectively, as calculated as per clause </w:t>
      </w:r>
      <w:r w:rsidRPr="00261C59">
        <w:rPr>
          <w:rFonts w:ascii="Calibri" w:hAnsi="Calibri"/>
          <w:sz w:val="24"/>
          <w:szCs w:val="24"/>
          <w:lang w:val="en-GB"/>
        </w:rPr>
        <w:t>A3</w:t>
      </w:r>
      <w:r w:rsidR="00F37218" w:rsidRPr="00261C59">
        <w:rPr>
          <w:rFonts w:ascii="Calibri" w:hAnsi="Calibri"/>
          <w:sz w:val="24"/>
          <w:szCs w:val="24"/>
          <w:lang w:val="en-GB"/>
        </w:rPr>
        <w:t>2</w:t>
      </w:r>
      <w:r w:rsidRPr="00261C59">
        <w:rPr>
          <w:rFonts w:ascii="Calibri" w:hAnsi="Calibri"/>
          <w:sz w:val="24"/>
          <w:lang w:val="en-GB"/>
        </w:rPr>
        <w:t>, or</w:t>
      </w:r>
    </w:p>
    <w:p w14:paraId="21BD2F35" w14:textId="77777777" w:rsidR="00271836" w:rsidRPr="00261C59" w:rsidRDefault="00271836" w:rsidP="0069501F">
      <w:pPr>
        <w:keepLines/>
        <w:numPr>
          <w:ilvl w:val="1"/>
          <w:numId w:val="54"/>
        </w:numPr>
        <w:spacing w:after="240" w:line="260" w:lineRule="exact"/>
        <w:jc w:val="left"/>
        <w:rPr>
          <w:rFonts w:ascii="Calibri" w:hAnsi="Calibri"/>
          <w:sz w:val="24"/>
          <w:lang w:val="en-GB"/>
        </w:rPr>
      </w:pPr>
      <w:r w:rsidRPr="00261C59">
        <w:rPr>
          <w:rFonts w:ascii="Calibri" w:hAnsi="Calibri"/>
          <w:sz w:val="24"/>
          <w:lang w:val="en-GB"/>
        </w:rPr>
        <w:lastRenderedPageBreak/>
        <w:t>if a service category is moved from one funding stream to another, the input contribution rate to be paid for that service category will be that of the higher funding stream (up to a maximum of 45.0 per cent) – that is, there will be no inherent funding disadvantage due to a change of input contribution rate caused by a change in funding stream, or</w:t>
      </w:r>
    </w:p>
    <w:p w14:paraId="71C8B840" w14:textId="200070EA"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 xml:space="preserve">any otherwise specified rate for particular service types described in this Addendum for example, High-Cost, Highly Specialised Therapies (refer clause </w:t>
      </w:r>
      <w:r w:rsidRPr="00261C59">
        <w:rPr>
          <w:rFonts w:ascii="Calibri" w:hAnsi="Calibri"/>
          <w:sz w:val="24"/>
          <w:szCs w:val="24"/>
          <w:lang w:val="en-GB"/>
        </w:rPr>
        <w:t>A2</w:t>
      </w:r>
      <w:r w:rsidR="00931357" w:rsidRPr="00261C59">
        <w:rPr>
          <w:rFonts w:ascii="Calibri" w:hAnsi="Calibri"/>
          <w:sz w:val="24"/>
          <w:szCs w:val="24"/>
          <w:lang w:val="en-GB"/>
        </w:rPr>
        <w:t>35</w:t>
      </w:r>
      <w:r w:rsidRPr="00261C59">
        <w:rPr>
          <w:rFonts w:ascii="Calibri" w:hAnsi="Calibri"/>
          <w:sz w:val="24"/>
          <w:szCs w:val="24"/>
          <w:lang w:val="en-GB"/>
        </w:rPr>
        <w:t>(</w:t>
      </w:r>
      <w:r w:rsidR="00CC1DDF" w:rsidRPr="00261C59">
        <w:rPr>
          <w:rFonts w:ascii="Calibri" w:hAnsi="Calibri"/>
          <w:sz w:val="24"/>
          <w:szCs w:val="24"/>
          <w:lang w:val="en-GB"/>
        </w:rPr>
        <w:t>a</w:t>
      </w:r>
      <w:r w:rsidRPr="00261C59">
        <w:rPr>
          <w:rFonts w:ascii="Calibri" w:hAnsi="Calibri"/>
          <w:sz w:val="24"/>
          <w:lang w:val="en-GB"/>
        </w:rPr>
        <w:t>)).</w:t>
      </w:r>
    </w:p>
    <w:p w14:paraId="3C5171B3" w14:textId="20D95A06" w:rsidR="00271836" w:rsidRPr="00261C59" w:rsidRDefault="00271836" w:rsidP="004728D9">
      <w:pPr>
        <w:keepNext/>
        <w:widowControl/>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minimum value for the Commonwealth Input Contribution Rate for both ABF and </w:t>
      </w:r>
      <w:r w:rsidR="00A73CFF">
        <w:rPr>
          <w:rFonts w:ascii="Calibri" w:hAnsi="Calibri"/>
          <w:sz w:val="24"/>
          <w:szCs w:val="24"/>
        </w:rPr>
        <w:t>Block Funding</w:t>
      </w:r>
      <w:r w:rsidRPr="00261C59">
        <w:rPr>
          <w:rFonts w:ascii="Calibri" w:hAnsi="Calibri"/>
          <w:sz w:val="24"/>
          <w:szCs w:val="24"/>
        </w:rPr>
        <w:t xml:space="preserve"> streams is specified in the table below:</w:t>
      </w:r>
    </w:p>
    <w:tbl>
      <w:tblPr>
        <w:tblStyle w:val="TableGrid1"/>
        <w:tblW w:w="0" w:type="auto"/>
        <w:tblInd w:w="709" w:type="dxa"/>
        <w:tblLook w:val="04A0" w:firstRow="1" w:lastRow="0" w:firstColumn="1" w:lastColumn="0" w:noHBand="0" w:noVBand="1"/>
      </w:tblPr>
      <w:tblGrid>
        <w:gridCol w:w="1672"/>
        <w:gridCol w:w="1666"/>
        <w:gridCol w:w="1671"/>
        <w:gridCol w:w="1666"/>
        <w:gridCol w:w="1683"/>
      </w:tblGrid>
      <w:tr w:rsidR="00271836" w:rsidRPr="00261C59" w14:paraId="466DF230" w14:textId="77777777" w:rsidTr="00E96891">
        <w:tc>
          <w:tcPr>
            <w:tcW w:w="1672" w:type="dxa"/>
            <w:vAlign w:val="center"/>
          </w:tcPr>
          <w:p w14:paraId="1B83C303" w14:textId="77777777" w:rsidR="00271836" w:rsidRPr="00261C59" w:rsidRDefault="00271836" w:rsidP="004728D9">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2026-27</w:t>
            </w:r>
          </w:p>
        </w:tc>
        <w:tc>
          <w:tcPr>
            <w:tcW w:w="1666" w:type="dxa"/>
            <w:vAlign w:val="center"/>
          </w:tcPr>
          <w:p w14:paraId="28DCFB8B" w14:textId="77777777" w:rsidR="00271836" w:rsidRPr="00261C59" w:rsidRDefault="00271836" w:rsidP="004728D9">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2027-28</w:t>
            </w:r>
          </w:p>
        </w:tc>
        <w:tc>
          <w:tcPr>
            <w:tcW w:w="1671" w:type="dxa"/>
            <w:vAlign w:val="center"/>
          </w:tcPr>
          <w:p w14:paraId="40AAD8D7" w14:textId="77777777" w:rsidR="00271836" w:rsidRPr="00261C59" w:rsidRDefault="00271836" w:rsidP="004728D9">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2028-29</w:t>
            </w:r>
          </w:p>
        </w:tc>
        <w:tc>
          <w:tcPr>
            <w:tcW w:w="1666" w:type="dxa"/>
            <w:vAlign w:val="center"/>
          </w:tcPr>
          <w:p w14:paraId="754D85AC" w14:textId="77777777" w:rsidR="00271836" w:rsidRPr="00261C59" w:rsidRDefault="00271836" w:rsidP="004728D9">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2029-30</w:t>
            </w:r>
          </w:p>
        </w:tc>
        <w:tc>
          <w:tcPr>
            <w:tcW w:w="1683" w:type="dxa"/>
            <w:vAlign w:val="center"/>
          </w:tcPr>
          <w:p w14:paraId="3A0E01F5" w14:textId="77777777" w:rsidR="00271836" w:rsidRPr="00261C59" w:rsidRDefault="00271836" w:rsidP="004728D9">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2030-31</w:t>
            </w:r>
          </w:p>
        </w:tc>
      </w:tr>
      <w:tr w:rsidR="00271836" w:rsidRPr="00261C59" w14:paraId="1E71BD17" w14:textId="77777777" w:rsidTr="00E96891">
        <w:tc>
          <w:tcPr>
            <w:tcW w:w="1672" w:type="dxa"/>
            <w:vAlign w:val="center"/>
          </w:tcPr>
          <w:p w14:paraId="02F101A5" w14:textId="77777777" w:rsidR="00271836" w:rsidRPr="00261C59" w:rsidRDefault="00271836" w:rsidP="004728D9">
            <w:pPr>
              <w:widowControl/>
              <w:adjustRightInd/>
              <w:spacing w:before="0" w:after="160" w:line="260" w:lineRule="exact"/>
              <w:ind w:left="567" w:hanging="567"/>
              <w:jc w:val="left"/>
              <w:textAlignment w:val="auto"/>
              <w:rPr>
                <w:rFonts w:ascii="Calibri" w:hAnsi="Calibri"/>
                <w:sz w:val="24"/>
                <w:szCs w:val="24"/>
              </w:rPr>
            </w:pPr>
            <w:r w:rsidRPr="00261C59" w:rsidDel="002C40B3">
              <w:rPr>
                <w:rFonts w:ascii="Calibri" w:hAnsi="Calibri"/>
                <w:sz w:val="24"/>
                <w:szCs w:val="24"/>
              </w:rPr>
              <w:t>40.5%</w:t>
            </w:r>
          </w:p>
        </w:tc>
        <w:tc>
          <w:tcPr>
            <w:tcW w:w="1666" w:type="dxa"/>
            <w:vAlign w:val="center"/>
          </w:tcPr>
          <w:p w14:paraId="72D8C120" w14:textId="77777777" w:rsidR="00271836" w:rsidRPr="00261C59" w:rsidRDefault="00271836" w:rsidP="004728D9">
            <w:pPr>
              <w:widowControl/>
              <w:adjustRightInd/>
              <w:spacing w:before="0" w:after="160" w:line="260" w:lineRule="exact"/>
              <w:ind w:left="567" w:hanging="567"/>
              <w:jc w:val="left"/>
              <w:textAlignment w:val="auto"/>
              <w:rPr>
                <w:rFonts w:ascii="Calibri" w:hAnsi="Calibri"/>
                <w:sz w:val="24"/>
                <w:szCs w:val="24"/>
              </w:rPr>
            </w:pPr>
            <w:r w:rsidRPr="00261C59">
              <w:rPr>
                <w:rFonts w:ascii="Calibri" w:hAnsi="Calibri"/>
                <w:sz w:val="24"/>
                <w:szCs w:val="24"/>
              </w:rPr>
              <w:t>41.0%</w:t>
            </w:r>
          </w:p>
        </w:tc>
        <w:tc>
          <w:tcPr>
            <w:tcW w:w="1671" w:type="dxa"/>
            <w:vAlign w:val="center"/>
          </w:tcPr>
          <w:p w14:paraId="0075CC96" w14:textId="77777777" w:rsidR="00271836" w:rsidRPr="00261C59" w:rsidRDefault="00271836" w:rsidP="004728D9">
            <w:pPr>
              <w:widowControl/>
              <w:adjustRightInd/>
              <w:spacing w:before="0" w:after="160" w:line="260" w:lineRule="exact"/>
              <w:ind w:left="567" w:hanging="567"/>
              <w:jc w:val="left"/>
              <w:textAlignment w:val="auto"/>
              <w:rPr>
                <w:rFonts w:ascii="Calibri" w:hAnsi="Calibri"/>
                <w:sz w:val="24"/>
                <w:szCs w:val="24"/>
              </w:rPr>
            </w:pPr>
            <w:r w:rsidRPr="00261C59">
              <w:rPr>
                <w:rFonts w:ascii="Calibri" w:hAnsi="Calibri"/>
                <w:sz w:val="24"/>
                <w:szCs w:val="24"/>
              </w:rPr>
              <w:t>41.5%</w:t>
            </w:r>
          </w:p>
        </w:tc>
        <w:tc>
          <w:tcPr>
            <w:tcW w:w="1666" w:type="dxa"/>
            <w:vAlign w:val="center"/>
          </w:tcPr>
          <w:p w14:paraId="42364685" w14:textId="77777777" w:rsidR="00271836" w:rsidRPr="00261C59" w:rsidRDefault="00271836" w:rsidP="004728D9">
            <w:pPr>
              <w:widowControl/>
              <w:adjustRightInd/>
              <w:spacing w:before="0" w:after="160" w:line="260" w:lineRule="exact"/>
              <w:ind w:left="567" w:hanging="567"/>
              <w:jc w:val="left"/>
              <w:textAlignment w:val="auto"/>
              <w:rPr>
                <w:rFonts w:ascii="Calibri" w:hAnsi="Calibri"/>
                <w:sz w:val="24"/>
                <w:szCs w:val="24"/>
              </w:rPr>
            </w:pPr>
            <w:r w:rsidRPr="00261C59">
              <w:rPr>
                <w:rFonts w:ascii="Calibri" w:hAnsi="Calibri"/>
                <w:sz w:val="24"/>
                <w:szCs w:val="24"/>
              </w:rPr>
              <w:t>42.0%</w:t>
            </w:r>
          </w:p>
        </w:tc>
        <w:tc>
          <w:tcPr>
            <w:tcW w:w="1683" w:type="dxa"/>
            <w:vAlign w:val="center"/>
          </w:tcPr>
          <w:p w14:paraId="373C46B7" w14:textId="77777777" w:rsidR="00271836" w:rsidRPr="00261C59" w:rsidRDefault="00271836" w:rsidP="004728D9">
            <w:pPr>
              <w:widowControl/>
              <w:adjustRightInd/>
              <w:spacing w:before="0" w:after="160" w:line="260" w:lineRule="exact"/>
              <w:ind w:left="567" w:hanging="567"/>
              <w:jc w:val="left"/>
              <w:textAlignment w:val="auto"/>
              <w:rPr>
                <w:rFonts w:ascii="Calibri" w:hAnsi="Calibri"/>
                <w:sz w:val="24"/>
                <w:szCs w:val="24"/>
              </w:rPr>
            </w:pPr>
            <w:r w:rsidRPr="00261C59">
              <w:rPr>
                <w:rFonts w:ascii="Calibri" w:hAnsi="Calibri"/>
                <w:sz w:val="24"/>
                <w:szCs w:val="24"/>
              </w:rPr>
              <w:t>42.5%</w:t>
            </w:r>
          </w:p>
        </w:tc>
      </w:tr>
    </w:tbl>
    <w:p w14:paraId="0C6FD055" w14:textId="77777777" w:rsidR="00271836" w:rsidRPr="00261C59" w:rsidRDefault="00271836" w:rsidP="004728D9">
      <w:pPr>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As the 2025-26 annual reconciliation will not be completed until after the commencement of this Addendum, each State’s ABF and Block CCR for 2025-26 will be provisionally calculated based on the most recent payment advice provided by the Administrator to the Commonwealth Treasurer. The ABF and Block CCRs will be recalculated once the 2025-26 annual reconciliation is completed.</w:t>
      </w:r>
    </w:p>
    <w:p w14:paraId="38981077" w14:textId="77777777" w:rsidR="00271836" w:rsidRPr="00261C59" w:rsidRDefault="00271836" w:rsidP="003F0B72">
      <w:pPr>
        <w:keepNext/>
        <w:widowControl/>
        <w:jc w:val="left"/>
        <w:outlineLvl w:val="2"/>
        <w:rPr>
          <w:rFonts w:ascii="Corbel" w:hAnsi="Corbel"/>
          <w:color w:val="3D4B67"/>
          <w:sz w:val="28"/>
          <w:szCs w:val="28"/>
          <w:lang w:eastAsia="ja-JP"/>
        </w:rPr>
      </w:pPr>
      <w:bookmarkStart w:id="154" w:name="_Toc170217617"/>
      <w:bookmarkStart w:id="155" w:name="_Toc171350352"/>
      <w:bookmarkStart w:id="156" w:name="_Toc172210234"/>
      <w:bookmarkStart w:id="157" w:name="_Toc172787684"/>
      <w:bookmarkStart w:id="158" w:name="_Toc173937702"/>
      <w:bookmarkStart w:id="159" w:name="_Toc183183299"/>
      <w:bookmarkStart w:id="160" w:name="_Toc210833591"/>
      <w:bookmarkStart w:id="161" w:name="_Toc214456491"/>
      <w:bookmarkStart w:id="162" w:name="_Toc221087969"/>
      <w:r w:rsidRPr="00261C59">
        <w:rPr>
          <w:rFonts w:ascii="Corbel" w:hAnsi="Corbel"/>
          <w:color w:val="3D4B67"/>
          <w:sz w:val="28"/>
          <w:szCs w:val="28"/>
          <w:lang w:eastAsia="ja-JP"/>
        </w:rPr>
        <w:t>Funding cap</w:t>
      </w:r>
      <w:bookmarkEnd w:id="153"/>
      <w:bookmarkEnd w:id="154"/>
      <w:bookmarkEnd w:id="155"/>
      <w:bookmarkEnd w:id="156"/>
      <w:bookmarkEnd w:id="157"/>
      <w:bookmarkEnd w:id="158"/>
      <w:bookmarkEnd w:id="159"/>
      <w:bookmarkEnd w:id="160"/>
      <w:bookmarkEnd w:id="161"/>
      <w:bookmarkEnd w:id="162"/>
    </w:p>
    <w:p w14:paraId="3CBC78ED" w14:textId="77777777" w:rsidR="00271836" w:rsidRPr="00261C59" w:rsidRDefault="00271836" w:rsidP="004728D9">
      <w:pPr>
        <w:widowControl/>
        <w:numPr>
          <w:ilvl w:val="0"/>
          <w:numId w:val="54"/>
        </w:numPr>
        <w:spacing w:after="240" w:line="260" w:lineRule="exact"/>
        <w:jc w:val="left"/>
        <w:rPr>
          <w:rFonts w:ascii="Calibri" w:hAnsi="Calibri"/>
          <w:sz w:val="24"/>
          <w:szCs w:val="24"/>
        </w:rPr>
      </w:pPr>
      <w:bookmarkStart w:id="163" w:name="_Toc201673958"/>
      <w:r w:rsidRPr="00261C59">
        <w:rPr>
          <w:rFonts w:ascii="Calibri" w:hAnsi="Calibri"/>
          <w:sz w:val="24"/>
          <w:szCs w:val="24"/>
        </w:rPr>
        <w:t xml:space="preserve">The Commonwealth’s combined annual funding contribution to each State for all funding streams under this Addendum (as described in clause </w:t>
      </w:r>
      <w:r w:rsidRPr="00261C59">
        <w:rPr>
          <w:rFonts w:ascii="Calibri" w:hAnsi="Calibri"/>
          <w:sz w:val="24"/>
        </w:rPr>
        <w:t>A8</w:t>
      </w:r>
      <w:r w:rsidRPr="00261C59">
        <w:rPr>
          <w:rFonts w:ascii="Calibri" w:hAnsi="Calibri"/>
          <w:sz w:val="24"/>
          <w:szCs w:val="24"/>
        </w:rPr>
        <w:t>) will be subject to a funding cap.</w:t>
      </w:r>
    </w:p>
    <w:p w14:paraId="2577F1D1"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In applying the funding cap each year, no State will be entitled to more than its capped Commonwealth contribution, except for: </w:t>
      </w:r>
    </w:p>
    <w:p w14:paraId="0584B0FA" w14:textId="050F254E" w:rsidR="00271836" w:rsidRPr="00261C59" w:rsidRDefault="00271836" w:rsidP="004728D9">
      <w:pPr>
        <w:numPr>
          <w:ilvl w:val="1"/>
          <w:numId w:val="54"/>
        </w:numPr>
        <w:spacing w:after="240" w:line="260" w:lineRule="exact"/>
        <w:jc w:val="left"/>
        <w:rPr>
          <w:rFonts w:ascii="Calibri" w:hAnsi="Calibri"/>
          <w:sz w:val="24"/>
          <w:szCs w:val="24"/>
          <w:lang w:val="en-GB"/>
        </w:rPr>
      </w:pPr>
      <w:r w:rsidRPr="00CC5A25">
        <w:rPr>
          <w:rFonts w:ascii="Calibri" w:hAnsi="Calibri"/>
          <w:sz w:val="24"/>
          <w:szCs w:val="24"/>
          <w:lang w:val="en-GB"/>
        </w:rPr>
        <w:t xml:space="preserve">exemptions described at clauses </w:t>
      </w:r>
      <w:r w:rsidRPr="00261C59">
        <w:rPr>
          <w:rFonts w:ascii="Calibri" w:hAnsi="Calibri"/>
          <w:sz w:val="24"/>
          <w:szCs w:val="24"/>
          <w:lang w:val="en-GB"/>
        </w:rPr>
        <w:t>A</w:t>
      </w:r>
      <w:r w:rsidR="00074F18" w:rsidRPr="00261C59">
        <w:rPr>
          <w:rFonts w:ascii="Calibri" w:hAnsi="Calibri"/>
          <w:sz w:val="24"/>
          <w:szCs w:val="24"/>
          <w:lang w:val="en-GB"/>
        </w:rPr>
        <w:t>45</w:t>
      </w:r>
      <w:r w:rsidRPr="00CC5A25">
        <w:rPr>
          <w:rFonts w:ascii="Calibri" w:hAnsi="Calibri"/>
          <w:sz w:val="24"/>
          <w:szCs w:val="24"/>
          <w:lang w:val="en-GB"/>
        </w:rPr>
        <w:t xml:space="preserve"> and </w:t>
      </w:r>
      <w:r w:rsidRPr="00261C59">
        <w:rPr>
          <w:rFonts w:ascii="Calibri" w:hAnsi="Calibri"/>
          <w:sz w:val="24"/>
          <w:szCs w:val="24"/>
          <w:lang w:val="en-GB"/>
        </w:rPr>
        <w:t>A</w:t>
      </w:r>
      <w:r w:rsidR="00074F18" w:rsidRPr="00261C59">
        <w:rPr>
          <w:rFonts w:ascii="Calibri" w:hAnsi="Calibri"/>
          <w:sz w:val="24"/>
          <w:szCs w:val="24"/>
          <w:lang w:val="en-GB"/>
        </w:rPr>
        <w:t>46</w:t>
      </w:r>
      <w:r w:rsidRPr="00CC5A25">
        <w:rPr>
          <w:rFonts w:ascii="Calibri" w:hAnsi="Calibri"/>
          <w:sz w:val="24"/>
          <w:szCs w:val="24"/>
          <w:lang w:val="en-GB"/>
        </w:rPr>
        <w:t xml:space="preserve"> </w:t>
      </w:r>
    </w:p>
    <w:p w14:paraId="4E861653" w14:textId="3E90A5DA" w:rsidR="00271836" w:rsidRPr="00261C59" w:rsidRDefault="00271836" w:rsidP="004728D9">
      <w:pPr>
        <w:numPr>
          <w:ilvl w:val="1"/>
          <w:numId w:val="54"/>
        </w:numPr>
        <w:spacing w:after="240" w:line="260" w:lineRule="exact"/>
        <w:jc w:val="left"/>
        <w:rPr>
          <w:rFonts w:ascii="Calibri" w:hAnsi="Calibri"/>
          <w:sz w:val="24"/>
          <w:szCs w:val="24"/>
          <w:lang w:val="en-GB"/>
        </w:rPr>
      </w:pPr>
      <w:r w:rsidRPr="55E157F0">
        <w:rPr>
          <w:rFonts w:ascii="Calibri" w:hAnsi="Calibri"/>
          <w:sz w:val="24"/>
          <w:szCs w:val="24"/>
          <w:lang w:val="en-GB"/>
        </w:rPr>
        <w:t xml:space="preserve">the provision of the redistribution of unspent cap funding in 2030-31 as outlined in clauses </w:t>
      </w:r>
      <w:r w:rsidRPr="00261C59">
        <w:rPr>
          <w:rFonts w:ascii="Calibri" w:hAnsi="Calibri"/>
          <w:sz w:val="24"/>
          <w:szCs w:val="24"/>
          <w:lang w:val="en-GB"/>
        </w:rPr>
        <w:t>A</w:t>
      </w:r>
      <w:r w:rsidR="00074F18" w:rsidRPr="00261C59">
        <w:rPr>
          <w:rFonts w:ascii="Calibri" w:hAnsi="Calibri"/>
          <w:sz w:val="24"/>
          <w:szCs w:val="24"/>
          <w:lang w:val="en-GB"/>
        </w:rPr>
        <w:t>48</w:t>
      </w:r>
      <w:r w:rsidRPr="55E157F0">
        <w:rPr>
          <w:rFonts w:ascii="Calibri" w:hAnsi="Calibri"/>
          <w:sz w:val="24"/>
          <w:szCs w:val="24"/>
          <w:lang w:val="en-GB"/>
        </w:rPr>
        <w:t xml:space="preserve"> to </w:t>
      </w:r>
      <w:r w:rsidRPr="00261C59">
        <w:rPr>
          <w:rFonts w:ascii="Calibri" w:hAnsi="Calibri"/>
          <w:sz w:val="24"/>
          <w:szCs w:val="24"/>
          <w:lang w:val="en-GB"/>
        </w:rPr>
        <w:t>A5</w:t>
      </w:r>
      <w:r w:rsidR="00074F18" w:rsidRPr="00261C59">
        <w:rPr>
          <w:rFonts w:ascii="Calibri" w:hAnsi="Calibri"/>
          <w:sz w:val="24"/>
          <w:szCs w:val="24"/>
          <w:lang w:val="en-GB"/>
        </w:rPr>
        <w:t>2</w:t>
      </w:r>
    </w:p>
    <w:p w14:paraId="09134E24" w14:textId="6653F9CA"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 xml:space="preserve">the provision of any </w:t>
      </w:r>
      <w:r w:rsidRPr="00261C59">
        <w:rPr>
          <w:rFonts w:ascii="Calibri" w:hAnsi="Calibri"/>
          <w:sz w:val="24"/>
          <w:szCs w:val="24"/>
          <w:lang w:val="en-GB"/>
        </w:rPr>
        <w:t xml:space="preserve">Service Model Reform Funding </w:t>
      </w:r>
      <w:r w:rsidRPr="00261C59">
        <w:rPr>
          <w:rFonts w:ascii="Calibri" w:hAnsi="Calibri"/>
          <w:sz w:val="24"/>
          <w:lang w:val="en-GB"/>
        </w:rPr>
        <w:t xml:space="preserve">rollover, as outlined in </w:t>
      </w:r>
      <w:r w:rsidR="00FD5AF7" w:rsidRPr="00261C59">
        <w:rPr>
          <w:rFonts w:ascii="Calibri" w:hAnsi="Calibri"/>
          <w:sz w:val="24"/>
          <w:lang w:val="en-GB"/>
        </w:rPr>
        <w:br/>
      </w:r>
      <w:r w:rsidRPr="00261C59">
        <w:rPr>
          <w:rFonts w:ascii="Calibri" w:hAnsi="Calibri"/>
          <w:sz w:val="24"/>
          <w:lang w:val="en-GB"/>
        </w:rPr>
        <w:t>clause A29.</w:t>
      </w:r>
    </w:p>
    <w:p w14:paraId="44A96257" w14:textId="77777777" w:rsidR="00271836" w:rsidRPr="00261C59" w:rsidRDefault="00271836" w:rsidP="004728D9">
      <w:pPr>
        <w:keepNext/>
        <w:widowControl/>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The funding cap amount for each State for each year of the Addendum will be calculated as a percentage of the State’s funding entitlement for 2025-26, with the 2025-26 funding entitlement, or funding base, being determined as: </w:t>
      </w:r>
    </w:p>
    <w:p w14:paraId="312E8457" w14:textId="02C95AB4" w:rsidR="00271836" w:rsidRPr="00E21A86" w:rsidRDefault="00271836" w:rsidP="004728D9">
      <w:pPr>
        <w:pStyle w:val="ListParagraph"/>
        <w:spacing w:after="240" w:line="260" w:lineRule="exact"/>
        <w:ind w:left="1843" w:firstLine="0"/>
        <w:jc w:val="left"/>
        <w:rPr>
          <w:rFonts w:ascii="Calibri" w:hAnsi="Calibri"/>
          <w:iCs/>
          <w:lang w:val="en-GB"/>
        </w:rPr>
      </w:pPr>
      <m:oMathPara>
        <m:oMathParaPr>
          <m:jc m:val="left"/>
        </m:oMathParaPr>
        <m:oMath>
          <m:r>
            <m:rPr>
              <m:sty m:val="p"/>
            </m:rPr>
            <w:rPr>
              <w:rFonts w:ascii="Cambria Math" w:hAnsi="Cambria Math" w:cs="Calibri"/>
            </w:rPr>
            <m:t>2025</m:t>
          </m:r>
          <m:r>
            <m:rPr>
              <m:sty m:val="p"/>
            </m:rPr>
            <w:rPr>
              <w:rFonts w:ascii="Cambria Math" w:hAnsi="Cambria Math" w:cs="Calibri"/>
            </w:rPr>
            <w:noBreakHyphen/>
            <m:t>26</m:t>
          </m:r>
          <m:r>
            <m:rPr>
              <m:sty m:val="p"/>
            </m:rPr>
            <w:rPr>
              <w:rFonts w:ascii="Cambria Math" w:hAnsi="Cambria Math"/>
              <w:lang w:val="en-GB"/>
            </w:rPr>
            <m:t xml:space="preserve"> NHRA entitlement + </m:t>
          </m:r>
          <m:r>
            <m:rPr>
              <m:sty m:val="p"/>
            </m:rPr>
            <w:rPr>
              <w:rFonts w:ascii="Cambria Math" w:hAnsi="Cambria Math" w:cs="Calibri"/>
            </w:rPr>
            <m:t>2025</m:t>
          </m:r>
          <m:r>
            <m:rPr>
              <m:sty m:val="p"/>
            </m:rPr>
            <w:rPr>
              <w:rFonts w:ascii="Cambria Math" w:hAnsi="Cambria Math" w:cs="Calibri"/>
            </w:rPr>
            <w:noBreakHyphen/>
            <m:t xml:space="preserve">26 </m:t>
          </m:r>
          <m:r>
            <m:rPr>
              <m:sty m:val="p"/>
            </m:rPr>
            <w:rPr>
              <w:rFonts w:ascii="Cambria Math" w:hAnsi="Cambria Math"/>
              <w:lang w:val="en-GB"/>
            </w:rPr>
            <m:t>additional amount</m:t>
          </m:r>
        </m:oMath>
      </m:oMathPara>
    </w:p>
    <w:p w14:paraId="6097C430" w14:textId="360F5C81" w:rsidR="00271836" w:rsidRPr="00261C59" w:rsidRDefault="00431BF1" w:rsidP="004728D9">
      <w:pPr>
        <w:keepNext/>
        <w:widowControl/>
        <w:spacing w:after="240" w:line="260" w:lineRule="exact"/>
        <w:ind w:left="709"/>
        <w:jc w:val="left"/>
        <w:rPr>
          <w:rFonts w:ascii="Calibri" w:hAnsi="Calibri"/>
          <w:iCs/>
          <w:sz w:val="24"/>
          <w:szCs w:val="24"/>
          <w:lang w:val="en-GB"/>
        </w:rPr>
      </w:pPr>
      <w:r>
        <w:rPr>
          <w:rFonts w:ascii="Calibri" w:hAnsi="Calibri"/>
          <w:sz w:val="24"/>
          <w:szCs w:val="24"/>
          <w:lang w:val="en-GB"/>
        </w:rPr>
        <w:t>W</w:t>
      </w:r>
      <w:r w:rsidR="00271836" w:rsidRPr="00261C59">
        <w:rPr>
          <w:rFonts w:ascii="Calibri" w:hAnsi="Calibri"/>
          <w:sz w:val="24"/>
          <w:szCs w:val="24"/>
          <w:lang w:val="en-GB"/>
        </w:rPr>
        <w:t xml:space="preserve">here 2025-26 additional amount refers to the additional funding of </w:t>
      </w:r>
      <w:r w:rsidR="28FDD6BE" w:rsidRPr="45676464">
        <w:rPr>
          <w:rFonts w:ascii="Calibri" w:hAnsi="Calibri"/>
          <w:sz w:val="24"/>
          <w:szCs w:val="24"/>
          <w:lang w:val="en-GB"/>
        </w:rPr>
        <w:t>S</w:t>
      </w:r>
      <w:r w:rsidR="00271836" w:rsidRPr="45676464">
        <w:rPr>
          <w:rFonts w:ascii="Calibri" w:hAnsi="Calibri"/>
          <w:sz w:val="24"/>
          <w:szCs w:val="24"/>
          <w:lang w:val="en-GB"/>
        </w:rPr>
        <w:t>tates</w:t>
      </w:r>
      <w:r w:rsidR="00271836" w:rsidRPr="00261C59">
        <w:rPr>
          <w:rFonts w:ascii="Calibri" w:hAnsi="Calibri"/>
          <w:sz w:val="24"/>
          <w:szCs w:val="24"/>
          <w:lang w:val="en-GB"/>
        </w:rPr>
        <w:t xml:space="preserve"> under </w:t>
      </w:r>
      <w:r w:rsidR="00271836" w:rsidRPr="00261C59">
        <w:rPr>
          <w:rFonts w:ascii="Calibri" w:hAnsi="Calibri"/>
          <w:iCs/>
          <w:sz w:val="24"/>
          <w:szCs w:val="24"/>
          <w:lang w:val="en-GB"/>
        </w:rPr>
        <w:t>Schedule K – Addendum to the National Health Reform Agreement: Revised public hospital funding and health reform arrangements for 2025-26, FFA payment amount (as per clause K7</w:t>
      </w:r>
      <w:r w:rsidR="00941121" w:rsidRPr="00261C59">
        <w:rPr>
          <w:rFonts w:ascii="Calibri" w:hAnsi="Calibri"/>
          <w:iCs/>
          <w:sz w:val="24"/>
          <w:szCs w:val="24"/>
          <w:lang w:val="en-GB"/>
        </w:rPr>
        <w:t>(</w:t>
      </w:r>
      <w:r w:rsidR="00271836" w:rsidRPr="00261C59">
        <w:rPr>
          <w:rFonts w:ascii="Calibri" w:hAnsi="Calibri"/>
          <w:iCs/>
          <w:sz w:val="24"/>
          <w:szCs w:val="24"/>
          <w:lang w:val="en-GB"/>
        </w:rPr>
        <w:t>c</w:t>
      </w:r>
      <w:r w:rsidR="00941121" w:rsidRPr="00261C59">
        <w:rPr>
          <w:rFonts w:ascii="Calibri" w:hAnsi="Calibri"/>
          <w:iCs/>
          <w:sz w:val="24"/>
          <w:szCs w:val="24"/>
          <w:lang w:val="en-GB"/>
        </w:rPr>
        <w:t>)</w:t>
      </w:r>
      <w:r w:rsidR="00271836" w:rsidRPr="00261C59">
        <w:rPr>
          <w:rFonts w:ascii="Calibri" w:hAnsi="Calibri"/>
          <w:iCs/>
          <w:sz w:val="24"/>
          <w:szCs w:val="24"/>
          <w:lang w:val="en-GB"/>
        </w:rPr>
        <w:t>), and the 2025-26 NHRA entitlement is determined as follows:</w:t>
      </w:r>
    </w:p>
    <w:p w14:paraId="394E4353" w14:textId="76129970" w:rsidR="00271836" w:rsidRPr="00261C59" w:rsidRDefault="00431BF1" w:rsidP="004728D9">
      <w:pPr>
        <w:numPr>
          <w:ilvl w:val="1"/>
          <w:numId w:val="54"/>
        </w:numPr>
        <w:spacing w:after="240" w:line="260" w:lineRule="exact"/>
        <w:jc w:val="left"/>
        <w:rPr>
          <w:rFonts w:ascii="Calibri" w:hAnsi="Calibri"/>
          <w:sz w:val="24"/>
          <w:szCs w:val="24"/>
          <w:lang w:val="en-GB"/>
        </w:rPr>
      </w:pPr>
      <w:r>
        <w:rPr>
          <w:rFonts w:ascii="Calibri" w:hAnsi="Calibri"/>
          <w:sz w:val="24"/>
          <w:szCs w:val="24"/>
          <w:lang w:val="en-GB"/>
        </w:rPr>
        <w:t>p</w:t>
      </w:r>
      <w:r w:rsidR="00271836" w:rsidRPr="00261C59">
        <w:rPr>
          <w:rFonts w:ascii="Calibri" w:hAnsi="Calibri"/>
          <w:sz w:val="24"/>
          <w:szCs w:val="24"/>
          <w:lang w:val="en-GB"/>
        </w:rPr>
        <w:t>rior to completion of the 2025-26 annual reconciliation process, for the purposes of estimation to inform payments for 2026-27, estimated as the Administrator’s estimated soft cap for each state in 2025-26, as per December 2025</w:t>
      </w:r>
    </w:p>
    <w:p w14:paraId="0A79917C" w14:textId="6E20D423" w:rsidR="00271836" w:rsidRPr="00261C59" w:rsidRDefault="00431BF1" w:rsidP="00C40AF0">
      <w:pPr>
        <w:keepLines/>
        <w:numPr>
          <w:ilvl w:val="1"/>
          <w:numId w:val="54"/>
        </w:numPr>
        <w:spacing w:after="240" w:line="260" w:lineRule="exact"/>
        <w:jc w:val="left"/>
        <w:rPr>
          <w:rFonts w:ascii="Calibri" w:hAnsi="Calibri"/>
          <w:sz w:val="24"/>
          <w:szCs w:val="24"/>
          <w:lang w:val="en-GB"/>
        </w:rPr>
      </w:pPr>
      <w:r>
        <w:rPr>
          <w:rFonts w:ascii="Calibri" w:hAnsi="Calibri"/>
          <w:sz w:val="24"/>
          <w:szCs w:val="24"/>
          <w:lang w:val="en-GB"/>
        </w:rPr>
        <w:lastRenderedPageBreak/>
        <w:t>f</w:t>
      </w:r>
      <w:r w:rsidR="00271836" w:rsidRPr="00261C59">
        <w:rPr>
          <w:rFonts w:ascii="Calibri" w:hAnsi="Calibri"/>
          <w:sz w:val="24"/>
          <w:szCs w:val="24"/>
          <w:lang w:val="en-GB"/>
        </w:rPr>
        <w:t>ollowing completion of the 2025-26 annual reconciliation process as set out in the 2020-25 Addendum, for all purposes the final entitlement for 2025-26 as determined by the Commonwealth Treasurer.</w:t>
      </w:r>
    </w:p>
    <w:p w14:paraId="74CEFCB6" w14:textId="5DC65475" w:rsidR="00271836" w:rsidRPr="00261C59" w:rsidRDefault="00271836" w:rsidP="002278B3">
      <w:pPr>
        <w:spacing w:after="240" w:line="260" w:lineRule="exact"/>
        <w:ind w:left="709"/>
        <w:jc w:val="left"/>
        <w:rPr>
          <w:rFonts w:ascii="Calibri" w:hAnsi="Calibri"/>
          <w:sz w:val="24"/>
        </w:rPr>
      </w:pPr>
      <w:r w:rsidRPr="00261C59">
        <w:rPr>
          <w:rFonts w:ascii="Calibri" w:hAnsi="Calibri"/>
          <w:sz w:val="24"/>
        </w:rPr>
        <w:t>For the avoidance of doubt, the 2025-26 additional amount is as per the table below:</w:t>
      </w:r>
    </w:p>
    <w:tbl>
      <w:tblPr>
        <w:tblStyle w:val="TableGrid1"/>
        <w:tblW w:w="6346" w:type="dxa"/>
        <w:jc w:val="center"/>
        <w:tblLayout w:type="fixed"/>
        <w:tblLook w:val="04A0" w:firstRow="1" w:lastRow="0" w:firstColumn="1" w:lastColumn="0" w:noHBand="0" w:noVBand="1"/>
      </w:tblPr>
      <w:tblGrid>
        <w:gridCol w:w="2122"/>
        <w:gridCol w:w="4224"/>
      </w:tblGrid>
      <w:tr w:rsidR="00271836" w:rsidRPr="00261C59" w14:paraId="301E8A6D" w14:textId="77777777" w:rsidTr="002278B3">
        <w:trPr>
          <w:trHeight w:val="567"/>
          <w:jc w:val="center"/>
        </w:trPr>
        <w:tc>
          <w:tcPr>
            <w:tcW w:w="2122" w:type="dxa"/>
            <w:vAlign w:val="center"/>
          </w:tcPr>
          <w:p w14:paraId="43C1DAF0" w14:textId="77777777" w:rsidR="00271836" w:rsidRPr="00261C59" w:rsidRDefault="00271836" w:rsidP="00271836">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State</w:t>
            </w:r>
          </w:p>
        </w:tc>
        <w:tc>
          <w:tcPr>
            <w:tcW w:w="4224" w:type="dxa"/>
            <w:vAlign w:val="center"/>
          </w:tcPr>
          <w:p w14:paraId="7EF8F6BC" w14:textId="77777777" w:rsidR="00271836" w:rsidRPr="00261C59" w:rsidRDefault="00271836" w:rsidP="00271836">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2025-26 additional funding ($ millions)</w:t>
            </w:r>
          </w:p>
        </w:tc>
      </w:tr>
      <w:tr w:rsidR="00271836" w:rsidRPr="00261C59" w14:paraId="23BA73AE" w14:textId="77777777" w:rsidTr="002278B3">
        <w:trPr>
          <w:trHeight w:val="503"/>
          <w:jc w:val="center"/>
        </w:trPr>
        <w:tc>
          <w:tcPr>
            <w:tcW w:w="2122" w:type="dxa"/>
            <w:vAlign w:val="center"/>
          </w:tcPr>
          <w:p w14:paraId="1EB14274" w14:textId="77777777" w:rsidR="00271836" w:rsidRPr="00261C59" w:rsidRDefault="00271836" w:rsidP="00271836">
            <w:pPr>
              <w:widowControl/>
              <w:adjustRightInd/>
              <w:spacing w:before="0" w:after="160" w:line="260" w:lineRule="exact"/>
              <w:ind w:left="567" w:hanging="567"/>
              <w:jc w:val="left"/>
              <w:textAlignment w:val="auto"/>
              <w:rPr>
                <w:rFonts w:ascii="Calibri" w:hAnsi="Calibri"/>
                <w:sz w:val="24"/>
                <w:szCs w:val="24"/>
              </w:rPr>
            </w:pPr>
            <w:r w:rsidRPr="00261C59">
              <w:rPr>
                <w:rFonts w:ascii="Calibri" w:hAnsi="Calibri"/>
                <w:b/>
                <w:sz w:val="24"/>
                <w:szCs w:val="24"/>
              </w:rPr>
              <w:t>NSW</w:t>
            </w:r>
          </w:p>
        </w:tc>
        <w:tc>
          <w:tcPr>
            <w:tcW w:w="4224" w:type="dxa"/>
            <w:vAlign w:val="center"/>
          </w:tcPr>
          <w:p w14:paraId="114F213A" w14:textId="77777777" w:rsidR="00271836" w:rsidRPr="00261C59" w:rsidRDefault="00271836" w:rsidP="00271836">
            <w:pPr>
              <w:widowControl/>
              <w:adjustRightInd/>
              <w:spacing w:before="0" w:after="160" w:line="260" w:lineRule="exact"/>
              <w:ind w:left="567" w:hanging="567"/>
              <w:jc w:val="right"/>
              <w:textAlignment w:val="auto"/>
              <w:rPr>
                <w:rFonts w:ascii="Calibri" w:hAnsi="Calibri"/>
                <w:sz w:val="24"/>
                <w:szCs w:val="24"/>
              </w:rPr>
            </w:pPr>
            <w:r w:rsidRPr="00261C59">
              <w:rPr>
                <w:rFonts w:ascii="Calibri" w:hAnsi="Calibri"/>
                <w:sz w:val="24"/>
                <w:szCs w:val="24"/>
              </w:rPr>
              <w:t>407.000</w:t>
            </w:r>
          </w:p>
        </w:tc>
      </w:tr>
      <w:tr w:rsidR="00271836" w:rsidRPr="00261C59" w14:paraId="398E5468" w14:textId="77777777" w:rsidTr="002278B3">
        <w:trPr>
          <w:trHeight w:val="503"/>
          <w:jc w:val="center"/>
        </w:trPr>
        <w:tc>
          <w:tcPr>
            <w:tcW w:w="2122" w:type="dxa"/>
            <w:vAlign w:val="center"/>
          </w:tcPr>
          <w:p w14:paraId="42F4AA3C" w14:textId="77777777" w:rsidR="00271836" w:rsidRPr="00261C59" w:rsidRDefault="00271836" w:rsidP="00271836">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Vic</w:t>
            </w:r>
          </w:p>
        </w:tc>
        <w:tc>
          <w:tcPr>
            <w:tcW w:w="4224" w:type="dxa"/>
            <w:vAlign w:val="center"/>
          </w:tcPr>
          <w:p w14:paraId="3F339956" w14:textId="77777777" w:rsidR="00271836" w:rsidRPr="00261C59" w:rsidRDefault="00271836" w:rsidP="00271836">
            <w:pPr>
              <w:widowControl/>
              <w:adjustRightInd/>
              <w:spacing w:before="0" w:after="160" w:line="260" w:lineRule="exact"/>
              <w:ind w:left="567" w:hanging="567"/>
              <w:jc w:val="right"/>
              <w:textAlignment w:val="auto"/>
              <w:rPr>
                <w:rFonts w:ascii="Calibri" w:hAnsi="Calibri"/>
                <w:sz w:val="24"/>
                <w:szCs w:val="24"/>
              </w:rPr>
            </w:pPr>
            <w:r w:rsidRPr="00261C59">
              <w:rPr>
                <w:rFonts w:ascii="Calibri" w:hAnsi="Calibri"/>
                <w:sz w:val="24"/>
                <w:szCs w:val="24"/>
              </w:rPr>
              <w:t>402.000</w:t>
            </w:r>
          </w:p>
        </w:tc>
      </w:tr>
      <w:tr w:rsidR="00271836" w:rsidRPr="00261C59" w14:paraId="2FA1F44C" w14:textId="77777777" w:rsidTr="002278B3">
        <w:trPr>
          <w:trHeight w:val="503"/>
          <w:jc w:val="center"/>
        </w:trPr>
        <w:tc>
          <w:tcPr>
            <w:tcW w:w="2122" w:type="dxa"/>
            <w:vAlign w:val="center"/>
          </w:tcPr>
          <w:p w14:paraId="2448DD4B" w14:textId="77777777" w:rsidR="00271836" w:rsidRPr="00261C59" w:rsidRDefault="00271836" w:rsidP="00271836">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Qld</w:t>
            </w:r>
          </w:p>
        </w:tc>
        <w:tc>
          <w:tcPr>
            <w:tcW w:w="4224" w:type="dxa"/>
            <w:vAlign w:val="center"/>
          </w:tcPr>
          <w:p w14:paraId="1A5E52FA" w14:textId="77777777" w:rsidR="00271836" w:rsidRPr="00261C59" w:rsidRDefault="00271836" w:rsidP="00271836">
            <w:pPr>
              <w:widowControl/>
              <w:adjustRightInd/>
              <w:spacing w:before="0" w:after="160" w:line="260" w:lineRule="exact"/>
              <w:ind w:left="567" w:hanging="567"/>
              <w:jc w:val="right"/>
              <w:textAlignment w:val="auto"/>
              <w:rPr>
                <w:rFonts w:ascii="Calibri" w:hAnsi="Calibri"/>
                <w:sz w:val="24"/>
                <w:szCs w:val="24"/>
              </w:rPr>
            </w:pPr>
            <w:r w:rsidRPr="00261C59">
              <w:rPr>
                <w:rFonts w:ascii="Calibri" w:hAnsi="Calibri"/>
                <w:sz w:val="24"/>
                <w:szCs w:val="24"/>
              </w:rPr>
              <w:t>414.000</w:t>
            </w:r>
          </w:p>
        </w:tc>
      </w:tr>
      <w:tr w:rsidR="00271836" w:rsidRPr="00261C59" w14:paraId="35D66129" w14:textId="77777777" w:rsidTr="002278B3">
        <w:trPr>
          <w:trHeight w:val="503"/>
          <w:jc w:val="center"/>
        </w:trPr>
        <w:tc>
          <w:tcPr>
            <w:tcW w:w="2122" w:type="dxa"/>
            <w:vAlign w:val="center"/>
          </w:tcPr>
          <w:p w14:paraId="7325D947" w14:textId="77777777" w:rsidR="00271836" w:rsidRPr="00261C59" w:rsidRDefault="00271836" w:rsidP="00271836">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WA</w:t>
            </w:r>
          </w:p>
        </w:tc>
        <w:tc>
          <w:tcPr>
            <w:tcW w:w="4224" w:type="dxa"/>
            <w:vAlign w:val="center"/>
          </w:tcPr>
          <w:p w14:paraId="0E0D788D" w14:textId="77777777" w:rsidR="00271836" w:rsidRPr="00261C59" w:rsidRDefault="00271836" w:rsidP="00271836">
            <w:pPr>
              <w:widowControl/>
              <w:adjustRightInd/>
              <w:spacing w:before="0" w:after="160" w:line="260" w:lineRule="exact"/>
              <w:ind w:left="567" w:hanging="567"/>
              <w:jc w:val="right"/>
              <w:textAlignment w:val="auto"/>
              <w:rPr>
                <w:rFonts w:ascii="Calibri" w:hAnsi="Calibri"/>
                <w:sz w:val="24"/>
                <w:szCs w:val="24"/>
              </w:rPr>
            </w:pPr>
            <w:r w:rsidRPr="00261C59">
              <w:rPr>
                <w:rFonts w:ascii="Calibri" w:hAnsi="Calibri"/>
                <w:sz w:val="24"/>
                <w:szCs w:val="24"/>
              </w:rPr>
              <w:t>158.134</w:t>
            </w:r>
          </w:p>
        </w:tc>
      </w:tr>
      <w:tr w:rsidR="00271836" w:rsidRPr="00261C59" w14:paraId="67E9F3F1" w14:textId="77777777" w:rsidTr="002278B3">
        <w:trPr>
          <w:trHeight w:val="503"/>
          <w:jc w:val="center"/>
        </w:trPr>
        <w:tc>
          <w:tcPr>
            <w:tcW w:w="2122" w:type="dxa"/>
            <w:vAlign w:val="center"/>
          </w:tcPr>
          <w:p w14:paraId="7C5A349D" w14:textId="77777777" w:rsidR="00271836" w:rsidRPr="00261C59" w:rsidRDefault="00271836" w:rsidP="00271836">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SA</w:t>
            </w:r>
          </w:p>
        </w:tc>
        <w:tc>
          <w:tcPr>
            <w:tcW w:w="4224" w:type="dxa"/>
            <w:vAlign w:val="center"/>
          </w:tcPr>
          <w:p w14:paraId="2BA15942" w14:textId="77777777" w:rsidR="00271836" w:rsidRPr="00261C59" w:rsidRDefault="00271836" w:rsidP="00271836">
            <w:pPr>
              <w:widowControl/>
              <w:adjustRightInd/>
              <w:spacing w:before="0" w:after="160" w:line="260" w:lineRule="exact"/>
              <w:ind w:left="567" w:hanging="567"/>
              <w:jc w:val="right"/>
              <w:textAlignment w:val="auto"/>
              <w:rPr>
                <w:rFonts w:ascii="Calibri" w:hAnsi="Calibri"/>
                <w:sz w:val="24"/>
                <w:szCs w:val="24"/>
              </w:rPr>
            </w:pPr>
            <w:r w:rsidRPr="00261C59">
              <w:rPr>
                <w:rFonts w:ascii="Calibri" w:hAnsi="Calibri"/>
                <w:sz w:val="24"/>
                <w:szCs w:val="24"/>
              </w:rPr>
              <w:t>169.198</w:t>
            </w:r>
          </w:p>
        </w:tc>
      </w:tr>
      <w:tr w:rsidR="00271836" w:rsidRPr="00261C59" w14:paraId="3BE4CE25" w14:textId="77777777" w:rsidTr="002278B3">
        <w:trPr>
          <w:trHeight w:val="503"/>
          <w:jc w:val="center"/>
        </w:trPr>
        <w:tc>
          <w:tcPr>
            <w:tcW w:w="2122" w:type="dxa"/>
            <w:vAlign w:val="center"/>
          </w:tcPr>
          <w:p w14:paraId="154062E2" w14:textId="77777777" w:rsidR="00271836" w:rsidRPr="00261C59" w:rsidRDefault="00271836" w:rsidP="00271836">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Tas</w:t>
            </w:r>
          </w:p>
        </w:tc>
        <w:tc>
          <w:tcPr>
            <w:tcW w:w="4224" w:type="dxa"/>
            <w:vAlign w:val="center"/>
          </w:tcPr>
          <w:p w14:paraId="621E3504" w14:textId="77777777" w:rsidR="00271836" w:rsidRPr="00261C59" w:rsidRDefault="00271836" w:rsidP="00271836">
            <w:pPr>
              <w:widowControl/>
              <w:adjustRightInd/>
              <w:spacing w:before="0" w:after="160" w:line="260" w:lineRule="exact"/>
              <w:ind w:left="567" w:hanging="567"/>
              <w:jc w:val="right"/>
              <w:textAlignment w:val="auto"/>
              <w:rPr>
                <w:rFonts w:ascii="Calibri" w:hAnsi="Calibri"/>
                <w:sz w:val="24"/>
                <w:szCs w:val="24"/>
              </w:rPr>
            </w:pPr>
            <w:r w:rsidRPr="00261C59">
              <w:rPr>
                <w:rFonts w:ascii="Calibri" w:hAnsi="Calibri"/>
                <w:sz w:val="24"/>
                <w:szCs w:val="24"/>
              </w:rPr>
              <w:t>50.000</w:t>
            </w:r>
          </w:p>
        </w:tc>
      </w:tr>
      <w:tr w:rsidR="00271836" w:rsidRPr="00261C59" w14:paraId="3E286F05" w14:textId="77777777" w:rsidTr="002278B3">
        <w:trPr>
          <w:trHeight w:val="503"/>
          <w:jc w:val="center"/>
        </w:trPr>
        <w:tc>
          <w:tcPr>
            <w:tcW w:w="2122" w:type="dxa"/>
            <w:vAlign w:val="center"/>
          </w:tcPr>
          <w:p w14:paraId="53C5264D" w14:textId="77777777" w:rsidR="00271836" w:rsidRPr="00261C59" w:rsidRDefault="00271836" w:rsidP="00271836">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ACT</w:t>
            </w:r>
          </w:p>
        </w:tc>
        <w:tc>
          <w:tcPr>
            <w:tcW w:w="4224" w:type="dxa"/>
            <w:vAlign w:val="center"/>
          </w:tcPr>
          <w:p w14:paraId="4D5B2F0A" w14:textId="77777777" w:rsidR="00271836" w:rsidRPr="00261C59" w:rsidRDefault="00271836" w:rsidP="00271836">
            <w:pPr>
              <w:widowControl/>
              <w:adjustRightInd/>
              <w:spacing w:before="0" w:after="160" w:line="260" w:lineRule="exact"/>
              <w:ind w:left="567" w:hanging="567"/>
              <w:jc w:val="right"/>
              <w:textAlignment w:val="auto"/>
              <w:rPr>
                <w:rFonts w:ascii="Calibri" w:hAnsi="Calibri"/>
                <w:sz w:val="24"/>
                <w:szCs w:val="24"/>
              </w:rPr>
            </w:pPr>
            <w:r w:rsidRPr="00261C59">
              <w:rPr>
                <w:rFonts w:ascii="Calibri" w:hAnsi="Calibri"/>
                <w:sz w:val="24"/>
                <w:szCs w:val="24"/>
              </w:rPr>
              <w:t>50.000</w:t>
            </w:r>
          </w:p>
        </w:tc>
      </w:tr>
      <w:tr w:rsidR="00271836" w:rsidRPr="00261C59" w14:paraId="259388DC" w14:textId="77777777" w:rsidTr="002278B3">
        <w:trPr>
          <w:trHeight w:val="503"/>
          <w:jc w:val="center"/>
        </w:trPr>
        <w:tc>
          <w:tcPr>
            <w:tcW w:w="2122" w:type="dxa"/>
            <w:vAlign w:val="center"/>
          </w:tcPr>
          <w:p w14:paraId="3037EB3C" w14:textId="77777777" w:rsidR="00271836" w:rsidRPr="00261C59" w:rsidRDefault="00271836" w:rsidP="00271836">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NT</w:t>
            </w:r>
          </w:p>
        </w:tc>
        <w:tc>
          <w:tcPr>
            <w:tcW w:w="4224" w:type="dxa"/>
            <w:vAlign w:val="center"/>
          </w:tcPr>
          <w:p w14:paraId="6C481D28" w14:textId="77777777" w:rsidR="00271836" w:rsidRPr="00261C59" w:rsidRDefault="00271836" w:rsidP="00271836">
            <w:pPr>
              <w:widowControl/>
              <w:adjustRightInd/>
              <w:spacing w:before="0" w:after="160" w:line="260" w:lineRule="exact"/>
              <w:ind w:left="567" w:hanging="567"/>
              <w:jc w:val="right"/>
              <w:textAlignment w:val="auto"/>
              <w:rPr>
                <w:rFonts w:ascii="Calibri" w:hAnsi="Calibri"/>
                <w:sz w:val="24"/>
                <w:szCs w:val="24"/>
              </w:rPr>
            </w:pPr>
            <w:r w:rsidRPr="00261C59">
              <w:rPr>
                <w:rFonts w:ascii="Calibri" w:hAnsi="Calibri"/>
                <w:sz w:val="24"/>
                <w:szCs w:val="24"/>
              </w:rPr>
              <w:t>51.000</w:t>
            </w:r>
          </w:p>
        </w:tc>
      </w:tr>
      <w:tr w:rsidR="00271836" w:rsidRPr="00261C59" w14:paraId="12134919" w14:textId="77777777" w:rsidTr="002278B3">
        <w:trPr>
          <w:trHeight w:val="503"/>
          <w:jc w:val="center"/>
        </w:trPr>
        <w:tc>
          <w:tcPr>
            <w:tcW w:w="2122" w:type="dxa"/>
            <w:vAlign w:val="center"/>
          </w:tcPr>
          <w:p w14:paraId="27F6272E" w14:textId="77777777" w:rsidR="00271836" w:rsidRPr="00261C59" w:rsidRDefault="00271836" w:rsidP="00271836">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National</w:t>
            </w:r>
          </w:p>
        </w:tc>
        <w:tc>
          <w:tcPr>
            <w:tcW w:w="4224" w:type="dxa"/>
            <w:vAlign w:val="center"/>
          </w:tcPr>
          <w:p w14:paraId="2949DF96" w14:textId="77777777" w:rsidR="00271836" w:rsidRPr="00261C59" w:rsidRDefault="00271836" w:rsidP="00271836">
            <w:pPr>
              <w:widowControl/>
              <w:adjustRightInd/>
              <w:spacing w:before="0" w:after="160" w:line="260" w:lineRule="exact"/>
              <w:ind w:left="567" w:hanging="567"/>
              <w:jc w:val="right"/>
              <w:textAlignment w:val="auto"/>
              <w:rPr>
                <w:rFonts w:ascii="Calibri" w:hAnsi="Calibri"/>
                <w:sz w:val="24"/>
                <w:szCs w:val="24"/>
              </w:rPr>
            </w:pPr>
            <w:r w:rsidRPr="00261C59">
              <w:rPr>
                <w:rFonts w:ascii="Calibri" w:hAnsi="Calibri"/>
                <w:sz w:val="24"/>
                <w:szCs w:val="24"/>
              </w:rPr>
              <w:t>1,701.332</w:t>
            </w:r>
          </w:p>
        </w:tc>
      </w:tr>
    </w:tbl>
    <w:p w14:paraId="47A64863" w14:textId="77777777" w:rsidR="00271836" w:rsidRPr="00261C59" w:rsidRDefault="00271836" w:rsidP="00B2231F">
      <w:pPr>
        <w:keepNext/>
        <w:keepLines/>
        <w:widowControl/>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funding cap amount will be calculated individually for each State by multiplying the funding cap from the prior year (to the nearest </w:t>
      </w:r>
      <w:r w:rsidRPr="00261C59">
        <w:rPr>
          <w:rFonts w:ascii="Calibri" w:hAnsi="Calibri"/>
          <w:sz w:val="24"/>
        </w:rPr>
        <w:t>dollar</w:t>
      </w:r>
      <w:r w:rsidRPr="00261C59">
        <w:rPr>
          <w:rFonts w:ascii="Calibri" w:hAnsi="Calibri"/>
          <w:sz w:val="24"/>
          <w:szCs w:val="24"/>
        </w:rPr>
        <w:t>) by the relevant formula as specified in the table below:</w:t>
      </w:r>
    </w:p>
    <w:tbl>
      <w:tblPr>
        <w:tblStyle w:val="TableGrid2"/>
        <w:tblW w:w="6658" w:type="dxa"/>
        <w:tblInd w:w="1484" w:type="dxa"/>
        <w:tblLayout w:type="fixed"/>
        <w:tblLook w:val="04A0" w:firstRow="1" w:lastRow="0" w:firstColumn="1" w:lastColumn="0" w:noHBand="0" w:noVBand="1"/>
      </w:tblPr>
      <w:tblGrid>
        <w:gridCol w:w="1062"/>
        <w:gridCol w:w="5596"/>
      </w:tblGrid>
      <w:tr w:rsidR="00271836" w:rsidRPr="00261C59" w14:paraId="0246927A" w14:textId="77777777" w:rsidTr="00B2231F">
        <w:trPr>
          <w:cantSplit/>
          <w:trHeight w:val="514"/>
        </w:trPr>
        <w:tc>
          <w:tcPr>
            <w:tcW w:w="1062" w:type="dxa"/>
            <w:vAlign w:val="center"/>
          </w:tcPr>
          <w:p w14:paraId="5133D1BC" w14:textId="77777777" w:rsidR="00271836" w:rsidRPr="00261C59" w:rsidRDefault="00271836" w:rsidP="007F61B8">
            <w:pPr>
              <w:keepNext/>
              <w:keepLines/>
              <w:widowControl/>
              <w:spacing w:line="260" w:lineRule="exact"/>
              <w:jc w:val="left"/>
              <w:rPr>
                <w:rFonts w:ascii="Calibri" w:hAnsi="Calibri" w:cs="Calibri"/>
                <w:b/>
                <w:sz w:val="24"/>
                <w:szCs w:val="24"/>
              </w:rPr>
            </w:pPr>
            <w:r w:rsidRPr="00261C59">
              <w:rPr>
                <w:rFonts w:ascii="Calibri" w:hAnsi="Calibri"/>
                <w:sz w:val="24"/>
                <w:szCs w:val="24"/>
              </w:rPr>
              <w:br w:type="page"/>
            </w:r>
            <w:r w:rsidRPr="00261C59">
              <w:rPr>
                <w:rFonts w:ascii="Calibri" w:hAnsi="Calibri" w:cs="Calibri"/>
                <w:b/>
                <w:sz w:val="24"/>
                <w:szCs w:val="24"/>
              </w:rPr>
              <w:t>Year</w:t>
            </w:r>
          </w:p>
        </w:tc>
        <w:tc>
          <w:tcPr>
            <w:tcW w:w="5596" w:type="dxa"/>
            <w:vAlign w:val="center"/>
          </w:tcPr>
          <w:p w14:paraId="4C01F5FC" w14:textId="77777777" w:rsidR="00271836" w:rsidRPr="00261C59" w:rsidRDefault="00271836" w:rsidP="007F61B8">
            <w:pPr>
              <w:keepNext/>
              <w:keepLines/>
              <w:widowControl/>
              <w:spacing w:line="260" w:lineRule="exact"/>
              <w:jc w:val="left"/>
              <w:rPr>
                <w:rFonts w:ascii="Calibri" w:hAnsi="Calibri" w:cs="Calibri"/>
                <w:b/>
                <w:sz w:val="24"/>
                <w:szCs w:val="24"/>
              </w:rPr>
            </w:pPr>
            <w:r w:rsidRPr="00261C59">
              <w:rPr>
                <w:rFonts w:ascii="Calibri" w:hAnsi="Calibri" w:cs="Calibri"/>
                <w:b/>
                <w:sz w:val="24"/>
                <w:szCs w:val="24"/>
              </w:rPr>
              <w:t>Cap value calculation</w:t>
            </w:r>
          </w:p>
        </w:tc>
      </w:tr>
      <w:tr w:rsidR="00271836" w:rsidRPr="00261C59" w14:paraId="307EF24C" w14:textId="77777777" w:rsidTr="00B2231F">
        <w:trPr>
          <w:cantSplit/>
          <w:trHeight w:val="772"/>
        </w:trPr>
        <w:tc>
          <w:tcPr>
            <w:tcW w:w="1062" w:type="dxa"/>
            <w:vAlign w:val="center"/>
          </w:tcPr>
          <w:p w14:paraId="686E0233" w14:textId="77777777" w:rsidR="00271836" w:rsidRPr="00261C59" w:rsidRDefault="00271836" w:rsidP="007F61B8">
            <w:pPr>
              <w:keepNext/>
              <w:keepLines/>
              <w:widowControl/>
              <w:spacing w:line="260" w:lineRule="exact"/>
              <w:jc w:val="left"/>
              <w:rPr>
                <w:rFonts w:ascii="Calibri" w:hAnsi="Calibri" w:cs="Calibri"/>
                <w:sz w:val="24"/>
                <w:szCs w:val="24"/>
              </w:rPr>
            </w:pPr>
            <w:r w:rsidRPr="00261C59">
              <w:rPr>
                <w:rFonts w:ascii="Calibri" w:hAnsi="Calibri" w:cs="Calibri"/>
                <w:sz w:val="24"/>
                <w:szCs w:val="24"/>
              </w:rPr>
              <w:t>2026-27</w:t>
            </w:r>
            <w:r w:rsidRPr="00261C59">
              <w:rPr>
                <w:rFonts w:ascii="Calibri" w:hAnsi="Calibri"/>
                <w:sz w:val="24"/>
                <w:szCs w:val="24"/>
              </w:rPr>
              <w:t xml:space="preserve"> </w:t>
            </w:r>
          </w:p>
        </w:tc>
        <w:tc>
          <w:tcPr>
            <w:tcW w:w="5596" w:type="dxa"/>
            <w:vAlign w:val="center"/>
          </w:tcPr>
          <w:p w14:paraId="5F573AFD" w14:textId="7DF0EA0B" w:rsidR="00271836" w:rsidRPr="00261C59" w:rsidRDefault="00271836" w:rsidP="007F61B8">
            <w:pPr>
              <w:keepNext/>
              <w:keepLines/>
              <w:widowControl/>
              <w:spacing w:line="260" w:lineRule="exact"/>
              <w:jc w:val="left"/>
              <w:rPr>
                <w:rFonts w:ascii="Calibri" w:hAnsi="Calibri"/>
                <w:sz w:val="24"/>
              </w:rPr>
            </w:pPr>
            <m:oMathPara>
              <m:oMath>
                <m:r>
                  <w:rPr>
                    <w:rFonts w:ascii="Cambria Math" w:hAnsi="Cambria Math"/>
                    <w:sz w:val="24"/>
                  </w:rPr>
                  <m:t>(2025</m:t>
                </m:r>
                <m:r>
                  <m:rPr>
                    <m:sty m:val="p"/>
                  </m:rPr>
                  <w:rPr>
                    <w:rFonts w:ascii="Cambria Math" w:hAnsi="Cambria Math"/>
                  </w:rPr>
                  <w:noBreakHyphen/>
                </m:r>
                <m:r>
                  <w:rPr>
                    <w:rFonts w:ascii="Cambria Math" w:hAnsi="Cambria Math"/>
                    <w:sz w:val="24"/>
                  </w:rPr>
                  <m:t xml:space="preserve">26 total NHRA entitlement + </m:t>
                </m:r>
                <m:r>
                  <m:rPr>
                    <m:sty m:val="p"/>
                  </m:rPr>
                  <w:rPr>
                    <w:rFonts w:ascii="Cambria Math" w:hAnsi="Cambria Math"/>
                    <w:sz w:val="24"/>
                  </w:rPr>
                  <w:br/>
                </m:r>
              </m:oMath>
              <m:oMath>
                <m:r>
                  <w:rPr>
                    <w:rFonts w:ascii="Cambria Math" w:hAnsi="Cambria Math"/>
                    <w:sz w:val="24"/>
                  </w:rPr>
                  <m:t>2025</m:t>
                </m:r>
                <m:r>
                  <m:rPr>
                    <m:sty m:val="p"/>
                  </m:rPr>
                  <w:rPr>
                    <w:rFonts w:ascii="Cambria Math" w:hAnsi="Cambria Math"/>
                    <w:sz w:val="22"/>
                    <w:szCs w:val="22"/>
                  </w:rPr>
                  <w:noBreakHyphen/>
                </m:r>
                <m:r>
                  <w:rPr>
                    <w:rFonts w:ascii="Cambria Math" w:hAnsi="Cambria Math"/>
                    <w:sz w:val="24"/>
                  </w:rPr>
                  <m:t>26</m:t>
                </m:r>
                <m:r>
                  <w:rPr>
                    <w:rFonts w:ascii="Cambria Math" w:hAnsi="Cambria Math"/>
                    <w:sz w:val="22"/>
                    <w:szCs w:val="22"/>
                  </w:rPr>
                  <m:t xml:space="preserve"> </m:t>
                </m:r>
                <m:r>
                  <w:rPr>
                    <w:rFonts w:ascii="Cambria Math" w:hAnsi="Cambria Math"/>
                    <w:sz w:val="24"/>
                  </w:rPr>
                  <m:t>additional amount) × 110.25%</m:t>
                </m:r>
              </m:oMath>
            </m:oMathPara>
          </w:p>
        </w:tc>
      </w:tr>
      <w:tr w:rsidR="00271836" w:rsidRPr="00261C59" w14:paraId="7578C59A" w14:textId="77777777" w:rsidTr="00B2231F">
        <w:trPr>
          <w:cantSplit/>
          <w:trHeight w:val="498"/>
        </w:trPr>
        <w:tc>
          <w:tcPr>
            <w:tcW w:w="1062" w:type="dxa"/>
            <w:vAlign w:val="center"/>
          </w:tcPr>
          <w:p w14:paraId="11222727" w14:textId="77777777" w:rsidR="00271836" w:rsidRPr="00261C59" w:rsidRDefault="00271836" w:rsidP="007F61B8">
            <w:pPr>
              <w:keepNext/>
              <w:keepLines/>
              <w:widowControl/>
              <w:spacing w:line="260" w:lineRule="exact"/>
              <w:jc w:val="left"/>
              <w:rPr>
                <w:rFonts w:ascii="Calibri" w:hAnsi="Calibri" w:cs="Calibri"/>
                <w:sz w:val="24"/>
                <w:szCs w:val="24"/>
              </w:rPr>
            </w:pPr>
            <w:r w:rsidRPr="00261C59">
              <w:rPr>
                <w:rFonts w:ascii="Calibri" w:hAnsi="Calibri" w:cs="Calibri"/>
                <w:sz w:val="24"/>
                <w:szCs w:val="24"/>
              </w:rPr>
              <w:t>2027-28</w:t>
            </w:r>
          </w:p>
        </w:tc>
        <w:tc>
          <w:tcPr>
            <w:tcW w:w="5596" w:type="dxa"/>
            <w:vAlign w:val="center"/>
          </w:tcPr>
          <w:p w14:paraId="6644B8F7" w14:textId="1E4F9D43" w:rsidR="00271836" w:rsidRPr="00261C59" w:rsidRDefault="00271836" w:rsidP="007F61B8">
            <w:pPr>
              <w:keepNext/>
              <w:keepLines/>
              <w:widowControl/>
              <w:spacing w:line="260" w:lineRule="exact"/>
              <w:jc w:val="left"/>
              <w:rPr>
                <w:rFonts w:ascii="Calibri" w:hAnsi="Calibri"/>
                <w:sz w:val="24"/>
              </w:rPr>
            </w:pPr>
            <m:oMathPara>
              <m:oMath>
                <m:r>
                  <w:rPr>
                    <w:rFonts w:ascii="Cambria Math" w:hAnsi="Cambria Math"/>
                    <w:sz w:val="24"/>
                  </w:rPr>
                  <m:t>(2026</m:t>
                </m:r>
                <m:r>
                  <m:rPr>
                    <m:sty m:val="p"/>
                  </m:rPr>
                  <w:rPr>
                    <w:rFonts w:ascii="Cambria Math" w:hAnsi="Cambria Math"/>
                  </w:rPr>
                  <w:noBreakHyphen/>
                </m:r>
                <m:r>
                  <w:rPr>
                    <w:rFonts w:ascii="Cambria Math" w:hAnsi="Cambria Math"/>
                    <w:sz w:val="24"/>
                  </w:rPr>
                  <m:t xml:space="preserve">27 </m:t>
                </m:r>
                <m:r>
                  <m:rPr>
                    <m:sty m:val="p"/>
                  </m:rPr>
                  <w:rPr>
                    <w:rFonts w:ascii="Cambria Math" w:hAnsi="Cambria Math"/>
                    <w:sz w:val="24"/>
                  </w:rPr>
                  <m:t>cap</m:t>
                </m:r>
                <m:r>
                  <w:rPr>
                    <w:rFonts w:ascii="Cambria Math" w:hAnsi="Cambria Math"/>
                    <w:sz w:val="24"/>
                  </w:rPr>
                  <m:t>) × 108.00%</m:t>
                </m:r>
              </m:oMath>
            </m:oMathPara>
          </w:p>
        </w:tc>
      </w:tr>
      <w:tr w:rsidR="00271836" w:rsidRPr="00261C59" w14:paraId="3083E2D8" w14:textId="77777777" w:rsidTr="00B2231F">
        <w:trPr>
          <w:cantSplit/>
          <w:trHeight w:val="514"/>
        </w:trPr>
        <w:tc>
          <w:tcPr>
            <w:tcW w:w="1062" w:type="dxa"/>
            <w:vAlign w:val="center"/>
          </w:tcPr>
          <w:p w14:paraId="35419809" w14:textId="77777777" w:rsidR="00271836" w:rsidRPr="00261C59" w:rsidRDefault="00271836" w:rsidP="007F61B8">
            <w:pPr>
              <w:keepNext/>
              <w:keepLines/>
              <w:widowControl/>
              <w:spacing w:line="260" w:lineRule="exact"/>
              <w:jc w:val="left"/>
              <w:rPr>
                <w:rFonts w:ascii="Calibri" w:hAnsi="Calibri" w:cs="Calibri"/>
                <w:sz w:val="24"/>
                <w:szCs w:val="24"/>
              </w:rPr>
            </w:pPr>
            <w:r w:rsidRPr="00261C59">
              <w:rPr>
                <w:rFonts w:ascii="Calibri" w:hAnsi="Calibri" w:cs="Calibri"/>
                <w:sz w:val="24"/>
                <w:szCs w:val="24"/>
              </w:rPr>
              <w:t>2028-29</w:t>
            </w:r>
          </w:p>
        </w:tc>
        <w:tc>
          <w:tcPr>
            <w:tcW w:w="5596" w:type="dxa"/>
            <w:vAlign w:val="center"/>
          </w:tcPr>
          <w:p w14:paraId="30726B1C" w14:textId="6F50D127" w:rsidR="00271836" w:rsidRPr="00261C59" w:rsidRDefault="00271836" w:rsidP="007F61B8">
            <w:pPr>
              <w:keepNext/>
              <w:keepLines/>
              <w:widowControl/>
              <w:spacing w:line="260" w:lineRule="exact"/>
              <w:jc w:val="left"/>
              <w:rPr>
                <w:rFonts w:ascii="Calibri" w:hAnsi="Calibri"/>
                <w:sz w:val="24"/>
              </w:rPr>
            </w:pPr>
            <m:oMathPara>
              <m:oMath>
                <m:r>
                  <w:rPr>
                    <w:rFonts w:ascii="Cambria Math" w:hAnsi="Cambria Math"/>
                    <w:sz w:val="24"/>
                  </w:rPr>
                  <m:t>(2027</m:t>
                </m:r>
                <m:r>
                  <m:rPr>
                    <m:sty m:val="p"/>
                  </m:rPr>
                  <w:rPr>
                    <w:rFonts w:ascii="Cambria Math" w:hAnsi="Cambria Math"/>
                  </w:rPr>
                  <w:noBreakHyphen/>
                </m:r>
                <m:r>
                  <w:rPr>
                    <w:rFonts w:ascii="Cambria Math" w:hAnsi="Cambria Math"/>
                    <w:sz w:val="24"/>
                  </w:rPr>
                  <m:t xml:space="preserve">28 </m:t>
                </m:r>
                <m:r>
                  <m:rPr>
                    <m:sty m:val="p"/>
                  </m:rPr>
                  <w:rPr>
                    <w:rFonts w:ascii="Cambria Math" w:hAnsi="Cambria Math"/>
                    <w:sz w:val="24"/>
                  </w:rPr>
                  <m:t>cap</m:t>
                </m:r>
                <m:r>
                  <w:rPr>
                    <w:rFonts w:ascii="Cambria Math" w:hAnsi="Cambria Math"/>
                    <w:sz w:val="24"/>
                  </w:rPr>
                  <m:t>) × 108.00%</m:t>
                </m:r>
              </m:oMath>
            </m:oMathPara>
          </w:p>
        </w:tc>
      </w:tr>
      <w:tr w:rsidR="00271836" w:rsidRPr="00261C59" w14:paraId="4856048F" w14:textId="77777777" w:rsidTr="00B2231F">
        <w:trPr>
          <w:cantSplit/>
          <w:trHeight w:val="498"/>
        </w:trPr>
        <w:tc>
          <w:tcPr>
            <w:tcW w:w="1062" w:type="dxa"/>
            <w:vAlign w:val="center"/>
          </w:tcPr>
          <w:p w14:paraId="4EA251DC" w14:textId="77777777" w:rsidR="00271836" w:rsidRPr="00261C59" w:rsidRDefault="00271836" w:rsidP="007F61B8">
            <w:pPr>
              <w:keepNext/>
              <w:keepLines/>
              <w:widowControl/>
              <w:spacing w:line="260" w:lineRule="exact"/>
              <w:jc w:val="left"/>
              <w:rPr>
                <w:rFonts w:ascii="Calibri" w:hAnsi="Calibri" w:cs="Calibri"/>
                <w:sz w:val="24"/>
                <w:szCs w:val="24"/>
              </w:rPr>
            </w:pPr>
            <w:r w:rsidRPr="00261C59">
              <w:rPr>
                <w:rFonts w:ascii="Calibri" w:hAnsi="Calibri" w:cs="Calibri"/>
                <w:sz w:val="24"/>
                <w:szCs w:val="24"/>
              </w:rPr>
              <w:t>2029-30</w:t>
            </w:r>
          </w:p>
        </w:tc>
        <w:tc>
          <w:tcPr>
            <w:tcW w:w="5596" w:type="dxa"/>
            <w:vAlign w:val="center"/>
          </w:tcPr>
          <w:p w14:paraId="442B3326" w14:textId="0A74BFC1" w:rsidR="00271836" w:rsidRPr="00261C59" w:rsidRDefault="00271836" w:rsidP="007F61B8">
            <w:pPr>
              <w:keepNext/>
              <w:keepLines/>
              <w:widowControl/>
              <w:spacing w:line="260" w:lineRule="exact"/>
              <w:jc w:val="left"/>
              <w:rPr>
                <w:rFonts w:ascii="Calibri" w:hAnsi="Calibri"/>
                <w:sz w:val="24"/>
              </w:rPr>
            </w:pPr>
            <m:oMathPara>
              <m:oMath>
                <m:r>
                  <w:rPr>
                    <w:rFonts w:ascii="Cambria Math" w:hAnsi="Cambria Math"/>
                    <w:sz w:val="24"/>
                  </w:rPr>
                  <m:t>(2028</m:t>
                </m:r>
                <m:r>
                  <m:rPr>
                    <m:sty m:val="p"/>
                  </m:rPr>
                  <w:rPr>
                    <w:rFonts w:ascii="Cambria Math" w:hAnsi="Cambria Math"/>
                  </w:rPr>
                  <w:noBreakHyphen/>
                </m:r>
                <m:r>
                  <w:rPr>
                    <w:rFonts w:ascii="Cambria Math" w:hAnsi="Cambria Math"/>
                    <w:sz w:val="24"/>
                  </w:rPr>
                  <m:t xml:space="preserve">29 </m:t>
                </m:r>
                <m:r>
                  <m:rPr>
                    <m:sty m:val="p"/>
                  </m:rPr>
                  <w:rPr>
                    <w:rFonts w:ascii="Cambria Math" w:hAnsi="Cambria Math"/>
                    <w:sz w:val="24"/>
                  </w:rPr>
                  <m:t>cap</m:t>
                </m:r>
                <m:r>
                  <w:rPr>
                    <w:rFonts w:ascii="Cambria Math" w:hAnsi="Cambria Math"/>
                    <w:sz w:val="24"/>
                  </w:rPr>
                  <m:t>) × 108.00%</m:t>
                </m:r>
              </m:oMath>
            </m:oMathPara>
          </w:p>
        </w:tc>
      </w:tr>
      <w:tr w:rsidR="00271836" w:rsidRPr="00261C59" w14:paraId="2C609AB4" w14:textId="77777777" w:rsidTr="00B2231F">
        <w:trPr>
          <w:cantSplit/>
          <w:trHeight w:val="514"/>
        </w:trPr>
        <w:tc>
          <w:tcPr>
            <w:tcW w:w="1062" w:type="dxa"/>
            <w:vAlign w:val="center"/>
          </w:tcPr>
          <w:p w14:paraId="26F9ADEE" w14:textId="77777777" w:rsidR="00271836" w:rsidRPr="00261C59" w:rsidRDefault="00271836" w:rsidP="007F61B8">
            <w:pPr>
              <w:keepNext/>
              <w:keepLines/>
              <w:widowControl/>
              <w:spacing w:line="260" w:lineRule="exact"/>
              <w:jc w:val="left"/>
              <w:rPr>
                <w:rFonts w:ascii="Calibri" w:hAnsi="Calibri" w:cs="Calibri"/>
                <w:sz w:val="24"/>
                <w:szCs w:val="24"/>
              </w:rPr>
            </w:pPr>
            <w:r w:rsidRPr="00261C59">
              <w:rPr>
                <w:rFonts w:ascii="Calibri" w:hAnsi="Calibri" w:cs="Calibri"/>
                <w:sz w:val="24"/>
                <w:szCs w:val="24"/>
              </w:rPr>
              <w:t>2030-31</w:t>
            </w:r>
          </w:p>
        </w:tc>
        <w:tc>
          <w:tcPr>
            <w:tcW w:w="5596" w:type="dxa"/>
            <w:vAlign w:val="center"/>
          </w:tcPr>
          <w:p w14:paraId="53923DFB" w14:textId="3BED08E2" w:rsidR="00271836" w:rsidRPr="00261C59" w:rsidRDefault="00271836" w:rsidP="007F61B8">
            <w:pPr>
              <w:keepNext/>
              <w:keepLines/>
              <w:widowControl/>
              <w:spacing w:line="260" w:lineRule="exact"/>
              <w:jc w:val="left"/>
              <w:rPr>
                <w:rFonts w:ascii="Calibri" w:hAnsi="Calibri"/>
                <w:sz w:val="24"/>
              </w:rPr>
            </w:pPr>
            <m:oMathPara>
              <m:oMath>
                <m:r>
                  <w:rPr>
                    <w:rFonts w:ascii="Cambria Math" w:hAnsi="Cambria Math"/>
                    <w:sz w:val="24"/>
                  </w:rPr>
                  <m:t>(2029</m:t>
                </m:r>
                <m:r>
                  <m:rPr>
                    <m:sty m:val="p"/>
                  </m:rPr>
                  <w:rPr>
                    <w:rFonts w:ascii="Cambria Math" w:hAnsi="Cambria Math"/>
                  </w:rPr>
                  <w:noBreakHyphen/>
                </m:r>
                <m:r>
                  <w:rPr>
                    <w:rFonts w:ascii="Cambria Math" w:hAnsi="Cambria Math"/>
                    <w:sz w:val="24"/>
                  </w:rPr>
                  <m:t xml:space="preserve">30 </m:t>
                </m:r>
                <m:r>
                  <m:rPr>
                    <m:sty m:val="p"/>
                  </m:rPr>
                  <w:rPr>
                    <w:rFonts w:ascii="Cambria Math" w:hAnsi="Cambria Math"/>
                    <w:sz w:val="24"/>
                  </w:rPr>
                  <m:t>cap</m:t>
                </m:r>
                <m:r>
                  <w:rPr>
                    <w:rFonts w:ascii="Cambria Math" w:hAnsi="Cambria Math"/>
                    <w:sz w:val="24"/>
                  </w:rPr>
                  <m:t>) × 108.00%</m:t>
                </m:r>
              </m:oMath>
            </m:oMathPara>
          </w:p>
        </w:tc>
      </w:tr>
    </w:tbl>
    <w:p w14:paraId="111BC109" w14:textId="16D9897E" w:rsidR="00271836" w:rsidRPr="00261C59" w:rsidRDefault="00271836" w:rsidP="004728D9">
      <w:pPr>
        <w:spacing w:after="240" w:line="260" w:lineRule="exact"/>
        <w:ind w:left="709"/>
        <w:jc w:val="left"/>
        <w:rPr>
          <w:rFonts w:ascii="Calibri" w:hAnsi="Calibri"/>
          <w:sz w:val="24"/>
        </w:rPr>
      </w:pPr>
      <w:r w:rsidRPr="00261C59">
        <w:rPr>
          <w:rFonts w:ascii="Calibri" w:hAnsi="Calibri"/>
          <w:sz w:val="24"/>
        </w:rPr>
        <w:t>This is equivalent to the following cumulative cap increases relative to the total 2025-26 NHRA entitlement and 2025-26 additional amount, rounded to two decimal places:</w:t>
      </w:r>
    </w:p>
    <w:tbl>
      <w:tblPr>
        <w:tblStyle w:val="TableGrid1"/>
        <w:tblpPr w:leftFromText="180" w:rightFromText="180" w:vertAnchor="text" w:horzAnchor="margin" w:tblpY="-58"/>
        <w:tblW w:w="9498" w:type="dxa"/>
        <w:tblLayout w:type="fixed"/>
        <w:tblLook w:val="04A0" w:firstRow="1" w:lastRow="0" w:firstColumn="1" w:lastColumn="0" w:noHBand="0" w:noVBand="1"/>
      </w:tblPr>
      <w:tblGrid>
        <w:gridCol w:w="1555"/>
        <w:gridCol w:w="1611"/>
        <w:gridCol w:w="1583"/>
        <w:gridCol w:w="1583"/>
        <w:gridCol w:w="1583"/>
        <w:gridCol w:w="1583"/>
      </w:tblGrid>
      <w:tr w:rsidR="00271836" w:rsidRPr="00261C59" w14:paraId="705A4E03" w14:textId="77777777" w:rsidTr="004728D9">
        <w:trPr>
          <w:trHeight w:val="567"/>
        </w:trPr>
        <w:tc>
          <w:tcPr>
            <w:tcW w:w="1555" w:type="dxa"/>
            <w:vAlign w:val="center"/>
          </w:tcPr>
          <w:p w14:paraId="70C94158" w14:textId="77777777" w:rsidR="00271836" w:rsidRPr="00261C59" w:rsidRDefault="00271836" w:rsidP="004728D9">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Year</w:t>
            </w:r>
          </w:p>
        </w:tc>
        <w:tc>
          <w:tcPr>
            <w:tcW w:w="1611" w:type="dxa"/>
            <w:vAlign w:val="center"/>
          </w:tcPr>
          <w:p w14:paraId="73DCCD51" w14:textId="77777777" w:rsidR="00271836" w:rsidRPr="00261C59" w:rsidRDefault="00271836" w:rsidP="004728D9">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2026-27</w:t>
            </w:r>
          </w:p>
        </w:tc>
        <w:tc>
          <w:tcPr>
            <w:tcW w:w="1583" w:type="dxa"/>
            <w:vAlign w:val="center"/>
          </w:tcPr>
          <w:p w14:paraId="78BDA278" w14:textId="77777777" w:rsidR="00271836" w:rsidRPr="00261C59" w:rsidRDefault="00271836" w:rsidP="004728D9">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2027-28</w:t>
            </w:r>
          </w:p>
        </w:tc>
        <w:tc>
          <w:tcPr>
            <w:tcW w:w="1583" w:type="dxa"/>
            <w:vAlign w:val="center"/>
          </w:tcPr>
          <w:p w14:paraId="1E0ED426" w14:textId="77777777" w:rsidR="00271836" w:rsidRPr="00261C59" w:rsidRDefault="00271836" w:rsidP="004728D9">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2028-29</w:t>
            </w:r>
          </w:p>
        </w:tc>
        <w:tc>
          <w:tcPr>
            <w:tcW w:w="1583" w:type="dxa"/>
            <w:vAlign w:val="center"/>
          </w:tcPr>
          <w:p w14:paraId="39ED87B4" w14:textId="77777777" w:rsidR="00271836" w:rsidRPr="00261C59" w:rsidRDefault="00271836" w:rsidP="004728D9">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2029-30</w:t>
            </w:r>
          </w:p>
        </w:tc>
        <w:tc>
          <w:tcPr>
            <w:tcW w:w="1583" w:type="dxa"/>
            <w:vAlign w:val="center"/>
          </w:tcPr>
          <w:p w14:paraId="687BCC52" w14:textId="77777777" w:rsidR="00271836" w:rsidRPr="00261C59" w:rsidRDefault="00271836" w:rsidP="004728D9">
            <w:pPr>
              <w:widowControl/>
              <w:adjustRightInd/>
              <w:spacing w:before="0" w:after="160" w:line="260" w:lineRule="exact"/>
              <w:ind w:left="567" w:hanging="567"/>
              <w:jc w:val="left"/>
              <w:textAlignment w:val="auto"/>
              <w:rPr>
                <w:rFonts w:ascii="Calibri" w:hAnsi="Calibri"/>
                <w:b/>
                <w:sz w:val="24"/>
                <w:szCs w:val="24"/>
              </w:rPr>
            </w:pPr>
            <w:r w:rsidRPr="00261C59">
              <w:rPr>
                <w:rFonts w:ascii="Calibri" w:hAnsi="Calibri"/>
                <w:b/>
                <w:sz w:val="24"/>
                <w:szCs w:val="24"/>
              </w:rPr>
              <w:t>2030-31</w:t>
            </w:r>
          </w:p>
        </w:tc>
      </w:tr>
      <w:tr w:rsidR="00E14F59" w:rsidRPr="00261C59" w14:paraId="7CCFC183" w14:textId="77777777" w:rsidTr="004728D9">
        <w:trPr>
          <w:trHeight w:val="503"/>
        </w:trPr>
        <w:tc>
          <w:tcPr>
            <w:tcW w:w="1555" w:type="dxa"/>
            <w:vAlign w:val="center"/>
          </w:tcPr>
          <w:p w14:paraId="536FBC54" w14:textId="77777777" w:rsidR="00E14F59" w:rsidRPr="00261C59" w:rsidRDefault="00E14F59" w:rsidP="00E14F59">
            <w:pPr>
              <w:widowControl/>
              <w:adjustRightInd/>
              <w:spacing w:before="0" w:after="160" w:line="260" w:lineRule="exact"/>
              <w:ind w:left="567" w:hanging="567"/>
              <w:jc w:val="left"/>
              <w:textAlignment w:val="auto"/>
              <w:rPr>
                <w:rFonts w:ascii="Calibri" w:hAnsi="Calibri"/>
                <w:sz w:val="24"/>
                <w:szCs w:val="24"/>
              </w:rPr>
            </w:pPr>
            <w:r w:rsidRPr="00261C59">
              <w:rPr>
                <w:rFonts w:ascii="Calibri" w:hAnsi="Calibri"/>
                <w:sz w:val="24"/>
                <w:szCs w:val="24"/>
              </w:rPr>
              <w:t xml:space="preserve">All States </w:t>
            </w:r>
          </w:p>
        </w:tc>
        <w:tc>
          <w:tcPr>
            <w:tcW w:w="1611" w:type="dxa"/>
            <w:vAlign w:val="center"/>
          </w:tcPr>
          <w:p w14:paraId="0098CA72" w14:textId="5AF8C9EE" w:rsidR="00E14F59" w:rsidRPr="00261C59" w:rsidRDefault="00E14F59" w:rsidP="00E14F59">
            <w:pPr>
              <w:widowControl/>
              <w:adjustRightInd/>
              <w:spacing w:before="0" w:after="160" w:line="260" w:lineRule="exact"/>
              <w:ind w:left="567" w:hanging="567"/>
              <w:jc w:val="left"/>
              <w:textAlignment w:val="auto"/>
              <w:rPr>
                <w:rFonts w:ascii="Calibri" w:hAnsi="Calibri"/>
                <w:sz w:val="24"/>
                <w:szCs w:val="24"/>
              </w:rPr>
            </w:pPr>
            <w:r w:rsidRPr="00261C59">
              <w:rPr>
                <w:rFonts w:ascii="Calibri" w:hAnsi="Calibri"/>
                <w:sz w:val="24"/>
                <w:szCs w:val="24"/>
              </w:rPr>
              <w:t>1</w:t>
            </w:r>
            <w:r>
              <w:rPr>
                <w:rFonts w:ascii="Calibri" w:hAnsi="Calibri"/>
                <w:sz w:val="24"/>
                <w:szCs w:val="24"/>
              </w:rPr>
              <w:t>10</w:t>
            </w:r>
            <w:r w:rsidRPr="00261C59">
              <w:rPr>
                <w:rFonts w:ascii="Calibri" w:hAnsi="Calibri"/>
                <w:sz w:val="24"/>
                <w:szCs w:val="24"/>
              </w:rPr>
              <w:t>.</w:t>
            </w:r>
            <w:r>
              <w:rPr>
                <w:rFonts w:ascii="Calibri" w:hAnsi="Calibri"/>
                <w:sz w:val="24"/>
                <w:szCs w:val="24"/>
              </w:rPr>
              <w:t>25</w:t>
            </w:r>
            <w:r w:rsidRPr="00261C59">
              <w:rPr>
                <w:rFonts w:ascii="Calibri" w:hAnsi="Calibri"/>
                <w:sz w:val="24"/>
                <w:szCs w:val="24"/>
              </w:rPr>
              <w:t>%</w:t>
            </w:r>
          </w:p>
        </w:tc>
        <w:tc>
          <w:tcPr>
            <w:tcW w:w="1583" w:type="dxa"/>
            <w:vAlign w:val="center"/>
          </w:tcPr>
          <w:p w14:paraId="009B286C" w14:textId="411C345C" w:rsidR="00E14F59" w:rsidRPr="00261C59" w:rsidRDefault="00E14F59" w:rsidP="00E14F59">
            <w:pPr>
              <w:widowControl/>
              <w:adjustRightInd/>
              <w:spacing w:before="0" w:after="160" w:line="260" w:lineRule="exact"/>
              <w:ind w:left="567" w:hanging="567"/>
              <w:jc w:val="left"/>
              <w:textAlignment w:val="auto"/>
              <w:rPr>
                <w:rFonts w:ascii="Calibri" w:hAnsi="Calibri"/>
                <w:sz w:val="24"/>
                <w:szCs w:val="24"/>
              </w:rPr>
            </w:pPr>
            <w:r>
              <w:rPr>
                <w:rFonts w:ascii="Calibri" w:hAnsi="Calibri"/>
                <w:sz w:val="24"/>
                <w:szCs w:val="24"/>
              </w:rPr>
              <w:t>119.07</w:t>
            </w:r>
            <w:r w:rsidRPr="00261C59">
              <w:rPr>
                <w:rFonts w:ascii="Calibri" w:hAnsi="Calibri"/>
                <w:sz w:val="24"/>
                <w:szCs w:val="24"/>
              </w:rPr>
              <w:t>%</w:t>
            </w:r>
          </w:p>
        </w:tc>
        <w:tc>
          <w:tcPr>
            <w:tcW w:w="1583" w:type="dxa"/>
            <w:vAlign w:val="center"/>
          </w:tcPr>
          <w:p w14:paraId="5B6A62C4" w14:textId="243FD55E" w:rsidR="00E14F59" w:rsidRPr="00261C59" w:rsidRDefault="00E14F59" w:rsidP="00E14F59">
            <w:pPr>
              <w:widowControl/>
              <w:adjustRightInd/>
              <w:spacing w:before="0" w:after="160" w:line="260" w:lineRule="exact"/>
              <w:ind w:left="567" w:hanging="567"/>
              <w:jc w:val="left"/>
              <w:textAlignment w:val="auto"/>
              <w:rPr>
                <w:rFonts w:ascii="Calibri" w:hAnsi="Calibri"/>
                <w:sz w:val="24"/>
                <w:szCs w:val="24"/>
              </w:rPr>
            </w:pPr>
            <w:r>
              <w:rPr>
                <w:rFonts w:ascii="Calibri" w:hAnsi="Calibri"/>
                <w:sz w:val="24"/>
                <w:szCs w:val="24"/>
              </w:rPr>
              <w:t>128.60</w:t>
            </w:r>
            <w:r w:rsidRPr="00261C59">
              <w:rPr>
                <w:rFonts w:ascii="Calibri" w:hAnsi="Calibri"/>
                <w:sz w:val="24"/>
                <w:szCs w:val="24"/>
              </w:rPr>
              <w:t>%</w:t>
            </w:r>
          </w:p>
        </w:tc>
        <w:tc>
          <w:tcPr>
            <w:tcW w:w="1583" w:type="dxa"/>
            <w:vAlign w:val="center"/>
          </w:tcPr>
          <w:p w14:paraId="1B5BF300" w14:textId="74565145" w:rsidR="00E14F59" w:rsidRPr="00261C59" w:rsidRDefault="00E14F59" w:rsidP="00E14F59">
            <w:pPr>
              <w:widowControl/>
              <w:adjustRightInd/>
              <w:spacing w:before="0" w:after="160" w:line="260" w:lineRule="exact"/>
              <w:ind w:left="567" w:hanging="567"/>
              <w:jc w:val="left"/>
              <w:textAlignment w:val="auto"/>
              <w:rPr>
                <w:rFonts w:ascii="Calibri" w:hAnsi="Calibri"/>
                <w:sz w:val="24"/>
                <w:szCs w:val="24"/>
              </w:rPr>
            </w:pPr>
            <w:r w:rsidRPr="00261C59">
              <w:rPr>
                <w:rFonts w:ascii="Calibri" w:hAnsi="Calibri"/>
                <w:sz w:val="24"/>
                <w:szCs w:val="24"/>
              </w:rPr>
              <w:t>13</w:t>
            </w:r>
            <w:r>
              <w:rPr>
                <w:rFonts w:ascii="Calibri" w:hAnsi="Calibri"/>
                <w:sz w:val="24"/>
                <w:szCs w:val="24"/>
              </w:rPr>
              <w:t>8</w:t>
            </w:r>
            <w:r w:rsidRPr="00261C59">
              <w:rPr>
                <w:rFonts w:ascii="Calibri" w:hAnsi="Calibri"/>
                <w:sz w:val="24"/>
                <w:szCs w:val="24"/>
              </w:rPr>
              <w:t>.</w:t>
            </w:r>
            <w:r>
              <w:rPr>
                <w:rFonts w:ascii="Calibri" w:hAnsi="Calibri"/>
                <w:sz w:val="24"/>
                <w:szCs w:val="24"/>
              </w:rPr>
              <w:t>88</w:t>
            </w:r>
            <w:r w:rsidRPr="00261C59">
              <w:rPr>
                <w:rFonts w:ascii="Calibri" w:hAnsi="Calibri"/>
                <w:sz w:val="24"/>
                <w:szCs w:val="24"/>
              </w:rPr>
              <w:t>%</w:t>
            </w:r>
          </w:p>
        </w:tc>
        <w:tc>
          <w:tcPr>
            <w:tcW w:w="1583" w:type="dxa"/>
            <w:vAlign w:val="center"/>
          </w:tcPr>
          <w:p w14:paraId="3186008C" w14:textId="686AAFB1" w:rsidR="00E14F59" w:rsidRPr="00261C59" w:rsidRDefault="00E14F59" w:rsidP="00E14F59">
            <w:pPr>
              <w:widowControl/>
              <w:adjustRightInd/>
              <w:spacing w:before="0" w:after="160" w:line="260" w:lineRule="exact"/>
              <w:ind w:left="567" w:hanging="567"/>
              <w:jc w:val="left"/>
              <w:textAlignment w:val="auto"/>
              <w:rPr>
                <w:rFonts w:ascii="Calibri" w:hAnsi="Calibri"/>
                <w:sz w:val="24"/>
                <w:szCs w:val="24"/>
              </w:rPr>
            </w:pPr>
            <w:r>
              <w:rPr>
                <w:rFonts w:ascii="Calibri" w:hAnsi="Calibri"/>
                <w:sz w:val="24"/>
                <w:szCs w:val="24"/>
              </w:rPr>
              <w:t>149.99</w:t>
            </w:r>
            <w:r w:rsidRPr="00261C59">
              <w:rPr>
                <w:rFonts w:ascii="Calibri" w:hAnsi="Calibri"/>
                <w:sz w:val="24"/>
                <w:szCs w:val="24"/>
              </w:rPr>
              <w:t>%</w:t>
            </w:r>
          </w:p>
        </w:tc>
      </w:tr>
    </w:tbl>
    <w:p w14:paraId="493FC9CE" w14:textId="758525A3" w:rsidR="00271836" w:rsidRPr="00261C59" w:rsidRDefault="00271836" w:rsidP="00EF51ED">
      <w:pPr>
        <w:keepLines/>
        <w:numPr>
          <w:ilvl w:val="0"/>
          <w:numId w:val="54"/>
        </w:numPr>
        <w:spacing w:after="240" w:line="260" w:lineRule="exact"/>
        <w:jc w:val="left"/>
        <w:rPr>
          <w:rFonts w:ascii="Calibri" w:hAnsi="Calibri" w:cs="Calibri"/>
          <w:sz w:val="24"/>
          <w:szCs w:val="24"/>
        </w:rPr>
      </w:pPr>
      <w:r w:rsidRPr="00261C59">
        <w:rPr>
          <w:rFonts w:ascii="Calibri" w:hAnsi="Calibri" w:cs="Calibri"/>
          <w:sz w:val="24"/>
          <w:szCs w:val="24"/>
        </w:rPr>
        <w:lastRenderedPageBreak/>
        <w:t>The application of clause A4</w:t>
      </w:r>
      <w:r w:rsidR="00A917FC" w:rsidRPr="00261C59">
        <w:rPr>
          <w:rFonts w:ascii="Calibri" w:hAnsi="Calibri" w:cs="Calibri"/>
          <w:sz w:val="24"/>
          <w:szCs w:val="24"/>
        </w:rPr>
        <w:t>0</w:t>
      </w:r>
      <w:r w:rsidRPr="00261C59">
        <w:rPr>
          <w:rFonts w:ascii="Calibri" w:hAnsi="Calibri" w:cs="Calibri"/>
          <w:sz w:val="24"/>
          <w:szCs w:val="24"/>
        </w:rPr>
        <w:t xml:space="preserve"> to determine Tasmania’s funding cap base will be modified as follows: for the financial years 2027-28, 2028-29</w:t>
      </w:r>
      <w:r w:rsidR="00585065" w:rsidRPr="00261C59">
        <w:rPr>
          <w:rFonts w:ascii="Calibri" w:hAnsi="Calibri" w:cs="Calibri"/>
          <w:sz w:val="24"/>
          <w:szCs w:val="24"/>
        </w:rPr>
        <w:t>, 2029-30</w:t>
      </w:r>
      <w:r w:rsidRPr="00261C59">
        <w:rPr>
          <w:rFonts w:ascii="Calibri" w:hAnsi="Calibri" w:cs="Calibri"/>
          <w:sz w:val="24"/>
          <w:szCs w:val="24"/>
        </w:rPr>
        <w:t xml:space="preserve"> and 20</w:t>
      </w:r>
      <w:r w:rsidR="00585065" w:rsidRPr="00261C59">
        <w:rPr>
          <w:rFonts w:ascii="Calibri" w:hAnsi="Calibri" w:cs="Calibri"/>
          <w:sz w:val="24"/>
          <w:szCs w:val="24"/>
        </w:rPr>
        <w:t>30</w:t>
      </w:r>
      <w:r w:rsidRPr="00261C59">
        <w:rPr>
          <w:rFonts w:ascii="Calibri" w:hAnsi="Calibri" w:cs="Calibri"/>
          <w:sz w:val="24"/>
          <w:szCs w:val="24"/>
        </w:rPr>
        <w:t>-3</w:t>
      </w:r>
      <w:r w:rsidR="00585065" w:rsidRPr="00261C59">
        <w:rPr>
          <w:rFonts w:ascii="Calibri" w:hAnsi="Calibri" w:cs="Calibri"/>
          <w:sz w:val="24"/>
          <w:szCs w:val="24"/>
        </w:rPr>
        <w:t>1</w:t>
      </w:r>
      <w:r w:rsidRPr="00261C59">
        <w:rPr>
          <w:rFonts w:ascii="Calibri" w:hAnsi="Calibri" w:cs="Calibri"/>
          <w:sz w:val="24"/>
          <w:szCs w:val="24"/>
        </w:rPr>
        <w:t>, Tasmania’s funding cap base will also include the 2025-26 funding adjustment as set out in Table 1 of the National Partnership on Transfer of the Mersey Community Hospital.</w:t>
      </w:r>
    </w:p>
    <w:p w14:paraId="2F2DD08F" w14:textId="00D91EB8" w:rsidR="00271836" w:rsidRPr="00261C59" w:rsidRDefault="00271836" w:rsidP="004728D9">
      <w:pPr>
        <w:numPr>
          <w:ilvl w:val="0"/>
          <w:numId w:val="54"/>
        </w:numPr>
        <w:spacing w:after="240" w:line="260" w:lineRule="exact"/>
        <w:jc w:val="left"/>
        <w:rPr>
          <w:rFonts w:ascii="Calibri" w:hAnsi="Calibri"/>
          <w:bCs/>
          <w:sz w:val="24"/>
          <w:szCs w:val="24"/>
        </w:rPr>
      </w:pPr>
      <w:r w:rsidRPr="00261C59">
        <w:rPr>
          <w:rFonts w:ascii="Calibri" w:hAnsi="Calibri"/>
          <w:sz w:val="24"/>
          <w:szCs w:val="24"/>
          <w:lang w:val="en-GB"/>
        </w:rPr>
        <w:t>For each year from 2027-28 once the calculation at clause A4</w:t>
      </w:r>
      <w:r w:rsidR="00AF4BC5" w:rsidRPr="00261C59">
        <w:rPr>
          <w:rFonts w:ascii="Calibri" w:hAnsi="Calibri"/>
          <w:sz w:val="24"/>
          <w:szCs w:val="24"/>
          <w:lang w:val="en-GB"/>
        </w:rPr>
        <w:t>1</w:t>
      </w:r>
      <w:r w:rsidRPr="00261C59">
        <w:rPr>
          <w:rFonts w:ascii="Calibri" w:hAnsi="Calibri"/>
          <w:sz w:val="24"/>
          <w:szCs w:val="24"/>
          <w:lang w:val="en-GB"/>
        </w:rPr>
        <w:t xml:space="preserve"> is performed, States that opt in to receive their SMRF entitlement will have a designated amount up to </w:t>
      </w:r>
      <w:r w:rsidRPr="00261C59">
        <w:rPr>
          <w:rFonts w:ascii="Calibri" w:hAnsi="Calibri"/>
          <w:sz w:val="24"/>
          <w:lang w:val="en-GB"/>
        </w:rPr>
        <w:t>0.5</w:t>
      </w:r>
      <w:r w:rsidRPr="00261C59">
        <w:rPr>
          <w:rFonts w:ascii="Calibri" w:hAnsi="Calibri"/>
          <w:sz w:val="24"/>
          <w:szCs w:val="24"/>
          <w:lang w:val="en-GB"/>
        </w:rPr>
        <w:t xml:space="preserve"> </w:t>
      </w:r>
      <w:r w:rsidRPr="00261C59">
        <w:rPr>
          <w:rFonts w:ascii="Calibri" w:hAnsi="Calibri"/>
          <w:sz w:val="24"/>
          <w:lang w:val="en-GB"/>
        </w:rPr>
        <w:t>per</w:t>
      </w:r>
      <w:r w:rsidRPr="00261C59">
        <w:rPr>
          <w:rFonts w:ascii="Calibri" w:hAnsi="Calibri"/>
          <w:sz w:val="24"/>
          <w:szCs w:val="24"/>
          <w:lang w:val="en-GB"/>
        </w:rPr>
        <w:t xml:space="preserve"> </w:t>
      </w:r>
      <w:r w:rsidRPr="00261C59">
        <w:rPr>
          <w:rFonts w:ascii="Calibri" w:hAnsi="Calibri"/>
          <w:sz w:val="24"/>
          <w:lang w:val="en-GB"/>
        </w:rPr>
        <w:t>cent</w:t>
      </w:r>
      <w:r w:rsidRPr="00261C59">
        <w:rPr>
          <w:rFonts w:ascii="Calibri" w:hAnsi="Calibri"/>
          <w:sz w:val="24"/>
          <w:szCs w:val="24"/>
          <w:lang w:val="en-GB"/>
        </w:rPr>
        <w:t xml:space="preserve"> of their funding cap reserved for SMRF. This funding will not be available for other funding streams and will not represent unspent cap funding</w:t>
      </w:r>
      <w:r w:rsidRPr="00261C59">
        <w:rPr>
          <w:rFonts w:ascii="Calibri" w:hAnsi="Calibri"/>
          <w:sz w:val="24"/>
          <w:lang w:val="en-GB"/>
        </w:rPr>
        <w:t>.</w:t>
      </w:r>
    </w:p>
    <w:p w14:paraId="182A6F28" w14:textId="179C02E5" w:rsidR="00271836" w:rsidRPr="00261C59" w:rsidRDefault="00271836" w:rsidP="004728D9">
      <w:pPr>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The funding cap amounts reserved for Service Model Reform Funding in clause A43 can be rolled over to subsequent financial years as per the conditions set out in clause A</w:t>
      </w:r>
      <w:r w:rsidR="00924C00" w:rsidRPr="00261C59">
        <w:rPr>
          <w:rFonts w:ascii="Calibri" w:hAnsi="Calibri"/>
          <w:sz w:val="24"/>
          <w:szCs w:val="24"/>
          <w:lang w:val="en-GB"/>
        </w:rPr>
        <w:t>29</w:t>
      </w:r>
      <w:r w:rsidRPr="00261C59">
        <w:rPr>
          <w:rFonts w:ascii="Calibri" w:hAnsi="Calibri"/>
          <w:sz w:val="24"/>
          <w:szCs w:val="24"/>
          <w:lang w:val="en-GB"/>
        </w:rPr>
        <w:t xml:space="preserve">. </w:t>
      </w:r>
    </w:p>
    <w:p w14:paraId="2EF70B14" w14:textId="77777777" w:rsidR="00271836" w:rsidRPr="00261C59" w:rsidRDefault="00271836" w:rsidP="00830547">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Rollover amounts from prior year entitlements will be calculated separately to the current year’s entitlement calculation.</w:t>
      </w:r>
    </w:p>
    <w:p w14:paraId="5670C4EC" w14:textId="3A356398"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 xml:space="preserve">For the avoidance of doubt, </w:t>
      </w:r>
      <w:r w:rsidRPr="00261C59">
        <w:rPr>
          <w:rFonts w:ascii="Calibri" w:hAnsi="Calibri"/>
          <w:sz w:val="24"/>
          <w:szCs w:val="24"/>
          <w:lang w:val="en-GB"/>
        </w:rPr>
        <w:t xml:space="preserve">SMRF </w:t>
      </w:r>
      <w:r w:rsidRPr="00261C59">
        <w:rPr>
          <w:rFonts w:ascii="Calibri" w:hAnsi="Calibri"/>
          <w:sz w:val="24"/>
          <w:lang w:val="en-GB"/>
        </w:rPr>
        <w:t xml:space="preserve">rollover </w:t>
      </w:r>
      <w:r w:rsidRPr="00261C59">
        <w:rPr>
          <w:rFonts w:ascii="Calibri" w:hAnsi="Calibri"/>
          <w:sz w:val="24"/>
          <w:szCs w:val="24"/>
          <w:lang w:val="en-GB"/>
        </w:rPr>
        <w:t>amounts do</w:t>
      </w:r>
      <w:r w:rsidRPr="00261C59">
        <w:rPr>
          <w:rFonts w:ascii="Calibri" w:hAnsi="Calibri"/>
          <w:sz w:val="24"/>
          <w:lang w:val="en-GB"/>
        </w:rPr>
        <w:t xml:space="preserve"> not affect each State’s remaining available funding for other funding streams </w:t>
      </w:r>
      <w:r w:rsidRPr="00261C59">
        <w:rPr>
          <w:rFonts w:ascii="Calibri" w:hAnsi="Calibri"/>
          <w:sz w:val="24"/>
          <w:szCs w:val="24"/>
          <w:lang w:val="en-GB"/>
        </w:rPr>
        <w:t xml:space="preserve">and do not contribute to redistribution of unspent cap </w:t>
      </w:r>
      <w:r w:rsidR="002067B5" w:rsidRPr="00261C59">
        <w:rPr>
          <w:rFonts w:ascii="Calibri" w:hAnsi="Calibri"/>
          <w:sz w:val="24"/>
          <w:szCs w:val="24"/>
          <w:lang w:val="en-GB"/>
        </w:rPr>
        <w:t xml:space="preserve">funding </w:t>
      </w:r>
      <w:r w:rsidRPr="00261C59">
        <w:rPr>
          <w:rFonts w:ascii="Calibri" w:hAnsi="Calibri"/>
          <w:sz w:val="24"/>
          <w:szCs w:val="24"/>
          <w:lang w:val="en-GB"/>
        </w:rPr>
        <w:t>in 2030-31</w:t>
      </w:r>
      <w:r w:rsidRPr="00261C59">
        <w:rPr>
          <w:rFonts w:ascii="Calibri" w:hAnsi="Calibri"/>
          <w:sz w:val="24"/>
          <w:lang w:val="en-GB"/>
        </w:rPr>
        <w:t>.</w:t>
      </w:r>
    </w:p>
    <w:p w14:paraId="3F3F7697" w14:textId="77777777" w:rsidR="00271836" w:rsidRPr="00261C59" w:rsidRDefault="00271836" w:rsidP="007F61B8">
      <w:pPr>
        <w:keepNext/>
        <w:keepLines/>
        <w:numPr>
          <w:ilvl w:val="0"/>
          <w:numId w:val="54"/>
        </w:numPr>
        <w:spacing w:after="240" w:line="260" w:lineRule="exact"/>
        <w:jc w:val="left"/>
        <w:rPr>
          <w:rFonts w:ascii="Calibri" w:hAnsi="Calibri"/>
          <w:bCs/>
          <w:sz w:val="24"/>
          <w:szCs w:val="24"/>
        </w:rPr>
      </w:pPr>
      <w:r w:rsidRPr="00261C59">
        <w:rPr>
          <w:rFonts w:ascii="Calibri" w:hAnsi="Calibri"/>
          <w:sz w:val="24"/>
          <w:szCs w:val="24"/>
        </w:rPr>
        <w:t>The following services will not be included in funding cap calculations:</w:t>
      </w:r>
    </w:p>
    <w:p w14:paraId="00B54511" w14:textId="12CBB3C0"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 xml:space="preserve">High Cost, Highly Specialised Therapies as specified in clause </w:t>
      </w:r>
      <w:r w:rsidRPr="00261C59">
        <w:rPr>
          <w:rFonts w:ascii="Calibri" w:hAnsi="Calibri"/>
          <w:sz w:val="24"/>
          <w:szCs w:val="24"/>
          <w:lang w:val="en-GB"/>
        </w:rPr>
        <w:t>A2</w:t>
      </w:r>
      <w:r w:rsidR="00030686" w:rsidRPr="00261C59">
        <w:rPr>
          <w:rFonts w:ascii="Calibri" w:hAnsi="Calibri"/>
          <w:sz w:val="24"/>
          <w:szCs w:val="24"/>
          <w:lang w:val="en-GB"/>
        </w:rPr>
        <w:t>35</w:t>
      </w:r>
      <w:r w:rsidRPr="00261C59">
        <w:rPr>
          <w:rFonts w:ascii="Calibri" w:hAnsi="Calibri"/>
          <w:sz w:val="24"/>
          <w:lang w:val="en-GB"/>
        </w:rPr>
        <w:t>(b)</w:t>
      </w:r>
    </w:p>
    <w:p w14:paraId="45275838" w14:textId="2BBB9A27" w:rsidR="00271836" w:rsidRPr="00261C59" w:rsidRDefault="00271836" w:rsidP="004728D9">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Cross-border arrangements provided in accordance with clause </w:t>
      </w:r>
      <w:r w:rsidRPr="00261C59">
        <w:rPr>
          <w:rFonts w:ascii="Calibri" w:hAnsi="Calibri"/>
          <w:sz w:val="24"/>
          <w:lang w:val="en-GB"/>
        </w:rPr>
        <w:t>A</w:t>
      </w:r>
      <w:r w:rsidR="00145A04" w:rsidRPr="00261C59">
        <w:rPr>
          <w:rFonts w:ascii="Calibri" w:hAnsi="Calibri"/>
          <w:sz w:val="24"/>
          <w:lang w:val="en-GB"/>
        </w:rPr>
        <w:t>195</w:t>
      </w:r>
      <w:r w:rsidRPr="00261C59">
        <w:rPr>
          <w:rFonts w:ascii="Calibri" w:hAnsi="Calibri"/>
          <w:sz w:val="24"/>
          <w:lang w:val="en-GB"/>
        </w:rPr>
        <w:t>(c)(iii)</w:t>
      </w:r>
    </w:p>
    <w:p w14:paraId="11703B48" w14:textId="77777777" w:rsidR="00271836" w:rsidRPr="00261C59" w:rsidRDefault="00271836" w:rsidP="00830547">
      <w:pPr>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SMRF rollover amounts from prior years.</w:t>
      </w:r>
    </w:p>
    <w:p w14:paraId="199EFD6B" w14:textId="33F1DFAC"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In clause A45, excluding these services from funding cap calculations means that:</w:t>
      </w:r>
    </w:p>
    <w:p w14:paraId="036CB78F" w14:textId="0F240063" w:rsidR="00271836" w:rsidRPr="00261C59" w:rsidRDefault="793D5FED" w:rsidP="004728D9">
      <w:pPr>
        <w:numPr>
          <w:ilvl w:val="1"/>
          <w:numId w:val="54"/>
        </w:numPr>
        <w:spacing w:after="240" w:line="260" w:lineRule="exact"/>
        <w:jc w:val="left"/>
        <w:rPr>
          <w:rFonts w:ascii="Calibri" w:hAnsi="Calibri"/>
          <w:sz w:val="24"/>
          <w:szCs w:val="24"/>
          <w:lang w:val="en-GB"/>
        </w:rPr>
      </w:pPr>
      <w:r w:rsidRPr="5428B893">
        <w:rPr>
          <w:rFonts w:ascii="Calibri" w:hAnsi="Calibri"/>
          <w:sz w:val="24"/>
          <w:szCs w:val="24"/>
          <w:lang w:val="en-GB"/>
        </w:rPr>
        <w:t>t</w:t>
      </w:r>
      <w:r w:rsidR="00271836" w:rsidRPr="5428B893">
        <w:rPr>
          <w:rFonts w:ascii="Calibri" w:hAnsi="Calibri"/>
          <w:sz w:val="24"/>
          <w:szCs w:val="24"/>
          <w:lang w:val="en-GB"/>
        </w:rPr>
        <w:t xml:space="preserve">he total </w:t>
      </w:r>
      <w:r w:rsidR="00271836" w:rsidRPr="00261C59">
        <w:rPr>
          <w:rFonts w:ascii="Calibri" w:hAnsi="Calibri"/>
          <w:sz w:val="24"/>
          <w:szCs w:val="24"/>
          <w:lang w:val="en-GB"/>
        </w:rPr>
        <w:t xml:space="preserve">value of “2025-26 total </w:t>
      </w:r>
      <w:r w:rsidR="00271836" w:rsidRPr="5428B893">
        <w:rPr>
          <w:rFonts w:ascii="Calibri" w:hAnsi="Calibri"/>
          <w:sz w:val="24"/>
          <w:szCs w:val="24"/>
          <w:lang w:val="en-GB"/>
        </w:rPr>
        <w:t xml:space="preserve">NHRA entitlement </w:t>
      </w:r>
      <w:r w:rsidR="00271836" w:rsidRPr="00261C59">
        <w:rPr>
          <w:rFonts w:ascii="Calibri" w:hAnsi="Calibri"/>
          <w:sz w:val="24"/>
          <w:szCs w:val="24"/>
          <w:lang w:val="en-GB"/>
        </w:rPr>
        <w:t xml:space="preserve">+ Additional Funding Support </w:t>
      </w:r>
      <w:r w:rsidR="00271836" w:rsidRPr="5428B893">
        <w:rPr>
          <w:rFonts w:ascii="Calibri" w:hAnsi="Calibri"/>
          <w:sz w:val="24"/>
          <w:szCs w:val="24"/>
          <w:lang w:val="en-GB"/>
        </w:rPr>
        <w:t xml:space="preserve">for </w:t>
      </w:r>
      <w:r w:rsidR="00271836" w:rsidRPr="00261C59">
        <w:rPr>
          <w:rFonts w:ascii="Calibri" w:hAnsi="Calibri"/>
          <w:sz w:val="24"/>
          <w:szCs w:val="24"/>
          <w:lang w:val="en-GB"/>
        </w:rPr>
        <w:t>Hospital and Related Health Services FFA payment amount”,</w:t>
      </w:r>
      <w:r w:rsidR="00271836" w:rsidRPr="5428B893">
        <w:rPr>
          <w:rFonts w:ascii="Calibri" w:hAnsi="Calibri"/>
          <w:sz w:val="24"/>
          <w:szCs w:val="24"/>
          <w:lang w:val="en-GB"/>
        </w:rPr>
        <w:t xml:space="preserve"> used in clause </w:t>
      </w:r>
      <w:r w:rsidR="00271836" w:rsidRPr="00261C59">
        <w:rPr>
          <w:rFonts w:ascii="Calibri" w:hAnsi="Calibri"/>
          <w:sz w:val="24"/>
          <w:szCs w:val="24"/>
          <w:lang w:val="en-GB"/>
        </w:rPr>
        <w:t>A41</w:t>
      </w:r>
      <w:r w:rsidR="00271836" w:rsidRPr="5428B893">
        <w:rPr>
          <w:rFonts w:ascii="Calibri" w:hAnsi="Calibri"/>
          <w:sz w:val="24"/>
          <w:szCs w:val="24"/>
          <w:lang w:val="en-GB"/>
        </w:rPr>
        <w:t xml:space="preserve"> to calculate funding caps for this addendum, includes </w:t>
      </w:r>
      <w:r w:rsidR="00271836" w:rsidRPr="00261C59">
        <w:rPr>
          <w:rFonts w:ascii="Calibri" w:hAnsi="Calibri"/>
          <w:sz w:val="24"/>
          <w:szCs w:val="24"/>
          <w:lang w:val="en-GB"/>
        </w:rPr>
        <w:t>the Commonwealth entitlement for</w:t>
      </w:r>
      <w:r w:rsidR="00271836" w:rsidRPr="5428B893">
        <w:rPr>
          <w:rFonts w:ascii="Calibri" w:hAnsi="Calibri"/>
          <w:sz w:val="24"/>
          <w:szCs w:val="24"/>
          <w:lang w:val="en-GB"/>
        </w:rPr>
        <w:t xml:space="preserve"> services </w:t>
      </w:r>
      <w:r w:rsidR="00271836" w:rsidRPr="00261C59">
        <w:rPr>
          <w:rFonts w:ascii="Calibri" w:hAnsi="Calibri"/>
          <w:sz w:val="24"/>
          <w:szCs w:val="24"/>
          <w:lang w:val="en-GB"/>
        </w:rPr>
        <w:t>of the types in</w:t>
      </w:r>
      <w:r w:rsidR="00271836" w:rsidRPr="5428B893">
        <w:rPr>
          <w:rFonts w:ascii="Calibri" w:hAnsi="Calibri"/>
          <w:sz w:val="24"/>
          <w:szCs w:val="24"/>
          <w:lang w:val="en-GB"/>
        </w:rPr>
        <w:t xml:space="preserve"> clause </w:t>
      </w:r>
      <w:r w:rsidR="00271836" w:rsidRPr="00261C59">
        <w:rPr>
          <w:rFonts w:ascii="Calibri" w:hAnsi="Calibri"/>
          <w:sz w:val="24"/>
          <w:szCs w:val="24"/>
          <w:lang w:val="en-GB"/>
        </w:rPr>
        <w:t>A45</w:t>
      </w:r>
      <w:r w:rsidR="002D0480" w:rsidRPr="00261C59">
        <w:rPr>
          <w:rFonts w:ascii="Calibri" w:hAnsi="Calibri"/>
          <w:sz w:val="24"/>
          <w:szCs w:val="24"/>
          <w:lang w:val="en-GB"/>
        </w:rPr>
        <w:t>(a)</w:t>
      </w:r>
      <w:r w:rsidR="00B23705" w:rsidRPr="00261C59">
        <w:rPr>
          <w:rFonts w:ascii="Calibri" w:hAnsi="Calibri"/>
          <w:sz w:val="24"/>
          <w:szCs w:val="24"/>
          <w:lang w:val="en-GB"/>
        </w:rPr>
        <w:t xml:space="preserve"> and A45(b</w:t>
      </w:r>
      <w:r w:rsidR="00B23705" w:rsidRPr="5428B893">
        <w:rPr>
          <w:rFonts w:ascii="Calibri" w:hAnsi="Calibri"/>
          <w:sz w:val="24"/>
          <w:szCs w:val="24"/>
          <w:lang w:val="en-GB"/>
        </w:rPr>
        <w:t>)</w:t>
      </w:r>
    </w:p>
    <w:p w14:paraId="7CCA9993" w14:textId="730C2D06" w:rsidR="00271836" w:rsidRPr="00261C59" w:rsidRDefault="3095C30A" w:rsidP="5428B893">
      <w:pPr>
        <w:spacing w:after="240" w:line="260" w:lineRule="exact"/>
        <w:ind w:left="1134"/>
        <w:jc w:val="left"/>
        <w:rPr>
          <w:rFonts w:ascii="Calibri" w:hAnsi="Calibri"/>
          <w:sz w:val="24"/>
          <w:szCs w:val="24"/>
          <w:lang w:val="en-GB"/>
        </w:rPr>
      </w:pPr>
      <w:r w:rsidRPr="5428B893">
        <w:rPr>
          <w:rFonts w:ascii="Calibri" w:hAnsi="Calibri"/>
          <w:sz w:val="24"/>
          <w:szCs w:val="24"/>
          <w:lang w:val="en-GB"/>
        </w:rPr>
        <w:t>f</w:t>
      </w:r>
      <w:r w:rsidR="00271836" w:rsidRPr="5428B893">
        <w:rPr>
          <w:rFonts w:ascii="Calibri" w:hAnsi="Calibri"/>
          <w:sz w:val="24"/>
          <w:szCs w:val="24"/>
          <w:lang w:val="en-GB"/>
        </w:rPr>
        <w:t xml:space="preserve">or each year of this Addendum, these amounts in clause </w:t>
      </w:r>
      <w:r w:rsidR="00271836" w:rsidRPr="00261C59">
        <w:rPr>
          <w:rFonts w:ascii="Calibri" w:hAnsi="Calibri"/>
          <w:sz w:val="24"/>
          <w:szCs w:val="24"/>
          <w:lang w:val="en-GB"/>
        </w:rPr>
        <w:t>A45</w:t>
      </w:r>
      <w:r w:rsidR="00B23705" w:rsidRPr="00261C59">
        <w:rPr>
          <w:rFonts w:ascii="Calibri" w:hAnsi="Calibri"/>
          <w:sz w:val="24"/>
          <w:szCs w:val="24"/>
          <w:lang w:val="en-GB"/>
        </w:rPr>
        <w:t>(a) and A45(b)</w:t>
      </w:r>
      <w:r w:rsidR="00B23705" w:rsidRPr="5428B893">
        <w:rPr>
          <w:rFonts w:ascii="Calibri" w:hAnsi="Calibri"/>
          <w:sz w:val="24"/>
          <w:szCs w:val="24"/>
          <w:lang w:val="en-GB"/>
        </w:rPr>
        <w:t xml:space="preserve"> </w:t>
      </w:r>
      <w:r w:rsidR="00271836" w:rsidRPr="5428B893">
        <w:rPr>
          <w:rFonts w:ascii="Calibri" w:hAnsi="Calibri"/>
          <w:sz w:val="24"/>
          <w:szCs w:val="24"/>
          <w:lang w:val="en-GB"/>
        </w:rPr>
        <w:t>will not be counted for the purpose of determining whether a state has reached or exceeded its annual funding cap amount</w:t>
      </w:r>
      <w:r w:rsidR="00271836" w:rsidRPr="00261C59">
        <w:rPr>
          <w:rFonts w:ascii="Calibri" w:hAnsi="Calibri"/>
          <w:sz w:val="24"/>
          <w:szCs w:val="24"/>
          <w:lang w:val="en-GB"/>
        </w:rPr>
        <w:t>.</w:t>
      </w:r>
    </w:p>
    <w:p w14:paraId="03729830" w14:textId="08AF295F" w:rsidR="00271836" w:rsidRPr="00261C59" w:rsidRDefault="00271836" w:rsidP="004728D9">
      <w:pPr>
        <w:numPr>
          <w:ilvl w:val="0"/>
          <w:numId w:val="54"/>
        </w:numPr>
        <w:spacing w:after="240" w:line="260" w:lineRule="exact"/>
        <w:jc w:val="left"/>
        <w:rPr>
          <w:rFonts w:ascii="Calibri" w:hAnsi="Calibri" w:cs="Calibri"/>
          <w:sz w:val="24"/>
          <w:szCs w:val="24"/>
        </w:rPr>
      </w:pPr>
      <w:r w:rsidRPr="00261C59">
        <w:rPr>
          <w:rFonts w:ascii="Calibri" w:hAnsi="Calibri" w:cs="Calibri"/>
          <w:sz w:val="24"/>
          <w:szCs w:val="24"/>
        </w:rPr>
        <w:t>For the avoidance of doubt, the reduction required to Tasmania’s NHRA ABF stream by the National Partnership on Transfer of the Mersey Community Hospital will continue for 2026-27 only. There will be no reduction to Tasmania’s funding for the Mersey Community Hospital from 2027-28.</w:t>
      </w:r>
    </w:p>
    <w:p w14:paraId="5E451F9C" w14:textId="77777777" w:rsidR="00271836" w:rsidRPr="00261C59" w:rsidRDefault="00271836" w:rsidP="004D1DF8">
      <w:pPr>
        <w:jc w:val="left"/>
        <w:outlineLvl w:val="2"/>
        <w:rPr>
          <w:rFonts w:ascii="Corbel" w:hAnsi="Corbel"/>
          <w:color w:val="3D4B67"/>
          <w:sz w:val="28"/>
          <w:szCs w:val="28"/>
          <w:lang w:eastAsia="ja-JP"/>
        </w:rPr>
      </w:pPr>
      <w:bookmarkStart w:id="164" w:name="_Toc183183300"/>
      <w:bookmarkStart w:id="165" w:name="_Toc210833592"/>
      <w:bookmarkStart w:id="166" w:name="_Toc214456492"/>
      <w:bookmarkStart w:id="167" w:name="_Toc221087970"/>
      <w:bookmarkStart w:id="168" w:name="_Toc170217618"/>
      <w:bookmarkStart w:id="169" w:name="_Toc171350355"/>
      <w:bookmarkStart w:id="170" w:name="_Toc172210237"/>
      <w:bookmarkStart w:id="171" w:name="_Toc172787687"/>
      <w:bookmarkStart w:id="172" w:name="_Toc173937703"/>
      <w:bookmarkStart w:id="173" w:name="_Toc168579005"/>
      <w:r w:rsidRPr="00261C59">
        <w:rPr>
          <w:rFonts w:ascii="Corbel" w:hAnsi="Corbel"/>
          <w:color w:val="3D4B67"/>
          <w:sz w:val="28"/>
          <w:szCs w:val="28"/>
          <w:lang w:eastAsia="ja-JP"/>
        </w:rPr>
        <w:t>Redistribution of unspent cap funding in 2030-3</w:t>
      </w:r>
      <w:bookmarkEnd w:id="163"/>
      <w:bookmarkEnd w:id="164"/>
      <w:r w:rsidRPr="00261C59">
        <w:rPr>
          <w:rFonts w:ascii="Corbel" w:hAnsi="Corbel"/>
          <w:color w:val="3D4B67"/>
          <w:sz w:val="28"/>
          <w:szCs w:val="28"/>
          <w:lang w:eastAsia="ja-JP"/>
        </w:rPr>
        <w:t>1</w:t>
      </w:r>
      <w:bookmarkEnd w:id="165"/>
      <w:bookmarkEnd w:id="166"/>
      <w:bookmarkEnd w:id="167"/>
    </w:p>
    <w:p w14:paraId="1CDA8A07" w14:textId="42D2D1D7" w:rsidR="00271836" w:rsidRPr="00261C59" w:rsidRDefault="00271836" w:rsidP="004728D9">
      <w:pPr>
        <w:numPr>
          <w:ilvl w:val="0"/>
          <w:numId w:val="54"/>
        </w:numPr>
        <w:spacing w:after="240" w:line="260" w:lineRule="exact"/>
        <w:jc w:val="left"/>
        <w:rPr>
          <w:rFonts w:ascii="Calibri" w:hAnsi="Calibri" w:cs="Calibri"/>
          <w:sz w:val="24"/>
          <w:szCs w:val="24"/>
        </w:rPr>
      </w:pPr>
      <w:r w:rsidRPr="00261C59">
        <w:rPr>
          <w:rFonts w:ascii="Calibri" w:hAnsi="Calibri" w:cs="Calibri"/>
          <w:sz w:val="24"/>
          <w:szCs w:val="24"/>
        </w:rPr>
        <w:t>An amount equivalent to any unspent cap funding over the five years of this Addendum will be pooled by the Commonwealth and made available for redistribution in 2030-31, initially on an individual State basis.</w:t>
      </w:r>
    </w:p>
    <w:p w14:paraId="06EDE6AB" w14:textId="77777777" w:rsidR="00271836" w:rsidRPr="00261C59" w:rsidRDefault="00271836" w:rsidP="004728D9">
      <w:pPr>
        <w:numPr>
          <w:ilvl w:val="0"/>
          <w:numId w:val="54"/>
        </w:numPr>
        <w:spacing w:after="240" w:line="260" w:lineRule="exact"/>
        <w:jc w:val="left"/>
        <w:rPr>
          <w:rFonts w:ascii="Calibri" w:hAnsi="Calibri" w:cs="Calibri"/>
          <w:sz w:val="24"/>
          <w:szCs w:val="24"/>
        </w:rPr>
      </w:pPr>
      <w:r w:rsidRPr="00261C59">
        <w:rPr>
          <w:rFonts w:ascii="Calibri" w:hAnsi="Calibri" w:cs="Calibri"/>
          <w:sz w:val="24"/>
          <w:szCs w:val="24"/>
        </w:rPr>
        <w:t xml:space="preserve">A State’s unspent cap funding will be calculated as: </w:t>
      </w:r>
    </w:p>
    <w:p w14:paraId="6FB6E378" w14:textId="57F2CB93" w:rsidR="00271836" w:rsidRPr="00261C59" w:rsidRDefault="00271836" w:rsidP="004728D9">
      <w:pPr>
        <w:numPr>
          <w:ilvl w:val="1"/>
          <w:numId w:val="54"/>
        </w:numPr>
        <w:spacing w:after="240" w:line="260" w:lineRule="exact"/>
        <w:jc w:val="left"/>
        <w:rPr>
          <w:rFonts w:ascii="Calibri" w:hAnsi="Calibri"/>
          <w:sz w:val="24"/>
          <w:szCs w:val="24"/>
          <w:lang w:val="en-GB"/>
        </w:rPr>
      </w:pPr>
      <w:r w:rsidRPr="53FEFD8A">
        <w:rPr>
          <w:rFonts w:ascii="Calibri" w:hAnsi="Calibri"/>
          <w:sz w:val="24"/>
          <w:szCs w:val="24"/>
          <w:lang w:val="en-GB"/>
        </w:rPr>
        <w:t>for each year from 2026-27 to 2029-30 the difference between a State’s final entitlement and their funding cap, where their final entitlement is less than their funding cap</w:t>
      </w:r>
    </w:p>
    <w:p w14:paraId="56415905" w14:textId="77777777"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lastRenderedPageBreak/>
        <w:t>for 2030-31, the difference between a State’s preliminary uncapped funding entitlement and their funding cap, where their preliminary uncapped funding entitlement is less than their funding cap.</w:t>
      </w:r>
    </w:p>
    <w:p w14:paraId="2400FA59" w14:textId="38B2E407" w:rsidR="00271836" w:rsidRPr="00261C59" w:rsidRDefault="00271836" w:rsidP="004728D9">
      <w:pPr>
        <w:numPr>
          <w:ilvl w:val="0"/>
          <w:numId w:val="54"/>
        </w:numPr>
        <w:spacing w:after="240" w:line="260" w:lineRule="exact"/>
        <w:jc w:val="left"/>
        <w:rPr>
          <w:rFonts w:ascii="Calibri" w:hAnsi="Calibri" w:cs="Calibri"/>
          <w:sz w:val="24"/>
          <w:szCs w:val="24"/>
        </w:rPr>
      </w:pPr>
      <w:r w:rsidRPr="00261C59">
        <w:rPr>
          <w:rFonts w:ascii="Calibri" w:hAnsi="Calibri" w:cs="Calibri"/>
          <w:sz w:val="24"/>
          <w:szCs w:val="24"/>
        </w:rPr>
        <w:t xml:space="preserve">Where a State has an ABF CCR of less than 42.5 per cent in 2030-31 due to the operation of the funding cap and has unspent cap funding (not including unspent </w:t>
      </w:r>
      <w:r w:rsidRPr="00261C59">
        <w:rPr>
          <w:rFonts w:ascii="Calibri" w:hAnsi="Calibri"/>
          <w:sz w:val="24"/>
          <w:szCs w:val="24"/>
          <w:lang w:val="en-GB"/>
        </w:rPr>
        <w:t>SMRF</w:t>
      </w:r>
      <w:r w:rsidRPr="00261C59">
        <w:rPr>
          <w:rFonts w:ascii="Calibri" w:hAnsi="Calibri"/>
          <w:sz w:val="24"/>
        </w:rPr>
        <w:t>)</w:t>
      </w:r>
      <w:r w:rsidRPr="00261C59">
        <w:rPr>
          <w:rFonts w:ascii="Calibri" w:hAnsi="Calibri" w:cs="Calibri"/>
          <w:sz w:val="24"/>
          <w:szCs w:val="24"/>
        </w:rPr>
        <w:t xml:space="preserve">, the Commonwealth will provide a one-off top up payment in line with clause A51. </w:t>
      </w:r>
    </w:p>
    <w:p w14:paraId="5490E087" w14:textId="77777777" w:rsidR="00271836" w:rsidRPr="00261C59" w:rsidRDefault="00271836" w:rsidP="004728D9">
      <w:pPr>
        <w:keepNext/>
        <w:widowControl/>
        <w:numPr>
          <w:ilvl w:val="0"/>
          <w:numId w:val="54"/>
        </w:numPr>
        <w:spacing w:after="240" w:line="260" w:lineRule="exact"/>
        <w:jc w:val="left"/>
        <w:rPr>
          <w:rFonts w:ascii="Calibri" w:hAnsi="Calibri" w:cs="Calibri"/>
          <w:sz w:val="24"/>
          <w:szCs w:val="24"/>
        </w:rPr>
      </w:pPr>
      <w:r w:rsidRPr="00261C59">
        <w:rPr>
          <w:rFonts w:ascii="Calibri" w:hAnsi="Calibri" w:cs="Calibri"/>
          <w:sz w:val="24"/>
          <w:szCs w:val="24"/>
        </w:rPr>
        <w:t>The one-off top up payment in 2030-31 will be:</w:t>
      </w:r>
    </w:p>
    <w:p w14:paraId="55027DB9" w14:textId="77777777" w:rsidR="00271836" w:rsidRPr="00261C59" w:rsidRDefault="00271836" w:rsidP="004728D9">
      <w:pPr>
        <w:numPr>
          <w:ilvl w:val="1"/>
          <w:numId w:val="54"/>
        </w:numPr>
        <w:spacing w:after="240" w:line="260" w:lineRule="exact"/>
        <w:jc w:val="left"/>
        <w:rPr>
          <w:rFonts w:ascii="Calibri" w:hAnsi="Calibri" w:cs="Calibri"/>
          <w:sz w:val="24"/>
          <w:szCs w:val="24"/>
        </w:rPr>
      </w:pPr>
      <w:r w:rsidRPr="00261C59">
        <w:rPr>
          <w:rFonts w:ascii="Calibri" w:hAnsi="Calibri"/>
          <w:sz w:val="24"/>
          <w:lang w:val="en-GB"/>
        </w:rPr>
        <w:t>equal to the lower of:</w:t>
      </w:r>
    </w:p>
    <w:p w14:paraId="5B9E0483" w14:textId="77777777" w:rsidR="00271836" w:rsidRPr="00261C59" w:rsidRDefault="00271836" w:rsidP="004728D9">
      <w:pPr>
        <w:keepNext/>
        <w:widowControl/>
        <w:numPr>
          <w:ilvl w:val="2"/>
          <w:numId w:val="54"/>
        </w:numPr>
        <w:spacing w:after="240" w:line="260" w:lineRule="exact"/>
        <w:jc w:val="left"/>
        <w:rPr>
          <w:rFonts w:ascii="Calibri" w:hAnsi="Calibri" w:cs="Calibri"/>
          <w:sz w:val="24"/>
          <w:szCs w:val="24"/>
        </w:rPr>
      </w:pPr>
      <w:r w:rsidRPr="00261C59">
        <w:rPr>
          <w:rFonts w:ascii="Calibri" w:hAnsi="Calibri" w:cs="Calibri"/>
          <w:sz w:val="24"/>
          <w:szCs w:val="24"/>
        </w:rPr>
        <w:t>the State’s funding shortfall in 2030-31, or</w:t>
      </w:r>
    </w:p>
    <w:p w14:paraId="581FFB6B" w14:textId="7311FB99" w:rsidR="00271836" w:rsidRPr="00261C59" w:rsidRDefault="00271836" w:rsidP="004728D9">
      <w:pPr>
        <w:keepNext/>
        <w:widowControl/>
        <w:numPr>
          <w:ilvl w:val="2"/>
          <w:numId w:val="54"/>
        </w:numPr>
        <w:spacing w:after="240" w:line="260" w:lineRule="exact"/>
        <w:jc w:val="left"/>
        <w:rPr>
          <w:rFonts w:ascii="Calibri" w:hAnsi="Calibri" w:cs="Calibri"/>
          <w:sz w:val="24"/>
          <w:szCs w:val="24"/>
        </w:rPr>
      </w:pPr>
      <w:r w:rsidRPr="00261C59">
        <w:rPr>
          <w:rFonts w:ascii="Calibri" w:hAnsi="Calibri" w:cs="Calibri"/>
          <w:sz w:val="24"/>
          <w:szCs w:val="24"/>
        </w:rPr>
        <w:t>the State’s total sum of unspent cap funding amounts over the five years (not including unspent SMRF</w:t>
      </w:r>
      <w:r w:rsidRPr="53FEFD8A">
        <w:rPr>
          <w:rFonts w:ascii="Calibri" w:hAnsi="Calibri" w:cs="Calibri"/>
          <w:sz w:val="24"/>
          <w:szCs w:val="24"/>
        </w:rPr>
        <w:t>)</w:t>
      </w:r>
    </w:p>
    <w:p w14:paraId="5DFD0BF0" w14:textId="2F27FEC3"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at maximum, the amount required to lift the state to an ABF CCR of 42.5</w:t>
      </w:r>
      <w:r w:rsidR="003027AA">
        <w:rPr>
          <w:rFonts w:ascii="Calibri" w:hAnsi="Calibri"/>
          <w:sz w:val="24"/>
          <w:lang w:val="en-GB"/>
        </w:rPr>
        <w:t xml:space="preserve"> per cent</w:t>
      </w:r>
      <w:r w:rsidRPr="00261C59">
        <w:rPr>
          <w:rFonts w:ascii="Calibri" w:hAnsi="Calibri"/>
          <w:sz w:val="24"/>
          <w:lang w:val="en-GB"/>
        </w:rPr>
        <w:t xml:space="preserve">. </w:t>
      </w:r>
    </w:p>
    <w:p w14:paraId="4FBFEEBF" w14:textId="77777777" w:rsidR="00271836" w:rsidRPr="00261C59" w:rsidRDefault="00271836" w:rsidP="004728D9">
      <w:pPr>
        <w:numPr>
          <w:ilvl w:val="0"/>
          <w:numId w:val="54"/>
        </w:numPr>
        <w:spacing w:after="240" w:line="260" w:lineRule="exact"/>
        <w:jc w:val="left"/>
        <w:rPr>
          <w:rFonts w:ascii="Calibri" w:hAnsi="Calibri" w:cs="Calibri"/>
          <w:sz w:val="24"/>
          <w:szCs w:val="24"/>
        </w:rPr>
      </w:pPr>
      <w:r w:rsidRPr="00261C59">
        <w:rPr>
          <w:rFonts w:ascii="Calibri" w:hAnsi="Calibri" w:cs="Calibri"/>
          <w:sz w:val="24"/>
          <w:szCs w:val="24"/>
        </w:rPr>
        <w:t xml:space="preserve">If individual States have reached an output ABF CCR of 42.5 per cent in 2030-31 using their unspent cap funding, any remaining unspent cap funding amounts for all States will be pooled and made available nationally for redistribution to other States who have not reached an ABF CCR of 42.5 per cent. The top up amount for any remaining States will be calculated as an amount equivalent to the lower of:  </w:t>
      </w:r>
    </w:p>
    <w:p w14:paraId="1136F932" w14:textId="77777777"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the State’s remaining funding shortfall in 2030-31, or</w:t>
      </w:r>
    </w:p>
    <w:p w14:paraId="0502A48C" w14:textId="77777777"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a proportionate share of the national total of unspent cap funding amounts over the five years, to be calculated as:</w:t>
      </w:r>
    </w:p>
    <w:p w14:paraId="516F36DF" w14:textId="77777777" w:rsidR="00271836" w:rsidRPr="00E21A86" w:rsidRDefault="00271836" w:rsidP="004728D9">
      <w:pPr>
        <w:jc w:val="left"/>
        <w:rPr>
          <w:rFonts w:ascii="Calibri" w:hAnsi="Calibri" w:cs="Calibri"/>
          <w:iCs/>
        </w:rPr>
      </w:pPr>
      <m:oMathPara>
        <m:oMath>
          <m:r>
            <m:rPr>
              <m:sty m:val="p"/>
            </m:rPr>
            <w:rPr>
              <w:rFonts w:ascii="Cambria Math" w:hAnsi="Cambria Math" w:cs="Calibri"/>
            </w:rPr>
            <m:t>National unspent cap funding amount ×</m:t>
          </m:r>
          <m:f>
            <m:fPr>
              <m:ctrlPr>
                <w:rPr>
                  <w:rFonts w:ascii="Cambria Math" w:hAnsi="Cambria Math" w:cs="Calibri"/>
                  <w:iCs/>
                </w:rPr>
              </m:ctrlPr>
            </m:fPr>
            <m:num>
              <m:r>
                <m:rPr>
                  <m:sty m:val="p"/>
                </m:rPr>
                <w:rPr>
                  <w:rFonts w:ascii="Cambria Math" w:hAnsi="Cambria Math" w:cs="Calibri"/>
                </w:rPr>
                <m:t xml:space="preserve">Individual </m:t>
              </m:r>
              <m:sSup>
                <m:sSupPr>
                  <m:ctrlPr>
                    <w:rPr>
                      <w:rFonts w:ascii="Cambria Math" w:hAnsi="Cambria Math" w:cs="Calibri"/>
                    </w:rPr>
                  </m:ctrlPr>
                </m:sSupPr>
                <m:e>
                  <m:r>
                    <m:rPr>
                      <m:sty m:val="p"/>
                    </m:rPr>
                    <w:rPr>
                      <w:rFonts w:ascii="Cambria Math" w:hAnsi="Cambria Math" w:cs="Calibri"/>
                    </w:rPr>
                    <m:t>State</m:t>
                  </m:r>
                </m:e>
                <m:sup>
                  <m:r>
                    <m:rPr>
                      <m:sty m:val="p"/>
                    </m:rPr>
                    <w:rPr>
                      <w:rFonts w:ascii="Cambria Math" w:hAnsi="Cambria Math" w:cs="Calibri"/>
                    </w:rPr>
                    <m:t>'</m:t>
                  </m:r>
                </m:sup>
              </m:sSup>
              <m:r>
                <m:rPr>
                  <m:sty m:val="p"/>
                </m:rPr>
                <w:rPr>
                  <w:rFonts w:ascii="Cambria Math" w:hAnsi="Cambria Math" w:cs="Calibri"/>
                </w:rPr>
                <m:t>s funding shortfall in 2030</m:t>
              </m:r>
              <m:r>
                <m:rPr>
                  <m:sty m:val="p"/>
                </m:rPr>
                <w:rPr>
                  <w:rFonts w:ascii="Cambria Math" w:hAnsi="Cambria Math" w:cs="Calibri"/>
                </w:rPr>
                <w:noBreakHyphen/>
                <m:t>31</m:t>
              </m:r>
            </m:num>
            <m:den>
              <m:r>
                <m:rPr>
                  <m:sty m:val="p"/>
                </m:rPr>
                <w:rPr>
                  <w:rFonts w:ascii="Cambria Math" w:hAnsi="Cambria Math" w:cs="Calibri"/>
                </w:rPr>
                <m:t>National funding shortfall in 2030</m:t>
              </m:r>
              <m:r>
                <m:rPr>
                  <m:sty m:val="p"/>
                </m:rPr>
                <w:rPr>
                  <w:rFonts w:ascii="Cambria Math" w:hAnsi="Cambria Math" w:cs="Calibri"/>
                </w:rPr>
                <w:noBreakHyphen/>
                <m:t>31</m:t>
              </m:r>
            </m:den>
          </m:f>
        </m:oMath>
      </m:oMathPara>
    </w:p>
    <w:p w14:paraId="3298E2B4" w14:textId="77777777" w:rsidR="00271836" w:rsidRPr="00261C59" w:rsidRDefault="00271836" w:rsidP="004728D9">
      <w:pPr>
        <w:keepNext/>
        <w:widowControl/>
        <w:spacing w:after="240" w:line="260" w:lineRule="exact"/>
        <w:ind w:left="1134"/>
        <w:jc w:val="left"/>
        <w:rPr>
          <w:rFonts w:ascii="Calibri" w:hAnsi="Calibri" w:cs="Calibri"/>
          <w:sz w:val="24"/>
          <w:szCs w:val="24"/>
        </w:rPr>
      </w:pPr>
      <w:r w:rsidRPr="00261C59">
        <w:rPr>
          <w:rFonts w:ascii="Calibri" w:hAnsi="Calibri" w:cs="Calibri"/>
          <w:sz w:val="24"/>
          <w:szCs w:val="24"/>
        </w:rPr>
        <w:t xml:space="preserve">Where: </w:t>
      </w:r>
    </w:p>
    <w:p w14:paraId="2E3DD721" w14:textId="5F600EEA" w:rsidR="00271836" w:rsidRPr="00261C59" w:rsidRDefault="3C2EDC4E" w:rsidP="004728D9">
      <w:pPr>
        <w:keepNext/>
        <w:widowControl/>
        <w:numPr>
          <w:ilvl w:val="2"/>
          <w:numId w:val="54"/>
        </w:numPr>
        <w:spacing w:after="240" w:line="260" w:lineRule="exact"/>
        <w:ind w:left="1842" w:hanging="181"/>
        <w:jc w:val="left"/>
        <w:rPr>
          <w:rFonts w:ascii="Calibri" w:hAnsi="Calibri"/>
          <w:sz w:val="24"/>
          <w:szCs w:val="24"/>
        </w:rPr>
      </w:pPr>
      <w:r w:rsidRPr="36A20E21">
        <w:rPr>
          <w:rFonts w:ascii="Calibri" w:hAnsi="Calibri"/>
          <w:sz w:val="24"/>
          <w:szCs w:val="24"/>
        </w:rPr>
        <w:t>t</w:t>
      </w:r>
      <w:r w:rsidR="00271836" w:rsidRPr="36A20E21">
        <w:rPr>
          <w:rFonts w:ascii="Calibri" w:hAnsi="Calibri"/>
          <w:sz w:val="24"/>
          <w:szCs w:val="24"/>
        </w:rPr>
        <w:t>he</w:t>
      </w:r>
      <w:r w:rsidR="00271836" w:rsidRPr="10942B41">
        <w:rPr>
          <w:rFonts w:ascii="Calibri" w:hAnsi="Calibri"/>
          <w:sz w:val="24"/>
          <w:szCs w:val="24"/>
        </w:rPr>
        <w:t xml:space="preserve"> ‘National unspent cap funding amount’ is the sum of all the individual States’ remaining unspent cap funding amounts for the five years 2026-27 to 2030-31</w:t>
      </w:r>
    </w:p>
    <w:p w14:paraId="1572C842" w14:textId="0774185B" w:rsidR="00271836" w:rsidRPr="00261C59" w:rsidRDefault="3559B68A" w:rsidP="004728D9">
      <w:pPr>
        <w:keepNext/>
        <w:widowControl/>
        <w:numPr>
          <w:ilvl w:val="2"/>
          <w:numId w:val="54"/>
        </w:numPr>
        <w:spacing w:after="240" w:line="260" w:lineRule="exact"/>
        <w:ind w:left="1842" w:hanging="181"/>
        <w:jc w:val="left"/>
        <w:rPr>
          <w:rFonts w:ascii="Calibri" w:hAnsi="Calibri" w:cs="Calibri"/>
          <w:sz w:val="24"/>
          <w:szCs w:val="24"/>
        </w:rPr>
      </w:pPr>
      <w:r w:rsidRPr="36A20E21">
        <w:rPr>
          <w:rFonts w:ascii="Calibri" w:hAnsi="Calibri" w:cs="Calibri"/>
          <w:sz w:val="24"/>
          <w:szCs w:val="24"/>
        </w:rPr>
        <w:t>t</w:t>
      </w:r>
      <w:r w:rsidR="00271836" w:rsidRPr="36A20E21">
        <w:rPr>
          <w:rFonts w:ascii="Calibri" w:hAnsi="Calibri" w:cs="Calibri"/>
          <w:sz w:val="24"/>
          <w:szCs w:val="24"/>
        </w:rPr>
        <w:t>he</w:t>
      </w:r>
      <w:r w:rsidR="00271836" w:rsidRPr="00261C59">
        <w:rPr>
          <w:rFonts w:ascii="Calibri" w:hAnsi="Calibri" w:cs="Calibri"/>
          <w:sz w:val="24"/>
          <w:szCs w:val="24"/>
        </w:rPr>
        <w:t xml:space="preserve"> ‘individual State’s funding shortfall’ is the amount by which a State’s own remaining uncapped Commonwealth funding entitlement exceeds the cap in </w:t>
      </w:r>
      <w:r w:rsidR="00271836" w:rsidRPr="36A20E21">
        <w:rPr>
          <w:rFonts w:ascii="Calibri" w:hAnsi="Calibri" w:cs="Calibri"/>
          <w:sz w:val="24"/>
          <w:szCs w:val="24"/>
        </w:rPr>
        <w:t>203031</w:t>
      </w:r>
    </w:p>
    <w:p w14:paraId="6F795973" w14:textId="5EDFDE9C" w:rsidR="00271836" w:rsidRPr="00261C59" w:rsidRDefault="2C685378" w:rsidP="004728D9">
      <w:pPr>
        <w:keepNext/>
        <w:widowControl/>
        <w:numPr>
          <w:ilvl w:val="2"/>
          <w:numId w:val="54"/>
        </w:numPr>
        <w:spacing w:after="240" w:line="260" w:lineRule="exact"/>
        <w:ind w:left="1842" w:hanging="181"/>
        <w:jc w:val="left"/>
        <w:rPr>
          <w:rFonts w:ascii="Calibri" w:hAnsi="Calibri" w:cs="Calibri"/>
          <w:sz w:val="24"/>
          <w:szCs w:val="24"/>
        </w:rPr>
      </w:pPr>
      <w:r w:rsidRPr="36A20E21">
        <w:rPr>
          <w:rFonts w:ascii="Calibri" w:hAnsi="Calibri" w:cs="Calibri"/>
          <w:sz w:val="24"/>
          <w:szCs w:val="24"/>
        </w:rPr>
        <w:t>t</w:t>
      </w:r>
      <w:r w:rsidR="00271836" w:rsidRPr="36A20E21">
        <w:rPr>
          <w:rFonts w:ascii="Calibri" w:hAnsi="Calibri" w:cs="Calibri"/>
          <w:sz w:val="24"/>
          <w:szCs w:val="24"/>
        </w:rPr>
        <w:t>he</w:t>
      </w:r>
      <w:r w:rsidR="00271836" w:rsidRPr="00261C59">
        <w:rPr>
          <w:rFonts w:ascii="Calibri" w:hAnsi="Calibri" w:cs="Calibri"/>
          <w:sz w:val="24"/>
          <w:szCs w:val="24"/>
        </w:rPr>
        <w:t xml:space="preserve"> ‘national funding shortfall’ is the sum of all the remaining ‘individual States’ funding shortfall’ in 2030-31.</w:t>
      </w:r>
    </w:p>
    <w:p w14:paraId="1D6989F0" w14:textId="77777777" w:rsidR="00271836" w:rsidRPr="00261C59" w:rsidRDefault="00271836" w:rsidP="004D1DF8">
      <w:pPr>
        <w:jc w:val="left"/>
        <w:outlineLvl w:val="2"/>
        <w:rPr>
          <w:rFonts w:ascii="Corbel" w:hAnsi="Corbel"/>
          <w:color w:val="3D4B67"/>
          <w:sz w:val="28"/>
          <w:szCs w:val="48"/>
          <w:lang w:eastAsia="ja-JP"/>
        </w:rPr>
      </w:pPr>
      <w:bookmarkStart w:id="174" w:name="_Toc183183301"/>
      <w:bookmarkStart w:id="175" w:name="_Toc201673959"/>
      <w:bookmarkStart w:id="176" w:name="_Toc210833593"/>
      <w:bookmarkStart w:id="177" w:name="_Toc214456493"/>
      <w:bookmarkStart w:id="178" w:name="_Toc221087971"/>
      <w:r w:rsidRPr="00261C59">
        <w:rPr>
          <w:rFonts w:ascii="Corbel" w:hAnsi="Corbel"/>
          <w:color w:val="3D4B67"/>
          <w:sz w:val="28"/>
          <w:szCs w:val="48"/>
          <w:lang w:eastAsia="ja-JP"/>
        </w:rPr>
        <w:t>Minimum funding guarantee</w:t>
      </w:r>
      <w:bookmarkEnd w:id="174"/>
      <w:bookmarkEnd w:id="175"/>
      <w:bookmarkEnd w:id="176"/>
      <w:bookmarkEnd w:id="177"/>
      <w:bookmarkEnd w:id="178"/>
    </w:p>
    <w:p w14:paraId="74DD8B16" w14:textId="03863981" w:rsidR="00271836" w:rsidRPr="00261C59" w:rsidRDefault="00271836" w:rsidP="004728D9">
      <w:pPr>
        <w:numPr>
          <w:ilvl w:val="0"/>
          <w:numId w:val="54"/>
        </w:numPr>
        <w:spacing w:after="240" w:line="260" w:lineRule="exact"/>
        <w:jc w:val="left"/>
        <w:rPr>
          <w:rFonts w:ascii="Calibri" w:hAnsi="Calibri" w:cs="Calibri"/>
          <w:sz w:val="24"/>
          <w:szCs w:val="24"/>
          <w:lang w:val="en-GB"/>
        </w:rPr>
      </w:pPr>
      <w:r w:rsidRPr="00261C59">
        <w:rPr>
          <w:rFonts w:ascii="Calibri" w:hAnsi="Calibri" w:cs="Calibri"/>
          <w:sz w:val="24"/>
          <w:szCs w:val="24"/>
          <w:lang w:val="en-GB"/>
        </w:rPr>
        <w:t>The Commonwealth</w:t>
      </w:r>
      <w:r w:rsidRPr="00261C59">
        <w:rPr>
          <w:rFonts w:ascii="Calibri" w:hAnsi="Calibri"/>
          <w:sz w:val="24"/>
          <w:szCs w:val="24"/>
          <w:lang w:val="en-GB"/>
        </w:rPr>
        <w:t xml:space="preserve"> </w:t>
      </w:r>
      <w:r w:rsidRPr="00261C59">
        <w:rPr>
          <w:rFonts w:ascii="Calibri" w:hAnsi="Calibri" w:cs="Calibri"/>
          <w:sz w:val="24"/>
          <w:szCs w:val="24"/>
          <w:lang w:val="en-GB"/>
        </w:rPr>
        <w:t>will provide a minimum additional $</w:t>
      </w:r>
      <w:r w:rsidR="005E0E8C">
        <w:rPr>
          <w:rFonts w:ascii="Calibri" w:hAnsi="Calibri" w:cs="Calibri"/>
          <w:sz w:val="24"/>
          <w:szCs w:val="24"/>
          <w:lang w:val="en-GB"/>
        </w:rPr>
        <w:t>15.0</w:t>
      </w:r>
      <w:r w:rsidRPr="00261C59">
        <w:rPr>
          <w:rFonts w:ascii="Calibri" w:hAnsi="Calibri" w:cs="Calibri"/>
          <w:sz w:val="24"/>
          <w:szCs w:val="24"/>
          <w:lang w:val="en-GB"/>
        </w:rPr>
        <w:t xml:space="preserve"> billion in NHR funding over the period 2026-27 to 2030-31 when compared to the maximum amount that States would have received if the 2020-2025 Addendum funding arrangements applied. </w:t>
      </w:r>
    </w:p>
    <w:p w14:paraId="722DAF18" w14:textId="77777777"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The intent is that a minimum amount of NHR funding across all States over this Addendum period is guaranteed on an annual, state-specific basis.</w:t>
      </w:r>
    </w:p>
    <w:p w14:paraId="5DA31F55" w14:textId="77777777" w:rsidR="00271836" w:rsidRPr="00261C59" w:rsidRDefault="00271836" w:rsidP="004728D9">
      <w:pPr>
        <w:numPr>
          <w:ilvl w:val="0"/>
          <w:numId w:val="54"/>
        </w:numPr>
        <w:spacing w:after="240" w:line="260" w:lineRule="exact"/>
        <w:jc w:val="left"/>
        <w:rPr>
          <w:rFonts w:ascii="Calibri" w:hAnsi="Calibri" w:cs="Calibri"/>
          <w:sz w:val="24"/>
          <w:szCs w:val="24"/>
        </w:rPr>
      </w:pPr>
      <w:r w:rsidRPr="00261C59">
        <w:rPr>
          <w:rFonts w:ascii="Calibri" w:hAnsi="Calibri" w:cs="Calibri"/>
          <w:bCs/>
          <w:sz w:val="24"/>
          <w:szCs w:val="24"/>
        </w:rPr>
        <w:lastRenderedPageBreak/>
        <w:t>The annual State allocation of the MFG for the 2026-27 to 2030-31 period will be calculated by the Administrator according to the following steps:</w:t>
      </w:r>
    </w:p>
    <w:p w14:paraId="55F5E435" w14:textId="77777777" w:rsidR="00271836" w:rsidRPr="00261C59" w:rsidRDefault="00271836" w:rsidP="004728D9">
      <w:pPr>
        <w:numPr>
          <w:ilvl w:val="1"/>
          <w:numId w:val="54"/>
        </w:numPr>
        <w:spacing w:after="240" w:line="260" w:lineRule="exact"/>
        <w:jc w:val="left"/>
        <w:rPr>
          <w:rFonts w:ascii="Calibri" w:hAnsi="Calibri" w:cs="Calibri"/>
          <w:sz w:val="24"/>
          <w:szCs w:val="24"/>
          <w:lang w:val="en-GB"/>
        </w:rPr>
      </w:pPr>
      <w:r w:rsidRPr="00261C59">
        <w:rPr>
          <w:rFonts w:ascii="Calibri" w:hAnsi="Calibri" w:cs="Calibri"/>
          <w:sz w:val="24"/>
          <w:szCs w:val="24"/>
          <w:lang w:val="en-GB"/>
        </w:rPr>
        <w:t>Step 1: Calculate the maximum amount that all States would have received if the 2020-2025 Addendum funding arrangements applied to the 2026-27 to 2030-31 period as follows:</w:t>
      </w:r>
    </w:p>
    <w:p w14:paraId="5540A769" w14:textId="77777777" w:rsidR="00271836" w:rsidRPr="008A4D75" w:rsidRDefault="00271836" w:rsidP="004728D9">
      <w:pPr>
        <w:jc w:val="left"/>
        <w:rPr>
          <w:rFonts w:ascii="Calibri" w:hAnsi="Calibri" w:cs="Calibri"/>
        </w:rPr>
      </w:pPr>
      <m:oMathPara>
        <m:oMath>
          <m:r>
            <m:rPr>
              <m:sty m:val="p"/>
            </m:rPr>
            <w:rPr>
              <w:rFonts w:ascii="Cambria Math" w:hAnsi="Cambria Math" w:cs="Calibri"/>
            </w:rPr>
            <m:t>Total National Final Entitlement 2025</m:t>
          </m:r>
          <m:r>
            <m:rPr>
              <m:sty m:val="p"/>
            </m:rPr>
            <w:rPr>
              <w:rFonts w:ascii="Cambria Math" w:hAnsi="Cambria Math" w:cs="Calibri"/>
            </w:rPr>
            <w:noBreakHyphen/>
            <m:t>26</m:t>
          </m:r>
          <m:nary>
            <m:naryPr>
              <m:chr m:val="∑"/>
              <m:limLoc m:val="undOvr"/>
              <m:ctrlPr>
                <w:rPr>
                  <w:rFonts w:ascii="Cambria Math" w:hAnsi="Cambria Math" w:cs="Calibri"/>
                  <w:i/>
                </w:rPr>
              </m:ctrlPr>
            </m:naryPr>
            <m:sub>
              <m:r>
                <w:rPr>
                  <w:rFonts w:ascii="Cambria Math" w:hAnsi="Cambria Math" w:cs="Calibri"/>
                </w:rPr>
                <m:t>k=1</m:t>
              </m:r>
            </m:sub>
            <m:sup>
              <m:r>
                <w:rPr>
                  <w:rFonts w:ascii="Cambria Math" w:hAnsi="Cambria Math" w:cs="Calibri"/>
                </w:rPr>
                <m:t>5</m:t>
              </m:r>
            </m:sup>
            <m:e>
              <m:sSup>
                <m:sSupPr>
                  <m:ctrlPr>
                    <w:rPr>
                      <w:rFonts w:ascii="Cambria Math" w:hAnsi="Cambria Math" w:cs="Calibri"/>
                      <w:i/>
                    </w:rPr>
                  </m:ctrlPr>
                </m:sSupPr>
                <m:e>
                  <m:d>
                    <m:dPr>
                      <m:ctrlPr>
                        <w:rPr>
                          <w:rFonts w:ascii="Cambria Math" w:hAnsi="Cambria Math" w:cs="Calibri"/>
                          <w:i/>
                        </w:rPr>
                      </m:ctrlPr>
                    </m:dPr>
                    <m:e>
                      <m:r>
                        <w:rPr>
                          <w:rFonts w:ascii="Cambria Math" w:hAnsi="Cambria Math" w:cs="Calibri"/>
                        </w:rPr>
                        <m:t>1.065</m:t>
                      </m:r>
                    </m:e>
                  </m:d>
                </m:e>
                <m:sup>
                  <m:r>
                    <w:rPr>
                      <w:rFonts w:ascii="Cambria Math" w:hAnsi="Cambria Math" w:cs="Calibri"/>
                    </w:rPr>
                    <m:t>k</m:t>
                  </m:r>
                </m:sup>
              </m:sSup>
              <m:r>
                <w:rPr>
                  <w:rFonts w:ascii="Cambria Math" w:hAnsi="Cambria Math" w:cs="Calibri"/>
                </w:rPr>
                <m:t xml:space="preserve"> </m:t>
              </m:r>
            </m:e>
          </m:nary>
          <m:r>
            <w:rPr>
              <w:rFonts w:ascii="Cambria Math" w:hAnsi="Cambria Math" w:cs="Calibri"/>
            </w:rPr>
            <m:t xml:space="preserve">+ </m:t>
          </m:r>
          <m:r>
            <m:rPr>
              <m:sty m:val="p"/>
            </m:rPr>
            <w:rPr>
              <w:rFonts w:ascii="Cambria Math" w:hAnsi="Cambria Math" w:cs="Calibri"/>
            </w:rPr>
            <m:t>Mersey adjustment 2026</m:t>
          </m:r>
          <m:r>
            <m:rPr>
              <m:sty m:val="p"/>
            </m:rPr>
            <w:rPr>
              <w:rFonts w:ascii="Cambria Math" w:hAnsi="Cambria Math" w:cs="Calibri"/>
            </w:rPr>
            <w:noBreakHyphen/>
            <m:t>27</m:t>
          </m:r>
          <m:nary>
            <m:naryPr>
              <m:chr m:val="∑"/>
              <m:limLoc m:val="undOvr"/>
              <m:ctrlPr>
                <w:rPr>
                  <w:rFonts w:ascii="Cambria Math" w:hAnsi="Cambria Math" w:cs="Calibri"/>
                  <w:i/>
                </w:rPr>
              </m:ctrlPr>
            </m:naryPr>
            <m:sub>
              <m:r>
                <w:rPr>
                  <w:rFonts w:ascii="Cambria Math" w:hAnsi="Cambria Math" w:cs="Calibri"/>
                </w:rPr>
                <m:t>k=1</m:t>
              </m:r>
            </m:sub>
            <m:sup>
              <m:r>
                <w:rPr>
                  <w:rFonts w:ascii="Cambria Math" w:hAnsi="Cambria Math" w:cs="Calibri"/>
                </w:rPr>
                <m:t>4</m:t>
              </m:r>
            </m:sup>
            <m:e>
              <m:sSup>
                <m:sSupPr>
                  <m:ctrlPr>
                    <w:rPr>
                      <w:rFonts w:ascii="Cambria Math" w:hAnsi="Cambria Math" w:cs="Calibri"/>
                      <w:i/>
                    </w:rPr>
                  </m:ctrlPr>
                </m:sSupPr>
                <m:e>
                  <m:d>
                    <m:dPr>
                      <m:ctrlPr>
                        <w:rPr>
                          <w:rFonts w:ascii="Cambria Math" w:hAnsi="Cambria Math" w:cs="Calibri"/>
                          <w:i/>
                        </w:rPr>
                      </m:ctrlPr>
                    </m:dPr>
                    <m:e>
                      <m:r>
                        <w:rPr>
                          <w:rFonts w:ascii="Cambria Math" w:hAnsi="Cambria Math" w:cs="Calibri"/>
                        </w:rPr>
                        <m:t>1.065</m:t>
                      </m:r>
                    </m:e>
                  </m:d>
                </m:e>
                <m:sup>
                  <m:r>
                    <w:rPr>
                      <w:rFonts w:ascii="Cambria Math" w:hAnsi="Cambria Math" w:cs="Calibri"/>
                    </w:rPr>
                    <m:t>k</m:t>
                  </m:r>
                </m:sup>
              </m:sSup>
            </m:e>
          </m:nary>
        </m:oMath>
      </m:oMathPara>
    </w:p>
    <w:p w14:paraId="2C633F09" w14:textId="77777777" w:rsidR="00271836" w:rsidRPr="00261C59" w:rsidRDefault="00271836" w:rsidP="004728D9">
      <w:pPr>
        <w:spacing w:after="0" w:line="260" w:lineRule="exact"/>
        <w:ind w:left="1134"/>
        <w:jc w:val="left"/>
        <w:rPr>
          <w:rFonts w:ascii="Calibri" w:hAnsi="Calibri"/>
          <w:sz w:val="24"/>
          <w:lang w:val="en-GB"/>
        </w:rPr>
      </w:pPr>
      <w:r w:rsidRPr="00261C59">
        <w:rPr>
          <w:rFonts w:ascii="Calibri" w:hAnsi="Calibri"/>
          <w:sz w:val="24"/>
          <w:lang w:val="en-GB"/>
        </w:rPr>
        <w:t>Where:</w:t>
      </w:r>
    </w:p>
    <w:p w14:paraId="76761894" w14:textId="6D3DD69B" w:rsidR="00271836" w:rsidRPr="00261C59" w:rsidRDefault="71524940" w:rsidP="004728D9">
      <w:pPr>
        <w:numPr>
          <w:ilvl w:val="2"/>
          <w:numId w:val="54"/>
        </w:numPr>
        <w:spacing w:after="240" w:line="260" w:lineRule="exact"/>
        <w:ind w:left="1842" w:hanging="181"/>
        <w:jc w:val="left"/>
        <w:rPr>
          <w:rFonts w:ascii="Calibri" w:hAnsi="Calibri" w:cs="Calibri"/>
          <w:sz w:val="24"/>
          <w:szCs w:val="24"/>
        </w:rPr>
      </w:pPr>
      <w:r w:rsidRPr="6B7766CA">
        <w:rPr>
          <w:rFonts w:ascii="Calibri" w:hAnsi="Calibri" w:cs="Calibri"/>
          <w:sz w:val="24"/>
          <w:szCs w:val="24"/>
        </w:rPr>
        <w:t>t</w:t>
      </w:r>
      <w:r w:rsidR="00271836" w:rsidRPr="6B7766CA">
        <w:rPr>
          <w:rFonts w:ascii="Calibri" w:hAnsi="Calibri" w:cs="Calibri"/>
          <w:sz w:val="24"/>
          <w:szCs w:val="24"/>
        </w:rPr>
        <w:t>he</w:t>
      </w:r>
      <w:r w:rsidR="00271836" w:rsidRPr="00261C59">
        <w:rPr>
          <w:rFonts w:ascii="Calibri" w:hAnsi="Calibri" w:cs="Calibri"/>
          <w:sz w:val="24"/>
          <w:szCs w:val="24"/>
        </w:rPr>
        <w:t xml:space="preserve"> ‘Total National Final Entitlement 2025-26’ is the sum of all the individual States’ Final Entitlements for 2025-26</w:t>
      </w:r>
    </w:p>
    <w:p w14:paraId="2B99DD94" w14:textId="0EBB38D0" w:rsidR="00271836" w:rsidRPr="00261C59" w:rsidRDefault="0911A92C" w:rsidP="004728D9">
      <w:pPr>
        <w:numPr>
          <w:ilvl w:val="2"/>
          <w:numId w:val="54"/>
        </w:numPr>
        <w:spacing w:after="240" w:line="260" w:lineRule="exact"/>
        <w:ind w:left="1842" w:hanging="181"/>
        <w:jc w:val="left"/>
        <w:rPr>
          <w:rFonts w:ascii="Calibri" w:hAnsi="Calibri" w:cs="Calibri"/>
          <w:sz w:val="24"/>
          <w:szCs w:val="24"/>
        </w:rPr>
      </w:pPr>
      <w:r w:rsidRPr="6B7766CA">
        <w:rPr>
          <w:rFonts w:ascii="Calibri" w:hAnsi="Calibri" w:cs="Calibri"/>
          <w:sz w:val="24"/>
          <w:szCs w:val="24"/>
        </w:rPr>
        <w:t>t</w:t>
      </w:r>
      <w:r w:rsidR="00271836" w:rsidRPr="6B7766CA">
        <w:rPr>
          <w:rFonts w:ascii="Calibri" w:hAnsi="Calibri" w:cs="Calibri"/>
          <w:sz w:val="24"/>
          <w:szCs w:val="24"/>
        </w:rPr>
        <w:t>he</w:t>
      </w:r>
      <w:r w:rsidR="00271836" w:rsidRPr="00261C59">
        <w:rPr>
          <w:rFonts w:ascii="Calibri" w:hAnsi="Calibri" w:cs="Calibri"/>
          <w:sz w:val="24"/>
          <w:szCs w:val="24"/>
        </w:rPr>
        <w:t xml:space="preserve"> ‘Mersey adjustment 2026-27’ is the funding adjustment for </w:t>
      </w:r>
      <w:r w:rsidR="00271836" w:rsidRPr="6B7766CA">
        <w:rPr>
          <w:rFonts w:ascii="Calibri" w:hAnsi="Calibri" w:cs="Calibri"/>
          <w:sz w:val="24"/>
          <w:szCs w:val="24"/>
        </w:rPr>
        <w:t>2026</w:t>
      </w:r>
      <w:r w:rsidR="00095465">
        <w:rPr>
          <w:rFonts w:ascii="Calibri" w:hAnsi="Calibri" w:cs="Calibri"/>
          <w:sz w:val="24"/>
          <w:szCs w:val="24"/>
        </w:rPr>
        <w:t>-</w:t>
      </w:r>
      <w:r w:rsidR="00271836" w:rsidRPr="6B7766CA">
        <w:rPr>
          <w:rFonts w:ascii="Calibri" w:hAnsi="Calibri" w:cs="Calibri"/>
          <w:sz w:val="24"/>
          <w:szCs w:val="24"/>
        </w:rPr>
        <w:t>27</w:t>
      </w:r>
      <w:r w:rsidR="00271836" w:rsidRPr="00261C59">
        <w:rPr>
          <w:rFonts w:ascii="Calibri" w:hAnsi="Calibri" w:cs="Calibri"/>
          <w:sz w:val="24"/>
          <w:szCs w:val="24"/>
        </w:rPr>
        <w:t xml:space="preserve"> as set out in Table 1 of the National Partnership on Transfer of the Mersey Community Hospital</w:t>
      </w:r>
    </w:p>
    <w:p w14:paraId="48D63B53" w14:textId="77777777" w:rsidR="00271836" w:rsidRPr="00261C59" w:rsidRDefault="00271836" w:rsidP="004728D9">
      <w:pPr>
        <w:keepNext/>
        <w:widowControl/>
        <w:numPr>
          <w:ilvl w:val="1"/>
          <w:numId w:val="54"/>
        </w:numPr>
        <w:spacing w:after="240" w:line="260" w:lineRule="exact"/>
        <w:jc w:val="left"/>
        <w:rPr>
          <w:rFonts w:ascii="Calibri" w:hAnsi="Calibri"/>
          <w:sz w:val="24"/>
          <w:lang w:val="en-GB"/>
        </w:rPr>
      </w:pPr>
      <w:r w:rsidRPr="00261C59">
        <w:rPr>
          <w:rFonts w:ascii="Calibri" w:hAnsi="Calibri"/>
          <w:sz w:val="24"/>
          <w:lang w:val="en-GB"/>
        </w:rPr>
        <w:t>Step 2: Calculate the total national MFG amount over the 2026</w:t>
      </w:r>
      <w:r w:rsidRPr="00261C59">
        <w:rPr>
          <w:rFonts w:ascii="Calibri" w:hAnsi="Calibri"/>
          <w:sz w:val="24"/>
          <w:lang w:val="en-GB"/>
        </w:rPr>
        <w:noBreakHyphen/>
        <w:t>27 to 2030</w:t>
      </w:r>
      <w:r w:rsidRPr="00261C59">
        <w:rPr>
          <w:rFonts w:ascii="Calibri" w:hAnsi="Calibri"/>
          <w:sz w:val="24"/>
          <w:lang w:val="en-GB"/>
        </w:rPr>
        <w:noBreakHyphen/>
        <w:t>31 period as follows:</w:t>
      </w:r>
    </w:p>
    <w:p w14:paraId="5DAEC0B5" w14:textId="061A75D7" w:rsidR="00271836" w:rsidRPr="008A4D75" w:rsidRDefault="00271836" w:rsidP="004728D9">
      <w:pPr>
        <w:spacing w:after="240"/>
        <w:ind w:left="709"/>
        <w:rPr>
          <w:rFonts w:ascii="Calibri" w:hAnsi="Calibri" w:cs="Calibri"/>
        </w:rPr>
      </w:pPr>
      <m:oMathPara>
        <m:oMath>
          <m:r>
            <m:rPr>
              <m:sty m:val="p"/>
            </m:rPr>
            <w:rPr>
              <w:rFonts w:ascii="Cambria Math" w:hAnsi="Cambria Math" w:cs="Calibri"/>
            </w:rPr>
            <m:t>Max payable under the 2020</m:t>
          </m:r>
          <m:r>
            <m:rPr>
              <m:sty m:val="p"/>
            </m:rPr>
            <w:rPr>
              <w:rFonts w:ascii="Cambria Math" w:hAnsi="Cambria Math" w:cs="Calibri"/>
            </w:rPr>
            <w:noBreakHyphen/>
            <m:t xml:space="preserve">25 Addendum arrangements </m:t>
          </m:r>
          <m:d>
            <m:dPr>
              <m:ctrlPr>
                <w:rPr>
                  <w:rFonts w:ascii="Cambria Math" w:hAnsi="Cambria Math" w:cs="Calibri"/>
                  <w:iCs/>
                </w:rPr>
              </m:ctrlPr>
            </m:dPr>
            <m:e>
              <m:r>
                <m:rPr>
                  <m:sty m:val="p"/>
                </m:rPr>
                <w:rPr>
                  <w:rFonts w:ascii="Cambria Math" w:hAnsi="Cambria Math" w:cs="Calibri"/>
                </w:rPr>
                <m:t>Step 1</m:t>
              </m:r>
            </m:e>
          </m:d>
          <m:r>
            <w:rPr>
              <w:rFonts w:ascii="Cambria Math" w:hAnsi="Cambria Math" w:cs="Calibri"/>
            </w:rPr>
            <m:t>+ $15,000,000,000.</m:t>
          </m:r>
          <m:r>
            <m:rPr>
              <m:sty m:val="p"/>
            </m:rPr>
            <w:rPr>
              <w:rFonts w:ascii="Cambria Math" w:hAnsi="Cambria Math" w:cs="Calibri"/>
            </w:rPr>
            <m:t>00</m:t>
          </m:r>
        </m:oMath>
      </m:oMathPara>
    </w:p>
    <w:p w14:paraId="1423CCA1" w14:textId="77777777"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 xml:space="preserve">Step 3: Calculate the annual State cumulative funding cap percentage for each State for each year as follows: </w:t>
      </w:r>
    </w:p>
    <w:p w14:paraId="3C6DED0B" w14:textId="77777777" w:rsidR="00271836" w:rsidRPr="00826EA3" w:rsidRDefault="00A10B8B" w:rsidP="004728D9">
      <w:pPr>
        <w:ind w:left="1661"/>
        <w:jc w:val="left"/>
        <w:rPr>
          <w:rFonts w:ascii="Calibri" w:hAnsi="Calibri" w:cs="Calibri"/>
        </w:rPr>
      </w:pPr>
      <m:oMathPara>
        <m:oMathParaPr>
          <m:jc m:val="center"/>
        </m:oMathParaPr>
        <m:oMath>
          <m:f>
            <m:fPr>
              <m:ctrlPr>
                <w:rPr>
                  <w:rFonts w:ascii="Cambria Math" w:hAnsi="Cambria Math" w:cs="Calibri"/>
                  <w:iCs/>
                </w:rPr>
              </m:ctrlPr>
            </m:fPr>
            <m:num>
              <m:r>
                <m:rPr>
                  <m:sty m:val="p"/>
                </m:rPr>
                <w:rPr>
                  <w:rFonts w:ascii="Cambria Math" w:hAnsi="Cambria Math" w:cs="Calibri"/>
                </w:rPr>
                <m:t>Funding cap amount for that State for that year (i)</m:t>
              </m:r>
            </m:num>
            <m:den>
              <m:r>
                <m:rPr>
                  <m:sty m:val="p"/>
                </m:rPr>
                <w:rPr>
                  <w:rFonts w:ascii="Cambria Math" w:hAnsi="Cambria Math" w:cs="Calibri"/>
                </w:rPr>
                <m:t>Five year total funding cap for all States (ii)</m:t>
              </m:r>
            </m:den>
          </m:f>
        </m:oMath>
      </m:oMathPara>
    </w:p>
    <w:p w14:paraId="602B8D72" w14:textId="77777777" w:rsidR="00271836" w:rsidRPr="00261C59" w:rsidRDefault="00271836" w:rsidP="004728D9">
      <w:pPr>
        <w:spacing w:after="240" w:line="260" w:lineRule="exact"/>
        <w:ind w:left="1134"/>
        <w:jc w:val="left"/>
        <w:rPr>
          <w:rFonts w:ascii="Calibri" w:hAnsi="Calibri" w:cs="Calibri"/>
          <w:sz w:val="24"/>
          <w:szCs w:val="24"/>
        </w:rPr>
      </w:pPr>
      <w:r w:rsidRPr="00261C59">
        <w:rPr>
          <w:rFonts w:ascii="Calibri" w:hAnsi="Calibri" w:cs="Calibri"/>
          <w:sz w:val="24"/>
          <w:szCs w:val="24"/>
        </w:rPr>
        <w:t xml:space="preserve">Where: </w:t>
      </w:r>
    </w:p>
    <w:p w14:paraId="01DE2F13" w14:textId="02D33984" w:rsidR="00271836" w:rsidRPr="00261C59" w:rsidRDefault="2A5C9AA3" w:rsidP="004728D9">
      <w:pPr>
        <w:keepNext/>
        <w:widowControl/>
        <w:numPr>
          <w:ilvl w:val="2"/>
          <w:numId w:val="54"/>
        </w:numPr>
        <w:spacing w:after="240" w:line="260" w:lineRule="exact"/>
        <w:ind w:left="1842" w:hanging="181"/>
        <w:jc w:val="left"/>
        <w:rPr>
          <w:rFonts w:ascii="Calibri" w:hAnsi="Calibri" w:cs="Calibri"/>
          <w:sz w:val="24"/>
          <w:szCs w:val="24"/>
        </w:rPr>
      </w:pPr>
      <w:r w:rsidRPr="6B7766CA">
        <w:rPr>
          <w:rFonts w:ascii="Calibri" w:hAnsi="Calibri" w:cs="Calibri"/>
          <w:sz w:val="24"/>
          <w:szCs w:val="24"/>
        </w:rPr>
        <w:t>t</w:t>
      </w:r>
      <w:r w:rsidR="00271836" w:rsidRPr="6B7766CA">
        <w:rPr>
          <w:rFonts w:ascii="Calibri" w:hAnsi="Calibri" w:cs="Calibri"/>
          <w:sz w:val="24"/>
          <w:szCs w:val="24"/>
        </w:rPr>
        <w:t>he</w:t>
      </w:r>
      <w:r w:rsidR="00271836" w:rsidRPr="00261C59">
        <w:rPr>
          <w:rFonts w:ascii="Calibri" w:hAnsi="Calibri" w:cs="Calibri"/>
          <w:sz w:val="24"/>
          <w:szCs w:val="24"/>
        </w:rPr>
        <w:t xml:space="preserve"> funding cap amount for each State for each year of the Addendum will be calculated as per clauses </w:t>
      </w:r>
      <w:r w:rsidR="003A2FE8" w:rsidRPr="00261C59">
        <w:rPr>
          <w:rFonts w:ascii="Calibri" w:hAnsi="Calibri" w:cs="Calibri"/>
          <w:sz w:val="24"/>
          <w:szCs w:val="24"/>
        </w:rPr>
        <w:t>A41</w:t>
      </w:r>
    </w:p>
    <w:p w14:paraId="43C0AB84" w14:textId="33DA6A82" w:rsidR="00271836" w:rsidRPr="00261C59" w:rsidRDefault="5754B650" w:rsidP="004728D9">
      <w:pPr>
        <w:keepNext/>
        <w:widowControl/>
        <w:numPr>
          <w:ilvl w:val="2"/>
          <w:numId w:val="54"/>
        </w:numPr>
        <w:spacing w:after="240" w:line="260" w:lineRule="exact"/>
        <w:ind w:left="1842" w:hanging="181"/>
        <w:jc w:val="left"/>
        <w:rPr>
          <w:rFonts w:ascii="Calibri" w:hAnsi="Calibri" w:cs="Calibri"/>
          <w:sz w:val="24"/>
          <w:szCs w:val="24"/>
        </w:rPr>
      </w:pPr>
      <w:r w:rsidRPr="6B7766CA">
        <w:rPr>
          <w:rFonts w:ascii="Calibri" w:hAnsi="Calibri" w:cs="Calibri"/>
          <w:sz w:val="24"/>
          <w:szCs w:val="24"/>
        </w:rPr>
        <w:t>t</w:t>
      </w:r>
      <w:r w:rsidR="00271836" w:rsidRPr="6B7766CA">
        <w:rPr>
          <w:rFonts w:ascii="Calibri" w:hAnsi="Calibri" w:cs="Calibri"/>
          <w:sz w:val="24"/>
          <w:szCs w:val="24"/>
        </w:rPr>
        <w:t>he</w:t>
      </w:r>
      <w:r w:rsidR="00271836" w:rsidRPr="00261C59">
        <w:rPr>
          <w:rFonts w:ascii="Calibri" w:hAnsi="Calibri" w:cs="Calibri"/>
          <w:sz w:val="24"/>
          <w:szCs w:val="24"/>
        </w:rPr>
        <w:t xml:space="preserve"> five-year total funding cap will be calculated as the sum of all the individual States’ funding cap amounts for each of the five years from 2026-27 to 2030-31 </w:t>
      </w:r>
    </w:p>
    <w:p w14:paraId="5180C8F6" w14:textId="79DD443E" w:rsidR="00271836" w:rsidRPr="00261C59" w:rsidRDefault="255153BB" w:rsidP="004728D9">
      <w:pPr>
        <w:keepNext/>
        <w:widowControl/>
        <w:numPr>
          <w:ilvl w:val="2"/>
          <w:numId w:val="54"/>
        </w:numPr>
        <w:spacing w:after="240" w:line="260" w:lineRule="exact"/>
        <w:ind w:left="1842" w:hanging="181"/>
        <w:jc w:val="left"/>
        <w:rPr>
          <w:rFonts w:ascii="Calibri" w:hAnsi="Calibri" w:cs="Calibri"/>
          <w:sz w:val="24"/>
          <w:szCs w:val="24"/>
        </w:rPr>
      </w:pPr>
      <w:r w:rsidRPr="6B7766CA">
        <w:rPr>
          <w:rFonts w:ascii="Calibri" w:hAnsi="Calibri" w:cs="Calibri"/>
          <w:sz w:val="24"/>
          <w:szCs w:val="24"/>
        </w:rPr>
        <w:t>t</w:t>
      </w:r>
      <w:r w:rsidR="00271836" w:rsidRPr="6B7766CA">
        <w:rPr>
          <w:rFonts w:ascii="Calibri" w:hAnsi="Calibri" w:cs="Calibri"/>
          <w:sz w:val="24"/>
          <w:szCs w:val="24"/>
        </w:rPr>
        <w:t>he</w:t>
      </w:r>
      <w:r w:rsidR="00271836" w:rsidRPr="00261C59">
        <w:rPr>
          <w:rFonts w:ascii="Calibri" w:hAnsi="Calibri" w:cs="Calibri"/>
          <w:sz w:val="24"/>
          <w:szCs w:val="24"/>
        </w:rPr>
        <w:t xml:space="preserve"> sum of the annual state funding cap per cent for all States over the five years equals 100 per cent </w:t>
      </w:r>
    </w:p>
    <w:p w14:paraId="54AA6653" w14:textId="77777777"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 xml:space="preserve">Step 4: Calculate the annual state-specific MFG as follows: </w:t>
      </w:r>
    </w:p>
    <w:p w14:paraId="282459A4" w14:textId="77777777" w:rsidR="00271836" w:rsidRPr="001618AD" w:rsidRDefault="00271836" w:rsidP="004728D9">
      <w:pPr>
        <w:spacing w:after="240"/>
        <w:jc w:val="left"/>
        <w:rPr>
          <w:rFonts w:ascii="Calibri" w:hAnsi="Calibri" w:cs="Calibri"/>
        </w:rPr>
      </w:pPr>
      <m:oMathPara>
        <m:oMath>
          <m:r>
            <m:rPr>
              <m:sty m:val="p"/>
            </m:rPr>
            <w:rPr>
              <w:rFonts w:ascii="Cambria Math" w:hAnsi="Cambria Math" w:cs="Calibri"/>
            </w:rPr>
            <m:t>Total national MFG 2026</m:t>
          </m:r>
          <m:r>
            <m:rPr>
              <m:sty m:val="p"/>
            </m:rPr>
            <w:rPr>
              <w:rFonts w:ascii="Cambria Math" w:hAnsi="Cambria Math" w:cs="Calibri"/>
            </w:rPr>
            <w:noBreakHyphen/>
            <m:t>27 to 2030</m:t>
          </m:r>
          <m:r>
            <m:rPr>
              <m:sty m:val="p"/>
            </m:rPr>
            <w:rPr>
              <w:rFonts w:ascii="Cambria Math" w:hAnsi="Cambria Math" w:cs="Calibri"/>
            </w:rPr>
            <w:noBreakHyphen/>
            <m:t>31 (Step 2) × Annual State funding cap % (Step 3)</m:t>
          </m:r>
        </m:oMath>
      </m:oMathPara>
    </w:p>
    <w:p w14:paraId="158FBA1A" w14:textId="3EF892C4" w:rsidR="00271836" w:rsidRPr="00261C59" w:rsidRDefault="00271836" w:rsidP="00EF51ED">
      <w:pPr>
        <w:keepLines/>
        <w:numPr>
          <w:ilvl w:val="0"/>
          <w:numId w:val="54"/>
        </w:numPr>
        <w:spacing w:after="240" w:line="260" w:lineRule="exact"/>
        <w:jc w:val="left"/>
        <w:rPr>
          <w:rFonts w:ascii="Calibri" w:hAnsi="Calibri"/>
          <w:sz w:val="24"/>
        </w:rPr>
      </w:pPr>
      <w:r w:rsidRPr="00261C59">
        <w:rPr>
          <w:rFonts w:ascii="Calibri" w:hAnsi="Calibri" w:cs="Calibri"/>
          <w:sz w:val="24"/>
          <w:szCs w:val="24"/>
          <w:lang w:val="en-GB"/>
        </w:rPr>
        <w:t xml:space="preserve">As part of the annual reconciliation process, if the final NHR funding entitlement for a State is less than that State’s MFG entitlement for that same year, the Commonwealth will pay the difference between these amounts </w:t>
      </w:r>
      <w:r w:rsidRPr="00261C59">
        <w:rPr>
          <w:rFonts w:ascii="Calibri" w:hAnsi="Calibri"/>
          <w:sz w:val="24"/>
          <w:szCs w:val="24"/>
          <w:lang w:val="en-GB"/>
        </w:rPr>
        <w:t xml:space="preserve">in </w:t>
      </w:r>
      <w:r w:rsidRPr="00261C59">
        <w:rPr>
          <w:rFonts w:ascii="Calibri" w:hAnsi="Calibri" w:cs="Calibri"/>
          <w:sz w:val="24"/>
          <w:szCs w:val="24"/>
          <w:lang w:val="en-GB"/>
        </w:rPr>
        <w:t xml:space="preserve">the next feasible financial year </w:t>
      </w:r>
      <w:r w:rsidR="00DE1CBC" w:rsidRPr="00261C59">
        <w:rPr>
          <w:rFonts w:ascii="Calibri" w:hAnsi="Calibri" w:cs="Calibri"/>
          <w:sz w:val="24"/>
          <w:szCs w:val="24"/>
          <w:lang w:val="en-GB"/>
        </w:rPr>
        <w:br/>
      </w:r>
      <w:r w:rsidRPr="00261C59">
        <w:rPr>
          <w:rFonts w:ascii="Calibri" w:hAnsi="Calibri" w:cs="Calibri"/>
          <w:sz w:val="24"/>
          <w:szCs w:val="24"/>
          <w:lang w:val="en-GB"/>
        </w:rPr>
        <w:t>(clause A</w:t>
      </w:r>
      <w:r w:rsidR="001570CA" w:rsidRPr="00261C59">
        <w:rPr>
          <w:rFonts w:ascii="Calibri" w:hAnsi="Calibri" w:cs="Calibri"/>
          <w:sz w:val="24"/>
          <w:szCs w:val="24"/>
          <w:lang w:val="en-GB"/>
        </w:rPr>
        <w:t>114</w:t>
      </w:r>
      <w:r w:rsidRPr="00261C59">
        <w:rPr>
          <w:rFonts w:ascii="Calibri" w:hAnsi="Calibri" w:cs="Calibri"/>
          <w:sz w:val="24"/>
          <w:szCs w:val="24"/>
          <w:lang w:val="en-GB"/>
        </w:rPr>
        <w:t xml:space="preserve"> refers).</w:t>
      </w:r>
    </w:p>
    <w:p w14:paraId="65F9D92E" w14:textId="77777777" w:rsidR="00271836" w:rsidRPr="00261C59" w:rsidRDefault="00271836" w:rsidP="005460E8">
      <w:pPr>
        <w:pStyle w:val="Heading2"/>
        <w:widowControl/>
        <w:adjustRightInd/>
        <w:spacing w:before="180" w:after="120"/>
        <w:jc w:val="left"/>
        <w:textAlignment w:val="auto"/>
        <w:rPr>
          <w:rFonts w:ascii="Corbel" w:hAnsi="Corbel" w:cs="Arial"/>
          <w:b w:val="0"/>
          <w:bCs w:val="0"/>
          <w:iCs/>
          <w:color w:val="3D4B67"/>
          <w:sz w:val="28"/>
          <w:szCs w:val="28"/>
        </w:rPr>
      </w:pPr>
      <w:bookmarkStart w:id="179" w:name="_Toc168579006"/>
      <w:bookmarkStart w:id="180" w:name="_Toc171350356"/>
      <w:bookmarkStart w:id="181" w:name="_Toc172210238"/>
      <w:bookmarkStart w:id="182" w:name="_Toc172787688"/>
      <w:bookmarkStart w:id="183" w:name="_Toc173937704"/>
      <w:bookmarkStart w:id="184" w:name="_Toc183183303"/>
      <w:bookmarkStart w:id="185" w:name="_Toc201673961"/>
      <w:bookmarkStart w:id="186" w:name="_Toc210833594"/>
      <w:bookmarkStart w:id="187" w:name="_Toc214456494"/>
      <w:bookmarkStart w:id="188" w:name="_Toc221087972"/>
      <w:bookmarkEnd w:id="168"/>
      <w:bookmarkEnd w:id="169"/>
      <w:bookmarkEnd w:id="170"/>
      <w:bookmarkEnd w:id="171"/>
      <w:bookmarkEnd w:id="172"/>
      <w:bookmarkEnd w:id="173"/>
      <w:r w:rsidRPr="00261C59">
        <w:rPr>
          <w:rFonts w:ascii="Corbel" w:eastAsia="Times New Roman" w:hAnsi="Corbel" w:cs="Arial"/>
          <w:color w:val="3D4B67"/>
          <w:sz w:val="28"/>
          <w:szCs w:val="28"/>
        </w:rPr>
        <w:lastRenderedPageBreak/>
        <w:t xml:space="preserve">Part 2 – </w:t>
      </w:r>
      <w:bookmarkEnd w:id="179"/>
      <w:bookmarkEnd w:id="180"/>
      <w:bookmarkEnd w:id="181"/>
      <w:bookmarkEnd w:id="182"/>
      <w:bookmarkEnd w:id="183"/>
      <w:r w:rsidRPr="00261C59">
        <w:rPr>
          <w:rFonts w:ascii="Corbel" w:eastAsia="Times New Roman" w:hAnsi="Corbel" w:cs="Arial"/>
          <w:color w:val="3D4B67"/>
          <w:sz w:val="28"/>
          <w:szCs w:val="28"/>
        </w:rPr>
        <w:t>The National Pricing Model</w:t>
      </w:r>
      <w:bookmarkEnd w:id="184"/>
      <w:bookmarkEnd w:id="185"/>
      <w:bookmarkEnd w:id="186"/>
      <w:bookmarkEnd w:id="187"/>
      <w:bookmarkEnd w:id="188"/>
    </w:p>
    <w:p w14:paraId="3D0DB318" w14:textId="77777777" w:rsidR="00271836" w:rsidRPr="00261C59" w:rsidRDefault="00271836" w:rsidP="008A4D75">
      <w:pPr>
        <w:keepLines/>
        <w:numPr>
          <w:ilvl w:val="0"/>
          <w:numId w:val="54"/>
        </w:numPr>
        <w:spacing w:after="240" w:line="260" w:lineRule="exact"/>
        <w:jc w:val="left"/>
        <w:rPr>
          <w:rFonts w:ascii="Calibri" w:hAnsi="Calibri"/>
          <w:sz w:val="24"/>
        </w:rPr>
      </w:pPr>
      <w:bookmarkStart w:id="189" w:name="_Toc531357130"/>
      <w:bookmarkStart w:id="190" w:name="_Toc165886226"/>
      <w:bookmarkStart w:id="191" w:name="_Toc167133814"/>
      <w:bookmarkStart w:id="192" w:name="_Toc168579007"/>
      <w:r w:rsidRPr="00261C59">
        <w:rPr>
          <w:rFonts w:ascii="Calibri" w:hAnsi="Calibri"/>
          <w:sz w:val="24"/>
          <w:szCs w:val="24"/>
        </w:rPr>
        <w:t xml:space="preserve">The IHACPA has determinative authority under the </w:t>
      </w:r>
      <w:r w:rsidRPr="00261C59">
        <w:rPr>
          <w:rFonts w:ascii="Calibri" w:hAnsi="Calibri"/>
          <w:i/>
          <w:iCs/>
          <w:sz w:val="24"/>
          <w:szCs w:val="24"/>
        </w:rPr>
        <w:t>National Health Reform Act 2011</w:t>
      </w:r>
      <w:r w:rsidRPr="00261C59">
        <w:rPr>
          <w:rFonts w:ascii="Calibri" w:hAnsi="Calibri"/>
          <w:sz w:val="24"/>
          <w:szCs w:val="24"/>
        </w:rPr>
        <w:t xml:space="preserve"> to develop and specify classification systems through which public hospital and health services are to be priced, costed and funded under this Addendum. I</w:t>
      </w:r>
      <w:r w:rsidRPr="00261C59">
        <w:rPr>
          <w:rFonts w:ascii="Calibri" w:hAnsi="Calibri"/>
          <w:sz w:val="24"/>
        </w:rPr>
        <w:t>n doing so, the IHACPA will have regard to the requirements set out in this Part, and Schedule D and Schedule I where relevant.</w:t>
      </w:r>
    </w:p>
    <w:p w14:paraId="519C8373"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In line with clause </w:t>
      </w:r>
      <w:r w:rsidRPr="00261C59">
        <w:rPr>
          <w:rFonts w:ascii="Calibri" w:hAnsi="Calibri"/>
          <w:sz w:val="24"/>
        </w:rPr>
        <w:t>A9</w:t>
      </w:r>
      <w:r w:rsidRPr="00261C59">
        <w:rPr>
          <w:rFonts w:ascii="Calibri" w:hAnsi="Calibri"/>
          <w:sz w:val="24"/>
          <w:szCs w:val="24"/>
        </w:rPr>
        <w:t>, the IHACPA’s role in developing and specifying classification systems will follow the principles and criteria of the Funding Models Framework once agreed by HCEF.</w:t>
      </w:r>
    </w:p>
    <w:p w14:paraId="7C6BA38C" w14:textId="77777777" w:rsidR="00271836" w:rsidRPr="00261C59" w:rsidRDefault="00271836" w:rsidP="1476B102">
      <w:pPr>
        <w:jc w:val="left"/>
        <w:outlineLvl w:val="2"/>
        <w:rPr>
          <w:rFonts w:ascii="Corbel" w:hAnsi="Corbel"/>
          <w:color w:val="3D4B67"/>
          <w:sz w:val="28"/>
          <w:szCs w:val="28"/>
          <w:lang w:eastAsia="ja-JP"/>
        </w:rPr>
      </w:pPr>
      <w:bookmarkStart w:id="193" w:name="_Toc171350357"/>
      <w:bookmarkStart w:id="194" w:name="_Toc172210239"/>
      <w:bookmarkStart w:id="195" w:name="_Toc172787689"/>
      <w:bookmarkStart w:id="196" w:name="_Toc173937705"/>
      <w:bookmarkStart w:id="197" w:name="_Toc183183304"/>
      <w:bookmarkStart w:id="198" w:name="_Toc201673962"/>
      <w:bookmarkStart w:id="199" w:name="_Toc210833595"/>
      <w:bookmarkStart w:id="200" w:name="_Toc214456495"/>
      <w:bookmarkStart w:id="201" w:name="_Toc221087973"/>
      <w:r w:rsidRPr="00261C59">
        <w:rPr>
          <w:rFonts w:ascii="Corbel" w:hAnsi="Corbel"/>
          <w:color w:val="3D4B67"/>
          <w:sz w:val="28"/>
          <w:szCs w:val="28"/>
          <w:lang w:eastAsia="ja-JP"/>
        </w:rPr>
        <w:t>Activity Based Funding - Principles for determining the National Efficient Price</w:t>
      </w:r>
      <w:bookmarkEnd w:id="189"/>
      <w:bookmarkEnd w:id="190"/>
      <w:bookmarkEnd w:id="191"/>
      <w:bookmarkEnd w:id="192"/>
      <w:bookmarkEnd w:id="193"/>
      <w:bookmarkEnd w:id="194"/>
      <w:bookmarkEnd w:id="195"/>
      <w:bookmarkEnd w:id="196"/>
      <w:bookmarkEnd w:id="197"/>
      <w:bookmarkEnd w:id="198"/>
      <w:bookmarkEnd w:id="199"/>
      <w:bookmarkEnd w:id="200"/>
      <w:bookmarkEnd w:id="201"/>
    </w:p>
    <w:p w14:paraId="486E2AB8" w14:textId="0B0DF9B6" w:rsidR="00271836" w:rsidRPr="00261C59" w:rsidRDefault="00271836" w:rsidP="004728D9">
      <w:pPr>
        <w:keepNext/>
        <w:numPr>
          <w:ilvl w:val="0"/>
          <w:numId w:val="54"/>
        </w:numPr>
        <w:spacing w:after="240" w:line="260" w:lineRule="exact"/>
        <w:jc w:val="left"/>
        <w:rPr>
          <w:rFonts w:ascii="Calibri" w:hAnsi="Calibri"/>
          <w:sz w:val="24"/>
        </w:rPr>
      </w:pPr>
      <w:r w:rsidRPr="00261C59">
        <w:rPr>
          <w:rFonts w:ascii="Calibri" w:hAnsi="Calibri"/>
          <w:sz w:val="24"/>
          <w:szCs w:val="24"/>
        </w:rPr>
        <w:t>The role of the National Efficient Price</w:t>
      </w:r>
      <w:r w:rsidR="00F54298" w:rsidRPr="00261C59">
        <w:rPr>
          <w:rFonts w:ascii="Calibri" w:hAnsi="Calibri"/>
          <w:sz w:val="24"/>
          <w:szCs w:val="24"/>
        </w:rPr>
        <w:t xml:space="preserve"> (NEP)</w:t>
      </w:r>
      <w:r w:rsidRPr="00261C59">
        <w:rPr>
          <w:rFonts w:ascii="Calibri" w:hAnsi="Calibri"/>
          <w:sz w:val="24"/>
          <w:szCs w:val="24"/>
        </w:rPr>
        <w:t xml:space="preserve"> is to:</w:t>
      </w:r>
    </w:p>
    <w:p w14:paraId="4569AE3C" w14:textId="4B031757" w:rsidR="00271836" w:rsidRPr="00261C59" w:rsidRDefault="00271836" w:rsidP="004728D9">
      <w:pPr>
        <w:widowControl/>
        <w:numPr>
          <w:ilvl w:val="1"/>
          <w:numId w:val="267"/>
        </w:numPr>
        <w:adjustRightInd/>
        <w:spacing w:before="0" w:after="240" w:line="260" w:lineRule="exact"/>
        <w:jc w:val="left"/>
        <w:textAlignment w:val="auto"/>
        <w:rPr>
          <w:rFonts w:ascii="Calibri" w:hAnsi="Calibri" w:cs="Calibri"/>
          <w:sz w:val="24"/>
          <w:szCs w:val="24"/>
        </w:rPr>
      </w:pPr>
      <w:r w:rsidRPr="00261C59">
        <w:rPr>
          <w:rFonts w:ascii="Calibri" w:hAnsi="Calibri" w:cs="Calibri"/>
          <w:sz w:val="24"/>
          <w:szCs w:val="24"/>
        </w:rPr>
        <w:t xml:space="preserve">form the basis for calculating the Commonwealth’s funding contribution  </w:t>
      </w:r>
    </w:p>
    <w:p w14:paraId="024E0207" w14:textId="77777777" w:rsidR="00271836" w:rsidRPr="00261C59" w:rsidRDefault="00271836" w:rsidP="004728D9">
      <w:pPr>
        <w:widowControl/>
        <w:numPr>
          <w:ilvl w:val="1"/>
          <w:numId w:val="267"/>
        </w:numPr>
        <w:adjustRightInd/>
        <w:spacing w:before="0" w:after="240" w:line="260" w:lineRule="exact"/>
        <w:jc w:val="left"/>
        <w:textAlignment w:val="auto"/>
        <w:rPr>
          <w:rFonts w:ascii="Calibri" w:hAnsi="Calibri" w:cs="Calibri"/>
          <w:sz w:val="24"/>
          <w:szCs w:val="24"/>
        </w:rPr>
      </w:pPr>
      <w:r w:rsidRPr="00261C59">
        <w:rPr>
          <w:rFonts w:ascii="Calibri" w:hAnsi="Calibri" w:cs="Calibri"/>
          <w:sz w:val="24"/>
          <w:szCs w:val="24"/>
        </w:rPr>
        <w:t>provide a relevant price signal to States and Local Hospital Networks (LHNs) that will improve patient access to services, public hospital and health service efficiency, funding effectiveness, and quality and safety.</w:t>
      </w:r>
    </w:p>
    <w:p w14:paraId="05B06BF0" w14:textId="2655DB62" w:rsidR="00271836" w:rsidRPr="00261C59" w:rsidRDefault="00271836" w:rsidP="004728D9">
      <w:pPr>
        <w:keepNext/>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In determining the </w:t>
      </w:r>
      <w:r w:rsidR="00F54298" w:rsidRPr="00261C59">
        <w:rPr>
          <w:rFonts w:ascii="Calibri" w:hAnsi="Calibri"/>
          <w:sz w:val="24"/>
          <w:szCs w:val="24"/>
        </w:rPr>
        <w:t>NEP</w:t>
      </w:r>
      <w:r w:rsidRPr="00261C59">
        <w:rPr>
          <w:rFonts w:ascii="Calibri" w:hAnsi="Calibri"/>
          <w:sz w:val="24"/>
          <w:szCs w:val="24"/>
        </w:rPr>
        <w:t>, the IHACPA must:</w:t>
      </w:r>
    </w:p>
    <w:p w14:paraId="5C297BCD" w14:textId="51138422" w:rsidR="00271836" w:rsidRPr="00261C59" w:rsidRDefault="00271836" w:rsidP="004728D9">
      <w:pPr>
        <w:widowControl/>
        <w:numPr>
          <w:ilvl w:val="1"/>
          <w:numId w:val="268"/>
        </w:numPr>
        <w:adjustRightInd/>
        <w:spacing w:before="0" w:after="240" w:line="260" w:lineRule="exact"/>
        <w:jc w:val="left"/>
        <w:textAlignment w:val="auto"/>
        <w:rPr>
          <w:rFonts w:ascii="Calibri" w:hAnsi="Calibri"/>
          <w:sz w:val="24"/>
          <w:szCs w:val="24"/>
        </w:rPr>
      </w:pPr>
      <w:r w:rsidRPr="799C9E89">
        <w:rPr>
          <w:rFonts w:ascii="Calibri" w:hAnsi="Calibri"/>
          <w:sz w:val="24"/>
          <w:szCs w:val="24"/>
        </w:rPr>
        <w:t xml:space="preserve">have regard to ensuring reasonable access to </w:t>
      </w:r>
      <w:r w:rsidRPr="00261C59">
        <w:rPr>
          <w:rFonts w:ascii="Calibri" w:hAnsi="Calibri"/>
          <w:sz w:val="24"/>
          <w:szCs w:val="24"/>
        </w:rPr>
        <w:t>public hospital and health services</w:t>
      </w:r>
      <w:r w:rsidRPr="799C9E89">
        <w:rPr>
          <w:rFonts w:ascii="Calibri" w:hAnsi="Calibri"/>
          <w:sz w:val="24"/>
          <w:szCs w:val="24"/>
        </w:rPr>
        <w:t>, clinical safety and quality, efficiency and effectiveness and financial sustainability of the public hospital system</w:t>
      </w:r>
    </w:p>
    <w:p w14:paraId="3E7F5F59" w14:textId="70FB5A12" w:rsidR="00271836" w:rsidRPr="00261C59" w:rsidRDefault="00271836" w:rsidP="004728D9">
      <w:pPr>
        <w:widowControl/>
        <w:numPr>
          <w:ilvl w:val="1"/>
          <w:numId w:val="268"/>
        </w:numPr>
        <w:adjustRightInd/>
        <w:spacing w:before="0" w:after="240" w:line="260" w:lineRule="exact"/>
        <w:jc w:val="left"/>
        <w:textAlignment w:val="auto"/>
        <w:rPr>
          <w:rFonts w:ascii="Calibri" w:hAnsi="Calibri"/>
          <w:sz w:val="24"/>
          <w:szCs w:val="24"/>
        </w:rPr>
      </w:pPr>
      <w:r w:rsidRPr="799C9E89">
        <w:rPr>
          <w:rFonts w:ascii="Calibri" w:hAnsi="Calibri"/>
          <w:sz w:val="24"/>
          <w:szCs w:val="24"/>
        </w:rPr>
        <w:t>consider value for patients and the system</w:t>
      </w:r>
    </w:p>
    <w:p w14:paraId="3779BBDD" w14:textId="0D736B07" w:rsidR="00271836" w:rsidRPr="00261C59" w:rsidRDefault="00271836" w:rsidP="004728D9">
      <w:pPr>
        <w:widowControl/>
        <w:numPr>
          <w:ilvl w:val="1"/>
          <w:numId w:val="268"/>
        </w:numPr>
        <w:adjustRightInd/>
        <w:spacing w:before="0" w:after="240" w:line="260" w:lineRule="exact"/>
        <w:jc w:val="left"/>
        <w:textAlignment w:val="auto"/>
        <w:rPr>
          <w:rFonts w:ascii="Calibri" w:hAnsi="Calibri"/>
          <w:sz w:val="24"/>
          <w:szCs w:val="24"/>
        </w:rPr>
      </w:pPr>
      <w:r w:rsidRPr="00261C59">
        <w:rPr>
          <w:rFonts w:ascii="Calibri" w:hAnsi="Calibri"/>
          <w:sz w:val="24"/>
          <w:szCs w:val="24"/>
        </w:rPr>
        <w:t>consider the actual cost of delivery of public hospital and health services in as wide a range of hospitals as practicable</w:t>
      </w:r>
    </w:p>
    <w:p w14:paraId="5428E1A7" w14:textId="0D2232D5" w:rsidR="00271836" w:rsidRPr="00261C59" w:rsidRDefault="00271836" w:rsidP="004728D9">
      <w:pPr>
        <w:widowControl/>
        <w:numPr>
          <w:ilvl w:val="1"/>
          <w:numId w:val="268"/>
        </w:numPr>
        <w:adjustRightInd/>
        <w:spacing w:before="0" w:after="240" w:line="260" w:lineRule="exact"/>
        <w:jc w:val="left"/>
        <w:textAlignment w:val="auto"/>
        <w:rPr>
          <w:rFonts w:ascii="Calibri" w:hAnsi="Calibri"/>
          <w:sz w:val="24"/>
          <w:szCs w:val="24"/>
        </w:rPr>
      </w:pPr>
      <w:r w:rsidRPr="799C9E89">
        <w:rPr>
          <w:rFonts w:ascii="Calibri" w:hAnsi="Calibri"/>
          <w:sz w:val="24"/>
          <w:szCs w:val="24"/>
        </w:rPr>
        <w:t xml:space="preserve">consider the </w:t>
      </w:r>
      <w:r w:rsidRPr="00261C59">
        <w:rPr>
          <w:rFonts w:ascii="Calibri" w:hAnsi="Calibri" w:cs="Calibri"/>
          <w:sz w:val="24"/>
          <w:szCs w:val="24"/>
        </w:rPr>
        <w:t>actual and expected</w:t>
      </w:r>
      <w:r w:rsidRPr="799C9E89">
        <w:rPr>
          <w:rFonts w:ascii="Calibri" w:hAnsi="Calibri"/>
          <w:sz w:val="24"/>
          <w:szCs w:val="24"/>
        </w:rPr>
        <w:t xml:space="preserve"> changes in costs from year to year when making projections</w:t>
      </w:r>
    </w:p>
    <w:p w14:paraId="3F65B1BD" w14:textId="47004060" w:rsidR="00271836" w:rsidRPr="00261C59" w:rsidRDefault="00271836" w:rsidP="004728D9">
      <w:pPr>
        <w:widowControl/>
        <w:numPr>
          <w:ilvl w:val="1"/>
          <w:numId w:val="268"/>
        </w:numPr>
        <w:adjustRightInd/>
        <w:spacing w:before="0" w:after="240" w:line="260" w:lineRule="exact"/>
        <w:jc w:val="left"/>
        <w:textAlignment w:val="auto"/>
        <w:rPr>
          <w:rFonts w:ascii="Calibri" w:hAnsi="Calibri"/>
          <w:sz w:val="24"/>
          <w:szCs w:val="24"/>
        </w:rPr>
      </w:pPr>
      <w:r w:rsidRPr="799C9E89">
        <w:rPr>
          <w:rFonts w:ascii="Calibri" w:hAnsi="Calibri"/>
          <w:sz w:val="24"/>
          <w:szCs w:val="24"/>
        </w:rPr>
        <w:t>have regard to the need for continuity and predictability in prices</w:t>
      </w:r>
    </w:p>
    <w:p w14:paraId="3B6072FB" w14:textId="615ADA12" w:rsidR="00271836" w:rsidRPr="00261C59" w:rsidRDefault="00271836" w:rsidP="004728D9">
      <w:pPr>
        <w:widowControl/>
        <w:numPr>
          <w:ilvl w:val="1"/>
          <w:numId w:val="268"/>
        </w:numPr>
        <w:adjustRightInd/>
        <w:spacing w:before="0" w:after="240" w:line="260" w:lineRule="exact"/>
        <w:jc w:val="left"/>
        <w:textAlignment w:val="auto"/>
        <w:rPr>
          <w:rFonts w:ascii="Calibri" w:hAnsi="Calibri"/>
          <w:sz w:val="24"/>
          <w:szCs w:val="24"/>
        </w:rPr>
      </w:pPr>
      <w:r w:rsidRPr="00261C59">
        <w:rPr>
          <w:rFonts w:ascii="Calibri" w:hAnsi="Calibri"/>
          <w:sz w:val="24"/>
          <w:szCs w:val="24"/>
        </w:rPr>
        <w:t xml:space="preserve">have regard to any input costs funded through other Commonwealth programs, such as pharmaceuticals supplied under arrangements pursuant to section 100 of the </w:t>
      </w:r>
      <w:r w:rsidRPr="799C9E89">
        <w:rPr>
          <w:rFonts w:ascii="Calibri" w:hAnsi="Calibri"/>
          <w:i/>
          <w:sz w:val="24"/>
          <w:szCs w:val="24"/>
        </w:rPr>
        <w:t>National Health Act 1953</w:t>
      </w:r>
      <w:r w:rsidRPr="799C9E89">
        <w:rPr>
          <w:rFonts w:ascii="Calibri" w:hAnsi="Calibri"/>
          <w:sz w:val="24"/>
          <w:szCs w:val="24"/>
        </w:rPr>
        <w:t>,</w:t>
      </w:r>
      <w:r w:rsidRPr="00261C59">
        <w:rPr>
          <w:rFonts w:ascii="Calibri" w:hAnsi="Calibri"/>
          <w:sz w:val="24"/>
          <w:szCs w:val="24"/>
        </w:rPr>
        <w:t xml:space="preserve"> and magnetic resonance imaging services funded through MBS bulk-billing arrangements </w:t>
      </w:r>
    </w:p>
    <w:p w14:paraId="7E27E06B" w14:textId="35CA0D85" w:rsidR="00271836" w:rsidRPr="00261C59" w:rsidRDefault="00271836" w:rsidP="004728D9">
      <w:pPr>
        <w:widowControl/>
        <w:numPr>
          <w:ilvl w:val="1"/>
          <w:numId w:val="268"/>
        </w:numPr>
        <w:adjustRightInd/>
        <w:spacing w:before="0" w:after="240" w:line="260" w:lineRule="exact"/>
        <w:jc w:val="left"/>
        <w:textAlignment w:val="auto"/>
        <w:rPr>
          <w:rFonts w:ascii="Calibri" w:hAnsi="Calibri"/>
          <w:sz w:val="24"/>
          <w:szCs w:val="24"/>
        </w:rPr>
      </w:pPr>
      <w:r w:rsidRPr="00261C59">
        <w:rPr>
          <w:rFonts w:ascii="Calibri" w:hAnsi="Calibri"/>
          <w:sz w:val="24"/>
          <w:szCs w:val="24"/>
        </w:rPr>
        <w:t xml:space="preserve">develop methods, </w:t>
      </w:r>
      <w:r w:rsidRPr="00261C59">
        <w:rPr>
          <w:rFonts w:ascii="Calibri" w:hAnsi="Calibri" w:cs="Calibri"/>
          <w:sz w:val="24"/>
          <w:szCs w:val="24"/>
        </w:rPr>
        <w:t>including sampling,</w:t>
      </w:r>
      <w:r w:rsidRPr="799C9E89">
        <w:rPr>
          <w:rFonts w:ascii="Calibri" w:hAnsi="Calibri"/>
          <w:sz w:val="24"/>
          <w:szCs w:val="24"/>
        </w:rPr>
        <w:t xml:space="preserve"> </w:t>
      </w:r>
      <w:r w:rsidRPr="00261C59">
        <w:rPr>
          <w:rFonts w:ascii="Calibri" w:hAnsi="Calibri"/>
          <w:sz w:val="24"/>
          <w:szCs w:val="24"/>
        </w:rPr>
        <w:t xml:space="preserve">which allow consideration of reasonable and likely growth in cost inputs, so that the </w:t>
      </w:r>
      <w:r w:rsidR="00F54298" w:rsidRPr="00261C59">
        <w:rPr>
          <w:rFonts w:ascii="Calibri" w:hAnsi="Calibri"/>
          <w:sz w:val="24"/>
          <w:szCs w:val="24"/>
        </w:rPr>
        <w:t>NEP</w:t>
      </w:r>
      <w:r w:rsidRPr="00261C59">
        <w:rPr>
          <w:rFonts w:ascii="Calibri" w:hAnsi="Calibri"/>
          <w:sz w:val="24"/>
          <w:szCs w:val="24"/>
        </w:rPr>
        <w:t xml:space="preserve"> can be projected into the future in a predictable and transparent manner</w:t>
      </w:r>
    </w:p>
    <w:p w14:paraId="5AD975E3" w14:textId="77777777" w:rsidR="00271836" w:rsidRPr="00261C59" w:rsidRDefault="00271836" w:rsidP="004728D9">
      <w:pPr>
        <w:widowControl/>
        <w:numPr>
          <w:ilvl w:val="1"/>
          <w:numId w:val="268"/>
        </w:numPr>
        <w:adjustRightInd/>
        <w:spacing w:before="0" w:after="240" w:line="260" w:lineRule="exact"/>
        <w:jc w:val="left"/>
        <w:textAlignment w:val="auto"/>
        <w:rPr>
          <w:rFonts w:ascii="Calibri" w:hAnsi="Calibri"/>
          <w:sz w:val="24"/>
        </w:rPr>
      </w:pPr>
      <w:r w:rsidRPr="00261C59" w:rsidDel="00C139D5">
        <w:rPr>
          <w:rFonts w:ascii="Calibri" w:hAnsi="Calibri"/>
          <w:sz w:val="24"/>
        </w:rPr>
        <w:t xml:space="preserve">ensure </w:t>
      </w:r>
      <w:r w:rsidRPr="00261C59">
        <w:rPr>
          <w:rFonts w:ascii="Calibri" w:hAnsi="Calibri"/>
          <w:sz w:val="24"/>
        </w:rPr>
        <w:t xml:space="preserve">that movements in weights, adjustments, and price from one year to another do not result in unintended volatility in NHR funding. </w:t>
      </w:r>
    </w:p>
    <w:p w14:paraId="638C599C" w14:textId="6AB7C24A" w:rsidR="00271836" w:rsidRPr="00261C59" w:rsidRDefault="00271836" w:rsidP="007F61B8">
      <w:pPr>
        <w:keepLines/>
        <w:widowControl/>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In determining adjustments to the </w:t>
      </w:r>
      <w:r w:rsidR="00F54298" w:rsidRPr="00261C59">
        <w:rPr>
          <w:rFonts w:ascii="Calibri" w:hAnsi="Calibri"/>
          <w:sz w:val="24"/>
          <w:szCs w:val="24"/>
        </w:rPr>
        <w:t>NEP</w:t>
      </w:r>
      <w:r w:rsidRPr="00261C59">
        <w:rPr>
          <w:rFonts w:ascii="Calibri" w:hAnsi="Calibri"/>
          <w:sz w:val="24"/>
          <w:szCs w:val="24"/>
        </w:rPr>
        <w:t>, the IHACPA must have regard to evidence of legitimate and unavoidable variations in wage costs and other inputs that affect the costs of service delivery, including:</w:t>
      </w:r>
    </w:p>
    <w:p w14:paraId="1A568ED7" w14:textId="054CBE08" w:rsidR="00271836" w:rsidRPr="00261C59" w:rsidRDefault="00271836" w:rsidP="004728D9">
      <w:pPr>
        <w:numPr>
          <w:ilvl w:val="1"/>
          <w:numId w:val="54"/>
        </w:numPr>
        <w:spacing w:after="240" w:line="260" w:lineRule="exact"/>
        <w:jc w:val="left"/>
        <w:rPr>
          <w:rFonts w:ascii="Calibri" w:hAnsi="Calibri"/>
          <w:sz w:val="24"/>
          <w:szCs w:val="24"/>
          <w:lang w:val="en-GB"/>
        </w:rPr>
      </w:pPr>
      <w:r w:rsidRPr="2785307F">
        <w:rPr>
          <w:rFonts w:ascii="Calibri" w:hAnsi="Calibri"/>
          <w:sz w:val="24"/>
          <w:szCs w:val="24"/>
          <w:lang w:val="en-GB"/>
        </w:rPr>
        <w:t>hospital type and size</w:t>
      </w:r>
    </w:p>
    <w:p w14:paraId="05B2876E" w14:textId="7C8F151A" w:rsidR="00271836" w:rsidRPr="00261C59" w:rsidRDefault="00271836" w:rsidP="004728D9">
      <w:pPr>
        <w:numPr>
          <w:ilvl w:val="1"/>
          <w:numId w:val="54"/>
        </w:numPr>
        <w:spacing w:after="240" w:line="260" w:lineRule="exact"/>
        <w:jc w:val="left"/>
        <w:rPr>
          <w:rFonts w:ascii="Calibri" w:hAnsi="Calibri"/>
          <w:sz w:val="24"/>
          <w:szCs w:val="24"/>
          <w:lang w:val="en-GB"/>
        </w:rPr>
      </w:pPr>
      <w:r w:rsidRPr="2785307F">
        <w:rPr>
          <w:rFonts w:ascii="Calibri" w:hAnsi="Calibri"/>
          <w:sz w:val="24"/>
          <w:szCs w:val="24"/>
          <w:lang w:val="en-GB"/>
        </w:rPr>
        <w:lastRenderedPageBreak/>
        <w:t>hospital location, including remoteness</w:t>
      </w:r>
    </w:p>
    <w:p w14:paraId="2D0238B7" w14:textId="656C60B0" w:rsidR="00271836" w:rsidRPr="00261C59" w:rsidRDefault="00271836" w:rsidP="004728D9">
      <w:pPr>
        <w:numPr>
          <w:ilvl w:val="1"/>
          <w:numId w:val="54"/>
        </w:numPr>
        <w:spacing w:after="240" w:line="260" w:lineRule="exact"/>
        <w:jc w:val="left"/>
        <w:rPr>
          <w:rFonts w:ascii="Calibri" w:hAnsi="Calibri"/>
          <w:sz w:val="24"/>
          <w:szCs w:val="24"/>
          <w:lang w:val="en-GB"/>
        </w:rPr>
      </w:pPr>
      <w:r w:rsidRPr="5446DE37">
        <w:rPr>
          <w:rFonts w:ascii="Calibri" w:hAnsi="Calibri"/>
          <w:sz w:val="24"/>
          <w:szCs w:val="24"/>
          <w:lang w:val="en-GB"/>
        </w:rPr>
        <w:t>patient complexity</w:t>
      </w:r>
    </w:p>
    <w:p w14:paraId="49468F55" w14:textId="4AC80FB5" w:rsidR="00271836" w:rsidRPr="00261C59" w:rsidRDefault="00271836" w:rsidP="004728D9">
      <w:pPr>
        <w:numPr>
          <w:ilvl w:val="1"/>
          <w:numId w:val="54"/>
        </w:numPr>
        <w:spacing w:after="240" w:line="260" w:lineRule="exact"/>
        <w:jc w:val="left"/>
        <w:rPr>
          <w:rFonts w:ascii="Calibri" w:hAnsi="Calibri"/>
          <w:sz w:val="24"/>
          <w:szCs w:val="24"/>
          <w:lang w:val="en-GB"/>
        </w:rPr>
      </w:pPr>
      <w:r w:rsidRPr="5446DE37">
        <w:rPr>
          <w:rFonts w:ascii="Calibri" w:hAnsi="Calibri"/>
          <w:sz w:val="24"/>
          <w:szCs w:val="24"/>
          <w:lang w:val="en-GB"/>
        </w:rPr>
        <w:t xml:space="preserve">Indigenous status, noting the review at clause </w:t>
      </w:r>
      <w:r w:rsidRPr="00261C59">
        <w:rPr>
          <w:rFonts w:ascii="Calibri" w:hAnsi="Calibri"/>
          <w:sz w:val="24"/>
          <w:szCs w:val="24"/>
          <w:lang w:val="en-GB"/>
        </w:rPr>
        <w:t>A</w:t>
      </w:r>
      <w:r w:rsidR="00E2036B" w:rsidRPr="00261C59">
        <w:rPr>
          <w:rFonts w:ascii="Calibri" w:hAnsi="Calibri"/>
          <w:sz w:val="24"/>
          <w:szCs w:val="24"/>
          <w:lang w:val="en-GB"/>
        </w:rPr>
        <w:t>6</w:t>
      </w:r>
      <w:r w:rsidRPr="00261C59">
        <w:rPr>
          <w:rFonts w:ascii="Calibri" w:hAnsi="Calibri"/>
          <w:sz w:val="24"/>
          <w:szCs w:val="24"/>
          <w:lang w:val="en-GB"/>
        </w:rPr>
        <w:t>4</w:t>
      </w:r>
    </w:p>
    <w:p w14:paraId="32F59B54" w14:textId="1529067B" w:rsidR="00271836" w:rsidRPr="00261C59" w:rsidRDefault="00271836" w:rsidP="004728D9">
      <w:pPr>
        <w:numPr>
          <w:ilvl w:val="1"/>
          <w:numId w:val="54"/>
        </w:numPr>
        <w:spacing w:after="240" w:line="260" w:lineRule="exact"/>
        <w:jc w:val="left"/>
        <w:rPr>
          <w:rFonts w:ascii="Calibri" w:hAnsi="Calibri"/>
          <w:sz w:val="24"/>
          <w:lang w:val="en-GB"/>
        </w:rPr>
      </w:pPr>
      <w:r w:rsidRPr="00261C59">
        <w:rPr>
          <w:rFonts w:ascii="Calibri" w:hAnsi="Calibri"/>
          <w:sz w:val="24"/>
          <w:lang w:val="en-GB"/>
        </w:rPr>
        <w:t>small</w:t>
      </w:r>
      <w:r w:rsidR="002F68D9">
        <w:rPr>
          <w:rFonts w:ascii="Calibri" w:hAnsi="Calibri"/>
          <w:sz w:val="24"/>
          <w:lang w:val="en-GB"/>
        </w:rPr>
        <w:t>er</w:t>
      </w:r>
      <w:r w:rsidRPr="00261C59">
        <w:rPr>
          <w:rFonts w:ascii="Calibri" w:hAnsi="Calibri"/>
          <w:sz w:val="24"/>
          <w:lang w:val="en-GB"/>
        </w:rPr>
        <w:t xml:space="preserve"> </w:t>
      </w:r>
      <w:r w:rsidR="002F68D9">
        <w:rPr>
          <w:rFonts w:ascii="Calibri" w:hAnsi="Calibri"/>
          <w:sz w:val="24"/>
          <w:lang w:val="en-GB"/>
        </w:rPr>
        <w:t>jurisdictions</w:t>
      </w:r>
      <w:r w:rsidRPr="00261C59">
        <w:rPr>
          <w:rFonts w:ascii="Calibri" w:hAnsi="Calibri"/>
          <w:sz w:val="24"/>
          <w:lang w:val="en-GB"/>
        </w:rPr>
        <w:t xml:space="preserve">, noting the review at clause </w:t>
      </w:r>
      <w:r w:rsidRPr="00261C59">
        <w:rPr>
          <w:rFonts w:ascii="Calibri" w:hAnsi="Calibri"/>
          <w:sz w:val="24"/>
          <w:szCs w:val="24"/>
          <w:lang w:val="en-GB"/>
        </w:rPr>
        <w:t>A</w:t>
      </w:r>
      <w:r w:rsidR="00E2036B" w:rsidRPr="00261C59">
        <w:rPr>
          <w:rFonts w:ascii="Calibri" w:hAnsi="Calibri"/>
          <w:sz w:val="24"/>
          <w:szCs w:val="24"/>
          <w:lang w:val="en-GB"/>
        </w:rPr>
        <w:t>6</w:t>
      </w:r>
      <w:r w:rsidRPr="00261C59">
        <w:rPr>
          <w:rFonts w:ascii="Calibri" w:hAnsi="Calibri"/>
          <w:sz w:val="24"/>
          <w:szCs w:val="24"/>
          <w:lang w:val="en-GB"/>
        </w:rPr>
        <w:t>4</w:t>
      </w:r>
      <w:r w:rsidRPr="00261C59">
        <w:rPr>
          <w:rFonts w:ascii="Calibri" w:hAnsi="Calibri"/>
          <w:sz w:val="24"/>
          <w:lang w:val="en-GB"/>
        </w:rPr>
        <w:t xml:space="preserve">. </w:t>
      </w:r>
    </w:p>
    <w:p w14:paraId="1354AB21" w14:textId="245A3A8B" w:rsidR="00271836" w:rsidRPr="00261C59" w:rsidRDefault="00271836" w:rsidP="004728D9">
      <w:pPr>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In determining the </w:t>
      </w:r>
      <w:r w:rsidR="00F54298" w:rsidRPr="00261C59">
        <w:rPr>
          <w:rFonts w:ascii="Calibri" w:hAnsi="Calibri"/>
          <w:sz w:val="24"/>
          <w:szCs w:val="24"/>
          <w:lang w:val="en-GB"/>
        </w:rPr>
        <w:t>NEP</w:t>
      </w:r>
      <w:r w:rsidRPr="00261C59">
        <w:rPr>
          <w:rFonts w:ascii="Calibri" w:hAnsi="Calibri"/>
          <w:sz w:val="24"/>
          <w:szCs w:val="24"/>
          <w:lang w:val="en-GB"/>
        </w:rPr>
        <w:t>, IHACPA must also have regard to developing and maintaining specific adjustments and considerations to incentivise improvements in safety, quality, and value. This is to be done in close consultation with the ACSQHC and the Parties. These adjustments and considerations should include, but not be limited to:</w:t>
      </w:r>
    </w:p>
    <w:p w14:paraId="3235BAA6" w14:textId="35F70991" w:rsidR="00271836" w:rsidRPr="00261C59" w:rsidRDefault="110CA63A" w:rsidP="004728D9">
      <w:pPr>
        <w:keepNext/>
        <w:numPr>
          <w:ilvl w:val="1"/>
          <w:numId w:val="54"/>
        </w:numPr>
        <w:spacing w:after="240" w:line="260" w:lineRule="exact"/>
        <w:jc w:val="left"/>
        <w:rPr>
          <w:rFonts w:ascii="Calibri" w:hAnsi="Calibri"/>
          <w:sz w:val="24"/>
          <w:szCs w:val="24"/>
          <w:lang w:val="en-GB"/>
        </w:rPr>
      </w:pPr>
      <w:r w:rsidRPr="5446DE37">
        <w:rPr>
          <w:rFonts w:ascii="Calibri" w:hAnsi="Calibri"/>
          <w:sz w:val="24"/>
          <w:szCs w:val="24"/>
          <w:lang w:val="en-GB"/>
        </w:rPr>
        <w:t>s</w:t>
      </w:r>
      <w:r w:rsidR="00271836" w:rsidRPr="5446DE37">
        <w:rPr>
          <w:rFonts w:ascii="Calibri" w:hAnsi="Calibri"/>
          <w:sz w:val="24"/>
          <w:szCs w:val="24"/>
          <w:lang w:val="en-GB"/>
        </w:rPr>
        <w:t>afety and quality adjustments, including:</w:t>
      </w:r>
    </w:p>
    <w:p w14:paraId="52464BD8" w14:textId="77777777" w:rsidR="00271836" w:rsidRPr="00261C59" w:rsidRDefault="00271836" w:rsidP="004728D9">
      <w:pPr>
        <w:keepNext/>
        <w:widowControl/>
        <w:numPr>
          <w:ilvl w:val="2"/>
          <w:numId w:val="54"/>
        </w:numPr>
        <w:spacing w:after="240" w:line="260" w:lineRule="exact"/>
        <w:ind w:left="1842" w:hanging="181"/>
        <w:jc w:val="left"/>
        <w:rPr>
          <w:rFonts w:ascii="Calibri" w:hAnsi="Calibri"/>
          <w:sz w:val="24"/>
        </w:rPr>
      </w:pPr>
      <w:r w:rsidRPr="00261C59">
        <w:rPr>
          <w:rFonts w:ascii="Calibri" w:hAnsi="Calibri"/>
          <w:sz w:val="24"/>
        </w:rPr>
        <w:t>Sentinel Events</w:t>
      </w:r>
    </w:p>
    <w:p w14:paraId="6DD879A1" w14:textId="77777777" w:rsidR="00271836" w:rsidRPr="00261C59" w:rsidRDefault="00271836" w:rsidP="004728D9">
      <w:pPr>
        <w:keepNext/>
        <w:widowControl/>
        <w:numPr>
          <w:ilvl w:val="2"/>
          <w:numId w:val="54"/>
        </w:numPr>
        <w:spacing w:after="240" w:line="260" w:lineRule="exact"/>
        <w:ind w:left="1842" w:hanging="181"/>
        <w:jc w:val="left"/>
        <w:rPr>
          <w:rFonts w:ascii="Calibri" w:hAnsi="Calibri"/>
          <w:sz w:val="24"/>
        </w:rPr>
      </w:pPr>
      <w:r w:rsidRPr="00261C59">
        <w:rPr>
          <w:rFonts w:ascii="Calibri" w:hAnsi="Calibri"/>
          <w:sz w:val="24"/>
        </w:rPr>
        <w:t>Hospital Acquired Complications (HACs)</w:t>
      </w:r>
    </w:p>
    <w:p w14:paraId="24BEFF5D" w14:textId="77777777" w:rsidR="00271836" w:rsidRPr="00261C59" w:rsidRDefault="00271836" w:rsidP="004728D9">
      <w:pPr>
        <w:keepNext/>
        <w:widowControl/>
        <w:numPr>
          <w:ilvl w:val="2"/>
          <w:numId w:val="54"/>
        </w:numPr>
        <w:spacing w:after="240" w:line="260" w:lineRule="exact"/>
        <w:ind w:left="1842" w:hanging="181"/>
        <w:jc w:val="left"/>
        <w:rPr>
          <w:rFonts w:ascii="Calibri" w:hAnsi="Calibri"/>
          <w:sz w:val="24"/>
        </w:rPr>
      </w:pPr>
      <w:r w:rsidRPr="00261C59">
        <w:rPr>
          <w:rFonts w:ascii="Calibri" w:hAnsi="Calibri"/>
          <w:sz w:val="24"/>
        </w:rPr>
        <w:t>Avoidable Hospital Readmissions (AHRs)</w:t>
      </w:r>
    </w:p>
    <w:p w14:paraId="4E575F96" w14:textId="27B277F4" w:rsidR="00271836" w:rsidRPr="00261C59" w:rsidRDefault="2B5E85E0" w:rsidP="004728D9">
      <w:pPr>
        <w:numPr>
          <w:ilvl w:val="1"/>
          <w:numId w:val="54"/>
        </w:numPr>
        <w:spacing w:after="240" w:line="260" w:lineRule="exact"/>
        <w:jc w:val="left"/>
        <w:rPr>
          <w:rFonts w:ascii="Calibri" w:hAnsi="Calibri"/>
          <w:sz w:val="24"/>
          <w:szCs w:val="24"/>
          <w:lang w:val="en-GB"/>
        </w:rPr>
      </w:pPr>
      <w:r w:rsidRPr="5446DE37">
        <w:rPr>
          <w:rFonts w:ascii="Calibri" w:hAnsi="Calibri"/>
          <w:sz w:val="24"/>
          <w:szCs w:val="24"/>
          <w:lang w:val="en-GB"/>
        </w:rPr>
        <w:t>v</w:t>
      </w:r>
      <w:r w:rsidR="00271836" w:rsidRPr="5446DE37">
        <w:rPr>
          <w:rFonts w:ascii="Calibri" w:hAnsi="Calibri"/>
          <w:sz w:val="24"/>
          <w:szCs w:val="24"/>
          <w:lang w:val="en-GB"/>
        </w:rPr>
        <w:t xml:space="preserve">alue-based pricing approaches, including: </w:t>
      </w:r>
    </w:p>
    <w:p w14:paraId="08FADE4E" w14:textId="77777777" w:rsidR="00271836" w:rsidRPr="00261C59" w:rsidRDefault="00271836" w:rsidP="004728D9">
      <w:pPr>
        <w:keepNext/>
        <w:widowControl/>
        <w:numPr>
          <w:ilvl w:val="2"/>
          <w:numId w:val="54"/>
        </w:numPr>
        <w:spacing w:after="240" w:line="260" w:lineRule="exact"/>
        <w:ind w:left="1842" w:hanging="181"/>
        <w:jc w:val="left"/>
        <w:rPr>
          <w:rFonts w:ascii="Calibri" w:hAnsi="Calibri"/>
          <w:sz w:val="24"/>
        </w:rPr>
      </w:pPr>
      <w:r w:rsidRPr="00261C59">
        <w:rPr>
          <w:rFonts w:ascii="Calibri" w:hAnsi="Calibri"/>
          <w:sz w:val="24"/>
        </w:rPr>
        <w:t>High-Value Care</w:t>
      </w:r>
    </w:p>
    <w:p w14:paraId="1B2EFD87" w14:textId="77777777" w:rsidR="00271836" w:rsidRPr="00261C59" w:rsidRDefault="00271836" w:rsidP="004728D9">
      <w:pPr>
        <w:keepNext/>
        <w:widowControl/>
        <w:numPr>
          <w:ilvl w:val="2"/>
          <w:numId w:val="54"/>
        </w:numPr>
        <w:spacing w:after="240" w:line="260" w:lineRule="exact"/>
        <w:ind w:left="1842" w:hanging="181"/>
        <w:jc w:val="left"/>
        <w:rPr>
          <w:rFonts w:ascii="Calibri" w:hAnsi="Calibri"/>
          <w:sz w:val="24"/>
        </w:rPr>
      </w:pPr>
      <w:r w:rsidRPr="00261C59">
        <w:rPr>
          <w:rFonts w:ascii="Calibri" w:hAnsi="Calibri"/>
          <w:sz w:val="24"/>
        </w:rPr>
        <w:t>Low-Value Care</w:t>
      </w:r>
    </w:p>
    <w:p w14:paraId="74C0D771" w14:textId="77777777" w:rsidR="00271836" w:rsidRPr="00261C59" w:rsidRDefault="00271836" w:rsidP="004728D9">
      <w:pPr>
        <w:keepNext/>
        <w:widowControl/>
        <w:numPr>
          <w:ilvl w:val="2"/>
          <w:numId w:val="54"/>
        </w:numPr>
        <w:spacing w:after="240" w:line="260" w:lineRule="exact"/>
        <w:ind w:left="1842" w:hanging="181"/>
        <w:jc w:val="left"/>
        <w:rPr>
          <w:rFonts w:ascii="Calibri" w:hAnsi="Calibri"/>
          <w:sz w:val="24"/>
          <w:szCs w:val="24"/>
        </w:rPr>
      </w:pPr>
      <w:r w:rsidRPr="00261C59">
        <w:rPr>
          <w:rFonts w:ascii="Calibri" w:hAnsi="Calibri"/>
          <w:sz w:val="24"/>
          <w:szCs w:val="24"/>
        </w:rPr>
        <w:t xml:space="preserve">Normative Pricing, Priority Care Loadings and other approaches as described in Schedule D. </w:t>
      </w:r>
    </w:p>
    <w:p w14:paraId="2515FB1F" w14:textId="3484AFDA"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IHACPA must provide sufficient data to the Commonwealth Grants Commission (CGC) on adjustments to the </w:t>
      </w:r>
      <w:r w:rsidR="00F54298" w:rsidRPr="00261C59">
        <w:rPr>
          <w:rFonts w:ascii="Calibri" w:hAnsi="Calibri"/>
          <w:sz w:val="24"/>
          <w:szCs w:val="24"/>
        </w:rPr>
        <w:t>NEP</w:t>
      </w:r>
      <w:r w:rsidRPr="00261C59">
        <w:rPr>
          <w:rFonts w:ascii="Calibri" w:hAnsi="Calibri"/>
          <w:sz w:val="24"/>
          <w:szCs w:val="24"/>
        </w:rPr>
        <w:t xml:space="preserve"> to assist the CGC in determining GST relativities for the States. </w:t>
      </w:r>
      <w:bookmarkStart w:id="202" w:name="_Toc168579008"/>
    </w:p>
    <w:p w14:paraId="574F8B7C" w14:textId="1BFBCDC8" w:rsidR="00271836" w:rsidRPr="00261C59" w:rsidRDefault="00271836" w:rsidP="00830547">
      <w:pPr>
        <w:pStyle w:val="ListParagraph"/>
        <w:numPr>
          <w:ilvl w:val="0"/>
          <w:numId w:val="54"/>
        </w:numPr>
        <w:jc w:val="left"/>
        <w:rPr>
          <w:rFonts w:ascii="Calibri" w:hAnsi="Calibri"/>
          <w:sz w:val="24"/>
          <w:szCs w:val="24"/>
        </w:rPr>
      </w:pPr>
      <w:r w:rsidRPr="00261C59">
        <w:rPr>
          <w:rFonts w:ascii="Calibri" w:hAnsi="Calibri"/>
          <w:sz w:val="24"/>
          <w:szCs w:val="24"/>
        </w:rPr>
        <w:t xml:space="preserve">Parties acknowledge the national pricing model underpinning the NEP26 and NEC26 Determinations will be based on the requirements set out in the </w:t>
      </w:r>
      <w:r w:rsidRPr="00261C59">
        <w:rPr>
          <w:rFonts w:ascii="Calibri" w:hAnsi="Calibri"/>
          <w:i/>
          <w:iCs/>
          <w:sz w:val="24"/>
          <w:szCs w:val="24"/>
        </w:rPr>
        <w:t>National Health Reform Act 2011</w:t>
      </w:r>
      <w:r w:rsidRPr="00261C59">
        <w:rPr>
          <w:rFonts w:ascii="Calibri" w:hAnsi="Calibri"/>
          <w:sz w:val="24"/>
          <w:szCs w:val="24"/>
        </w:rPr>
        <w:t xml:space="preserve"> and the Addendum to the NHRA 2020–25. The NEP methodology may be updated </w:t>
      </w:r>
      <w:r w:rsidR="7C6961FB" w:rsidRPr="00261C59">
        <w:rPr>
          <w:rFonts w:ascii="Calibri" w:hAnsi="Calibri"/>
          <w:sz w:val="24"/>
          <w:szCs w:val="24"/>
        </w:rPr>
        <w:t xml:space="preserve">by the IHACPA to reflect this Addendum, as well as </w:t>
      </w:r>
      <w:r w:rsidRPr="00261C59">
        <w:rPr>
          <w:rFonts w:ascii="Calibri" w:hAnsi="Calibri"/>
          <w:sz w:val="24"/>
          <w:szCs w:val="24"/>
        </w:rPr>
        <w:t>after the NEP review at Preliminaries clause 49 is finalised.</w:t>
      </w:r>
    </w:p>
    <w:p w14:paraId="21A6E8DE" w14:textId="77777777" w:rsidR="00271836" w:rsidRPr="00261C59" w:rsidRDefault="00271836" w:rsidP="002278B3">
      <w:pPr>
        <w:keepNext/>
        <w:keepLines/>
        <w:spacing w:before="200"/>
        <w:jc w:val="left"/>
        <w:outlineLvl w:val="3"/>
        <w:rPr>
          <w:rFonts w:eastAsia="Yu Gothic Light"/>
          <w:b/>
          <w:bCs/>
        </w:rPr>
      </w:pPr>
      <w:r w:rsidRPr="00261C59">
        <w:rPr>
          <w:rFonts w:eastAsia="Yu Gothic Light"/>
          <w:b/>
          <w:bCs/>
        </w:rPr>
        <w:t>Reviews of pricing adjustments</w:t>
      </w:r>
    </w:p>
    <w:p w14:paraId="1B4057CE" w14:textId="4C5540AC" w:rsidR="00271836" w:rsidRPr="00261C59" w:rsidRDefault="5E87AD90" w:rsidP="004728D9">
      <w:pPr>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T</w:t>
      </w:r>
      <w:r w:rsidR="00271836" w:rsidRPr="00261C59">
        <w:rPr>
          <w:rFonts w:ascii="Calibri" w:hAnsi="Calibri"/>
          <w:sz w:val="24"/>
          <w:szCs w:val="24"/>
          <w:lang w:val="en-GB"/>
        </w:rPr>
        <w:t xml:space="preserve">he IHACPA will undertake a review of the </w:t>
      </w:r>
      <w:r w:rsidR="00A24E69" w:rsidRPr="00261C59">
        <w:rPr>
          <w:rFonts w:ascii="Calibri" w:hAnsi="Calibri"/>
          <w:sz w:val="24"/>
          <w:szCs w:val="24"/>
          <w:lang w:val="en-GB"/>
        </w:rPr>
        <w:t>NEP</w:t>
      </w:r>
      <w:r w:rsidR="00271836" w:rsidRPr="00261C59">
        <w:rPr>
          <w:rFonts w:ascii="Calibri" w:hAnsi="Calibri"/>
          <w:sz w:val="24"/>
          <w:szCs w:val="24"/>
          <w:lang w:val="en-GB"/>
        </w:rPr>
        <w:t xml:space="preserve"> and </w:t>
      </w:r>
      <w:r w:rsidR="00A24E69" w:rsidRPr="00261C59">
        <w:rPr>
          <w:rFonts w:ascii="Calibri" w:hAnsi="Calibri"/>
          <w:sz w:val="24"/>
          <w:szCs w:val="24"/>
          <w:lang w:val="en-GB"/>
        </w:rPr>
        <w:t>NEC</w:t>
      </w:r>
      <w:r w:rsidR="00271836" w:rsidRPr="00261C59">
        <w:rPr>
          <w:rFonts w:ascii="Calibri" w:hAnsi="Calibri"/>
          <w:sz w:val="24"/>
          <w:szCs w:val="24"/>
          <w:lang w:val="en-GB"/>
        </w:rPr>
        <w:t xml:space="preserve"> price weights for Indigeneity, regionality, and smaller jurisdictions, as per the Terms of Reference</w:t>
      </w:r>
      <w:r w:rsidR="7068ADA2" w:rsidRPr="00261C59">
        <w:rPr>
          <w:rFonts w:ascii="Calibri" w:hAnsi="Calibri"/>
          <w:sz w:val="24"/>
          <w:szCs w:val="24"/>
          <w:lang w:val="en-GB"/>
        </w:rPr>
        <w:t xml:space="preserve"> agreed prior to the start of this Addendum under the remit of HCEF</w:t>
      </w:r>
      <w:r w:rsidR="74D824FD" w:rsidRPr="00261C59">
        <w:rPr>
          <w:rFonts w:ascii="Calibri" w:hAnsi="Calibri"/>
          <w:sz w:val="24"/>
          <w:szCs w:val="24"/>
          <w:lang w:val="en-GB"/>
        </w:rPr>
        <w:t>. This will</w:t>
      </w:r>
      <w:r w:rsidR="00271836" w:rsidRPr="00261C59">
        <w:rPr>
          <w:rFonts w:ascii="Calibri" w:hAnsi="Calibri"/>
          <w:sz w:val="24"/>
          <w:szCs w:val="24"/>
          <w:lang w:val="en-GB"/>
        </w:rPr>
        <w:t xml:space="preserve"> includ</w:t>
      </w:r>
      <w:r w:rsidR="706FA2EA" w:rsidRPr="00261C59">
        <w:rPr>
          <w:rFonts w:ascii="Calibri" w:hAnsi="Calibri"/>
          <w:sz w:val="24"/>
          <w:szCs w:val="24"/>
          <w:lang w:val="en-GB"/>
        </w:rPr>
        <w:t>e</w:t>
      </w:r>
      <w:r w:rsidR="00271836" w:rsidRPr="00261C59">
        <w:rPr>
          <w:rFonts w:ascii="Calibri" w:hAnsi="Calibri"/>
          <w:sz w:val="24"/>
          <w:szCs w:val="24"/>
          <w:lang w:val="en-GB"/>
        </w:rPr>
        <w:t xml:space="preserve"> consideration of: </w:t>
      </w:r>
    </w:p>
    <w:p w14:paraId="0E75346F" w14:textId="785CAF8C" w:rsidR="00271836" w:rsidRPr="00261C59" w:rsidRDefault="00271836" w:rsidP="00EF51ED">
      <w:pPr>
        <w:keepLines/>
        <w:numPr>
          <w:ilvl w:val="1"/>
          <w:numId w:val="54"/>
        </w:numPr>
        <w:spacing w:after="240" w:line="260" w:lineRule="exact"/>
        <w:jc w:val="left"/>
        <w:rPr>
          <w:rFonts w:ascii="Calibri" w:hAnsi="Calibri"/>
          <w:sz w:val="24"/>
          <w:szCs w:val="24"/>
          <w:lang w:val="en-GB"/>
        </w:rPr>
      </w:pPr>
      <w:r w:rsidRPr="5446DE37">
        <w:rPr>
          <w:rFonts w:ascii="Calibri" w:hAnsi="Calibri"/>
          <w:sz w:val="24"/>
          <w:szCs w:val="24"/>
          <w:lang w:val="en-GB"/>
        </w:rPr>
        <w:t xml:space="preserve">Indigenous status, and rural and remote status, both individually and as they interact. This will include considering the cost drivers that contribute to cost variations associated with these cohorts </w:t>
      </w:r>
    </w:p>
    <w:p w14:paraId="41693B73" w14:textId="7D9ED9BA" w:rsidR="00271836" w:rsidRPr="00261C59" w:rsidRDefault="00271836" w:rsidP="00FE3E89">
      <w:pPr>
        <w:numPr>
          <w:ilvl w:val="1"/>
          <w:numId w:val="54"/>
        </w:numPr>
        <w:spacing w:after="240" w:line="260" w:lineRule="exact"/>
        <w:jc w:val="left"/>
        <w:rPr>
          <w:rFonts w:ascii="Calibri" w:hAnsi="Calibri"/>
          <w:sz w:val="24"/>
          <w:lang w:val="en-GB"/>
        </w:rPr>
      </w:pPr>
      <w:r w:rsidRPr="00261C59">
        <w:rPr>
          <w:rFonts w:ascii="Calibri" w:hAnsi="Calibri"/>
          <w:sz w:val="24"/>
          <w:lang w:val="en-GB"/>
        </w:rPr>
        <w:t xml:space="preserve">baseline financial viability of </w:t>
      </w:r>
      <w:r w:rsidRPr="00261C59">
        <w:rPr>
          <w:rFonts w:ascii="Calibri" w:hAnsi="Calibri"/>
          <w:sz w:val="24"/>
          <w:szCs w:val="24"/>
          <w:lang w:val="en-GB"/>
        </w:rPr>
        <w:t>small</w:t>
      </w:r>
      <w:r w:rsidR="00214F0C" w:rsidRPr="00261C59">
        <w:rPr>
          <w:rFonts w:ascii="Calibri" w:hAnsi="Calibri"/>
          <w:sz w:val="24"/>
          <w:szCs w:val="24"/>
          <w:lang w:val="en-GB"/>
        </w:rPr>
        <w:t>er</w:t>
      </w:r>
      <w:r w:rsidRPr="00261C59">
        <w:rPr>
          <w:rFonts w:ascii="Calibri" w:hAnsi="Calibri"/>
          <w:sz w:val="24"/>
          <w:szCs w:val="24"/>
          <w:lang w:val="en-GB"/>
        </w:rPr>
        <w:t xml:space="preserve"> </w:t>
      </w:r>
      <w:r w:rsidR="00ED0086" w:rsidRPr="00261C59">
        <w:rPr>
          <w:rFonts w:ascii="Calibri" w:hAnsi="Calibri"/>
          <w:sz w:val="24"/>
          <w:szCs w:val="24"/>
          <w:lang w:val="en-GB"/>
        </w:rPr>
        <w:t>jurisdictions</w:t>
      </w:r>
      <w:r w:rsidRPr="00261C59">
        <w:rPr>
          <w:rFonts w:ascii="Calibri" w:hAnsi="Calibri"/>
          <w:sz w:val="24"/>
          <w:lang w:val="en-GB"/>
        </w:rPr>
        <w:t xml:space="preserve">, including factors contributing to a lack of viability, and develop appropriate adjustments to the pricing model to ensure financial sustainability of existing health services. </w:t>
      </w:r>
    </w:p>
    <w:p w14:paraId="7D1A7C4C" w14:textId="77777777" w:rsidR="00271836" w:rsidRPr="00261C59" w:rsidRDefault="00271836" w:rsidP="00FE3E89">
      <w:pPr>
        <w:keepLines/>
        <w:numPr>
          <w:ilvl w:val="0"/>
          <w:numId w:val="54"/>
        </w:numPr>
        <w:spacing w:after="240" w:line="260" w:lineRule="exact"/>
        <w:jc w:val="left"/>
        <w:rPr>
          <w:rFonts w:ascii="Calibri" w:hAnsi="Calibri"/>
          <w:sz w:val="24"/>
          <w:szCs w:val="24"/>
        </w:rPr>
      </w:pPr>
      <w:r w:rsidRPr="00261C59">
        <w:rPr>
          <w:rFonts w:ascii="Calibri" w:hAnsi="Calibri"/>
          <w:sz w:val="24"/>
          <w:szCs w:val="24"/>
        </w:rPr>
        <w:lastRenderedPageBreak/>
        <w:t xml:space="preserve">The IHACPA will consult with the Parties and relevant stakeholder groups such as Aboriginal and Torres Strait Islander stakeholders (set out in Schedule B), in undertaking these reviews, and identifying policy issues that may not be addressed through an adjustment but have impacts on the costs of public hospitals, as per the agreed Terms of Reference. </w:t>
      </w:r>
    </w:p>
    <w:p w14:paraId="7C1F616C"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IHACPA will provide HCEF with the reviews and consider HCEF’s response when incorporating the findings into the setting of the NEP.</w:t>
      </w:r>
    </w:p>
    <w:p w14:paraId="5AE96923" w14:textId="77777777" w:rsidR="00271836" w:rsidRPr="00261C59" w:rsidRDefault="00271836" w:rsidP="005460E8">
      <w:pPr>
        <w:keepNext/>
        <w:keepLines/>
        <w:spacing w:before="200"/>
        <w:jc w:val="left"/>
        <w:outlineLvl w:val="3"/>
        <w:rPr>
          <w:rFonts w:eastAsia="Yu Gothic Light"/>
          <w:b/>
          <w:bCs/>
          <w:iCs/>
        </w:rPr>
      </w:pPr>
      <w:r w:rsidRPr="00261C59">
        <w:rPr>
          <w:rFonts w:eastAsia="Yu Gothic Light"/>
          <w:b/>
          <w:bCs/>
          <w:iCs/>
        </w:rPr>
        <w:t xml:space="preserve">Private patient arrangements </w:t>
      </w:r>
    </w:p>
    <w:p w14:paraId="47735C20"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Any payments for eligible private patients must use the same classification system used for public patients, with the cost weights for private patients being calculated by excluding or reducing, as appropriate, the components of the service for that patient that are covered by:</w:t>
      </w:r>
    </w:p>
    <w:p w14:paraId="2FA20D7F" w14:textId="0B9F3B1E" w:rsidR="00271836" w:rsidRPr="00261C59" w:rsidRDefault="00271836" w:rsidP="004728D9">
      <w:pPr>
        <w:keepNext/>
        <w:numPr>
          <w:ilvl w:val="1"/>
          <w:numId w:val="54"/>
        </w:numPr>
        <w:spacing w:after="240" w:line="260" w:lineRule="exact"/>
        <w:jc w:val="left"/>
        <w:rPr>
          <w:rFonts w:ascii="Calibri" w:hAnsi="Calibri"/>
          <w:sz w:val="24"/>
          <w:szCs w:val="24"/>
          <w:lang w:val="en-GB"/>
        </w:rPr>
      </w:pPr>
      <w:r w:rsidRPr="5446DE37">
        <w:rPr>
          <w:rFonts w:ascii="Calibri" w:hAnsi="Calibri"/>
          <w:sz w:val="24"/>
          <w:szCs w:val="24"/>
          <w:lang w:val="en-GB"/>
        </w:rPr>
        <w:t>Commonwealth funding sources other than ABF</w:t>
      </w:r>
    </w:p>
    <w:p w14:paraId="76EC7AC1" w14:textId="1525D52C" w:rsidR="00271836" w:rsidRPr="00261C59" w:rsidRDefault="15199997" w:rsidP="004728D9">
      <w:pPr>
        <w:keepNext/>
        <w:numPr>
          <w:ilvl w:val="1"/>
          <w:numId w:val="54"/>
        </w:numPr>
        <w:spacing w:after="240" w:line="260" w:lineRule="exact"/>
        <w:jc w:val="left"/>
        <w:rPr>
          <w:rFonts w:ascii="Calibri" w:hAnsi="Calibri"/>
          <w:sz w:val="24"/>
          <w:szCs w:val="24"/>
          <w:lang w:val="en-GB"/>
        </w:rPr>
      </w:pPr>
      <w:r w:rsidRPr="5446DE37">
        <w:rPr>
          <w:rFonts w:ascii="Calibri" w:hAnsi="Calibri"/>
          <w:sz w:val="24"/>
          <w:szCs w:val="24"/>
          <w:lang w:val="en-GB"/>
        </w:rPr>
        <w:t>a</w:t>
      </w:r>
      <w:r w:rsidR="00271836" w:rsidRPr="5446DE37">
        <w:rPr>
          <w:rFonts w:ascii="Calibri" w:hAnsi="Calibri"/>
          <w:sz w:val="24"/>
          <w:szCs w:val="24"/>
          <w:lang w:val="en-GB"/>
        </w:rPr>
        <w:t xml:space="preserve">ll patient charges, whether or not funded by private health insurance, including: </w:t>
      </w:r>
    </w:p>
    <w:p w14:paraId="692E321A" w14:textId="77777777" w:rsidR="00271836" w:rsidRPr="00261C59" w:rsidRDefault="00271836" w:rsidP="004728D9">
      <w:pPr>
        <w:keepNext/>
        <w:widowControl/>
        <w:numPr>
          <w:ilvl w:val="2"/>
          <w:numId w:val="54"/>
        </w:numPr>
        <w:spacing w:after="240" w:line="260" w:lineRule="exact"/>
        <w:ind w:left="1842" w:hanging="181"/>
        <w:jc w:val="left"/>
        <w:rPr>
          <w:rFonts w:ascii="Calibri" w:hAnsi="Calibri"/>
          <w:sz w:val="24"/>
          <w:szCs w:val="24"/>
        </w:rPr>
      </w:pPr>
      <w:r w:rsidRPr="00261C59">
        <w:rPr>
          <w:rFonts w:ascii="Calibri" w:hAnsi="Calibri"/>
          <w:sz w:val="24"/>
          <w:szCs w:val="24"/>
        </w:rPr>
        <w:t>prostheses</w:t>
      </w:r>
    </w:p>
    <w:p w14:paraId="2C44F02E" w14:textId="5213AD34" w:rsidR="00271836" w:rsidRPr="00261C59" w:rsidRDefault="00271836" w:rsidP="004728D9">
      <w:pPr>
        <w:keepNext/>
        <w:widowControl/>
        <w:numPr>
          <w:ilvl w:val="2"/>
          <w:numId w:val="54"/>
        </w:numPr>
        <w:spacing w:after="240" w:line="260" w:lineRule="exact"/>
        <w:ind w:left="1842" w:hanging="181"/>
        <w:jc w:val="left"/>
        <w:rPr>
          <w:rFonts w:ascii="Calibri" w:hAnsi="Calibri"/>
          <w:sz w:val="24"/>
          <w:szCs w:val="24"/>
        </w:rPr>
      </w:pPr>
      <w:r w:rsidRPr="00261C59">
        <w:rPr>
          <w:rFonts w:ascii="Calibri" w:hAnsi="Calibri"/>
          <w:sz w:val="24"/>
          <w:szCs w:val="24"/>
        </w:rPr>
        <w:t>accommodation and nursing related components/charge equivalent to the</w:t>
      </w:r>
      <w:r w:rsidRPr="00261C59">
        <w:rPr>
          <w:rFonts w:ascii="Calibri" w:hAnsi="Calibri" w:cs="Calibri"/>
          <w:sz w:val="24"/>
          <w:szCs w:val="24"/>
        </w:rPr>
        <w:t xml:space="preserve"> </w:t>
      </w:r>
      <w:r w:rsidRPr="00261C59">
        <w:rPr>
          <w:rFonts w:ascii="Calibri" w:hAnsi="Calibri"/>
          <w:sz w:val="24"/>
          <w:szCs w:val="24"/>
        </w:rPr>
        <w:t>payment (which could be the default, the gazetted or an equivalent payment) received for daily bed fees for eligible admitted private patients in public hospitals supported through the private health insurance rebate.</w:t>
      </w:r>
    </w:p>
    <w:p w14:paraId="6BBEDB4B" w14:textId="77777777" w:rsidR="00271836" w:rsidRPr="00261C59" w:rsidRDefault="00271836" w:rsidP="1476B102">
      <w:pPr>
        <w:keepNext/>
        <w:keepLines/>
        <w:jc w:val="left"/>
        <w:outlineLvl w:val="2"/>
        <w:rPr>
          <w:rFonts w:ascii="Corbel" w:hAnsi="Corbel"/>
          <w:color w:val="3D4B67"/>
          <w:sz w:val="28"/>
          <w:szCs w:val="28"/>
          <w:lang w:val="en-GB" w:eastAsia="ja-JP"/>
        </w:rPr>
      </w:pPr>
      <w:bookmarkStart w:id="203" w:name="_Toc172210240"/>
      <w:bookmarkStart w:id="204" w:name="_Toc172787690"/>
      <w:bookmarkStart w:id="205" w:name="_Toc173937706"/>
      <w:bookmarkStart w:id="206" w:name="_Toc183183305"/>
      <w:bookmarkStart w:id="207" w:name="_Toc201673963"/>
      <w:bookmarkStart w:id="208" w:name="_Toc210833596"/>
      <w:bookmarkStart w:id="209" w:name="_Toc214456496"/>
      <w:bookmarkStart w:id="210" w:name="_Toc221087974"/>
      <w:bookmarkStart w:id="211" w:name="_Toc171350358"/>
      <w:r w:rsidRPr="00261C59">
        <w:rPr>
          <w:rFonts w:ascii="Corbel" w:hAnsi="Corbel"/>
          <w:color w:val="3D4B67"/>
          <w:sz w:val="28"/>
          <w:szCs w:val="28"/>
          <w:lang w:val="en-GB" w:eastAsia="ja-JP"/>
        </w:rPr>
        <w:t>Block Funding - Principles for determining the National Efficient Cost</w:t>
      </w:r>
      <w:bookmarkEnd w:id="202"/>
      <w:bookmarkEnd w:id="203"/>
      <w:bookmarkEnd w:id="204"/>
      <w:bookmarkEnd w:id="205"/>
      <w:bookmarkEnd w:id="206"/>
      <w:bookmarkEnd w:id="207"/>
      <w:bookmarkEnd w:id="208"/>
      <w:bookmarkEnd w:id="209"/>
      <w:bookmarkEnd w:id="210"/>
      <w:r w:rsidRPr="00261C59">
        <w:rPr>
          <w:rFonts w:ascii="Corbel" w:hAnsi="Corbel"/>
          <w:color w:val="3D4B67"/>
          <w:sz w:val="28"/>
          <w:szCs w:val="28"/>
          <w:lang w:val="en-GB" w:eastAsia="ja-JP"/>
        </w:rPr>
        <w:t xml:space="preserve"> </w:t>
      </w:r>
      <w:bookmarkEnd w:id="211"/>
    </w:p>
    <w:p w14:paraId="13EFAA22" w14:textId="77777777" w:rsidR="00271836" w:rsidRPr="00261C59" w:rsidRDefault="00271836" w:rsidP="004728D9">
      <w:pPr>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Block-funded services will be classified and costed via the National Efficient Cost, which will be determined by the IHACPA, taking account of changes in utilisation, the scope of services provided, and the cost of those services.</w:t>
      </w:r>
    </w:p>
    <w:p w14:paraId="6C5EA4C1" w14:textId="77777777" w:rsidR="00271836" w:rsidRPr="00261C59" w:rsidRDefault="00271836" w:rsidP="004728D9">
      <w:pPr>
        <w:keepNext/>
        <w:keepLines/>
        <w:widowControl/>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As part of the National Efficient Cost, the IHACPA, in consultation with Parties, will maintain and publish Block Funding Criteria and identify whether hospital and health services and functions are eligible for block funding only, or a mix of block funding and other types of funding.</w:t>
      </w:r>
    </w:p>
    <w:p w14:paraId="05E3681E" w14:textId="2DEDF50B" w:rsidR="00271836" w:rsidRPr="00261C59" w:rsidRDefault="00271836" w:rsidP="007F61B8">
      <w:pPr>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The IHACPA will, in consultation with Parties, publish the Block Funding Criteria on an annual basis as soon as practicable during the term of this Addendum, for implementation in the next feasible National Efficient Cost Determination.</w:t>
      </w:r>
    </w:p>
    <w:p w14:paraId="001DFEE0" w14:textId="77777777" w:rsidR="00271836" w:rsidRPr="00261C59" w:rsidRDefault="00271836" w:rsidP="007F61B8">
      <w:pPr>
        <w:keepNext/>
        <w:widowControl/>
        <w:numPr>
          <w:ilvl w:val="0"/>
          <w:numId w:val="54"/>
        </w:numPr>
        <w:spacing w:after="240" w:line="260" w:lineRule="exact"/>
        <w:jc w:val="left"/>
        <w:rPr>
          <w:rFonts w:ascii="Calibri" w:hAnsi="Calibri"/>
          <w:sz w:val="24"/>
          <w:szCs w:val="24"/>
          <w:lang w:val="en-GB"/>
        </w:rPr>
      </w:pPr>
      <w:r w:rsidRPr="00261C59">
        <w:rPr>
          <w:rFonts w:ascii="Calibri" w:hAnsi="Calibri"/>
          <w:sz w:val="24"/>
          <w:szCs w:val="24"/>
          <w:lang w:val="en-GB"/>
        </w:rPr>
        <w:t>In determining the Block Funding Criteria as part of the National Efficient Cost Determination, IHACPA must have regard to:</w:t>
      </w:r>
    </w:p>
    <w:p w14:paraId="19C77ECA" w14:textId="6DEAF12F" w:rsidR="00271836" w:rsidRPr="00261C59" w:rsidRDefault="00271836" w:rsidP="004728D9">
      <w:pPr>
        <w:keepNext/>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criteria for determining whether a service is eligible for block funding only, or mixed ABF and block funding, or neither</w:t>
      </w:r>
    </w:p>
    <w:p w14:paraId="1557D3B1" w14:textId="3828B415" w:rsidR="00271836" w:rsidRPr="00261C59" w:rsidRDefault="00271836" w:rsidP="00EF51ED">
      <w:pPr>
        <w:keepLines/>
        <w:numPr>
          <w:ilvl w:val="1"/>
          <w:numId w:val="54"/>
        </w:numPr>
        <w:spacing w:after="240" w:line="260" w:lineRule="exact"/>
        <w:jc w:val="left"/>
        <w:rPr>
          <w:rFonts w:ascii="Calibri" w:hAnsi="Calibri"/>
          <w:sz w:val="24"/>
          <w:szCs w:val="24"/>
          <w:lang w:val="en-GB"/>
        </w:rPr>
      </w:pPr>
      <w:r w:rsidRPr="00261C59">
        <w:rPr>
          <w:rFonts w:ascii="Calibri" w:hAnsi="Calibri"/>
          <w:sz w:val="24"/>
          <w:szCs w:val="24"/>
          <w:lang w:val="en-GB"/>
        </w:rPr>
        <w:t xml:space="preserve">identifying those services eligible for block funding only or mixed funding and assigning them to block service categories </w:t>
      </w:r>
    </w:p>
    <w:p w14:paraId="6560FA02" w14:textId="574BDCDA" w:rsidR="00271836" w:rsidRPr="00261C59" w:rsidRDefault="00271836" w:rsidP="00FE3E89">
      <w:pPr>
        <w:numPr>
          <w:ilvl w:val="1"/>
          <w:numId w:val="54"/>
        </w:numPr>
        <w:spacing w:after="240" w:line="260" w:lineRule="exact"/>
        <w:jc w:val="left"/>
        <w:rPr>
          <w:rFonts w:ascii="Calibri" w:hAnsi="Calibri"/>
          <w:sz w:val="24"/>
          <w:szCs w:val="24"/>
          <w:lang w:val="en-GB"/>
        </w:rPr>
      </w:pPr>
      <w:r w:rsidRPr="5446DE37">
        <w:rPr>
          <w:rFonts w:ascii="Calibri" w:hAnsi="Calibri"/>
          <w:sz w:val="24"/>
          <w:szCs w:val="24"/>
          <w:lang w:val="en-GB"/>
        </w:rPr>
        <w:t xml:space="preserve">defining </w:t>
      </w:r>
      <w:r w:rsidR="00A96BAC" w:rsidRPr="00261C59">
        <w:rPr>
          <w:rFonts w:ascii="Calibri" w:hAnsi="Calibri"/>
          <w:sz w:val="24"/>
          <w:szCs w:val="24"/>
          <w:lang w:val="en-GB"/>
        </w:rPr>
        <w:t>nationally consistent</w:t>
      </w:r>
      <w:r w:rsidR="00A96BAC" w:rsidRPr="5446DE37">
        <w:rPr>
          <w:rFonts w:ascii="Calibri" w:hAnsi="Calibri"/>
          <w:sz w:val="24"/>
          <w:szCs w:val="24"/>
          <w:lang w:val="en-GB"/>
        </w:rPr>
        <w:t xml:space="preserve"> </w:t>
      </w:r>
      <w:r w:rsidRPr="5446DE37">
        <w:rPr>
          <w:rFonts w:ascii="Calibri" w:hAnsi="Calibri"/>
          <w:sz w:val="24"/>
          <w:szCs w:val="24"/>
          <w:lang w:val="en-GB"/>
        </w:rPr>
        <w:t xml:space="preserve">scope of the cost, and type of activities, for those services eligible for block-funding, including providing definitions for sub-components and sub-functions, in line with requirements for scope of services, clauses </w:t>
      </w:r>
      <w:r w:rsidRPr="00261C59">
        <w:rPr>
          <w:rFonts w:ascii="Calibri" w:hAnsi="Calibri"/>
          <w:sz w:val="24"/>
          <w:szCs w:val="24"/>
          <w:lang w:val="en-GB"/>
        </w:rPr>
        <w:t>A1</w:t>
      </w:r>
      <w:r w:rsidR="00F94E61" w:rsidRPr="00261C59">
        <w:rPr>
          <w:rFonts w:ascii="Calibri" w:hAnsi="Calibri"/>
          <w:sz w:val="24"/>
          <w:szCs w:val="24"/>
          <w:lang w:val="en-GB"/>
        </w:rPr>
        <w:t>00</w:t>
      </w:r>
      <w:r w:rsidRPr="5446DE37">
        <w:rPr>
          <w:rFonts w:ascii="Calibri" w:hAnsi="Calibri"/>
          <w:sz w:val="24"/>
          <w:szCs w:val="24"/>
          <w:lang w:val="en-GB"/>
        </w:rPr>
        <w:t xml:space="preserve"> </w:t>
      </w:r>
      <w:r w:rsidR="00FE3E89">
        <w:rPr>
          <w:rFonts w:ascii="Calibri" w:hAnsi="Calibri"/>
          <w:sz w:val="24"/>
          <w:szCs w:val="24"/>
          <w:lang w:val="en-GB"/>
        </w:rPr>
        <w:br/>
      </w:r>
      <w:r w:rsidRPr="5446DE37">
        <w:rPr>
          <w:rFonts w:ascii="Calibri" w:hAnsi="Calibri"/>
          <w:sz w:val="24"/>
          <w:szCs w:val="24"/>
          <w:lang w:val="en-GB"/>
        </w:rPr>
        <w:t xml:space="preserve">to </w:t>
      </w:r>
      <w:r w:rsidRPr="00261C59">
        <w:rPr>
          <w:rFonts w:ascii="Calibri" w:hAnsi="Calibri"/>
          <w:sz w:val="24"/>
          <w:szCs w:val="24"/>
          <w:lang w:val="en-GB"/>
        </w:rPr>
        <w:t>A1</w:t>
      </w:r>
      <w:r w:rsidR="00F94E61" w:rsidRPr="00261C59">
        <w:rPr>
          <w:rFonts w:ascii="Calibri" w:hAnsi="Calibri"/>
          <w:sz w:val="24"/>
          <w:szCs w:val="24"/>
          <w:lang w:val="en-GB"/>
        </w:rPr>
        <w:t>05</w:t>
      </w:r>
    </w:p>
    <w:p w14:paraId="5464006A" w14:textId="3B00708B" w:rsidR="00271836" w:rsidRPr="00261C59" w:rsidRDefault="00271836" w:rsidP="004728D9">
      <w:pPr>
        <w:keepNext/>
        <w:numPr>
          <w:ilvl w:val="1"/>
          <w:numId w:val="54"/>
        </w:numPr>
        <w:spacing w:after="240" w:line="260" w:lineRule="exact"/>
        <w:jc w:val="left"/>
        <w:rPr>
          <w:rFonts w:ascii="Calibri" w:hAnsi="Calibri"/>
          <w:sz w:val="24"/>
          <w:szCs w:val="24"/>
          <w:lang w:val="en-GB"/>
        </w:rPr>
      </w:pPr>
      <w:r w:rsidRPr="5446DE37">
        <w:rPr>
          <w:rFonts w:ascii="Calibri" w:hAnsi="Calibri"/>
          <w:sz w:val="24"/>
          <w:szCs w:val="24"/>
          <w:lang w:val="en-GB"/>
        </w:rPr>
        <w:lastRenderedPageBreak/>
        <w:t>specifying the evidence States will be reasonably required to provide for block-funded services to demonstrate the estimated in-scope service delivery</w:t>
      </w:r>
    </w:p>
    <w:p w14:paraId="1B70BED2" w14:textId="366539F7" w:rsidR="00271836" w:rsidRPr="00261C59" w:rsidRDefault="00271836" w:rsidP="004728D9">
      <w:pPr>
        <w:keepNext/>
        <w:numPr>
          <w:ilvl w:val="1"/>
          <w:numId w:val="54"/>
        </w:numPr>
        <w:spacing w:after="240" w:line="260" w:lineRule="exact"/>
        <w:jc w:val="left"/>
        <w:rPr>
          <w:rFonts w:ascii="Calibri" w:hAnsi="Calibri"/>
          <w:sz w:val="24"/>
          <w:szCs w:val="24"/>
          <w:lang w:val="en-GB"/>
        </w:rPr>
      </w:pPr>
      <w:r w:rsidRPr="5446DE37">
        <w:rPr>
          <w:rFonts w:ascii="Calibri" w:hAnsi="Calibri"/>
          <w:sz w:val="24"/>
          <w:szCs w:val="24"/>
          <w:lang w:val="en-GB"/>
        </w:rPr>
        <w:t xml:space="preserve">making allowance for the Commonwealth and one or more States to enter into bilateral agreements to trial alternative payment models (as per the processes described in Schedule D and in clauses </w:t>
      </w:r>
      <w:r w:rsidRPr="00261C59">
        <w:rPr>
          <w:rFonts w:ascii="Calibri" w:hAnsi="Calibri"/>
          <w:sz w:val="24"/>
          <w:szCs w:val="24"/>
          <w:lang w:val="en-GB"/>
        </w:rPr>
        <w:t>A</w:t>
      </w:r>
      <w:r w:rsidR="005A43F5" w:rsidRPr="00261C59">
        <w:rPr>
          <w:rFonts w:ascii="Calibri" w:hAnsi="Calibri"/>
          <w:sz w:val="24"/>
          <w:szCs w:val="24"/>
          <w:lang w:val="en-GB"/>
        </w:rPr>
        <w:t>76</w:t>
      </w:r>
      <w:r w:rsidRPr="5446DE37">
        <w:rPr>
          <w:rFonts w:ascii="Calibri" w:hAnsi="Calibri"/>
          <w:sz w:val="24"/>
          <w:szCs w:val="24"/>
          <w:lang w:val="en-GB"/>
        </w:rPr>
        <w:t xml:space="preserve"> to </w:t>
      </w:r>
      <w:r w:rsidRPr="00261C59">
        <w:rPr>
          <w:rFonts w:ascii="Calibri" w:hAnsi="Calibri"/>
          <w:sz w:val="24"/>
          <w:szCs w:val="24"/>
          <w:lang w:val="en-GB"/>
        </w:rPr>
        <w:t>A</w:t>
      </w:r>
      <w:r w:rsidR="005A43F5" w:rsidRPr="00261C59">
        <w:rPr>
          <w:rFonts w:ascii="Calibri" w:hAnsi="Calibri"/>
          <w:sz w:val="24"/>
          <w:szCs w:val="24"/>
          <w:lang w:val="en-GB"/>
        </w:rPr>
        <w:t>79</w:t>
      </w:r>
      <w:r w:rsidRPr="5446DE37">
        <w:rPr>
          <w:rFonts w:ascii="Calibri" w:hAnsi="Calibri"/>
          <w:sz w:val="24"/>
          <w:szCs w:val="24"/>
          <w:lang w:val="en-GB"/>
        </w:rPr>
        <w:t>)</w:t>
      </w:r>
    </w:p>
    <w:p w14:paraId="4F554FBC" w14:textId="77777777" w:rsidR="00271836" w:rsidRPr="00261C59" w:rsidRDefault="00271836" w:rsidP="004728D9">
      <w:pPr>
        <w:keepNext/>
        <w:numPr>
          <w:ilvl w:val="1"/>
          <w:numId w:val="54"/>
        </w:numPr>
        <w:spacing w:after="240" w:line="260" w:lineRule="exact"/>
        <w:jc w:val="left"/>
        <w:rPr>
          <w:rFonts w:ascii="Calibri" w:hAnsi="Calibri"/>
          <w:sz w:val="24"/>
          <w:lang w:val="en-GB"/>
        </w:rPr>
      </w:pPr>
      <w:r w:rsidRPr="00261C59">
        <w:rPr>
          <w:rFonts w:ascii="Calibri" w:hAnsi="Calibri"/>
          <w:sz w:val="24"/>
          <w:lang w:val="en-GB"/>
        </w:rPr>
        <w:t>describing processes that allow for bilateral arrangements between the Commonwealth and one or more State(s) to fund services under the Block Funding stream where they do not otherwise fall within the IHACPA’s Determination.</w:t>
      </w:r>
    </w:p>
    <w:p w14:paraId="16E0CA26" w14:textId="62FD2344" w:rsidR="00271836" w:rsidRPr="00261C59" w:rsidRDefault="00271836" w:rsidP="004728D9">
      <w:pPr>
        <w:numPr>
          <w:ilvl w:val="0"/>
          <w:numId w:val="54"/>
        </w:numPr>
        <w:spacing w:after="240" w:line="260" w:lineRule="exact"/>
        <w:jc w:val="left"/>
        <w:rPr>
          <w:rFonts w:ascii="Calibri" w:hAnsi="Calibri"/>
          <w:sz w:val="24"/>
        </w:rPr>
      </w:pPr>
      <w:r w:rsidRPr="00261C59">
        <w:rPr>
          <w:rFonts w:ascii="Calibri" w:hAnsi="Calibri"/>
          <w:sz w:val="24"/>
          <w:szCs w:val="24"/>
        </w:rPr>
        <w:t>In developing the release of the Block Funding Criteria, the IHACPA will have regard to updating existing block-funded services and their categorisation and classification in line with clause A103, including considering:</w:t>
      </w:r>
    </w:p>
    <w:p w14:paraId="48B7C808" w14:textId="0A4113D0" w:rsidR="00271836" w:rsidRPr="00261C59" w:rsidRDefault="00271836" w:rsidP="004728D9">
      <w:pPr>
        <w:keepNext/>
        <w:numPr>
          <w:ilvl w:val="1"/>
          <w:numId w:val="54"/>
        </w:numPr>
        <w:spacing w:after="240" w:line="260" w:lineRule="exact"/>
        <w:jc w:val="left"/>
        <w:rPr>
          <w:rFonts w:ascii="Calibri" w:hAnsi="Calibri"/>
          <w:sz w:val="24"/>
          <w:szCs w:val="24"/>
          <w:lang w:val="en-GB"/>
        </w:rPr>
      </w:pPr>
      <w:r w:rsidRPr="5446DE37">
        <w:rPr>
          <w:rFonts w:ascii="Calibri" w:hAnsi="Calibri"/>
          <w:sz w:val="24"/>
          <w:szCs w:val="24"/>
          <w:lang w:val="en-GB"/>
        </w:rPr>
        <w:t>appropriate categories for block-funded hospitals (for example, small rural hospitals and standalone hospitals)</w:t>
      </w:r>
    </w:p>
    <w:p w14:paraId="4D81A589" w14:textId="265561A7" w:rsidR="00271836" w:rsidRPr="00261C59" w:rsidRDefault="00271836" w:rsidP="004728D9">
      <w:pPr>
        <w:keepNext/>
        <w:numPr>
          <w:ilvl w:val="1"/>
          <w:numId w:val="54"/>
        </w:numPr>
        <w:spacing w:after="240" w:line="260" w:lineRule="exact"/>
        <w:jc w:val="left"/>
        <w:rPr>
          <w:rFonts w:ascii="Calibri" w:hAnsi="Calibri"/>
          <w:sz w:val="24"/>
          <w:szCs w:val="24"/>
          <w:lang w:val="en-GB"/>
        </w:rPr>
      </w:pPr>
      <w:r w:rsidRPr="5446DE37">
        <w:rPr>
          <w:rFonts w:ascii="Calibri" w:hAnsi="Calibri"/>
          <w:sz w:val="24"/>
          <w:szCs w:val="24"/>
          <w:lang w:val="en-GB"/>
        </w:rPr>
        <w:t xml:space="preserve">developing a suitable category (or categories) to capture Public Health activities in the Block Funding stream as set out in clause </w:t>
      </w:r>
      <w:r w:rsidRPr="00261C59">
        <w:rPr>
          <w:rFonts w:ascii="Calibri" w:hAnsi="Calibri"/>
          <w:sz w:val="24"/>
          <w:szCs w:val="24"/>
          <w:lang w:val="en-GB"/>
        </w:rPr>
        <w:t>A8</w:t>
      </w:r>
      <w:r w:rsidR="003830B5" w:rsidRPr="00261C59">
        <w:rPr>
          <w:rFonts w:ascii="Calibri" w:hAnsi="Calibri"/>
          <w:sz w:val="24"/>
          <w:szCs w:val="24"/>
          <w:lang w:val="en-GB"/>
        </w:rPr>
        <w:t>0</w:t>
      </w:r>
      <w:r w:rsidR="00A469E2" w:rsidRPr="00261C59">
        <w:rPr>
          <w:rFonts w:ascii="Calibri" w:hAnsi="Calibri"/>
          <w:sz w:val="24"/>
          <w:szCs w:val="24"/>
          <w:lang w:val="en-GB"/>
        </w:rPr>
        <w:t xml:space="preserve"> </w:t>
      </w:r>
      <w:r w:rsidR="00752A74" w:rsidRPr="00261C59">
        <w:rPr>
          <w:rFonts w:ascii="Calibri" w:hAnsi="Calibri"/>
          <w:sz w:val="24"/>
          <w:szCs w:val="24"/>
          <w:lang w:val="en-GB"/>
        </w:rPr>
        <w:t>(for example, cancer screening programs</w:t>
      </w:r>
      <w:r w:rsidR="00752A74" w:rsidRPr="5446DE37">
        <w:rPr>
          <w:rFonts w:ascii="Calibri" w:hAnsi="Calibri"/>
          <w:sz w:val="24"/>
          <w:szCs w:val="24"/>
          <w:lang w:val="en-GB"/>
        </w:rPr>
        <w:t>)</w:t>
      </w:r>
    </w:p>
    <w:p w14:paraId="01B84F51" w14:textId="621BC804" w:rsidR="00271836" w:rsidRPr="00261C59" w:rsidRDefault="00271836" w:rsidP="004728D9">
      <w:pPr>
        <w:keepNext/>
        <w:numPr>
          <w:ilvl w:val="1"/>
          <w:numId w:val="54"/>
        </w:numPr>
        <w:spacing w:after="240" w:line="260" w:lineRule="exact"/>
        <w:jc w:val="left"/>
        <w:rPr>
          <w:rFonts w:ascii="Calibri" w:hAnsi="Calibri"/>
          <w:sz w:val="24"/>
          <w:szCs w:val="24"/>
          <w:lang w:val="en-GB"/>
        </w:rPr>
      </w:pPr>
      <w:r w:rsidRPr="5446DE37">
        <w:rPr>
          <w:rFonts w:ascii="Calibri" w:hAnsi="Calibri"/>
          <w:sz w:val="24"/>
          <w:szCs w:val="24"/>
          <w:lang w:val="en-GB"/>
        </w:rPr>
        <w:t>including other programs as agreed by the Parties</w:t>
      </w:r>
    </w:p>
    <w:p w14:paraId="16C78209" w14:textId="06EAE706" w:rsidR="00271836" w:rsidRPr="00261C59" w:rsidRDefault="00271836" w:rsidP="004728D9">
      <w:pPr>
        <w:keepNext/>
        <w:numPr>
          <w:ilvl w:val="1"/>
          <w:numId w:val="54"/>
        </w:numPr>
        <w:spacing w:after="240" w:line="260" w:lineRule="exact"/>
        <w:jc w:val="left"/>
        <w:rPr>
          <w:rFonts w:ascii="Calibri" w:hAnsi="Calibri"/>
          <w:sz w:val="24"/>
          <w:szCs w:val="24"/>
          <w:lang w:val="en-GB"/>
        </w:rPr>
      </w:pPr>
      <w:r w:rsidRPr="5446DE37">
        <w:rPr>
          <w:rFonts w:ascii="Calibri" w:hAnsi="Calibri"/>
          <w:sz w:val="24"/>
          <w:szCs w:val="24"/>
          <w:lang w:val="en-GB"/>
        </w:rPr>
        <w:t>developing a timeline and plan to classify and move categories that are best suited to other funding streams</w:t>
      </w:r>
    </w:p>
    <w:p w14:paraId="7ED4622B" w14:textId="559EADBA" w:rsidR="00271836" w:rsidRPr="00261C59" w:rsidRDefault="00271836" w:rsidP="004728D9">
      <w:pPr>
        <w:keepNext/>
        <w:numPr>
          <w:ilvl w:val="1"/>
          <w:numId w:val="54"/>
        </w:numPr>
        <w:spacing w:after="240" w:line="260" w:lineRule="exact"/>
        <w:jc w:val="left"/>
        <w:rPr>
          <w:rFonts w:ascii="Calibri" w:hAnsi="Calibri"/>
          <w:sz w:val="24"/>
          <w:szCs w:val="24"/>
          <w:lang w:val="en-GB"/>
        </w:rPr>
      </w:pPr>
      <w:r w:rsidRPr="5446DE37">
        <w:rPr>
          <w:rFonts w:ascii="Calibri" w:hAnsi="Calibri"/>
          <w:sz w:val="24"/>
          <w:szCs w:val="24"/>
          <w:lang w:val="en-GB"/>
        </w:rPr>
        <w:t>developing an approach on progressing improvements to the classification of the Australian Teaching and Training Classification (ATTC) for teaching and training, including implementation options</w:t>
      </w:r>
    </w:p>
    <w:p w14:paraId="34C706BB" w14:textId="77777777" w:rsidR="00271836" w:rsidRPr="00261C59" w:rsidRDefault="00271836" w:rsidP="004728D9">
      <w:pPr>
        <w:keepNext/>
        <w:numPr>
          <w:ilvl w:val="1"/>
          <w:numId w:val="54"/>
        </w:numPr>
        <w:spacing w:after="240" w:line="260" w:lineRule="exact"/>
        <w:jc w:val="left"/>
        <w:rPr>
          <w:rFonts w:ascii="Calibri" w:hAnsi="Calibri"/>
          <w:sz w:val="24"/>
          <w:lang w:val="en-GB"/>
        </w:rPr>
      </w:pPr>
      <w:r w:rsidRPr="00261C59">
        <w:rPr>
          <w:rFonts w:ascii="Calibri" w:hAnsi="Calibri"/>
          <w:sz w:val="24"/>
          <w:lang w:val="en-GB"/>
        </w:rPr>
        <w:t>developing a process for adding new categories.</w:t>
      </w:r>
    </w:p>
    <w:p w14:paraId="5259F831"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In determining the Block Funding Criteria as part of the National Efficient Cost Determination, the IHACPA will have further regard to the need to set criteria for block-funded hospitals so that activity or expenditure thresholds are aligned to the current list of block-funded hospitals.</w:t>
      </w:r>
    </w:p>
    <w:p w14:paraId="60935BD9" w14:textId="3477A72A" w:rsidR="00271836" w:rsidRPr="00261C59" w:rsidRDefault="00271836" w:rsidP="00A76DA2">
      <w:pPr>
        <w:keepLines/>
        <w:widowControl/>
        <w:numPr>
          <w:ilvl w:val="1"/>
          <w:numId w:val="54"/>
        </w:numPr>
        <w:spacing w:after="240" w:line="260" w:lineRule="exact"/>
        <w:jc w:val="left"/>
        <w:rPr>
          <w:rFonts w:ascii="Calibri" w:hAnsi="Calibri"/>
          <w:sz w:val="24"/>
          <w:lang w:val="en-GB"/>
        </w:rPr>
      </w:pPr>
      <w:r w:rsidRPr="00261C59">
        <w:rPr>
          <w:rFonts w:ascii="Calibri" w:hAnsi="Calibri"/>
          <w:sz w:val="24"/>
          <w:lang w:val="en-GB"/>
        </w:rPr>
        <w:t>These criteria will apply to block-funded, non-fixed-plus-variable hospitals categories as listed in the National Efficient Cost Determination, including:</w:t>
      </w:r>
    </w:p>
    <w:p w14:paraId="10376AD4" w14:textId="374D3E02" w:rsidR="00271836" w:rsidRPr="00261C59" w:rsidRDefault="00271836" w:rsidP="00271836">
      <w:pPr>
        <w:numPr>
          <w:ilvl w:val="2"/>
          <w:numId w:val="26"/>
        </w:numPr>
        <w:spacing w:after="240" w:line="260" w:lineRule="exact"/>
        <w:ind w:left="1841"/>
        <w:jc w:val="left"/>
        <w:rPr>
          <w:rFonts w:ascii="Calibri" w:hAnsi="Calibri"/>
          <w:sz w:val="24"/>
          <w:szCs w:val="24"/>
        </w:rPr>
      </w:pPr>
      <w:r w:rsidRPr="00261C59">
        <w:rPr>
          <w:rFonts w:ascii="Calibri" w:hAnsi="Calibri"/>
          <w:sz w:val="24"/>
        </w:rPr>
        <w:t>standalone hospitals providing specialist mental health services</w:t>
      </w:r>
    </w:p>
    <w:p w14:paraId="3909F612" w14:textId="77777777" w:rsidR="00271836" w:rsidRPr="00261C59" w:rsidRDefault="00271836" w:rsidP="00271836">
      <w:pPr>
        <w:numPr>
          <w:ilvl w:val="2"/>
          <w:numId w:val="26"/>
        </w:numPr>
        <w:spacing w:after="240" w:line="260" w:lineRule="exact"/>
        <w:ind w:left="1841"/>
        <w:jc w:val="left"/>
        <w:rPr>
          <w:rFonts w:ascii="Calibri" w:hAnsi="Calibri"/>
          <w:sz w:val="24"/>
          <w:szCs w:val="24"/>
        </w:rPr>
      </w:pPr>
      <w:r w:rsidRPr="00261C59">
        <w:rPr>
          <w:rFonts w:ascii="Calibri" w:hAnsi="Calibri"/>
          <w:sz w:val="24"/>
        </w:rPr>
        <w:t>standalone major city hospitals providing specialist services, and</w:t>
      </w:r>
    </w:p>
    <w:p w14:paraId="4E31ED13" w14:textId="2F9DB72E" w:rsidR="00271836" w:rsidRPr="00261C59" w:rsidRDefault="00271836" w:rsidP="00271836">
      <w:pPr>
        <w:numPr>
          <w:ilvl w:val="2"/>
          <w:numId w:val="26"/>
        </w:numPr>
        <w:spacing w:after="240" w:line="260" w:lineRule="exact"/>
        <w:ind w:left="1841"/>
        <w:jc w:val="left"/>
        <w:rPr>
          <w:rFonts w:ascii="Calibri" w:hAnsi="Calibri"/>
          <w:sz w:val="24"/>
          <w:szCs w:val="24"/>
        </w:rPr>
      </w:pPr>
      <w:r w:rsidRPr="00261C59">
        <w:rPr>
          <w:rFonts w:ascii="Calibri" w:hAnsi="Calibri"/>
          <w:sz w:val="24"/>
        </w:rPr>
        <w:t>other standalone hospitals that are not appropriately funded by the fixed-plus-variable small rural hospital National Efficient Cost model</w:t>
      </w:r>
      <w:r w:rsidR="0080671E">
        <w:rPr>
          <w:rFonts w:ascii="Calibri" w:hAnsi="Calibri"/>
          <w:sz w:val="24"/>
        </w:rPr>
        <w:t>.</w:t>
      </w:r>
    </w:p>
    <w:p w14:paraId="6C60D841" w14:textId="77777777" w:rsidR="00271836" w:rsidRPr="00261C59" w:rsidRDefault="00271836" w:rsidP="00EF51ED">
      <w:pPr>
        <w:keepLines/>
        <w:numPr>
          <w:ilvl w:val="1"/>
          <w:numId w:val="54"/>
        </w:numPr>
        <w:spacing w:after="240" w:line="260" w:lineRule="exact"/>
        <w:jc w:val="left"/>
        <w:rPr>
          <w:rFonts w:ascii="Calibri" w:hAnsi="Calibri"/>
          <w:sz w:val="24"/>
          <w:lang w:val="en-GB"/>
        </w:rPr>
      </w:pPr>
      <w:r w:rsidRPr="00261C59">
        <w:rPr>
          <w:rFonts w:ascii="Calibri" w:hAnsi="Calibri"/>
          <w:sz w:val="24"/>
          <w:lang w:val="en-GB"/>
        </w:rPr>
        <w:t>The IHACPA will continue to set the expenditure and activity threshold for small rural hospitals and apply the National Efficient Cost model for calculating Commonwealth block-funding contributions for small rural services.</w:t>
      </w:r>
    </w:p>
    <w:p w14:paraId="5A551419" w14:textId="77777777" w:rsidR="00271836" w:rsidRPr="00261C59" w:rsidRDefault="00271836" w:rsidP="00FE3E89">
      <w:pPr>
        <w:keepLines/>
        <w:numPr>
          <w:ilvl w:val="1"/>
          <w:numId w:val="54"/>
        </w:numPr>
        <w:spacing w:after="240" w:line="260" w:lineRule="exact"/>
        <w:jc w:val="left"/>
        <w:rPr>
          <w:rFonts w:ascii="Calibri" w:hAnsi="Calibri"/>
          <w:sz w:val="24"/>
          <w:lang w:val="en-GB"/>
        </w:rPr>
      </w:pPr>
      <w:r w:rsidRPr="00261C59">
        <w:rPr>
          <w:rFonts w:ascii="Calibri" w:hAnsi="Calibri"/>
          <w:sz w:val="24"/>
          <w:lang w:val="en-GB"/>
        </w:rPr>
        <w:t xml:space="preserve">If hospitals are listed as block-funded hospitals but funded by States through activity-based funding, these hospitals will be removed from the list. </w:t>
      </w:r>
    </w:p>
    <w:p w14:paraId="0CF0DEDF"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lastRenderedPageBreak/>
        <w:t>In developing the Block Funding Criteria, the IHACPA will have regard to the limitations States have in providing data for block-funded eligible services and should not seek to duplicate the level of data requirements needed for ABF.</w:t>
      </w:r>
    </w:p>
    <w:p w14:paraId="0FA2D80C" w14:textId="77777777" w:rsidR="00271836" w:rsidRPr="00261C59" w:rsidRDefault="00271836" w:rsidP="004728D9">
      <w:pPr>
        <w:numPr>
          <w:ilvl w:val="0"/>
          <w:numId w:val="54"/>
        </w:numPr>
        <w:spacing w:after="240" w:line="260" w:lineRule="exact"/>
        <w:jc w:val="left"/>
        <w:rPr>
          <w:rFonts w:ascii="Calibri" w:hAnsi="Calibri"/>
          <w:sz w:val="24"/>
        </w:rPr>
      </w:pPr>
      <w:r w:rsidRPr="00261C59">
        <w:rPr>
          <w:rFonts w:ascii="Calibri" w:hAnsi="Calibri"/>
          <w:sz w:val="24"/>
          <w:szCs w:val="24"/>
        </w:rPr>
        <w:t>As part of the annual National Efficient Cost Determination process, States will provide advice to the IHACPA on how their hospitals, health services and functions meet the Block Funding Criteria, and reference Service Agreements, State Budget Papers, or other sources to substantiate estimates of in-scope funding for those services.</w:t>
      </w:r>
    </w:p>
    <w:p w14:paraId="7546FF53" w14:textId="77777777" w:rsidR="00271836" w:rsidRPr="00261C59" w:rsidRDefault="00271836" w:rsidP="005460E8">
      <w:pPr>
        <w:keepNext/>
        <w:keepLines/>
        <w:spacing w:before="200"/>
        <w:jc w:val="left"/>
        <w:outlineLvl w:val="3"/>
        <w:rPr>
          <w:rFonts w:eastAsia="Yu Gothic Light"/>
          <w:b/>
          <w:bCs/>
          <w:iCs/>
        </w:rPr>
      </w:pPr>
      <w:r w:rsidRPr="00261C59">
        <w:rPr>
          <w:rFonts w:eastAsia="Yu Gothic Light"/>
          <w:b/>
          <w:bCs/>
          <w:iCs/>
        </w:rPr>
        <w:t xml:space="preserve">Alternative payment model trials </w:t>
      </w:r>
    </w:p>
    <w:p w14:paraId="3FBE117B"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Parties may bilaterally agree to trial alternative payment models not otherwise described in this Addendum, including where funding or pricing methodologies are planned to be implemented but not yet available in the formal National Funding Model or National Pricing Model, through the processes outlined in Schedule D. Commonwealth contributions to these trials will be through the Block Funding stream arrangements.   </w:t>
      </w:r>
    </w:p>
    <w:p w14:paraId="79B17F1C" w14:textId="77777777" w:rsidR="00271836" w:rsidRPr="00261C59" w:rsidRDefault="00271836" w:rsidP="004728D9">
      <w:pPr>
        <w:widowControl/>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Where an alternative payment model trial proposal has been agreed between the Commonwealth and one or more States, the proposal will be referred to IHACPA and ACSQHC who will support the nominating Party to: </w:t>
      </w:r>
    </w:p>
    <w:p w14:paraId="296656CD" w14:textId="12D50585" w:rsidR="00271836" w:rsidRPr="00261C59" w:rsidRDefault="00271836" w:rsidP="004728D9">
      <w:pPr>
        <w:keepNext/>
        <w:numPr>
          <w:ilvl w:val="1"/>
          <w:numId w:val="54"/>
        </w:numPr>
        <w:spacing w:after="240" w:line="260" w:lineRule="exact"/>
        <w:jc w:val="left"/>
        <w:rPr>
          <w:rFonts w:ascii="Calibri" w:hAnsi="Calibri"/>
          <w:sz w:val="24"/>
          <w:szCs w:val="24"/>
          <w:lang w:val="en-GB"/>
        </w:rPr>
      </w:pPr>
      <w:r w:rsidRPr="120E31ED">
        <w:rPr>
          <w:rFonts w:ascii="Calibri" w:hAnsi="Calibri"/>
          <w:sz w:val="24"/>
          <w:szCs w:val="24"/>
          <w:lang w:val="en-GB"/>
        </w:rPr>
        <w:t xml:space="preserve">develop an appropriate costing or </w:t>
      </w:r>
      <w:r w:rsidRPr="120E31ED" w:rsidDel="00FA60D7">
        <w:rPr>
          <w:rFonts w:ascii="Calibri" w:hAnsi="Calibri"/>
          <w:sz w:val="24"/>
          <w:szCs w:val="24"/>
          <w:lang w:val="en-GB"/>
        </w:rPr>
        <w:t>pricing</w:t>
      </w:r>
      <w:r w:rsidRPr="120E31ED">
        <w:rPr>
          <w:rFonts w:ascii="Calibri" w:hAnsi="Calibri"/>
          <w:sz w:val="24"/>
          <w:szCs w:val="24"/>
          <w:lang w:val="en-GB"/>
        </w:rPr>
        <w:t xml:space="preserve"> model</w:t>
      </w:r>
    </w:p>
    <w:p w14:paraId="561CB33D" w14:textId="77777777" w:rsidR="00271836" w:rsidRPr="00261C59" w:rsidRDefault="00271836" w:rsidP="004728D9">
      <w:pPr>
        <w:keepNext/>
        <w:numPr>
          <w:ilvl w:val="1"/>
          <w:numId w:val="54"/>
        </w:numPr>
        <w:spacing w:after="240" w:line="260" w:lineRule="exact"/>
        <w:jc w:val="left"/>
        <w:rPr>
          <w:rFonts w:ascii="Calibri" w:hAnsi="Calibri"/>
          <w:sz w:val="24"/>
          <w:lang w:val="en-GB"/>
        </w:rPr>
      </w:pPr>
      <w:r w:rsidRPr="00261C59">
        <w:rPr>
          <w:rFonts w:ascii="Calibri" w:hAnsi="Calibri"/>
          <w:sz w:val="24"/>
          <w:lang w:val="en-GB"/>
        </w:rPr>
        <w:t>confirm details of the trial parameters, including, but not limited to, time, number of locations, and scope of costing or pricing.</w:t>
      </w:r>
    </w:p>
    <w:p w14:paraId="261510EA" w14:textId="77777777" w:rsidR="00271836" w:rsidRPr="00261C59" w:rsidRDefault="00271836" w:rsidP="004728D9">
      <w:pPr>
        <w:keepNext/>
        <w:numPr>
          <w:ilvl w:val="0"/>
          <w:numId w:val="54"/>
        </w:numPr>
        <w:spacing w:after="240" w:line="260" w:lineRule="exact"/>
        <w:jc w:val="left"/>
        <w:rPr>
          <w:rFonts w:ascii="Calibri" w:hAnsi="Calibri"/>
          <w:sz w:val="24"/>
          <w:szCs w:val="24"/>
        </w:rPr>
      </w:pPr>
      <w:r w:rsidRPr="00261C59">
        <w:rPr>
          <w:rFonts w:ascii="Calibri" w:hAnsi="Calibri"/>
          <w:sz w:val="24"/>
          <w:szCs w:val="24"/>
        </w:rPr>
        <w:t>The IHACPA will:</w:t>
      </w:r>
    </w:p>
    <w:p w14:paraId="1136AE1D" w14:textId="527B3CF1" w:rsidR="00271836" w:rsidRPr="00261C59" w:rsidRDefault="00271836" w:rsidP="004728D9">
      <w:pPr>
        <w:keepNext/>
        <w:numPr>
          <w:ilvl w:val="1"/>
          <w:numId w:val="54"/>
        </w:numPr>
        <w:spacing w:after="240" w:line="260" w:lineRule="exact"/>
        <w:jc w:val="left"/>
        <w:rPr>
          <w:rFonts w:ascii="Calibri" w:hAnsi="Calibri"/>
          <w:sz w:val="24"/>
          <w:szCs w:val="24"/>
          <w:lang w:val="en-GB"/>
        </w:rPr>
      </w:pPr>
      <w:r w:rsidRPr="120E31ED">
        <w:rPr>
          <w:rFonts w:ascii="Calibri" w:hAnsi="Calibri"/>
          <w:sz w:val="24"/>
          <w:szCs w:val="24"/>
          <w:lang w:val="en-GB"/>
        </w:rPr>
        <w:t xml:space="preserve">work with the nominating State(s) to develop a costing or pricing methodology that does not penalise States undertaking trials, or other </w:t>
      </w:r>
      <w:r w:rsidRPr="00261C59">
        <w:rPr>
          <w:rFonts w:ascii="Calibri" w:hAnsi="Calibri"/>
          <w:sz w:val="24"/>
          <w:szCs w:val="24"/>
          <w:lang w:val="en-GB"/>
        </w:rPr>
        <w:t>States</w:t>
      </w:r>
      <w:r w:rsidRPr="120E31ED">
        <w:rPr>
          <w:rFonts w:ascii="Calibri" w:hAnsi="Calibri"/>
          <w:sz w:val="24"/>
          <w:szCs w:val="24"/>
          <w:lang w:val="en-GB"/>
        </w:rPr>
        <w:t>. Application of this methodology in individual instances would be agreed by the nominating State(s) and the Commonwealth</w:t>
      </w:r>
    </w:p>
    <w:p w14:paraId="79C23E7C" w14:textId="77777777" w:rsidR="00271836" w:rsidRPr="00261C59" w:rsidRDefault="00271836" w:rsidP="004728D9">
      <w:pPr>
        <w:keepNext/>
        <w:numPr>
          <w:ilvl w:val="1"/>
          <w:numId w:val="54"/>
        </w:numPr>
        <w:spacing w:after="240" w:line="260" w:lineRule="exact"/>
        <w:jc w:val="left"/>
        <w:rPr>
          <w:rFonts w:ascii="Calibri" w:hAnsi="Calibri"/>
          <w:sz w:val="24"/>
          <w:lang w:val="en-GB"/>
        </w:rPr>
      </w:pPr>
      <w:r w:rsidRPr="00261C59">
        <w:rPr>
          <w:rFonts w:ascii="Calibri" w:hAnsi="Calibri"/>
          <w:sz w:val="24"/>
          <w:lang w:val="en-GB"/>
        </w:rPr>
        <w:t>advise the Commonwealth and State(s) on application of the methodology and on any issues it foresees the proposed trial will have for the National Funding Model.</w:t>
      </w:r>
    </w:p>
    <w:p w14:paraId="2BE424D7"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During a trial, a State will need to continue to acquit and report Commonwealth funding on an ABF or block basis to verify that the payment arrangement is operating as intended.</w:t>
      </w:r>
    </w:p>
    <w:p w14:paraId="6A662771" w14:textId="77777777" w:rsidR="00271836" w:rsidRPr="00261C59" w:rsidRDefault="00271836" w:rsidP="00A76DA2">
      <w:pPr>
        <w:keepNext/>
        <w:jc w:val="left"/>
        <w:outlineLvl w:val="2"/>
        <w:rPr>
          <w:rFonts w:ascii="Corbel" w:hAnsi="Corbel"/>
          <w:color w:val="3D4B67"/>
          <w:sz w:val="28"/>
          <w:szCs w:val="28"/>
          <w:lang w:eastAsia="ja-JP"/>
        </w:rPr>
      </w:pPr>
      <w:bookmarkStart w:id="212" w:name="_Toc168579009"/>
      <w:bookmarkStart w:id="213" w:name="_Toc171350359"/>
      <w:bookmarkStart w:id="214" w:name="_Toc172210241"/>
      <w:bookmarkStart w:id="215" w:name="_Toc172787691"/>
      <w:bookmarkStart w:id="216" w:name="_Toc173937707"/>
      <w:bookmarkStart w:id="217" w:name="_Toc183183306"/>
      <w:bookmarkStart w:id="218" w:name="_Toc201673964"/>
      <w:bookmarkStart w:id="219" w:name="_Toc210833597"/>
      <w:bookmarkStart w:id="220" w:name="_Toc214456497"/>
      <w:bookmarkStart w:id="221" w:name="_Toc221087975"/>
      <w:r w:rsidRPr="00261C59">
        <w:rPr>
          <w:rFonts w:ascii="Corbel" w:hAnsi="Corbel"/>
          <w:color w:val="3D4B67"/>
          <w:sz w:val="28"/>
          <w:szCs w:val="28"/>
          <w:lang w:eastAsia="ja-JP"/>
        </w:rPr>
        <w:t>Public Health Funding - Principles for determining the cost/price</w:t>
      </w:r>
      <w:bookmarkEnd w:id="212"/>
      <w:bookmarkEnd w:id="213"/>
      <w:bookmarkEnd w:id="214"/>
      <w:bookmarkEnd w:id="215"/>
      <w:bookmarkEnd w:id="216"/>
      <w:bookmarkEnd w:id="217"/>
      <w:bookmarkEnd w:id="218"/>
      <w:bookmarkEnd w:id="219"/>
      <w:bookmarkEnd w:id="220"/>
      <w:bookmarkEnd w:id="221"/>
    </w:p>
    <w:p w14:paraId="6C0403FF" w14:textId="6AE8336E" w:rsidR="00271836" w:rsidRPr="00261C59" w:rsidRDefault="00C80A14" w:rsidP="004728D9">
      <w:pPr>
        <w:numPr>
          <w:ilvl w:val="0"/>
          <w:numId w:val="54"/>
        </w:numPr>
        <w:spacing w:after="240" w:line="260" w:lineRule="exact"/>
        <w:jc w:val="left"/>
        <w:rPr>
          <w:rFonts w:ascii="Calibri" w:hAnsi="Calibri"/>
          <w:sz w:val="24"/>
        </w:rPr>
      </w:pPr>
      <w:r w:rsidRPr="00261C59">
        <w:rPr>
          <w:rFonts w:ascii="Calibri" w:hAnsi="Calibri"/>
          <w:sz w:val="24"/>
          <w:szCs w:val="24"/>
        </w:rPr>
        <w:t xml:space="preserve">During </w:t>
      </w:r>
      <w:r w:rsidR="00677307" w:rsidRPr="00261C59">
        <w:rPr>
          <w:rFonts w:ascii="Calibri" w:hAnsi="Calibri"/>
          <w:sz w:val="24"/>
          <w:szCs w:val="24"/>
        </w:rPr>
        <w:t xml:space="preserve">the term of </w:t>
      </w:r>
      <w:r w:rsidR="00567027" w:rsidRPr="00261C59">
        <w:rPr>
          <w:rFonts w:ascii="Calibri" w:hAnsi="Calibri"/>
          <w:sz w:val="24"/>
          <w:szCs w:val="24"/>
        </w:rPr>
        <w:t>this Addendum</w:t>
      </w:r>
      <w:r w:rsidR="00271836" w:rsidRPr="00261C59">
        <w:rPr>
          <w:rFonts w:ascii="Calibri" w:hAnsi="Calibri"/>
          <w:sz w:val="24"/>
          <w:szCs w:val="24"/>
        </w:rPr>
        <w:t xml:space="preserve">, the IHACPA and the Administrator will provide to HMM for consideration, an approach to incorporate the Public Health Funding stream into the Block Funding stream. HMM will advise on implementation and next steps based on the advice given. In developing an approach, the IHACPA and the Administrator will have regard to: </w:t>
      </w:r>
    </w:p>
    <w:p w14:paraId="711A47B1" w14:textId="503848CB" w:rsidR="00271836" w:rsidRPr="00261C59" w:rsidRDefault="26145E55" w:rsidP="00EF51ED">
      <w:pPr>
        <w:keepNext/>
        <w:keepLines/>
        <w:numPr>
          <w:ilvl w:val="1"/>
          <w:numId w:val="54"/>
        </w:numPr>
        <w:spacing w:after="240" w:line="260" w:lineRule="exact"/>
        <w:jc w:val="left"/>
        <w:rPr>
          <w:rFonts w:ascii="Calibri" w:hAnsi="Calibri"/>
          <w:sz w:val="24"/>
          <w:szCs w:val="24"/>
          <w:lang w:val="en-GB"/>
        </w:rPr>
      </w:pPr>
      <w:r w:rsidRPr="67483186">
        <w:rPr>
          <w:rFonts w:ascii="Calibri" w:hAnsi="Calibri"/>
          <w:sz w:val="24"/>
          <w:szCs w:val="24"/>
          <w:lang w:val="en-GB"/>
        </w:rPr>
        <w:t>a</w:t>
      </w:r>
      <w:r w:rsidR="00271836" w:rsidRPr="21770308">
        <w:rPr>
          <w:rFonts w:ascii="Calibri" w:hAnsi="Calibri"/>
          <w:sz w:val="24"/>
          <w:szCs w:val="24"/>
          <w:lang w:val="en-GB"/>
        </w:rPr>
        <w:t xml:space="preserve"> definition of in-scope Public Health activities that will receive a Commonwealth funding contribution through this Addendum will be developed by IHACPA</w:t>
      </w:r>
    </w:p>
    <w:p w14:paraId="183D4D76" w14:textId="790196AD" w:rsidR="00271836" w:rsidRPr="00261C59" w:rsidRDefault="55ED322D" w:rsidP="004728D9">
      <w:pPr>
        <w:numPr>
          <w:ilvl w:val="2"/>
          <w:numId w:val="56"/>
        </w:numPr>
        <w:spacing w:after="240" w:line="260" w:lineRule="exact"/>
        <w:ind w:left="1842" w:hanging="181"/>
        <w:jc w:val="left"/>
        <w:rPr>
          <w:rFonts w:ascii="Calibri" w:hAnsi="Calibri"/>
          <w:sz w:val="24"/>
          <w:szCs w:val="24"/>
        </w:rPr>
      </w:pPr>
      <w:r w:rsidRPr="67483186">
        <w:rPr>
          <w:rFonts w:ascii="Calibri" w:hAnsi="Calibri"/>
          <w:sz w:val="24"/>
          <w:szCs w:val="24"/>
        </w:rPr>
        <w:t>t</w:t>
      </w:r>
      <w:r w:rsidR="00271836" w:rsidRPr="67483186">
        <w:rPr>
          <w:rFonts w:ascii="Calibri" w:hAnsi="Calibri"/>
          <w:sz w:val="24"/>
          <w:szCs w:val="24"/>
        </w:rPr>
        <w:t>he IHACPA and the Administrator will consider the work of the Australian Centre for Disease Control and the National Preventive Health Strategy 2021-2030, consult closely with the Parties, and have regard to the activities historically funded through the Public Health Funding stream</w:t>
      </w:r>
    </w:p>
    <w:p w14:paraId="02D15A99" w14:textId="03682B28" w:rsidR="00271836" w:rsidRPr="00261C59" w:rsidRDefault="5804A2A8" w:rsidP="004728D9">
      <w:pPr>
        <w:keepNext/>
        <w:numPr>
          <w:ilvl w:val="1"/>
          <w:numId w:val="54"/>
        </w:numPr>
        <w:spacing w:after="240" w:line="260" w:lineRule="exact"/>
        <w:jc w:val="left"/>
        <w:rPr>
          <w:rFonts w:ascii="Calibri" w:hAnsi="Calibri"/>
          <w:sz w:val="24"/>
          <w:szCs w:val="24"/>
          <w:lang w:val="en-GB"/>
        </w:rPr>
      </w:pPr>
      <w:r w:rsidRPr="02CB988D">
        <w:rPr>
          <w:rFonts w:ascii="Calibri" w:hAnsi="Calibri"/>
          <w:sz w:val="24"/>
          <w:szCs w:val="24"/>
          <w:lang w:val="en-GB"/>
        </w:rPr>
        <w:lastRenderedPageBreak/>
        <w:t>t</w:t>
      </w:r>
      <w:r w:rsidR="00271836" w:rsidRPr="02CB988D">
        <w:rPr>
          <w:rFonts w:ascii="Calibri" w:hAnsi="Calibri"/>
          <w:sz w:val="24"/>
          <w:szCs w:val="24"/>
          <w:lang w:val="en-GB"/>
        </w:rPr>
        <w:t xml:space="preserve">he need for the new block-funded Public Health activities to undergo a shadow pricing period, as outlined in accordance with the principles and processes set out in clauses </w:t>
      </w:r>
      <w:r w:rsidR="00271836" w:rsidRPr="00261C59">
        <w:rPr>
          <w:rFonts w:ascii="Calibri" w:hAnsi="Calibri"/>
          <w:sz w:val="24"/>
          <w:szCs w:val="24"/>
          <w:lang w:val="en-GB"/>
        </w:rPr>
        <w:t>A</w:t>
      </w:r>
      <w:r w:rsidR="00A33162" w:rsidRPr="00261C59">
        <w:rPr>
          <w:rFonts w:ascii="Calibri" w:hAnsi="Calibri"/>
          <w:sz w:val="24"/>
          <w:szCs w:val="24"/>
          <w:lang w:val="en-GB"/>
        </w:rPr>
        <w:t>98</w:t>
      </w:r>
      <w:r w:rsidR="00271836" w:rsidRPr="02CB988D">
        <w:rPr>
          <w:rFonts w:ascii="Calibri" w:hAnsi="Calibri"/>
          <w:sz w:val="24"/>
          <w:szCs w:val="24"/>
          <w:lang w:val="en-GB"/>
        </w:rPr>
        <w:t xml:space="preserve"> and </w:t>
      </w:r>
      <w:r w:rsidR="00A33162" w:rsidRPr="00261C59">
        <w:rPr>
          <w:rFonts w:ascii="Calibri" w:hAnsi="Calibri"/>
          <w:sz w:val="24"/>
          <w:szCs w:val="24"/>
          <w:lang w:val="en-GB"/>
        </w:rPr>
        <w:t>A99</w:t>
      </w:r>
      <w:r w:rsidR="00271836" w:rsidRPr="02CB988D">
        <w:rPr>
          <w:rFonts w:ascii="Calibri" w:hAnsi="Calibri"/>
          <w:sz w:val="24"/>
          <w:szCs w:val="24"/>
          <w:lang w:val="en-GB"/>
        </w:rPr>
        <w:t xml:space="preserve"> </w:t>
      </w:r>
    </w:p>
    <w:p w14:paraId="348D51EF" w14:textId="6FB5FD83" w:rsidR="00271836" w:rsidRPr="00261C59" w:rsidRDefault="7B66DDFF" w:rsidP="004728D9">
      <w:pPr>
        <w:keepNext/>
        <w:numPr>
          <w:ilvl w:val="1"/>
          <w:numId w:val="54"/>
        </w:numPr>
        <w:spacing w:after="240" w:line="260" w:lineRule="exact"/>
        <w:jc w:val="left"/>
        <w:rPr>
          <w:rFonts w:ascii="Calibri" w:hAnsi="Calibri"/>
          <w:sz w:val="24"/>
          <w:szCs w:val="24"/>
          <w:lang w:val="en-GB"/>
        </w:rPr>
      </w:pPr>
      <w:r w:rsidRPr="02CB988D">
        <w:rPr>
          <w:rFonts w:ascii="Calibri" w:hAnsi="Calibri"/>
          <w:sz w:val="24"/>
          <w:szCs w:val="24"/>
          <w:lang w:val="en-GB"/>
        </w:rPr>
        <w:t>t</w:t>
      </w:r>
      <w:r w:rsidR="00271836" w:rsidRPr="02CB988D">
        <w:rPr>
          <w:rFonts w:ascii="Calibri" w:hAnsi="Calibri"/>
          <w:sz w:val="24"/>
          <w:szCs w:val="24"/>
          <w:lang w:val="en-GB"/>
        </w:rPr>
        <w:t xml:space="preserve">he intent for Public Health activities to be categories within the Block Funding stream to operate in line with Block Funding Criteria processes (clauses </w:t>
      </w:r>
      <w:r w:rsidR="00271836" w:rsidRPr="00261C59">
        <w:rPr>
          <w:rFonts w:ascii="Calibri" w:hAnsi="Calibri"/>
          <w:sz w:val="24"/>
          <w:szCs w:val="24"/>
          <w:lang w:val="en-GB"/>
        </w:rPr>
        <w:t>A</w:t>
      </w:r>
      <w:r w:rsidR="009E1828" w:rsidRPr="00261C59">
        <w:rPr>
          <w:rFonts w:ascii="Calibri" w:hAnsi="Calibri"/>
          <w:sz w:val="24"/>
          <w:szCs w:val="24"/>
          <w:lang w:val="en-GB"/>
        </w:rPr>
        <w:t>68</w:t>
      </w:r>
      <w:r w:rsidR="00271836" w:rsidRPr="02CB988D">
        <w:rPr>
          <w:rFonts w:ascii="Calibri" w:hAnsi="Calibri"/>
          <w:sz w:val="24"/>
          <w:szCs w:val="24"/>
          <w:lang w:val="en-GB"/>
        </w:rPr>
        <w:t xml:space="preserve"> to </w:t>
      </w:r>
      <w:r w:rsidR="00271836" w:rsidRPr="00261C59">
        <w:rPr>
          <w:rFonts w:ascii="Calibri" w:hAnsi="Calibri"/>
          <w:sz w:val="24"/>
          <w:szCs w:val="24"/>
          <w:lang w:val="en-GB"/>
        </w:rPr>
        <w:t>A</w:t>
      </w:r>
      <w:r w:rsidR="009E1828" w:rsidRPr="00261C59">
        <w:rPr>
          <w:rFonts w:ascii="Calibri" w:hAnsi="Calibri"/>
          <w:sz w:val="24"/>
          <w:szCs w:val="24"/>
          <w:lang w:val="en-GB"/>
        </w:rPr>
        <w:t>75</w:t>
      </w:r>
      <w:r w:rsidR="00271836" w:rsidRPr="02CB988D">
        <w:rPr>
          <w:rFonts w:ascii="Calibri" w:hAnsi="Calibri"/>
          <w:sz w:val="24"/>
          <w:szCs w:val="24"/>
          <w:lang w:val="en-GB"/>
        </w:rPr>
        <w:t xml:space="preserve">). </w:t>
      </w:r>
    </w:p>
    <w:p w14:paraId="2C8D1A11" w14:textId="0DF2BAD1"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Parties acknowledge this process may find that the cost of, and the Commonwealth funding contribution for, Public Health activities through other funding streams differs significantly from the historical Public Health Funding stream contribution currently paid via clauses </w:t>
      </w:r>
      <w:r w:rsidRPr="00261C59">
        <w:rPr>
          <w:rFonts w:ascii="Calibri" w:hAnsi="Calibri"/>
          <w:sz w:val="24"/>
        </w:rPr>
        <w:t>A</w:t>
      </w:r>
      <w:r w:rsidR="00B8534C" w:rsidRPr="00261C59">
        <w:rPr>
          <w:rFonts w:ascii="Calibri" w:hAnsi="Calibri"/>
          <w:sz w:val="24"/>
        </w:rPr>
        <w:t>25</w:t>
      </w:r>
      <w:r w:rsidRPr="00261C59">
        <w:rPr>
          <w:rFonts w:ascii="Calibri" w:hAnsi="Calibri"/>
          <w:sz w:val="24"/>
        </w:rPr>
        <w:t xml:space="preserve"> and A</w:t>
      </w:r>
      <w:r w:rsidR="00B8534C" w:rsidRPr="00261C59">
        <w:rPr>
          <w:rFonts w:ascii="Calibri" w:hAnsi="Calibri"/>
          <w:sz w:val="24"/>
        </w:rPr>
        <w:t>26</w:t>
      </w:r>
      <w:r w:rsidRPr="00261C59">
        <w:rPr>
          <w:rFonts w:ascii="Calibri" w:hAnsi="Calibri"/>
          <w:sz w:val="24"/>
          <w:szCs w:val="24"/>
        </w:rPr>
        <w:t>. In these circumstances:</w:t>
      </w:r>
    </w:p>
    <w:p w14:paraId="3C2DB94B" w14:textId="0213F670" w:rsidR="00271836" w:rsidRPr="00261C59" w:rsidRDefault="3FB76962" w:rsidP="004728D9">
      <w:pPr>
        <w:keepNext/>
        <w:numPr>
          <w:ilvl w:val="1"/>
          <w:numId w:val="54"/>
        </w:numPr>
        <w:spacing w:after="240" w:line="260" w:lineRule="exact"/>
        <w:jc w:val="left"/>
        <w:rPr>
          <w:rFonts w:ascii="Calibri" w:hAnsi="Calibri"/>
          <w:sz w:val="24"/>
          <w:szCs w:val="24"/>
          <w:lang w:val="en-GB"/>
        </w:rPr>
      </w:pPr>
      <w:r w:rsidRPr="02CB988D">
        <w:rPr>
          <w:rFonts w:ascii="Calibri" w:hAnsi="Calibri"/>
          <w:sz w:val="24"/>
          <w:szCs w:val="24"/>
          <w:lang w:val="en-GB"/>
        </w:rPr>
        <w:t>t</w:t>
      </w:r>
      <w:r w:rsidR="00271836" w:rsidRPr="02CB988D">
        <w:rPr>
          <w:rFonts w:ascii="Calibri" w:hAnsi="Calibri"/>
          <w:sz w:val="24"/>
          <w:szCs w:val="24"/>
          <w:lang w:val="en-GB"/>
        </w:rPr>
        <w:t xml:space="preserve">he Administrator will develop an implementation plan to accompany HMM’s approach to incorporate Public Health Funding into the other funding stream for the delivery of this clause and its components. If the Administrator identifies any changes required to the funding model, amendments to the Addendum may be made on agreement by all Parties according to </w:t>
      </w:r>
      <w:r w:rsidR="00BA707D" w:rsidRPr="00261C59">
        <w:rPr>
          <w:rFonts w:ascii="Calibri" w:hAnsi="Calibri"/>
          <w:sz w:val="24"/>
          <w:szCs w:val="24"/>
          <w:lang w:val="en-GB"/>
        </w:rPr>
        <w:t>Preliminaries</w:t>
      </w:r>
      <w:r w:rsidR="008522AC" w:rsidRPr="00261C59">
        <w:rPr>
          <w:rFonts w:ascii="Calibri" w:hAnsi="Calibri"/>
          <w:sz w:val="24"/>
          <w:szCs w:val="24"/>
          <w:lang w:val="en-GB"/>
        </w:rPr>
        <w:t xml:space="preserve"> </w:t>
      </w:r>
      <w:r w:rsidR="00271836" w:rsidRPr="02CB988D">
        <w:rPr>
          <w:rFonts w:ascii="Calibri" w:hAnsi="Calibri"/>
          <w:sz w:val="24"/>
          <w:szCs w:val="24"/>
          <w:lang w:val="en-GB"/>
        </w:rPr>
        <w:t>clauses 4</w:t>
      </w:r>
      <w:r w:rsidR="00101997" w:rsidRPr="02CB988D">
        <w:rPr>
          <w:rFonts w:ascii="Calibri" w:hAnsi="Calibri"/>
          <w:sz w:val="24"/>
          <w:szCs w:val="24"/>
          <w:lang w:val="en-GB"/>
        </w:rPr>
        <w:t>5</w:t>
      </w:r>
      <w:r w:rsidR="00271836" w:rsidRPr="02CB988D">
        <w:rPr>
          <w:rFonts w:ascii="Calibri" w:hAnsi="Calibri"/>
          <w:sz w:val="24"/>
          <w:szCs w:val="24"/>
          <w:lang w:val="en-GB"/>
        </w:rPr>
        <w:t xml:space="preserve"> and 4</w:t>
      </w:r>
      <w:r w:rsidR="00101997" w:rsidRPr="02CB988D">
        <w:rPr>
          <w:rFonts w:ascii="Calibri" w:hAnsi="Calibri"/>
          <w:sz w:val="24"/>
          <w:szCs w:val="24"/>
          <w:lang w:val="en-GB"/>
        </w:rPr>
        <w:t>6</w:t>
      </w:r>
    </w:p>
    <w:p w14:paraId="412A5826" w14:textId="26642C43" w:rsidR="00271836" w:rsidRPr="00261C59" w:rsidRDefault="00271836" w:rsidP="004728D9">
      <w:pPr>
        <w:keepNext/>
        <w:numPr>
          <w:ilvl w:val="1"/>
          <w:numId w:val="54"/>
        </w:numPr>
        <w:spacing w:after="240" w:line="260" w:lineRule="exact"/>
        <w:jc w:val="left"/>
        <w:rPr>
          <w:rFonts w:ascii="Calibri" w:hAnsi="Calibri"/>
          <w:sz w:val="24"/>
          <w:szCs w:val="24"/>
          <w:lang w:val="en-GB"/>
        </w:rPr>
      </w:pPr>
      <w:r w:rsidRPr="4941C610">
        <w:rPr>
          <w:rFonts w:ascii="Calibri" w:hAnsi="Calibri"/>
          <w:sz w:val="24"/>
          <w:szCs w:val="24"/>
          <w:lang w:val="en-GB"/>
        </w:rPr>
        <w:t>Parties agree that at a minimum, this process should ensure that overall annual Commonwealth funding entitlement amounts for Public Health activities in other funding streams will not be less than that provided to each jurisdiction in the base year (</w:t>
      </w:r>
      <w:r w:rsidRPr="00261C59">
        <w:rPr>
          <w:rFonts w:ascii="Calibri" w:hAnsi="Calibri"/>
          <w:sz w:val="24"/>
          <w:szCs w:val="24"/>
          <w:lang w:val="en-GB"/>
        </w:rPr>
        <w:t>year prior to the implementation year</w:t>
      </w:r>
      <w:r w:rsidRPr="4941C610">
        <w:rPr>
          <w:rFonts w:ascii="Calibri" w:hAnsi="Calibri"/>
          <w:sz w:val="24"/>
          <w:szCs w:val="24"/>
          <w:lang w:val="en-GB"/>
        </w:rPr>
        <w:t>)</w:t>
      </w:r>
    </w:p>
    <w:p w14:paraId="108484D9" w14:textId="1DD68182" w:rsidR="00271836" w:rsidRPr="00261C59" w:rsidDel="000120DA" w:rsidRDefault="67B3325A" w:rsidP="004728D9">
      <w:pPr>
        <w:keepNext/>
        <w:numPr>
          <w:ilvl w:val="1"/>
          <w:numId w:val="54"/>
        </w:numPr>
        <w:spacing w:after="240" w:line="260" w:lineRule="exact"/>
        <w:jc w:val="left"/>
        <w:rPr>
          <w:rFonts w:ascii="Calibri" w:hAnsi="Calibri"/>
          <w:sz w:val="24"/>
          <w:szCs w:val="24"/>
          <w:lang w:val="en-GB"/>
        </w:rPr>
      </w:pPr>
      <w:r w:rsidRPr="46D0BAB7">
        <w:rPr>
          <w:rFonts w:ascii="Calibri" w:hAnsi="Calibri"/>
          <w:sz w:val="24"/>
          <w:szCs w:val="24"/>
          <w:lang w:val="en-GB"/>
        </w:rPr>
        <w:t>d</w:t>
      </w:r>
      <w:r w:rsidR="00271836" w:rsidRPr="46D0BAB7">
        <w:rPr>
          <w:rFonts w:ascii="Calibri" w:hAnsi="Calibri"/>
          <w:sz w:val="24"/>
          <w:szCs w:val="24"/>
          <w:lang w:val="en-GB"/>
        </w:rPr>
        <w:t>etails</w:t>
      </w:r>
      <w:r w:rsidR="00271836" w:rsidRPr="68BAF2AF">
        <w:rPr>
          <w:rFonts w:ascii="Calibri" w:hAnsi="Calibri"/>
          <w:sz w:val="24"/>
          <w:szCs w:val="24"/>
          <w:lang w:val="en-GB"/>
        </w:rPr>
        <w:t xml:space="preserve"> on how to maintain the level of funding at (b) will need to be addressed as part of the Administrator’s implementation plan.</w:t>
      </w:r>
    </w:p>
    <w:p w14:paraId="46E9208B" w14:textId="4165F0B2" w:rsidR="00271836" w:rsidRPr="00261C59" w:rsidRDefault="00271836" w:rsidP="00406B8F">
      <w:pPr>
        <w:jc w:val="left"/>
        <w:outlineLvl w:val="2"/>
        <w:rPr>
          <w:rFonts w:ascii="Corbel" w:hAnsi="Corbel"/>
          <w:color w:val="3D4B67"/>
          <w:sz w:val="28"/>
          <w:szCs w:val="28"/>
          <w:lang w:eastAsia="ja-JP"/>
        </w:rPr>
      </w:pPr>
      <w:bookmarkStart w:id="222" w:name="_Toc183183307"/>
      <w:bookmarkStart w:id="223" w:name="_Toc201673965"/>
      <w:bookmarkStart w:id="224" w:name="_Toc210833598"/>
      <w:bookmarkStart w:id="225" w:name="_Toc214456498"/>
      <w:bookmarkStart w:id="226" w:name="_Toc221087976"/>
      <w:r w:rsidRPr="00261C59">
        <w:rPr>
          <w:rFonts w:ascii="Corbel" w:hAnsi="Corbel"/>
          <w:color w:val="3D4B67"/>
          <w:sz w:val="28"/>
          <w:szCs w:val="28"/>
          <w:lang w:eastAsia="ja-JP"/>
        </w:rPr>
        <w:t>Service Model Reform Funding</w:t>
      </w:r>
      <w:bookmarkEnd w:id="222"/>
      <w:bookmarkEnd w:id="223"/>
      <w:bookmarkEnd w:id="224"/>
      <w:bookmarkEnd w:id="225"/>
      <w:bookmarkEnd w:id="226"/>
    </w:p>
    <w:p w14:paraId="789258AC" w14:textId="39DA5DBD"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States will estimate the price or cost for relevant aspects of proposed projects in line with SMRF operation procedures in Schedule D (refer clause D2</w:t>
      </w:r>
      <w:r w:rsidR="00403711" w:rsidRPr="00261C59">
        <w:rPr>
          <w:rFonts w:ascii="Calibri" w:hAnsi="Calibri"/>
          <w:sz w:val="24"/>
          <w:szCs w:val="24"/>
        </w:rPr>
        <w:t>6</w:t>
      </w:r>
      <w:r w:rsidRPr="00261C59">
        <w:rPr>
          <w:rFonts w:ascii="Calibri" w:hAnsi="Calibri"/>
          <w:sz w:val="24"/>
          <w:szCs w:val="24"/>
        </w:rPr>
        <w:t xml:space="preserve">). </w:t>
      </w:r>
    </w:p>
    <w:p w14:paraId="2160B912" w14:textId="31DC37B3" w:rsidR="00271836" w:rsidRPr="00261C59" w:rsidRDefault="06837175" w:rsidP="004728D9">
      <w:pPr>
        <w:widowControl/>
        <w:numPr>
          <w:ilvl w:val="1"/>
          <w:numId w:val="54"/>
        </w:numPr>
        <w:spacing w:after="240" w:line="260" w:lineRule="exact"/>
        <w:ind w:left="1083"/>
        <w:jc w:val="left"/>
        <w:rPr>
          <w:rFonts w:ascii="Calibri" w:hAnsi="Calibri"/>
          <w:sz w:val="24"/>
          <w:szCs w:val="24"/>
        </w:rPr>
      </w:pPr>
      <w:r w:rsidRPr="46D0BAB7">
        <w:rPr>
          <w:rFonts w:ascii="Calibri" w:hAnsi="Calibri"/>
          <w:sz w:val="24"/>
          <w:szCs w:val="24"/>
        </w:rPr>
        <w:t>A</w:t>
      </w:r>
      <w:r w:rsidR="00271836" w:rsidRPr="46D0BAB7">
        <w:rPr>
          <w:rFonts w:ascii="Calibri" w:hAnsi="Calibri"/>
          <w:sz w:val="24"/>
          <w:szCs w:val="24"/>
        </w:rPr>
        <w:t>pproval</w:t>
      </w:r>
      <w:r w:rsidR="00271836" w:rsidRPr="00261C59">
        <w:rPr>
          <w:rFonts w:ascii="Calibri" w:hAnsi="Calibri"/>
          <w:sz w:val="24"/>
          <w:szCs w:val="24"/>
        </w:rPr>
        <w:t xml:space="preserve"> of projects will be as per the process set out in clauses D</w:t>
      </w:r>
      <w:r w:rsidR="00403711" w:rsidRPr="00261C59">
        <w:rPr>
          <w:rFonts w:ascii="Calibri" w:hAnsi="Calibri"/>
          <w:sz w:val="24"/>
          <w:szCs w:val="24"/>
        </w:rPr>
        <w:t>30</w:t>
      </w:r>
      <w:r w:rsidR="00271836" w:rsidRPr="00261C59">
        <w:rPr>
          <w:rFonts w:ascii="Calibri" w:hAnsi="Calibri"/>
          <w:sz w:val="24"/>
          <w:szCs w:val="24"/>
        </w:rPr>
        <w:t>.</w:t>
      </w:r>
    </w:p>
    <w:p w14:paraId="16A8A150" w14:textId="4FFE296C" w:rsidR="00271836" w:rsidRPr="00261C59" w:rsidRDefault="62E4828F" w:rsidP="004728D9">
      <w:pPr>
        <w:numPr>
          <w:ilvl w:val="1"/>
          <w:numId w:val="54"/>
        </w:numPr>
        <w:spacing w:after="240" w:line="260" w:lineRule="exact"/>
        <w:ind w:left="1080"/>
        <w:jc w:val="left"/>
        <w:rPr>
          <w:rFonts w:ascii="Calibri" w:hAnsi="Calibri"/>
          <w:sz w:val="24"/>
          <w:szCs w:val="24"/>
        </w:rPr>
      </w:pPr>
      <w:r w:rsidRPr="338348C7">
        <w:rPr>
          <w:rFonts w:ascii="Calibri" w:hAnsi="Calibri"/>
          <w:sz w:val="24"/>
          <w:szCs w:val="24"/>
        </w:rPr>
        <w:t>W</w:t>
      </w:r>
      <w:r w:rsidR="00271836" w:rsidRPr="338348C7">
        <w:rPr>
          <w:rFonts w:ascii="Calibri" w:hAnsi="Calibri"/>
          <w:sz w:val="24"/>
          <w:szCs w:val="24"/>
        </w:rPr>
        <w:t>hen</w:t>
      </w:r>
      <w:r w:rsidR="00271836" w:rsidRPr="00261C59">
        <w:rPr>
          <w:rFonts w:ascii="Calibri" w:hAnsi="Calibri"/>
          <w:sz w:val="24"/>
          <w:szCs w:val="24"/>
        </w:rPr>
        <w:t xml:space="preserve"> requested by the nominating State, the IHACPA will provide advice on the development of pricing or costing for relevant components of proposed projects. </w:t>
      </w:r>
    </w:p>
    <w:p w14:paraId="65A023F5" w14:textId="36834BC5"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As part of developing the Funding Models Framework (clause </w:t>
      </w:r>
      <w:r w:rsidRPr="00261C59">
        <w:rPr>
          <w:rFonts w:ascii="Calibri" w:hAnsi="Calibri"/>
          <w:sz w:val="24"/>
        </w:rPr>
        <w:t>A9</w:t>
      </w:r>
      <w:r w:rsidRPr="00261C59">
        <w:rPr>
          <w:rFonts w:ascii="Calibri" w:hAnsi="Calibri"/>
          <w:sz w:val="24"/>
          <w:szCs w:val="24"/>
        </w:rPr>
        <w:t xml:space="preserve">), the IHACPA will determine a process for incorporating changes into the National Pricing Model that are proven through SMRF projects. The IHACPA’s process may include price and/or scope changes. </w:t>
      </w:r>
    </w:p>
    <w:p w14:paraId="4A3581E8" w14:textId="77777777" w:rsidR="00271836" w:rsidRPr="00261C59" w:rsidRDefault="00271836" w:rsidP="00B7719B">
      <w:pPr>
        <w:keepNext/>
        <w:jc w:val="left"/>
        <w:outlineLvl w:val="2"/>
        <w:rPr>
          <w:rFonts w:ascii="Corbel" w:hAnsi="Corbel"/>
          <w:color w:val="3D4B67"/>
          <w:sz w:val="28"/>
          <w:szCs w:val="28"/>
          <w:lang w:eastAsia="ja-JP"/>
        </w:rPr>
      </w:pPr>
      <w:bookmarkStart w:id="227" w:name="_Toc167133819"/>
      <w:bookmarkStart w:id="228" w:name="_Toc168579012"/>
      <w:bookmarkStart w:id="229" w:name="_Toc531357147"/>
      <w:bookmarkStart w:id="230" w:name="_Toc165886257"/>
      <w:bookmarkStart w:id="231" w:name="_Toc171350362"/>
      <w:bookmarkStart w:id="232" w:name="_Toc172210244"/>
      <w:bookmarkStart w:id="233" w:name="_Toc172787694"/>
      <w:bookmarkStart w:id="234" w:name="_Toc173937710"/>
      <w:bookmarkStart w:id="235" w:name="_Toc183183308"/>
      <w:bookmarkStart w:id="236" w:name="_Toc201673966"/>
      <w:bookmarkStart w:id="237" w:name="_Toc210833599"/>
      <w:bookmarkStart w:id="238" w:name="_Toc214456499"/>
      <w:bookmarkStart w:id="239" w:name="_Toc221087977"/>
      <w:r w:rsidRPr="00261C59">
        <w:rPr>
          <w:rFonts w:ascii="Corbel" w:hAnsi="Corbel"/>
          <w:color w:val="3D4B67"/>
          <w:sz w:val="28"/>
          <w:szCs w:val="28"/>
          <w:lang w:eastAsia="ja-JP"/>
        </w:rPr>
        <w:t xml:space="preserve">Safety, quality and value pricing </w:t>
      </w:r>
      <w:bookmarkEnd w:id="227"/>
      <w:bookmarkEnd w:id="228"/>
      <w:bookmarkEnd w:id="229"/>
      <w:bookmarkEnd w:id="230"/>
      <w:r w:rsidRPr="00261C59">
        <w:rPr>
          <w:rFonts w:ascii="Corbel" w:hAnsi="Corbel"/>
          <w:color w:val="3D4B67"/>
          <w:sz w:val="28"/>
          <w:szCs w:val="28"/>
          <w:lang w:eastAsia="ja-JP"/>
        </w:rPr>
        <w:t>adjustments</w:t>
      </w:r>
      <w:bookmarkEnd w:id="231"/>
      <w:bookmarkEnd w:id="232"/>
      <w:bookmarkEnd w:id="233"/>
      <w:bookmarkEnd w:id="234"/>
      <w:bookmarkEnd w:id="235"/>
      <w:bookmarkEnd w:id="236"/>
      <w:bookmarkEnd w:id="237"/>
      <w:bookmarkEnd w:id="238"/>
      <w:bookmarkEnd w:id="239"/>
      <w:r w:rsidRPr="00261C59">
        <w:rPr>
          <w:rFonts w:ascii="Corbel" w:hAnsi="Corbel"/>
          <w:color w:val="3D4B67"/>
          <w:sz w:val="28"/>
          <w:szCs w:val="28"/>
          <w:lang w:eastAsia="ja-JP"/>
        </w:rPr>
        <w:t xml:space="preserve"> </w:t>
      </w:r>
    </w:p>
    <w:p w14:paraId="01C57EB9" w14:textId="77777777" w:rsidR="00271836" w:rsidRPr="00261C59" w:rsidRDefault="00271836" w:rsidP="00B7719B">
      <w:pPr>
        <w:keepNext/>
        <w:keepLines/>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Pricing adjustments for safety, quality and value are part of a multifaceted, system-wide approach to improving care, which also includes national standards, accreditation, continuous quality improvement programs and workforce development.  </w:t>
      </w:r>
    </w:p>
    <w:p w14:paraId="109B1FBB"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Parties agree to continue integrating safety, quality and value into the pricing and funding of public hospitals and health services in a way that:</w:t>
      </w:r>
    </w:p>
    <w:p w14:paraId="2A1CF5F8" w14:textId="2EC1ADBA" w:rsidR="00271836" w:rsidRPr="00261C59" w:rsidRDefault="00271836" w:rsidP="00271836">
      <w:pPr>
        <w:widowControl/>
        <w:numPr>
          <w:ilvl w:val="0"/>
          <w:numId w:val="43"/>
        </w:numPr>
        <w:spacing w:after="240" w:line="260" w:lineRule="exact"/>
        <w:ind w:left="1134" w:hanging="425"/>
        <w:jc w:val="left"/>
        <w:rPr>
          <w:rFonts w:ascii="Calibri" w:hAnsi="Calibri"/>
          <w:sz w:val="24"/>
          <w:szCs w:val="24"/>
        </w:rPr>
      </w:pPr>
      <w:r w:rsidRPr="00261C59">
        <w:rPr>
          <w:rFonts w:ascii="Calibri" w:hAnsi="Calibri"/>
          <w:sz w:val="24"/>
          <w:szCs w:val="24"/>
        </w:rPr>
        <w:t>improves patient outcomes</w:t>
      </w:r>
    </w:p>
    <w:p w14:paraId="3414FBF1" w14:textId="0D1FE0E5" w:rsidR="00271836" w:rsidRPr="00261C59" w:rsidRDefault="00271836" w:rsidP="00271836">
      <w:pPr>
        <w:widowControl/>
        <w:numPr>
          <w:ilvl w:val="0"/>
          <w:numId w:val="43"/>
        </w:numPr>
        <w:spacing w:after="240" w:line="260" w:lineRule="exact"/>
        <w:ind w:left="1134" w:hanging="425"/>
        <w:jc w:val="left"/>
        <w:rPr>
          <w:rFonts w:ascii="Calibri" w:hAnsi="Calibri"/>
          <w:sz w:val="24"/>
          <w:szCs w:val="24"/>
        </w:rPr>
      </w:pPr>
      <w:r w:rsidRPr="00261C59">
        <w:rPr>
          <w:rFonts w:ascii="Calibri" w:hAnsi="Calibri"/>
          <w:sz w:val="24"/>
          <w:szCs w:val="24"/>
        </w:rPr>
        <w:t>incentivises the right care, in the right place, at the right time</w:t>
      </w:r>
    </w:p>
    <w:p w14:paraId="24122604" w14:textId="38550287" w:rsidR="00271836" w:rsidRPr="00261C59" w:rsidRDefault="00271836" w:rsidP="00B64DC2">
      <w:pPr>
        <w:keepNext/>
        <w:numPr>
          <w:ilvl w:val="0"/>
          <w:numId w:val="43"/>
        </w:numPr>
        <w:spacing w:after="240" w:line="260" w:lineRule="exact"/>
        <w:ind w:left="1134" w:hanging="425"/>
        <w:jc w:val="left"/>
        <w:rPr>
          <w:rFonts w:ascii="Calibri" w:hAnsi="Calibri"/>
          <w:sz w:val="24"/>
          <w:szCs w:val="24"/>
        </w:rPr>
      </w:pPr>
      <w:r w:rsidRPr="00261C59">
        <w:rPr>
          <w:rFonts w:ascii="Calibri" w:hAnsi="Calibri"/>
          <w:sz w:val="24"/>
          <w:szCs w:val="24"/>
        </w:rPr>
        <w:lastRenderedPageBreak/>
        <w:t>decreases avoidable demand for health services</w:t>
      </w:r>
    </w:p>
    <w:p w14:paraId="67493CA5" w14:textId="7AA11E19" w:rsidR="00271836" w:rsidRPr="00261C59" w:rsidRDefault="00271836" w:rsidP="00271836">
      <w:pPr>
        <w:numPr>
          <w:ilvl w:val="0"/>
          <w:numId w:val="43"/>
        </w:numPr>
        <w:spacing w:after="240" w:line="260" w:lineRule="exact"/>
        <w:ind w:left="1134" w:hanging="425"/>
        <w:jc w:val="left"/>
        <w:rPr>
          <w:rFonts w:ascii="Calibri" w:hAnsi="Calibri"/>
          <w:sz w:val="24"/>
          <w:szCs w:val="24"/>
        </w:rPr>
      </w:pPr>
      <w:r w:rsidRPr="00261C59">
        <w:rPr>
          <w:rFonts w:ascii="Calibri" w:hAnsi="Calibri"/>
          <w:sz w:val="24"/>
          <w:szCs w:val="24"/>
        </w:rPr>
        <w:t>signals the need to reduce instances of preventable poor quality patient care, while supporting improvements in both data quality and information available to inform practice</w:t>
      </w:r>
    </w:p>
    <w:p w14:paraId="7FA873EF" w14:textId="18D43D0F" w:rsidR="00271836" w:rsidRPr="00261C59" w:rsidRDefault="00271836" w:rsidP="004728D9">
      <w:pPr>
        <w:numPr>
          <w:ilvl w:val="0"/>
          <w:numId w:val="43"/>
        </w:numPr>
        <w:spacing w:after="240" w:line="260" w:lineRule="exact"/>
        <w:ind w:left="1134" w:hanging="425"/>
        <w:jc w:val="left"/>
        <w:rPr>
          <w:rFonts w:ascii="Calibri" w:hAnsi="Calibri"/>
          <w:sz w:val="24"/>
          <w:szCs w:val="24"/>
        </w:rPr>
      </w:pPr>
      <w:r w:rsidRPr="00261C59">
        <w:rPr>
          <w:rFonts w:ascii="Calibri" w:hAnsi="Calibri"/>
          <w:sz w:val="24"/>
          <w:szCs w:val="24"/>
        </w:rPr>
        <w:t xml:space="preserve">improves measurement and reporting of racism and cultural safety, and incentivises addressing inequities, especially for Aboriginal and Torres Strait Islander people (aligned with the National Aboriginal and Torres Strait Islander Health Plan </w:t>
      </w:r>
      <w:r w:rsidR="00432E8D" w:rsidRPr="00261C59">
        <w:rPr>
          <w:rFonts w:ascii="Calibri" w:hAnsi="Calibri"/>
          <w:sz w:val="24"/>
          <w:szCs w:val="24"/>
        </w:rPr>
        <w:br/>
      </w:r>
      <w:r w:rsidRPr="00261C59">
        <w:rPr>
          <w:rFonts w:ascii="Calibri" w:hAnsi="Calibri"/>
          <w:sz w:val="24"/>
          <w:szCs w:val="24"/>
        </w:rPr>
        <w:t>objectives 8.1 and 8.4).</w:t>
      </w:r>
    </w:p>
    <w:p w14:paraId="7C748A89" w14:textId="77777777" w:rsidR="00271836" w:rsidRPr="00261C59" w:rsidRDefault="00271836" w:rsidP="004728D9">
      <w:pPr>
        <w:keepNext/>
        <w:widowControl/>
        <w:numPr>
          <w:ilvl w:val="0"/>
          <w:numId w:val="54"/>
        </w:numPr>
        <w:spacing w:after="240" w:line="260" w:lineRule="exact"/>
        <w:jc w:val="left"/>
        <w:rPr>
          <w:rFonts w:ascii="Calibri" w:hAnsi="Calibri"/>
          <w:sz w:val="24"/>
          <w:szCs w:val="24"/>
        </w:rPr>
      </w:pPr>
      <w:r w:rsidRPr="00261C59">
        <w:rPr>
          <w:rFonts w:ascii="Calibri" w:hAnsi="Calibri"/>
          <w:sz w:val="24"/>
          <w:szCs w:val="24"/>
        </w:rPr>
        <w:t>The Parties agree that comprehensive safety, quality and value pricing and funding arrangements should:</w:t>
      </w:r>
    </w:p>
    <w:p w14:paraId="1DF3AD92" w14:textId="28D341BD" w:rsidR="00271836" w:rsidRPr="00261C59" w:rsidRDefault="00271836" w:rsidP="00271836">
      <w:pPr>
        <w:numPr>
          <w:ilvl w:val="0"/>
          <w:numId w:val="35"/>
        </w:numPr>
        <w:spacing w:after="240" w:line="260" w:lineRule="exact"/>
        <w:ind w:left="1134" w:hanging="425"/>
        <w:jc w:val="left"/>
        <w:rPr>
          <w:rFonts w:ascii="Calibri" w:hAnsi="Calibri"/>
          <w:sz w:val="24"/>
          <w:szCs w:val="24"/>
        </w:rPr>
      </w:pPr>
      <w:r w:rsidRPr="00261C59">
        <w:rPr>
          <w:rFonts w:ascii="Calibri" w:hAnsi="Calibri"/>
          <w:sz w:val="24"/>
          <w:szCs w:val="24"/>
        </w:rPr>
        <w:t>be rigorous, fair, and transparent</w:t>
      </w:r>
    </w:p>
    <w:p w14:paraId="285680FF" w14:textId="077C8581" w:rsidR="00271836" w:rsidRPr="00261C59" w:rsidRDefault="00271836" w:rsidP="00271836">
      <w:pPr>
        <w:numPr>
          <w:ilvl w:val="0"/>
          <w:numId w:val="35"/>
        </w:numPr>
        <w:spacing w:after="240" w:line="260" w:lineRule="exact"/>
        <w:ind w:left="1134" w:hanging="425"/>
        <w:jc w:val="left"/>
        <w:rPr>
          <w:rFonts w:ascii="Calibri" w:hAnsi="Calibri"/>
          <w:sz w:val="24"/>
          <w:szCs w:val="24"/>
        </w:rPr>
      </w:pPr>
      <w:r w:rsidRPr="00261C59">
        <w:rPr>
          <w:rFonts w:ascii="Calibri" w:hAnsi="Calibri"/>
          <w:sz w:val="24"/>
          <w:szCs w:val="24"/>
        </w:rPr>
        <w:t>not incentivise under-reporting or over-reporting, or adversely affect service delivery</w:t>
      </w:r>
    </w:p>
    <w:p w14:paraId="199F9101" w14:textId="6584B74C" w:rsidR="00271836" w:rsidRPr="00261C59" w:rsidRDefault="00271836" w:rsidP="00271836">
      <w:pPr>
        <w:numPr>
          <w:ilvl w:val="0"/>
          <w:numId w:val="35"/>
        </w:numPr>
        <w:spacing w:after="240" w:line="260" w:lineRule="exact"/>
        <w:ind w:left="1134" w:hanging="425"/>
        <w:jc w:val="left"/>
        <w:rPr>
          <w:rFonts w:ascii="Calibri" w:hAnsi="Calibri"/>
          <w:sz w:val="24"/>
          <w:szCs w:val="24"/>
        </w:rPr>
      </w:pPr>
      <w:r w:rsidRPr="00261C59">
        <w:rPr>
          <w:rFonts w:ascii="Calibri" w:hAnsi="Calibri"/>
          <w:sz w:val="24"/>
          <w:szCs w:val="24"/>
        </w:rPr>
        <w:t>be significant as an effective overall price signal from the Commonwealth through to LHNs, hospitals and other health services</w:t>
      </w:r>
    </w:p>
    <w:p w14:paraId="198A8917" w14:textId="77777777" w:rsidR="00271836" w:rsidRPr="00261C59" w:rsidRDefault="00271836" w:rsidP="00271836">
      <w:pPr>
        <w:numPr>
          <w:ilvl w:val="0"/>
          <w:numId w:val="35"/>
        </w:numPr>
        <w:spacing w:after="240" w:line="260" w:lineRule="exact"/>
        <w:ind w:left="1134" w:hanging="425"/>
        <w:jc w:val="left"/>
        <w:rPr>
          <w:rFonts w:ascii="Calibri" w:hAnsi="Calibri"/>
          <w:sz w:val="24"/>
          <w:szCs w:val="24"/>
        </w:rPr>
      </w:pPr>
      <w:r w:rsidRPr="00261C59">
        <w:rPr>
          <w:rFonts w:ascii="Calibri" w:hAnsi="Calibri"/>
          <w:sz w:val="24"/>
          <w:szCs w:val="24"/>
        </w:rPr>
        <w:t xml:space="preserve">not result in inequity or poorer outcomes for any group. </w:t>
      </w:r>
    </w:p>
    <w:p w14:paraId="72B9F3E5" w14:textId="77777777" w:rsidR="00271836" w:rsidRPr="00261C59" w:rsidRDefault="00271836" w:rsidP="005460E8">
      <w:pPr>
        <w:keepNext/>
        <w:keepLines/>
        <w:spacing w:before="200"/>
        <w:jc w:val="left"/>
        <w:outlineLvl w:val="3"/>
        <w:rPr>
          <w:rFonts w:eastAsia="Yu Gothic Light"/>
          <w:b/>
          <w:bCs/>
          <w:iCs/>
        </w:rPr>
      </w:pPr>
      <w:r w:rsidRPr="00261C59">
        <w:rPr>
          <w:rFonts w:eastAsia="Yu Gothic Light"/>
          <w:b/>
          <w:bCs/>
          <w:iCs/>
        </w:rPr>
        <w:t>Sentinel events, Hospital Acquired Complications and Avoidable Hospital Readmissions</w:t>
      </w:r>
    </w:p>
    <w:p w14:paraId="62CE8F67"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Parties agree to retain existing pricing adjustments for Sentinel Events, Hospital Acquired Complications (HACs) and Avoidable Hospital Readmissions (AHRs) noting: </w:t>
      </w:r>
    </w:p>
    <w:p w14:paraId="29603BF5" w14:textId="3FA16CD9" w:rsidR="00271836" w:rsidRPr="00261C59" w:rsidRDefault="00271836" w:rsidP="00271836">
      <w:pPr>
        <w:numPr>
          <w:ilvl w:val="0"/>
          <w:numId w:val="36"/>
        </w:numPr>
        <w:spacing w:after="240" w:line="260" w:lineRule="exact"/>
        <w:ind w:left="1134" w:hanging="425"/>
        <w:jc w:val="left"/>
        <w:rPr>
          <w:rFonts w:ascii="Calibri" w:hAnsi="Calibri"/>
          <w:sz w:val="24"/>
          <w:szCs w:val="24"/>
        </w:rPr>
      </w:pPr>
      <w:r w:rsidRPr="00261C59">
        <w:rPr>
          <w:rFonts w:ascii="Calibri" w:hAnsi="Calibri"/>
          <w:sz w:val="24"/>
          <w:szCs w:val="24"/>
        </w:rPr>
        <w:t xml:space="preserve">a review will be completed by the ACSQHC by 30 June 2027 (described in </w:t>
      </w:r>
      <w:r w:rsidR="5D9DD066" w:rsidRPr="00261C59">
        <w:rPr>
          <w:rFonts w:ascii="Calibri" w:hAnsi="Calibri"/>
          <w:sz w:val="24"/>
          <w:szCs w:val="24"/>
        </w:rPr>
        <w:t>clause</w:t>
      </w:r>
      <w:r w:rsidR="5DA910D5" w:rsidRPr="00261C59">
        <w:rPr>
          <w:rFonts w:ascii="Calibri" w:hAnsi="Calibri"/>
          <w:sz w:val="24"/>
          <w:szCs w:val="24"/>
        </w:rPr>
        <w:t>s</w:t>
      </w:r>
      <w:r w:rsidR="5D9DD066" w:rsidRPr="00261C59">
        <w:rPr>
          <w:rFonts w:ascii="Calibri" w:hAnsi="Calibri"/>
          <w:sz w:val="24"/>
          <w:szCs w:val="24"/>
        </w:rPr>
        <w:t xml:space="preserve"> D</w:t>
      </w:r>
      <w:r w:rsidR="6E005827" w:rsidRPr="00261C59">
        <w:rPr>
          <w:rFonts w:ascii="Calibri" w:hAnsi="Calibri"/>
          <w:sz w:val="24"/>
          <w:szCs w:val="24"/>
        </w:rPr>
        <w:t>5</w:t>
      </w:r>
      <w:r w:rsidR="00E070AD" w:rsidRPr="00261C59">
        <w:rPr>
          <w:rFonts w:ascii="Calibri" w:hAnsi="Calibri"/>
          <w:sz w:val="24"/>
          <w:szCs w:val="24"/>
        </w:rPr>
        <w:t>1</w:t>
      </w:r>
      <w:r w:rsidRPr="00261C59">
        <w:rPr>
          <w:rFonts w:ascii="Calibri" w:hAnsi="Calibri"/>
          <w:sz w:val="24"/>
          <w:szCs w:val="24"/>
        </w:rPr>
        <w:t xml:space="preserve"> to </w:t>
      </w:r>
      <w:r w:rsidR="5D9DD066" w:rsidRPr="00261C59">
        <w:rPr>
          <w:rFonts w:ascii="Calibri" w:hAnsi="Calibri"/>
          <w:sz w:val="24"/>
          <w:szCs w:val="24"/>
        </w:rPr>
        <w:t>D</w:t>
      </w:r>
      <w:r w:rsidR="3FFE64CC" w:rsidRPr="00261C59">
        <w:rPr>
          <w:rFonts w:ascii="Calibri" w:hAnsi="Calibri"/>
          <w:sz w:val="24"/>
          <w:szCs w:val="24"/>
        </w:rPr>
        <w:t>5</w:t>
      </w:r>
      <w:r w:rsidR="00E070AD" w:rsidRPr="00261C59">
        <w:rPr>
          <w:rFonts w:ascii="Calibri" w:hAnsi="Calibri"/>
          <w:sz w:val="24"/>
          <w:szCs w:val="24"/>
        </w:rPr>
        <w:t>5</w:t>
      </w:r>
      <w:r w:rsidRPr="00261C59">
        <w:rPr>
          <w:rFonts w:ascii="Calibri" w:hAnsi="Calibri"/>
          <w:sz w:val="24"/>
          <w:szCs w:val="24"/>
        </w:rPr>
        <w:t xml:space="preserve">), and the adjustments will be retained for the full term of the Addendum if they are found to be fit-for-purpose and effective </w:t>
      </w:r>
    </w:p>
    <w:p w14:paraId="0A54EC7C" w14:textId="5FB343A3" w:rsidR="00A8227A" w:rsidRPr="00261C59" w:rsidRDefault="00D0055B" w:rsidP="00271836">
      <w:pPr>
        <w:numPr>
          <w:ilvl w:val="0"/>
          <w:numId w:val="36"/>
        </w:numPr>
        <w:spacing w:after="240" w:line="260" w:lineRule="exact"/>
        <w:ind w:left="1134" w:hanging="425"/>
        <w:jc w:val="left"/>
        <w:rPr>
          <w:rFonts w:ascii="Calibri" w:hAnsi="Calibri"/>
          <w:sz w:val="24"/>
          <w:szCs w:val="24"/>
        </w:rPr>
      </w:pPr>
      <w:r w:rsidRPr="00261C59">
        <w:rPr>
          <w:rFonts w:ascii="Calibri" w:hAnsi="Calibri"/>
          <w:sz w:val="24"/>
          <w:szCs w:val="24"/>
        </w:rPr>
        <w:t>following the review, Parties may consider introducing appropriate mechanisms for reinvesting pricing adjustments in safety and quality improvement activities</w:t>
      </w:r>
    </w:p>
    <w:p w14:paraId="6BE9022A" w14:textId="01C5743A" w:rsidR="00271836" w:rsidRPr="00261C59" w:rsidRDefault="00271836" w:rsidP="00271836">
      <w:pPr>
        <w:numPr>
          <w:ilvl w:val="0"/>
          <w:numId w:val="36"/>
        </w:numPr>
        <w:spacing w:after="240" w:line="260" w:lineRule="exact"/>
        <w:ind w:left="1134" w:hanging="425"/>
        <w:jc w:val="left"/>
        <w:rPr>
          <w:rFonts w:ascii="Calibri" w:hAnsi="Calibri"/>
          <w:sz w:val="24"/>
          <w:szCs w:val="24"/>
        </w:rPr>
      </w:pPr>
      <w:r w:rsidRPr="00261C59">
        <w:rPr>
          <w:rFonts w:ascii="Calibri" w:hAnsi="Calibri"/>
          <w:sz w:val="24"/>
          <w:szCs w:val="24"/>
        </w:rPr>
        <w:t>modifications to pricing adjustments may be implemented by IHACPA following recommendations of the review</w:t>
      </w:r>
      <w:r w:rsidR="725C6286" w:rsidRPr="7CC98B1A">
        <w:rPr>
          <w:rFonts w:ascii="Calibri" w:hAnsi="Calibri"/>
          <w:sz w:val="24"/>
          <w:szCs w:val="24"/>
        </w:rPr>
        <w:t>.</w:t>
      </w:r>
    </w:p>
    <w:p w14:paraId="6504EF21" w14:textId="77777777" w:rsidR="00271836" w:rsidRPr="00261C59" w:rsidRDefault="00271836" w:rsidP="00B7719B">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Parties agree the ACSQHC will continue to maintain and curate the Sentinel Events, HACs, and AHRs lists, based on the relevant criteria in </w:t>
      </w:r>
      <w:r w:rsidRPr="00261C59">
        <w:rPr>
          <w:rFonts w:ascii="Calibri" w:hAnsi="Calibri"/>
          <w:sz w:val="24"/>
        </w:rPr>
        <w:t>Appendix B</w:t>
      </w:r>
      <w:r w:rsidRPr="00261C59">
        <w:rPr>
          <w:rFonts w:ascii="Calibri" w:hAnsi="Calibri"/>
          <w:sz w:val="24"/>
          <w:szCs w:val="24"/>
        </w:rPr>
        <w:t xml:space="preserve">. </w:t>
      </w:r>
    </w:p>
    <w:p w14:paraId="0956B828" w14:textId="77777777" w:rsidR="00271836" w:rsidRPr="00261C59" w:rsidRDefault="00271836" w:rsidP="00B7719B">
      <w:pPr>
        <w:keepLines/>
        <w:numPr>
          <w:ilvl w:val="0"/>
          <w:numId w:val="54"/>
        </w:numPr>
        <w:spacing w:after="240" w:line="260" w:lineRule="exact"/>
        <w:jc w:val="left"/>
        <w:rPr>
          <w:rFonts w:ascii="Calibri" w:hAnsi="Calibri"/>
          <w:sz w:val="24"/>
        </w:rPr>
      </w:pPr>
      <w:r w:rsidRPr="00261C59">
        <w:rPr>
          <w:rFonts w:ascii="Calibri" w:hAnsi="Calibri"/>
          <w:sz w:val="24"/>
          <w:szCs w:val="24"/>
        </w:rPr>
        <w:t xml:space="preserve">The Parties agree the IHACPA will continue to manage the pricing model for HACs and AHRs, in consultation with the ACSQHC. </w:t>
      </w:r>
    </w:p>
    <w:p w14:paraId="5EE390F9" w14:textId="614235A5" w:rsidR="00271836" w:rsidRPr="00261C59" w:rsidRDefault="00271836" w:rsidP="00B7719B">
      <w:pPr>
        <w:keepLines/>
        <w:numPr>
          <w:ilvl w:val="0"/>
          <w:numId w:val="54"/>
        </w:numPr>
        <w:spacing w:after="240" w:line="260" w:lineRule="exact"/>
        <w:jc w:val="left"/>
        <w:rPr>
          <w:rFonts w:ascii="Calibri" w:hAnsi="Calibri"/>
          <w:sz w:val="24"/>
          <w:szCs w:val="24"/>
        </w:rPr>
      </w:pPr>
      <w:r w:rsidRPr="00261C59">
        <w:rPr>
          <w:rFonts w:ascii="Calibri" w:hAnsi="Calibri"/>
          <w:sz w:val="24"/>
          <w:szCs w:val="24"/>
        </w:rPr>
        <w:t>The Parties agree that while the ACSQHC is undertaking the review of clause A8</w:t>
      </w:r>
      <w:r w:rsidR="0099311C" w:rsidRPr="00261C59">
        <w:rPr>
          <w:rFonts w:ascii="Calibri" w:hAnsi="Calibri"/>
          <w:sz w:val="24"/>
          <w:szCs w:val="24"/>
        </w:rPr>
        <w:t>7</w:t>
      </w:r>
      <w:r w:rsidRPr="00261C59">
        <w:rPr>
          <w:rFonts w:ascii="Calibri" w:hAnsi="Calibri"/>
          <w:sz w:val="24"/>
          <w:szCs w:val="24"/>
        </w:rPr>
        <w:t xml:space="preserve">(a), absolute pricing penalties for HACs and AHRs will not be applied to states. These will be shadow priced only during this time. However, Parties agree that pricing penalties </w:t>
      </w:r>
      <w:r w:rsidR="00627F7A" w:rsidRPr="00261C59">
        <w:rPr>
          <w:rFonts w:ascii="Calibri" w:hAnsi="Calibri"/>
          <w:sz w:val="24"/>
          <w:szCs w:val="24"/>
        </w:rPr>
        <w:t xml:space="preserve">will be considered as part of a </w:t>
      </w:r>
      <w:r w:rsidRPr="00261C59">
        <w:rPr>
          <w:rFonts w:ascii="Calibri" w:hAnsi="Calibri"/>
          <w:sz w:val="24"/>
          <w:szCs w:val="24"/>
        </w:rPr>
        <w:t xml:space="preserve">long-term solution to drive higher quality, safer care in public hospitals, and pricing adjustments will be reintroduced if the review finds they are effective. This short-term pause </w:t>
      </w:r>
      <w:r w:rsidR="006E18C7" w:rsidRPr="00261C59">
        <w:rPr>
          <w:rFonts w:ascii="Calibri" w:hAnsi="Calibri"/>
          <w:sz w:val="24"/>
          <w:szCs w:val="24"/>
        </w:rPr>
        <w:t>will</w:t>
      </w:r>
      <w:r w:rsidRPr="00261C59">
        <w:rPr>
          <w:rFonts w:ascii="Calibri" w:hAnsi="Calibri"/>
          <w:sz w:val="24"/>
          <w:szCs w:val="24"/>
        </w:rPr>
        <w:t xml:space="preserve"> allow the ACSQHC to review the existing pricing adjustments, and the IHACPA to complete the work outlined below</w:t>
      </w:r>
      <w:r w:rsidR="00072399">
        <w:rPr>
          <w:rFonts w:ascii="Calibri" w:hAnsi="Calibri"/>
          <w:sz w:val="24"/>
          <w:szCs w:val="24"/>
        </w:rPr>
        <w:t>.</w:t>
      </w:r>
    </w:p>
    <w:p w14:paraId="5B3D945F" w14:textId="04249B1D" w:rsidR="00271836" w:rsidRPr="00261C59" w:rsidRDefault="00271836" w:rsidP="00FE3E89">
      <w:pPr>
        <w:keepLines/>
        <w:numPr>
          <w:ilvl w:val="1"/>
          <w:numId w:val="54"/>
        </w:numPr>
        <w:spacing w:after="240" w:line="260" w:lineRule="exact"/>
        <w:jc w:val="left"/>
        <w:rPr>
          <w:rFonts w:ascii="Calibri" w:hAnsi="Calibri"/>
          <w:sz w:val="24"/>
          <w:szCs w:val="24"/>
        </w:rPr>
      </w:pPr>
      <w:r w:rsidRPr="00261C59">
        <w:rPr>
          <w:rFonts w:ascii="Calibri" w:hAnsi="Calibri"/>
          <w:sz w:val="24"/>
          <w:szCs w:val="24"/>
        </w:rPr>
        <w:lastRenderedPageBreak/>
        <w:t xml:space="preserve">In order to retain and strengthen the existing safety and quality pricing adjustments, IHACPA will investigate and determine a new methodology that gives effect to a pricing adjustment for HACs and AHRs. This methodology will </w:t>
      </w:r>
      <w:r w:rsidR="00E171F2" w:rsidRPr="00261C59">
        <w:rPr>
          <w:rFonts w:ascii="Calibri" w:hAnsi="Calibri"/>
          <w:sz w:val="24"/>
          <w:szCs w:val="24"/>
        </w:rPr>
        <w:t xml:space="preserve">consider </w:t>
      </w:r>
      <w:r w:rsidR="00460051" w:rsidRPr="00261C59">
        <w:rPr>
          <w:rFonts w:ascii="Calibri" w:hAnsi="Calibri"/>
          <w:sz w:val="24"/>
          <w:szCs w:val="24"/>
        </w:rPr>
        <w:t xml:space="preserve">how to </w:t>
      </w:r>
      <w:r w:rsidR="00AE5028" w:rsidRPr="00261C59">
        <w:rPr>
          <w:rFonts w:ascii="Calibri" w:hAnsi="Calibri"/>
          <w:sz w:val="24"/>
          <w:szCs w:val="24"/>
        </w:rPr>
        <w:t xml:space="preserve">apply pricing adjustments that create effective incentives for LHNs and states, </w:t>
      </w:r>
      <w:r w:rsidR="00991B9B" w:rsidRPr="00261C59">
        <w:rPr>
          <w:rFonts w:ascii="Calibri" w:hAnsi="Calibri"/>
          <w:sz w:val="24"/>
          <w:szCs w:val="24"/>
        </w:rPr>
        <w:t>accounting for the operation of the funding cap and the funding model.</w:t>
      </w:r>
      <w:r w:rsidRPr="00261C59">
        <w:rPr>
          <w:rFonts w:ascii="Calibri" w:hAnsi="Calibri"/>
          <w:sz w:val="24"/>
          <w:szCs w:val="24"/>
        </w:rPr>
        <w:t xml:space="preserve"> IHACPA will undertake this work in consultation with the ACSQHC and Parties</w:t>
      </w:r>
      <w:r w:rsidR="00072399">
        <w:rPr>
          <w:rFonts w:ascii="Calibri" w:hAnsi="Calibri"/>
          <w:sz w:val="24"/>
          <w:szCs w:val="24"/>
        </w:rPr>
        <w:t>.</w:t>
      </w:r>
    </w:p>
    <w:p w14:paraId="6471DA46" w14:textId="328E2067" w:rsidR="00271836" w:rsidRPr="00261C59" w:rsidRDefault="00271836" w:rsidP="00830547">
      <w:pPr>
        <w:keepNext/>
        <w:numPr>
          <w:ilvl w:val="1"/>
          <w:numId w:val="54"/>
        </w:numPr>
        <w:spacing w:after="240" w:line="260" w:lineRule="exact"/>
        <w:jc w:val="left"/>
        <w:rPr>
          <w:rFonts w:ascii="Calibri" w:hAnsi="Calibri"/>
          <w:sz w:val="24"/>
          <w:szCs w:val="24"/>
        </w:rPr>
      </w:pPr>
      <w:r w:rsidRPr="00261C59">
        <w:rPr>
          <w:rFonts w:ascii="Calibri" w:hAnsi="Calibri"/>
          <w:sz w:val="24"/>
          <w:szCs w:val="24"/>
        </w:rPr>
        <w:t xml:space="preserve">The IHACPA will report to </w:t>
      </w:r>
      <w:r w:rsidR="007865B9" w:rsidRPr="00261C59">
        <w:rPr>
          <w:rFonts w:ascii="Calibri" w:hAnsi="Calibri"/>
          <w:sz w:val="24"/>
          <w:szCs w:val="24"/>
        </w:rPr>
        <w:t>HCEF</w:t>
      </w:r>
      <w:r w:rsidRPr="00261C59">
        <w:rPr>
          <w:rFonts w:ascii="Calibri" w:hAnsi="Calibri"/>
          <w:sz w:val="24"/>
          <w:szCs w:val="24"/>
        </w:rPr>
        <w:t xml:space="preserve"> with preliminary advice on this approach within six months of the ACSQHC review referred to in clause A8</w:t>
      </w:r>
      <w:r w:rsidR="0099311C" w:rsidRPr="00261C59">
        <w:rPr>
          <w:rFonts w:ascii="Calibri" w:hAnsi="Calibri"/>
          <w:sz w:val="24"/>
          <w:szCs w:val="24"/>
        </w:rPr>
        <w:t>7</w:t>
      </w:r>
      <w:r w:rsidRPr="00261C59">
        <w:rPr>
          <w:rFonts w:ascii="Calibri" w:hAnsi="Calibri"/>
          <w:sz w:val="24"/>
          <w:szCs w:val="24"/>
        </w:rPr>
        <w:t>(a).</w:t>
      </w:r>
    </w:p>
    <w:p w14:paraId="2E3EAB2D" w14:textId="0BCFD342" w:rsidR="00A5656C" w:rsidRPr="00261C59" w:rsidRDefault="00271836" w:rsidP="004728D9">
      <w:pPr>
        <w:keepNext/>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Parties agree that any episode of care that gives rise to a Sentinel Event will not be funded by the Commonwealth. For each state, total NWAU associated with Sentinel Events will be calculated each year. </w:t>
      </w:r>
    </w:p>
    <w:p w14:paraId="5903D439" w14:textId="513323CE" w:rsidR="000B1224" w:rsidRPr="00261C59" w:rsidRDefault="000B1224" w:rsidP="004B1CDB">
      <w:pPr>
        <w:keepLines/>
        <w:numPr>
          <w:ilvl w:val="1"/>
          <w:numId w:val="54"/>
        </w:numPr>
        <w:spacing w:after="240" w:line="260" w:lineRule="exact"/>
        <w:jc w:val="left"/>
        <w:rPr>
          <w:rFonts w:ascii="Calibri" w:hAnsi="Calibri"/>
          <w:sz w:val="24"/>
          <w:szCs w:val="24"/>
        </w:rPr>
      </w:pPr>
      <w:r w:rsidRPr="00261C59">
        <w:rPr>
          <w:rFonts w:ascii="Calibri" w:hAnsi="Calibri"/>
          <w:sz w:val="24"/>
          <w:szCs w:val="24"/>
        </w:rPr>
        <w:t>Where</w:t>
      </w:r>
      <w:r w:rsidRPr="00261C59">
        <w:t xml:space="preserve"> </w:t>
      </w:r>
      <w:r w:rsidRPr="00261C59">
        <w:rPr>
          <w:rFonts w:ascii="Calibri" w:hAnsi="Calibri"/>
          <w:sz w:val="24"/>
          <w:szCs w:val="24"/>
        </w:rPr>
        <w:t>states are below the funding cap in any given year, the episode will be assigned a NWAU of zero.</w:t>
      </w:r>
    </w:p>
    <w:p w14:paraId="7ECFA07E" w14:textId="6A46136B" w:rsidR="00271836" w:rsidRPr="00261C59" w:rsidRDefault="000A31E4" w:rsidP="004B1CDB">
      <w:pPr>
        <w:keepLines/>
        <w:numPr>
          <w:ilvl w:val="1"/>
          <w:numId w:val="54"/>
        </w:numPr>
        <w:spacing w:after="240" w:line="260" w:lineRule="exact"/>
        <w:jc w:val="left"/>
        <w:rPr>
          <w:rFonts w:ascii="Calibri" w:hAnsi="Calibri"/>
          <w:sz w:val="24"/>
          <w:szCs w:val="24"/>
        </w:rPr>
      </w:pPr>
      <w:r w:rsidRPr="00261C59">
        <w:rPr>
          <w:rFonts w:ascii="Calibri" w:hAnsi="Calibri"/>
          <w:sz w:val="24"/>
          <w:szCs w:val="24"/>
        </w:rPr>
        <w:t>Where states are over the funding cap in any given year, t</w:t>
      </w:r>
      <w:r w:rsidR="00271836" w:rsidRPr="00261C59">
        <w:rPr>
          <w:rFonts w:ascii="Calibri" w:hAnsi="Calibri"/>
          <w:sz w:val="24"/>
          <w:szCs w:val="24"/>
        </w:rPr>
        <w:t xml:space="preserve">he total Commonwealth contribution for this number of NWAU will be applied as an absolute funding penalty, after the funding cap. </w:t>
      </w:r>
    </w:p>
    <w:p w14:paraId="12012182" w14:textId="517D73B3" w:rsidR="00891E28" w:rsidRPr="00261C59" w:rsidRDefault="00891E28" w:rsidP="00143407">
      <w:pPr>
        <w:keepLines/>
        <w:numPr>
          <w:ilvl w:val="1"/>
          <w:numId w:val="54"/>
        </w:numPr>
        <w:spacing w:after="240" w:line="260" w:lineRule="exact"/>
        <w:jc w:val="left"/>
        <w:rPr>
          <w:rFonts w:ascii="Calibri" w:hAnsi="Calibri"/>
          <w:sz w:val="24"/>
          <w:szCs w:val="24"/>
        </w:rPr>
      </w:pPr>
      <w:r w:rsidRPr="00261C59">
        <w:rPr>
          <w:rFonts w:ascii="Calibri" w:hAnsi="Calibri"/>
          <w:sz w:val="24"/>
          <w:szCs w:val="24"/>
        </w:rPr>
        <w:t xml:space="preserve">For the avoidance of doubt, any penalties associated with Sentinel Events will not affect future funding caps outlined at </w:t>
      </w:r>
      <w:r w:rsidR="00E379B0" w:rsidRPr="00261C59">
        <w:rPr>
          <w:rFonts w:ascii="Calibri" w:hAnsi="Calibri"/>
          <w:sz w:val="24"/>
          <w:szCs w:val="24"/>
        </w:rPr>
        <w:t xml:space="preserve">clause </w:t>
      </w:r>
      <w:r w:rsidRPr="00261C59">
        <w:rPr>
          <w:rFonts w:ascii="Calibri" w:hAnsi="Calibri"/>
          <w:sz w:val="24"/>
          <w:szCs w:val="24"/>
        </w:rPr>
        <w:t>A41.</w:t>
      </w:r>
    </w:p>
    <w:p w14:paraId="7E4D05A5" w14:textId="529CC20E" w:rsidR="00271836" w:rsidRPr="00261C59" w:rsidRDefault="00271836" w:rsidP="004728D9">
      <w:pPr>
        <w:widowControl/>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States agree to apply a digital flag to any episode that includes a Sentinel Event and report this information to IHACPA as part of data submissions under clauses </w:t>
      </w:r>
      <w:r w:rsidRPr="00261C59">
        <w:rPr>
          <w:rFonts w:ascii="Calibri" w:hAnsi="Calibri"/>
          <w:sz w:val="24"/>
        </w:rPr>
        <w:t>A2</w:t>
      </w:r>
      <w:r w:rsidR="0019106E" w:rsidRPr="00261C59">
        <w:rPr>
          <w:rFonts w:ascii="Calibri" w:hAnsi="Calibri"/>
          <w:sz w:val="24"/>
        </w:rPr>
        <w:t>22</w:t>
      </w:r>
      <w:r w:rsidRPr="00261C59">
        <w:rPr>
          <w:rFonts w:ascii="Calibri" w:hAnsi="Calibri"/>
          <w:sz w:val="24"/>
        </w:rPr>
        <w:t xml:space="preserve"> and I8</w:t>
      </w:r>
      <w:r w:rsidR="008A20FD" w:rsidRPr="00261C59">
        <w:rPr>
          <w:rFonts w:ascii="Calibri" w:hAnsi="Calibri"/>
          <w:sz w:val="24"/>
        </w:rPr>
        <w:t>4</w:t>
      </w:r>
      <w:r w:rsidRPr="00261C59">
        <w:rPr>
          <w:rFonts w:ascii="Calibri" w:hAnsi="Calibri"/>
          <w:sz w:val="24"/>
          <w:szCs w:val="24"/>
        </w:rPr>
        <w:t xml:space="preserve"> of this Addendum. </w:t>
      </w:r>
    </w:p>
    <w:p w14:paraId="6BDE7F27" w14:textId="77777777" w:rsidR="00271836" w:rsidRPr="00261C59" w:rsidRDefault="00271836" w:rsidP="005460E8">
      <w:pPr>
        <w:keepNext/>
        <w:keepLines/>
        <w:spacing w:before="200"/>
        <w:jc w:val="left"/>
        <w:outlineLvl w:val="3"/>
        <w:rPr>
          <w:rFonts w:eastAsia="Yu Gothic Light"/>
          <w:b/>
          <w:bCs/>
        </w:rPr>
      </w:pPr>
      <w:r w:rsidRPr="00261C59">
        <w:rPr>
          <w:rFonts w:eastAsia="Yu Gothic Light"/>
          <w:b/>
          <w:bCs/>
        </w:rPr>
        <w:t xml:space="preserve">High-value and low-value care </w:t>
      </w:r>
    </w:p>
    <w:p w14:paraId="51C0F0E1" w14:textId="49FAE3DB" w:rsidR="00271836" w:rsidRPr="00261C59" w:rsidRDefault="00271836" w:rsidP="004728D9">
      <w:pPr>
        <w:widowControl/>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Parties agree that pricing adjustments should be introduced to better incentivise provision of higher quality care in the public hospital and health care system. </w:t>
      </w:r>
    </w:p>
    <w:p w14:paraId="71E5CF5D" w14:textId="37C74357" w:rsidR="00271836" w:rsidRPr="00261C59" w:rsidRDefault="00271836" w:rsidP="004728D9">
      <w:pPr>
        <w:widowControl/>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Parties agree that the ACSQHC will establish the low-value and high-value care list by 30 June 2028, based on the relevant principles in Schedule D. </w:t>
      </w:r>
    </w:p>
    <w:p w14:paraId="185104A5" w14:textId="77777777" w:rsidR="00271836" w:rsidRPr="00261C59" w:rsidRDefault="00271836" w:rsidP="004728D9">
      <w:pPr>
        <w:widowControl/>
        <w:numPr>
          <w:ilvl w:val="0"/>
          <w:numId w:val="54"/>
        </w:numPr>
        <w:spacing w:after="240" w:line="260" w:lineRule="exact"/>
        <w:jc w:val="left"/>
        <w:rPr>
          <w:rFonts w:ascii="Calibri" w:hAnsi="Calibri"/>
          <w:sz w:val="24"/>
          <w:szCs w:val="24"/>
        </w:rPr>
      </w:pPr>
      <w:r w:rsidRPr="00261C59">
        <w:rPr>
          <w:rFonts w:ascii="Calibri" w:hAnsi="Calibri"/>
          <w:sz w:val="24"/>
          <w:szCs w:val="24"/>
        </w:rPr>
        <w:t>The IHACPA will develop pricing models and adjustments for the high-value and low-value care approaches the first set of which will be shadow priced by 1 July 2029. The IHACPA will consult with and have regard to the advice of the ACSQHC, Parties, and Aboriginal and Torres Strait Islander stakeholders.</w:t>
      </w:r>
    </w:p>
    <w:p w14:paraId="772BEA1B" w14:textId="77777777" w:rsidR="00271836" w:rsidRPr="00261C59" w:rsidRDefault="00271836" w:rsidP="004728D9">
      <w:pPr>
        <w:keepNext/>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In developing these pricing models, the IHACPA will have regard to: </w:t>
      </w:r>
    </w:p>
    <w:p w14:paraId="6AC1088A" w14:textId="49CF3EC9" w:rsidR="00271836" w:rsidRPr="00261C59" w:rsidRDefault="00271836" w:rsidP="00B7719B">
      <w:pPr>
        <w:keepLines/>
        <w:numPr>
          <w:ilvl w:val="1"/>
          <w:numId w:val="57"/>
        </w:numPr>
        <w:spacing w:after="240" w:line="260" w:lineRule="exact"/>
        <w:jc w:val="left"/>
        <w:rPr>
          <w:rFonts w:ascii="Calibri" w:hAnsi="Calibri"/>
          <w:sz w:val="24"/>
          <w:szCs w:val="24"/>
        </w:rPr>
      </w:pPr>
      <w:r w:rsidRPr="00261C59">
        <w:rPr>
          <w:rFonts w:ascii="Calibri" w:hAnsi="Calibri"/>
          <w:sz w:val="24"/>
          <w:szCs w:val="24"/>
        </w:rPr>
        <w:t>incorporating low-value care using an agreed list that has negative pricing adjustments, similar to existing safety and quality adjustments</w:t>
      </w:r>
    </w:p>
    <w:p w14:paraId="0A71845B" w14:textId="3FCB7071" w:rsidR="00271836" w:rsidRPr="00261C59" w:rsidRDefault="00271836" w:rsidP="004728D9">
      <w:pPr>
        <w:numPr>
          <w:ilvl w:val="1"/>
          <w:numId w:val="57"/>
        </w:numPr>
        <w:spacing w:after="240" w:line="260" w:lineRule="exact"/>
        <w:jc w:val="left"/>
        <w:rPr>
          <w:rFonts w:ascii="Calibri" w:hAnsi="Calibri"/>
          <w:sz w:val="24"/>
          <w:szCs w:val="24"/>
        </w:rPr>
      </w:pPr>
      <w:r w:rsidRPr="00261C59">
        <w:rPr>
          <w:rFonts w:ascii="Calibri" w:hAnsi="Calibri"/>
          <w:sz w:val="24"/>
          <w:szCs w:val="24"/>
        </w:rPr>
        <w:t xml:space="preserve">incorporating high-value care using an agreed list that has positive pricing adjustments  </w:t>
      </w:r>
    </w:p>
    <w:p w14:paraId="3FEF51F4" w14:textId="700B73BD" w:rsidR="00271836" w:rsidRPr="00261C59" w:rsidRDefault="00271836" w:rsidP="004728D9">
      <w:pPr>
        <w:numPr>
          <w:ilvl w:val="1"/>
          <w:numId w:val="57"/>
        </w:numPr>
        <w:spacing w:after="240" w:line="260" w:lineRule="exact"/>
        <w:jc w:val="left"/>
        <w:rPr>
          <w:rFonts w:ascii="Calibri" w:hAnsi="Calibri"/>
          <w:sz w:val="24"/>
          <w:szCs w:val="24"/>
        </w:rPr>
      </w:pPr>
      <w:r w:rsidRPr="00261C59">
        <w:rPr>
          <w:rFonts w:ascii="Calibri" w:hAnsi="Calibri"/>
          <w:sz w:val="24"/>
          <w:szCs w:val="24"/>
        </w:rPr>
        <w:t xml:space="preserve">developing pricing mechanisms, size of adjustments, and the scope of low-value and high-value care based on the principles in Schedule D  </w:t>
      </w:r>
    </w:p>
    <w:p w14:paraId="5B27CEA3" w14:textId="77777777" w:rsidR="00271836" w:rsidRPr="00261C59" w:rsidRDefault="00271836" w:rsidP="004728D9">
      <w:pPr>
        <w:numPr>
          <w:ilvl w:val="1"/>
          <w:numId w:val="57"/>
        </w:numPr>
        <w:spacing w:after="240" w:line="260" w:lineRule="exact"/>
        <w:jc w:val="left"/>
        <w:rPr>
          <w:rFonts w:ascii="Calibri" w:hAnsi="Calibri"/>
          <w:sz w:val="24"/>
          <w:szCs w:val="24"/>
        </w:rPr>
      </w:pPr>
      <w:r w:rsidRPr="00261C59">
        <w:rPr>
          <w:rFonts w:ascii="Calibri" w:hAnsi="Calibri"/>
          <w:sz w:val="24"/>
          <w:szCs w:val="24"/>
        </w:rPr>
        <w:t>ensuring low-value and high-value care pricing adjustments are broadly balanced by delivering more high-value care and less low-value care.</w:t>
      </w:r>
    </w:p>
    <w:p w14:paraId="212F2A9E" w14:textId="77777777" w:rsidR="00271836" w:rsidRPr="00261C59" w:rsidRDefault="00271836" w:rsidP="004728D9">
      <w:pPr>
        <w:keepNext/>
        <w:numPr>
          <w:ilvl w:val="0"/>
          <w:numId w:val="54"/>
        </w:numPr>
        <w:spacing w:after="240" w:line="260" w:lineRule="exact"/>
        <w:jc w:val="left"/>
        <w:rPr>
          <w:rFonts w:ascii="Calibri" w:hAnsi="Calibri"/>
          <w:sz w:val="24"/>
          <w:szCs w:val="24"/>
        </w:rPr>
      </w:pPr>
      <w:r w:rsidRPr="00261C59">
        <w:rPr>
          <w:rFonts w:ascii="Calibri" w:hAnsi="Calibri"/>
          <w:sz w:val="24"/>
          <w:szCs w:val="24"/>
        </w:rPr>
        <w:lastRenderedPageBreak/>
        <w:t>Prior to implementing low-value and high-value care pricing adjustments, the Parties agree to shadow-price these adjustments for one year in 2029-30, ahead of their introduction to the pricing model. This shadow-pricing will inform development of pricing adjustments described above and be incorporated into health system performance reporting (Schedule H refers).</w:t>
      </w:r>
    </w:p>
    <w:p w14:paraId="2982BC5A" w14:textId="4A24B3DB" w:rsidR="00271836" w:rsidRPr="00261C59" w:rsidRDefault="00271836" w:rsidP="00271836">
      <w:pPr>
        <w:numPr>
          <w:ilvl w:val="1"/>
          <w:numId w:val="37"/>
        </w:numPr>
        <w:spacing w:after="240" w:line="260" w:lineRule="exact"/>
        <w:jc w:val="left"/>
        <w:rPr>
          <w:rFonts w:ascii="Calibri" w:hAnsi="Calibri"/>
          <w:sz w:val="24"/>
          <w:szCs w:val="24"/>
        </w:rPr>
      </w:pPr>
      <w:r w:rsidRPr="00261C59">
        <w:rPr>
          <w:rFonts w:ascii="Calibri" w:hAnsi="Calibri"/>
          <w:sz w:val="24"/>
          <w:szCs w:val="24"/>
        </w:rPr>
        <w:t>Introduction of these changes will be subject to HMM consideration and the results of the shadow pricing.</w:t>
      </w:r>
    </w:p>
    <w:p w14:paraId="17809114" w14:textId="77777777" w:rsidR="00271836" w:rsidRPr="00261C59" w:rsidRDefault="00271836" w:rsidP="004728D9">
      <w:pPr>
        <w:numPr>
          <w:ilvl w:val="1"/>
          <w:numId w:val="37"/>
        </w:numPr>
        <w:spacing w:after="240" w:line="260" w:lineRule="exact"/>
        <w:jc w:val="left"/>
        <w:rPr>
          <w:rFonts w:ascii="Calibri" w:hAnsi="Calibri"/>
          <w:sz w:val="24"/>
          <w:szCs w:val="24"/>
        </w:rPr>
      </w:pPr>
      <w:r w:rsidRPr="00261C59">
        <w:rPr>
          <w:rFonts w:ascii="Calibri" w:hAnsi="Calibri"/>
          <w:sz w:val="24"/>
          <w:szCs w:val="24"/>
        </w:rPr>
        <w:t>In addition to the shadow-pricing, States will also report rates of low-value care events, procedures and pathways to the IHACPA and the ACSQHC for financial year 2028-29, which will be used to inform the development and maintenance of price adjustments.</w:t>
      </w:r>
    </w:p>
    <w:p w14:paraId="3A4A7193" w14:textId="77777777" w:rsidR="00271836" w:rsidRPr="00261C59" w:rsidRDefault="00271836" w:rsidP="00B83E0B">
      <w:pPr>
        <w:keepNext/>
        <w:jc w:val="left"/>
        <w:outlineLvl w:val="2"/>
        <w:rPr>
          <w:rFonts w:ascii="Corbel" w:hAnsi="Corbel"/>
          <w:color w:val="3D4B67"/>
          <w:sz w:val="28"/>
          <w:szCs w:val="48"/>
          <w:lang w:eastAsia="ja-JP"/>
        </w:rPr>
      </w:pPr>
      <w:bookmarkStart w:id="240" w:name="_Toc171350363"/>
      <w:bookmarkStart w:id="241" w:name="_Toc172210245"/>
      <w:bookmarkStart w:id="242" w:name="_Toc172787695"/>
      <w:bookmarkStart w:id="243" w:name="_Toc173937711"/>
      <w:bookmarkStart w:id="244" w:name="_Toc183183309"/>
      <w:bookmarkStart w:id="245" w:name="_Toc201673967"/>
      <w:bookmarkStart w:id="246" w:name="_Toc210833600"/>
      <w:bookmarkStart w:id="247" w:name="_Toc214456500"/>
      <w:bookmarkStart w:id="248" w:name="_Toc221087978"/>
      <w:r w:rsidRPr="00261C59">
        <w:rPr>
          <w:rFonts w:ascii="Corbel" w:hAnsi="Corbel"/>
          <w:color w:val="3D4B67"/>
          <w:sz w:val="28"/>
          <w:szCs w:val="48"/>
          <w:lang w:eastAsia="ja-JP"/>
        </w:rPr>
        <w:t>Transitional pricing and retrospective change arrangements</w:t>
      </w:r>
      <w:bookmarkEnd w:id="240"/>
      <w:bookmarkEnd w:id="241"/>
      <w:bookmarkEnd w:id="242"/>
      <w:bookmarkEnd w:id="243"/>
      <w:bookmarkEnd w:id="244"/>
      <w:bookmarkEnd w:id="245"/>
      <w:bookmarkEnd w:id="246"/>
      <w:bookmarkEnd w:id="247"/>
      <w:bookmarkEnd w:id="248"/>
    </w:p>
    <w:p w14:paraId="54F3EEEA" w14:textId="77777777" w:rsidR="00271836" w:rsidRPr="00261C59" w:rsidRDefault="00271836" w:rsidP="00143407">
      <w:pPr>
        <w:keepLines/>
        <w:widowControl/>
        <w:numPr>
          <w:ilvl w:val="0"/>
          <w:numId w:val="54"/>
        </w:numPr>
        <w:spacing w:after="240" w:line="260" w:lineRule="exact"/>
        <w:jc w:val="left"/>
        <w:rPr>
          <w:rFonts w:ascii="Calibri" w:hAnsi="Calibri"/>
          <w:sz w:val="24"/>
          <w:szCs w:val="24"/>
        </w:rPr>
      </w:pPr>
      <w:r w:rsidRPr="00261C59">
        <w:rPr>
          <w:rFonts w:ascii="Calibri" w:hAnsi="Calibri"/>
          <w:sz w:val="24"/>
          <w:szCs w:val="24"/>
        </w:rPr>
        <w:t>The Parties acknowledge that the IHACPA must determine a National Efficient Price and National Efficient Cost for the forthcoming year; that changes cannot be made to these within the course of that year or retrospectively; and, that such a retrospective change would be undesirable given the need for sustainability and certainty in public hospital and health service funding.</w:t>
      </w:r>
    </w:p>
    <w:p w14:paraId="2D217108" w14:textId="77777777" w:rsidR="00271836" w:rsidRPr="00261C59" w:rsidRDefault="00271836" w:rsidP="004728D9">
      <w:pPr>
        <w:numPr>
          <w:ilvl w:val="1"/>
          <w:numId w:val="38"/>
        </w:numPr>
        <w:spacing w:after="240" w:line="260" w:lineRule="exact"/>
        <w:jc w:val="left"/>
        <w:rPr>
          <w:rFonts w:ascii="Calibri" w:hAnsi="Calibri"/>
          <w:sz w:val="24"/>
          <w:szCs w:val="24"/>
        </w:rPr>
      </w:pPr>
      <w:r w:rsidRPr="00261C59">
        <w:rPr>
          <w:rFonts w:ascii="Calibri" w:hAnsi="Calibri"/>
          <w:sz w:val="24"/>
          <w:szCs w:val="24"/>
        </w:rPr>
        <w:t xml:space="preserve">The IHACPA will use transitional arrangements including shadow pricing when developing significant new funding streams, classification systems or pricing methodologies. Shadow pricing will be undertaken for a period of up to two years or a shorter period agreed with the Commonwealth and a majority of States. </w:t>
      </w:r>
    </w:p>
    <w:p w14:paraId="76FA1A91" w14:textId="1299A201" w:rsidR="00271836" w:rsidRPr="00261C59" w:rsidRDefault="00271836" w:rsidP="004728D9">
      <w:pPr>
        <w:keepNext/>
        <w:numPr>
          <w:ilvl w:val="0"/>
          <w:numId w:val="54"/>
        </w:numPr>
        <w:spacing w:after="240" w:line="260" w:lineRule="exact"/>
        <w:jc w:val="left"/>
        <w:rPr>
          <w:rFonts w:ascii="Calibri" w:hAnsi="Calibri"/>
          <w:sz w:val="24"/>
          <w:szCs w:val="24"/>
        </w:rPr>
      </w:pPr>
      <w:r w:rsidRPr="00261C59">
        <w:rPr>
          <w:rFonts w:ascii="Calibri" w:hAnsi="Calibri"/>
          <w:sz w:val="24"/>
          <w:szCs w:val="24"/>
        </w:rPr>
        <w:t>Notwithstanding the principle at A</w:t>
      </w:r>
      <w:r w:rsidR="10149545" w:rsidRPr="00261C59">
        <w:rPr>
          <w:rFonts w:ascii="Calibri" w:hAnsi="Calibri"/>
          <w:sz w:val="24"/>
          <w:szCs w:val="24"/>
        </w:rPr>
        <w:t>98</w:t>
      </w:r>
      <w:r w:rsidRPr="00261C59">
        <w:rPr>
          <w:rFonts w:ascii="Calibri" w:hAnsi="Calibri"/>
          <w:sz w:val="24"/>
          <w:szCs w:val="24"/>
        </w:rPr>
        <w:t>, Parties acknowledge that in some cases a retrospective or in-year change to the National Funding Model – but not the National Pricing Model – may be required. Business rules for retrospective adjustments to the National Funding Model will be maintained by the Administrator and National Health Funding Body (NHFB). These will address the significance of changes, processes, and consultation requirements.</w:t>
      </w:r>
    </w:p>
    <w:p w14:paraId="73DA24A2" w14:textId="77777777" w:rsidR="00271836" w:rsidRPr="00261C59" w:rsidRDefault="00271836" w:rsidP="004728D9">
      <w:pPr>
        <w:numPr>
          <w:ilvl w:val="1"/>
          <w:numId w:val="58"/>
        </w:numPr>
        <w:spacing w:after="240" w:line="260" w:lineRule="exact"/>
        <w:jc w:val="left"/>
        <w:rPr>
          <w:rFonts w:ascii="Calibri" w:hAnsi="Calibri"/>
          <w:sz w:val="24"/>
          <w:szCs w:val="24"/>
        </w:rPr>
      </w:pPr>
      <w:r w:rsidRPr="00261C59">
        <w:rPr>
          <w:rFonts w:ascii="Calibri" w:hAnsi="Calibri"/>
          <w:sz w:val="24"/>
          <w:szCs w:val="24"/>
        </w:rPr>
        <w:t xml:space="preserve">If the Administrator and NHFB consider there is a potential need for a retrospective adjustment to the National Funding Model, Administrator and NHFB will communicate, consult, and collaborate with Parties. The Administrator and NHFB will hold a consultation period of 45 days to allow Parties an opportunity to provide submissions on the matter. </w:t>
      </w:r>
    </w:p>
    <w:p w14:paraId="12BC53B7" w14:textId="2F4B7DF2" w:rsidR="00271836" w:rsidRPr="00261C59" w:rsidRDefault="00271836" w:rsidP="004728D9">
      <w:pPr>
        <w:numPr>
          <w:ilvl w:val="1"/>
          <w:numId w:val="58"/>
        </w:numPr>
        <w:spacing w:after="240" w:line="260" w:lineRule="exact"/>
        <w:jc w:val="left"/>
        <w:rPr>
          <w:rFonts w:ascii="Calibri" w:hAnsi="Calibri"/>
          <w:sz w:val="24"/>
          <w:szCs w:val="24"/>
        </w:rPr>
      </w:pPr>
      <w:r w:rsidRPr="00261C59">
        <w:rPr>
          <w:rFonts w:ascii="Calibri" w:hAnsi="Calibri"/>
          <w:sz w:val="24"/>
          <w:szCs w:val="24"/>
        </w:rPr>
        <w:t xml:space="preserve">Within 45 days following the 45-day consultation period, </w:t>
      </w:r>
      <w:r w:rsidR="00D70B3E">
        <w:rPr>
          <w:rFonts w:ascii="Calibri" w:hAnsi="Calibri"/>
          <w:sz w:val="24"/>
          <w:szCs w:val="24"/>
        </w:rPr>
        <w:t xml:space="preserve">the </w:t>
      </w:r>
      <w:r w:rsidRPr="00261C59">
        <w:rPr>
          <w:rFonts w:ascii="Calibri" w:hAnsi="Calibri"/>
          <w:sz w:val="24"/>
          <w:szCs w:val="24"/>
        </w:rPr>
        <w:t xml:space="preserve">Administrator and NHFB will prepare a report for HMM, advising them of the Administrator and NHFB’s decision, and the nature and circumstances of the recommended adjustment to the National Funding Model. </w:t>
      </w:r>
    </w:p>
    <w:p w14:paraId="5DE44681" w14:textId="77777777" w:rsidR="00271836" w:rsidRPr="00261C59" w:rsidRDefault="00271836" w:rsidP="004728D9">
      <w:pPr>
        <w:numPr>
          <w:ilvl w:val="1"/>
          <w:numId w:val="58"/>
        </w:numPr>
        <w:spacing w:after="240" w:line="260" w:lineRule="exact"/>
        <w:jc w:val="left"/>
        <w:rPr>
          <w:rFonts w:ascii="Calibri" w:hAnsi="Calibri"/>
          <w:sz w:val="24"/>
          <w:szCs w:val="24"/>
        </w:rPr>
      </w:pPr>
      <w:r w:rsidRPr="00261C59">
        <w:rPr>
          <w:rFonts w:ascii="Calibri" w:hAnsi="Calibri"/>
          <w:sz w:val="24"/>
          <w:szCs w:val="24"/>
        </w:rPr>
        <w:t>Once the report is provided to HMM, the Administrator and NHFB will incorporate the decision on the retrospective adjustment into the National Funding Model and provide Parties with an updated report on funding entitlements.</w:t>
      </w:r>
    </w:p>
    <w:p w14:paraId="1971B774" w14:textId="77777777" w:rsidR="00271836" w:rsidRPr="00261C59" w:rsidRDefault="00271836" w:rsidP="004728D9">
      <w:pPr>
        <w:numPr>
          <w:ilvl w:val="1"/>
          <w:numId w:val="58"/>
        </w:numPr>
        <w:spacing w:after="240" w:line="260" w:lineRule="exact"/>
        <w:jc w:val="left"/>
        <w:rPr>
          <w:rFonts w:ascii="Calibri" w:hAnsi="Calibri"/>
          <w:sz w:val="24"/>
          <w:szCs w:val="24"/>
        </w:rPr>
      </w:pPr>
      <w:r w:rsidRPr="00261C59">
        <w:rPr>
          <w:rFonts w:ascii="Calibri" w:hAnsi="Calibri"/>
          <w:sz w:val="24"/>
          <w:szCs w:val="24"/>
        </w:rPr>
        <w:t>When providing payment advice to the Commonwealth Treasurer following the annual reconciliation, the Administrator will include a section that notes any matters or concerns raised by State Ministers in the 45-day consultation period.</w:t>
      </w:r>
    </w:p>
    <w:p w14:paraId="3A97A8E5" w14:textId="77777777" w:rsidR="00271836" w:rsidRPr="00261C59" w:rsidRDefault="00271836" w:rsidP="005460E8">
      <w:pPr>
        <w:pStyle w:val="Heading2"/>
        <w:widowControl/>
        <w:adjustRightInd/>
        <w:spacing w:before="180" w:after="120"/>
        <w:jc w:val="left"/>
        <w:textAlignment w:val="auto"/>
        <w:rPr>
          <w:rFonts w:ascii="Corbel" w:hAnsi="Corbel" w:cs="Arial"/>
          <w:b w:val="0"/>
          <w:bCs w:val="0"/>
          <w:iCs/>
          <w:color w:val="3D4B67"/>
          <w:sz w:val="28"/>
          <w:szCs w:val="28"/>
        </w:rPr>
      </w:pPr>
      <w:bookmarkStart w:id="249" w:name="_Toc168579013"/>
      <w:bookmarkStart w:id="250" w:name="_Toc171350365"/>
      <w:bookmarkStart w:id="251" w:name="_Toc172210246"/>
      <w:bookmarkStart w:id="252" w:name="_Toc172787696"/>
      <w:bookmarkStart w:id="253" w:name="_Toc173937712"/>
      <w:bookmarkStart w:id="254" w:name="_Toc183183310"/>
      <w:bookmarkStart w:id="255" w:name="_Toc201673968"/>
      <w:bookmarkStart w:id="256" w:name="_Toc210833601"/>
      <w:bookmarkStart w:id="257" w:name="_Toc214456501"/>
      <w:bookmarkStart w:id="258" w:name="_Toc221087979"/>
      <w:r w:rsidRPr="00261C59">
        <w:rPr>
          <w:rFonts w:ascii="Corbel" w:eastAsia="Times New Roman" w:hAnsi="Corbel" w:cs="Arial"/>
          <w:color w:val="3D4B67"/>
          <w:sz w:val="28"/>
          <w:szCs w:val="28"/>
        </w:rPr>
        <w:lastRenderedPageBreak/>
        <w:t xml:space="preserve">Part 3 – Scope of services and other activities </w:t>
      </w:r>
      <w:r w:rsidRPr="00261C59">
        <w:rPr>
          <w:rFonts w:ascii="Corbel" w:hAnsi="Corbel" w:cs="Arial"/>
          <w:color w:val="3D4B67"/>
          <w:sz w:val="28"/>
          <w:szCs w:val="28"/>
        </w:rPr>
        <w:t>that receive a Commonwealth contribution</w:t>
      </w:r>
      <w:bookmarkEnd w:id="249"/>
      <w:bookmarkEnd w:id="250"/>
      <w:bookmarkEnd w:id="251"/>
      <w:bookmarkEnd w:id="252"/>
      <w:bookmarkEnd w:id="253"/>
      <w:bookmarkEnd w:id="254"/>
      <w:bookmarkEnd w:id="255"/>
      <w:bookmarkEnd w:id="256"/>
      <w:bookmarkEnd w:id="257"/>
      <w:bookmarkEnd w:id="258"/>
    </w:p>
    <w:p w14:paraId="6737252B" w14:textId="77777777" w:rsidR="00271836" w:rsidRPr="00261C59" w:rsidRDefault="00271836" w:rsidP="005460E8">
      <w:pPr>
        <w:keepNext/>
        <w:keepLines/>
        <w:widowControl/>
        <w:jc w:val="left"/>
        <w:outlineLvl w:val="2"/>
        <w:rPr>
          <w:rFonts w:ascii="Corbel" w:hAnsi="Corbel"/>
          <w:color w:val="3D4B67"/>
          <w:sz w:val="28"/>
          <w:szCs w:val="28"/>
          <w:lang w:eastAsia="ja-JP"/>
        </w:rPr>
      </w:pPr>
      <w:bookmarkStart w:id="259" w:name="_Toc171350366"/>
      <w:bookmarkStart w:id="260" w:name="_Toc172210247"/>
      <w:bookmarkStart w:id="261" w:name="_Toc172787697"/>
      <w:bookmarkStart w:id="262" w:name="_Toc173937713"/>
      <w:bookmarkStart w:id="263" w:name="_Toc183183311"/>
      <w:bookmarkStart w:id="264" w:name="_Toc201673969"/>
      <w:bookmarkStart w:id="265" w:name="_Toc210833602"/>
      <w:bookmarkStart w:id="266" w:name="_Toc214456502"/>
      <w:bookmarkStart w:id="267" w:name="_Toc221087980"/>
      <w:r w:rsidRPr="00261C59">
        <w:rPr>
          <w:rFonts w:ascii="Corbel" w:hAnsi="Corbel"/>
          <w:color w:val="3D4B67"/>
          <w:sz w:val="28"/>
          <w:szCs w:val="28"/>
          <w:lang w:eastAsia="ja-JP"/>
        </w:rPr>
        <w:t>General list of services eligible to receive a Commonwealth funding contribution</w:t>
      </w:r>
      <w:bookmarkEnd w:id="259"/>
      <w:bookmarkEnd w:id="260"/>
      <w:bookmarkEnd w:id="261"/>
      <w:bookmarkEnd w:id="262"/>
      <w:bookmarkEnd w:id="263"/>
      <w:bookmarkEnd w:id="264"/>
      <w:bookmarkEnd w:id="265"/>
      <w:bookmarkEnd w:id="266"/>
      <w:bookmarkEnd w:id="267"/>
    </w:p>
    <w:p w14:paraId="4999C381" w14:textId="3E75B7B0"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As part of the National Pricing Model, the IHACPA will be responsible for determining and publishing the scope of public hospital and health services eligible to receive a Commonwealth funding contribution through this Addendum, known as the general list. In making and maintaining this determination and list, the IHACPA will have regard to this Part of Schedule A and clauses </w:t>
      </w:r>
      <w:r w:rsidRPr="00261C59">
        <w:rPr>
          <w:rFonts w:ascii="Calibri" w:hAnsi="Calibri"/>
          <w:sz w:val="24"/>
        </w:rPr>
        <w:t>D</w:t>
      </w:r>
      <w:r w:rsidR="00A03691" w:rsidRPr="00261C59">
        <w:rPr>
          <w:rFonts w:ascii="Calibri" w:hAnsi="Calibri"/>
          <w:sz w:val="24"/>
        </w:rPr>
        <w:t>1</w:t>
      </w:r>
      <w:r w:rsidR="00585F04" w:rsidRPr="00261C59">
        <w:rPr>
          <w:rFonts w:ascii="Calibri" w:hAnsi="Calibri"/>
          <w:sz w:val="24"/>
        </w:rPr>
        <w:t>4</w:t>
      </w:r>
      <w:r w:rsidRPr="00261C59">
        <w:rPr>
          <w:rFonts w:ascii="Calibri" w:hAnsi="Calibri"/>
          <w:sz w:val="24"/>
        </w:rPr>
        <w:t xml:space="preserve"> to D</w:t>
      </w:r>
      <w:r w:rsidR="00A03691" w:rsidRPr="00261C59">
        <w:rPr>
          <w:rFonts w:ascii="Calibri" w:hAnsi="Calibri"/>
          <w:sz w:val="24"/>
        </w:rPr>
        <w:t>1</w:t>
      </w:r>
      <w:r w:rsidR="000E15DE" w:rsidRPr="00261C59">
        <w:rPr>
          <w:rFonts w:ascii="Calibri" w:hAnsi="Calibri"/>
          <w:sz w:val="24"/>
        </w:rPr>
        <w:t>7</w:t>
      </w:r>
      <w:r w:rsidRPr="00261C59">
        <w:rPr>
          <w:rFonts w:ascii="Calibri" w:hAnsi="Calibri"/>
          <w:sz w:val="24"/>
          <w:szCs w:val="24"/>
        </w:rPr>
        <w:t xml:space="preserve"> in Schedule D.</w:t>
      </w:r>
    </w:p>
    <w:p w14:paraId="2AEE0062" w14:textId="5CEDD7CF"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Services specified on the general list will attract a Commonwealth funding contribution if provided by or on behalf of any LHN as agreed between </w:t>
      </w:r>
      <w:r w:rsidR="009F0C25" w:rsidRPr="00261C59">
        <w:rPr>
          <w:rFonts w:ascii="Calibri" w:hAnsi="Calibri"/>
          <w:sz w:val="24"/>
          <w:szCs w:val="24"/>
        </w:rPr>
        <w:t xml:space="preserve">a </w:t>
      </w:r>
      <w:r w:rsidRPr="00261C59">
        <w:rPr>
          <w:rFonts w:ascii="Calibri" w:hAnsi="Calibri"/>
          <w:sz w:val="24"/>
          <w:szCs w:val="24"/>
        </w:rPr>
        <w:t xml:space="preserve">State and </w:t>
      </w:r>
      <w:r w:rsidR="009F0C25" w:rsidRPr="00261C59">
        <w:rPr>
          <w:rFonts w:ascii="Calibri" w:hAnsi="Calibri"/>
          <w:sz w:val="24"/>
          <w:szCs w:val="24"/>
        </w:rPr>
        <w:t xml:space="preserve">a </w:t>
      </w:r>
      <w:r w:rsidRPr="00261C59">
        <w:rPr>
          <w:rFonts w:ascii="Calibri" w:hAnsi="Calibri"/>
          <w:sz w:val="24"/>
          <w:szCs w:val="24"/>
        </w:rPr>
        <w:t xml:space="preserve">LHN as per </w:t>
      </w:r>
      <w:r w:rsidR="000E15DE" w:rsidRPr="00261C59">
        <w:rPr>
          <w:rFonts w:ascii="Calibri" w:hAnsi="Calibri"/>
          <w:sz w:val="24"/>
          <w:szCs w:val="24"/>
        </w:rPr>
        <w:br/>
      </w:r>
      <w:r w:rsidRPr="00261C59">
        <w:rPr>
          <w:rFonts w:ascii="Calibri" w:hAnsi="Calibri"/>
          <w:sz w:val="24"/>
          <w:szCs w:val="24"/>
        </w:rPr>
        <w:t xml:space="preserve">clauses </w:t>
      </w:r>
      <w:r w:rsidRPr="00261C59">
        <w:rPr>
          <w:rFonts w:ascii="Calibri" w:hAnsi="Calibri"/>
          <w:sz w:val="24"/>
        </w:rPr>
        <w:t>A1</w:t>
      </w:r>
      <w:r w:rsidR="006730FF" w:rsidRPr="00261C59">
        <w:rPr>
          <w:rFonts w:ascii="Calibri" w:hAnsi="Calibri"/>
          <w:sz w:val="24"/>
        </w:rPr>
        <w:t>55 to A157</w:t>
      </w:r>
      <w:r w:rsidRPr="00261C59">
        <w:rPr>
          <w:rFonts w:ascii="Calibri" w:hAnsi="Calibri"/>
          <w:sz w:val="24"/>
          <w:szCs w:val="24"/>
        </w:rPr>
        <w:t>.</w:t>
      </w:r>
    </w:p>
    <w:p w14:paraId="07918540"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IHACPA will maintain and publish criteria for assessing services for inclusion on this general list or a subcomponent thereof, and for reviewing whether services should remain. In establishing the criteria for inclusion and review, the IHACPA will have regard to the need for consistency and equity across all jurisdictions when implementing changes to scope, including in terms of funding stability and predictability.</w:t>
      </w:r>
    </w:p>
    <w:p w14:paraId="74B18CF6"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In making this determination, and maintaining and publishing the criteria for the general list, IHACPA will have regard to both:</w:t>
      </w:r>
    </w:p>
    <w:p w14:paraId="5A79B9B8" w14:textId="721C20AB" w:rsidR="00271836" w:rsidRPr="00261C59" w:rsidRDefault="1245FA05" w:rsidP="004728D9">
      <w:pPr>
        <w:numPr>
          <w:ilvl w:val="1"/>
          <w:numId w:val="55"/>
        </w:numPr>
        <w:spacing w:after="240" w:line="260" w:lineRule="exact"/>
        <w:jc w:val="left"/>
        <w:rPr>
          <w:rFonts w:ascii="Calibri" w:hAnsi="Calibri"/>
          <w:sz w:val="24"/>
          <w:szCs w:val="24"/>
        </w:rPr>
      </w:pPr>
      <w:r w:rsidRPr="774FFDA1">
        <w:rPr>
          <w:rFonts w:ascii="Calibri" w:hAnsi="Calibri"/>
          <w:sz w:val="24"/>
          <w:szCs w:val="24"/>
        </w:rPr>
        <w:t>t</w:t>
      </w:r>
      <w:r w:rsidR="00271836" w:rsidRPr="774FFDA1">
        <w:rPr>
          <w:rFonts w:ascii="Calibri" w:hAnsi="Calibri"/>
          <w:sz w:val="24"/>
          <w:szCs w:val="24"/>
        </w:rPr>
        <w:t>he primary scope of public hospital and health services eligible for a Commonwealth funding contribution, which will include:</w:t>
      </w:r>
    </w:p>
    <w:p w14:paraId="0AD6A788" w14:textId="099FD875" w:rsidR="00271836" w:rsidRPr="00261C59" w:rsidRDefault="00271836" w:rsidP="774FFDA1">
      <w:pPr>
        <w:numPr>
          <w:ilvl w:val="2"/>
          <w:numId w:val="55"/>
        </w:numPr>
        <w:spacing w:after="240" w:line="260" w:lineRule="exact"/>
        <w:jc w:val="left"/>
        <w:rPr>
          <w:rFonts w:ascii="Calibri" w:hAnsi="Calibri"/>
          <w:sz w:val="24"/>
          <w:szCs w:val="24"/>
        </w:rPr>
      </w:pPr>
      <w:r w:rsidRPr="774FFDA1">
        <w:rPr>
          <w:rFonts w:ascii="Calibri" w:hAnsi="Calibri"/>
          <w:sz w:val="24"/>
          <w:szCs w:val="24"/>
        </w:rPr>
        <w:t>all admitted services, including hospital in the home programs, forensic mental health inpatient services, and virtually provided care</w:t>
      </w:r>
    </w:p>
    <w:p w14:paraId="67E5BE28" w14:textId="19C11EAD" w:rsidR="00271836" w:rsidRPr="00261C59" w:rsidRDefault="00271836" w:rsidP="774FFDA1">
      <w:pPr>
        <w:numPr>
          <w:ilvl w:val="2"/>
          <w:numId w:val="55"/>
        </w:numPr>
        <w:spacing w:after="240" w:line="260" w:lineRule="exact"/>
        <w:ind w:left="1842" w:hanging="181"/>
        <w:jc w:val="left"/>
        <w:rPr>
          <w:rFonts w:ascii="Calibri" w:hAnsi="Calibri"/>
          <w:sz w:val="24"/>
          <w:szCs w:val="24"/>
        </w:rPr>
      </w:pPr>
      <w:r w:rsidRPr="774FFDA1">
        <w:rPr>
          <w:rFonts w:ascii="Calibri" w:hAnsi="Calibri"/>
          <w:sz w:val="24"/>
          <w:szCs w:val="24"/>
        </w:rPr>
        <w:t>all emergency care services provided by a recognised emergency department service, including virtually provided care, or other emergency care service (excluding ambulance services)</w:t>
      </w:r>
    </w:p>
    <w:p w14:paraId="73BCF5BF" w14:textId="526AFB82" w:rsidR="00271836" w:rsidRPr="00261C59" w:rsidRDefault="00271836" w:rsidP="774FFDA1">
      <w:pPr>
        <w:numPr>
          <w:ilvl w:val="2"/>
          <w:numId w:val="55"/>
        </w:numPr>
        <w:spacing w:after="240" w:line="260" w:lineRule="exact"/>
        <w:jc w:val="left"/>
        <w:rPr>
          <w:rFonts w:ascii="Calibri" w:hAnsi="Calibri"/>
          <w:sz w:val="24"/>
          <w:szCs w:val="24"/>
        </w:rPr>
      </w:pPr>
      <w:r w:rsidRPr="774FFDA1">
        <w:rPr>
          <w:rFonts w:ascii="Calibri" w:hAnsi="Calibri"/>
          <w:sz w:val="24"/>
          <w:szCs w:val="24"/>
        </w:rPr>
        <w:t>specialist outpatient clinic services</w:t>
      </w:r>
    </w:p>
    <w:p w14:paraId="332C8BD6" w14:textId="23EE67C1" w:rsidR="00271836" w:rsidRPr="00261C59" w:rsidRDefault="00271836" w:rsidP="004728D9">
      <w:pPr>
        <w:numPr>
          <w:ilvl w:val="2"/>
          <w:numId w:val="55"/>
        </w:numPr>
        <w:spacing w:after="240" w:line="260" w:lineRule="exact"/>
        <w:jc w:val="left"/>
        <w:rPr>
          <w:rFonts w:ascii="Calibri" w:hAnsi="Calibri"/>
          <w:sz w:val="24"/>
          <w:szCs w:val="24"/>
        </w:rPr>
      </w:pPr>
      <w:r w:rsidRPr="774FFDA1">
        <w:rPr>
          <w:rFonts w:ascii="Calibri" w:hAnsi="Calibri"/>
          <w:sz w:val="24"/>
          <w:szCs w:val="24"/>
        </w:rPr>
        <w:t xml:space="preserve">other non-admitted patient services, including new models of care or service delivery, outpatient care, mental health, subacute services or other services that directly substitute or directly reduce demand for hospital services, regardless of setting, provider, or mode of delivery </w:t>
      </w:r>
    </w:p>
    <w:p w14:paraId="4EFD5680" w14:textId="0E6A4BF1" w:rsidR="00271836" w:rsidRPr="00261C59" w:rsidRDefault="2C586007" w:rsidP="004728D9">
      <w:pPr>
        <w:widowControl/>
        <w:numPr>
          <w:ilvl w:val="1"/>
          <w:numId w:val="55"/>
        </w:numPr>
        <w:spacing w:after="240" w:line="260" w:lineRule="exact"/>
        <w:jc w:val="left"/>
        <w:rPr>
          <w:rFonts w:ascii="Calibri" w:hAnsi="Calibri"/>
          <w:sz w:val="24"/>
          <w:szCs w:val="24"/>
        </w:rPr>
      </w:pPr>
      <w:r w:rsidRPr="774FFDA1">
        <w:rPr>
          <w:rFonts w:ascii="Calibri" w:hAnsi="Calibri"/>
          <w:sz w:val="24"/>
          <w:szCs w:val="24"/>
        </w:rPr>
        <w:t>t</w:t>
      </w:r>
      <w:r w:rsidR="00271836" w:rsidRPr="774FFDA1">
        <w:rPr>
          <w:rFonts w:ascii="Calibri" w:hAnsi="Calibri"/>
          <w:sz w:val="24"/>
          <w:szCs w:val="24"/>
        </w:rPr>
        <w:t>he primary consideration of a service eligible for a Commonwealth funding contribution, which will include reasonable evidence that it is:</w:t>
      </w:r>
    </w:p>
    <w:p w14:paraId="67EC4A75" w14:textId="77777777" w:rsidR="00271836" w:rsidRPr="00261C59" w:rsidRDefault="00271836" w:rsidP="004728D9">
      <w:pPr>
        <w:numPr>
          <w:ilvl w:val="2"/>
          <w:numId w:val="55"/>
        </w:numPr>
        <w:spacing w:after="240" w:line="260" w:lineRule="exact"/>
        <w:jc w:val="left"/>
        <w:rPr>
          <w:rFonts w:ascii="Calibri" w:hAnsi="Calibri"/>
          <w:sz w:val="24"/>
        </w:rPr>
      </w:pPr>
      <w:r w:rsidRPr="00261C59">
        <w:rPr>
          <w:rFonts w:ascii="Calibri" w:hAnsi="Calibri"/>
          <w:sz w:val="24"/>
        </w:rPr>
        <w:t>a contemporary health service being delivered by public hospitals and health services, or</w:t>
      </w:r>
    </w:p>
    <w:p w14:paraId="6EF16229" w14:textId="77777777" w:rsidR="00271836" w:rsidRPr="00261C59" w:rsidRDefault="00271836" w:rsidP="004728D9">
      <w:pPr>
        <w:numPr>
          <w:ilvl w:val="2"/>
          <w:numId w:val="55"/>
        </w:numPr>
        <w:spacing w:after="240" w:line="260" w:lineRule="exact"/>
        <w:jc w:val="left"/>
        <w:rPr>
          <w:rFonts w:ascii="Calibri" w:hAnsi="Calibri"/>
          <w:sz w:val="24"/>
        </w:rPr>
      </w:pPr>
      <w:r w:rsidRPr="00261C59">
        <w:rPr>
          <w:rFonts w:ascii="Calibri" w:hAnsi="Calibri"/>
          <w:sz w:val="24"/>
        </w:rPr>
        <w:t xml:space="preserve">a public hospital-like service, or </w:t>
      </w:r>
    </w:p>
    <w:p w14:paraId="3D4FC22B" w14:textId="77777777" w:rsidR="00271836" w:rsidRPr="00261C59" w:rsidRDefault="00271836" w:rsidP="004728D9">
      <w:pPr>
        <w:numPr>
          <w:ilvl w:val="2"/>
          <w:numId w:val="55"/>
        </w:numPr>
        <w:spacing w:after="240" w:line="260" w:lineRule="exact"/>
        <w:jc w:val="left"/>
        <w:rPr>
          <w:rFonts w:ascii="Calibri" w:hAnsi="Calibri"/>
          <w:sz w:val="24"/>
        </w:rPr>
      </w:pPr>
      <w:r w:rsidRPr="00261C59">
        <w:rPr>
          <w:rFonts w:ascii="Calibri" w:hAnsi="Calibri"/>
          <w:sz w:val="24"/>
        </w:rPr>
        <w:t>another service that directly substitutes or reduces demand, for hospital-like services.</w:t>
      </w:r>
    </w:p>
    <w:p w14:paraId="37D8CE74" w14:textId="77777777" w:rsidR="00271836" w:rsidRPr="00261C59" w:rsidRDefault="00271836" w:rsidP="004728D9">
      <w:pPr>
        <w:keepLines/>
        <w:widowControl/>
        <w:numPr>
          <w:ilvl w:val="0"/>
          <w:numId w:val="54"/>
        </w:numPr>
        <w:spacing w:after="240" w:line="260" w:lineRule="exact"/>
        <w:jc w:val="left"/>
        <w:rPr>
          <w:rFonts w:ascii="Calibri" w:hAnsi="Calibri"/>
          <w:sz w:val="24"/>
          <w:szCs w:val="24"/>
        </w:rPr>
      </w:pPr>
      <w:r w:rsidRPr="00261C59">
        <w:rPr>
          <w:rFonts w:ascii="Calibri" w:hAnsi="Calibri"/>
          <w:sz w:val="24"/>
          <w:szCs w:val="24"/>
        </w:rPr>
        <w:lastRenderedPageBreak/>
        <w:t>In determining the scope of services and maintaining the general list, the IHACPA will consider recommendations from Parties to amend the general list against the IHACPA’s published criteria. If the IHACPA considers the service should continue to be included or excluded, it will publicly release its determination and rationale.</w:t>
      </w:r>
    </w:p>
    <w:p w14:paraId="13750206" w14:textId="7717E634"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HMM may request the IHACPA to review the services included or excluded from the general list, including in relation to clauses D</w:t>
      </w:r>
      <w:r w:rsidR="007B0677" w:rsidRPr="00261C59">
        <w:rPr>
          <w:rFonts w:ascii="Calibri" w:hAnsi="Calibri"/>
          <w:sz w:val="24"/>
          <w:szCs w:val="24"/>
        </w:rPr>
        <w:t>1</w:t>
      </w:r>
      <w:r w:rsidR="002F1C4F" w:rsidRPr="00261C59">
        <w:rPr>
          <w:rFonts w:ascii="Calibri" w:hAnsi="Calibri"/>
          <w:sz w:val="24"/>
          <w:szCs w:val="24"/>
        </w:rPr>
        <w:t>4</w:t>
      </w:r>
      <w:r w:rsidRPr="00261C59">
        <w:rPr>
          <w:rFonts w:ascii="Calibri" w:hAnsi="Calibri"/>
          <w:sz w:val="24"/>
          <w:szCs w:val="24"/>
        </w:rPr>
        <w:t xml:space="preserve"> to D</w:t>
      </w:r>
      <w:r w:rsidR="007B0677" w:rsidRPr="00261C59">
        <w:rPr>
          <w:rFonts w:ascii="Calibri" w:hAnsi="Calibri"/>
          <w:sz w:val="24"/>
          <w:szCs w:val="24"/>
        </w:rPr>
        <w:t>1</w:t>
      </w:r>
      <w:r w:rsidR="00774BDB" w:rsidRPr="00261C59">
        <w:rPr>
          <w:rFonts w:ascii="Calibri" w:hAnsi="Calibri"/>
          <w:sz w:val="24"/>
          <w:szCs w:val="24"/>
        </w:rPr>
        <w:t>7</w:t>
      </w:r>
      <w:r w:rsidRPr="00261C59">
        <w:rPr>
          <w:rFonts w:ascii="Calibri" w:hAnsi="Calibri"/>
          <w:sz w:val="24"/>
          <w:szCs w:val="24"/>
        </w:rPr>
        <w:t xml:space="preserve">. The IHACPA will implement its desired changes in the following determination. </w:t>
      </w:r>
      <w:bookmarkStart w:id="268" w:name="_Toc171350367"/>
      <w:bookmarkStart w:id="269" w:name="_Toc172210248"/>
      <w:bookmarkStart w:id="270" w:name="_Toc172787698"/>
      <w:bookmarkStart w:id="271" w:name="_Toc173937714"/>
    </w:p>
    <w:p w14:paraId="0ADB5768" w14:textId="77777777" w:rsidR="00271836" w:rsidRPr="00261C59" w:rsidRDefault="00271836" w:rsidP="005460E8">
      <w:pPr>
        <w:spacing w:after="240" w:line="260" w:lineRule="exact"/>
        <w:jc w:val="left"/>
        <w:outlineLvl w:val="2"/>
        <w:rPr>
          <w:rFonts w:ascii="Corbel" w:hAnsi="Corbel"/>
          <w:color w:val="3D4B67"/>
          <w:sz w:val="28"/>
          <w:szCs w:val="48"/>
          <w:lang w:eastAsia="ja-JP"/>
        </w:rPr>
      </w:pPr>
      <w:bookmarkStart w:id="272" w:name="_Toc183183312"/>
      <w:bookmarkStart w:id="273" w:name="_Toc201673970"/>
      <w:bookmarkStart w:id="274" w:name="_Toc210833603"/>
      <w:bookmarkStart w:id="275" w:name="_Toc214456503"/>
      <w:bookmarkStart w:id="276" w:name="_Toc221087981"/>
      <w:r w:rsidRPr="00261C59">
        <w:rPr>
          <w:rFonts w:ascii="Corbel" w:hAnsi="Corbel"/>
          <w:color w:val="3D4B67"/>
          <w:sz w:val="28"/>
          <w:szCs w:val="48"/>
          <w:lang w:eastAsia="ja-JP"/>
        </w:rPr>
        <w:t>Other services eligible to receive a Commonwealth funding contribution</w:t>
      </w:r>
      <w:bookmarkEnd w:id="268"/>
      <w:bookmarkEnd w:id="269"/>
      <w:bookmarkEnd w:id="270"/>
      <w:bookmarkEnd w:id="271"/>
      <w:bookmarkEnd w:id="272"/>
      <w:bookmarkEnd w:id="273"/>
      <w:bookmarkEnd w:id="274"/>
      <w:bookmarkEnd w:id="275"/>
      <w:bookmarkEnd w:id="276"/>
    </w:p>
    <w:p w14:paraId="1BB4DF3D"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As part of the National Pricing Model, the IHACPA will maintain and publish a subset of the general list of conditional services, that sets out those services that are only eligible to receive a Commonwealth funding contribution under specified criteria (such as only in certain jurisdictions and/or LHNs), as determined through this Part.</w:t>
      </w:r>
    </w:p>
    <w:p w14:paraId="04E4F251" w14:textId="77777777" w:rsidR="00271836" w:rsidRPr="00261C59" w:rsidRDefault="00271836" w:rsidP="00E0039E">
      <w:pPr>
        <w:keepLines/>
        <w:numPr>
          <w:ilvl w:val="0"/>
          <w:numId w:val="54"/>
        </w:numPr>
        <w:spacing w:after="240" w:line="260" w:lineRule="exact"/>
        <w:jc w:val="left"/>
        <w:rPr>
          <w:rFonts w:ascii="Calibri" w:hAnsi="Calibri"/>
          <w:sz w:val="24"/>
        </w:rPr>
      </w:pPr>
      <w:r w:rsidRPr="00261C59">
        <w:rPr>
          <w:rFonts w:ascii="Calibri" w:hAnsi="Calibri"/>
          <w:sz w:val="24"/>
        </w:rPr>
        <w:t xml:space="preserve">A service can be included in the subset list if </w:t>
      </w:r>
      <w:r w:rsidRPr="00261C59">
        <w:rPr>
          <w:rFonts w:ascii="Calibri" w:hAnsi="Calibri"/>
          <w:sz w:val="24"/>
          <w:szCs w:val="24"/>
        </w:rPr>
        <w:t>one or more State Health Minister(s) and Treasurer(s), and the Commonwealth Health Minister and Treasurer enter into an agreement to do so, and either:</w:t>
      </w:r>
    </w:p>
    <w:p w14:paraId="5E30C805" w14:textId="6AE7521F" w:rsidR="00271836" w:rsidRPr="00261C59" w:rsidRDefault="00271836" w:rsidP="004728D9">
      <w:pPr>
        <w:numPr>
          <w:ilvl w:val="1"/>
          <w:numId w:val="59"/>
        </w:numPr>
        <w:spacing w:after="240" w:line="260" w:lineRule="exact"/>
        <w:jc w:val="left"/>
        <w:rPr>
          <w:rFonts w:ascii="Calibri" w:hAnsi="Calibri"/>
          <w:sz w:val="24"/>
          <w:szCs w:val="24"/>
        </w:rPr>
      </w:pPr>
      <w:r w:rsidRPr="00261C59">
        <w:rPr>
          <w:rFonts w:ascii="Calibri" w:hAnsi="Calibri"/>
          <w:sz w:val="24"/>
          <w:szCs w:val="24"/>
        </w:rPr>
        <w:t>the IHACPA deems that a service would ordinarily be suitable for being placed on the general list according to the considerations set out in A1</w:t>
      </w:r>
      <w:r w:rsidR="00C91AE2" w:rsidRPr="00261C59">
        <w:rPr>
          <w:rFonts w:ascii="Calibri" w:hAnsi="Calibri"/>
          <w:sz w:val="24"/>
          <w:szCs w:val="24"/>
        </w:rPr>
        <w:t>06</w:t>
      </w:r>
      <w:r w:rsidRPr="00261C59">
        <w:rPr>
          <w:rFonts w:ascii="Calibri" w:hAnsi="Calibri"/>
          <w:sz w:val="24"/>
          <w:szCs w:val="24"/>
        </w:rPr>
        <w:t>, but decides that it is not suitable or appropriate for that service to be provided on a nationally consistent basis, or</w:t>
      </w:r>
    </w:p>
    <w:p w14:paraId="1076434F" w14:textId="77777777" w:rsidR="00271836" w:rsidRPr="00261C59" w:rsidRDefault="00271836" w:rsidP="00143407">
      <w:pPr>
        <w:keepLines/>
        <w:numPr>
          <w:ilvl w:val="1"/>
          <w:numId w:val="59"/>
        </w:numPr>
        <w:spacing w:after="240" w:line="260" w:lineRule="exact"/>
        <w:jc w:val="left"/>
        <w:rPr>
          <w:rFonts w:ascii="Calibri" w:hAnsi="Calibri"/>
          <w:sz w:val="24"/>
          <w:szCs w:val="24"/>
        </w:rPr>
      </w:pPr>
      <w:r w:rsidRPr="00261C59">
        <w:rPr>
          <w:rFonts w:ascii="Calibri" w:hAnsi="Calibri"/>
          <w:sz w:val="24"/>
          <w:szCs w:val="24"/>
        </w:rPr>
        <w:t>the IHACPA deems that a service meets the intent of reforms outlined in this Addendum but requires further evidence, classification or pricing development before determining whether it is appropriate for listing on the general list.</w:t>
      </w:r>
    </w:p>
    <w:p w14:paraId="2400D8DC"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Additionally, at the commencement of this Addendum, services eligible to receive a Commonwealth funding contribution under implementation of clause A17 of the 2011 National Health Reform Agreement (NHRA) will be included in the subset. </w:t>
      </w:r>
    </w:p>
    <w:p w14:paraId="4F8C3B60" w14:textId="7A07FFA3"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By December 2027, the IHACPA and the Administrator will report to HMM outlining an approach for incorporating the grandfathered services from the A17 list </w:t>
      </w:r>
      <w:r w:rsidR="00F327E2" w:rsidRPr="00261C59">
        <w:rPr>
          <w:rFonts w:ascii="Calibri" w:hAnsi="Calibri"/>
          <w:sz w:val="24"/>
          <w:szCs w:val="24"/>
        </w:rPr>
        <w:t xml:space="preserve">at A108 </w:t>
      </w:r>
      <w:r w:rsidRPr="00261C59">
        <w:rPr>
          <w:rFonts w:ascii="Calibri" w:hAnsi="Calibri"/>
          <w:sz w:val="24"/>
          <w:szCs w:val="24"/>
        </w:rPr>
        <w:t xml:space="preserve">into the general list. </w:t>
      </w:r>
    </w:p>
    <w:p w14:paraId="51CEA857" w14:textId="77777777"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 xml:space="preserve">IHACPA will consult with Parties to assess the feasibility of individual services being made available as public hospital and health services in each State, and the process for assigning ABF or block categories and classifications for these services. </w:t>
      </w:r>
    </w:p>
    <w:p w14:paraId="001D02FA" w14:textId="1F3663B0" w:rsidR="00271836" w:rsidRPr="00261C59" w:rsidRDefault="00271836" w:rsidP="004C19F1">
      <w:pPr>
        <w:keepLines/>
        <w:numPr>
          <w:ilvl w:val="1"/>
          <w:numId w:val="54"/>
        </w:numPr>
        <w:spacing w:after="240" w:line="260" w:lineRule="exact"/>
        <w:jc w:val="left"/>
        <w:rPr>
          <w:rFonts w:ascii="Calibri" w:hAnsi="Calibri"/>
          <w:sz w:val="24"/>
          <w:szCs w:val="24"/>
        </w:rPr>
      </w:pPr>
      <w:r w:rsidRPr="00261C59">
        <w:rPr>
          <w:rFonts w:ascii="Calibri" w:hAnsi="Calibri"/>
          <w:sz w:val="24"/>
          <w:szCs w:val="24"/>
        </w:rPr>
        <w:t>The report will include advice on which services are deemed to be in-scope and out-of-scope, with regard given to clause A10</w:t>
      </w:r>
      <w:r w:rsidR="00253687" w:rsidRPr="00261C59">
        <w:rPr>
          <w:rFonts w:ascii="Calibri" w:hAnsi="Calibri"/>
          <w:sz w:val="24"/>
          <w:szCs w:val="24"/>
        </w:rPr>
        <w:t>3</w:t>
      </w:r>
      <w:r w:rsidRPr="00261C59">
        <w:rPr>
          <w:rFonts w:ascii="Calibri" w:hAnsi="Calibri"/>
          <w:sz w:val="24"/>
          <w:szCs w:val="24"/>
        </w:rPr>
        <w:t xml:space="preserve">; services that should transfer to the general list and those that should remain in the subset; and identify an appropriate funding mechanism for each service to receive a Commonwealth contribution. </w:t>
      </w:r>
    </w:p>
    <w:p w14:paraId="7407DD7A" w14:textId="77777777"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Once HMM endorses the approach, the IHACPA and the Administrator will make necessary changes to the National Funding Model.</w:t>
      </w:r>
    </w:p>
    <w:p w14:paraId="6CC8750D"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Where the Commonwealth agrees to make a funding contribution under this Addendum for non-patient services specified in clause </w:t>
      </w:r>
      <w:r w:rsidRPr="00261C59">
        <w:rPr>
          <w:rFonts w:ascii="Calibri" w:hAnsi="Calibri"/>
          <w:sz w:val="24"/>
        </w:rPr>
        <w:t>A3</w:t>
      </w:r>
      <w:r w:rsidRPr="00261C59">
        <w:rPr>
          <w:rFonts w:ascii="Calibri" w:hAnsi="Calibri"/>
          <w:sz w:val="24"/>
          <w:szCs w:val="24"/>
        </w:rPr>
        <w:t xml:space="preserve"> (for example research funded by States undertaken in public hospitals), these services will be included in the subset of the general list. </w:t>
      </w:r>
    </w:p>
    <w:p w14:paraId="613F52F4" w14:textId="77777777" w:rsidR="00271836" w:rsidRPr="00261C59" w:rsidRDefault="00271836" w:rsidP="005460E8">
      <w:pPr>
        <w:pStyle w:val="Heading2"/>
        <w:widowControl/>
        <w:adjustRightInd/>
        <w:spacing w:before="180" w:after="120"/>
        <w:jc w:val="left"/>
        <w:textAlignment w:val="auto"/>
        <w:rPr>
          <w:rFonts w:ascii="Corbel" w:hAnsi="Corbel" w:cs="Arial"/>
          <w:b w:val="0"/>
          <w:bCs w:val="0"/>
          <w:iCs/>
          <w:color w:val="3D4B67"/>
          <w:sz w:val="28"/>
          <w:szCs w:val="28"/>
        </w:rPr>
      </w:pPr>
      <w:bookmarkStart w:id="277" w:name="_Toc168579018"/>
      <w:bookmarkStart w:id="278" w:name="_Toc171350369"/>
      <w:bookmarkStart w:id="279" w:name="_Toc172210250"/>
      <w:bookmarkStart w:id="280" w:name="_Toc172787700"/>
      <w:bookmarkStart w:id="281" w:name="_Toc173937716"/>
      <w:bookmarkStart w:id="282" w:name="_Toc183183313"/>
      <w:bookmarkStart w:id="283" w:name="_Toc201673971"/>
      <w:bookmarkStart w:id="284" w:name="_Toc210833604"/>
      <w:bookmarkStart w:id="285" w:name="_Toc214456504"/>
      <w:bookmarkStart w:id="286" w:name="_Toc221087982"/>
      <w:r w:rsidRPr="00261C59">
        <w:rPr>
          <w:rFonts w:ascii="Corbel" w:eastAsia="Times New Roman" w:hAnsi="Corbel" w:cs="Arial"/>
          <w:color w:val="3D4B67"/>
          <w:sz w:val="28"/>
          <w:szCs w:val="28"/>
        </w:rPr>
        <w:lastRenderedPageBreak/>
        <w:t>Part 4 – Commonwealth payment arrangements</w:t>
      </w:r>
      <w:bookmarkEnd w:id="277"/>
      <w:bookmarkEnd w:id="278"/>
      <w:bookmarkEnd w:id="279"/>
      <w:bookmarkEnd w:id="280"/>
      <w:bookmarkEnd w:id="281"/>
      <w:bookmarkEnd w:id="282"/>
      <w:bookmarkEnd w:id="283"/>
      <w:bookmarkEnd w:id="284"/>
      <w:bookmarkEnd w:id="285"/>
      <w:bookmarkEnd w:id="286"/>
    </w:p>
    <w:p w14:paraId="555E55BF" w14:textId="77777777" w:rsidR="00271836" w:rsidRPr="00261C59" w:rsidRDefault="00271836" w:rsidP="004728D9">
      <w:pPr>
        <w:numPr>
          <w:ilvl w:val="0"/>
          <w:numId w:val="54"/>
        </w:numPr>
        <w:spacing w:after="240" w:line="260" w:lineRule="exact"/>
        <w:jc w:val="left"/>
        <w:rPr>
          <w:rFonts w:ascii="Calibri" w:hAnsi="Calibri"/>
          <w:sz w:val="24"/>
          <w:szCs w:val="24"/>
        </w:rPr>
      </w:pPr>
      <w:bookmarkStart w:id="287" w:name="_Toc168579019"/>
      <w:r w:rsidRPr="00261C59">
        <w:rPr>
          <w:rFonts w:ascii="Calibri" w:hAnsi="Calibri"/>
          <w:sz w:val="24"/>
          <w:szCs w:val="24"/>
        </w:rPr>
        <w:t xml:space="preserve">Overall funding of public hospital and health services delivered under this Addendum, and all Parties’ contribution to those services, should be transparent, accountable and sustainable. This is facilitated by the Administrator’s oversight of NHR funding and payment arrangements. </w:t>
      </w:r>
    </w:p>
    <w:p w14:paraId="1F0C6AF0" w14:textId="77777777" w:rsidR="00271836" w:rsidRPr="00261C59" w:rsidRDefault="00271836" w:rsidP="004728D9">
      <w:pPr>
        <w:numPr>
          <w:ilvl w:val="1"/>
          <w:numId w:val="54"/>
        </w:numPr>
        <w:spacing w:after="240" w:line="260" w:lineRule="exact"/>
        <w:ind w:left="1080"/>
        <w:rPr>
          <w:rFonts w:ascii="Calibri" w:hAnsi="Calibri"/>
          <w:sz w:val="24"/>
        </w:rPr>
      </w:pPr>
      <w:r w:rsidRPr="00261C59">
        <w:rPr>
          <w:rFonts w:ascii="Calibri" w:hAnsi="Calibri"/>
          <w:sz w:val="24"/>
        </w:rPr>
        <w:t>NHR funding occurs when a Party pays into the National Health Funding Pool or State Managed Fund.</w:t>
      </w:r>
    </w:p>
    <w:p w14:paraId="3A6F37E7" w14:textId="1EB4C528" w:rsidR="00271836" w:rsidRPr="00261C59" w:rsidRDefault="00271836" w:rsidP="004728D9">
      <w:pPr>
        <w:numPr>
          <w:ilvl w:val="1"/>
          <w:numId w:val="54"/>
        </w:numPr>
        <w:spacing w:after="240" w:line="260" w:lineRule="exact"/>
        <w:ind w:left="1080"/>
        <w:jc w:val="left"/>
        <w:rPr>
          <w:rFonts w:ascii="Calibri" w:hAnsi="Calibri"/>
          <w:sz w:val="24"/>
          <w:szCs w:val="24"/>
        </w:rPr>
      </w:pPr>
      <w:r w:rsidRPr="00261C59">
        <w:rPr>
          <w:rFonts w:ascii="Calibri" w:hAnsi="Calibri"/>
          <w:sz w:val="24"/>
          <w:szCs w:val="24"/>
        </w:rPr>
        <w:t xml:space="preserve">NHR payments occur when NHR funding is paid out of the State Pool Account by the Administrator, or is paid out of the State Managed Fund by the State. NHR payments can be made to Local Hospital Networks (LHNs), third parties (on behalf of a LHN), or other States. </w:t>
      </w:r>
    </w:p>
    <w:p w14:paraId="57C07408" w14:textId="77777777" w:rsidR="00271836" w:rsidRPr="00261C59" w:rsidRDefault="00271836" w:rsidP="00DA4A3F">
      <w:pPr>
        <w:keepLines/>
        <w:numPr>
          <w:ilvl w:val="0"/>
          <w:numId w:val="54"/>
        </w:numPr>
        <w:spacing w:after="240" w:line="260" w:lineRule="exact"/>
        <w:jc w:val="left"/>
        <w:rPr>
          <w:rFonts w:ascii="Calibri" w:hAnsi="Calibri"/>
          <w:sz w:val="24"/>
          <w:szCs w:val="24"/>
        </w:rPr>
      </w:pPr>
      <w:r w:rsidRPr="00261C59">
        <w:rPr>
          <w:rFonts w:ascii="Calibri" w:hAnsi="Calibri"/>
          <w:sz w:val="24"/>
          <w:szCs w:val="24"/>
        </w:rPr>
        <w:t>The Administrator will calculate and advise the Commonwealth Treasurer of the annual and monthly Commonwealth payments into the National Health Funding Pool, in accordance with this Part.</w:t>
      </w:r>
    </w:p>
    <w:p w14:paraId="0D302BF4" w14:textId="739980B3" w:rsidR="00271836" w:rsidRPr="00261C59" w:rsidRDefault="00271836" w:rsidP="004728D9">
      <w:pPr>
        <w:numPr>
          <w:ilvl w:val="1"/>
          <w:numId w:val="54"/>
        </w:numPr>
        <w:spacing w:after="240" w:line="260" w:lineRule="exact"/>
        <w:ind w:left="1069"/>
        <w:jc w:val="left"/>
        <w:rPr>
          <w:rFonts w:ascii="Calibri" w:hAnsi="Calibri"/>
          <w:sz w:val="24"/>
          <w:szCs w:val="24"/>
        </w:rPr>
      </w:pPr>
      <w:r w:rsidRPr="00261C59">
        <w:rPr>
          <w:rFonts w:ascii="Calibri" w:hAnsi="Calibri"/>
          <w:sz w:val="24"/>
          <w:szCs w:val="24"/>
        </w:rPr>
        <w:t xml:space="preserve">In calculating and delivering this advice to the Commonwealth Treasurer, the Administrator will apply the funding cap (clauses </w:t>
      </w:r>
      <w:r w:rsidRPr="00261C59">
        <w:rPr>
          <w:rFonts w:ascii="Calibri" w:hAnsi="Calibri"/>
          <w:sz w:val="24"/>
        </w:rPr>
        <w:t>A</w:t>
      </w:r>
      <w:r w:rsidR="007422C0" w:rsidRPr="00261C59">
        <w:rPr>
          <w:rFonts w:ascii="Calibri" w:hAnsi="Calibri"/>
          <w:sz w:val="24"/>
        </w:rPr>
        <w:t>38</w:t>
      </w:r>
      <w:r w:rsidRPr="00261C59">
        <w:rPr>
          <w:rFonts w:ascii="Calibri" w:hAnsi="Calibri"/>
          <w:sz w:val="24"/>
        </w:rPr>
        <w:t xml:space="preserve"> to A</w:t>
      </w:r>
      <w:r w:rsidR="007422C0" w:rsidRPr="00261C59">
        <w:rPr>
          <w:rFonts w:ascii="Calibri" w:hAnsi="Calibri"/>
          <w:sz w:val="24"/>
        </w:rPr>
        <w:t>47</w:t>
      </w:r>
      <w:r w:rsidRPr="00261C59">
        <w:rPr>
          <w:rFonts w:ascii="Calibri" w:hAnsi="Calibri"/>
          <w:sz w:val="24"/>
          <w:szCs w:val="24"/>
        </w:rPr>
        <w:t>), including relevant adjustments to the funding cap.</w:t>
      </w:r>
    </w:p>
    <w:p w14:paraId="0C12E957" w14:textId="77777777" w:rsidR="00271836" w:rsidRPr="00261C59" w:rsidRDefault="00271836" w:rsidP="00143407">
      <w:pPr>
        <w:keepLines/>
        <w:numPr>
          <w:ilvl w:val="0"/>
          <w:numId w:val="54"/>
        </w:numPr>
        <w:spacing w:after="240" w:line="260" w:lineRule="exact"/>
        <w:jc w:val="left"/>
        <w:rPr>
          <w:rFonts w:ascii="Calibri" w:hAnsi="Calibri"/>
          <w:sz w:val="24"/>
          <w:szCs w:val="24"/>
        </w:rPr>
      </w:pPr>
      <w:r w:rsidRPr="00261C59">
        <w:rPr>
          <w:rFonts w:ascii="Calibri" w:hAnsi="Calibri"/>
          <w:sz w:val="24"/>
          <w:szCs w:val="24"/>
        </w:rPr>
        <w:t>The States, in consultation with the National Health Funding Body and in accordance with this Part, will continue to determine when State payments are made into the National Health Funding Pool.</w:t>
      </w:r>
    </w:p>
    <w:p w14:paraId="4C8E5CD6" w14:textId="77777777" w:rsidR="00271836" w:rsidRPr="00261C59" w:rsidRDefault="00271836" w:rsidP="004728D9">
      <w:pPr>
        <w:keepNext/>
        <w:jc w:val="left"/>
        <w:outlineLvl w:val="2"/>
        <w:rPr>
          <w:rFonts w:ascii="Corbel" w:hAnsi="Corbel"/>
          <w:color w:val="3D4B67"/>
          <w:sz w:val="28"/>
          <w:szCs w:val="48"/>
          <w:lang w:eastAsia="ja-JP"/>
        </w:rPr>
      </w:pPr>
      <w:bookmarkStart w:id="288" w:name="_Toc171350370"/>
      <w:bookmarkStart w:id="289" w:name="_Toc172210251"/>
      <w:bookmarkStart w:id="290" w:name="_Toc172787701"/>
      <w:bookmarkStart w:id="291" w:name="_Toc173937717"/>
      <w:bookmarkStart w:id="292" w:name="_Toc183183314"/>
      <w:bookmarkStart w:id="293" w:name="_Toc201673972"/>
      <w:bookmarkStart w:id="294" w:name="_Toc210833605"/>
      <w:bookmarkStart w:id="295" w:name="_Toc214456505"/>
      <w:bookmarkStart w:id="296" w:name="_Toc221087983"/>
      <w:r w:rsidRPr="00261C59">
        <w:rPr>
          <w:rFonts w:ascii="Corbel" w:hAnsi="Corbel"/>
          <w:color w:val="3D4B67"/>
          <w:sz w:val="28"/>
          <w:szCs w:val="48"/>
          <w:lang w:eastAsia="ja-JP"/>
        </w:rPr>
        <w:t>Process to pay the Commonwealth’s funding contribution</w:t>
      </w:r>
      <w:bookmarkEnd w:id="287"/>
      <w:bookmarkEnd w:id="288"/>
      <w:bookmarkEnd w:id="289"/>
      <w:bookmarkEnd w:id="290"/>
      <w:bookmarkEnd w:id="291"/>
      <w:bookmarkEnd w:id="292"/>
      <w:bookmarkEnd w:id="293"/>
      <w:bookmarkEnd w:id="294"/>
      <w:bookmarkEnd w:id="295"/>
      <w:bookmarkEnd w:id="296"/>
    </w:p>
    <w:p w14:paraId="0C8C5A5B" w14:textId="77777777" w:rsidR="00271836" w:rsidRPr="00261C59" w:rsidRDefault="00271836" w:rsidP="004728D9">
      <w:pPr>
        <w:keepNext/>
        <w:widowControl/>
        <w:numPr>
          <w:ilvl w:val="0"/>
          <w:numId w:val="54"/>
        </w:numPr>
        <w:spacing w:after="240" w:line="260" w:lineRule="exact"/>
        <w:jc w:val="left"/>
        <w:rPr>
          <w:rFonts w:ascii="Calibri" w:hAnsi="Calibri"/>
          <w:sz w:val="24"/>
        </w:rPr>
      </w:pPr>
      <w:r w:rsidRPr="00261C59">
        <w:rPr>
          <w:rFonts w:ascii="Calibri" w:hAnsi="Calibri"/>
          <w:sz w:val="24"/>
        </w:rPr>
        <w:t xml:space="preserve">The process to pay the Commonwealth’s contribution to funding public hospital and health services set out in this section is summarised as follows: </w:t>
      </w:r>
    </w:p>
    <w:p w14:paraId="7F731C03" w14:textId="361887B0"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 xml:space="preserve">for all relevant funding streams, States and relevant entities provide estimates to the Administrator of expected service delivery (and other relevant factors) before the start of each financial year. Other relevant entities are those that provide input to inform the formal forecast at </w:t>
      </w:r>
      <w:r w:rsidR="00AB4350" w:rsidRPr="7B1A1E71">
        <w:rPr>
          <w:rFonts w:ascii="Calibri" w:hAnsi="Calibri"/>
          <w:sz w:val="24"/>
          <w:szCs w:val="24"/>
        </w:rPr>
        <w:t>sub</w:t>
      </w:r>
      <w:r w:rsidRPr="7B1A1E71">
        <w:rPr>
          <w:rFonts w:ascii="Calibri" w:hAnsi="Calibri"/>
          <w:sz w:val="24"/>
          <w:szCs w:val="24"/>
        </w:rPr>
        <w:t>clause (b)</w:t>
      </w:r>
    </w:p>
    <w:p w14:paraId="7E069FD0" w14:textId="479A4777"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the Administrator calculates and provides a formal forecast to the Commonwealth and States of each State’s preliminary Commonwealth funding entitlement, including future amounts owing and prior amounts owed from reconciliations and other adjustments</w:t>
      </w:r>
    </w:p>
    <w:p w14:paraId="5F2DF129" w14:textId="54554D80" w:rsidR="00271836" w:rsidRPr="00261C59" w:rsidRDefault="00271836" w:rsidP="7B1A1E71">
      <w:pPr>
        <w:numPr>
          <w:ilvl w:val="1"/>
          <w:numId w:val="54"/>
        </w:numPr>
        <w:spacing w:after="240" w:line="260" w:lineRule="exact"/>
        <w:jc w:val="left"/>
        <w:rPr>
          <w:rFonts w:ascii="Calibri" w:hAnsi="Calibri"/>
          <w:sz w:val="24"/>
          <w:szCs w:val="24"/>
        </w:rPr>
      </w:pPr>
      <w:r w:rsidRPr="7B1A1E71">
        <w:rPr>
          <w:rFonts w:ascii="Calibri" w:hAnsi="Calibri"/>
          <w:sz w:val="24"/>
          <w:szCs w:val="24"/>
        </w:rPr>
        <w:t>the Parties make monthly payments into the National Health Funding Pool based on the Administrator’s calculation</w:t>
      </w:r>
    </w:p>
    <w:p w14:paraId="0089A2D1" w14:textId="6E7EA80A" w:rsidR="00271836" w:rsidRPr="00261C59" w:rsidRDefault="00271836" w:rsidP="004728D9">
      <w:pPr>
        <w:numPr>
          <w:ilvl w:val="2"/>
          <w:numId w:val="27"/>
        </w:numPr>
        <w:spacing w:after="240" w:line="260" w:lineRule="exact"/>
        <w:jc w:val="left"/>
        <w:rPr>
          <w:rFonts w:ascii="Calibri" w:hAnsi="Calibri"/>
          <w:sz w:val="24"/>
          <w:szCs w:val="24"/>
        </w:rPr>
      </w:pPr>
      <w:r w:rsidRPr="7B1A1E71">
        <w:rPr>
          <w:rFonts w:ascii="Calibri" w:hAnsi="Calibri"/>
          <w:sz w:val="24"/>
          <w:szCs w:val="24"/>
        </w:rPr>
        <w:t xml:space="preserve">As set out in clause </w:t>
      </w:r>
      <w:r w:rsidR="008B1892" w:rsidRPr="7B1A1E71">
        <w:rPr>
          <w:rFonts w:ascii="Calibri" w:hAnsi="Calibri"/>
          <w:sz w:val="24"/>
          <w:szCs w:val="24"/>
        </w:rPr>
        <w:t>A226</w:t>
      </w:r>
      <w:r w:rsidRPr="7B1A1E71">
        <w:rPr>
          <w:rFonts w:ascii="Calibri" w:hAnsi="Calibri"/>
          <w:sz w:val="24"/>
          <w:szCs w:val="24"/>
        </w:rPr>
        <w:t>, the Commonwealth’s monthly payment may be subject to the Data Conditional Payment (refer clauses A222 to A229)</w:t>
      </w:r>
    </w:p>
    <w:p w14:paraId="3B37D523" w14:textId="0FD438E7"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 xml:space="preserve">the Administrator makes payments from the National Health Funding Pool based on State estimates, at the discretion and direction of </w:t>
      </w:r>
      <w:r w:rsidR="00352C2D" w:rsidRPr="7B1A1E71">
        <w:rPr>
          <w:rFonts w:ascii="Calibri" w:hAnsi="Calibri"/>
          <w:sz w:val="24"/>
          <w:szCs w:val="24"/>
        </w:rPr>
        <w:t xml:space="preserve">the relevant </w:t>
      </w:r>
      <w:r w:rsidRPr="7B1A1E71">
        <w:rPr>
          <w:rFonts w:ascii="Calibri" w:hAnsi="Calibri"/>
          <w:sz w:val="24"/>
          <w:szCs w:val="24"/>
        </w:rPr>
        <w:t>State</w:t>
      </w:r>
    </w:p>
    <w:p w14:paraId="67F875CE" w14:textId="4FD7980B"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adjustments may be made throughout the year if necessary, for example to reflect updated activity estimates, finalised reconciliation processes for prior years, or final activity data</w:t>
      </w:r>
    </w:p>
    <w:p w14:paraId="41CC6030" w14:textId="4C400A4A"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lastRenderedPageBreak/>
        <w:t>following the end of financial year, a reconciliation process is undertaken by the Administrator based on States’ actual activities delivered and other adjustments applied at this time</w:t>
      </w:r>
    </w:p>
    <w:p w14:paraId="5892F10B" w14:textId="3E773D72"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the Administrator provides advice to the Commonwealth Treasurer regarding States’ post-reconciliation entitlement amounts</w:t>
      </w:r>
    </w:p>
    <w:p w14:paraId="18362A82" w14:textId="77BC6065"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the Treasurer determines each State’s final entitlement amounts</w:t>
      </w:r>
    </w:p>
    <w:p w14:paraId="71098C33" w14:textId="77777777" w:rsidR="00271836" w:rsidRPr="00261C59" w:rsidRDefault="00271836" w:rsidP="004728D9">
      <w:pPr>
        <w:numPr>
          <w:ilvl w:val="1"/>
          <w:numId w:val="54"/>
        </w:numPr>
        <w:spacing w:after="240" w:line="260" w:lineRule="exact"/>
        <w:jc w:val="left"/>
        <w:rPr>
          <w:rFonts w:ascii="Calibri" w:hAnsi="Calibri"/>
          <w:sz w:val="24"/>
        </w:rPr>
      </w:pPr>
      <w:r w:rsidRPr="00261C59">
        <w:rPr>
          <w:rFonts w:ascii="Calibri" w:hAnsi="Calibri"/>
          <w:sz w:val="24"/>
        </w:rPr>
        <w:t xml:space="preserve">the Administrator makes the relevant adjustments to future payment advice arising from the Treasurer’s Determination. </w:t>
      </w:r>
    </w:p>
    <w:p w14:paraId="16546B9A" w14:textId="77777777" w:rsidR="00271836" w:rsidRPr="00261C59" w:rsidRDefault="00271836" w:rsidP="005460E8">
      <w:pPr>
        <w:keepNext/>
        <w:keepLines/>
        <w:spacing w:before="200"/>
        <w:jc w:val="left"/>
        <w:outlineLvl w:val="3"/>
        <w:rPr>
          <w:rFonts w:eastAsia="Yu Gothic Light"/>
          <w:b/>
          <w:bCs/>
          <w:iCs/>
        </w:rPr>
      </w:pPr>
      <w:r w:rsidRPr="00261C59">
        <w:rPr>
          <w:rFonts w:eastAsia="Yu Gothic Light"/>
          <w:b/>
          <w:bCs/>
          <w:iCs/>
        </w:rPr>
        <w:t>Calculating preliminary Commonwealth funding entitlements</w:t>
      </w:r>
    </w:p>
    <w:p w14:paraId="3FB0BC27" w14:textId="77777777" w:rsidR="00271836" w:rsidRPr="00261C59" w:rsidRDefault="00271836" w:rsidP="001B7B1A">
      <w:pPr>
        <w:keepLines/>
        <w:numPr>
          <w:ilvl w:val="0"/>
          <w:numId w:val="54"/>
        </w:numPr>
        <w:spacing w:after="240" w:line="260" w:lineRule="exact"/>
        <w:jc w:val="left"/>
        <w:rPr>
          <w:rFonts w:ascii="Calibri" w:hAnsi="Calibri"/>
          <w:sz w:val="24"/>
          <w:szCs w:val="24"/>
        </w:rPr>
      </w:pPr>
      <w:r w:rsidRPr="00261C59">
        <w:rPr>
          <w:rFonts w:ascii="Calibri" w:hAnsi="Calibri"/>
          <w:sz w:val="24"/>
          <w:szCs w:val="24"/>
        </w:rPr>
        <w:t>The Administrator will provide the Commonwealth and States with a formal forecast of the Commonwealth’s funding contribution for each funding stream, including, where relevant, each service category, before the start of each financial year. The formal forecast will be provided within 14 calendar days of receipt of both:</w:t>
      </w:r>
    </w:p>
    <w:p w14:paraId="7A2EE966" w14:textId="56739E88"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service volume information for all Local Hospital Networks (LHNs) within a State, which will be aligned to Service Agreements provided in accordance with the timing set out in clause A1</w:t>
      </w:r>
      <w:r w:rsidR="007C6DE6" w:rsidRPr="7B1A1E71">
        <w:rPr>
          <w:rFonts w:ascii="Calibri" w:hAnsi="Calibri"/>
          <w:sz w:val="24"/>
          <w:szCs w:val="24"/>
        </w:rPr>
        <w:t>69</w:t>
      </w:r>
    </w:p>
    <w:p w14:paraId="74BCE7F6" w14:textId="5227119D" w:rsidR="00271836" w:rsidRPr="00261C59" w:rsidRDefault="00271836" w:rsidP="004728D9">
      <w:pPr>
        <w:numPr>
          <w:ilvl w:val="2"/>
          <w:numId w:val="60"/>
        </w:numPr>
        <w:spacing w:after="240" w:line="260" w:lineRule="exact"/>
        <w:ind w:left="1842" w:hanging="181"/>
        <w:jc w:val="left"/>
        <w:rPr>
          <w:rFonts w:ascii="Calibri" w:hAnsi="Calibri"/>
          <w:sz w:val="24"/>
          <w:szCs w:val="24"/>
        </w:rPr>
      </w:pPr>
      <w:r w:rsidRPr="7B1A1E71">
        <w:rPr>
          <w:rFonts w:ascii="Calibri" w:hAnsi="Calibri"/>
          <w:sz w:val="24"/>
          <w:szCs w:val="24"/>
        </w:rPr>
        <w:t xml:space="preserve">If Service Agreements are not finalised within these timeframes, a service volume statement signed by the State’s relevant authorising agent will be provided to the Administrator that contains the minimum detail specified in clause E7 for each LHN </w:t>
      </w:r>
    </w:p>
    <w:p w14:paraId="0E1BB697" w14:textId="77777777"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 xml:space="preserve">the published National Efficient Price and National Efficient Cost from the IHACPA. </w:t>
      </w:r>
    </w:p>
    <w:p w14:paraId="583879D3" w14:textId="5DE798E6"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If States do not provide Service Agreements or service volume statements by the agreed timeframes set out in clause </w:t>
      </w:r>
      <w:r w:rsidRPr="00261C59">
        <w:rPr>
          <w:rFonts w:ascii="Calibri" w:hAnsi="Calibri"/>
          <w:sz w:val="24"/>
        </w:rPr>
        <w:t>A1</w:t>
      </w:r>
      <w:r w:rsidR="004A44BE" w:rsidRPr="00261C59">
        <w:rPr>
          <w:rFonts w:ascii="Calibri" w:hAnsi="Calibri"/>
          <w:sz w:val="24"/>
        </w:rPr>
        <w:t>6</w:t>
      </w:r>
      <w:r w:rsidR="00970152" w:rsidRPr="00261C59">
        <w:rPr>
          <w:rFonts w:ascii="Calibri" w:hAnsi="Calibri"/>
          <w:sz w:val="24"/>
        </w:rPr>
        <w:t>9</w:t>
      </w:r>
      <w:r w:rsidRPr="00261C59">
        <w:rPr>
          <w:rFonts w:ascii="Calibri" w:hAnsi="Calibri"/>
          <w:sz w:val="24"/>
          <w:szCs w:val="24"/>
        </w:rPr>
        <w:t xml:space="preserve">, or do not meet the requirements as set out in </w:t>
      </w:r>
      <w:r w:rsidR="003415ED" w:rsidRPr="00261C59">
        <w:rPr>
          <w:rFonts w:ascii="Calibri" w:hAnsi="Calibri"/>
          <w:sz w:val="24"/>
          <w:szCs w:val="24"/>
        </w:rPr>
        <w:t>this Schedule</w:t>
      </w:r>
      <w:r w:rsidRPr="00261C59">
        <w:rPr>
          <w:rFonts w:ascii="Calibri" w:hAnsi="Calibri"/>
          <w:sz w:val="24"/>
        </w:rPr>
        <w:t xml:space="preserve"> and Schedule E</w:t>
      </w:r>
      <w:r w:rsidRPr="00261C59">
        <w:rPr>
          <w:rFonts w:ascii="Calibri" w:hAnsi="Calibri"/>
          <w:sz w:val="24"/>
          <w:szCs w:val="24"/>
        </w:rPr>
        <w:t>, the Administrator may use the previous financial year’s Service Agreement to calculate the formal forecast, increased by the growth in the published National Efficient Price for the relevant year.</w:t>
      </w:r>
    </w:p>
    <w:p w14:paraId="09A66B9F" w14:textId="09B58BC3"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formal forecast will include estimated SMRF for approved projects (refer </w:t>
      </w:r>
      <w:r w:rsidR="00757518" w:rsidRPr="00261C59">
        <w:rPr>
          <w:rFonts w:ascii="Calibri" w:hAnsi="Calibri"/>
          <w:sz w:val="24"/>
          <w:szCs w:val="24"/>
        </w:rPr>
        <w:br/>
      </w:r>
      <w:r w:rsidRPr="00261C59">
        <w:rPr>
          <w:rFonts w:ascii="Calibri" w:hAnsi="Calibri"/>
          <w:sz w:val="24"/>
          <w:szCs w:val="24"/>
        </w:rPr>
        <w:t>clause A14</w:t>
      </w:r>
      <w:r w:rsidR="001B6192" w:rsidRPr="00261C59">
        <w:rPr>
          <w:rFonts w:ascii="Calibri" w:hAnsi="Calibri"/>
          <w:sz w:val="24"/>
          <w:szCs w:val="24"/>
        </w:rPr>
        <w:t>5</w:t>
      </w:r>
      <w:r w:rsidRPr="00261C59">
        <w:rPr>
          <w:rFonts w:ascii="Calibri" w:hAnsi="Calibri"/>
          <w:sz w:val="24"/>
          <w:szCs w:val="24"/>
        </w:rPr>
        <w:t xml:space="preserve">). </w:t>
      </w:r>
    </w:p>
    <w:p w14:paraId="507B6FAE" w14:textId="28C47FAF"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Administrator will calculate a State’s preliminary entitlement in accordance with the application of the funding cap as per clauses </w:t>
      </w:r>
      <w:r w:rsidRPr="00261C59">
        <w:rPr>
          <w:rFonts w:ascii="Calibri" w:hAnsi="Calibri"/>
          <w:sz w:val="24"/>
        </w:rPr>
        <w:t>A</w:t>
      </w:r>
      <w:r w:rsidR="005D5506" w:rsidRPr="00261C59">
        <w:rPr>
          <w:rFonts w:ascii="Calibri" w:hAnsi="Calibri"/>
          <w:sz w:val="24"/>
        </w:rPr>
        <w:t>38</w:t>
      </w:r>
      <w:r w:rsidRPr="00261C59">
        <w:rPr>
          <w:rFonts w:ascii="Calibri" w:hAnsi="Calibri"/>
          <w:sz w:val="24"/>
        </w:rPr>
        <w:t xml:space="preserve"> to A</w:t>
      </w:r>
      <w:r w:rsidR="005D5506" w:rsidRPr="00261C59">
        <w:rPr>
          <w:rFonts w:ascii="Calibri" w:hAnsi="Calibri"/>
          <w:sz w:val="24"/>
        </w:rPr>
        <w:t>47</w:t>
      </w:r>
      <w:r w:rsidRPr="00261C59">
        <w:rPr>
          <w:rFonts w:ascii="Calibri" w:hAnsi="Calibri"/>
          <w:sz w:val="24"/>
          <w:szCs w:val="24"/>
        </w:rPr>
        <w:t>.</w:t>
      </w:r>
    </w:p>
    <w:p w14:paraId="2A78338A"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Administrator will provide information to jurisdictions about progress against the funding caps when the preliminary entitlement is calculated, or when the Commonwealth funding entitlement is adjusted.</w:t>
      </w:r>
    </w:p>
    <w:p w14:paraId="605DF9FE"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Administrator will provide informal estimates of the Commonwealth funding entitlement to States when requested.</w:t>
      </w:r>
    </w:p>
    <w:p w14:paraId="104C5C58" w14:textId="77777777" w:rsidR="00271836" w:rsidRPr="00261C59" w:rsidRDefault="00271836" w:rsidP="005460E8">
      <w:pPr>
        <w:keepNext/>
        <w:keepLines/>
        <w:spacing w:before="200"/>
        <w:jc w:val="left"/>
        <w:outlineLvl w:val="3"/>
        <w:rPr>
          <w:rFonts w:eastAsia="Yu Gothic Light"/>
          <w:b/>
          <w:bCs/>
          <w:iCs/>
        </w:rPr>
      </w:pPr>
      <w:bookmarkStart w:id="297" w:name="_Toc165886233"/>
      <w:bookmarkStart w:id="298" w:name="_Toc167133825"/>
      <w:r w:rsidRPr="00261C59">
        <w:rPr>
          <w:rFonts w:eastAsia="Yu Gothic Light"/>
          <w:b/>
          <w:bCs/>
          <w:iCs/>
        </w:rPr>
        <w:t xml:space="preserve">Adjustments to preliminary entitlements </w:t>
      </w:r>
    </w:p>
    <w:bookmarkEnd w:id="297"/>
    <w:bookmarkEnd w:id="298"/>
    <w:p w14:paraId="5C7F51FE" w14:textId="15632435"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Preliminary Commonwealth funding entitlements can be updated throughout the year as outlined in clause </w:t>
      </w:r>
      <w:r w:rsidRPr="00261C59">
        <w:rPr>
          <w:rFonts w:ascii="Calibri" w:hAnsi="Calibri"/>
          <w:sz w:val="24"/>
        </w:rPr>
        <w:t>A1</w:t>
      </w:r>
      <w:r w:rsidR="00D24866" w:rsidRPr="00261C59">
        <w:rPr>
          <w:rFonts w:ascii="Calibri" w:hAnsi="Calibri"/>
          <w:sz w:val="24"/>
        </w:rPr>
        <w:t>22</w:t>
      </w:r>
      <w:r w:rsidRPr="00261C59">
        <w:rPr>
          <w:rFonts w:ascii="Calibri" w:hAnsi="Calibri"/>
          <w:sz w:val="24"/>
          <w:szCs w:val="24"/>
        </w:rPr>
        <w:t xml:space="preserve">. Adjustments to payments remain subject to funding </w:t>
      </w:r>
      <w:r w:rsidRPr="00261C59">
        <w:rPr>
          <w:rFonts w:ascii="Calibri" w:hAnsi="Calibri" w:cs="Arial"/>
          <w:sz w:val="24"/>
          <w:szCs w:val="24"/>
        </w:rPr>
        <w:t>cap arrangements.</w:t>
      </w:r>
      <w:r w:rsidRPr="00261C59">
        <w:rPr>
          <w:rFonts w:ascii="Calibri" w:hAnsi="Calibri"/>
          <w:sz w:val="24"/>
          <w:szCs w:val="24"/>
        </w:rPr>
        <w:t xml:space="preserve"> </w:t>
      </w:r>
    </w:p>
    <w:p w14:paraId="1B7955B1" w14:textId="1770D19C" w:rsidR="00271836" w:rsidRPr="00261C59" w:rsidRDefault="00271836" w:rsidP="004728D9">
      <w:pPr>
        <w:keepLines/>
        <w:widowControl/>
        <w:numPr>
          <w:ilvl w:val="0"/>
          <w:numId w:val="54"/>
        </w:numPr>
        <w:spacing w:after="240" w:line="260" w:lineRule="exact"/>
        <w:jc w:val="left"/>
        <w:rPr>
          <w:rFonts w:ascii="Calibri" w:hAnsi="Calibri"/>
          <w:sz w:val="24"/>
          <w:szCs w:val="24"/>
        </w:rPr>
      </w:pPr>
      <w:r w:rsidRPr="00261C59">
        <w:rPr>
          <w:rFonts w:ascii="Calibri" w:hAnsi="Calibri"/>
          <w:sz w:val="24"/>
          <w:szCs w:val="24"/>
        </w:rPr>
        <w:lastRenderedPageBreak/>
        <w:t xml:space="preserve">For the Administrator to make in-year funding adjustments to the ABF stream, States must provide the Administrator updated Service Agreements or amended service volume statements (as per clause </w:t>
      </w:r>
      <w:r w:rsidRPr="00261C59">
        <w:rPr>
          <w:rFonts w:ascii="Calibri" w:hAnsi="Calibri"/>
          <w:sz w:val="24"/>
        </w:rPr>
        <w:t>A1</w:t>
      </w:r>
      <w:r w:rsidR="00D41496" w:rsidRPr="00261C59">
        <w:rPr>
          <w:rFonts w:ascii="Calibri" w:hAnsi="Calibri"/>
          <w:sz w:val="24"/>
        </w:rPr>
        <w:t>1</w:t>
      </w:r>
      <w:r w:rsidRPr="00261C59">
        <w:rPr>
          <w:rFonts w:ascii="Calibri" w:hAnsi="Calibri"/>
          <w:sz w:val="24"/>
        </w:rPr>
        <w:t>5</w:t>
      </w:r>
      <w:r w:rsidRPr="00261C59">
        <w:rPr>
          <w:rFonts w:ascii="Calibri" w:hAnsi="Calibri"/>
          <w:sz w:val="24"/>
          <w:szCs w:val="24"/>
        </w:rPr>
        <w:t>).</w:t>
      </w:r>
    </w:p>
    <w:p w14:paraId="18D927AB" w14:textId="77777777" w:rsidR="00271836" w:rsidRPr="00261C59" w:rsidRDefault="00271836" w:rsidP="004728D9">
      <w:pPr>
        <w:numPr>
          <w:ilvl w:val="1"/>
          <w:numId w:val="54"/>
        </w:numPr>
        <w:spacing w:after="240" w:line="260" w:lineRule="exact"/>
        <w:jc w:val="left"/>
        <w:rPr>
          <w:rFonts w:ascii="Calibri" w:hAnsi="Calibri"/>
          <w:sz w:val="24"/>
        </w:rPr>
      </w:pPr>
      <w:r w:rsidRPr="00261C59">
        <w:rPr>
          <w:rFonts w:ascii="Calibri" w:hAnsi="Calibri"/>
          <w:sz w:val="24"/>
          <w:szCs w:val="24"/>
        </w:rPr>
        <w:t xml:space="preserve">States and LHNs can agree updates or amendments to adjust service volumes or pricing to take account of such matters as changing health needs, variations in actual service delivery, and hospital and health service performance. </w:t>
      </w:r>
    </w:p>
    <w:p w14:paraId="5DD37FB8" w14:textId="77777777"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 xml:space="preserve">States, as the system managers of public hospitals and health services, can determine the frequency of alterations to Service Agreements or signed service volume statements. States will notify the Administrator within 14 calendar days of any agreed variations. </w:t>
      </w:r>
    </w:p>
    <w:p w14:paraId="15D7A351"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States may agree to increase the frequency of reconciliation and adjustments through correspondence between health ministers. </w:t>
      </w:r>
    </w:p>
    <w:p w14:paraId="0CA11C5E" w14:textId="77777777" w:rsidR="00271836" w:rsidRPr="00261C59" w:rsidRDefault="00271836" w:rsidP="005460E8">
      <w:pPr>
        <w:keepNext/>
        <w:keepLines/>
        <w:spacing w:before="200"/>
        <w:jc w:val="left"/>
        <w:outlineLvl w:val="3"/>
        <w:rPr>
          <w:rFonts w:eastAsia="Yu Gothic Light"/>
          <w:b/>
          <w:bCs/>
          <w:iCs/>
        </w:rPr>
      </w:pPr>
      <w:r w:rsidRPr="00261C59">
        <w:rPr>
          <w:rFonts w:eastAsia="Yu Gothic Light"/>
          <w:b/>
          <w:bCs/>
          <w:iCs/>
        </w:rPr>
        <w:t>Annual reconciliation and adjustment</w:t>
      </w:r>
    </w:p>
    <w:p w14:paraId="1BC9EFA2"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Parties will seek to finalise the annual adjustment activities ahead of the Commonwealth Budget. To support this commitment, all Parties agree to the principles outlined in clause </w:t>
      </w:r>
      <w:r w:rsidRPr="00261C59">
        <w:rPr>
          <w:rFonts w:ascii="Calibri" w:hAnsi="Calibri"/>
          <w:sz w:val="24"/>
        </w:rPr>
        <w:t>A5.</w:t>
      </w:r>
    </w:p>
    <w:p w14:paraId="2CFAD725" w14:textId="77777777" w:rsidR="00271836" w:rsidRPr="00261C59" w:rsidRDefault="00271836" w:rsidP="004728D9">
      <w:pPr>
        <w:numPr>
          <w:ilvl w:val="0"/>
          <w:numId w:val="54"/>
        </w:numPr>
        <w:spacing w:after="240" w:line="260" w:lineRule="exact"/>
        <w:jc w:val="left"/>
        <w:rPr>
          <w:rFonts w:ascii="Calibri" w:hAnsi="Calibri"/>
          <w:sz w:val="24"/>
        </w:rPr>
      </w:pPr>
      <w:r w:rsidRPr="00261C59">
        <w:rPr>
          <w:rFonts w:ascii="Calibri" w:hAnsi="Calibri"/>
          <w:sz w:val="24"/>
          <w:szCs w:val="24"/>
        </w:rPr>
        <w:t xml:space="preserve">The Administrator will undertake annual reconciliation for each State following receipt of Required Data from </w:t>
      </w:r>
      <w:r w:rsidRPr="00261C59">
        <w:rPr>
          <w:rFonts w:ascii="Calibri" w:hAnsi="Calibri" w:cs="Arial"/>
          <w:sz w:val="24"/>
          <w:szCs w:val="24"/>
        </w:rPr>
        <w:t>that State</w:t>
      </w:r>
      <w:r w:rsidRPr="00261C59">
        <w:rPr>
          <w:rFonts w:ascii="Calibri" w:hAnsi="Calibri"/>
          <w:sz w:val="24"/>
          <w:szCs w:val="24"/>
        </w:rPr>
        <w:t xml:space="preserve">. </w:t>
      </w:r>
    </w:p>
    <w:p w14:paraId="2E1C703F"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To ensure the Commonwealth meets its agreed funding contribution, the annual adjustment will be conducted in arrears once actual volumes have been validated by the service volume reconciliations</w:t>
      </w:r>
      <w:r w:rsidRPr="00261C59">
        <w:rPr>
          <w:rFonts w:ascii="Calibri" w:hAnsi="Calibri" w:cs="Arial"/>
          <w:sz w:val="24"/>
          <w:szCs w:val="24"/>
        </w:rPr>
        <w:t xml:space="preserve">. </w:t>
      </w:r>
      <w:r w:rsidRPr="00261C59">
        <w:rPr>
          <w:rFonts w:ascii="Calibri" w:hAnsi="Calibri"/>
          <w:sz w:val="24"/>
          <w:szCs w:val="24"/>
        </w:rPr>
        <w:t xml:space="preserve"> </w:t>
      </w:r>
    </w:p>
    <w:p w14:paraId="140AF782"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In order to attract a Commonwealth funding contribution for each in-scope public hospital and health service, States must ensure that all data relevant to funding of that service has been provided in line with requirements for the relevant funding stream.</w:t>
      </w:r>
    </w:p>
    <w:p w14:paraId="03C5E8CF"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In undertaking the annual reconciliation, the Administrator will calculate any Sentinel Event, HAC, AHR, or any other safety and quality, value-based pricing adjustment that applies to a State in a relevant financial year in consultation with the ACSQHC.</w:t>
      </w:r>
    </w:p>
    <w:p w14:paraId="5A80F19D" w14:textId="5E2604AB" w:rsidR="00271836" w:rsidRPr="00261C59" w:rsidRDefault="00271836" w:rsidP="00D33812">
      <w:pPr>
        <w:keepLines/>
        <w:numPr>
          <w:ilvl w:val="0"/>
          <w:numId w:val="54"/>
        </w:numPr>
        <w:spacing w:after="240" w:line="260" w:lineRule="exact"/>
        <w:jc w:val="left"/>
        <w:rPr>
          <w:rFonts w:ascii="Calibri" w:hAnsi="Calibri"/>
          <w:sz w:val="24"/>
          <w:szCs w:val="24"/>
        </w:rPr>
      </w:pPr>
      <w:r w:rsidRPr="00261C59">
        <w:rPr>
          <w:rFonts w:ascii="Calibri" w:hAnsi="Calibri"/>
          <w:sz w:val="24"/>
          <w:szCs w:val="24"/>
        </w:rPr>
        <w:t>The Administrator should consider issues that may affect the annual reconciliation including, but not limited to, general transcription errors such as incorrect coding of services provided and duplicate entries, the exclusion of services paid for by the Commonwealth via other funding programs, and the exclusion of services for which data has not been provided or is incomplete (in either the year being reconciled or the prior year) or services that have not been accurately classified as a public hospital service eligible to receive a Commonwealth funding contribution.</w:t>
      </w:r>
    </w:p>
    <w:p w14:paraId="1FC1F884" w14:textId="77777777" w:rsidR="00271836" w:rsidRPr="00261C59" w:rsidRDefault="00271836" w:rsidP="004728D9">
      <w:pPr>
        <w:widowControl/>
        <w:numPr>
          <w:ilvl w:val="0"/>
          <w:numId w:val="54"/>
        </w:numPr>
        <w:spacing w:after="240" w:line="260" w:lineRule="exact"/>
        <w:jc w:val="left"/>
        <w:rPr>
          <w:rFonts w:ascii="Calibri" w:hAnsi="Calibri"/>
          <w:sz w:val="24"/>
          <w:szCs w:val="24"/>
        </w:rPr>
      </w:pPr>
      <w:r w:rsidRPr="00261C59">
        <w:rPr>
          <w:rFonts w:ascii="Calibri" w:hAnsi="Calibri"/>
          <w:sz w:val="24"/>
          <w:szCs w:val="24"/>
        </w:rPr>
        <w:t>The Parties agree the annual adjustment should also include an adjustment for the Block Funding component where the estimated Commonwealth funding provided for eligible Block activities in the National Efficient Cost Determination is reconciled with the actual payments from State Managed Funds for delivering these activities.</w:t>
      </w:r>
    </w:p>
    <w:p w14:paraId="6F67A9AE" w14:textId="77777777" w:rsidR="00271836" w:rsidRPr="00261C59" w:rsidRDefault="00271836" w:rsidP="004728D9">
      <w:pPr>
        <w:widowControl/>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Funding adjustments required due to the annual reconciliation process will be applied to the Commonwealth’s contribution for funding streams as follows: </w:t>
      </w:r>
    </w:p>
    <w:p w14:paraId="76E56E38" w14:textId="4DC08D55" w:rsidR="00271836" w:rsidRPr="00261C59" w:rsidRDefault="00C367BD" w:rsidP="7B1A1E71">
      <w:pPr>
        <w:numPr>
          <w:ilvl w:val="1"/>
          <w:numId w:val="244"/>
        </w:numPr>
        <w:spacing w:after="240" w:line="260" w:lineRule="exact"/>
        <w:jc w:val="left"/>
        <w:rPr>
          <w:rFonts w:ascii="Calibri" w:hAnsi="Calibri"/>
          <w:sz w:val="24"/>
          <w:szCs w:val="24"/>
        </w:rPr>
      </w:pPr>
      <w:r>
        <w:rPr>
          <w:rFonts w:ascii="Calibri" w:hAnsi="Calibri"/>
          <w:sz w:val="24"/>
          <w:szCs w:val="24"/>
        </w:rPr>
        <w:t>f</w:t>
      </w:r>
      <w:r w:rsidR="00271836" w:rsidRPr="7B1A1E71">
        <w:rPr>
          <w:rFonts w:ascii="Calibri" w:hAnsi="Calibri"/>
          <w:sz w:val="24"/>
          <w:szCs w:val="24"/>
        </w:rPr>
        <w:t xml:space="preserve">or SMRF, adjustments will be applied to the SMRF stream </w:t>
      </w:r>
    </w:p>
    <w:p w14:paraId="6D96F8EA" w14:textId="420B7CD3" w:rsidR="00271836" w:rsidRPr="00261C59" w:rsidRDefault="00C367BD" w:rsidP="004728D9">
      <w:pPr>
        <w:numPr>
          <w:ilvl w:val="1"/>
          <w:numId w:val="244"/>
        </w:numPr>
        <w:spacing w:after="240" w:line="260" w:lineRule="exact"/>
        <w:jc w:val="left"/>
        <w:rPr>
          <w:rFonts w:ascii="Calibri" w:hAnsi="Calibri"/>
          <w:sz w:val="24"/>
          <w:szCs w:val="24"/>
        </w:rPr>
      </w:pPr>
      <w:r>
        <w:rPr>
          <w:rFonts w:ascii="Calibri" w:hAnsi="Calibri"/>
          <w:sz w:val="24"/>
          <w:szCs w:val="24"/>
        </w:rPr>
        <w:lastRenderedPageBreak/>
        <w:t>a</w:t>
      </w:r>
      <w:r w:rsidR="00271836" w:rsidRPr="00261C59">
        <w:rPr>
          <w:rFonts w:ascii="Calibri" w:hAnsi="Calibri"/>
          <w:sz w:val="24"/>
          <w:szCs w:val="24"/>
        </w:rPr>
        <w:t xml:space="preserve">ll other adjustments, including for any Block Funding component, will be applied to the ABF stream, including: </w:t>
      </w:r>
    </w:p>
    <w:p w14:paraId="53D813DB" w14:textId="1222B6BC" w:rsidR="00271836" w:rsidRPr="00261C59" w:rsidRDefault="00271836" w:rsidP="7B1A1E71">
      <w:pPr>
        <w:numPr>
          <w:ilvl w:val="2"/>
          <w:numId w:val="61"/>
        </w:numPr>
        <w:spacing w:after="240" w:line="260" w:lineRule="exact"/>
        <w:jc w:val="left"/>
        <w:rPr>
          <w:rFonts w:ascii="Calibri" w:hAnsi="Calibri"/>
          <w:sz w:val="24"/>
          <w:szCs w:val="24"/>
        </w:rPr>
      </w:pPr>
      <w:r w:rsidRPr="7B1A1E71">
        <w:rPr>
          <w:rFonts w:ascii="Calibri" w:hAnsi="Calibri"/>
          <w:sz w:val="24"/>
          <w:szCs w:val="24"/>
        </w:rPr>
        <w:t>application of the funding cap</w:t>
      </w:r>
    </w:p>
    <w:p w14:paraId="237E934C" w14:textId="77777777" w:rsidR="00271836" w:rsidRPr="00261C59" w:rsidRDefault="00271836" w:rsidP="004728D9">
      <w:pPr>
        <w:numPr>
          <w:ilvl w:val="2"/>
          <w:numId w:val="61"/>
        </w:numPr>
        <w:spacing w:after="240" w:line="260" w:lineRule="exact"/>
        <w:jc w:val="left"/>
        <w:rPr>
          <w:rFonts w:ascii="Calibri" w:hAnsi="Calibri"/>
          <w:sz w:val="24"/>
        </w:rPr>
      </w:pPr>
      <w:r w:rsidRPr="00261C59">
        <w:rPr>
          <w:rFonts w:ascii="Calibri" w:hAnsi="Calibri"/>
          <w:sz w:val="24"/>
        </w:rPr>
        <w:t xml:space="preserve">private patient neutrality arrangements. </w:t>
      </w:r>
    </w:p>
    <w:p w14:paraId="49E5A32D" w14:textId="77777777" w:rsidR="00271836" w:rsidRPr="00261C59" w:rsidRDefault="00271836" w:rsidP="004728D9">
      <w:pPr>
        <w:numPr>
          <w:ilvl w:val="0"/>
          <w:numId w:val="54"/>
        </w:numPr>
        <w:spacing w:after="240" w:line="260" w:lineRule="exact"/>
        <w:jc w:val="left"/>
        <w:rPr>
          <w:rFonts w:ascii="Calibri" w:hAnsi="Calibri"/>
          <w:sz w:val="24"/>
        </w:rPr>
      </w:pPr>
      <w:bookmarkStart w:id="299" w:name="_Toc165886237"/>
      <w:bookmarkStart w:id="300" w:name="_Toc167133827"/>
      <w:r w:rsidRPr="00261C59">
        <w:rPr>
          <w:rFonts w:ascii="Calibri" w:hAnsi="Calibri"/>
          <w:sz w:val="24"/>
          <w:szCs w:val="24"/>
        </w:rPr>
        <w:t xml:space="preserve">To support the reconciliation of Commonwealth contributions occurring through State Managed Funds, States will provide the Administrator an annual State Managed Fund acquittal and a Statement of Assurance from a senior health department official on the completeness and accuracy of the acquittal. These must be in a format specified by the Administrator and be provided within annual reconciliation timeframes. The following will also apply:  </w:t>
      </w:r>
    </w:p>
    <w:p w14:paraId="09B1C3A7" w14:textId="77777777" w:rsidR="00271836" w:rsidRPr="00261C59" w:rsidRDefault="00271836" w:rsidP="004728D9">
      <w:pPr>
        <w:numPr>
          <w:ilvl w:val="1"/>
          <w:numId w:val="62"/>
        </w:numPr>
        <w:spacing w:after="240" w:line="260" w:lineRule="exact"/>
        <w:jc w:val="left"/>
        <w:rPr>
          <w:rFonts w:ascii="Calibri" w:hAnsi="Calibri"/>
          <w:sz w:val="24"/>
        </w:rPr>
      </w:pPr>
      <w:r w:rsidRPr="00261C59">
        <w:rPr>
          <w:rFonts w:ascii="Calibri" w:hAnsi="Calibri"/>
          <w:sz w:val="24"/>
        </w:rPr>
        <w:t>For the Block Funding steam, States will also provide their acquittal to the IHACPA. The acquittal will include detail on:</w:t>
      </w:r>
    </w:p>
    <w:p w14:paraId="03AB8A08" w14:textId="26CF153B" w:rsidR="00271836" w:rsidRPr="00261C59" w:rsidRDefault="00271836" w:rsidP="7B1A1E71">
      <w:pPr>
        <w:numPr>
          <w:ilvl w:val="2"/>
          <w:numId w:val="62"/>
        </w:numPr>
        <w:spacing w:after="240" w:line="260" w:lineRule="exact"/>
        <w:jc w:val="left"/>
        <w:rPr>
          <w:rFonts w:ascii="Calibri" w:hAnsi="Calibri"/>
          <w:sz w:val="24"/>
          <w:szCs w:val="24"/>
        </w:rPr>
      </w:pPr>
      <w:r w:rsidRPr="7B1A1E71">
        <w:rPr>
          <w:rFonts w:ascii="Calibri" w:hAnsi="Calibri"/>
          <w:sz w:val="24"/>
          <w:szCs w:val="24"/>
        </w:rPr>
        <w:t>block-funded service category</w:t>
      </w:r>
    </w:p>
    <w:p w14:paraId="66DAF666" w14:textId="0C105BB8" w:rsidR="00271836" w:rsidRPr="00261C59" w:rsidRDefault="00271836" w:rsidP="7B1A1E71">
      <w:pPr>
        <w:numPr>
          <w:ilvl w:val="2"/>
          <w:numId w:val="62"/>
        </w:numPr>
        <w:spacing w:after="240" w:line="260" w:lineRule="exact"/>
        <w:jc w:val="left"/>
        <w:rPr>
          <w:rFonts w:ascii="Calibri" w:hAnsi="Calibri"/>
          <w:sz w:val="24"/>
          <w:szCs w:val="24"/>
        </w:rPr>
      </w:pPr>
      <w:r w:rsidRPr="7B1A1E71">
        <w:rPr>
          <w:rFonts w:ascii="Calibri" w:hAnsi="Calibri"/>
          <w:sz w:val="24"/>
          <w:szCs w:val="24"/>
        </w:rPr>
        <w:t>establishment or agency</w:t>
      </w:r>
    </w:p>
    <w:p w14:paraId="792B884F" w14:textId="1E632C14" w:rsidR="00271836" w:rsidRPr="00261C59" w:rsidRDefault="00271836" w:rsidP="7B1A1E71">
      <w:pPr>
        <w:numPr>
          <w:ilvl w:val="2"/>
          <w:numId w:val="62"/>
        </w:numPr>
        <w:spacing w:after="240" w:line="260" w:lineRule="exact"/>
        <w:jc w:val="left"/>
        <w:rPr>
          <w:rFonts w:ascii="Calibri" w:hAnsi="Calibri"/>
          <w:sz w:val="24"/>
          <w:szCs w:val="24"/>
        </w:rPr>
      </w:pPr>
      <w:r w:rsidRPr="7B1A1E71">
        <w:rPr>
          <w:rFonts w:ascii="Calibri" w:hAnsi="Calibri"/>
          <w:sz w:val="24"/>
          <w:szCs w:val="24"/>
        </w:rPr>
        <w:t>output, program or grant description</w:t>
      </w:r>
    </w:p>
    <w:p w14:paraId="16193610" w14:textId="77777777" w:rsidR="00271836" w:rsidRPr="00261C59" w:rsidRDefault="00271836" w:rsidP="004728D9">
      <w:pPr>
        <w:numPr>
          <w:ilvl w:val="2"/>
          <w:numId w:val="62"/>
        </w:numPr>
        <w:spacing w:after="240" w:line="260" w:lineRule="exact"/>
        <w:jc w:val="left"/>
        <w:rPr>
          <w:rFonts w:ascii="Calibri" w:hAnsi="Calibri"/>
          <w:sz w:val="24"/>
          <w:szCs w:val="24"/>
        </w:rPr>
      </w:pPr>
      <w:r w:rsidRPr="00261C59">
        <w:rPr>
          <w:rFonts w:ascii="Calibri" w:hAnsi="Calibri"/>
          <w:sz w:val="24"/>
          <w:szCs w:val="24"/>
        </w:rPr>
        <w:t xml:space="preserve">identification of any payments to State Governments for shared services arrangements or statewide services contributing to delivery and overall in-scope funding for block-funded services.  </w:t>
      </w:r>
    </w:p>
    <w:bookmarkEnd w:id="299"/>
    <w:bookmarkEnd w:id="300"/>
    <w:p w14:paraId="0F2EB3B9" w14:textId="44AFFDB1"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Where a trial is undertaken through the </w:t>
      </w:r>
      <w:r w:rsidR="000E0E64" w:rsidRPr="00261C59">
        <w:rPr>
          <w:rFonts w:ascii="Calibri" w:hAnsi="Calibri"/>
          <w:sz w:val="24"/>
          <w:szCs w:val="24"/>
        </w:rPr>
        <w:t>a</w:t>
      </w:r>
      <w:r w:rsidRPr="00261C59">
        <w:rPr>
          <w:rFonts w:ascii="Calibri" w:hAnsi="Calibri"/>
          <w:sz w:val="24"/>
          <w:szCs w:val="24"/>
        </w:rPr>
        <w:t xml:space="preserve">lternative </w:t>
      </w:r>
      <w:r w:rsidR="000E0E64" w:rsidRPr="00261C59">
        <w:rPr>
          <w:rFonts w:ascii="Calibri" w:hAnsi="Calibri"/>
          <w:sz w:val="24"/>
          <w:szCs w:val="24"/>
        </w:rPr>
        <w:t>p</w:t>
      </w:r>
      <w:r w:rsidRPr="00261C59">
        <w:rPr>
          <w:rFonts w:ascii="Calibri" w:hAnsi="Calibri"/>
          <w:sz w:val="24"/>
          <w:szCs w:val="24"/>
        </w:rPr>
        <w:t xml:space="preserve">ayment </w:t>
      </w:r>
      <w:r w:rsidR="000E0E64" w:rsidRPr="00261C59">
        <w:rPr>
          <w:rFonts w:ascii="Calibri" w:hAnsi="Calibri"/>
          <w:sz w:val="24"/>
          <w:szCs w:val="24"/>
        </w:rPr>
        <w:t>m</w:t>
      </w:r>
      <w:r w:rsidRPr="00261C59">
        <w:rPr>
          <w:rFonts w:ascii="Calibri" w:hAnsi="Calibri"/>
          <w:sz w:val="24"/>
          <w:szCs w:val="24"/>
        </w:rPr>
        <w:t xml:space="preserve">odel trial pathway or the SMRF stream, and the service has a direct analogue to an existing ABF or Block classification such that it would be possible to claim the service or part of the service provided under multiple funding streams, the State will nominate only one stream to claim from when providing their service delivery estimates in order to comply with </w:t>
      </w:r>
      <w:r w:rsidR="00E034E6" w:rsidRPr="00261C59">
        <w:rPr>
          <w:rFonts w:ascii="Calibri" w:hAnsi="Calibri"/>
          <w:sz w:val="24"/>
          <w:szCs w:val="24"/>
        </w:rPr>
        <w:br/>
      </w:r>
      <w:r w:rsidRPr="00261C59">
        <w:rPr>
          <w:rFonts w:ascii="Calibri" w:hAnsi="Calibri"/>
          <w:sz w:val="24"/>
          <w:szCs w:val="24"/>
        </w:rPr>
        <w:t>clause A1</w:t>
      </w:r>
      <w:r w:rsidR="000A587D" w:rsidRPr="00261C59">
        <w:rPr>
          <w:rFonts w:ascii="Calibri" w:hAnsi="Calibri"/>
          <w:sz w:val="24"/>
          <w:szCs w:val="24"/>
        </w:rPr>
        <w:t>2</w:t>
      </w:r>
      <w:r w:rsidRPr="00261C59">
        <w:rPr>
          <w:rFonts w:ascii="Calibri" w:hAnsi="Calibri"/>
          <w:sz w:val="24"/>
          <w:szCs w:val="24"/>
        </w:rPr>
        <w:t>.</w:t>
      </w:r>
    </w:p>
    <w:p w14:paraId="0DB185F8" w14:textId="77777777" w:rsidR="00271836" w:rsidRPr="00261C59" w:rsidRDefault="00271836" w:rsidP="004728D9">
      <w:pPr>
        <w:numPr>
          <w:ilvl w:val="1"/>
          <w:numId w:val="63"/>
        </w:numPr>
        <w:spacing w:after="240" w:line="260" w:lineRule="exact"/>
        <w:jc w:val="left"/>
        <w:rPr>
          <w:rFonts w:ascii="Calibri" w:hAnsi="Calibri"/>
          <w:sz w:val="24"/>
          <w:szCs w:val="24"/>
        </w:rPr>
      </w:pPr>
      <w:r w:rsidRPr="00261C59">
        <w:rPr>
          <w:rFonts w:ascii="Calibri" w:hAnsi="Calibri"/>
          <w:sz w:val="24"/>
          <w:szCs w:val="24"/>
        </w:rPr>
        <w:t xml:space="preserve">States will provide the Administrator equivalent data for delivery of trial services as they would have had these services been delivered under ABF or Block. </w:t>
      </w:r>
    </w:p>
    <w:p w14:paraId="3A6F4F8D" w14:textId="77777777" w:rsidR="00271836" w:rsidRPr="00261C59" w:rsidRDefault="00271836" w:rsidP="1476B102">
      <w:pPr>
        <w:keepNext/>
        <w:keepLines/>
        <w:spacing w:before="200"/>
        <w:jc w:val="left"/>
        <w:outlineLvl w:val="3"/>
        <w:rPr>
          <w:rFonts w:eastAsia="Yu Gothic Light"/>
          <w:b/>
          <w:bCs/>
        </w:rPr>
      </w:pPr>
      <w:r w:rsidRPr="00261C59">
        <w:rPr>
          <w:rFonts w:eastAsia="Yu Gothic Light"/>
          <w:b/>
          <w:bCs/>
        </w:rPr>
        <w:t>Annual adjustment</w:t>
      </w:r>
      <w:bookmarkStart w:id="301" w:name="_Toc531357134"/>
      <w:bookmarkStart w:id="302" w:name="_Toc165886238"/>
      <w:bookmarkStart w:id="303" w:name="_Toc167133828"/>
      <w:r w:rsidRPr="00261C59">
        <w:rPr>
          <w:rFonts w:eastAsia="Yu Gothic Light"/>
          <w:b/>
          <w:bCs/>
        </w:rPr>
        <w:t xml:space="preserve"> timeframes for advice</w:t>
      </w:r>
      <w:bookmarkEnd w:id="301"/>
      <w:bookmarkEnd w:id="302"/>
      <w:bookmarkEnd w:id="303"/>
      <w:r w:rsidRPr="00261C59">
        <w:rPr>
          <w:rFonts w:eastAsia="Yu Gothic Light"/>
          <w:b/>
          <w:bCs/>
        </w:rPr>
        <w:t xml:space="preserve"> </w:t>
      </w:r>
    </w:p>
    <w:p w14:paraId="5B4BA106" w14:textId="7BDA2D0B"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cs="Arial"/>
          <w:sz w:val="24"/>
          <w:szCs w:val="24"/>
        </w:rPr>
        <w:t>Within three months</w:t>
      </w:r>
      <w:r w:rsidRPr="00261C59">
        <w:rPr>
          <w:rFonts w:ascii="Calibri" w:hAnsi="Calibri"/>
          <w:sz w:val="24"/>
          <w:szCs w:val="24"/>
        </w:rPr>
        <w:t xml:space="preserve"> of the end of each reconciliation period, States will provide the Administrator gross volume and patient identified data on annual, actual services delivered for public hospital and health service functions funded by the Commonwealth on an activity basis. This will enable reconciliations to be undertaken in accordance with clause </w:t>
      </w:r>
      <w:r w:rsidRPr="00261C59">
        <w:rPr>
          <w:rFonts w:ascii="Calibri" w:hAnsi="Calibri"/>
          <w:sz w:val="24"/>
        </w:rPr>
        <w:t>A</w:t>
      </w:r>
      <w:r w:rsidR="00635F52" w:rsidRPr="00261C59">
        <w:rPr>
          <w:rFonts w:ascii="Calibri" w:hAnsi="Calibri"/>
          <w:sz w:val="24"/>
        </w:rPr>
        <w:t>126</w:t>
      </w:r>
      <w:r w:rsidRPr="00261C59">
        <w:rPr>
          <w:rFonts w:ascii="Calibri" w:hAnsi="Calibri"/>
          <w:sz w:val="24"/>
        </w:rPr>
        <w:t>.</w:t>
      </w:r>
      <w:r w:rsidRPr="00261C59">
        <w:rPr>
          <w:rFonts w:ascii="Calibri" w:hAnsi="Calibri"/>
          <w:sz w:val="24"/>
          <w:szCs w:val="24"/>
        </w:rPr>
        <w:t xml:space="preserve"> </w:t>
      </w:r>
    </w:p>
    <w:p w14:paraId="7F6D43FC"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Administrator will provide all Parties with a preliminary report on funding entitlements and reconciliation adjustments for the completed financial year (reconciliation period) no later than 30 November following the end of that financial year.</w:t>
      </w:r>
    </w:p>
    <w:p w14:paraId="1DD60E77"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If necessary, the Administrator will facilitate a discussion between each of the States and the Commonwealth to resolve any issues or disputes about how the National Funding Model has been applied to calculations of funding entitlements and reconciliation adjustments. Any such discussions must be completed by 28 February of the financial year following the end of the relevant reconciliation period. The Administrator may release revised reconciliation advice following this consultation. </w:t>
      </w:r>
    </w:p>
    <w:p w14:paraId="37F59EB5"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lastRenderedPageBreak/>
        <w:t xml:space="preserve">If the Administrator is not able to resolve the issue within the remit of their functions, the issue may be dealt with under the resolution clauses in Schedule I.  </w:t>
      </w:r>
    </w:p>
    <w:p w14:paraId="64D6576C"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Administrator will provide advice on the Commonwealth funding entitlements and subsequent adjustments to the Commonwealth Treasurer by the end of March, contingent on the data, reports and advice being provided in a timely manner. States will be provided a copy of that advice contemporaneously.</w:t>
      </w:r>
    </w:p>
    <w:p w14:paraId="0DE4C9FE" w14:textId="77777777" w:rsidR="00271836" w:rsidRPr="00261C59" w:rsidRDefault="00271836" w:rsidP="005460E8">
      <w:pPr>
        <w:keepNext/>
        <w:keepLines/>
        <w:spacing w:before="200"/>
        <w:jc w:val="left"/>
        <w:outlineLvl w:val="3"/>
        <w:rPr>
          <w:rFonts w:eastAsia="Yu Gothic Light"/>
          <w:b/>
          <w:bCs/>
          <w:iCs/>
        </w:rPr>
      </w:pPr>
      <w:bookmarkStart w:id="304" w:name="_Toc531357135"/>
      <w:bookmarkStart w:id="305" w:name="_Toc165886239"/>
      <w:bookmarkStart w:id="306" w:name="_Toc167133829"/>
      <w:r w:rsidRPr="00261C59">
        <w:rPr>
          <w:rFonts w:eastAsia="Yu Gothic Light"/>
          <w:b/>
          <w:bCs/>
          <w:iCs/>
        </w:rPr>
        <w:t>Determination and payment</w:t>
      </w:r>
      <w:bookmarkEnd w:id="304"/>
      <w:bookmarkEnd w:id="305"/>
      <w:bookmarkEnd w:id="306"/>
      <w:r w:rsidRPr="00261C59">
        <w:rPr>
          <w:rFonts w:eastAsia="Yu Gothic Light"/>
          <w:b/>
          <w:bCs/>
          <w:iCs/>
        </w:rPr>
        <w:t xml:space="preserve"> of final Commonwealth funding entitlements</w:t>
      </w:r>
    </w:p>
    <w:p w14:paraId="1D25BD23" w14:textId="77777777" w:rsidR="00271836" w:rsidRPr="00261C59" w:rsidRDefault="00271836" w:rsidP="00094579">
      <w:pPr>
        <w:keepLines/>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Commonwealth Treasurer will aim to finalise the Treasurer’s Determination within one month, or as soon as practicable after receiving the Administrator’s final advice. </w:t>
      </w:r>
    </w:p>
    <w:p w14:paraId="4BD5B378" w14:textId="77777777" w:rsidR="00271836" w:rsidRPr="00261C59" w:rsidRDefault="00271836" w:rsidP="004728D9">
      <w:pPr>
        <w:numPr>
          <w:ilvl w:val="0"/>
          <w:numId w:val="54"/>
        </w:numPr>
        <w:spacing w:after="240" w:line="260" w:lineRule="exact"/>
        <w:ind w:left="720" w:hanging="720"/>
        <w:jc w:val="left"/>
        <w:rPr>
          <w:rFonts w:ascii="Calibri" w:hAnsi="Calibri"/>
          <w:sz w:val="24"/>
        </w:rPr>
      </w:pPr>
      <w:r w:rsidRPr="00261C59">
        <w:rPr>
          <w:rFonts w:ascii="Calibri" w:hAnsi="Calibri"/>
          <w:sz w:val="24"/>
          <w:szCs w:val="24"/>
        </w:rPr>
        <w:t>Where the Commonwealth Treasurer’s Determination differs from the Administrator’s final advice on funding entitlements for a reconciliation period, the Treasurer will publish a Statement of Difference at the time of the Determination. This Statement will outline the new final entitlement amounts and the reason for the differences between the Treasurer’s Determination and the Administrator’s final advice.</w:t>
      </w:r>
    </w:p>
    <w:p w14:paraId="6052CE92" w14:textId="77777777" w:rsidR="00271836" w:rsidRPr="00261C59" w:rsidRDefault="00271836" w:rsidP="004728D9">
      <w:pPr>
        <w:numPr>
          <w:ilvl w:val="1"/>
          <w:numId w:val="64"/>
        </w:numPr>
        <w:spacing w:after="240" w:line="260" w:lineRule="exact"/>
        <w:jc w:val="left"/>
        <w:rPr>
          <w:rFonts w:ascii="Calibri" w:hAnsi="Calibri"/>
          <w:sz w:val="24"/>
        </w:rPr>
      </w:pPr>
      <w:r w:rsidRPr="00261C59">
        <w:rPr>
          <w:rFonts w:ascii="Calibri" w:hAnsi="Calibri"/>
          <w:sz w:val="24"/>
        </w:rPr>
        <w:t>In addition to the Treasurer’s Statement above, the Administrator will provide Parties with detail on the funding, National Weighted Activity Units (NWAUs), and block-funded activities related to the Commonwealth Treasurer’s Determination, by detailed classification at the LHN level. The Administrator will also publish this information on a website.</w:t>
      </w:r>
    </w:p>
    <w:p w14:paraId="63CB97EB" w14:textId="77777777" w:rsidR="00271836" w:rsidRPr="00261C59" w:rsidDel="001B1CA0"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Treasurer’s Determination will be actioned by the Administrator through the annual adjustment to Commonwealth payments into the National Health Funding Pool. This annual adjustment will commence in the next practicable monthly payment run following the Determination. </w:t>
      </w:r>
    </w:p>
    <w:p w14:paraId="14900D42" w14:textId="77777777" w:rsidR="00271836" w:rsidRPr="00261C59" w:rsidRDefault="00271836" w:rsidP="00E84BBB">
      <w:pPr>
        <w:keepLines/>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 Any variation to Commonwealth payments arising from the Treasurer’s Determination will be spread equally across payments for a subsequent quarter, or other appropriate period where the Administrator deems necessary.</w:t>
      </w:r>
    </w:p>
    <w:p w14:paraId="75594C41" w14:textId="77777777" w:rsidR="00271836" w:rsidRPr="00261C59" w:rsidRDefault="00271836" w:rsidP="00D33812">
      <w:pPr>
        <w:keepLines/>
        <w:numPr>
          <w:ilvl w:val="1"/>
          <w:numId w:val="54"/>
        </w:numPr>
        <w:spacing w:after="240" w:line="260" w:lineRule="exact"/>
        <w:jc w:val="left"/>
        <w:rPr>
          <w:rFonts w:ascii="Calibri" w:hAnsi="Calibri"/>
          <w:sz w:val="24"/>
          <w:szCs w:val="24"/>
        </w:rPr>
      </w:pPr>
      <w:r w:rsidRPr="00261C59">
        <w:rPr>
          <w:rFonts w:ascii="Calibri" w:hAnsi="Calibri"/>
          <w:sz w:val="24"/>
          <w:szCs w:val="24"/>
        </w:rPr>
        <w:t xml:space="preserve">In recognition of the likelihood of increased variance caused by introducing the new funding calculation method from 2026-27, the Administrator will, on request from a State, give consideration to spreading the annual adjustment across payments for the remaining months of the 2026-27 financial year. </w:t>
      </w:r>
    </w:p>
    <w:p w14:paraId="7DCF4B0D" w14:textId="77777777" w:rsidR="00271836" w:rsidRPr="00261C59" w:rsidRDefault="00271836" w:rsidP="005460E8">
      <w:pPr>
        <w:keepNext/>
        <w:keepLines/>
        <w:spacing w:before="200"/>
        <w:jc w:val="left"/>
        <w:outlineLvl w:val="3"/>
        <w:rPr>
          <w:rFonts w:eastAsia="Yu Gothic Light"/>
          <w:b/>
          <w:bCs/>
          <w:iCs/>
        </w:rPr>
      </w:pPr>
      <w:bookmarkStart w:id="307" w:name="_Toc168579020"/>
      <w:r w:rsidRPr="00261C59">
        <w:rPr>
          <w:rFonts w:eastAsia="Yu Gothic Light"/>
          <w:b/>
          <w:bCs/>
          <w:iCs/>
        </w:rPr>
        <w:t xml:space="preserve">Certainty of reconciliation </w:t>
      </w:r>
    </w:p>
    <w:p w14:paraId="147F323A"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Parties agree the final Commonwealth funding entitlement of a State for a year, once decided by the Commonwealth Treasurer’s Determination, will not be adjusted under the National Funding Model, </w:t>
      </w:r>
      <w:r w:rsidRPr="00261C59">
        <w:rPr>
          <w:rFonts w:ascii="Calibri" w:hAnsi="Calibri" w:cs="Arial"/>
          <w:sz w:val="24"/>
          <w:szCs w:val="24"/>
        </w:rPr>
        <w:t>except in the following circumstances:</w:t>
      </w:r>
      <w:r w:rsidRPr="00261C59">
        <w:rPr>
          <w:rFonts w:ascii="Calibri" w:hAnsi="Calibri"/>
          <w:sz w:val="24"/>
          <w:szCs w:val="24"/>
        </w:rPr>
        <w:t xml:space="preserve"> </w:t>
      </w:r>
    </w:p>
    <w:p w14:paraId="6EB6A253" w14:textId="497C0C45" w:rsidR="00271836" w:rsidRPr="00261C59" w:rsidRDefault="4F8E2345"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w</w:t>
      </w:r>
      <w:r w:rsidR="00271836" w:rsidRPr="7B1A1E71">
        <w:rPr>
          <w:rFonts w:ascii="Calibri" w:hAnsi="Calibri"/>
          <w:sz w:val="24"/>
          <w:szCs w:val="24"/>
        </w:rPr>
        <w:t>here an Auditor General or other relevant body finds fraud or other illegal or dishonest activity, the Administrator may make these adjustments at any time</w:t>
      </w:r>
    </w:p>
    <w:p w14:paraId="6F7E4063" w14:textId="64E0BC1F" w:rsidR="00271836" w:rsidRPr="00261C59" w:rsidRDefault="7E6DEBB2"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w</w:t>
      </w:r>
      <w:r w:rsidR="00271836" w:rsidRPr="7B1A1E71">
        <w:rPr>
          <w:rFonts w:ascii="Calibri" w:hAnsi="Calibri"/>
          <w:sz w:val="24"/>
          <w:szCs w:val="24"/>
        </w:rPr>
        <w:t>here the Administrator has identified matched payments through the process described at clause A2</w:t>
      </w:r>
      <w:r w:rsidR="006007D4" w:rsidRPr="7B1A1E71">
        <w:rPr>
          <w:rFonts w:ascii="Calibri" w:hAnsi="Calibri"/>
          <w:sz w:val="24"/>
          <w:szCs w:val="24"/>
        </w:rPr>
        <w:t>18</w:t>
      </w:r>
      <w:r w:rsidR="00271836" w:rsidRPr="7B1A1E71">
        <w:rPr>
          <w:rFonts w:ascii="Calibri" w:hAnsi="Calibri"/>
          <w:sz w:val="24"/>
          <w:szCs w:val="24"/>
        </w:rPr>
        <w:t>, the Administrator may make these adjustments to take effect in a future year’s reconciliation.</w:t>
      </w:r>
    </w:p>
    <w:p w14:paraId="59790814" w14:textId="0237A658" w:rsidR="00271836" w:rsidRPr="00261C59" w:rsidRDefault="00271836" w:rsidP="009F5624">
      <w:pPr>
        <w:keepNext/>
        <w:numPr>
          <w:ilvl w:val="0"/>
          <w:numId w:val="54"/>
        </w:numPr>
        <w:spacing w:after="240" w:line="260" w:lineRule="exact"/>
        <w:jc w:val="left"/>
        <w:rPr>
          <w:rFonts w:ascii="Calibri" w:hAnsi="Calibri"/>
          <w:sz w:val="24"/>
          <w:szCs w:val="24"/>
        </w:rPr>
      </w:pPr>
      <w:r w:rsidRPr="00261C59">
        <w:rPr>
          <w:rFonts w:ascii="Calibri" w:hAnsi="Calibri"/>
          <w:sz w:val="24"/>
          <w:szCs w:val="24"/>
        </w:rPr>
        <w:lastRenderedPageBreak/>
        <w:t xml:space="preserve">Adjustments required under clause </w:t>
      </w:r>
      <w:r w:rsidRPr="00261C59">
        <w:rPr>
          <w:rFonts w:ascii="Calibri" w:hAnsi="Calibri"/>
          <w:sz w:val="24"/>
        </w:rPr>
        <w:t>A</w:t>
      </w:r>
      <w:r w:rsidR="00EC7682" w:rsidRPr="00261C59">
        <w:rPr>
          <w:rFonts w:ascii="Calibri" w:hAnsi="Calibri"/>
          <w:sz w:val="24"/>
        </w:rPr>
        <w:t>143</w:t>
      </w:r>
      <w:r w:rsidRPr="00261C59">
        <w:rPr>
          <w:rFonts w:ascii="Calibri" w:hAnsi="Calibri"/>
          <w:sz w:val="24"/>
          <w:szCs w:val="24"/>
        </w:rPr>
        <w:t xml:space="preserve"> will be made through the following processes:</w:t>
      </w:r>
    </w:p>
    <w:p w14:paraId="1337D9AF" w14:textId="43DBE445" w:rsidR="00271836" w:rsidRPr="00261C59" w:rsidRDefault="4C7DD03A" w:rsidP="009F5624">
      <w:pPr>
        <w:keepLines/>
        <w:numPr>
          <w:ilvl w:val="1"/>
          <w:numId w:val="54"/>
        </w:numPr>
        <w:spacing w:after="240" w:line="260" w:lineRule="exact"/>
        <w:jc w:val="left"/>
        <w:rPr>
          <w:rFonts w:ascii="Calibri" w:hAnsi="Calibri"/>
          <w:sz w:val="24"/>
          <w:szCs w:val="24"/>
        </w:rPr>
      </w:pPr>
      <w:r w:rsidRPr="7B1A1E71">
        <w:rPr>
          <w:rFonts w:ascii="Calibri" w:hAnsi="Calibri"/>
          <w:sz w:val="24"/>
          <w:szCs w:val="24"/>
        </w:rPr>
        <w:t>n</w:t>
      </w:r>
      <w:r w:rsidR="00271836" w:rsidRPr="7B1A1E71">
        <w:rPr>
          <w:rFonts w:ascii="Calibri" w:hAnsi="Calibri"/>
          <w:sz w:val="24"/>
          <w:szCs w:val="24"/>
        </w:rPr>
        <w:t xml:space="preserve">otification of fraud or other illegal or dishonest activity for the purpose of </w:t>
      </w:r>
      <w:r w:rsidR="00271836">
        <w:br/>
      </w:r>
      <w:r w:rsidR="00271836" w:rsidRPr="7B1A1E71">
        <w:rPr>
          <w:rFonts w:ascii="Calibri" w:hAnsi="Calibri"/>
          <w:sz w:val="24"/>
          <w:szCs w:val="24"/>
        </w:rPr>
        <w:t>clause A1</w:t>
      </w:r>
      <w:r w:rsidR="00644381" w:rsidRPr="7B1A1E71">
        <w:rPr>
          <w:rFonts w:ascii="Calibri" w:hAnsi="Calibri"/>
          <w:sz w:val="24"/>
          <w:szCs w:val="24"/>
        </w:rPr>
        <w:t>43</w:t>
      </w:r>
      <w:r w:rsidR="00271836" w:rsidRPr="7B1A1E71">
        <w:rPr>
          <w:rFonts w:ascii="Calibri" w:hAnsi="Calibri"/>
          <w:sz w:val="24"/>
          <w:szCs w:val="24"/>
        </w:rPr>
        <w:t xml:space="preserve">(a) must be issued in writing by a senior officer of the relevant health department and provide full particulars of the nature and extent of the issue and likely impact on Commonwealth funding. A Statement of Assurance must accompany any further submission of data by a State to remedy an identified issue </w:t>
      </w:r>
    </w:p>
    <w:p w14:paraId="60A6D00F" w14:textId="0A4FAD3B" w:rsidR="00271836" w:rsidRPr="00261C59" w:rsidRDefault="6FA98A0B"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i</w:t>
      </w:r>
      <w:r w:rsidR="00271836" w:rsidRPr="7B1A1E71">
        <w:rPr>
          <w:rFonts w:ascii="Calibri" w:hAnsi="Calibri"/>
          <w:sz w:val="24"/>
          <w:szCs w:val="24"/>
        </w:rPr>
        <w:t xml:space="preserve">f an issue is identified or raised with the Administrator through clause </w:t>
      </w:r>
      <w:r w:rsidR="00644381" w:rsidRPr="7B1A1E71">
        <w:rPr>
          <w:rFonts w:ascii="Calibri" w:hAnsi="Calibri"/>
          <w:sz w:val="24"/>
          <w:szCs w:val="24"/>
        </w:rPr>
        <w:t>A143</w:t>
      </w:r>
      <w:r w:rsidR="00271836" w:rsidRPr="7B1A1E71">
        <w:rPr>
          <w:rFonts w:ascii="Calibri" w:hAnsi="Calibri"/>
          <w:sz w:val="24"/>
          <w:szCs w:val="24"/>
        </w:rPr>
        <w:t xml:space="preserve">(a), the Administrator will notify the Commonwealth and State(s) of the issue and how the Administrator plans to resolve the issue </w:t>
      </w:r>
    </w:p>
    <w:p w14:paraId="7A88C635" w14:textId="16C326C7" w:rsidR="00271836" w:rsidRPr="00261C59" w:rsidRDefault="3A8D2BE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t</w:t>
      </w:r>
      <w:r w:rsidR="00271836" w:rsidRPr="7B1A1E71">
        <w:rPr>
          <w:rFonts w:ascii="Calibri" w:hAnsi="Calibri"/>
          <w:sz w:val="24"/>
          <w:szCs w:val="24"/>
        </w:rPr>
        <w:t xml:space="preserve">he Administrator will calculate the impact on the Commonwealth funding entitlement of any affected State, following assessment by the Administrator of an issue under clause </w:t>
      </w:r>
      <w:r w:rsidR="00E3427C" w:rsidRPr="7B1A1E71">
        <w:rPr>
          <w:rFonts w:ascii="Calibri" w:hAnsi="Calibri"/>
          <w:sz w:val="24"/>
          <w:szCs w:val="24"/>
        </w:rPr>
        <w:t>A143</w:t>
      </w:r>
      <w:r w:rsidR="00271836" w:rsidRPr="7B1A1E71">
        <w:rPr>
          <w:rFonts w:ascii="Calibri" w:hAnsi="Calibri"/>
          <w:sz w:val="24"/>
          <w:szCs w:val="24"/>
        </w:rPr>
        <w:t xml:space="preserve"> </w:t>
      </w:r>
    </w:p>
    <w:p w14:paraId="6C28DBA2" w14:textId="3BB4B3FF" w:rsidR="00271836" w:rsidRPr="00261C59" w:rsidRDefault="6635B192"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t</w:t>
      </w:r>
      <w:r w:rsidR="00271836" w:rsidRPr="7B1A1E71">
        <w:rPr>
          <w:rFonts w:ascii="Calibri" w:hAnsi="Calibri"/>
          <w:sz w:val="24"/>
          <w:szCs w:val="24"/>
        </w:rPr>
        <w:t>he Administrator will assess and advise whether adjustments to the Commonwealth funding entitlement of the affected State(s) should be made. Following resolution of an A</w:t>
      </w:r>
      <w:r w:rsidR="00D825D2" w:rsidRPr="7B1A1E71">
        <w:rPr>
          <w:rFonts w:ascii="Calibri" w:hAnsi="Calibri"/>
          <w:sz w:val="24"/>
          <w:szCs w:val="24"/>
        </w:rPr>
        <w:t>143</w:t>
      </w:r>
      <w:r w:rsidR="00271836" w:rsidRPr="7B1A1E71">
        <w:rPr>
          <w:rFonts w:ascii="Calibri" w:hAnsi="Calibri"/>
          <w:sz w:val="24"/>
          <w:szCs w:val="24"/>
        </w:rPr>
        <w:t>(a) issue, the Administrator will notify the Commonwealth and States of the outcome.</w:t>
      </w:r>
    </w:p>
    <w:p w14:paraId="767EC3C5" w14:textId="77777777" w:rsidR="00271836" w:rsidRPr="00261C59" w:rsidRDefault="00271836" w:rsidP="002278B3">
      <w:pPr>
        <w:jc w:val="left"/>
        <w:outlineLvl w:val="2"/>
        <w:rPr>
          <w:rFonts w:ascii="Corbel" w:hAnsi="Corbel"/>
          <w:color w:val="3D4B67"/>
          <w:sz w:val="28"/>
          <w:szCs w:val="48"/>
          <w:lang w:eastAsia="ja-JP"/>
        </w:rPr>
      </w:pPr>
      <w:bookmarkStart w:id="308" w:name="_Toc210029655"/>
      <w:bookmarkStart w:id="309" w:name="_Toc221087984"/>
      <w:bookmarkStart w:id="310" w:name="_Toc171350371"/>
      <w:bookmarkStart w:id="311" w:name="_Toc172210252"/>
      <w:bookmarkStart w:id="312" w:name="_Toc172787702"/>
      <w:bookmarkStart w:id="313" w:name="_Toc173937718"/>
      <w:bookmarkStart w:id="314" w:name="_Toc183183315"/>
      <w:bookmarkStart w:id="315" w:name="_Toc201673973"/>
      <w:bookmarkStart w:id="316" w:name="_Toc210833606"/>
      <w:bookmarkStart w:id="317" w:name="_Toc214456506"/>
      <w:r w:rsidRPr="00261C59">
        <w:rPr>
          <w:rFonts w:ascii="Corbel" w:hAnsi="Corbel"/>
          <w:color w:val="3D4B67"/>
          <w:sz w:val="28"/>
          <w:szCs w:val="48"/>
          <w:lang w:eastAsia="ja-JP"/>
        </w:rPr>
        <w:t>Process for the Service Model Reform Funding stream</w:t>
      </w:r>
      <w:bookmarkEnd w:id="308"/>
      <w:bookmarkEnd w:id="309"/>
    </w:p>
    <w:p w14:paraId="78294863" w14:textId="3FA3C233" w:rsidR="00271836" w:rsidRPr="00261C59" w:rsidRDefault="00271836" w:rsidP="00830547">
      <w:pPr>
        <w:numPr>
          <w:ilvl w:val="0"/>
          <w:numId w:val="54"/>
        </w:numPr>
        <w:spacing w:after="240" w:line="260" w:lineRule="exact"/>
        <w:jc w:val="left"/>
        <w:rPr>
          <w:rFonts w:ascii="Calibri" w:hAnsi="Calibri"/>
          <w:sz w:val="24"/>
          <w:szCs w:val="24"/>
        </w:rPr>
      </w:pPr>
      <w:r w:rsidRPr="00261C59">
        <w:rPr>
          <w:rFonts w:ascii="Calibri" w:hAnsi="Calibri"/>
          <w:sz w:val="24"/>
          <w:szCs w:val="24"/>
        </w:rPr>
        <w:t>The process to pay the Commonwealth’s funding contribution for the SMRF stream varies from the process set out in clause A1</w:t>
      </w:r>
      <w:r w:rsidR="007278E3" w:rsidRPr="00261C59">
        <w:rPr>
          <w:rFonts w:ascii="Calibri" w:hAnsi="Calibri"/>
          <w:sz w:val="24"/>
          <w:szCs w:val="24"/>
        </w:rPr>
        <w:t>14</w:t>
      </w:r>
      <w:r w:rsidRPr="00261C59">
        <w:rPr>
          <w:rFonts w:ascii="Calibri" w:hAnsi="Calibri"/>
          <w:sz w:val="24"/>
          <w:szCs w:val="24"/>
        </w:rPr>
        <w:t xml:space="preserve"> as follows: </w:t>
      </w:r>
    </w:p>
    <w:p w14:paraId="62CAE67D" w14:textId="2D59D67F" w:rsidR="00271836" w:rsidRPr="00261C59" w:rsidRDefault="00271836" w:rsidP="00600ECD">
      <w:pPr>
        <w:keepLines/>
        <w:numPr>
          <w:ilvl w:val="1"/>
          <w:numId w:val="54"/>
        </w:numPr>
        <w:spacing w:after="240" w:line="260" w:lineRule="exact"/>
        <w:jc w:val="left"/>
        <w:rPr>
          <w:rFonts w:ascii="Calibri" w:hAnsi="Calibri"/>
          <w:sz w:val="24"/>
          <w:szCs w:val="24"/>
        </w:rPr>
      </w:pPr>
      <w:r w:rsidRPr="7B1A1E71">
        <w:rPr>
          <w:rFonts w:ascii="Calibri" w:hAnsi="Calibri"/>
          <w:sz w:val="24"/>
          <w:szCs w:val="24"/>
        </w:rPr>
        <w:t xml:space="preserve">States submit SMRF proposals </w:t>
      </w:r>
      <w:r w:rsidR="00F30470" w:rsidRPr="7B1A1E71">
        <w:rPr>
          <w:rFonts w:ascii="Calibri" w:hAnsi="Calibri"/>
          <w:sz w:val="24"/>
          <w:szCs w:val="24"/>
        </w:rPr>
        <w:t xml:space="preserve">annually </w:t>
      </w:r>
      <w:r w:rsidRPr="7B1A1E71">
        <w:rPr>
          <w:rFonts w:ascii="Calibri" w:hAnsi="Calibri"/>
          <w:sz w:val="24"/>
          <w:szCs w:val="24"/>
        </w:rPr>
        <w:t xml:space="preserve">for review </w:t>
      </w:r>
      <w:r w:rsidR="00F30470" w:rsidRPr="7B1A1E71">
        <w:rPr>
          <w:rFonts w:ascii="Calibri" w:hAnsi="Calibri"/>
          <w:sz w:val="24"/>
          <w:szCs w:val="24"/>
        </w:rPr>
        <w:t xml:space="preserve">in line with agreed priorities </w:t>
      </w:r>
      <w:r w:rsidRPr="7B1A1E71">
        <w:rPr>
          <w:rFonts w:ascii="Calibri" w:hAnsi="Calibri"/>
          <w:sz w:val="24"/>
          <w:szCs w:val="24"/>
        </w:rPr>
        <w:t>and approval according to SMRF operational procedures outlined in clause D2</w:t>
      </w:r>
      <w:r w:rsidR="00225F17" w:rsidRPr="7B1A1E71">
        <w:rPr>
          <w:rFonts w:ascii="Calibri" w:hAnsi="Calibri"/>
          <w:sz w:val="24"/>
          <w:szCs w:val="24"/>
        </w:rPr>
        <w:t>6</w:t>
      </w:r>
      <w:r w:rsidRPr="7B1A1E71">
        <w:rPr>
          <w:rFonts w:ascii="Calibri" w:hAnsi="Calibri"/>
          <w:sz w:val="24"/>
          <w:szCs w:val="24"/>
        </w:rPr>
        <w:t xml:space="preserve"> </w:t>
      </w:r>
    </w:p>
    <w:p w14:paraId="1CF9323D" w14:textId="28C2CFBD" w:rsidR="00271836" w:rsidRPr="00261C59" w:rsidRDefault="00271836" w:rsidP="00830547">
      <w:pPr>
        <w:numPr>
          <w:ilvl w:val="2"/>
          <w:numId w:val="54"/>
        </w:numPr>
        <w:spacing w:after="240" w:line="260" w:lineRule="exact"/>
        <w:ind w:left="1842" w:hanging="181"/>
        <w:jc w:val="left"/>
        <w:rPr>
          <w:rFonts w:ascii="Calibri" w:hAnsi="Calibri"/>
          <w:sz w:val="24"/>
          <w:szCs w:val="24"/>
        </w:rPr>
      </w:pPr>
      <w:r w:rsidRPr="7B1A1E71">
        <w:rPr>
          <w:rFonts w:ascii="Calibri" w:hAnsi="Calibri"/>
          <w:sz w:val="24"/>
          <w:szCs w:val="24"/>
        </w:rPr>
        <w:t xml:space="preserve">States that elect to opt in to the SMRF stream for a financial year will advise the Commonwealth by the end of February in the preceding financial year their election, designated amount and any approved projects </w:t>
      </w:r>
    </w:p>
    <w:p w14:paraId="1F09060F" w14:textId="544ED87A" w:rsidR="00271836" w:rsidRPr="00261C59" w:rsidRDefault="00271836" w:rsidP="00830547">
      <w:pPr>
        <w:numPr>
          <w:ilvl w:val="1"/>
          <w:numId w:val="54"/>
        </w:numPr>
        <w:spacing w:after="240" w:line="260" w:lineRule="exact"/>
        <w:jc w:val="left"/>
        <w:rPr>
          <w:rFonts w:ascii="Calibri" w:hAnsi="Calibri"/>
          <w:sz w:val="24"/>
          <w:szCs w:val="24"/>
        </w:rPr>
      </w:pPr>
      <w:r w:rsidRPr="7B1A1E71">
        <w:rPr>
          <w:rFonts w:ascii="Calibri" w:hAnsi="Calibri"/>
          <w:sz w:val="24"/>
          <w:szCs w:val="24"/>
        </w:rPr>
        <w:t>the Commonwealth will advise the Administrator a formal forecast of approved project amounts and payment schedules by the end of March in the preceding financial year, to inform the Administrator’s formal forecast of each State’s preliminary Commonwealth funding entitlement at clause A1</w:t>
      </w:r>
      <w:r w:rsidR="007278E3" w:rsidRPr="7B1A1E71">
        <w:rPr>
          <w:rFonts w:ascii="Calibri" w:hAnsi="Calibri"/>
          <w:sz w:val="24"/>
          <w:szCs w:val="24"/>
        </w:rPr>
        <w:t>14</w:t>
      </w:r>
      <w:r w:rsidRPr="7B1A1E71">
        <w:rPr>
          <w:rFonts w:ascii="Calibri" w:hAnsi="Calibri"/>
          <w:sz w:val="24"/>
          <w:szCs w:val="24"/>
        </w:rPr>
        <w:t>(b)</w:t>
      </w:r>
    </w:p>
    <w:p w14:paraId="383A3442" w14:textId="4D9D90F2" w:rsidR="00271836" w:rsidRPr="00261C59" w:rsidRDefault="00271836" w:rsidP="00830547">
      <w:pPr>
        <w:numPr>
          <w:ilvl w:val="1"/>
          <w:numId w:val="54"/>
        </w:numPr>
        <w:spacing w:after="240" w:line="260" w:lineRule="exact"/>
        <w:jc w:val="left"/>
        <w:rPr>
          <w:rFonts w:ascii="Calibri" w:hAnsi="Calibri"/>
          <w:sz w:val="24"/>
          <w:szCs w:val="24"/>
        </w:rPr>
      </w:pPr>
      <w:r w:rsidRPr="7B1A1E71">
        <w:rPr>
          <w:rFonts w:ascii="Calibri" w:hAnsi="Calibri"/>
          <w:sz w:val="24"/>
          <w:szCs w:val="24"/>
        </w:rPr>
        <w:t>in line with subclause A1</w:t>
      </w:r>
      <w:r w:rsidR="00561858" w:rsidRPr="7B1A1E71">
        <w:rPr>
          <w:rFonts w:ascii="Calibri" w:hAnsi="Calibri"/>
          <w:sz w:val="24"/>
          <w:szCs w:val="24"/>
        </w:rPr>
        <w:t>14</w:t>
      </w:r>
      <w:r w:rsidRPr="7B1A1E71">
        <w:rPr>
          <w:rFonts w:ascii="Calibri" w:hAnsi="Calibri"/>
          <w:sz w:val="24"/>
          <w:szCs w:val="24"/>
        </w:rPr>
        <w:t xml:space="preserve">(c) the Parties make payments into the National Health Funding Pool based on the Administrator’s calculation in line with agreed project parameters </w:t>
      </w:r>
    </w:p>
    <w:p w14:paraId="2BF39468" w14:textId="31493D9C" w:rsidR="00271836" w:rsidRPr="00261C59" w:rsidRDefault="00271836" w:rsidP="00830547">
      <w:pPr>
        <w:numPr>
          <w:ilvl w:val="2"/>
          <w:numId w:val="266"/>
        </w:numPr>
        <w:spacing w:after="240" w:line="260" w:lineRule="exact"/>
        <w:jc w:val="left"/>
        <w:rPr>
          <w:rFonts w:ascii="Calibri" w:hAnsi="Calibri"/>
          <w:sz w:val="24"/>
          <w:szCs w:val="24"/>
        </w:rPr>
      </w:pPr>
      <w:r w:rsidRPr="7B1A1E71">
        <w:rPr>
          <w:rFonts w:ascii="Calibri" w:hAnsi="Calibri"/>
          <w:sz w:val="24"/>
          <w:szCs w:val="24"/>
        </w:rPr>
        <w:t>payments by the Commonwealth will be made into the Pool in accordance with clause A</w:t>
      </w:r>
      <w:r w:rsidR="006E6708" w:rsidRPr="7B1A1E71">
        <w:rPr>
          <w:rFonts w:ascii="Calibri" w:hAnsi="Calibri"/>
          <w:sz w:val="24"/>
          <w:szCs w:val="24"/>
        </w:rPr>
        <w:t>157(c)</w:t>
      </w:r>
    </w:p>
    <w:p w14:paraId="3A9117BF" w14:textId="65CB4AEA" w:rsidR="00271836" w:rsidRPr="00261C59" w:rsidRDefault="00271836" w:rsidP="00830547">
      <w:pPr>
        <w:numPr>
          <w:ilvl w:val="2"/>
          <w:numId w:val="266"/>
        </w:numPr>
        <w:spacing w:after="240" w:line="260" w:lineRule="exact"/>
        <w:jc w:val="left"/>
        <w:rPr>
          <w:rFonts w:ascii="Calibri" w:hAnsi="Calibri"/>
          <w:sz w:val="24"/>
          <w:szCs w:val="24"/>
        </w:rPr>
      </w:pPr>
      <w:r w:rsidRPr="7B1A1E71">
        <w:rPr>
          <w:rFonts w:ascii="Calibri" w:hAnsi="Calibri"/>
          <w:sz w:val="24"/>
          <w:szCs w:val="24"/>
        </w:rPr>
        <w:t>payments by States will be made into the Pool in accordance with clause</w:t>
      </w:r>
      <w:r w:rsidR="00A761C5" w:rsidRPr="7B1A1E71">
        <w:rPr>
          <w:rFonts w:ascii="Calibri" w:hAnsi="Calibri"/>
          <w:sz w:val="24"/>
          <w:szCs w:val="24"/>
        </w:rPr>
        <w:t>s</w:t>
      </w:r>
      <w:r w:rsidRPr="7B1A1E71">
        <w:rPr>
          <w:rFonts w:ascii="Calibri" w:hAnsi="Calibri"/>
          <w:sz w:val="24"/>
          <w:szCs w:val="24"/>
        </w:rPr>
        <w:t xml:space="preserve"> A</w:t>
      </w:r>
      <w:r w:rsidR="008C2BB2" w:rsidRPr="7B1A1E71">
        <w:rPr>
          <w:rFonts w:ascii="Calibri" w:hAnsi="Calibri"/>
          <w:sz w:val="24"/>
          <w:szCs w:val="24"/>
        </w:rPr>
        <w:t xml:space="preserve">172 and </w:t>
      </w:r>
      <w:r w:rsidR="00EC4594" w:rsidRPr="7B1A1E71">
        <w:rPr>
          <w:rFonts w:ascii="Calibri" w:hAnsi="Calibri"/>
          <w:sz w:val="24"/>
          <w:szCs w:val="24"/>
        </w:rPr>
        <w:t>A</w:t>
      </w:r>
      <w:r w:rsidR="00DF201B" w:rsidRPr="7B1A1E71">
        <w:rPr>
          <w:rFonts w:ascii="Calibri" w:hAnsi="Calibri"/>
          <w:sz w:val="24"/>
          <w:szCs w:val="24"/>
        </w:rPr>
        <w:t>182</w:t>
      </w:r>
    </w:p>
    <w:p w14:paraId="6B48DC8A" w14:textId="1BA3AB1E" w:rsidR="00271836" w:rsidRPr="00261C59" w:rsidRDefault="00271836" w:rsidP="00830547">
      <w:pPr>
        <w:numPr>
          <w:ilvl w:val="1"/>
          <w:numId w:val="54"/>
        </w:numPr>
        <w:spacing w:after="240" w:line="260" w:lineRule="exact"/>
        <w:jc w:val="left"/>
        <w:rPr>
          <w:rFonts w:ascii="Calibri" w:hAnsi="Calibri"/>
          <w:sz w:val="24"/>
          <w:szCs w:val="24"/>
        </w:rPr>
      </w:pPr>
      <w:r w:rsidRPr="7B1A1E71">
        <w:rPr>
          <w:rFonts w:ascii="Calibri" w:hAnsi="Calibri"/>
          <w:sz w:val="24"/>
          <w:szCs w:val="24"/>
        </w:rPr>
        <w:t xml:space="preserve">the Administrator will make SMRF payments from the National Health Funding Pool to State Managed Funds based on the advice from the Commonwealth, at the discretion and direction of </w:t>
      </w:r>
      <w:r w:rsidR="0B831FB5" w:rsidRPr="7B1A1E71">
        <w:rPr>
          <w:rFonts w:ascii="Calibri" w:hAnsi="Calibri"/>
          <w:sz w:val="24"/>
          <w:szCs w:val="24"/>
        </w:rPr>
        <w:t>the relevant</w:t>
      </w:r>
      <w:r w:rsidRPr="7B1A1E71">
        <w:rPr>
          <w:rFonts w:ascii="Calibri" w:hAnsi="Calibri"/>
          <w:sz w:val="24"/>
          <w:szCs w:val="24"/>
        </w:rPr>
        <w:t xml:space="preserve"> State</w:t>
      </w:r>
    </w:p>
    <w:p w14:paraId="65419863" w14:textId="377BF485" w:rsidR="00271836" w:rsidRPr="00261C59" w:rsidRDefault="00271836" w:rsidP="00EE246C">
      <w:pPr>
        <w:keepLines/>
        <w:numPr>
          <w:ilvl w:val="1"/>
          <w:numId w:val="54"/>
        </w:numPr>
        <w:spacing w:after="240" w:line="260" w:lineRule="exact"/>
        <w:jc w:val="left"/>
        <w:rPr>
          <w:rFonts w:ascii="Calibri" w:hAnsi="Calibri"/>
          <w:sz w:val="24"/>
          <w:szCs w:val="24"/>
        </w:rPr>
      </w:pPr>
      <w:r w:rsidRPr="7B1A1E71">
        <w:rPr>
          <w:rFonts w:ascii="Calibri" w:hAnsi="Calibri"/>
          <w:sz w:val="24"/>
          <w:szCs w:val="24"/>
        </w:rPr>
        <w:t>adjustments may be made throughout the year if necessary, for example to reflect amendments to existing projects, or finalised reconciliation processes for prior years</w:t>
      </w:r>
    </w:p>
    <w:p w14:paraId="207FEA5B" w14:textId="2658948D" w:rsidR="00271836" w:rsidRPr="00261C59" w:rsidRDefault="00271836" w:rsidP="00830547">
      <w:pPr>
        <w:numPr>
          <w:ilvl w:val="1"/>
          <w:numId w:val="54"/>
        </w:numPr>
        <w:spacing w:after="240" w:line="260" w:lineRule="exact"/>
        <w:jc w:val="left"/>
        <w:rPr>
          <w:rFonts w:ascii="Calibri" w:hAnsi="Calibri"/>
          <w:sz w:val="24"/>
          <w:szCs w:val="24"/>
        </w:rPr>
      </w:pPr>
      <w:r w:rsidRPr="7B1A1E71">
        <w:rPr>
          <w:rFonts w:ascii="Calibri" w:hAnsi="Calibri"/>
          <w:sz w:val="24"/>
          <w:szCs w:val="24"/>
        </w:rPr>
        <w:lastRenderedPageBreak/>
        <w:t>following the end of the financial year, the reconciliation process undertaken by the Administrator will be based on advice from the Commonwealth (provided in line with SMRF operational procedures), including where relevant, SMRF amounts to be made available in future years as SMRF rollover</w:t>
      </w:r>
    </w:p>
    <w:p w14:paraId="664E571C" w14:textId="049BEDE4" w:rsidR="00271836" w:rsidRPr="00261C59" w:rsidRDefault="2B19A1D3" w:rsidP="00830547">
      <w:pPr>
        <w:numPr>
          <w:ilvl w:val="1"/>
          <w:numId w:val="54"/>
        </w:numPr>
        <w:spacing w:after="240" w:line="260" w:lineRule="exact"/>
        <w:jc w:val="left"/>
        <w:rPr>
          <w:rFonts w:ascii="Calibri" w:hAnsi="Calibri"/>
          <w:sz w:val="24"/>
          <w:szCs w:val="24"/>
        </w:rPr>
      </w:pPr>
      <w:r w:rsidRPr="7B1A1E71">
        <w:rPr>
          <w:rFonts w:ascii="Calibri" w:hAnsi="Calibri"/>
          <w:sz w:val="24"/>
          <w:szCs w:val="24"/>
        </w:rPr>
        <w:t>t</w:t>
      </w:r>
      <w:r w:rsidR="00271836" w:rsidRPr="7B1A1E71">
        <w:rPr>
          <w:rFonts w:ascii="Calibri" w:hAnsi="Calibri"/>
          <w:sz w:val="24"/>
          <w:szCs w:val="24"/>
        </w:rPr>
        <w:t xml:space="preserve">he Administrator provides advice to the Commonwealth Treasurer regarding States’ post-reconciliation entitlement amounts, including where relevant, SMRF amounts to be made available in future years as SMRF rollover </w:t>
      </w:r>
    </w:p>
    <w:p w14:paraId="6670B3E6" w14:textId="71FA5032" w:rsidR="00271836" w:rsidRPr="00261C59" w:rsidRDefault="010EAAA9" w:rsidP="00830547">
      <w:pPr>
        <w:numPr>
          <w:ilvl w:val="1"/>
          <w:numId w:val="54"/>
        </w:numPr>
        <w:spacing w:after="240" w:line="260" w:lineRule="exact"/>
        <w:jc w:val="left"/>
        <w:rPr>
          <w:rFonts w:ascii="Calibri" w:hAnsi="Calibri"/>
          <w:sz w:val="24"/>
          <w:szCs w:val="24"/>
        </w:rPr>
      </w:pPr>
      <w:r w:rsidRPr="7B1A1E71">
        <w:rPr>
          <w:rFonts w:ascii="Calibri" w:hAnsi="Calibri"/>
          <w:sz w:val="24"/>
          <w:szCs w:val="24"/>
        </w:rPr>
        <w:t>s</w:t>
      </w:r>
      <w:r w:rsidR="00D04079" w:rsidRPr="7B1A1E71">
        <w:rPr>
          <w:rFonts w:ascii="Calibri" w:hAnsi="Calibri"/>
          <w:sz w:val="24"/>
          <w:szCs w:val="24"/>
        </w:rPr>
        <w:t>ubc</w:t>
      </w:r>
      <w:r w:rsidR="00271836" w:rsidRPr="7B1A1E71">
        <w:rPr>
          <w:rFonts w:ascii="Calibri" w:hAnsi="Calibri"/>
          <w:sz w:val="24"/>
          <w:szCs w:val="24"/>
        </w:rPr>
        <w:t>lauses A1</w:t>
      </w:r>
      <w:r w:rsidR="00397D02" w:rsidRPr="7B1A1E71">
        <w:rPr>
          <w:rFonts w:ascii="Calibri" w:hAnsi="Calibri"/>
          <w:sz w:val="24"/>
          <w:szCs w:val="24"/>
        </w:rPr>
        <w:t>14</w:t>
      </w:r>
      <w:r w:rsidR="00271836" w:rsidRPr="7B1A1E71">
        <w:rPr>
          <w:rFonts w:ascii="Calibri" w:hAnsi="Calibri"/>
          <w:sz w:val="24"/>
          <w:szCs w:val="24"/>
        </w:rPr>
        <w:t>(h) and (i) regarding determination by the Treasurer of each State’s final entitlement amount and the Administrator making the relevant adjustments to future payments apply unchanged to the SMRF stream.</w:t>
      </w:r>
    </w:p>
    <w:p w14:paraId="0CB25985" w14:textId="77777777" w:rsidR="00271836" w:rsidRPr="00261C59" w:rsidRDefault="00271836" w:rsidP="00603F77">
      <w:pPr>
        <w:keepLines/>
        <w:numPr>
          <w:ilvl w:val="0"/>
          <w:numId w:val="54"/>
        </w:numPr>
        <w:spacing w:after="240" w:line="260" w:lineRule="exact"/>
        <w:jc w:val="left"/>
        <w:rPr>
          <w:rFonts w:ascii="Calibri" w:hAnsi="Calibri"/>
          <w:sz w:val="24"/>
        </w:rPr>
      </w:pPr>
      <w:r w:rsidRPr="00261C59">
        <w:rPr>
          <w:rFonts w:ascii="Calibri" w:hAnsi="Calibri"/>
          <w:sz w:val="24"/>
          <w:szCs w:val="24"/>
        </w:rPr>
        <w:t xml:space="preserve">In addition to relevant data as part of clause A133 as it relates to SMRF projects, States will provide acquittal data in line with reporting requirements set out in the SMRF operational procedures. </w:t>
      </w:r>
    </w:p>
    <w:p w14:paraId="31210A6D" w14:textId="77777777" w:rsidR="00271836" w:rsidRPr="00261C59" w:rsidRDefault="00271836" w:rsidP="00830547">
      <w:pPr>
        <w:numPr>
          <w:ilvl w:val="1"/>
          <w:numId w:val="54"/>
        </w:numPr>
        <w:spacing w:after="240" w:line="260" w:lineRule="exact"/>
        <w:jc w:val="left"/>
        <w:rPr>
          <w:rFonts w:ascii="Calibri" w:hAnsi="Calibri"/>
          <w:sz w:val="24"/>
        </w:rPr>
      </w:pPr>
      <w:r w:rsidRPr="00261C59">
        <w:rPr>
          <w:rFonts w:ascii="Calibri" w:hAnsi="Calibri"/>
          <w:sz w:val="24"/>
        </w:rPr>
        <w:t>Paid Commonwealth entitlement must be accounted for through the reporting process, including unallocated funds where a project may be subject to rescoping or other adjustments.</w:t>
      </w:r>
    </w:p>
    <w:p w14:paraId="5B99B988" w14:textId="77777777" w:rsidR="00271836" w:rsidRPr="00261C59" w:rsidRDefault="00271836" w:rsidP="00830547">
      <w:pPr>
        <w:numPr>
          <w:ilvl w:val="1"/>
          <w:numId w:val="54"/>
        </w:numPr>
        <w:spacing w:after="240" w:line="260" w:lineRule="exact"/>
        <w:jc w:val="left"/>
        <w:rPr>
          <w:rFonts w:ascii="Calibri" w:hAnsi="Calibri"/>
          <w:sz w:val="24"/>
        </w:rPr>
      </w:pPr>
      <w:r w:rsidRPr="00261C59">
        <w:rPr>
          <w:rFonts w:ascii="Calibri" w:hAnsi="Calibri"/>
          <w:sz w:val="24"/>
        </w:rPr>
        <w:t>SMRF amounts will be eligible for SMRF rollover as per clause A29.</w:t>
      </w:r>
    </w:p>
    <w:p w14:paraId="336F909E" w14:textId="77777777" w:rsidR="00271836" w:rsidRPr="00261C59" w:rsidRDefault="00271836" w:rsidP="00830547">
      <w:pPr>
        <w:numPr>
          <w:ilvl w:val="0"/>
          <w:numId w:val="54"/>
        </w:numPr>
        <w:spacing w:after="240" w:line="260" w:lineRule="exact"/>
        <w:jc w:val="left"/>
        <w:rPr>
          <w:rFonts w:ascii="Calibri" w:hAnsi="Calibri"/>
          <w:sz w:val="24"/>
          <w:szCs w:val="24"/>
        </w:rPr>
      </w:pPr>
      <w:r w:rsidRPr="00261C59">
        <w:rPr>
          <w:rFonts w:ascii="Calibri" w:hAnsi="Calibri"/>
          <w:sz w:val="24"/>
          <w:szCs w:val="24"/>
        </w:rPr>
        <w:t>Commencing in 2027-28 to support the reconciliation of Commonwealth contributions through the SMRF stream, the Commonwealth will provide a reconciliation report annually to the Administrator by 15 September including detail on:</w:t>
      </w:r>
    </w:p>
    <w:p w14:paraId="5A0BBAB0" w14:textId="0F66133D" w:rsidR="00271836" w:rsidRPr="00261C59" w:rsidRDefault="00271836" w:rsidP="00830547">
      <w:pPr>
        <w:numPr>
          <w:ilvl w:val="1"/>
          <w:numId w:val="54"/>
        </w:numPr>
        <w:spacing w:after="240" w:line="260" w:lineRule="exact"/>
        <w:jc w:val="left"/>
        <w:rPr>
          <w:rFonts w:ascii="Calibri" w:hAnsi="Calibri"/>
          <w:sz w:val="24"/>
          <w:szCs w:val="24"/>
        </w:rPr>
      </w:pPr>
      <w:r w:rsidRPr="7B1A1E71">
        <w:rPr>
          <w:rFonts w:ascii="Calibri" w:hAnsi="Calibri"/>
          <w:sz w:val="24"/>
          <w:szCs w:val="24"/>
        </w:rPr>
        <w:t>the amount of authorised expenditure for the SMRF stream, including both State and Commonwealth funding</w:t>
      </w:r>
      <w:r w:rsidR="70AF0DF5" w:rsidRPr="7B1A1E71">
        <w:rPr>
          <w:rFonts w:ascii="Calibri" w:hAnsi="Calibri"/>
          <w:sz w:val="24"/>
          <w:szCs w:val="24"/>
        </w:rPr>
        <w:t>,</w:t>
      </w:r>
      <w:r w:rsidRPr="7B1A1E71">
        <w:rPr>
          <w:rFonts w:ascii="Calibri" w:hAnsi="Calibri"/>
          <w:sz w:val="24"/>
          <w:szCs w:val="24"/>
        </w:rPr>
        <w:t xml:space="preserve"> used by each State in the relevant financial year </w:t>
      </w:r>
    </w:p>
    <w:p w14:paraId="0F05E21C" w14:textId="77777777" w:rsidR="00271836" w:rsidRPr="00261C59" w:rsidRDefault="00271836" w:rsidP="00385647">
      <w:pPr>
        <w:keepLines/>
        <w:numPr>
          <w:ilvl w:val="1"/>
          <w:numId w:val="54"/>
        </w:numPr>
        <w:spacing w:after="240" w:line="260" w:lineRule="exact"/>
        <w:jc w:val="left"/>
        <w:rPr>
          <w:rFonts w:ascii="Calibri" w:hAnsi="Calibri"/>
          <w:sz w:val="24"/>
          <w:szCs w:val="24"/>
        </w:rPr>
      </w:pPr>
      <w:r w:rsidRPr="00261C59">
        <w:rPr>
          <w:rFonts w:ascii="Calibri" w:hAnsi="Calibri"/>
          <w:sz w:val="24"/>
          <w:szCs w:val="24"/>
        </w:rPr>
        <w:t>any other relevant information on States’ implementation of approved projects, including provision of agreed data, and progress against agreed project deliverables set out in operational procedures documents.</w:t>
      </w:r>
    </w:p>
    <w:p w14:paraId="6FBFFC6C" w14:textId="77777777" w:rsidR="00271836" w:rsidRPr="00261C59" w:rsidRDefault="00271836" w:rsidP="00E84BBB">
      <w:pPr>
        <w:keepNext/>
        <w:jc w:val="left"/>
        <w:outlineLvl w:val="2"/>
        <w:rPr>
          <w:rFonts w:ascii="Corbel" w:hAnsi="Corbel"/>
          <w:color w:val="3D4B67"/>
          <w:sz w:val="28"/>
          <w:szCs w:val="48"/>
          <w:lang w:eastAsia="ja-JP"/>
        </w:rPr>
      </w:pPr>
      <w:bookmarkStart w:id="318" w:name="_Toc221087985"/>
      <w:r w:rsidRPr="00261C59">
        <w:rPr>
          <w:rFonts w:ascii="Corbel" w:hAnsi="Corbel"/>
          <w:color w:val="3D4B67"/>
          <w:sz w:val="28"/>
          <w:szCs w:val="48"/>
          <w:lang w:eastAsia="ja-JP"/>
        </w:rPr>
        <w:t>Funding pool arrangements</w:t>
      </w:r>
      <w:bookmarkEnd w:id="307"/>
      <w:bookmarkEnd w:id="310"/>
      <w:bookmarkEnd w:id="311"/>
      <w:bookmarkEnd w:id="312"/>
      <w:bookmarkEnd w:id="313"/>
      <w:bookmarkEnd w:id="314"/>
      <w:bookmarkEnd w:id="315"/>
      <w:bookmarkEnd w:id="316"/>
      <w:bookmarkEnd w:id="317"/>
      <w:bookmarkEnd w:id="318"/>
    </w:p>
    <w:p w14:paraId="3343BA8A" w14:textId="77777777" w:rsidR="00271836" w:rsidRPr="00261C59" w:rsidRDefault="00271836" w:rsidP="005460E8">
      <w:pPr>
        <w:keepNext/>
        <w:keepLines/>
        <w:spacing w:before="200"/>
        <w:jc w:val="left"/>
        <w:outlineLvl w:val="3"/>
        <w:rPr>
          <w:rFonts w:eastAsia="Yu Gothic Light"/>
          <w:b/>
          <w:bCs/>
          <w:iCs/>
        </w:rPr>
      </w:pPr>
      <w:bookmarkStart w:id="319" w:name="_Toc167133841"/>
      <w:r w:rsidRPr="00261C59">
        <w:rPr>
          <w:rFonts w:eastAsia="Yu Gothic Light"/>
          <w:b/>
          <w:bCs/>
          <w:iCs/>
        </w:rPr>
        <w:t>Funding Pool payments</w:t>
      </w:r>
      <w:bookmarkEnd w:id="319"/>
    </w:p>
    <w:p w14:paraId="48580AFC"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A single National Health Funding Pool will be maintained, comprising a Reserve Bank of Australia account for each State, for the purposes of receiving all Commonwealth and State public hospital and health services funding under this Addendum. </w:t>
      </w:r>
    </w:p>
    <w:p w14:paraId="74AA50FE" w14:textId="77777777" w:rsidR="00271836" w:rsidRPr="00261C59" w:rsidRDefault="00271836" w:rsidP="004728D9">
      <w:pPr>
        <w:numPr>
          <w:ilvl w:val="0"/>
          <w:numId w:val="54"/>
        </w:numPr>
        <w:spacing w:after="240" w:line="260" w:lineRule="exact"/>
        <w:jc w:val="left"/>
        <w:rPr>
          <w:rFonts w:ascii="Calibri" w:hAnsi="Calibri"/>
          <w:sz w:val="24"/>
        </w:rPr>
      </w:pPr>
      <w:r w:rsidRPr="00261C59">
        <w:rPr>
          <w:rFonts w:ascii="Calibri" w:hAnsi="Calibri"/>
          <w:sz w:val="24"/>
          <w:szCs w:val="24"/>
        </w:rPr>
        <w:t xml:space="preserve">The existence and operation of the Pool in relation to a particular State owes its authority to the enabling legislation passed by both the Commonwealth Parliament and the Parliament of that State. </w:t>
      </w:r>
    </w:p>
    <w:p w14:paraId="44F20C3F"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Pool accounts will be audited annually, have complete transparency in reporting to the responsible Minister and accounting, and will meet all other transparency requirements including those established by National Cabinet and relevant legislation. </w:t>
      </w:r>
    </w:p>
    <w:p w14:paraId="14CC9CFD" w14:textId="77777777" w:rsidR="00271836" w:rsidRPr="00261C59" w:rsidRDefault="00271836" w:rsidP="00BC5EC1">
      <w:pPr>
        <w:keepLines/>
        <w:pageBreakBefore/>
        <w:widowControl/>
        <w:numPr>
          <w:ilvl w:val="0"/>
          <w:numId w:val="54"/>
        </w:numPr>
        <w:spacing w:after="240" w:line="260" w:lineRule="exact"/>
        <w:jc w:val="left"/>
        <w:rPr>
          <w:rFonts w:ascii="Calibri" w:hAnsi="Calibri"/>
          <w:sz w:val="24"/>
          <w:szCs w:val="24"/>
        </w:rPr>
      </w:pPr>
      <w:r w:rsidRPr="00261C59">
        <w:rPr>
          <w:rFonts w:ascii="Calibri" w:hAnsi="Calibri"/>
          <w:sz w:val="24"/>
          <w:szCs w:val="24"/>
        </w:rPr>
        <w:lastRenderedPageBreak/>
        <w:t xml:space="preserve">There will be complete transparency and line-of-sight of respective contributions into and out of Pool accounts to LHNs, discrete State Managed Funds, or to State health departments in relation to Public Health Funding, and of the basis on which the contributions are calculated. There will also be complete transparency and line-of-sight of respective contributions out of State Managed Funds to LHNs. </w:t>
      </w:r>
    </w:p>
    <w:p w14:paraId="08AF500F" w14:textId="21CCA315"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Additional streams of funding may be incorporated into the National Health Funding Pool, with the aim of optimising transparency and efficiency of all public hospital and health service funding flows under this Addendum.</w:t>
      </w:r>
    </w:p>
    <w:p w14:paraId="489F0120" w14:textId="77777777" w:rsidR="00271836" w:rsidRPr="00261C59" w:rsidRDefault="00271836" w:rsidP="004728D9">
      <w:pPr>
        <w:widowControl/>
        <w:numPr>
          <w:ilvl w:val="0"/>
          <w:numId w:val="54"/>
        </w:numPr>
        <w:spacing w:after="240" w:line="260" w:lineRule="exact"/>
        <w:jc w:val="left"/>
        <w:rPr>
          <w:rFonts w:ascii="Calibri" w:hAnsi="Calibri"/>
          <w:sz w:val="24"/>
          <w:szCs w:val="24"/>
        </w:rPr>
      </w:pPr>
      <w:r w:rsidRPr="00261C59">
        <w:rPr>
          <w:rFonts w:ascii="Calibri" w:hAnsi="Calibri"/>
          <w:sz w:val="24"/>
          <w:szCs w:val="24"/>
        </w:rPr>
        <w:t>Commonwealth payments into the Pool will be made monthly, calculated as 1/12th of the estimated annual payment and then adjusted as required to account for reconciliation and other payments. Commonwealth payments will be made into the Pool in accordance with Schedule D of the Intergovernmental Agreement on Federal Financial Relations.</w:t>
      </w:r>
    </w:p>
    <w:p w14:paraId="16FB12E0"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States will determine when State payments are made into the Pool.</w:t>
      </w:r>
    </w:p>
    <w:p w14:paraId="390FE495" w14:textId="77777777" w:rsidR="00271836" w:rsidRPr="00261C59" w:rsidRDefault="00271836" w:rsidP="005460E8">
      <w:pPr>
        <w:keepNext/>
        <w:keepLines/>
        <w:spacing w:before="200"/>
        <w:jc w:val="left"/>
        <w:outlineLvl w:val="3"/>
        <w:rPr>
          <w:rFonts w:eastAsia="Yu Gothic Light"/>
          <w:b/>
          <w:bCs/>
          <w:iCs/>
        </w:rPr>
      </w:pPr>
      <w:bookmarkStart w:id="320" w:name="_Toc531357143"/>
      <w:bookmarkStart w:id="321" w:name="_Toc165886252"/>
      <w:bookmarkStart w:id="322" w:name="_Toc167133842"/>
      <w:r w:rsidRPr="00261C59">
        <w:rPr>
          <w:rFonts w:eastAsia="Yu Gothic Light"/>
          <w:b/>
          <w:bCs/>
          <w:iCs/>
        </w:rPr>
        <w:t>Payments from the National Health Funding Pool and State Managed Funds</w:t>
      </w:r>
      <w:bookmarkEnd w:id="320"/>
      <w:bookmarkEnd w:id="321"/>
      <w:bookmarkEnd w:id="322"/>
    </w:p>
    <w:p w14:paraId="31C0ED5D" w14:textId="0BB28CF0"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Payments will be made from the Pool accounts to LHNs and State Managed Funds in accordance with Service Agreements (or signed service volume statements as set out in </w:t>
      </w:r>
      <w:r w:rsidR="00611FD7" w:rsidRPr="00261C59">
        <w:rPr>
          <w:rFonts w:ascii="Calibri" w:hAnsi="Calibri"/>
          <w:sz w:val="24"/>
          <w:szCs w:val="24"/>
        </w:rPr>
        <w:t xml:space="preserve">clause </w:t>
      </w:r>
      <w:r w:rsidRPr="00261C59">
        <w:rPr>
          <w:rFonts w:ascii="Calibri" w:hAnsi="Calibri"/>
          <w:sz w:val="24"/>
          <w:szCs w:val="24"/>
        </w:rPr>
        <w:t>A1</w:t>
      </w:r>
      <w:r w:rsidR="002E1343" w:rsidRPr="00261C59">
        <w:rPr>
          <w:rFonts w:ascii="Calibri" w:hAnsi="Calibri"/>
          <w:sz w:val="24"/>
          <w:szCs w:val="24"/>
        </w:rPr>
        <w:t>22</w:t>
      </w:r>
      <w:r w:rsidRPr="00261C59">
        <w:rPr>
          <w:rFonts w:ascii="Calibri" w:hAnsi="Calibri"/>
          <w:sz w:val="24"/>
          <w:szCs w:val="24"/>
        </w:rPr>
        <w:t>).</w:t>
      </w:r>
    </w:p>
    <w:p w14:paraId="515EDC54"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Payments may be made from the Pool accounts directly to other parties on behalf of LHNs for the provision of shared services, as detailed in a Service Agreement between a LHN and a State. Any reference to payments made to LHNs in this Addendum includes payments made to other parties for providing shared services.</w:t>
      </w:r>
    </w:p>
    <w:p w14:paraId="3F3770A9" w14:textId="77777777" w:rsidR="00271836" w:rsidRPr="00261C59" w:rsidRDefault="00271836" w:rsidP="004728D9">
      <w:pPr>
        <w:keepNext/>
        <w:widowControl/>
        <w:numPr>
          <w:ilvl w:val="0"/>
          <w:numId w:val="54"/>
        </w:numPr>
        <w:spacing w:after="240" w:line="260" w:lineRule="exact"/>
        <w:jc w:val="left"/>
        <w:rPr>
          <w:rFonts w:ascii="Calibri" w:hAnsi="Calibri"/>
          <w:sz w:val="24"/>
          <w:szCs w:val="24"/>
        </w:rPr>
      </w:pPr>
      <w:r w:rsidRPr="00261C59">
        <w:rPr>
          <w:rFonts w:ascii="Calibri" w:hAnsi="Calibri"/>
          <w:sz w:val="24"/>
          <w:szCs w:val="24"/>
        </w:rPr>
        <w:t>The payment arrangements for Commonwealth funding are as follows:</w:t>
      </w:r>
    </w:p>
    <w:p w14:paraId="4CE9DDAF" w14:textId="74E66983" w:rsidR="00271836" w:rsidRPr="00261C59" w:rsidRDefault="00271836" w:rsidP="004728D9">
      <w:pPr>
        <w:numPr>
          <w:ilvl w:val="1"/>
          <w:numId w:val="65"/>
        </w:numPr>
        <w:spacing w:after="240" w:line="260" w:lineRule="exact"/>
        <w:jc w:val="left"/>
        <w:rPr>
          <w:rFonts w:ascii="Calibri" w:hAnsi="Calibri"/>
          <w:sz w:val="24"/>
          <w:szCs w:val="24"/>
        </w:rPr>
      </w:pPr>
      <w:r w:rsidRPr="7B1A1E71">
        <w:rPr>
          <w:rFonts w:ascii="Calibri" w:hAnsi="Calibri"/>
          <w:sz w:val="24"/>
          <w:szCs w:val="24"/>
        </w:rPr>
        <w:t>ABF will flow directly to LHNs through Pool accounts</w:t>
      </w:r>
    </w:p>
    <w:p w14:paraId="42EA57B1" w14:textId="5BC8AA35" w:rsidR="00271836" w:rsidRPr="00261C59" w:rsidRDefault="00271836" w:rsidP="004728D9">
      <w:pPr>
        <w:numPr>
          <w:ilvl w:val="1"/>
          <w:numId w:val="65"/>
        </w:numPr>
        <w:spacing w:after="240" w:line="260" w:lineRule="exact"/>
        <w:jc w:val="left"/>
        <w:rPr>
          <w:rFonts w:ascii="Calibri" w:hAnsi="Calibri"/>
          <w:sz w:val="24"/>
          <w:szCs w:val="24"/>
        </w:rPr>
      </w:pPr>
      <w:r w:rsidRPr="7B1A1E71">
        <w:rPr>
          <w:rFonts w:ascii="Calibri" w:hAnsi="Calibri"/>
          <w:sz w:val="24"/>
          <w:szCs w:val="24"/>
        </w:rPr>
        <w:t>Block Funding will flow through Pool accounts to State Managed Funds and from there to LHNs</w:t>
      </w:r>
    </w:p>
    <w:p w14:paraId="33330854" w14:textId="3C071250" w:rsidR="00271836" w:rsidRPr="00261C59" w:rsidRDefault="00271836" w:rsidP="00830547">
      <w:pPr>
        <w:numPr>
          <w:ilvl w:val="1"/>
          <w:numId w:val="65"/>
        </w:numPr>
        <w:spacing w:after="240" w:line="260" w:lineRule="exact"/>
        <w:jc w:val="left"/>
        <w:rPr>
          <w:rFonts w:ascii="Calibri" w:hAnsi="Calibri"/>
          <w:sz w:val="24"/>
          <w:szCs w:val="24"/>
        </w:rPr>
      </w:pPr>
      <w:r w:rsidRPr="7B1A1E71">
        <w:rPr>
          <w:rFonts w:ascii="Calibri" w:hAnsi="Calibri"/>
          <w:sz w:val="24"/>
          <w:szCs w:val="24"/>
        </w:rPr>
        <w:t>Service Model Reform Funding will flow through Pool accounts to State Managed Funds and from there to LHNs or relevant entities depending upon the specific funding arrangements for each project</w:t>
      </w:r>
    </w:p>
    <w:p w14:paraId="47D34EFD" w14:textId="7D6F8068" w:rsidR="00271836" w:rsidRPr="00261C59" w:rsidRDefault="00271836" w:rsidP="004728D9">
      <w:pPr>
        <w:numPr>
          <w:ilvl w:val="1"/>
          <w:numId w:val="65"/>
        </w:numPr>
        <w:spacing w:after="240" w:line="260" w:lineRule="exact"/>
        <w:jc w:val="left"/>
        <w:rPr>
          <w:rFonts w:ascii="Calibri" w:hAnsi="Calibri"/>
          <w:sz w:val="24"/>
          <w:szCs w:val="24"/>
        </w:rPr>
      </w:pPr>
      <w:r w:rsidRPr="7B1A1E71">
        <w:rPr>
          <w:rFonts w:ascii="Calibri" w:hAnsi="Calibri"/>
          <w:sz w:val="24"/>
          <w:szCs w:val="24"/>
        </w:rPr>
        <w:t>funding for teaching, training and research will flow through Pool accounts to State Managed Funds and from there to LHNs or other organisations (such as universities and training providers) depending upon the specific funding arrangements established in each State for the provision of those services</w:t>
      </w:r>
    </w:p>
    <w:p w14:paraId="108A1CE6" w14:textId="77777777" w:rsidR="00271836" w:rsidRPr="00261C59" w:rsidRDefault="00271836" w:rsidP="004728D9">
      <w:pPr>
        <w:numPr>
          <w:ilvl w:val="1"/>
          <w:numId w:val="65"/>
        </w:numPr>
        <w:spacing w:after="240" w:line="260" w:lineRule="exact"/>
        <w:jc w:val="left"/>
        <w:rPr>
          <w:rFonts w:ascii="Calibri" w:hAnsi="Calibri"/>
          <w:sz w:val="24"/>
          <w:szCs w:val="24"/>
        </w:rPr>
      </w:pPr>
      <w:r w:rsidRPr="00261C59">
        <w:rPr>
          <w:rFonts w:ascii="Calibri" w:hAnsi="Calibri"/>
          <w:sz w:val="24"/>
          <w:szCs w:val="24"/>
        </w:rPr>
        <w:t>Public Health Funding will flow through Pool accounts to State health departments.</w:t>
      </w:r>
    </w:p>
    <w:p w14:paraId="3965C5D3" w14:textId="77777777" w:rsidR="00271836" w:rsidRPr="00261C59" w:rsidRDefault="00271836" w:rsidP="005460E8">
      <w:pPr>
        <w:keepNext/>
        <w:keepLines/>
        <w:spacing w:before="200"/>
        <w:jc w:val="left"/>
        <w:outlineLvl w:val="3"/>
        <w:rPr>
          <w:rFonts w:eastAsia="Yu Gothic Light"/>
          <w:b/>
          <w:bCs/>
          <w:iCs/>
        </w:rPr>
      </w:pPr>
      <w:bookmarkStart w:id="323" w:name="_Toc531357145"/>
      <w:bookmarkStart w:id="324" w:name="_Toc165886254"/>
      <w:bookmarkStart w:id="325" w:name="_Toc167133844"/>
      <w:r w:rsidRPr="00261C59">
        <w:rPr>
          <w:rFonts w:eastAsia="Yu Gothic Light"/>
          <w:b/>
          <w:bCs/>
          <w:iCs/>
        </w:rPr>
        <w:t>Reporting by the Administrator</w:t>
      </w:r>
      <w:bookmarkEnd w:id="323"/>
      <w:bookmarkEnd w:id="324"/>
      <w:bookmarkEnd w:id="325"/>
      <w:r w:rsidRPr="00261C59">
        <w:rPr>
          <w:rFonts w:eastAsia="Yu Gothic Light"/>
          <w:b/>
          <w:bCs/>
          <w:iCs/>
        </w:rPr>
        <w:t xml:space="preserve"> </w:t>
      </w:r>
    </w:p>
    <w:p w14:paraId="1063127C" w14:textId="77777777" w:rsidR="00271836" w:rsidRPr="00261C59" w:rsidRDefault="00271836" w:rsidP="004728D9">
      <w:pPr>
        <w:numPr>
          <w:ilvl w:val="0"/>
          <w:numId w:val="54"/>
        </w:numPr>
        <w:spacing w:after="240" w:line="260" w:lineRule="exact"/>
        <w:jc w:val="left"/>
        <w:rPr>
          <w:rFonts w:ascii="Calibri" w:hAnsi="Calibri"/>
          <w:sz w:val="24"/>
        </w:rPr>
      </w:pPr>
      <w:r w:rsidRPr="00261C59">
        <w:rPr>
          <w:rFonts w:ascii="Calibri" w:hAnsi="Calibri"/>
          <w:sz w:val="24"/>
          <w:szCs w:val="24"/>
        </w:rPr>
        <w:t>The Administrator will provide a monthly report to the Commonwealth and States detailing the following at the LHN level:</w:t>
      </w:r>
    </w:p>
    <w:p w14:paraId="43C8E8ED" w14:textId="4BC4C08B" w:rsidR="00271836" w:rsidRPr="00261C59" w:rsidRDefault="00271836" w:rsidP="004728D9">
      <w:pPr>
        <w:numPr>
          <w:ilvl w:val="1"/>
          <w:numId w:val="66"/>
        </w:numPr>
        <w:spacing w:after="240" w:line="260" w:lineRule="exact"/>
        <w:jc w:val="left"/>
        <w:rPr>
          <w:rFonts w:ascii="Calibri" w:hAnsi="Calibri"/>
          <w:sz w:val="24"/>
          <w:szCs w:val="24"/>
        </w:rPr>
      </w:pPr>
      <w:r w:rsidRPr="7B1A1E71">
        <w:rPr>
          <w:rFonts w:ascii="Calibri" w:hAnsi="Calibri"/>
          <w:sz w:val="24"/>
          <w:szCs w:val="24"/>
        </w:rPr>
        <w:t>the amount and the basis for the amount of Commonwealth funding flowing into Pool accounts</w:t>
      </w:r>
    </w:p>
    <w:p w14:paraId="0D9CA9B0" w14:textId="77F32D22" w:rsidR="00271836" w:rsidRPr="00261C59" w:rsidRDefault="00271836" w:rsidP="004728D9">
      <w:pPr>
        <w:numPr>
          <w:ilvl w:val="1"/>
          <w:numId w:val="66"/>
        </w:numPr>
        <w:spacing w:after="240" w:line="260" w:lineRule="exact"/>
        <w:jc w:val="left"/>
        <w:rPr>
          <w:rFonts w:ascii="Calibri" w:hAnsi="Calibri"/>
          <w:sz w:val="24"/>
          <w:szCs w:val="24"/>
        </w:rPr>
      </w:pPr>
      <w:r w:rsidRPr="7B1A1E71">
        <w:rPr>
          <w:rFonts w:ascii="Calibri" w:hAnsi="Calibri"/>
          <w:sz w:val="24"/>
          <w:szCs w:val="24"/>
        </w:rPr>
        <w:t>the amount and the basis for the amount of State funding flowing into Pool accounts</w:t>
      </w:r>
    </w:p>
    <w:p w14:paraId="4E267364" w14:textId="76D384A3" w:rsidR="00271836" w:rsidRPr="00261C59" w:rsidRDefault="00271836" w:rsidP="7B1A1E71">
      <w:pPr>
        <w:numPr>
          <w:ilvl w:val="1"/>
          <w:numId w:val="66"/>
        </w:numPr>
        <w:spacing w:after="240" w:line="260" w:lineRule="exact"/>
        <w:jc w:val="left"/>
        <w:rPr>
          <w:rFonts w:ascii="Calibri" w:hAnsi="Calibri"/>
          <w:sz w:val="24"/>
          <w:szCs w:val="24"/>
        </w:rPr>
      </w:pPr>
      <w:r w:rsidRPr="7B1A1E71">
        <w:rPr>
          <w:rFonts w:ascii="Calibri" w:hAnsi="Calibri"/>
          <w:sz w:val="24"/>
          <w:szCs w:val="24"/>
        </w:rPr>
        <w:lastRenderedPageBreak/>
        <w:t>number of public hospital and health services funded, in accordance with the national system of ABF</w:t>
      </w:r>
    </w:p>
    <w:p w14:paraId="3425B4D8" w14:textId="6917380A" w:rsidR="00271836" w:rsidRPr="00261C59" w:rsidRDefault="00271836" w:rsidP="7B1A1E71">
      <w:pPr>
        <w:numPr>
          <w:ilvl w:val="1"/>
          <w:numId w:val="66"/>
        </w:numPr>
        <w:spacing w:after="240" w:line="260" w:lineRule="exact"/>
        <w:jc w:val="left"/>
        <w:rPr>
          <w:rFonts w:ascii="Calibri" w:hAnsi="Calibri"/>
          <w:i/>
          <w:iCs/>
          <w:sz w:val="24"/>
          <w:szCs w:val="24"/>
        </w:rPr>
      </w:pPr>
      <w:r w:rsidRPr="7B1A1E71">
        <w:rPr>
          <w:rFonts w:ascii="Calibri" w:hAnsi="Calibri"/>
          <w:sz w:val="24"/>
          <w:szCs w:val="24"/>
        </w:rPr>
        <w:t>the delivery of other public hospital and health service functions funded through the National Health Funding Pool and State Managed Funds as a running yearly total including Block Funding and Service Model Reform Funding.</w:t>
      </w:r>
    </w:p>
    <w:p w14:paraId="2597A36E"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same transparency arrangements that apply to the National Health Funding Pool will also apply to the State Managed Funds. States will provide data to the Administrator in accordance with the timeframe and format specified in the Administrator’s data plan on the:</w:t>
      </w:r>
    </w:p>
    <w:p w14:paraId="45656816" w14:textId="43353540" w:rsidR="00271836" w:rsidRPr="00261C59" w:rsidRDefault="00271836" w:rsidP="001C629E">
      <w:pPr>
        <w:numPr>
          <w:ilvl w:val="1"/>
          <w:numId w:val="25"/>
        </w:numPr>
        <w:spacing w:after="240" w:line="260" w:lineRule="exact"/>
        <w:jc w:val="left"/>
        <w:rPr>
          <w:rFonts w:ascii="Calibri" w:hAnsi="Calibri"/>
          <w:sz w:val="24"/>
          <w:szCs w:val="24"/>
        </w:rPr>
      </w:pPr>
      <w:r w:rsidRPr="7B1A1E71">
        <w:rPr>
          <w:rFonts w:ascii="Calibri" w:hAnsi="Calibri"/>
          <w:sz w:val="24"/>
          <w:szCs w:val="24"/>
        </w:rPr>
        <w:t>flow of Commonwealth and State funds into and out of State Managed Funds</w:t>
      </w:r>
    </w:p>
    <w:p w14:paraId="5E56E583" w14:textId="77777777" w:rsidR="00271836" w:rsidRPr="00261C59" w:rsidRDefault="00271836" w:rsidP="001C629E">
      <w:pPr>
        <w:numPr>
          <w:ilvl w:val="1"/>
          <w:numId w:val="25"/>
        </w:numPr>
        <w:spacing w:after="240" w:line="260" w:lineRule="exact"/>
        <w:jc w:val="left"/>
        <w:rPr>
          <w:rFonts w:ascii="Calibri" w:hAnsi="Calibri"/>
          <w:sz w:val="24"/>
          <w:szCs w:val="24"/>
        </w:rPr>
      </w:pPr>
      <w:r w:rsidRPr="00261C59">
        <w:rPr>
          <w:rFonts w:ascii="Calibri" w:hAnsi="Calibri"/>
          <w:sz w:val="24"/>
          <w:szCs w:val="24"/>
        </w:rPr>
        <w:t xml:space="preserve">provision of public hospital and health services by </w:t>
      </w:r>
      <w:r w:rsidRPr="00261C59">
        <w:rPr>
          <w:rFonts w:ascii="Calibri" w:hAnsi="Calibri"/>
          <w:sz w:val="24"/>
        </w:rPr>
        <w:t>LHNs</w:t>
      </w:r>
      <w:r w:rsidRPr="00261C59">
        <w:rPr>
          <w:rFonts w:ascii="Calibri" w:hAnsi="Calibri"/>
          <w:sz w:val="24"/>
          <w:szCs w:val="24"/>
        </w:rPr>
        <w:t>.</w:t>
      </w:r>
    </w:p>
    <w:p w14:paraId="46AFC468" w14:textId="77777777" w:rsidR="00271836" w:rsidRPr="00261C59" w:rsidRDefault="00271836" w:rsidP="004728D9">
      <w:pPr>
        <w:widowControl/>
        <w:numPr>
          <w:ilvl w:val="0"/>
          <w:numId w:val="54"/>
        </w:numPr>
        <w:spacing w:after="240" w:line="260" w:lineRule="exact"/>
        <w:jc w:val="left"/>
        <w:rPr>
          <w:rFonts w:ascii="Calibri" w:hAnsi="Calibri"/>
          <w:sz w:val="24"/>
          <w:szCs w:val="24"/>
        </w:rPr>
      </w:pPr>
      <w:r w:rsidRPr="00261C59">
        <w:rPr>
          <w:rFonts w:ascii="Calibri" w:hAnsi="Calibri"/>
          <w:sz w:val="24"/>
          <w:szCs w:val="24"/>
        </w:rPr>
        <w:t>All reports produced by the Administrator will be publicly available and will be structured to avoid duplication and overlap with the reporting undertaken by other bodies detailed in this Addendum.</w:t>
      </w:r>
    </w:p>
    <w:p w14:paraId="600EA03F"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Auditor General will conduct a financial audit of the National Health Funding Pools at least annually, at the completion of each financial year. The Auditor General may conduct performance audits of the operation of the National Health Funding Pools and the payment arrangements at any time.</w:t>
      </w:r>
    </w:p>
    <w:p w14:paraId="2C268241" w14:textId="6603C8CF" w:rsidR="00271836" w:rsidRPr="00261C59" w:rsidRDefault="00271836" w:rsidP="004728D9">
      <w:pPr>
        <w:keepNext/>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Further to clause </w:t>
      </w:r>
      <w:r w:rsidR="00AD7B8C">
        <w:rPr>
          <w:rFonts w:ascii="Calibri" w:hAnsi="Calibri"/>
          <w:sz w:val="24"/>
        </w:rPr>
        <w:t>I</w:t>
      </w:r>
      <w:r w:rsidRPr="00261C59">
        <w:rPr>
          <w:rFonts w:ascii="Calibri" w:hAnsi="Calibri"/>
          <w:sz w:val="24"/>
        </w:rPr>
        <w:t>8</w:t>
      </w:r>
      <w:r w:rsidR="00323986" w:rsidRPr="00261C59">
        <w:rPr>
          <w:rFonts w:ascii="Calibri" w:hAnsi="Calibri"/>
          <w:sz w:val="24"/>
        </w:rPr>
        <w:t>4</w:t>
      </w:r>
      <w:r w:rsidRPr="00261C59">
        <w:rPr>
          <w:rFonts w:ascii="Calibri" w:hAnsi="Calibri"/>
          <w:sz w:val="24"/>
          <w:szCs w:val="24"/>
        </w:rPr>
        <w:t>, in publishing information on compliance with data requirements, the Administrator will publish additional information including:</w:t>
      </w:r>
    </w:p>
    <w:p w14:paraId="5C5FCAA2" w14:textId="16E576BF" w:rsidR="00271836" w:rsidRPr="00261C59" w:rsidRDefault="00271836" w:rsidP="004728D9">
      <w:pPr>
        <w:numPr>
          <w:ilvl w:val="1"/>
          <w:numId w:val="67"/>
        </w:numPr>
        <w:spacing w:after="240" w:line="260" w:lineRule="exact"/>
        <w:jc w:val="left"/>
        <w:rPr>
          <w:rFonts w:ascii="Calibri" w:hAnsi="Calibri"/>
          <w:sz w:val="24"/>
          <w:szCs w:val="24"/>
        </w:rPr>
      </w:pPr>
      <w:r w:rsidRPr="7B1A1E71">
        <w:rPr>
          <w:rFonts w:ascii="Calibri" w:hAnsi="Calibri"/>
          <w:sz w:val="24"/>
          <w:szCs w:val="24"/>
        </w:rPr>
        <w:t>dates on which each State provided data under clauses A</w:t>
      </w:r>
      <w:r w:rsidR="00220542" w:rsidRPr="7B1A1E71">
        <w:rPr>
          <w:rFonts w:ascii="Calibri" w:hAnsi="Calibri"/>
          <w:sz w:val="24"/>
          <w:szCs w:val="24"/>
        </w:rPr>
        <w:t>134</w:t>
      </w:r>
      <w:r w:rsidRPr="7B1A1E71">
        <w:rPr>
          <w:rFonts w:ascii="Calibri" w:hAnsi="Calibri"/>
          <w:sz w:val="24"/>
          <w:szCs w:val="24"/>
        </w:rPr>
        <w:t xml:space="preserve">, </w:t>
      </w:r>
      <w:r w:rsidR="00312C81" w:rsidRPr="7B1A1E71">
        <w:rPr>
          <w:rFonts w:ascii="Calibri" w:hAnsi="Calibri"/>
          <w:sz w:val="24"/>
          <w:szCs w:val="24"/>
        </w:rPr>
        <w:t xml:space="preserve">A179 </w:t>
      </w:r>
      <w:r w:rsidRPr="7B1A1E71">
        <w:rPr>
          <w:rFonts w:ascii="Calibri" w:hAnsi="Calibri"/>
          <w:sz w:val="24"/>
          <w:szCs w:val="24"/>
        </w:rPr>
        <w:t>and A1</w:t>
      </w:r>
      <w:r w:rsidR="00312C81" w:rsidRPr="7B1A1E71">
        <w:rPr>
          <w:rFonts w:ascii="Calibri" w:hAnsi="Calibri"/>
          <w:sz w:val="24"/>
          <w:szCs w:val="24"/>
        </w:rPr>
        <w:t>80</w:t>
      </w:r>
    </w:p>
    <w:p w14:paraId="61ED8C94" w14:textId="43C11AAE" w:rsidR="00271836" w:rsidRPr="00261C59" w:rsidRDefault="00271836" w:rsidP="004728D9">
      <w:pPr>
        <w:numPr>
          <w:ilvl w:val="1"/>
          <w:numId w:val="67"/>
        </w:numPr>
        <w:spacing w:after="240" w:line="260" w:lineRule="exact"/>
        <w:jc w:val="left"/>
        <w:rPr>
          <w:rFonts w:ascii="Calibri" w:hAnsi="Calibri"/>
          <w:sz w:val="24"/>
          <w:szCs w:val="24"/>
        </w:rPr>
      </w:pPr>
      <w:r w:rsidRPr="7B1A1E71">
        <w:rPr>
          <w:rFonts w:ascii="Calibri" w:hAnsi="Calibri"/>
          <w:sz w:val="24"/>
          <w:szCs w:val="24"/>
        </w:rPr>
        <w:t>dates on which resubmissions of data were provided, if approved and required</w:t>
      </w:r>
    </w:p>
    <w:p w14:paraId="713700E6" w14:textId="77777777" w:rsidR="00271836" w:rsidRPr="00261C59" w:rsidRDefault="00271836" w:rsidP="004728D9">
      <w:pPr>
        <w:numPr>
          <w:ilvl w:val="1"/>
          <w:numId w:val="67"/>
        </w:numPr>
        <w:spacing w:after="240" w:line="260" w:lineRule="exact"/>
        <w:jc w:val="left"/>
        <w:rPr>
          <w:rFonts w:ascii="Calibri" w:hAnsi="Calibri"/>
          <w:sz w:val="24"/>
        </w:rPr>
      </w:pPr>
      <w:r w:rsidRPr="00261C59">
        <w:rPr>
          <w:rFonts w:ascii="Calibri" w:hAnsi="Calibri"/>
          <w:sz w:val="24"/>
          <w:szCs w:val="24"/>
        </w:rPr>
        <w:t>dates on which reconciliation was completed.</w:t>
      </w:r>
    </w:p>
    <w:p w14:paraId="662A7069"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Administrator will ensure that determinations, and final activity and entitlements at the LHN level, are publicly available for all years the Addendum is in operation.</w:t>
      </w:r>
    </w:p>
    <w:p w14:paraId="05276BE7" w14:textId="77777777" w:rsidR="00271836" w:rsidRPr="00261C59" w:rsidRDefault="00271836" w:rsidP="005460E8">
      <w:pPr>
        <w:pStyle w:val="Heading2"/>
        <w:widowControl/>
        <w:adjustRightInd/>
        <w:spacing w:before="180" w:after="120"/>
        <w:jc w:val="left"/>
        <w:textAlignment w:val="auto"/>
        <w:rPr>
          <w:rFonts w:ascii="Corbel" w:hAnsi="Corbel" w:cs="Arial"/>
          <w:b w:val="0"/>
          <w:bCs w:val="0"/>
          <w:iCs/>
          <w:color w:val="3D4B67"/>
          <w:sz w:val="28"/>
          <w:szCs w:val="28"/>
        </w:rPr>
      </w:pPr>
      <w:bookmarkStart w:id="326" w:name="_Toc168579021"/>
      <w:bookmarkStart w:id="327" w:name="_Toc171350372"/>
      <w:bookmarkStart w:id="328" w:name="_Toc172210253"/>
      <w:bookmarkStart w:id="329" w:name="_Toc172787703"/>
      <w:bookmarkStart w:id="330" w:name="_Toc173937719"/>
      <w:bookmarkStart w:id="331" w:name="_Toc183183316"/>
      <w:bookmarkStart w:id="332" w:name="_Toc201673974"/>
      <w:bookmarkStart w:id="333" w:name="_Toc210833607"/>
      <w:bookmarkStart w:id="334" w:name="_Toc214456507"/>
      <w:bookmarkStart w:id="335" w:name="_Toc221087986"/>
      <w:r w:rsidRPr="00261C59">
        <w:rPr>
          <w:rFonts w:ascii="Corbel" w:eastAsia="Times New Roman" w:hAnsi="Corbel" w:cs="Arial"/>
          <w:color w:val="3D4B67"/>
          <w:sz w:val="28"/>
          <w:szCs w:val="28"/>
        </w:rPr>
        <w:t>Part 5 – State and Territory arrangements</w:t>
      </w:r>
      <w:bookmarkEnd w:id="326"/>
      <w:bookmarkEnd w:id="327"/>
      <w:bookmarkEnd w:id="328"/>
      <w:bookmarkEnd w:id="329"/>
      <w:bookmarkEnd w:id="330"/>
      <w:bookmarkEnd w:id="331"/>
      <w:bookmarkEnd w:id="332"/>
      <w:bookmarkEnd w:id="333"/>
      <w:bookmarkEnd w:id="334"/>
      <w:bookmarkEnd w:id="335"/>
    </w:p>
    <w:p w14:paraId="546324C7" w14:textId="77777777" w:rsidR="00271836" w:rsidRPr="00261C59" w:rsidRDefault="00271836" w:rsidP="004728D9">
      <w:pPr>
        <w:numPr>
          <w:ilvl w:val="0"/>
          <w:numId w:val="54"/>
        </w:numPr>
        <w:spacing w:after="240" w:line="260" w:lineRule="exact"/>
        <w:jc w:val="left"/>
        <w:rPr>
          <w:rFonts w:ascii="Calibri" w:hAnsi="Calibri"/>
          <w:sz w:val="24"/>
          <w:szCs w:val="24"/>
        </w:rPr>
      </w:pPr>
      <w:bookmarkStart w:id="336" w:name="_Toc165886241"/>
      <w:bookmarkStart w:id="337" w:name="_Toc167133831"/>
      <w:bookmarkStart w:id="338" w:name="_Toc168579022"/>
      <w:bookmarkStart w:id="339" w:name="_Toc171350373"/>
      <w:r w:rsidRPr="00261C59">
        <w:rPr>
          <w:rFonts w:ascii="Calibri" w:hAnsi="Calibri"/>
          <w:sz w:val="24"/>
          <w:szCs w:val="24"/>
        </w:rPr>
        <w:t xml:space="preserve">This Part sets out the pricing, funding, and reporting responsibilities of States under this Addendum in managing their public hospitals and health services. </w:t>
      </w:r>
    </w:p>
    <w:p w14:paraId="7A86D868" w14:textId="77777777" w:rsidR="00271836" w:rsidRPr="00261C59" w:rsidRDefault="00271836" w:rsidP="004728D9">
      <w:pPr>
        <w:jc w:val="left"/>
        <w:outlineLvl w:val="2"/>
        <w:rPr>
          <w:rFonts w:ascii="Corbel" w:hAnsi="Corbel"/>
          <w:color w:val="3D4B67"/>
          <w:sz w:val="28"/>
          <w:szCs w:val="28"/>
          <w:lang w:eastAsia="ja-JP"/>
        </w:rPr>
      </w:pPr>
      <w:bookmarkStart w:id="340" w:name="_Toc172210254"/>
      <w:bookmarkStart w:id="341" w:name="_Toc172787704"/>
      <w:bookmarkStart w:id="342" w:name="_Toc173937720"/>
      <w:bookmarkStart w:id="343" w:name="_Toc183183317"/>
      <w:bookmarkStart w:id="344" w:name="_Toc201673975"/>
      <w:bookmarkStart w:id="345" w:name="_Toc210833608"/>
      <w:bookmarkStart w:id="346" w:name="_Toc214456508"/>
      <w:bookmarkStart w:id="347" w:name="_Toc221087987"/>
      <w:r w:rsidRPr="00261C59">
        <w:rPr>
          <w:rFonts w:ascii="Corbel" w:hAnsi="Corbel"/>
          <w:color w:val="3D4B67"/>
          <w:sz w:val="28"/>
          <w:szCs w:val="28"/>
          <w:lang w:eastAsia="ja-JP"/>
        </w:rPr>
        <w:t xml:space="preserve">Determining the State </w:t>
      </w:r>
      <w:bookmarkEnd w:id="336"/>
      <w:bookmarkEnd w:id="337"/>
      <w:bookmarkEnd w:id="338"/>
      <w:bookmarkEnd w:id="339"/>
      <w:bookmarkEnd w:id="340"/>
      <w:bookmarkEnd w:id="341"/>
      <w:bookmarkEnd w:id="342"/>
      <w:r w:rsidRPr="00261C59">
        <w:rPr>
          <w:rFonts w:ascii="Corbel" w:hAnsi="Corbel"/>
          <w:color w:val="3D4B67"/>
          <w:sz w:val="28"/>
          <w:szCs w:val="28"/>
          <w:lang w:eastAsia="ja-JP"/>
        </w:rPr>
        <w:t>funding contribution</w:t>
      </w:r>
      <w:bookmarkEnd w:id="343"/>
      <w:bookmarkEnd w:id="344"/>
      <w:bookmarkEnd w:id="345"/>
      <w:bookmarkEnd w:id="346"/>
      <w:bookmarkEnd w:id="347"/>
    </w:p>
    <w:p w14:paraId="22290020"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States will determine the mix of public hospital and health services and functions in their jurisdiction and the amount they pay for those services and functions. States will meet the balance of the cost over and above the Commonwealth funding entitlement.</w:t>
      </w:r>
    </w:p>
    <w:p w14:paraId="19F6864C"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cs="Arial"/>
          <w:color w:val="000000"/>
          <w:sz w:val="24"/>
          <w:szCs w:val="24"/>
        </w:rPr>
        <w:t xml:space="preserve">States will contribute to in-scope </w:t>
      </w:r>
      <w:r w:rsidRPr="00261C59">
        <w:rPr>
          <w:rFonts w:ascii="Calibri" w:hAnsi="Calibri"/>
          <w:sz w:val="24"/>
          <w:szCs w:val="24"/>
        </w:rPr>
        <w:t>public hospital and health services</w:t>
      </w:r>
      <w:r w:rsidRPr="00261C59">
        <w:rPr>
          <w:rFonts w:ascii="Calibri" w:hAnsi="Calibri" w:cs="Arial"/>
          <w:color w:val="000000"/>
          <w:sz w:val="24"/>
          <w:szCs w:val="24"/>
        </w:rPr>
        <w:t xml:space="preserve"> and functions on an ABF, Block, or other basis, as per the IHACPA-defined method for that type of service.</w:t>
      </w:r>
      <w:r w:rsidRPr="00261C59">
        <w:rPr>
          <w:rFonts w:ascii="Calibri" w:hAnsi="Calibri"/>
          <w:sz w:val="24"/>
          <w:szCs w:val="24"/>
        </w:rPr>
        <w:t xml:space="preserve"> </w:t>
      </w:r>
    </w:p>
    <w:p w14:paraId="218ACDB4" w14:textId="7C551F7F" w:rsidR="00271836" w:rsidRPr="00261C59" w:rsidRDefault="00271836" w:rsidP="00D73E5A">
      <w:pPr>
        <w:keepLines/>
        <w:widowControl/>
        <w:numPr>
          <w:ilvl w:val="0"/>
          <w:numId w:val="54"/>
        </w:numPr>
        <w:spacing w:after="240" w:line="260" w:lineRule="exact"/>
        <w:jc w:val="left"/>
        <w:rPr>
          <w:rFonts w:ascii="Calibri" w:hAnsi="Calibri"/>
          <w:sz w:val="24"/>
          <w:szCs w:val="24"/>
        </w:rPr>
      </w:pPr>
      <w:r w:rsidRPr="00261C59">
        <w:rPr>
          <w:rFonts w:ascii="Calibri" w:hAnsi="Calibri"/>
          <w:sz w:val="24"/>
          <w:szCs w:val="24"/>
        </w:rPr>
        <w:lastRenderedPageBreak/>
        <w:t xml:space="preserve">Variations in the State funding contribution in respect of individual Local Hospital Networks (LHNs) for services and functions funded under this Addendum may be required to enable States to play their role of system managers of the public hospital system. States may use their own share of public hospital and health service funding under this Addendum, or Commonwealth Block Funding paid to States (other than funding for teaching, training or research), to retain some funding from LHNs to adjust service levels across the State, and to respond to unforeseen events and other contingencies as set out at clause </w:t>
      </w:r>
      <w:r w:rsidRPr="00261C59">
        <w:rPr>
          <w:rFonts w:ascii="Calibri" w:hAnsi="Calibri"/>
          <w:sz w:val="24"/>
        </w:rPr>
        <w:t>A1</w:t>
      </w:r>
      <w:r w:rsidR="007727F5" w:rsidRPr="00261C59">
        <w:rPr>
          <w:rFonts w:ascii="Calibri" w:hAnsi="Calibri"/>
          <w:sz w:val="24"/>
        </w:rPr>
        <w:t>73</w:t>
      </w:r>
      <w:r w:rsidRPr="00261C59">
        <w:rPr>
          <w:rFonts w:ascii="Calibri" w:hAnsi="Calibri"/>
          <w:sz w:val="24"/>
          <w:szCs w:val="24"/>
        </w:rPr>
        <w:t>.</w:t>
      </w:r>
    </w:p>
    <w:p w14:paraId="65023FCA" w14:textId="77777777" w:rsidR="00271836" w:rsidRPr="00261C59" w:rsidRDefault="00271836" w:rsidP="004728D9">
      <w:pPr>
        <w:numPr>
          <w:ilvl w:val="0"/>
          <w:numId w:val="54"/>
        </w:numPr>
        <w:spacing w:after="240" w:line="260" w:lineRule="exact"/>
        <w:jc w:val="left"/>
        <w:rPr>
          <w:rFonts w:ascii="Calibri" w:hAnsi="Calibri"/>
          <w:sz w:val="24"/>
        </w:rPr>
      </w:pPr>
      <w:r w:rsidRPr="00261C59">
        <w:rPr>
          <w:rFonts w:ascii="Calibri" w:hAnsi="Calibri"/>
          <w:sz w:val="24"/>
          <w:szCs w:val="24"/>
        </w:rPr>
        <w:t xml:space="preserve">State funding paid on an ABF, Block, or other basis to LHNs will be based for each service category on: </w:t>
      </w:r>
    </w:p>
    <w:p w14:paraId="22561A93" w14:textId="70EAADFA" w:rsidR="00271836" w:rsidRPr="00261C59" w:rsidRDefault="00271836" w:rsidP="004728D9">
      <w:pPr>
        <w:numPr>
          <w:ilvl w:val="1"/>
          <w:numId w:val="68"/>
        </w:numPr>
        <w:spacing w:after="240" w:line="260" w:lineRule="exact"/>
        <w:jc w:val="left"/>
        <w:rPr>
          <w:rFonts w:ascii="Calibri" w:hAnsi="Calibri"/>
          <w:sz w:val="24"/>
          <w:szCs w:val="24"/>
        </w:rPr>
      </w:pPr>
      <w:r w:rsidRPr="7B1A1E71">
        <w:rPr>
          <w:rFonts w:ascii="Calibri" w:hAnsi="Calibri"/>
          <w:sz w:val="24"/>
          <w:szCs w:val="24"/>
        </w:rPr>
        <w:t xml:space="preserve">the price or cost set by that State (which will be reported in Service Agreements) </w:t>
      </w:r>
    </w:p>
    <w:p w14:paraId="5C464C59" w14:textId="3AF53BCD" w:rsidR="00271836" w:rsidRPr="00261C59" w:rsidRDefault="00271836" w:rsidP="004728D9">
      <w:pPr>
        <w:numPr>
          <w:ilvl w:val="1"/>
          <w:numId w:val="68"/>
        </w:numPr>
        <w:spacing w:after="240" w:line="260" w:lineRule="exact"/>
        <w:jc w:val="left"/>
        <w:rPr>
          <w:rFonts w:ascii="Calibri" w:hAnsi="Calibri"/>
          <w:sz w:val="24"/>
          <w:szCs w:val="24"/>
        </w:rPr>
      </w:pPr>
      <w:r w:rsidRPr="7B1A1E71">
        <w:rPr>
          <w:rFonts w:ascii="Calibri" w:hAnsi="Calibri"/>
          <w:sz w:val="24"/>
          <w:szCs w:val="24"/>
        </w:rPr>
        <w:t>where relevant to the funding stream, the volume of weighted services as set out in Service Agreements</w:t>
      </w:r>
    </w:p>
    <w:p w14:paraId="0FEBCF19" w14:textId="77777777" w:rsidR="00271836" w:rsidRPr="00261C59" w:rsidRDefault="00271836" w:rsidP="004728D9">
      <w:pPr>
        <w:widowControl/>
        <w:numPr>
          <w:ilvl w:val="0"/>
          <w:numId w:val="54"/>
        </w:numPr>
        <w:spacing w:after="240" w:line="260" w:lineRule="exact"/>
        <w:jc w:val="left"/>
        <w:rPr>
          <w:rFonts w:ascii="Calibri" w:hAnsi="Calibri"/>
          <w:sz w:val="24"/>
        </w:rPr>
      </w:pPr>
      <w:r w:rsidRPr="00261C59">
        <w:rPr>
          <w:rFonts w:ascii="Calibri" w:hAnsi="Calibri"/>
          <w:sz w:val="24"/>
          <w:szCs w:val="24"/>
        </w:rPr>
        <w:t>States will provide the Administrator with a copy of the Service Agreement for each LHN once agreed between the State and the LHN.</w:t>
      </w:r>
    </w:p>
    <w:p w14:paraId="6474A09C" w14:textId="68A63C34"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 xml:space="preserve">States must provide Service Agreements as set out in clause </w:t>
      </w:r>
      <w:r w:rsidR="0034099B" w:rsidRPr="00261C59">
        <w:rPr>
          <w:rFonts w:ascii="Calibri" w:hAnsi="Calibri"/>
          <w:sz w:val="24"/>
          <w:szCs w:val="24"/>
        </w:rPr>
        <w:t>E</w:t>
      </w:r>
      <w:r w:rsidR="0034099B" w:rsidRPr="00261C59">
        <w:rPr>
          <w:rFonts w:ascii="Calibri" w:hAnsi="Calibri"/>
          <w:sz w:val="24"/>
        </w:rPr>
        <w:t>7</w:t>
      </w:r>
      <w:r w:rsidRPr="00261C59">
        <w:rPr>
          <w:rFonts w:ascii="Calibri" w:hAnsi="Calibri"/>
          <w:sz w:val="24"/>
        </w:rPr>
        <w:t xml:space="preserve"> </w:t>
      </w:r>
      <w:r w:rsidRPr="00261C59">
        <w:rPr>
          <w:rFonts w:ascii="Calibri" w:hAnsi="Calibri"/>
          <w:sz w:val="24"/>
          <w:szCs w:val="24"/>
        </w:rPr>
        <w:t xml:space="preserve">within 14 calendar days of finalisation and no later than 15 December of the current financial year).  </w:t>
      </w:r>
    </w:p>
    <w:p w14:paraId="69427928" w14:textId="0CEEE58C"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 xml:space="preserve">In accordance with clauses </w:t>
      </w:r>
      <w:r w:rsidR="008F1312" w:rsidRPr="00261C59">
        <w:rPr>
          <w:rFonts w:ascii="Calibri" w:hAnsi="Calibri"/>
          <w:sz w:val="24"/>
        </w:rPr>
        <w:t>A11</w:t>
      </w:r>
      <w:r w:rsidR="0053569F" w:rsidRPr="00261C59">
        <w:rPr>
          <w:rFonts w:ascii="Calibri" w:hAnsi="Calibri"/>
          <w:sz w:val="24"/>
        </w:rPr>
        <w:t>4</w:t>
      </w:r>
      <w:r w:rsidRPr="00261C59">
        <w:rPr>
          <w:rFonts w:ascii="Calibri" w:hAnsi="Calibri"/>
          <w:sz w:val="24"/>
        </w:rPr>
        <w:t xml:space="preserve"> and A1</w:t>
      </w:r>
      <w:r w:rsidR="008F1312" w:rsidRPr="00261C59">
        <w:rPr>
          <w:rFonts w:ascii="Calibri" w:hAnsi="Calibri"/>
          <w:sz w:val="24"/>
        </w:rPr>
        <w:t>22</w:t>
      </w:r>
      <w:r w:rsidRPr="00261C59">
        <w:rPr>
          <w:rFonts w:ascii="Calibri" w:hAnsi="Calibri"/>
          <w:sz w:val="24"/>
          <w:szCs w:val="24"/>
        </w:rPr>
        <w:t>, States and LHNs can vary Service Agreements during the financial year as required.</w:t>
      </w:r>
    </w:p>
    <w:p w14:paraId="362ED05E" w14:textId="17FC6062"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It is expected that the operation of this Addendum will create incentives for LHN efficiency. If a LHN can operate more efficiently than the level of funding set by the State under the LHN Service Agreement, the LHN will be able to retain and reinvest the benefits accruing from efficiency in service delivery and in accordance with State policy and practice, as guided by the Service Agreement. </w:t>
      </w:r>
    </w:p>
    <w:p w14:paraId="3CFC8203"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There will be no requirement for LHNs to be paid the full National Efficient Price or National Efficient Cost if the State considers that a lower payment is appropriate, having regard to the actual cost of service delivery and the LHN’s capacity to generate revenue from other sources. </w:t>
      </w:r>
    </w:p>
    <w:p w14:paraId="3E147B17" w14:textId="77777777" w:rsidR="00271836" w:rsidRPr="00261C59" w:rsidRDefault="00271836" w:rsidP="005460E8">
      <w:pPr>
        <w:keepNext/>
        <w:keepLines/>
        <w:spacing w:before="200"/>
        <w:jc w:val="left"/>
        <w:outlineLvl w:val="3"/>
        <w:rPr>
          <w:rFonts w:eastAsia="Yu Gothic Light"/>
          <w:b/>
          <w:bCs/>
          <w:iCs/>
        </w:rPr>
      </w:pPr>
      <w:r w:rsidRPr="00261C59">
        <w:rPr>
          <w:rFonts w:eastAsia="Yu Gothic Light"/>
          <w:b/>
          <w:bCs/>
          <w:iCs/>
        </w:rPr>
        <w:t>State payments</w:t>
      </w:r>
    </w:p>
    <w:p w14:paraId="32C2FE91" w14:textId="4D0CCD3B"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States will direct the disbursement of State funding from Pool accounts to State Managed Funds and LHNs according to the payment arrangements set out in </w:t>
      </w:r>
      <w:r w:rsidR="00A21185" w:rsidRPr="00261C59">
        <w:rPr>
          <w:rFonts w:ascii="Calibri" w:hAnsi="Calibri"/>
          <w:sz w:val="24"/>
          <w:szCs w:val="24"/>
        </w:rPr>
        <w:t xml:space="preserve">clause </w:t>
      </w:r>
      <w:r w:rsidRPr="00261C59">
        <w:rPr>
          <w:rFonts w:ascii="Calibri" w:hAnsi="Calibri"/>
          <w:sz w:val="24"/>
        </w:rPr>
        <w:t>A1</w:t>
      </w:r>
      <w:r w:rsidR="00397D02" w:rsidRPr="00261C59">
        <w:rPr>
          <w:rFonts w:ascii="Calibri" w:hAnsi="Calibri"/>
          <w:sz w:val="24"/>
        </w:rPr>
        <w:t>57</w:t>
      </w:r>
      <w:r w:rsidRPr="00261C59">
        <w:rPr>
          <w:rFonts w:ascii="Calibri" w:hAnsi="Calibri"/>
          <w:sz w:val="24"/>
          <w:szCs w:val="24"/>
        </w:rPr>
        <w:t xml:space="preserve">. </w:t>
      </w:r>
    </w:p>
    <w:p w14:paraId="7DACD903" w14:textId="77777777"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 xml:space="preserve">The frequency of State payments to LHNs will be in accordance with Service Agreements, agreed between the State and LHN. </w:t>
      </w:r>
    </w:p>
    <w:p w14:paraId="6B0E4E36"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States can make exceptional payments through a Pool account or a State Managed Fund to LHNs at any time. </w:t>
      </w:r>
    </w:p>
    <w:p w14:paraId="1EDB4CDA" w14:textId="77777777" w:rsidR="00271836" w:rsidRPr="00261C59" w:rsidRDefault="00271836" w:rsidP="004728D9">
      <w:pPr>
        <w:numPr>
          <w:ilvl w:val="0"/>
          <w:numId w:val="54"/>
        </w:numPr>
        <w:spacing w:after="240" w:line="260" w:lineRule="exact"/>
        <w:jc w:val="left"/>
        <w:rPr>
          <w:rFonts w:ascii="Calibri" w:hAnsi="Calibri"/>
          <w:sz w:val="24"/>
        </w:rPr>
      </w:pPr>
      <w:r w:rsidRPr="00261C59">
        <w:rPr>
          <w:rFonts w:ascii="Calibri" w:hAnsi="Calibri"/>
          <w:sz w:val="24"/>
          <w:szCs w:val="24"/>
        </w:rPr>
        <w:t>States will decide timing of Commonwealth payments from Pool accounts to State Managed Funds and LHNs. However, States will not redirect Commonwealth payments:</w:t>
      </w:r>
    </w:p>
    <w:p w14:paraId="5E201BF0" w14:textId="2BE5D321" w:rsidR="00271836" w:rsidRPr="00261C59" w:rsidRDefault="00271836" w:rsidP="004728D9">
      <w:pPr>
        <w:numPr>
          <w:ilvl w:val="1"/>
          <w:numId w:val="69"/>
        </w:numPr>
        <w:spacing w:after="240" w:line="260" w:lineRule="exact"/>
        <w:jc w:val="left"/>
        <w:rPr>
          <w:rFonts w:ascii="Calibri" w:hAnsi="Calibri"/>
          <w:sz w:val="24"/>
          <w:szCs w:val="24"/>
        </w:rPr>
      </w:pPr>
      <w:r w:rsidRPr="7B1A1E71">
        <w:rPr>
          <w:rFonts w:ascii="Calibri" w:hAnsi="Calibri"/>
          <w:sz w:val="24"/>
          <w:szCs w:val="24"/>
        </w:rPr>
        <w:t>between LHNs</w:t>
      </w:r>
    </w:p>
    <w:p w14:paraId="10DCB0BD" w14:textId="00874691" w:rsidR="00271836" w:rsidRPr="00261C59" w:rsidRDefault="00271836" w:rsidP="00A75197">
      <w:pPr>
        <w:keepNext/>
        <w:numPr>
          <w:ilvl w:val="1"/>
          <w:numId w:val="69"/>
        </w:numPr>
        <w:spacing w:after="240" w:line="260" w:lineRule="exact"/>
        <w:jc w:val="left"/>
        <w:rPr>
          <w:rFonts w:ascii="Calibri" w:hAnsi="Calibri"/>
          <w:sz w:val="24"/>
          <w:szCs w:val="24"/>
        </w:rPr>
      </w:pPr>
      <w:r w:rsidRPr="7B1A1E71">
        <w:rPr>
          <w:rFonts w:ascii="Calibri" w:hAnsi="Calibri"/>
          <w:sz w:val="24"/>
          <w:szCs w:val="24"/>
        </w:rPr>
        <w:lastRenderedPageBreak/>
        <w:t>between funding streams (for example from ABF to Block Funding)</w:t>
      </w:r>
    </w:p>
    <w:p w14:paraId="7D75015F" w14:textId="77777777" w:rsidR="00271836" w:rsidRPr="00261C59" w:rsidRDefault="00271836" w:rsidP="004728D9">
      <w:pPr>
        <w:numPr>
          <w:ilvl w:val="1"/>
          <w:numId w:val="69"/>
        </w:numPr>
        <w:spacing w:after="240" w:line="260" w:lineRule="exact"/>
        <w:jc w:val="left"/>
        <w:rPr>
          <w:rFonts w:ascii="Calibri" w:hAnsi="Calibri"/>
          <w:sz w:val="24"/>
          <w:szCs w:val="24"/>
        </w:rPr>
      </w:pPr>
      <w:r w:rsidRPr="00261C59">
        <w:rPr>
          <w:rFonts w:ascii="Calibri" w:hAnsi="Calibri"/>
          <w:sz w:val="24"/>
          <w:szCs w:val="24"/>
        </w:rPr>
        <w:t>to adjust the payment calculations underpinning the Commonwealth’s funding contribution.</w:t>
      </w:r>
    </w:p>
    <w:p w14:paraId="0CC29AFE" w14:textId="7F2A3163"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States can cause Commonwealth payments to be modified by changing the relevant Service Agreements, if they wish, and by notifying the Administrator of an agreed variation, in accordance with clause </w:t>
      </w:r>
      <w:r w:rsidRPr="00261C59">
        <w:rPr>
          <w:rFonts w:ascii="Calibri" w:hAnsi="Calibri"/>
          <w:sz w:val="24"/>
        </w:rPr>
        <w:t>A1</w:t>
      </w:r>
      <w:r w:rsidR="008E34E4" w:rsidRPr="00261C59">
        <w:rPr>
          <w:rFonts w:ascii="Calibri" w:hAnsi="Calibri"/>
          <w:sz w:val="24"/>
        </w:rPr>
        <w:t>69</w:t>
      </w:r>
      <w:r w:rsidRPr="00261C59">
        <w:rPr>
          <w:rFonts w:ascii="Calibri" w:hAnsi="Calibri"/>
          <w:sz w:val="24"/>
          <w:szCs w:val="24"/>
        </w:rPr>
        <w:t xml:space="preserve">. These changes to Commonwealth funding will take effect in the next payment period. </w:t>
      </w:r>
    </w:p>
    <w:p w14:paraId="20C0B0F5" w14:textId="77777777" w:rsidR="00271836" w:rsidRPr="00261C59" w:rsidRDefault="00271836" w:rsidP="004728D9">
      <w:pPr>
        <w:widowControl/>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To ensure payments flowing out of the National Health Funding Pool are correct, no payment will flow from the Pool until the respective State has validated the schedule of payments and instructed the Administrator to make payments on the State’s behalf. </w:t>
      </w:r>
    </w:p>
    <w:p w14:paraId="1B5160B4" w14:textId="77777777" w:rsidR="00271836" w:rsidRPr="00261C59" w:rsidRDefault="00271836" w:rsidP="00F57DFB">
      <w:pPr>
        <w:keepNext/>
        <w:jc w:val="left"/>
        <w:outlineLvl w:val="2"/>
        <w:rPr>
          <w:rFonts w:ascii="Corbel" w:hAnsi="Corbel"/>
          <w:color w:val="3D4B67"/>
          <w:sz w:val="28"/>
          <w:szCs w:val="48"/>
          <w:lang w:eastAsia="ja-JP"/>
        </w:rPr>
      </w:pPr>
      <w:bookmarkStart w:id="348" w:name="_Toc172210255"/>
      <w:bookmarkStart w:id="349" w:name="_Toc172787705"/>
      <w:bookmarkStart w:id="350" w:name="_Toc173937721"/>
      <w:bookmarkStart w:id="351" w:name="_Toc183183318"/>
      <w:bookmarkStart w:id="352" w:name="_Toc201673976"/>
      <w:bookmarkStart w:id="353" w:name="_Toc210833609"/>
      <w:bookmarkStart w:id="354" w:name="_Toc214456509"/>
      <w:bookmarkStart w:id="355" w:name="_Toc221087988"/>
      <w:bookmarkStart w:id="356" w:name="_Toc531357139"/>
      <w:bookmarkStart w:id="357" w:name="_Toc165886244"/>
      <w:bookmarkStart w:id="358" w:name="_Toc167133833"/>
      <w:bookmarkStart w:id="359" w:name="_Toc168579024"/>
      <w:bookmarkStart w:id="360" w:name="_Toc171350375"/>
      <w:r w:rsidRPr="00261C59">
        <w:rPr>
          <w:rFonts w:ascii="Corbel" w:hAnsi="Corbel"/>
          <w:color w:val="3D4B67"/>
          <w:sz w:val="28"/>
          <w:szCs w:val="48"/>
          <w:lang w:eastAsia="ja-JP"/>
        </w:rPr>
        <w:t>Reporting the State funding contribution and service level data</w:t>
      </w:r>
      <w:bookmarkEnd w:id="348"/>
      <w:bookmarkEnd w:id="349"/>
      <w:bookmarkEnd w:id="350"/>
      <w:bookmarkEnd w:id="351"/>
      <w:bookmarkEnd w:id="352"/>
      <w:bookmarkEnd w:id="353"/>
      <w:bookmarkEnd w:id="354"/>
      <w:bookmarkEnd w:id="355"/>
    </w:p>
    <w:p w14:paraId="1BF787A0" w14:textId="77777777" w:rsidR="00271836" w:rsidRPr="00261C59" w:rsidRDefault="00271836" w:rsidP="004728D9">
      <w:pPr>
        <w:keepNext/>
        <w:keepLines/>
        <w:numPr>
          <w:ilvl w:val="0"/>
          <w:numId w:val="54"/>
        </w:numPr>
        <w:spacing w:after="240" w:line="260" w:lineRule="exact"/>
        <w:jc w:val="left"/>
        <w:rPr>
          <w:rFonts w:ascii="Calibri" w:hAnsi="Calibri"/>
          <w:sz w:val="24"/>
        </w:rPr>
      </w:pPr>
      <w:r w:rsidRPr="00261C59">
        <w:rPr>
          <w:rFonts w:ascii="Calibri" w:hAnsi="Calibri"/>
          <w:sz w:val="24"/>
          <w:szCs w:val="24"/>
        </w:rPr>
        <w:t xml:space="preserve">As part of the annual reconciliation process, to improve transparency and national comparability, States will provide to the Administrator and the IHACPA: </w:t>
      </w:r>
    </w:p>
    <w:p w14:paraId="021ABB61" w14:textId="5614CB81"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 xml:space="preserve">the price per weighted service as determined by the State </w:t>
      </w:r>
    </w:p>
    <w:p w14:paraId="569318D5" w14:textId="596830FD"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 xml:space="preserve">the volume of weighted services as set out by the national ABF classification scheme </w:t>
      </w:r>
    </w:p>
    <w:p w14:paraId="642C7DBE" w14:textId="77777777"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any variations to service loadings from the national ABF classification scheme.</w:t>
      </w:r>
    </w:p>
    <w:p w14:paraId="19E0D51E" w14:textId="77777777" w:rsidR="00271836" w:rsidRPr="00261C59" w:rsidRDefault="00271836" w:rsidP="004728D9">
      <w:pPr>
        <w:numPr>
          <w:ilvl w:val="0"/>
          <w:numId w:val="54"/>
        </w:numPr>
        <w:spacing w:after="240" w:line="260" w:lineRule="exact"/>
        <w:jc w:val="left"/>
        <w:rPr>
          <w:rFonts w:ascii="Calibri" w:hAnsi="Calibri"/>
          <w:sz w:val="24"/>
        </w:rPr>
      </w:pPr>
      <w:r w:rsidRPr="00261C59">
        <w:rPr>
          <w:rFonts w:ascii="Calibri" w:hAnsi="Calibri"/>
          <w:sz w:val="24"/>
          <w:szCs w:val="24"/>
        </w:rPr>
        <w:t xml:space="preserve">As part of the annual reconciliation process, States will also provide to the Administrator all State-reported in-scope expenditure at the LHN level, including distribution of Block Funding and other funds from State Managed Funds. </w:t>
      </w:r>
    </w:p>
    <w:p w14:paraId="615C935F" w14:textId="1C0D621A"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Reporting of distributions from State Managed Funds at the LHN level will separately detail the distribution of all Commonwealth Block Funding and Service Model Reform Funding received by the State.</w:t>
      </w:r>
    </w:p>
    <w:p w14:paraId="378E9B8C"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States will provide the Administrator with an </w:t>
      </w:r>
      <w:r w:rsidRPr="00261C59">
        <w:rPr>
          <w:rFonts w:ascii="Calibri" w:hAnsi="Calibri"/>
          <w:i/>
          <w:iCs/>
          <w:sz w:val="24"/>
          <w:szCs w:val="24"/>
        </w:rPr>
        <w:t>estimate</w:t>
      </w:r>
      <w:r w:rsidRPr="00261C59">
        <w:rPr>
          <w:rFonts w:ascii="Calibri" w:hAnsi="Calibri"/>
          <w:sz w:val="24"/>
          <w:szCs w:val="24"/>
        </w:rPr>
        <w:t xml:space="preserve"> of weighted service volumes for a financial year as an aggregated total, which the Administrator will share with the Commonwealth, by the end of March in the preceding financial year. </w:t>
      </w:r>
    </w:p>
    <w:p w14:paraId="74F2233F"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States will provide the Administrator with </w:t>
      </w:r>
      <w:r w:rsidRPr="00261C59">
        <w:rPr>
          <w:rFonts w:ascii="Calibri" w:hAnsi="Calibri"/>
          <w:i/>
          <w:iCs/>
          <w:sz w:val="24"/>
          <w:szCs w:val="24"/>
        </w:rPr>
        <w:t>confirmed</w:t>
      </w:r>
      <w:r w:rsidRPr="00261C59">
        <w:rPr>
          <w:rFonts w:ascii="Calibri" w:hAnsi="Calibri"/>
          <w:sz w:val="24"/>
          <w:szCs w:val="24"/>
        </w:rPr>
        <w:t xml:space="preserve"> aggregate weighted service volumes for a financial year, and estimated service volumes for each LHN, by the end of May in the preceding financial year. The estimated weighted service volumes will incorporate the level of disaggregation required by the Administrator to calculate the Commonwealth funding entitlement.</w:t>
      </w:r>
    </w:p>
    <w:p w14:paraId="083F1C7B" w14:textId="77777777" w:rsidR="00271836" w:rsidRPr="00261C59" w:rsidRDefault="00271836" w:rsidP="00E84BBB">
      <w:pPr>
        <w:keepLines/>
        <w:numPr>
          <w:ilvl w:val="0"/>
          <w:numId w:val="54"/>
        </w:numPr>
        <w:spacing w:after="240" w:line="260" w:lineRule="exact"/>
        <w:jc w:val="left"/>
        <w:rPr>
          <w:rFonts w:ascii="Calibri" w:hAnsi="Calibri"/>
          <w:sz w:val="24"/>
          <w:szCs w:val="24"/>
        </w:rPr>
      </w:pPr>
      <w:r w:rsidRPr="00261C59">
        <w:rPr>
          <w:rFonts w:ascii="Calibri" w:hAnsi="Calibri"/>
          <w:sz w:val="24"/>
          <w:szCs w:val="24"/>
        </w:rPr>
        <w:t>Parties agree to improve the accuracy of NWAU estimates by allowing States to provide non-binding advice to the Commonwealth and the Administrator on expected services to be delivered, without the need to vary Service Agreements. The provision of this advice will not affect Commonwealth payments or cash flows to LHNs.</w:t>
      </w:r>
    </w:p>
    <w:p w14:paraId="78344012" w14:textId="7143A41F" w:rsidR="00271836" w:rsidRPr="00261C59" w:rsidRDefault="00271836" w:rsidP="00406B8F">
      <w:pPr>
        <w:keepNext/>
        <w:keepLines/>
        <w:spacing w:before="200"/>
        <w:jc w:val="left"/>
        <w:outlineLvl w:val="3"/>
        <w:rPr>
          <w:rFonts w:eastAsia="Yu Gothic Light"/>
          <w:b/>
          <w:bCs/>
          <w:iCs/>
        </w:rPr>
      </w:pPr>
      <w:bookmarkStart w:id="361" w:name="_Toc531357138"/>
      <w:bookmarkStart w:id="362" w:name="_Toc165886243"/>
      <w:bookmarkStart w:id="363" w:name="_Toc168579023"/>
      <w:bookmarkStart w:id="364" w:name="_Toc167133832"/>
      <w:bookmarkEnd w:id="356"/>
      <w:bookmarkEnd w:id="357"/>
      <w:bookmarkEnd w:id="358"/>
      <w:bookmarkEnd w:id="359"/>
      <w:bookmarkEnd w:id="360"/>
      <w:r w:rsidRPr="00261C59">
        <w:rPr>
          <w:rFonts w:eastAsia="Yu Gothic Light"/>
          <w:b/>
          <w:bCs/>
          <w:iCs/>
        </w:rPr>
        <w:t>Service Model Reform Funding</w:t>
      </w:r>
    </w:p>
    <w:p w14:paraId="078AE4E2" w14:textId="7A1ABD7D"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Each State that opts in to the SMRF stream for a given financial year will make an annual contribution for approved projects to the SMRF stream via their Pool accounts. The amount of this contribution must be at least equal to the Commonwealth funding contribution made to all approved projects for that State.</w:t>
      </w:r>
    </w:p>
    <w:p w14:paraId="767B6CC4" w14:textId="77777777" w:rsidR="00271836" w:rsidRPr="00261C59" w:rsidRDefault="00271836" w:rsidP="1476B102">
      <w:pPr>
        <w:keepNext/>
        <w:keepLines/>
        <w:spacing w:before="200"/>
        <w:jc w:val="left"/>
        <w:outlineLvl w:val="3"/>
        <w:rPr>
          <w:rFonts w:eastAsia="Yu Gothic Light"/>
          <w:b/>
          <w:bCs/>
        </w:rPr>
      </w:pPr>
      <w:r w:rsidRPr="00261C59">
        <w:rPr>
          <w:rFonts w:eastAsia="Yu Gothic Light"/>
          <w:b/>
          <w:bCs/>
        </w:rPr>
        <w:lastRenderedPageBreak/>
        <w:t xml:space="preserve">Safety, quality and value – state arrangements </w:t>
      </w:r>
    </w:p>
    <w:p w14:paraId="7808A405" w14:textId="77777777" w:rsidR="00271836" w:rsidRPr="00261C59" w:rsidRDefault="00271836" w:rsidP="004728D9">
      <w:pPr>
        <w:keepNext/>
        <w:numPr>
          <w:ilvl w:val="0"/>
          <w:numId w:val="54"/>
        </w:numPr>
        <w:spacing w:after="240" w:line="260" w:lineRule="exact"/>
        <w:jc w:val="left"/>
        <w:rPr>
          <w:rFonts w:ascii="Calibri" w:hAnsi="Calibri"/>
          <w:sz w:val="24"/>
          <w:szCs w:val="24"/>
        </w:rPr>
      </w:pPr>
      <w:r w:rsidRPr="00261C59">
        <w:rPr>
          <w:rFonts w:ascii="Calibri" w:hAnsi="Calibri"/>
          <w:sz w:val="24"/>
          <w:szCs w:val="24"/>
        </w:rPr>
        <w:t>Each State agrees to implement a pricing and funding approach for Sentinel Events, HACs, AHRs, value-based events and pathways and any other safety and quality adjustments, to give effect to the model developed by the IHACPA.</w:t>
      </w:r>
    </w:p>
    <w:p w14:paraId="7E8947BA" w14:textId="77777777" w:rsidR="00271836" w:rsidRPr="00261C59" w:rsidRDefault="00271836" w:rsidP="004728D9">
      <w:pPr>
        <w:numPr>
          <w:ilvl w:val="1"/>
          <w:numId w:val="49"/>
        </w:numPr>
        <w:spacing w:after="240" w:line="260" w:lineRule="exact"/>
        <w:jc w:val="left"/>
        <w:rPr>
          <w:rFonts w:ascii="Calibri" w:hAnsi="Calibri"/>
          <w:sz w:val="24"/>
          <w:szCs w:val="24"/>
        </w:rPr>
      </w:pPr>
      <w:r w:rsidRPr="00261C59">
        <w:rPr>
          <w:rFonts w:ascii="Calibri" w:hAnsi="Calibri"/>
          <w:sz w:val="24"/>
          <w:szCs w:val="24"/>
        </w:rPr>
        <w:t>These will be included in each State’s funding and purchasing arrangements (including in Service Agreements and Purchasing Agreements) for public hospital and health services at the episode of care level. </w:t>
      </w:r>
    </w:p>
    <w:p w14:paraId="7391AAC5"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Each State will provide an annual report to HCEF, within nine months of the end of each financial year, on the outcomes of implementing their pricing approach for safety, quality, and value. These reports will include information on: </w:t>
      </w:r>
    </w:p>
    <w:p w14:paraId="36513FAD" w14:textId="4711C030" w:rsidR="00271836" w:rsidRPr="00261C59" w:rsidRDefault="00271836" w:rsidP="004728D9">
      <w:pPr>
        <w:keepNext/>
        <w:numPr>
          <w:ilvl w:val="1"/>
          <w:numId w:val="245"/>
        </w:numPr>
        <w:spacing w:after="240" w:line="260" w:lineRule="exact"/>
        <w:jc w:val="left"/>
        <w:rPr>
          <w:rFonts w:ascii="Calibri" w:hAnsi="Calibri"/>
          <w:sz w:val="24"/>
          <w:szCs w:val="24"/>
        </w:rPr>
      </w:pPr>
      <w:r w:rsidRPr="7B1A1E71">
        <w:rPr>
          <w:rFonts w:ascii="Calibri" w:hAnsi="Calibri"/>
          <w:sz w:val="24"/>
          <w:szCs w:val="24"/>
        </w:rPr>
        <w:t>the financial impacts at the LHN level</w:t>
      </w:r>
    </w:p>
    <w:p w14:paraId="6604B047" w14:textId="77777777" w:rsidR="00271836" w:rsidRPr="00261C59" w:rsidRDefault="00271836" w:rsidP="004728D9">
      <w:pPr>
        <w:numPr>
          <w:ilvl w:val="1"/>
          <w:numId w:val="245"/>
        </w:numPr>
        <w:spacing w:after="240" w:line="260" w:lineRule="exact"/>
        <w:jc w:val="left"/>
        <w:rPr>
          <w:rFonts w:ascii="Calibri" w:hAnsi="Calibri"/>
          <w:sz w:val="24"/>
          <w:szCs w:val="48"/>
          <w:lang w:eastAsia="ja-JP"/>
        </w:rPr>
      </w:pPr>
      <w:r w:rsidRPr="00261C59">
        <w:rPr>
          <w:rFonts w:ascii="Calibri" w:hAnsi="Calibri"/>
          <w:sz w:val="24"/>
          <w:szCs w:val="24"/>
        </w:rPr>
        <w:t>any relevant safety, quality, and value-based programs.</w:t>
      </w:r>
    </w:p>
    <w:p w14:paraId="5CEB8B3A" w14:textId="77777777" w:rsidR="00271836" w:rsidRPr="00261C59" w:rsidRDefault="00271836" w:rsidP="004728D9">
      <w:pPr>
        <w:jc w:val="left"/>
        <w:outlineLvl w:val="2"/>
        <w:rPr>
          <w:rFonts w:ascii="Corbel" w:hAnsi="Corbel"/>
          <w:color w:val="3D4B67"/>
          <w:sz w:val="28"/>
          <w:szCs w:val="28"/>
          <w:lang w:eastAsia="ja-JP"/>
        </w:rPr>
      </w:pPr>
      <w:bookmarkStart w:id="365" w:name="_Toc171350374"/>
      <w:bookmarkStart w:id="366" w:name="_Toc172787706"/>
      <w:bookmarkStart w:id="367" w:name="_Toc173937722"/>
      <w:bookmarkStart w:id="368" w:name="_Toc183183319"/>
      <w:bookmarkStart w:id="369" w:name="_Toc201673977"/>
      <w:bookmarkStart w:id="370" w:name="_Toc210833610"/>
      <w:bookmarkStart w:id="371" w:name="_Toc214456510"/>
      <w:bookmarkStart w:id="372" w:name="_Toc221087989"/>
      <w:bookmarkStart w:id="373" w:name="_Toc172210256"/>
      <w:r w:rsidRPr="00261C59">
        <w:rPr>
          <w:rFonts w:ascii="Corbel" w:hAnsi="Corbel"/>
          <w:color w:val="3D4B67"/>
          <w:sz w:val="28"/>
          <w:szCs w:val="28"/>
          <w:lang w:eastAsia="ja-JP"/>
        </w:rPr>
        <w:t>Maintenance of effort</w:t>
      </w:r>
      <w:bookmarkEnd w:id="361"/>
      <w:bookmarkEnd w:id="362"/>
      <w:bookmarkEnd w:id="363"/>
      <w:bookmarkEnd w:id="365"/>
      <w:bookmarkEnd w:id="366"/>
      <w:bookmarkEnd w:id="367"/>
      <w:bookmarkEnd w:id="368"/>
      <w:bookmarkEnd w:id="369"/>
      <w:bookmarkEnd w:id="370"/>
      <w:bookmarkEnd w:id="371"/>
      <w:bookmarkEnd w:id="372"/>
      <w:r w:rsidRPr="00261C59">
        <w:rPr>
          <w:rFonts w:ascii="Corbel" w:hAnsi="Corbel"/>
          <w:color w:val="3D4B67"/>
          <w:sz w:val="28"/>
          <w:szCs w:val="28"/>
          <w:lang w:eastAsia="ja-JP"/>
        </w:rPr>
        <w:t xml:space="preserve"> </w:t>
      </w:r>
      <w:bookmarkEnd w:id="364"/>
      <w:bookmarkEnd w:id="373"/>
    </w:p>
    <w:p w14:paraId="53491E70"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For the period </w:t>
      </w:r>
      <w:r w:rsidRPr="00261C59">
        <w:rPr>
          <w:rFonts w:ascii="Calibri" w:eastAsia="Yu Gothic Light" w:hAnsi="Calibri" w:cs="Calibri"/>
          <w:sz w:val="24"/>
          <w:szCs w:val="24"/>
        </w:rPr>
        <w:t xml:space="preserve">2026-27 to 2030-31, </w:t>
      </w:r>
      <w:r w:rsidRPr="00261C59">
        <w:rPr>
          <w:rFonts w:ascii="Calibri" w:hAnsi="Calibri"/>
          <w:sz w:val="24"/>
          <w:szCs w:val="24"/>
        </w:rPr>
        <w:t>Parties agree to, at a minimum</w:t>
      </w:r>
      <w:r w:rsidRPr="00261C59">
        <w:rPr>
          <w:rFonts w:ascii="Calibri" w:eastAsia="Yu Gothic Light" w:hAnsi="Calibri" w:cs="Calibri"/>
          <w:sz w:val="24"/>
          <w:szCs w:val="24"/>
        </w:rPr>
        <w:t>,</w:t>
      </w:r>
      <w:r w:rsidRPr="00261C59">
        <w:rPr>
          <w:rFonts w:ascii="Calibri" w:eastAsia="Yu Gothic Light" w:hAnsi="Calibri" w:cs="Calibri"/>
          <w:color w:val="000000"/>
          <w:sz w:val="32"/>
          <w:szCs w:val="32"/>
          <w:bdr w:val="none" w:sz="0" w:space="0" w:color="auto" w:frame="1"/>
        </w:rPr>
        <w:t xml:space="preserve"> </w:t>
      </w:r>
      <w:r w:rsidRPr="00261C59">
        <w:rPr>
          <w:rFonts w:ascii="Calibri" w:eastAsia="Yu Gothic Light" w:hAnsi="Calibri" w:cs="Calibri"/>
          <w:color w:val="000000"/>
          <w:sz w:val="24"/>
          <w:szCs w:val="24"/>
          <w:bdr w:val="none" w:sz="0" w:space="0" w:color="auto" w:frame="1"/>
        </w:rPr>
        <w:t>maintain</w:t>
      </w:r>
      <w:r w:rsidRPr="00261C59">
        <w:rPr>
          <w:rFonts w:ascii="Calibri" w:eastAsia="Yu Gothic Light" w:hAnsi="Calibri" w:cs="Calibri"/>
          <w:color w:val="000000"/>
          <w:sz w:val="24"/>
          <w:szCs w:val="24"/>
        </w:rPr>
        <w:t xml:space="preserve"> </w:t>
      </w:r>
      <w:r w:rsidRPr="00261C59">
        <w:rPr>
          <w:rFonts w:ascii="Calibri" w:eastAsia="Yu Gothic Light" w:hAnsi="Calibri" w:cs="Calibri"/>
          <w:sz w:val="24"/>
          <w:szCs w:val="24"/>
        </w:rPr>
        <w:t>2025-26</w:t>
      </w:r>
      <w:r w:rsidRPr="00261C59">
        <w:rPr>
          <w:rFonts w:ascii="Calibri" w:eastAsia="Yu Gothic Light" w:hAnsi="Calibri" w:cs="Calibri"/>
          <w:color w:val="000000"/>
          <w:sz w:val="32"/>
          <w:szCs w:val="32"/>
          <w:bdr w:val="none" w:sz="0" w:space="0" w:color="auto" w:frame="1"/>
        </w:rPr>
        <w:t xml:space="preserve"> </w:t>
      </w:r>
      <w:r w:rsidRPr="00261C59">
        <w:rPr>
          <w:rFonts w:ascii="Calibri" w:hAnsi="Calibri"/>
          <w:sz w:val="24"/>
          <w:szCs w:val="24"/>
        </w:rPr>
        <w:t xml:space="preserve">levels of funding for public hospital and health services through the National Health Funding Pool </w:t>
      </w:r>
      <w:r w:rsidRPr="00261C59">
        <w:rPr>
          <w:rFonts w:ascii="Calibri" w:hAnsi="Calibri" w:cs="Calibri"/>
          <w:sz w:val="24"/>
          <w:szCs w:val="24"/>
        </w:rPr>
        <w:t>and State Managed Funds</w:t>
      </w:r>
      <w:r w:rsidRPr="00261C59">
        <w:rPr>
          <w:rFonts w:ascii="Calibri" w:hAnsi="Calibri"/>
          <w:sz w:val="24"/>
          <w:szCs w:val="24"/>
        </w:rPr>
        <w:t>, while having regard to new, appropriate models of care that may change the setting in which care is delivered.</w:t>
      </w:r>
    </w:p>
    <w:p w14:paraId="37219DE2"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Administrator and AIHW will work with all Parties to continue improving consistency and transparency of reporting for the Administrator to provide an annual report on maintenance of effort. </w:t>
      </w:r>
    </w:p>
    <w:p w14:paraId="1FB2AFDC" w14:textId="77777777" w:rsidR="00271836" w:rsidRPr="00261C59" w:rsidRDefault="00271836" w:rsidP="004728D9">
      <w:pPr>
        <w:keepNext/>
        <w:jc w:val="left"/>
        <w:outlineLvl w:val="2"/>
        <w:rPr>
          <w:rFonts w:ascii="Corbel" w:hAnsi="Corbel"/>
          <w:color w:val="3D4B67"/>
          <w:sz w:val="28"/>
          <w:szCs w:val="48"/>
          <w:lang w:eastAsia="ja-JP"/>
        </w:rPr>
      </w:pPr>
      <w:bookmarkStart w:id="374" w:name="_Toc171350376"/>
      <w:bookmarkStart w:id="375" w:name="_Toc172210257"/>
      <w:bookmarkStart w:id="376" w:name="_Toc172787707"/>
      <w:bookmarkStart w:id="377" w:name="_Toc173937723"/>
      <w:bookmarkStart w:id="378" w:name="_Toc183183320"/>
      <w:bookmarkStart w:id="379" w:name="_Toc201673978"/>
      <w:bookmarkStart w:id="380" w:name="_Toc210833611"/>
      <w:bookmarkStart w:id="381" w:name="_Toc214456511"/>
      <w:bookmarkStart w:id="382" w:name="_Toc221087990"/>
      <w:bookmarkStart w:id="383" w:name="_Toc165886245"/>
      <w:bookmarkStart w:id="384" w:name="_Toc531357140"/>
      <w:bookmarkStart w:id="385" w:name="_Toc167133834"/>
      <w:bookmarkStart w:id="386" w:name="_Toc168579025"/>
      <w:r w:rsidRPr="00261C59">
        <w:rPr>
          <w:rFonts w:ascii="Corbel" w:hAnsi="Corbel"/>
          <w:color w:val="3D4B67"/>
          <w:sz w:val="28"/>
          <w:szCs w:val="48"/>
          <w:lang w:eastAsia="ja-JP"/>
        </w:rPr>
        <w:t>Private or not-for-profit provision of public hospital and health services</w:t>
      </w:r>
      <w:bookmarkEnd w:id="374"/>
      <w:bookmarkEnd w:id="375"/>
      <w:bookmarkEnd w:id="376"/>
      <w:bookmarkEnd w:id="377"/>
      <w:bookmarkEnd w:id="378"/>
      <w:bookmarkEnd w:id="379"/>
      <w:bookmarkEnd w:id="380"/>
      <w:bookmarkEnd w:id="381"/>
      <w:bookmarkEnd w:id="382"/>
      <w:r w:rsidRPr="00261C59">
        <w:rPr>
          <w:rFonts w:ascii="Corbel" w:hAnsi="Corbel"/>
          <w:color w:val="3D4B67"/>
          <w:sz w:val="28"/>
          <w:szCs w:val="48"/>
          <w:lang w:eastAsia="ja-JP"/>
        </w:rPr>
        <w:t xml:space="preserve"> </w:t>
      </w:r>
    </w:p>
    <w:p w14:paraId="25114CB6"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Where a State contracts with a private or not-for-profit provider to operate a public hospital, that hospital will be treated as a public hospital for the purposes of this Addendum, and may be, or form part of, a LHN. This arrangement will apply to existing contracts, and contracts entered into after the Addendum commences.</w:t>
      </w:r>
    </w:p>
    <w:p w14:paraId="23B8A807"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Hospitals owned by charitable organisations that are recognised as public hospitals, whether by legislation or by other arrangements, will be treated as a public hospital for the purposes of this Addendum, and may be, or form part of, a LHN.</w:t>
      </w:r>
    </w:p>
    <w:p w14:paraId="7E12DA13" w14:textId="77777777" w:rsidR="00271836" w:rsidRPr="00261C59" w:rsidRDefault="00271836" w:rsidP="004728D9">
      <w:pPr>
        <w:numPr>
          <w:ilvl w:val="0"/>
          <w:numId w:val="54"/>
        </w:numPr>
        <w:spacing w:after="240" w:line="260" w:lineRule="exact"/>
        <w:jc w:val="left"/>
        <w:rPr>
          <w:rFonts w:ascii="Calibri" w:hAnsi="Calibri"/>
          <w:sz w:val="24"/>
        </w:rPr>
      </w:pPr>
      <w:r w:rsidRPr="00261C59">
        <w:rPr>
          <w:rFonts w:ascii="Calibri" w:hAnsi="Calibri"/>
          <w:sz w:val="24"/>
          <w:szCs w:val="24"/>
        </w:rPr>
        <w:t>Other public hospital and health services provided by the private or not-for-profit sector can be contracted in the following ways:</w:t>
      </w:r>
    </w:p>
    <w:p w14:paraId="3444FA52" w14:textId="556ACB26" w:rsidR="00271836" w:rsidRPr="00261C59" w:rsidRDefault="00271836" w:rsidP="00E84BBB">
      <w:pPr>
        <w:keepLines/>
        <w:numPr>
          <w:ilvl w:val="1"/>
          <w:numId w:val="54"/>
        </w:numPr>
        <w:spacing w:after="240" w:line="260" w:lineRule="exact"/>
        <w:jc w:val="left"/>
        <w:rPr>
          <w:rFonts w:ascii="Calibri" w:hAnsi="Calibri"/>
          <w:sz w:val="24"/>
          <w:szCs w:val="24"/>
        </w:rPr>
      </w:pPr>
      <w:r w:rsidRPr="7B1A1E71">
        <w:rPr>
          <w:rFonts w:ascii="Calibri" w:hAnsi="Calibri"/>
          <w:sz w:val="24"/>
          <w:szCs w:val="24"/>
        </w:rPr>
        <w:t>the State may contract centrally and establish a notional ‘contracted services LHN’ which is not required to meet usual LHN governance arrangements</w:t>
      </w:r>
    </w:p>
    <w:p w14:paraId="5543F986" w14:textId="77777777"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LHNs may enter into individual contracts with the private or not-for-profit sectors, which can include ACCHOs, Aboriginal Medical Services and Primary Health Networks.</w:t>
      </w:r>
    </w:p>
    <w:p w14:paraId="2BC86C70" w14:textId="77777777" w:rsidR="00271836" w:rsidRPr="00261C59" w:rsidRDefault="00271836" w:rsidP="006E0A52">
      <w:pPr>
        <w:keepNext/>
        <w:keepLines/>
        <w:numPr>
          <w:ilvl w:val="0"/>
          <w:numId w:val="54"/>
        </w:numPr>
        <w:spacing w:after="240" w:line="260" w:lineRule="exact"/>
        <w:jc w:val="left"/>
        <w:rPr>
          <w:rFonts w:ascii="Calibri" w:hAnsi="Calibri"/>
          <w:sz w:val="24"/>
          <w:szCs w:val="24"/>
        </w:rPr>
      </w:pPr>
      <w:r w:rsidRPr="00261C59">
        <w:rPr>
          <w:rFonts w:ascii="Calibri" w:hAnsi="Calibri"/>
          <w:sz w:val="24"/>
          <w:szCs w:val="24"/>
        </w:rPr>
        <w:lastRenderedPageBreak/>
        <w:t>For any services provided by the private or not for profit sector on behalf of the LHN, the State will provide information on forecast and actual contracted activity to the Administrator as part of the annual reconciliation process. This will include:</w:t>
      </w:r>
    </w:p>
    <w:p w14:paraId="42F4C799" w14:textId="2035DD8C" w:rsidR="00271836" w:rsidRPr="00261C59" w:rsidRDefault="00271836" w:rsidP="00C6152C">
      <w:pPr>
        <w:widowControl/>
        <w:numPr>
          <w:ilvl w:val="1"/>
          <w:numId w:val="54"/>
        </w:numPr>
        <w:spacing w:after="240" w:line="260" w:lineRule="exact"/>
        <w:jc w:val="left"/>
        <w:rPr>
          <w:rFonts w:ascii="Calibri" w:hAnsi="Calibri"/>
          <w:sz w:val="24"/>
          <w:szCs w:val="24"/>
        </w:rPr>
      </w:pPr>
      <w:r w:rsidRPr="7B1A1E71">
        <w:rPr>
          <w:rFonts w:ascii="Calibri" w:hAnsi="Calibri"/>
          <w:sz w:val="24"/>
          <w:szCs w:val="24"/>
        </w:rPr>
        <w:t>the same type, level, and specificity of data as otherwise required of LHNs under this Addendum</w:t>
      </w:r>
    </w:p>
    <w:p w14:paraId="439A1A4A" w14:textId="77777777"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the volume, weight and type of organisation(s) for services provided.</w:t>
      </w:r>
    </w:p>
    <w:p w14:paraId="09EF5D55"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Commonwealth will provide funding for the contracted activity through the National Health Funding Pool to the State. IHACPA-determined loadings will apply in respect of patient characteristics, and service location.</w:t>
      </w:r>
    </w:p>
    <w:p w14:paraId="3EDC2E31" w14:textId="6117B44F" w:rsidR="00271836" w:rsidRPr="00261C59" w:rsidRDefault="00271836" w:rsidP="004728D9">
      <w:pPr>
        <w:keepLines/>
        <w:widowControl/>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Public hospital and health services provided under contract between a State or LHN and a private or not-for-profit service provider will be treated as being provided by public hospitals or health services, consistent with the approach outlined in clauses </w:t>
      </w:r>
      <w:r w:rsidRPr="00261C59">
        <w:rPr>
          <w:rFonts w:ascii="Calibri" w:hAnsi="Calibri"/>
          <w:sz w:val="24"/>
        </w:rPr>
        <w:t>A1</w:t>
      </w:r>
      <w:r w:rsidR="004F0A15" w:rsidRPr="00261C59">
        <w:rPr>
          <w:rFonts w:ascii="Calibri" w:hAnsi="Calibri"/>
          <w:sz w:val="24"/>
        </w:rPr>
        <w:t>00</w:t>
      </w:r>
      <w:r w:rsidRPr="00261C59">
        <w:rPr>
          <w:rFonts w:ascii="Calibri" w:hAnsi="Calibri"/>
          <w:sz w:val="24"/>
        </w:rPr>
        <w:t xml:space="preserve"> to A</w:t>
      </w:r>
      <w:r w:rsidR="004F0A15" w:rsidRPr="00261C59">
        <w:rPr>
          <w:rFonts w:ascii="Calibri" w:hAnsi="Calibri"/>
          <w:sz w:val="24"/>
        </w:rPr>
        <w:t>110</w:t>
      </w:r>
      <w:r w:rsidRPr="00261C59">
        <w:rPr>
          <w:rFonts w:ascii="Calibri" w:hAnsi="Calibri"/>
          <w:sz w:val="24"/>
          <w:szCs w:val="24"/>
        </w:rPr>
        <w:t xml:space="preserve"> to determine eligibility for a Commonwealth funding contribution.</w:t>
      </w:r>
    </w:p>
    <w:p w14:paraId="1FE4DD01" w14:textId="77777777" w:rsidR="00271836" w:rsidRPr="00261C59" w:rsidRDefault="00271836" w:rsidP="00F57DFB">
      <w:pPr>
        <w:keepNext/>
        <w:jc w:val="left"/>
        <w:outlineLvl w:val="2"/>
        <w:rPr>
          <w:rFonts w:ascii="Corbel" w:hAnsi="Corbel"/>
          <w:color w:val="3D4B67"/>
          <w:sz w:val="28"/>
          <w:szCs w:val="48"/>
          <w:lang w:eastAsia="ja-JP"/>
        </w:rPr>
      </w:pPr>
      <w:bookmarkStart w:id="387" w:name="_Toc173937724"/>
      <w:bookmarkStart w:id="388" w:name="_Toc171350377"/>
      <w:bookmarkStart w:id="389" w:name="_Toc172210258"/>
      <w:bookmarkStart w:id="390" w:name="_Toc172787708"/>
      <w:bookmarkStart w:id="391" w:name="_Toc183183321"/>
      <w:bookmarkStart w:id="392" w:name="_Toc201673979"/>
      <w:bookmarkStart w:id="393" w:name="_Toc210833612"/>
      <w:bookmarkStart w:id="394" w:name="_Toc214456512"/>
      <w:bookmarkStart w:id="395" w:name="_Toc221087991"/>
      <w:r w:rsidRPr="00261C59">
        <w:rPr>
          <w:rFonts w:ascii="Corbel" w:hAnsi="Corbel"/>
          <w:color w:val="3D4B67"/>
          <w:sz w:val="28"/>
          <w:szCs w:val="48"/>
          <w:lang w:eastAsia="ja-JP"/>
        </w:rPr>
        <w:t>Cross-border arrangements</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29FF229E" w14:textId="77777777" w:rsidR="00271836" w:rsidRPr="00261C59" w:rsidRDefault="00271836" w:rsidP="004728D9">
      <w:pPr>
        <w:widowControl/>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Arrangements in this section of the Addendum seek to provide an efficient and nationally consistent approach to cross-border arrangements between Parties. </w:t>
      </w:r>
      <w:bookmarkStart w:id="396" w:name="_Hlk165643063"/>
    </w:p>
    <w:bookmarkEnd w:id="396"/>
    <w:p w14:paraId="3BDFC42A"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All cross-border arrangements established under the relevant section of the 2020-2025 Addendum expire on 30 June 2026, unless all Parties to such an arrangement have agreed otherwise in writing.</w:t>
      </w:r>
    </w:p>
    <w:p w14:paraId="12756503"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following applies to cross-border hospital and health services: </w:t>
      </w:r>
    </w:p>
    <w:p w14:paraId="3CB0F131" w14:textId="75AEEBEB"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 xml:space="preserve">the resident State (the State where a patient normally resides) will pay for services (excluding the Commonwealth contribution arrangements discussed below) where its resident receives treatment in another jurisdiction (a provider State) </w:t>
      </w:r>
    </w:p>
    <w:p w14:paraId="6B21BB1E" w14:textId="0149D1CD"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 xml:space="preserve">for cross-border purposes, services </w:t>
      </w:r>
      <w:r w:rsidR="00DE376E" w:rsidRPr="7B1A1E71">
        <w:rPr>
          <w:rFonts w:ascii="Calibri" w:hAnsi="Calibri"/>
          <w:sz w:val="24"/>
          <w:szCs w:val="24"/>
        </w:rPr>
        <w:t xml:space="preserve">are </w:t>
      </w:r>
      <w:r w:rsidRPr="7B1A1E71">
        <w:rPr>
          <w:rFonts w:ascii="Calibri" w:hAnsi="Calibri"/>
          <w:sz w:val="24"/>
          <w:szCs w:val="24"/>
        </w:rPr>
        <w:t xml:space="preserve">those provided under </w:t>
      </w:r>
      <w:r w:rsidR="00DE376E" w:rsidRPr="7B1A1E71">
        <w:rPr>
          <w:rFonts w:ascii="Calibri" w:hAnsi="Calibri"/>
          <w:sz w:val="24"/>
          <w:szCs w:val="24"/>
        </w:rPr>
        <w:t>activity based and block funded</w:t>
      </w:r>
      <w:r w:rsidRPr="7B1A1E71">
        <w:rPr>
          <w:rFonts w:ascii="Calibri" w:hAnsi="Calibri"/>
          <w:sz w:val="24"/>
          <w:szCs w:val="24"/>
        </w:rPr>
        <w:t xml:space="preserve"> streams funded through this Addendum at clause A</w:t>
      </w:r>
      <w:r w:rsidR="000A5016" w:rsidRPr="7B1A1E71">
        <w:rPr>
          <w:rFonts w:ascii="Calibri" w:hAnsi="Calibri"/>
          <w:sz w:val="24"/>
          <w:szCs w:val="24"/>
        </w:rPr>
        <w:t>8</w:t>
      </w:r>
      <w:r w:rsidRPr="7B1A1E71">
        <w:rPr>
          <w:rFonts w:ascii="Calibri" w:hAnsi="Calibri"/>
          <w:sz w:val="24"/>
          <w:szCs w:val="24"/>
        </w:rPr>
        <w:t>.</w:t>
      </w:r>
      <w:r w:rsidR="000A5016" w:rsidRPr="7B1A1E71">
        <w:rPr>
          <w:rFonts w:ascii="Calibri" w:hAnsi="Calibri"/>
          <w:sz w:val="24"/>
          <w:szCs w:val="24"/>
        </w:rPr>
        <w:t xml:space="preserve"> Public Health funding and Service Model Reform Funding streams are excluded</w:t>
      </w:r>
    </w:p>
    <w:p w14:paraId="08145155" w14:textId="12A3DAC3" w:rsidR="00271836" w:rsidRPr="00261C59" w:rsidRDefault="00527427" w:rsidP="004728D9">
      <w:pPr>
        <w:numPr>
          <w:ilvl w:val="1"/>
          <w:numId w:val="54"/>
        </w:numPr>
        <w:spacing w:after="240" w:line="260" w:lineRule="exact"/>
        <w:jc w:val="left"/>
        <w:rPr>
          <w:rFonts w:ascii="Calibri" w:hAnsi="Calibri"/>
          <w:sz w:val="24"/>
          <w:szCs w:val="24"/>
        </w:rPr>
      </w:pPr>
      <w:r>
        <w:rPr>
          <w:rFonts w:ascii="Calibri" w:hAnsi="Calibri"/>
          <w:sz w:val="24"/>
          <w:szCs w:val="24"/>
        </w:rPr>
        <w:t>w</w:t>
      </w:r>
      <w:r w:rsidR="00271836" w:rsidRPr="00261C59">
        <w:rPr>
          <w:rFonts w:ascii="Calibri" w:hAnsi="Calibri"/>
          <w:sz w:val="24"/>
          <w:szCs w:val="24"/>
        </w:rPr>
        <w:t>here a resident of a Territory or Island administered by the Australian Government receives treatment in a provider State, the following apply:</w:t>
      </w:r>
    </w:p>
    <w:p w14:paraId="0E80DEDB" w14:textId="7D84099F" w:rsidR="00271836" w:rsidRPr="00261C59" w:rsidRDefault="00271836" w:rsidP="004728D9">
      <w:pPr>
        <w:numPr>
          <w:ilvl w:val="2"/>
          <w:numId w:val="70"/>
        </w:numPr>
        <w:spacing w:after="240" w:line="260" w:lineRule="exact"/>
        <w:ind w:left="1842" w:hanging="181"/>
        <w:jc w:val="left"/>
        <w:rPr>
          <w:rFonts w:ascii="Calibri" w:hAnsi="Calibri"/>
          <w:sz w:val="24"/>
          <w:szCs w:val="24"/>
        </w:rPr>
      </w:pPr>
      <w:r w:rsidRPr="7B1A1E71">
        <w:rPr>
          <w:rFonts w:ascii="Calibri" w:hAnsi="Calibri"/>
          <w:sz w:val="24"/>
          <w:szCs w:val="24"/>
        </w:rPr>
        <w:t>all cross-border arrangements established under the 2020-2025 Addendum or otherwise agreed between Parties expire on 30 June 2026</w:t>
      </w:r>
    </w:p>
    <w:p w14:paraId="00F23B26" w14:textId="5EB7C617" w:rsidR="00271836" w:rsidRPr="00261C59" w:rsidRDefault="00271836" w:rsidP="004728D9">
      <w:pPr>
        <w:numPr>
          <w:ilvl w:val="2"/>
          <w:numId w:val="70"/>
        </w:numPr>
        <w:spacing w:after="240" w:line="260" w:lineRule="exact"/>
        <w:jc w:val="left"/>
        <w:rPr>
          <w:rFonts w:ascii="Calibri" w:hAnsi="Calibri"/>
          <w:sz w:val="24"/>
          <w:szCs w:val="24"/>
        </w:rPr>
      </w:pPr>
      <w:r w:rsidRPr="7B1A1E71">
        <w:rPr>
          <w:rFonts w:ascii="Calibri" w:hAnsi="Calibri"/>
          <w:sz w:val="24"/>
          <w:szCs w:val="24"/>
        </w:rPr>
        <w:t xml:space="preserve">any activities delivered up to 30 June 2026 will be subject to the previous bilateral arrangements referred to at </w:t>
      </w:r>
      <w:r w:rsidR="00AE3A7D" w:rsidRPr="7B1A1E71">
        <w:rPr>
          <w:rFonts w:ascii="Calibri" w:hAnsi="Calibri"/>
          <w:sz w:val="24"/>
          <w:szCs w:val="24"/>
        </w:rPr>
        <w:t xml:space="preserve">subclause </w:t>
      </w:r>
      <w:r w:rsidRPr="7B1A1E71">
        <w:rPr>
          <w:rFonts w:ascii="Calibri" w:hAnsi="Calibri"/>
          <w:sz w:val="24"/>
          <w:szCs w:val="24"/>
        </w:rPr>
        <w:t>A</w:t>
      </w:r>
      <w:r w:rsidR="00D34436" w:rsidRPr="7B1A1E71">
        <w:rPr>
          <w:rFonts w:ascii="Calibri" w:hAnsi="Calibri"/>
          <w:sz w:val="24"/>
          <w:szCs w:val="24"/>
        </w:rPr>
        <w:t>195</w:t>
      </w:r>
      <w:r w:rsidRPr="7B1A1E71">
        <w:rPr>
          <w:rFonts w:ascii="Calibri" w:hAnsi="Calibri"/>
          <w:sz w:val="24"/>
          <w:szCs w:val="24"/>
        </w:rPr>
        <w:t>(c)(i)</w:t>
      </w:r>
    </w:p>
    <w:p w14:paraId="4397EA6F" w14:textId="0C99F9C6" w:rsidR="00271836" w:rsidRPr="00261C59" w:rsidRDefault="00271836" w:rsidP="004728D9">
      <w:pPr>
        <w:numPr>
          <w:ilvl w:val="2"/>
          <w:numId w:val="70"/>
        </w:numPr>
        <w:spacing w:after="240" w:line="260" w:lineRule="exact"/>
        <w:jc w:val="left"/>
        <w:rPr>
          <w:rFonts w:ascii="Calibri" w:hAnsi="Calibri"/>
          <w:sz w:val="24"/>
          <w:szCs w:val="24"/>
        </w:rPr>
      </w:pPr>
      <w:r w:rsidRPr="7B1A1E71">
        <w:rPr>
          <w:rFonts w:ascii="Calibri" w:hAnsi="Calibri"/>
          <w:sz w:val="24"/>
          <w:szCs w:val="24"/>
        </w:rPr>
        <w:t xml:space="preserve">from 1 July 2026 onwards, the Commonwealth will pay 100 per cent of the National Efficient Price </w:t>
      </w:r>
      <w:r w:rsidR="00BA615D" w:rsidRPr="7B1A1E71">
        <w:rPr>
          <w:rFonts w:ascii="Calibri" w:hAnsi="Calibri"/>
          <w:sz w:val="24"/>
          <w:szCs w:val="24"/>
        </w:rPr>
        <w:t xml:space="preserve">(NEP) </w:t>
      </w:r>
      <w:r w:rsidRPr="7B1A1E71">
        <w:rPr>
          <w:rFonts w:ascii="Calibri" w:hAnsi="Calibri"/>
          <w:sz w:val="24"/>
          <w:szCs w:val="24"/>
        </w:rPr>
        <w:t>for that service to the provider State</w:t>
      </w:r>
    </w:p>
    <w:p w14:paraId="360981D6" w14:textId="371D3CFC" w:rsidR="00271836" w:rsidRPr="00261C59" w:rsidRDefault="00271836" w:rsidP="004728D9">
      <w:pPr>
        <w:numPr>
          <w:ilvl w:val="2"/>
          <w:numId w:val="70"/>
        </w:numPr>
        <w:spacing w:after="240" w:line="260" w:lineRule="exact"/>
        <w:jc w:val="left"/>
        <w:rPr>
          <w:rFonts w:ascii="Calibri" w:hAnsi="Calibri"/>
          <w:sz w:val="24"/>
          <w:szCs w:val="24"/>
        </w:rPr>
      </w:pPr>
      <w:r w:rsidRPr="7B1A1E71">
        <w:rPr>
          <w:rFonts w:ascii="Calibri" w:hAnsi="Calibri"/>
          <w:sz w:val="24"/>
          <w:szCs w:val="24"/>
        </w:rPr>
        <w:t xml:space="preserve">for services delivered as per </w:t>
      </w:r>
      <w:r w:rsidR="00AE3A7D" w:rsidRPr="7B1A1E71">
        <w:rPr>
          <w:rFonts w:ascii="Calibri" w:hAnsi="Calibri"/>
          <w:sz w:val="24"/>
          <w:szCs w:val="24"/>
        </w:rPr>
        <w:t xml:space="preserve">subclause </w:t>
      </w:r>
      <w:r w:rsidRPr="7B1A1E71">
        <w:rPr>
          <w:rFonts w:ascii="Calibri" w:hAnsi="Calibri"/>
          <w:sz w:val="24"/>
          <w:szCs w:val="24"/>
        </w:rPr>
        <w:t>A</w:t>
      </w:r>
      <w:r w:rsidR="00D34436" w:rsidRPr="7B1A1E71">
        <w:rPr>
          <w:rFonts w:ascii="Calibri" w:hAnsi="Calibri"/>
          <w:sz w:val="24"/>
          <w:szCs w:val="24"/>
        </w:rPr>
        <w:t>195</w:t>
      </w:r>
      <w:r w:rsidRPr="7B1A1E71">
        <w:rPr>
          <w:rFonts w:ascii="Calibri" w:hAnsi="Calibri"/>
          <w:sz w:val="24"/>
          <w:szCs w:val="24"/>
        </w:rPr>
        <w:t>(c)(iii), Commonwealth payment arrangements will occur as set out in Part 4 of this Schedule and will be exempt from the provider State’s funding cap</w:t>
      </w:r>
    </w:p>
    <w:p w14:paraId="25C6BC98" w14:textId="7CC2BE99" w:rsidR="00271836" w:rsidRPr="00261C59" w:rsidRDefault="00271836" w:rsidP="00B27696">
      <w:pPr>
        <w:keepLines/>
        <w:numPr>
          <w:ilvl w:val="2"/>
          <w:numId w:val="70"/>
        </w:numPr>
        <w:spacing w:after="240" w:line="260" w:lineRule="exact"/>
        <w:ind w:left="1842" w:hanging="181"/>
        <w:jc w:val="left"/>
        <w:rPr>
          <w:rFonts w:ascii="Calibri" w:hAnsi="Calibri"/>
          <w:sz w:val="24"/>
          <w:szCs w:val="24"/>
        </w:rPr>
      </w:pPr>
      <w:r w:rsidRPr="7B1A1E71">
        <w:rPr>
          <w:rFonts w:ascii="Calibri" w:hAnsi="Calibri"/>
          <w:sz w:val="24"/>
          <w:szCs w:val="24"/>
        </w:rPr>
        <w:lastRenderedPageBreak/>
        <w:t xml:space="preserve">for the purposes of </w:t>
      </w:r>
      <w:r w:rsidR="00AE3A7D" w:rsidRPr="7B1A1E71">
        <w:rPr>
          <w:rFonts w:ascii="Calibri" w:hAnsi="Calibri"/>
          <w:sz w:val="24"/>
          <w:szCs w:val="24"/>
        </w:rPr>
        <w:t>subclauses</w:t>
      </w:r>
      <w:r w:rsidRPr="7B1A1E71">
        <w:rPr>
          <w:rFonts w:ascii="Calibri" w:hAnsi="Calibri"/>
          <w:sz w:val="24"/>
          <w:szCs w:val="24"/>
        </w:rPr>
        <w:t xml:space="preserve"> A</w:t>
      </w:r>
      <w:r w:rsidR="00D34436" w:rsidRPr="7B1A1E71">
        <w:rPr>
          <w:rFonts w:ascii="Calibri" w:hAnsi="Calibri"/>
          <w:sz w:val="24"/>
          <w:szCs w:val="24"/>
        </w:rPr>
        <w:t>195</w:t>
      </w:r>
      <w:r w:rsidRPr="7B1A1E71">
        <w:rPr>
          <w:rFonts w:ascii="Calibri" w:hAnsi="Calibri"/>
          <w:sz w:val="24"/>
          <w:szCs w:val="24"/>
        </w:rPr>
        <w:t xml:space="preserve">(e) to (g), the Commonwealth will only act as the resident State to meet the cost of medical transfers from and to Norfolk Island and the Indian Ocean Territories, and these costs will be met by the Australian Government Department of Infrastructure, Transport, Regional Development, Communications, </w:t>
      </w:r>
      <w:r w:rsidR="005B40CC" w:rsidRPr="7B1A1E71">
        <w:rPr>
          <w:rFonts w:ascii="Calibri" w:hAnsi="Calibri"/>
          <w:sz w:val="24"/>
          <w:szCs w:val="24"/>
        </w:rPr>
        <w:t xml:space="preserve">Sport </w:t>
      </w:r>
      <w:r w:rsidRPr="7B1A1E71">
        <w:rPr>
          <w:rFonts w:ascii="Calibri" w:hAnsi="Calibri"/>
          <w:sz w:val="24"/>
          <w:szCs w:val="24"/>
        </w:rPr>
        <w:t xml:space="preserve">and the Arts in line with existing arrangements and where appropriate </w:t>
      </w:r>
    </w:p>
    <w:p w14:paraId="543DE27E" w14:textId="2FDC739C" w:rsidR="00271836" w:rsidRPr="00261C59" w:rsidRDefault="00271836" w:rsidP="004728D9">
      <w:pPr>
        <w:numPr>
          <w:ilvl w:val="2"/>
          <w:numId w:val="70"/>
        </w:numPr>
        <w:spacing w:after="240" w:line="260" w:lineRule="exact"/>
        <w:jc w:val="left"/>
        <w:rPr>
          <w:rFonts w:ascii="Calibri" w:hAnsi="Calibri"/>
          <w:sz w:val="24"/>
          <w:szCs w:val="24"/>
        </w:rPr>
      </w:pPr>
      <w:r w:rsidRPr="7B1A1E71">
        <w:rPr>
          <w:rFonts w:ascii="Calibri" w:hAnsi="Calibri"/>
          <w:sz w:val="24"/>
          <w:szCs w:val="24"/>
        </w:rPr>
        <w:t>to assist with these functions, these residents will be appropriately classified as being from a Territory or Island administered by the Australian Government and reported separately by the Administrator, with assistance from the Commonwealth and provider State</w:t>
      </w:r>
    </w:p>
    <w:p w14:paraId="6526DC5B" w14:textId="44FFBABF"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in instances where safety, quality, and value-based adjustments have been applied, funding from the resident State to the provider State will not increase to offset the reduced Commonwealth contribution for those services</w:t>
      </w:r>
    </w:p>
    <w:p w14:paraId="1EE06E12" w14:textId="46ADFB3C"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 xml:space="preserve">where a patient is transferred from their resident State to another jurisdiction for treatment, the referring hospital is to meet the costs of medical transfers </w:t>
      </w:r>
    </w:p>
    <w:p w14:paraId="22EB684E" w14:textId="1244A89A"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where a patient is transferred at the request of a clinician from a provider State to another hospital within that State, or to another provider State, the resident State is to meet the costs of medical transfers</w:t>
      </w:r>
    </w:p>
    <w:p w14:paraId="3C0D41EB" w14:textId="731639D4"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 xml:space="preserve">where a patient is transferred from another jurisdiction to their resident State for treatment, the resident State is to meet the costs of medical transfers </w:t>
      </w:r>
    </w:p>
    <w:p w14:paraId="23748448" w14:textId="6DF16085" w:rsidR="0073427F" w:rsidRPr="00261C59" w:rsidRDefault="0073427F" w:rsidP="00830547">
      <w:pPr>
        <w:numPr>
          <w:ilvl w:val="1"/>
          <w:numId w:val="54"/>
        </w:numPr>
        <w:spacing w:after="240" w:line="260" w:lineRule="exact"/>
        <w:jc w:val="left"/>
        <w:rPr>
          <w:rFonts w:ascii="Calibri" w:hAnsi="Calibri"/>
          <w:sz w:val="24"/>
          <w:szCs w:val="24"/>
        </w:rPr>
      </w:pPr>
      <w:r w:rsidRPr="7B1A1E71">
        <w:rPr>
          <w:rFonts w:ascii="Calibri" w:hAnsi="Calibri"/>
          <w:sz w:val="24"/>
          <w:szCs w:val="24"/>
        </w:rPr>
        <w:t>where a patient is transferred as outlined in clauses A</w:t>
      </w:r>
      <w:r w:rsidR="002F6DF0" w:rsidRPr="7B1A1E71">
        <w:rPr>
          <w:rFonts w:ascii="Calibri" w:hAnsi="Calibri"/>
          <w:sz w:val="24"/>
          <w:szCs w:val="24"/>
        </w:rPr>
        <w:t>195</w:t>
      </w:r>
      <w:r w:rsidRPr="7B1A1E71">
        <w:rPr>
          <w:rFonts w:ascii="Calibri" w:hAnsi="Calibri"/>
          <w:sz w:val="24"/>
          <w:szCs w:val="24"/>
        </w:rPr>
        <w:t xml:space="preserve"> (f) and (g), the medical transfer costs are excluded from cross-border reconciliations and subject to separate reimbursement agreed between jurisdictions. States and territories will designate a point of contact to action these clauses</w:t>
      </w:r>
    </w:p>
    <w:p w14:paraId="63A69615" w14:textId="45943A21"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patient out-of-pocket costs related to discharge home from the provider State will be met through the patient’s resident State travel assistance scheme, where appropriate</w:t>
      </w:r>
    </w:p>
    <w:p w14:paraId="08D888F0" w14:textId="474D91D2"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Commonwealth and State payment flows associated with cross-border services should be administratively simple, and, where possible, consistent with the broader arrangements of this Addendum</w:t>
      </w:r>
    </w:p>
    <w:p w14:paraId="760A027A" w14:textId="2EC6D63D"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cross-border payment arrangements should not result in any unintended GST distribution effects</w:t>
      </w:r>
    </w:p>
    <w:p w14:paraId="790DF15C" w14:textId="6A109615"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 xml:space="preserve">States recognise their commitment under the Medicare </w:t>
      </w:r>
      <w:r w:rsidR="008C5DD6" w:rsidRPr="7B1A1E71">
        <w:rPr>
          <w:rFonts w:ascii="Calibri" w:hAnsi="Calibri"/>
          <w:sz w:val="24"/>
          <w:szCs w:val="24"/>
        </w:rPr>
        <w:t>P</w:t>
      </w:r>
      <w:r w:rsidRPr="7B1A1E71">
        <w:rPr>
          <w:rFonts w:ascii="Calibri" w:hAnsi="Calibri"/>
          <w:sz w:val="24"/>
          <w:szCs w:val="24"/>
        </w:rPr>
        <w:t xml:space="preserve">rinciples at </w:t>
      </w:r>
      <w:r w:rsidR="0052142F" w:rsidRPr="7B1A1E71">
        <w:rPr>
          <w:rFonts w:ascii="Calibri" w:hAnsi="Calibri"/>
          <w:sz w:val="24"/>
          <w:szCs w:val="24"/>
        </w:rPr>
        <w:t>Preliminaries</w:t>
      </w:r>
      <w:r w:rsidRPr="7B1A1E71">
        <w:rPr>
          <w:rFonts w:ascii="Calibri" w:hAnsi="Calibri"/>
          <w:sz w:val="24"/>
          <w:szCs w:val="24"/>
        </w:rPr>
        <w:t xml:space="preserve"> clause 2</w:t>
      </w:r>
      <w:r w:rsidR="0052142F" w:rsidRPr="7B1A1E71">
        <w:rPr>
          <w:rFonts w:ascii="Calibri" w:hAnsi="Calibri"/>
          <w:sz w:val="24"/>
          <w:szCs w:val="24"/>
        </w:rPr>
        <w:t>1</w:t>
      </w:r>
      <w:r w:rsidRPr="7B1A1E71">
        <w:rPr>
          <w:rFonts w:ascii="Calibri" w:hAnsi="Calibri"/>
          <w:sz w:val="24"/>
          <w:szCs w:val="24"/>
        </w:rPr>
        <w:t>, which require treatment to be prioritised based on clinical need</w:t>
      </w:r>
    </w:p>
    <w:p w14:paraId="26F15E1E" w14:textId="5157D042"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both States should have the opportunity to engage in setting cross-border activity estimates and variations, where this is not linked to payments and as such, would not involve shifting costs or risks</w:t>
      </w:r>
    </w:p>
    <w:p w14:paraId="14B47CF1" w14:textId="77777777"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 xml:space="preserve">there should be transparency of cross-border patient and funding flows. </w:t>
      </w:r>
    </w:p>
    <w:p w14:paraId="6B29ED6F" w14:textId="77777777" w:rsidR="00271836" w:rsidRPr="00261C59" w:rsidRDefault="00271836" w:rsidP="005460E8">
      <w:pPr>
        <w:keepNext/>
        <w:keepLines/>
        <w:spacing w:before="200"/>
        <w:jc w:val="left"/>
        <w:outlineLvl w:val="3"/>
        <w:rPr>
          <w:rFonts w:eastAsia="Yu Gothic Light"/>
          <w:b/>
          <w:bCs/>
          <w:iCs/>
        </w:rPr>
      </w:pPr>
      <w:bookmarkStart w:id="397" w:name="_Toc38537174"/>
      <w:bookmarkStart w:id="398" w:name="_Toc167133835"/>
      <w:r w:rsidRPr="00261C59">
        <w:rPr>
          <w:rFonts w:eastAsia="Yu Gothic Light"/>
          <w:b/>
          <w:bCs/>
          <w:iCs/>
        </w:rPr>
        <w:lastRenderedPageBreak/>
        <w:t>Reconciliation and funding flows</w:t>
      </w:r>
      <w:bookmarkEnd w:id="397"/>
      <w:bookmarkEnd w:id="398"/>
      <w:r w:rsidRPr="00261C59">
        <w:rPr>
          <w:rFonts w:eastAsia="Yu Gothic Light"/>
          <w:b/>
          <w:bCs/>
          <w:iCs/>
        </w:rPr>
        <w:t xml:space="preserve"> </w:t>
      </w:r>
    </w:p>
    <w:p w14:paraId="4286AAE5" w14:textId="2FC0B45A" w:rsidR="00271836" w:rsidRPr="00261C59" w:rsidRDefault="00271836" w:rsidP="00955FDA">
      <w:pPr>
        <w:keepNext/>
        <w:keepLines/>
        <w:numPr>
          <w:ilvl w:val="0"/>
          <w:numId w:val="54"/>
        </w:numPr>
        <w:spacing w:after="240" w:line="260" w:lineRule="exact"/>
        <w:jc w:val="left"/>
        <w:rPr>
          <w:rFonts w:ascii="Calibri" w:hAnsi="Calibri"/>
          <w:sz w:val="24"/>
          <w:szCs w:val="24"/>
        </w:rPr>
      </w:pPr>
      <w:bookmarkStart w:id="399" w:name="_Hlk165882029"/>
      <w:r w:rsidRPr="00261C59">
        <w:rPr>
          <w:rFonts w:ascii="Calibri" w:hAnsi="Calibri"/>
          <w:sz w:val="24"/>
          <w:szCs w:val="24"/>
        </w:rPr>
        <w:t xml:space="preserve">The cross-border reconciliation process will be incorporated into the annual reconciliation process with the Administrator responsible for calculating and advising States (and the Commonwealth in relation to </w:t>
      </w:r>
      <w:bookmarkStart w:id="400" w:name="_Hlk166243508"/>
      <w:r w:rsidRPr="00261C59">
        <w:rPr>
          <w:rFonts w:ascii="Calibri" w:hAnsi="Calibri"/>
          <w:sz w:val="24"/>
          <w:szCs w:val="24"/>
        </w:rPr>
        <w:t>Australian Government administered Territories or Islands</w:t>
      </w:r>
      <w:bookmarkEnd w:id="400"/>
      <w:r w:rsidRPr="00261C59">
        <w:rPr>
          <w:rFonts w:ascii="Calibri" w:hAnsi="Calibri"/>
          <w:sz w:val="24"/>
          <w:szCs w:val="24"/>
        </w:rPr>
        <w:t xml:space="preserve">) of cross-border contributions </w:t>
      </w:r>
      <w:r w:rsidR="00817203" w:rsidRPr="00261C59">
        <w:rPr>
          <w:rFonts w:ascii="Calibri" w:hAnsi="Calibri"/>
          <w:sz w:val="24"/>
          <w:szCs w:val="24"/>
        </w:rPr>
        <w:t>from the Commonwealth and resident State</w:t>
      </w:r>
      <w:r w:rsidRPr="00261C59">
        <w:rPr>
          <w:rFonts w:ascii="Calibri" w:hAnsi="Calibri"/>
          <w:sz w:val="24"/>
          <w:szCs w:val="24"/>
        </w:rPr>
        <w:t>.</w:t>
      </w:r>
    </w:p>
    <w:p w14:paraId="1A21CE1D" w14:textId="0ED3A02A" w:rsidR="006059E8"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The Administrator will provide cross-border reconciliation outcomes to State Health Ministers (and the Commonwealth Minister in relation to Australian Government administered Territories or Islands).</w:t>
      </w:r>
      <w:bookmarkEnd w:id="399"/>
    </w:p>
    <w:p w14:paraId="75BC8103"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Commonwealth funding contributions will flow to provider States through the National Health Funding Pool. </w:t>
      </w:r>
    </w:p>
    <w:p w14:paraId="5BAE3A1D" w14:textId="77777777" w:rsidR="00271836" w:rsidRPr="00261C59" w:rsidRDefault="00271836" w:rsidP="004728D9">
      <w:pPr>
        <w:numPr>
          <w:ilvl w:val="0"/>
          <w:numId w:val="54"/>
        </w:numPr>
        <w:spacing w:after="240" w:line="260" w:lineRule="exact"/>
        <w:jc w:val="left"/>
        <w:rPr>
          <w:rFonts w:ascii="Calibri" w:hAnsi="Calibri"/>
          <w:sz w:val="24"/>
          <w:szCs w:val="24"/>
        </w:rPr>
      </w:pPr>
      <w:bookmarkStart w:id="401" w:name="_Hlk165892825"/>
      <w:r w:rsidRPr="00261C59">
        <w:rPr>
          <w:rFonts w:ascii="Calibri" w:hAnsi="Calibri"/>
          <w:sz w:val="24"/>
          <w:szCs w:val="24"/>
        </w:rPr>
        <w:t xml:space="preserve">To avoid financially disadvantaging any State, </w:t>
      </w:r>
      <w:bookmarkEnd w:id="401"/>
      <w:r w:rsidRPr="00261C59">
        <w:rPr>
          <w:rFonts w:ascii="Calibri" w:hAnsi="Calibri"/>
          <w:sz w:val="24"/>
          <w:szCs w:val="24"/>
        </w:rPr>
        <w:t xml:space="preserve">Commonwealth payments made in accordance with these arrangements will not be subject to equalisation by the Commonwealth Grants Commission.   </w:t>
      </w:r>
    </w:p>
    <w:p w14:paraId="45F84546" w14:textId="77777777" w:rsidR="00271836" w:rsidRPr="00261C59" w:rsidRDefault="00271836" w:rsidP="004728D9">
      <w:pPr>
        <w:numPr>
          <w:ilvl w:val="0"/>
          <w:numId w:val="54"/>
        </w:numPr>
        <w:spacing w:after="240" w:line="260" w:lineRule="exact"/>
        <w:jc w:val="left"/>
        <w:rPr>
          <w:rFonts w:ascii="Calibri" w:hAnsi="Calibri"/>
          <w:sz w:val="24"/>
        </w:rPr>
      </w:pPr>
      <w:r w:rsidRPr="00261C59">
        <w:rPr>
          <w:rFonts w:ascii="Calibri" w:hAnsi="Calibri"/>
          <w:sz w:val="24"/>
        </w:rPr>
        <w:t xml:space="preserve">The Administrator will release actual cross-border activity data and Commonwealth contribution advice to the States within one month of the Treasurer’s Determination to support bilateral cross-border reconciliations. Administrator cross-border data made available to States will include: </w:t>
      </w:r>
    </w:p>
    <w:p w14:paraId="608666FE" w14:textId="4E08F00F"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 xml:space="preserve">Commonwealth percentage funding rates </w:t>
      </w:r>
    </w:p>
    <w:p w14:paraId="1F2A12F0" w14:textId="0BE80265"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 xml:space="preserve">Commonwealth funding contributions </w:t>
      </w:r>
    </w:p>
    <w:p w14:paraId="2C2553E9" w14:textId="77777777"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activity flows for ABF and block-funded hospitals.</w:t>
      </w:r>
    </w:p>
    <w:p w14:paraId="2F10D981" w14:textId="77777777" w:rsidR="00271836" w:rsidRPr="00261C59" w:rsidRDefault="00271836" w:rsidP="004728D9">
      <w:pPr>
        <w:numPr>
          <w:ilvl w:val="0"/>
          <w:numId w:val="54"/>
        </w:numPr>
        <w:spacing w:after="240" w:line="260" w:lineRule="exact"/>
        <w:jc w:val="left"/>
        <w:rPr>
          <w:rFonts w:ascii="Calibri" w:hAnsi="Calibri"/>
          <w:sz w:val="24"/>
        </w:rPr>
      </w:pPr>
      <w:r w:rsidRPr="00261C59">
        <w:rPr>
          <w:rFonts w:ascii="Calibri" w:hAnsi="Calibri"/>
          <w:sz w:val="24"/>
        </w:rPr>
        <w:t xml:space="preserve">Gross cross-border funding contributions by the resident State will be made to the provider State through the National Health Funding Pool, either: </w:t>
      </w:r>
    </w:p>
    <w:p w14:paraId="3474E4C2" w14:textId="13D14580"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 xml:space="preserve">monthly, </w:t>
      </w:r>
      <w:r w:rsidR="00D105FC" w:rsidRPr="00261C59">
        <w:rPr>
          <w:rFonts w:ascii="Calibri" w:hAnsi="Calibri"/>
          <w:sz w:val="24"/>
          <w:szCs w:val="24"/>
        </w:rPr>
        <w:t>as a</w:t>
      </w:r>
      <w:r w:rsidRPr="00261C59">
        <w:rPr>
          <w:rFonts w:ascii="Calibri" w:hAnsi="Calibri"/>
          <w:sz w:val="24"/>
          <w:szCs w:val="24"/>
        </w:rPr>
        <w:t xml:space="preserve"> pro-rata</w:t>
      </w:r>
      <w:r w:rsidR="00E37FA3" w:rsidRPr="00261C59">
        <w:rPr>
          <w:rFonts w:ascii="Calibri" w:hAnsi="Calibri"/>
          <w:sz w:val="24"/>
          <w:szCs w:val="24"/>
        </w:rPr>
        <w:t xml:space="preserve"> payment</w:t>
      </w:r>
      <w:r w:rsidR="00084602" w:rsidRPr="00261C59">
        <w:rPr>
          <w:rFonts w:ascii="Calibri" w:hAnsi="Calibri"/>
          <w:sz w:val="24"/>
          <w:szCs w:val="24"/>
        </w:rPr>
        <w:t xml:space="preserve"> agreed </w:t>
      </w:r>
      <w:r w:rsidR="00DD0E76" w:rsidRPr="00261C59">
        <w:rPr>
          <w:rFonts w:ascii="Calibri" w:hAnsi="Calibri"/>
          <w:sz w:val="24"/>
          <w:szCs w:val="24"/>
        </w:rPr>
        <w:t xml:space="preserve">between the </w:t>
      </w:r>
      <w:r w:rsidR="0088654F" w:rsidRPr="00261C59">
        <w:rPr>
          <w:rFonts w:ascii="Calibri" w:hAnsi="Calibri"/>
          <w:sz w:val="24"/>
          <w:szCs w:val="24"/>
        </w:rPr>
        <w:t>jurisdictions and informed by the most recent activity plus agreed growth</w:t>
      </w:r>
      <w:r w:rsidRPr="00261C59">
        <w:rPr>
          <w:rFonts w:ascii="Calibri" w:hAnsi="Calibri"/>
          <w:sz w:val="24"/>
          <w:szCs w:val="24"/>
        </w:rPr>
        <w:t xml:space="preserve">, </w:t>
      </w:r>
      <w:r w:rsidR="0088643A" w:rsidRPr="00261C59">
        <w:rPr>
          <w:rFonts w:ascii="Calibri" w:hAnsi="Calibri"/>
          <w:sz w:val="24"/>
          <w:szCs w:val="24"/>
        </w:rPr>
        <w:t xml:space="preserve">with </w:t>
      </w:r>
      <w:r w:rsidR="00B53D7D" w:rsidRPr="00261C59">
        <w:rPr>
          <w:rFonts w:ascii="Calibri" w:hAnsi="Calibri"/>
          <w:sz w:val="24"/>
          <w:szCs w:val="24"/>
        </w:rPr>
        <w:t>the fi</w:t>
      </w:r>
      <w:r w:rsidR="00495B58" w:rsidRPr="00261C59">
        <w:rPr>
          <w:rFonts w:ascii="Calibri" w:hAnsi="Calibri"/>
          <w:sz w:val="24"/>
          <w:szCs w:val="24"/>
        </w:rPr>
        <w:t xml:space="preserve">nal reconciliation payment to be made within three months of </w:t>
      </w:r>
      <w:r w:rsidR="003539A6" w:rsidRPr="00261C59">
        <w:rPr>
          <w:rFonts w:ascii="Calibri" w:hAnsi="Calibri"/>
          <w:sz w:val="24"/>
          <w:szCs w:val="24"/>
        </w:rPr>
        <w:t>receiving the advice from the Administrator</w:t>
      </w:r>
      <w:r w:rsidRPr="00261C59">
        <w:rPr>
          <w:rFonts w:ascii="Calibri" w:hAnsi="Calibri"/>
          <w:sz w:val="24"/>
          <w:szCs w:val="24"/>
        </w:rPr>
        <w:t xml:space="preserve">, or </w:t>
      </w:r>
    </w:p>
    <w:p w14:paraId="0378B77A" w14:textId="5E6401CF"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within three months of receiving the advice from the Administrator.</w:t>
      </w:r>
    </w:p>
    <w:p w14:paraId="4923845C" w14:textId="77777777" w:rsidR="00271836" w:rsidRPr="00261C59" w:rsidRDefault="00271836" w:rsidP="005460E8">
      <w:pPr>
        <w:keepNext/>
        <w:keepLines/>
        <w:spacing w:before="200"/>
        <w:jc w:val="left"/>
        <w:outlineLvl w:val="3"/>
        <w:rPr>
          <w:rFonts w:eastAsia="Yu Gothic Light"/>
          <w:b/>
          <w:bCs/>
          <w:iCs/>
        </w:rPr>
      </w:pPr>
      <w:bookmarkStart w:id="402" w:name="_Toc38537175"/>
      <w:bookmarkStart w:id="403" w:name="_Toc167133836"/>
      <w:r w:rsidRPr="00261C59">
        <w:rPr>
          <w:rFonts w:eastAsia="Yu Gothic Light"/>
          <w:b/>
          <w:bCs/>
          <w:iCs/>
        </w:rPr>
        <w:t>Collaboration</w:t>
      </w:r>
      <w:bookmarkEnd w:id="402"/>
      <w:bookmarkEnd w:id="403"/>
    </w:p>
    <w:p w14:paraId="72998A5F"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States with significant cross-border flows may collaborate and put in place arrangements to facilitate service delivery planning and flow management. These arrangements may relate to specific hospitals or services, or state-wide planning activities. </w:t>
      </w:r>
    </w:p>
    <w:p w14:paraId="075E4D42"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Any such arrangements (excepting the agreement in relation to the Albury-Wodonga hospital) cannot deviate from the cross-border payment provisions above. Arrangements for one State to deliver health services into another State (such as an agreement to purchase services) are excluded from this.</w:t>
      </w:r>
    </w:p>
    <w:p w14:paraId="47C6A26F" w14:textId="3DA658E3"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Based on all States’ affirmation of the Medicare Principles at </w:t>
      </w:r>
      <w:r w:rsidR="00DA500C" w:rsidRPr="00261C59">
        <w:rPr>
          <w:rFonts w:ascii="Calibri" w:hAnsi="Calibri"/>
          <w:sz w:val="24"/>
          <w:szCs w:val="24"/>
        </w:rPr>
        <w:t xml:space="preserve">Preliminaries </w:t>
      </w:r>
      <w:r w:rsidRPr="00261C59">
        <w:rPr>
          <w:rFonts w:ascii="Calibri" w:hAnsi="Calibri"/>
          <w:sz w:val="24"/>
        </w:rPr>
        <w:t xml:space="preserve">clause </w:t>
      </w:r>
      <w:r w:rsidR="00DA500C" w:rsidRPr="00261C59">
        <w:rPr>
          <w:rFonts w:ascii="Calibri" w:hAnsi="Calibri"/>
          <w:sz w:val="24"/>
        </w:rPr>
        <w:t>21</w:t>
      </w:r>
      <w:r w:rsidRPr="00261C59">
        <w:rPr>
          <w:rFonts w:ascii="Calibri" w:hAnsi="Calibri"/>
          <w:sz w:val="24"/>
          <w:szCs w:val="24"/>
        </w:rPr>
        <w:t>:</w:t>
      </w:r>
    </w:p>
    <w:p w14:paraId="2A5264C7" w14:textId="7CC135D2"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cross-border funding and activity must not be capped between States</w:t>
      </w:r>
    </w:p>
    <w:p w14:paraId="35F0E1B6" w14:textId="77777777"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application of the funding cap to Commonwealth funding entitlements will not impact State cross-border contributions.</w:t>
      </w:r>
    </w:p>
    <w:p w14:paraId="750FDE87" w14:textId="77777777" w:rsidR="00271836" w:rsidRPr="00261C59" w:rsidRDefault="00271836" w:rsidP="005460E8">
      <w:pPr>
        <w:keepNext/>
        <w:keepLines/>
        <w:spacing w:before="200"/>
        <w:jc w:val="left"/>
        <w:outlineLvl w:val="3"/>
        <w:rPr>
          <w:rFonts w:eastAsia="Yu Gothic Light"/>
          <w:b/>
          <w:bCs/>
          <w:iCs/>
        </w:rPr>
      </w:pPr>
      <w:bookmarkStart w:id="404" w:name="_Toc167133837"/>
      <w:r w:rsidRPr="00261C59">
        <w:rPr>
          <w:rFonts w:eastAsia="Yu Gothic Light"/>
          <w:b/>
          <w:bCs/>
          <w:iCs/>
        </w:rPr>
        <w:lastRenderedPageBreak/>
        <w:t>Commonwealth and State contribution (pricing and volume)</w:t>
      </w:r>
      <w:bookmarkEnd w:id="404"/>
    </w:p>
    <w:p w14:paraId="195C941C" w14:textId="31ACCB84" w:rsidR="00CE3C00"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Prices will be set at the </w:t>
      </w:r>
      <w:r w:rsidR="0056019E" w:rsidRPr="00261C59">
        <w:rPr>
          <w:rFonts w:ascii="Calibri" w:hAnsi="Calibri"/>
          <w:sz w:val="24"/>
          <w:szCs w:val="24"/>
        </w:rPr>
        <w:t>NEP</w:t>
      </w:r>
      <w:r w:rsidRPr="00261C59">
        <w:rPr>
          <w:rFonts w:ascii="Calibri" w:hAnsi="Calibri"/>
          <w:sz w:val="24"/>
          <w:szCs w:val="24"/>
        </w:rPr>
        <w:t>, as determined by the IHACPA, including adjustments for any loadings for the provider LHN, unless otherwise agreed by the Parties to the specific cross-border agreement.</w:t>
      </w:r>
      <w:r w:rsidR="00CC0B36" w:rsidRPr="00261C59">
        <w:rPr>
          <w:rFonts w:ascii="Calibri" w:hAnsi="Calibri"/>
          <w:sz w:val="24"/>
          <w:szCs w:val="24"/>
        </w:rPr>
        <w:t xml:space="preserve"> </w:t>
      </w:r>
      <w:bookmarkStart w:id="405" w:name="_Hlk165883779"/>
    </w:p>
    <w:p w14:paraId="5B788258" w14:textId="5356D5DC" w:rsidR="001864EA"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For activity in block-funded hospitals, including small rural hospital services, the Commonwealth’s contribution will be set at the National Efficient Cost</w:t>
      </w:r>
      <w:r w:rsidR="0056019E" w:rsidRPr="00261C59">
        <w:rPr>
          <w:rFonts w:ascii="Calibri" w:hAnsi="Calibri"/>
          <w:sz w:val="24"/>
          <w:szCs w:val="24"/>
        </w:rPr>
        <w:t xml:space="preserve"> (NEC)</w:t>
      </w:r>
      <w:r w:rsidRPr="00261C59">
        <w:rPr>
          <w:rFonts w:ascii="Calibri" w:hAnsi="Calibri"/>
          <w:sz w:val="24"/>
          <w:szCs w:val="24"/>
        </w:rPr>
        <w:t xml:space="preserve">. Prices used to calculate resident State contributions will be set at the </w:t>
      </w:r>
      <w:r w:rsidR="0056019E" w:rsidRPr="00261C59">
        <w:rPr>
          <w:rFonts w:ascii="Calibri" w:hAnsi="Calibri"/>
          <w:sz w:val="24"/>
          <w:szCs w:val="24"/>
        </w:rPr>
        <w:t>NEP</w:t>
      </w:r>
      <w:r w:rsidRPr="00261C59">
        <w:rPr>
          <w:rFonts w:ascii="Calibri" w:hAnsi="Calibri"/>
          <w:sz w:val="24"/>
          <w:szCs w:val="24"/>
        </w:rPr>
        <w:t xml:space="preserve"> where activity data is available, as determined by the IHACPA, including any pricing adjustments. </w:t>
      </w:r>
    </w:p>
    <w:p w14:paraId="63506896" w14:textId="77777777" w:rsidR="00271836" w:rsidRPr="00261C59" w:rsidRDefault="00271836" w:rsidP="004728D9">
      <w:pPr>
        <w:numPr>
          <w:ilvl w:val="1"/>
          <w:numId w:val="54"/>
        </w:numPr>
        <w:spacing w:after="240" w:line="260" w:lineRule="exact"/>
        <w:jc w:val="left"/>
        <w:rPr>
          <w:rFonts w:ascii="Calibri" w:hAnsi="Calibri"/>
          <w:sz w:val="24"/>
          <w:szCs w:val="24"/>
        </w:rPr>
      </w:pPr>
      <w:r w:rsidRPr="00261C59">
        <w:rPr>
          <w:rFonts w:ascii="Calibri" w:hAnsi="Calibri"/>
          <w:sz w:val="24"/>
          <w:szCs w:val="24"/>
        </w:rPr>
        <w:t>If activity data is not available, the resident State’s contribution will not be payable.</w:t>
      </w:r>
    </w:p>
    <w:p w14:paraId="1EC93A3B" w14:textId="3EEF813E"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For block-funded services, the resident State will contribute the provider State’s National Efficient Cost for each of these services, as determined by the IHACPA, less the Commonwealth contribution. </w:t>
      </w:r>
    </w:p>
    <w:bookmarkEnd w:id="405"/>
    <w:p w14:paraId="3C81E35E"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For services not appropriately </w:t>
      </w:r>
      <w:r w:rsidRPr="00261C59" w:rsidDel="00A86E23">
        <w:rPr>
          <w:rFonts w:ascii="Calibri" w:hAnsi="Calibri"/>
          <w:sz w:val="24"/>
          <w:szCs w:val="24"/>
        </w:rPr>
        <w:t>c</w:t>
      </w:r>
      <w:r w:rsidRPr="00261C59">
        <w:rPr>
          <w:rFonts w:ascii="Calibri" w:hAnsi="Calibri"/>
          <w:sz w:val="24"/>
          <w:szCs w:val="24"/>
        </w:rPr>
        <w:t>overed by Diagnosis Related Groups (DRGs), the following arrangements apply:</w:t>
      </w:r>
    </w:p>
    <w:p w14:paraId="5DFC5A2C" w14:textId="4FADD987" w:rsidR="00271836" w:rsidRPr="00261C59" w:rsidRDefault="6B4743A4"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t</w:t>
      </w:r>
      <w:r w:rsidR="00271836" w:rsidRPr="7B1A1E71">
        <w:rPr>
          <w:rFonts w:ascii="Calibri" w:hAnsi="Calibri"/>
          <w:sz w:val="24"/>
          <w:szCs w:val="24"/>
        </w:rPr>
        <w:t>he provision of services not appropriately covered by DRGs must be advised in advance by the provider State to the resident State</w:t>
      </w:r>
    </w:p>
    <w:p w14:paraId="351C3FB3" w14:textId="32BAC39B" w:rsidR="00271836" w:rsidRPr="00261C59" w:rsidRDefault="1C2D0F6A"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s</w:t>
      </w:r>
      <w:r w:rsidR="00271836" w:rsidRPr="7B1A1E71">
        <w:rPr>
          <w:rFonts w:ascii="Calibri" w:hAnsi="Calibri"/>
          <w:sz w:val="24"/>
          <w:szCs w:val="24"/>
        </w:rPr>
        <w:t>ervices not appropriately covered by DRGs are defined by procedures that do not appropriately fit within a DRG classification, are provided at limited sites nationally, have low volume (generally less than 200 separations nationally), and cost significantly more than the funding provided based on pricing in the relevant year’s National Efficient Price Determination</w:t>
      </w:r>
    </w:p>
    <w:p w14:paraId="17C47738" w14:textId="4102CDB2" w:rsidR="00271836" w:rsidRPr="00261C59" w:rsidRDefault="00271836"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 xml:space="preserve">Parties recognise that referrals are often made and agreed at the clinician level within and between hospitals at short notice in the interests of patient well-being. Where it is not possible for a provider State to notify the resident State prior to treatment commencing, the provider State will endeavour to communicate and notify as soon as possible thereafter </w:t>
      </w:r>
    </w:p>
    <w:p w14:paraId="671E53DE" w14:textId="72A8AD5A" w:rsidR="00271836" w:rsidRPr="00261C59" w:rsidRDefault="7E30D2B5" w:rsidP="004728D9">
      <w:pPr>
        <w:numPr>
          <w:ilvl w:val="1"/>
          <w:numId w:val="54"/>
        </w:numPr>
        <w:spacing w:after="240" w:line="260" w:lineRule="exact"/>
        <w:jc w:val="left"/>
        <w:rPr>
          <w:rFonts w:ascii="Calibri" w:hAnsi="Calibri"/>
          <w:sz w:val="24"/>
          <w:szCs w:val="24"/>
        </w:rPr>
      </w:pPr>
      <w:r w:rsidRPr="7B1A1E71">
        <w:rPr>
          <w:rFonts w:ascii="Calibri" w:hAnsi="Calibri"/>
          <w:sz w:val="24"/>
          <w:szCs w:val="24"/>
        </w:rPr>
        <w:t>r</w:t>
      </w:r>
      <w:r w:rsidR="00271836" w:rsidRPr="7B1A1E71">
        <w:rPr>
          <w:rFonts w:ascii="Calibri" w:hAnsi="Calibri"/>
          <w:sz w:val="24"/>
          <w:szCs w:val="24"/>
        </w:rPr>
        <w:t>elevant States’ representatives on the Administrator’s Jurisdictional Advisory Committee will be the point of contact to action this clause</w:t>
      </w:r>
      <w:r w:rsidR="005943D0" w:rsidRPr="7B1A1E71">
        <w:rPr>
          <w:rFonts w:ascii="Calibri" w:hAnsi="Calibri"/>
          <w:sz w:val="24"/>
          <w:szCs w:val="24"/>
        </w:rPr>
        <w:t>, unless otherwise advised in writing</w:t>
      </w:r>
      <w:r w:rsidR="00271836" w:rsidRPr="7B1A1E71">
        <w:rPr>
          <w:rFonts w:ascii="Calibri" w:hAnsi="Calibri"/>
          <w:sz w:val="24"/>
          <w:szCs w:val="24"/>
        </w:rPr>
        <w:t>.</w:t>
      </w:r>
    </w:p>
    <w:p w14:paraId="0404102E" w14:textId="2E5A15CF" w:rsidR="004212CD" w:rsidRPr="00261C59" w:rsidRDefault="004212CD" w:rsidP="004212CD">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High Cost, Highly Specialised Therapies (HST) will be excluded from cross-border reconciliations and subject to separate reimbursement by agreement between States based on the actual cost, less any Commonwealth contribution, as outlined in </w:t>
      </w:r>
      <w:r w:rsidR="00A46891">
        <w:rPr>
          <w:rFonts w:ascii="Calibri" w:hAnsi="Calibri"/>
          <w:sz w:val="24"/>
          <w:szCs w:val="24"/>
        </w:rPr>
        <w:br/>
      </w:r>
      <w:r w:rsidRPr="00261C59">
        <w:rPr>
          <w:rFonts w:ascii="Calibri" w:hAnsi="Calibri"/>
          <w:sz w:val="24"/>
          <w:szCs w:val="24"/>
        </w:rPr>
        <w:t>clause A235(a), for in-scope and ancillary services.</w:t>
      </w:r>
    </w:p>
    <w:p w14:paraId="2AED6BC9" w14:textId="77777777" w:rsidR="004212CD" w:rsidRPr="00261C59" w:rsidRDefault="004212CD" w:rsidP="004212CD">
      <w:pPr>
        <w:numPr>
          <w:ilvl w:val="1"/>
          <w:numId w:val="54"/>
        </w:numPr>
        <w:spacing w:after="240" w:line="260" w:lineRule="exact"/>
        <w:jc w:val="left"/>
        <w:rPr>
          <w:rFonts w:ascii="Calibri" w:hAnsi="Calibri"/>
          <w:sz w:val="24"/>
          <w:szCs w:val="24"/>
        </w:rPr>
      </w:pPr>
      <w:r w:rsidRPr="00261C59">
        <w:rPr>
          <w:rFonts w:ascii="Calibri" w:hAnsi="Calibri"/>
          <w:sz w:val="24"/>
          <w:szCs w:val="24"/>
        </w:rPr>
        <w:t>Unless otherwise stated by IHACPA for a specific HST, the following costs are considered in-scope: HST product costs, all admitted, non-admitted and emergency department services at the providing hospital related to the indication while a patient is registered on the HST program, and accommodation and transport of the patient, and if required carer, where those costs are incurred by the providing hospital.</w:t>
      </w:r>
    </w:p>
    <w:p w14:paraId="714CC4E6" w14:textId="1CF72A07" w:rsidR="004212CD" w:rsidRPr="00261C59" w:rsidRDefault="004212CD" w:rsidP="004212CD">
      <w:pPr>
        <w:numPr>
          <w:ilvl w:val="1"/>
          <w:numId w:val="54"/>
        </w:numPr>
        <w:spacing w:after="240" w:line="260" w:lineRule="exact"/>
        <w:jc w:val="left"/>
        <w:rPr>
          <w:rFonts w:ascii="Calibri" w:hAnsi="Calibri"/>
          <w:sz w:val="24"/>
          <w:szCs w:val="24"/>
        </w:rPr>
      </w:pPr>
      <w:r w:rsidRPr="00261C59">
        <w:rPr>
          <w:rFonts w:ascii="Calibri" w:hAnsi="Calibri"/>
          <w:sz w:val="24"/>
          <w:szCs w:val="24"/>
        </w:rPr>
        <w:t>Out-of-scope costs comprise hospital services provided to patients registered in a HST program that are out-of-scope of the program. This activity will be funded through cross</w:t>
      </w:r>
      <w:r w:rsidR="008D1F47" w:rsidRPr="00261C59">
        <w:rPr>
          <w:rFonts w:ascii="Calibri" w:hAnsi="Calibri"/>
          <w:sz w:val="24"/>
          <w:szCs w:val="24"/>
        </w:rPr>
        <w:t>-</w:t>
      </w:r>
      <w:r w:rsidRPr="00261C59">
        <w:rPr>
          <w:rFonts w:ascii="Calibri" w:hAnsi="Calibri"/>
          <w:sz w:val="24"/>
          <w:szCs w:val="24"/>
        </w:rPr>
        <w:t>border arrangements for activity based fund</w:t>
      </w:r>
      <w:r w:rsidR="00CA30C9">
        <w:rPr>
          <w:rFonts w:ascii="Calibri" w:hAnsi="Calibri"/>
          <w:sz w:val="24"/>
          <w:szCs w:val="24"/>
        </w:rPr>
        <w:t>ed</w:t>
      </w:r>
      <w:r w:rsidRPr="00261C59">
        <w:rPr>
          <w:rFonts w:ascii="Calibri" w:hAnsi="Calibri"/>
          <w:sz w:val="24"/>
          <w:szCs w:val="24"/>
        </w:rPr>
        <w:t xml:space="preserve"> or block fund</w:t>
      </w:r>
      <w:r w:rsidR="00CA30C9">
        <w:rPr>
          <w:rFonts w:ascii="Calibri" w:hAnsi="Calibri"/>
          <w:sz w:val="24"/>
          <w:szCs w:val="24"/>
        </w:rPr>
        <w:t>ed</w:t>
      </w:r>
      <w:r w:rsidRPr="00261C59">
        <w:rPr>
          <w:rFonts w:ascii="Calibri" w:hAnsi="Calibri"/>
          <w:sz w:val="24"/>
          <w:szCs w:val="24"/>
        </w:rPr>
        <w:t xml:space="preserve"> hospitals as appropriate.</w:t>
      </w:r>
    </w:p>
    <w:p w14:paraId="292AA551" w14:textId="77777777" w:rsidR="004212CD" w:rsidRPr="00261C59" w:rsidRDefault="004212CD" w:rsidP="004212CD">
      <w:pPr>
        <w:numPr>
          <w:ilvl w:val="1"/>
          <w:numId w:val="54"/>
        </w:numPr>
        <w:spacing w:after="240" w:line="260" w:lineRule="exact"/>
        <w:jc w:val="left"/>
        <w:rPr>
          <w:rFonts w:ascii="Calibri" w:hAnsi="Calibri"/>
          <w:sz w:val="24"/>
          <w:szCs w:val="24"/>
        </w:rPr>
      </w:pPr>
      <w:r w:rsidRPr="00261C59">
        <w:rPr>
          <w:rFonts w:ascii="Calibri" w:hAnsi="Calibri"/>
          <w:sz w:val="24"/>
          <w:szCs w:val="24"/>
        </w:rPr>
        <w:lastRenderedPageBreak/>
        <w:t>Noting that HST treatment can span multiple financial years, HSTs are to be reconciled annually based on in-year costs, where possible. In the event that costs cannot be determined until the end of treatment, this will be clearly communicated to the resident State and reconciliation deferred until costs are available.</w:t>
      </w:r>
    </w:p>
    <w:p w14:paraId="6414CE58" w14:textId="1742FA74" w:rsidR="004212CD" w:rsidRPr="00261C59" w:rsidRDefault="004212CD" w:rsidP="004212CD">
      <w:pPr>
        <w:numPr>
          <w:ilvl w:val="1"/>
          <w:numId w:val="54"/>
        </w:numPr>
        <w:spacing w:after="240" w:line="260" w:lineRule="exact"/>
        <w:jc w:val="left"/>
        <w:rPr>
          <w:rFonts w:ascii="Calibri" w:hAnsi="Calibri"/>
          <w:sz w:val="24"/>
          <w:szCs w:val="24"/>
        </w:rPr>
      </w:pPr>
      <w:r w:rsidRPr="00261C59">
        <w:rPr>
          <w:rFonts w:ascii="Calibri" w:hAnsi="Calibri"/>
          <w:sz w:val="24"/>
          <w:szCs w:val="24"/>
        </w:rPr>
        <w:t xml:space="preserve">Patient caps are managed outside of the </w:t>
      </w:r>
      <w:r w:rsidR="008D1F47" w:rsidRPr="00261C59">
        <w:rPr>
          <w:rFonts w:ascii="Calibri" w:hAnsi="Calibri"/>
          <w:sz w:val="24"/>
          <w:szCs w:val="24"/>
        </w:rPr>
        <w:t>cross-border</w:t>
      </w:r>
      <w:r w:rsidRPr="00261C59">
        <w:rPr>
          <w:rFonts w:ascii="Calibri" w:hAnsi="Calibri"/>
          <w:sz w:val="24"/>
          <w:szCs w:val="24"/>
        </w:rPr>
        <w:t xml:space="preserve"> reconciliation process, within national patient caps for respective HSTs, consistent with the HMM-endorsed ‘Framework for the assessment, funding, and implementation of high cost, highly specialised therapies and services’. When a price has changed due to a national patient cap the adjustment will be passed on accordingly.</w:t>
      </w:r>
    </w:p>
    <w:p w14:paraId="43F7F77C" w14:textId="4BC663BB" w:rsidR="005943D0" w:rsidRPr="00261C59" w:rsidRDefault="004212CD" w:rsidP="00FE283A">
      <w:pPr>
        <w:numPr>
          <w:ilvl w:val="1"/>
          <w:numId w:val="54"/>
        </w:numPr>
        <w:spacing w:after="240" w:line="260" w:lineRule="exact"/>
        <w:jc w:val="left"/>
        <w:rPr>
          <w:rFonts w:ascii="Calibri" w:hAnsi="Calibri"/>
          <w:sz w:val="24"/>
          <w:szCs w:val="24"/>
        </w:rPr>
      </w:pPr>
      <w:r w:rsidRPr="00261C59">
        <w:rPr>
          <w:rFonts w:ascii="Calibri" w:hAnsi="Calibri"/>
          <w:sz w:val="24"/>
          <w:szCs w:val="24"/>
        </w:rPr>
        <w:t>Payments will not be made directly to the providing hospital by the resident State.</w:t>
      </w:r>
    </w:p>
    <w:p w14:paraId="11845227" w14:textId="77777777" w:rsidR="00271836" w:rsidRPr="00261C59" w:rsidRDefault="00271836" w:rsidP="004728D9">
      <w:pPr>
        <w:numPr>
          <w:ilvl w:val="0"/>
          <w:numId w:val="54"/>
        </w:numPr>
        <w:spacing w:after="240" w:line="260" w:lineRule="exact"/>
        <w:jc w:val="left"/>
        <w:rPr>
          <w:rFonts w:ascii="Calibri" w:hAnsi="Calibri"/>
          <w:sz w:val="24"/>
          <w:szCs w:val="24"/>
          <w:shd w:val="clear" w:color="auto" w:fill="BDD6EE"/>
        </w:rPr>
      </w:pPr>
      <w:r w:rsidRPr="00261C59">
        <w:rPr>
          <w:rFonts w:ascii="Calibri" w:hAnsi="Calibri"/>
          <w:sz w:val="24"/>
          <w:szCs w:val="24"/>
        </w:rPr>
        <w:t>Capital will not be priced by the IHACPA, however cross-border dispute resolution can include disputes in relation to the resident State’s contribution to capital funding where relevant.</w:t>
      </w:r>
      <w:r w:rsidRPr="00261C59">
        <w:rPr>
          <w:rFonts w:ascii="Calibri" w:hAnsi="Calibri"/>
          <w:sz w:val="24"/>
          <w:szCs w:val="24"/>
          <w:shd w:val="clear" w:color="auto" w:fill="BDD6EE"/>
        </w:rPr>
        <w:t xml:space="preserve"> </w:t>
      </w:r>
    </w:p>
    <w:p w14:paraId="1C50683A" w14:textId="44DF9AEB"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Commonwealth and States agree they will accept and implement any recommendations made by the IHACPA in relation to cross-border disputes under </w:t>
      </w:r>
      <w:r w:rsidR="00E048FD">
        <w:rPr>
          <w:rFonts w:ascii="Calibri" w:hAnsi="Calibri"/>
          <w:sz w:val="24"/>
          <w:szCs w:val="24"/>
        </w:rPr>
        <w:br/>
      </w:r>
      <w:r w:rsidRPr="00261C59">
        <w:rPr>
          <w:rFonts w:ascii="Calibri" w:hAnsi="Calibri"/>
          <w:sz w:val="24"/>
          <w:szCs w:val="24"/>
        </w:rPr>
        <w:t xml:space="preserve">clause </w:t>
      </w:r>
      <w:r w:rsidRPr="00261C59">
        <w:rPr>
          <w:rFonts w:ascii="Calibri" w:hAnsi="Calibri"/>
          <w:sz w:val="24"/>
        </w:rPr>
        <w:t>I2</w:t>
      </w:r>
      <w:r w:rsidR="00CE0063" w:rsidRPr="00261C59">
        <w:rPr>
          <w:rFonts w:ascii="Calibri" w:hAnsi="Calibri"/>
          <w:sz w:val="24"/>
        </w:rPr>
        <w:t>9(</w:t>
      </w:r>
      <w:r w:rsidRPr="00261C59">
        <w:rPr>
          <w:rFonts w:ascii="Calibri" w:hAnsi="Calibri"/>
          <w:sz w:val="24"/>
        </w:rPr>
        <w:t>k</w:t>
      </w:r>
      <w:r w:rsidR="00CE0063" w:rsidRPr="00261C59">
        <w:rPr>
          <w:rFonts w:ascii="Calibri" w:hAnsi="Calibri"/>
          <w:sz w:val="24"/>
        </w:rPr>
        <w:t>)</w:t>
      </w:r>
      <w:r w:rsidRPr="00261C59">
        <w:rPr>
          <w:rFonts w:ascii="Calibri" w:hAnsi="Calibri"/>
          <w:sz w:val="24"/>
          <w:szCs w:val="24"/>
        </w:rPr>
        <w:t xml:space="preserve"> and will provide additional funding to the other party in a dispute if this is required. </w:t>
      </w:r>
    </w:p>
    <w:p w14:paraId="53BB4C8A" w14:textId="385BB1AB" w:rsidR="00271836" w:rsidRPr="00261C59" w:rsidRDefault="00271836" w:rsidP="004728D9">
      <w:pPr>
        <w:numPr>
          <w:ilvl w:val="0"/>
          <w:numId w:val="54"/>
        </w:numPr>
        <w:spacing w:after="240" w:line="260" w:lineRule="exact"/>
        <w:jc w:val="left"/>
        <w:rPr>
          <w:rFonts w:ascii="Calibri" w:hAnsi="Calibri"/>
          <w:sz w:val="24"/>
          <w:szCs w:val="24"/>
          <w:shd w:val="clear" w:color="auto" w:fill="BDD6EE"/>
        </w:rPr>
      </w:pPr>
      <w:r w:rsidRPr="00261C59">
        <w:rPr>
          <w:rFonts w:ascii="Calibri" w:hAnsi="Calibri"/>
          <w:sz w:val="24"/>
          <w:szCs w:val="24"/>
        </w:rPr>
        <w:t xml:space="preserve">If a resident State has not complied with any element of an IHACPA recommendation under clause </w:t>
      </w:r>
      <w:r w:rsidRPr="00261C59">
        <w:rPr>
          <w:rFonts w:ascii="Calibri" w:hAnsi="Calibri"/>
          <w:sz w:val="24"/>
        </w:rPr>
        <w:t>I2</w:t>
      </w:r>
      <w:r w:rsidR="00CE0063" w:rsidRPr="00261C59">
        <w:rPr>
          <w:rFonts w:ascii="Calibri" w:hAnsi="Calibri"/>
          <w:sz w:val="24"/>
        </w:rPr>
        <w:t>9</w:t>
      </w:r>
      <w:r w:rsidRPr="00261C59">
        <w:rPr>
          <w:rFonts w:ascii="Calibri" w:hAnsi="Calibri"/>
          <w:sz w:val="24"/>
        </w:rPr>
        <w:t>(k)</w:t>
      </w:r>
      <w:r w:rsidRPr="00261C59">
        <w:rPr>
          <w:rFonts w:ascii="Calibri" w:hAnsi="Calibri"/>
          <w:sz w:val="24"/>
          <w:szCs w:val="24"/>
        </w:rPr>
        <w:t xml:space="preserve">, requiring it to make payments to a provider State within three months, the provider State may ask IHACPA to advise the Commonwealth Treasurer of any adjustments to Commonwealth payments to the National Health Funding Pool required to give effect to the recommendation. Resident States agree to fund any reduction in Commonwealth payments to provider State LHNs from their own resources. </w:t>
      </w:r>
    </w:p>
    <w:p w14:paraId="5374314F" w14:textId="77777777" w:rsidR="00271836" w:rsidRPr="00261C59" w:rsidRDefault="00271836" w:rsidP="005460E8">
      <w:pPr>
        <w:pStyle w:val="Heading2"/>
        <w:widowControl/>
        <w:adjustRightInd/>
        <w:spacing w:before="180" w:after="120"/>
        <w:jc w:val="left"/>
        <w:textAlignment w:val="auto"/>
        <w:rPr>
          <w:rFonts w:ascii="Corbel" w:eastAsia="Times New Roman" w:hAnsi="Corbel" w:cs="Arial"/>
          <w:iCs/>
          <w:color w:val="3D4B67"/>
          <w:sz w:val="28"/>
          <w:szCs w:val="28"/>
        </w:rPr>
      </w:pPr>
      <w:bookmarkStart w:id="406" w:name="_Toc168579026"/>
      <w:bookmarkStart w:id="407" w:name="_Toc171350378"/>
      <w:bookmarkStart w:id="408" w:name="_Toc172210259"/>
      <w:bookmarkStart w:id="409" w:name="_Toc172787709"/>
      <w:bookmarkStart w:id="410" w:name="_Toc173937725"/>
      <w:bookmarkStart w:id="411" w:name="_Toc183183322"/>
      <w:bookmarkStart w:id="412" w:name="_Toc201673980"/>
      <w:bookmarkStart w:id="413" w:name="_Toc210833613"/>
      <w:bookmarkStart w:id="414" w:name="_Toc214456513"/>
      <w:bookmarkStart w:id="415" w:name="_Toc221087992"/>
      <w:r w:rsidRPr="00261C59">
        <w:rPr>
          <w:rFonts w:ascii="Corbel" w:eastAsia="Times New Roman" w:hAnsi="Corbel" w:cs="Arial"/>
          <w:iCs/>
          <w:color w:val="3D4B67"/>
          <w:sz w:val="28"/>
          <w:szCs w:val="28"/>
        </w:rPr>
        <w:t>Part 6 – Other arrangements</w:t>
      </w:r>
      <w:bookmarkEnd w:id="406"/>
      <w:bookmarkEnd w:id="407"/>
      <w:bookmarkEnd w:id="408"/>
      <w:bookmarkEnd w:id="409"/>
      <w:bookmarkEnd w:id="410"/>
      <w:bookmarkEnd w:id="411"/>
      <w:bookmarkEnd w:id="412"/>
      <w:bookmarkEnd w:id="413"/>
      <w:bookmarkEnd w:id="414"/>
      <w:bookmarkEnd w:id="415"/>
    </w:p>
    <w:p w14:paraId="2B94821C" w14:textId="77777777" w:rsidR="00271836" w:rsidRPr="00261C59" w:rsidRDefault="00271836" w:rsidP="004728D9">
      <w:pPr>
        <w:widowControl/>
        <w:numPr>
          <w:ilvl w:val="0"/>
          <w:numId w:val="54"/>
        </w:numPr>
        <w:spacing w:after="240" w:line="260" w:lineRule="exact"/>
        <w:jc w:val="left"/>
        <w:rPr>
          <w:rFonts w:ascii="Calibri" w:hAnsi="Calibri" w:cs="Arial"/>
          <w:color w:val="000000"/>
          <w:sz w:val="24"/>
          <w:szCs w:val="24"/>
        </w:rPr>
      </w:pPr>
      <w:r w:rsidRPr="00261C59">
        <w:rPr>
          <w:rFonts w:ascii="Calibri" w:hAnsi="Calibri"/>
          <w:sz w:val="24"/>
          <w:szCs w:val="24"/>
        </w:rPr>
        <w:t>This Part sets out additional policies and processes agreed by Parties that affect funding, pricing, and reporting of public hospital and health service activities.</w:t>
      </w:r>
    </w:p>
    <w:p w14:paraId="7B5040EA" w14:textId="77777777" w:rsidR="00271836" w:rsidRPr="00261C59" w:rsidRDefault="00271836" w:rsidP="004728D9">
      <w:pPr>
        <w:keepNext/>
        <w:jc w:val="left"/>
        <w:outlineLvl w:val="2"/>
        <w:rPr>
          <w:rFonts w:ascii="Corbel" w:eastAsia="Yu Gothic Light" w:hAnsi="Corbel"/>
          <w:b/>
          <w:bCs/>
          <w:iCs/>
          <w:color w:val="3D4B67"/>
          <w:sz w:val="28"/>
          <w:szCs w:val="48"/>
          <w:lang w:eastAsia="ja-JP"/>
        </w:rPr>
      </w:pPr>
      <w:bookmarkStart w:id="416" w:name="_Toc171350379"/>
      <w:bookmarkStart w:id="417" w:name="_Toc172210260"/>
      <w:bookmarkStart w:id="418" w:name="_Toc172787710"/>
      <w:bookmarkStart w:id="419" w:name="_Toc173937726"/>
      <w:bookmarkStart w:id="420" w:name="_Toc183183323"/>
      <w:bookmarkStart w:id="421" w:name="_Toc201673981"/>
      <w:bookmarkStart w:id="422" w:name="_Toc210833614"/>
      <w:bookmarkStart w:id="423" w:name="_Toc214456514"/>
      <w:bookmarkStart w:id="424" w:name="_Toc221087993"/>
      <w:r w:rsidRPr="00261C59">
        <w:rPr>
          <w:rFonts w:ascii="Corbel" w:hAnsi="Corbel"/>
          <w:color w:val="3D4B67"/>
          <w:sz w:val="28"/>
          <w:szCs w:val="48"/>
          <w:lang w:eastAsia="ja-JP"/>
        </w:rPr>
        <w:t>Interactions</w:t>
      </w:r>
      <w:bookmarkEnd w:id="416"/>
      <w:bookmarkEnd w:id="417"/>
      <w:bookmarkEnd w:id="418"/>
      <w:bookmarkEnd w:id="419"/>
      <w:r w:rsidRPr="00261C59">
        <w:rPr>
          <w:rFonts w:ascii="Corbel" w:hAnsi="Corbel"/>
          <w:color w:val="3D4B67"/>
          <w:sz w:val="28"/>
          <w:szCs w:val="48"/>
          <w:lang w:eastAsia="ja-JP"/>
        </w:rPr>
        <w:t xml:space="preserve"> with other Commonwealth-funded programs</w:t>
      </w:r>
      <w:bookmarkEnd w:id="420"/>
      <w:bookmarkEnd w:id="421"/>
      <w:bookmarkEnd w:id="422"/>
      <w:bookmarkEnd w:id="423"/>
      <w:bookmarkEnd w:id="424"/>
      <w:r w:rsidRPr="00261C59">
        <w:rPr>
          <w:rFonts w:ascii="Corbel" w:hAnsi="Corbel"/>
          <w:color w:val="3D4B67"/>
          <w:sz w:val="28"/>
          <w:szCs w:val="48"/>
          <w:lang w:eastAsia="ja-JP"/>
        </w:rPr>
        <w:t xml:space="preserve">  </w:t>
      </w:r>
    </w:p>
    <w:p w14:paraId="50D73B8E" w14:textId="77777777" w:rsidR="00271836" w:rsidRPr="00261C59" w:rsidRDefault="00271836" w:rsidP="004728D9">
      <w:pPr>
        <w:widowControl/>
        <w:numPr>
          <w:ilvl w:val="0"/>
          <w:numId w:val="54"/>
        </w:numPr>
        <w:spacing w:after="240" w:line="260" w:lineRule="exact"/>
        <w:jc w:val="left"/>
        <w:rPr>
          <w:rFonts w:ascii="Calibri" w:hAnsi="Calibri" w:cs="Calibri"/>
          <w:color w:val="000000"/>
          <w:sz w:val="24"/>
          <w:szCs w:val="24"/>
          <w:shd w:val="clear" w:color="auto" w:fill="BDD6EE"/>
        </w:rPr>
      </w:pPr>
      <w:r w:rsidRPr="00261C59">
        <w:rPr>
          <w:rFonts w:ascii="Calibri" w:hAnsi="Calibri" w:cs="Arial"/>
          <w:color w:val="000000" w:themeColor="text1"/>
          <w:sz w:val="24"/>
          <w:szCs w:val="24"/>
        </w:rPr>
        <w:t>The Parties agree that Australia should maintain a viable mix of privately and publicly funded health services.</w:t>
      </w:r>
    </w:p>
    <w:p w14:paraId="6C149BD0" w14:textId="77777777" w:rsidR="00271836" w:rsidRPr="00261C59" w:rsidRDefault="00271836" w:rsidP="004728D9">
      <w:pPr>
        <w:numPr>
          <w:ilvl w:val="0"/>
          <w:numId w:val="54"/>
        </w:numPr>
        <w:spacing w:after="240" w:line="260" w:lineRule="exact"/>
        <w:jc w:val="left"/>
        <w:rPr>
          <w:rFonts w:ascii="Calibri" w:hAnsi="Calibri" w:cs="Calibri"/>
          <w:color w:val="000000"/>
          <w:sz w:val="24"/>
          <w:szCs w:val="24"/>
          <w:shd w:val="clear" w:color="auto" w:fill="BDD6EE"/>
        </w:rPr>
      </w:pPr>
      <w:r w:rsidRPr="00261C59">
        <w:rPr>
          <w:rFonts w:ascii="Calibri" w:hAnsi="Calibri" w:cs="Arial"/>
          <w:color w:val="000000" w:themeColor="text1"/>
          <w:sz w:val="24"/>
          <w:szCs w:val="24"/>
        </w:rPr>
        <w:t>The Parties acknowledge that the rules, processes and amounts of different funding sources for public hospitals and health services can interact in unforeseen and undesired ways, and that introducing new funding and pricing models under this Addendum may exacerbate this issue.</w:t>
      </w:r>
    </w:p>
    <w:p w14:paraId="6DAA639C" w14:textId="77777777" w:rsidR="00271836" w:rsidRPr="00261C59" w:rsidRDefault="00271836" w:rsidP="004728D9">
      <w:pPr>
        <w:numPr>
          <w:ilvl w:val="0"/>
          <w:numId w:val="54"/>
        </w:numPr>
        <w:spacing w:after="240" w:line="260" w:lineRule="exact"/>
        <w:jc w:val="left"/>
        <w:rPr>
          <w:rFonts w:ascii="Calibri" w:hAnsi="Calibri" w:cs="Calibri"/>
          <w:color w:val="000000"/>
          <w:sz w:val="24"/>
          <w:szCs w:val="24"/>
          <w:shd w:val="clear" w:color="auto" w:fill="BDD6EE"/>
        </w:rPr>
      </w:pPr>
      <w:r w:rsidRPr="00261C59">
        <w:rPr>
          <w:rFonts w:ascii="Calibri" w:hAnsi="Calibri" w:cs="Arial"/>
          <w:color w:val="000000" w:themeColor="text1"/>
          <w:sz w:val="24"/>
          <w:szCs w:val="24"/>
        </w:rPr>
        <w:t>As such, any Party may request a review of interactions between two or more Commonwealth health funding mechanisms on specific services or parts of services, such as, but not limited to, the Medicare Benefits Schedule (MBS) and the NHRA. The review should identify the tensions in the rules, processes and amounts that have perverse incentives and negative impacts on service delivery</w:t>
      </w:r>
      <w:r w:rsidRPr="00261C59">
        <w:rPr>
          <w:rFonts w:ascii="Calibri" w:hAnsi="Calibri"/>
          <w:sz w:val="24"/>
          <w:szCs w:val="24"/>
        </w:rPr>
        <w:t>.</w:t>
      </w:r>
    </w:p>
    <w:p w14:paraId="3CBC4AFD" w14:textId="77777777" w:rsidR="00271836" w:rsidRPr="00261C59" w:rsidRDefault="00271836" w:rsidP="004728D9">
      <w:pPr>
        <w:numPr>
          <w:ilvl w:val="1"/>
          <w:numId w:val="54"/>
        </w:numPr>
        <w:spacing w:after="240" w:line="260" w:lineRule="exact"/>
        <w:jc w:val="left"/>
        <w:rPr>
          <w:rFonts w:ascii="Calibri" w:hAnsi="Calibri" w:cs="Arial"/>
          <w:color w:val="000000"/>
          <w:sz w:val="24"/>
          <w:szCs w:val="24"/>
        </w:rPr>
      </w:pPr>
      <w:r w:rsidRPr="00261C59">
        <w:rPr>
          <w:rFonts w:ascii="Calibri" w:hAnsi="Calibri" w:cs="Arial"/>
          <w:color w:val="000000"/>
          <w:sz w:val="24"/>
          <w:szCs w:val="24"/>
        </w:rPr>
        <w:t>The nominating Party must provide evidence of the problem, detailing the specific service/s or parts of services, suspected cause and impact on price and/or service delivery.</w:t>
      </w:r>
    </w:p>
    <w:p w14:paraId="1E95945E" w14:textId="77777777" w:rsidR="00271836" w:rsidRPr="00261C59" w:rsidRDefault="00271836" w:rsidP="00D00058">
      <w:pPr>
        <w:keepLines/>
        <w:numPr>
          <w:ilvl w:val="1"/>
          <w:numId w:val="54"/>
        </w:numPr>
        <w:spacing w:after="240" w:line="260" w:lineRule="exact"/>
        <w:jc w:val="left"/>
        <w:rPr>
          <w:rFonts w:ascii="Calibri" w:hAnsi="Calibri" w:cs="Arial"/>
          <w:color w:val="000000"/>
          <w:sz w:val="24"/>
          <w:szCs w:val="24"/>
        </w:rPr>
      </w:pPr>
      <w:r w:rsidRPr="00261C59">
        <w:rPr>
          <w:rFonts w:ascii="Calibri" w:hAnsi="Calibri" w:cs="Arial"/>
          <w:color w:val="000000" w:themeColor="text1"/>
          <w:sz w:val="24"/>
          <w:szCs w:val="24"/>
        </w:rPr>
        <w:lastRenderedPageBreak/>
        <w:t>The request for review must receive agreement from the Commonwealth and one or more States to be progressed.</w:t>
      </w:r>
    </w:p>
    <w:p w14:paraId="6B69A66C" w14:textId="77777777" w:rsidR="00271836" w:rsidRPr="00261C59" w:rsidRDefault="00271836" w:rsidP="004728D9">
      <w:pPr>
        <w:keepNext/>
        <w:widowControl/>
        <w:numPr>
          <w:ilvl w:val="0"/>
          <w:numId w:val="54"/>
        </w:numPr>
        <w:spacing w:after="240" w:line="260" w:lineRule="exact"/>
        <w:jc w:val="left"/>
        <w:rPr>
          <w:rFonts w:ascii="Calibri" w:hAnsi="Calibri" w:cs="Arial"/>
          <w:color w:val="000000"/>
          <w:sz w:val="24"/>
          <w:szCs w:val="24"/>
        </w:rPr>
      </w:pPr>
      <w:r w:rsidRPr="00261C59">
        <w:rPr>
          <w:rFonts w:ascii="Calibri" w:hAnsi="Calibri" w:cs="Arial"/>
          <w:color w:val="000000"/>
          <w:sz w:val="24"/>
          <w:szCs w:val="24"/>
        </w:rPr>
        <w:t>Reviews will be jointly conducted by the IHACPA and the Commonwealth within twelve months of the nomination being approved.</w:t>
      </w:r>
    </w:p>
    <w:p w14:paraId="4F2279FD" w14:textId="77777777" w:rsidR="00271836" w:rsidRPr="00261C59" w:rsidRDefault="00271836" w:rsidP="004728D9">
      <w:pPr>
        <w:numPr>
          <w:ilvl w:val="1"/>
          <w:numId w:val="54"/>
        </w:numPr>
        <w:spacing w:after="240" w:line="260" w:lineRule="exact"/>
        <w:jc w:val="left"/>
        <w:rPr>
          <w:rFonts w:ascii="Calibri" w:hAnsi="Calibri" w:cs="Arial"/>
          <w:color w:val="000000"/>
          <w:sz w:val="24"/>
          <w:szCs w:val="24"/>
        </w:rPr>
      </w:pPr>
      <w:r w:rsidRPr="00261C59">
        <w:rPr>
          <w:rFonts w:ascii="Calibri" w:hAnsi="Calibri" w:cs="Arial"/>
          <w:color w:val="000000"/>
          <w:sz w:val="24"/>
          <w:szCs w:val="24"/>
        </w:rPr>
        <w:t>All Parties, and the national funding bodies may contribute information as part of the review process.</w:t>
      </w:r>
    </w:p>
    <w:p w14:paraId="78AEC961" w14:textId="77777777" w:rsidR="00271836" w:rsidRPr="00261C59" w:rsidRDefault="00271836" w:rsidP="004728D9">
      <w:pPr>
        <w:numPr>
          <w:ilvl w:val="1"/>
          <w:numId w:val="54"/>
        </w:numPr>
        <w:spacing w:after="240" w:line="260" w:lineRule="exact"/>
        <w:jc w:val="left"/>
        <w:rPr>
          <w:rFonts w:ascii="Calibri" w:hAnsi="Calibri" w:cs="Arial"/>
          <w:color w:val="000000"/>
          <w:sz w:val="24"/>
          <w:szCs w:val="24"/>
        </w:rPr>
      </w:pPr>
      <w:r w:rsidRPr="00261C59">
        <w:rPr>
          <w:rFonts w:ascii="Calibri" w:hAnsi="Calibri" w:cs="Arial"/>
          <w:color w:val="000000"/>
          <w:sz w:val="24"/>
          <w:szCs w:val="24"/>
        </w:rPr>
        <w:t>Findings will be provided to all Parties for consideration and feedback before a final report to HCEF.</w:t>
      </w:r>
    </w:p>
    <w:p w14:paraId="647092B6" w14:textId="77777777" w:rsidR="00271836" w:rsidRPr="00261C59" w:rsidRDefault="00271836" w:rsidP="004728D9">
      <w:pPr>
        <w:numPr>
          <w:ilvl w:val="0"/>
          <w:numId w:val="54"/>
        </w:numPr>
        <w:spacing w:after="240" w:line="260" w:lineRule="exact"/>
        <w:jc w:val="left"/>
        <w:rPr>
          <w:rFonts w:ascii="Calibri" w:hAnsi="Calibri" w:cs="Arial"/>
          <w:color w:val="000000"/>
          <w:sz w:val="24"/>
          <w:szCs w:val="24"/>
        </w:rPr>
      </w:pPr>
      <w:r w:rsidRPr="00261C59">
        <w:rPr>
          <w:rFonts w:ascii="Calibri" w:hAnsi="Calibri" w:cs="Arial"/>
          <w:color w:val="000000"/>
          <w:sz w:val="24"/>
          <w:szCs w:val="24"/>
        </w:rPr>
        <w:t>As part of such a review where it relates to the interaction of MBS and NHRA funding for the identified service/s or parts of services, the IHACPA will consider options to address underlying price incentives.</w:t>
      </w:r>
    </w:p>
    <w:p w14:paraId="4DB92F5A" w14:textId="77777777" w:rsidR="00271836" w:rsidRPr="00261C59" w:rsidRDefault="00271836" w:rsidP="004728D9">
      <w:pPr>
        <w:numPr>
          <w:ilvl w:val="1"/>
          <w:numId w:val="54"/>
        </w:numPr>
        <w:spacing w:after="240" w:line="260" w:lineRule="exact"/>
        <w:jc w:val="left"/>
        <w:rPr>
          <w:rFonts w:ascii="Calibri" w:hAnsi="Calibri" w:cs="Arial"/>
          <w:color w:val="000000"/>
          <w:sz w:val="24"/>
          <w:szCs w:val="24"/>
        </w:rPr>
      </w:pPr>
      <w:r w:rsidRPr="00261C59">
        <w:rPr>
          <w:rFonts w:ascii="Calibri" w:hAnsi="Calibri" w:cs="Arial"/>
          <w:color w:val="000000" w:themeColor="text1"/>
          <w:sz w:val="24"/>
          <w:szCs w:val="24"/>
        </w:rPr>
        <w:t xml:space="preserve">One option is for the IHACPA to make prospective corrective pricing changes in the NHRA. </w:t>
      </w:r>
    </w:p>
    <w:p w14:paraId="545A645D" w14:textId="77777777" w:rsidR="00271836" w:rsidRPr="00261C59" w:rsidRDefault="00271836" w:rsidP="004728D9">
      <w:pPr>
        <w:numPr>
          <w:ilvl w:val="1"/>
          <w:numId w:val="54"/>
        </w:numPr>
        <w:spacing w:after="240" w:line="260" w:lineRule="exact"/>
        <w:jc w:val="left"/>
        <w:rPr>
          <w:rFonts w:ascii="Calibri" w:hAnsi="Calibri"/>
          <w:color w:val="000000"/>
          <w:sz w:val="24"/>
        </w:rPr>
      </w:pPr>
      <w:r w:rsidRPr="00261C59">
        <w:rPr>
          <w:rFonts w:ascii="Calibri" w:hAnsi="Calibri" w:cs="Arial"/>
          <w:color w:val="000000" w:themeColor="text1"/>
          <w:sz w:val="24"/>
          <w:szCs w:val="24"/>
        </w:rPr>
        <w:t>If the IHACPA subsequently receives evidence from the Commonwealth that the price incentives have not had an effect, the IHACPA and the Administrator will advise the Treasurer on recommended actions for remedy.</w:t>
      </w:r>
    </w:p>
    <w:p w14:paraId="2AC9275E" w14:textId="77777777" w:rsidR="00271836" w:rsidRPr="00261C59" w:rsidRDefault="00271836" w:rsidP="004728D9">
      <w:pPr>
        <w:numPr>
          <w:ilvl w:val="1"/>
          <w:numId w:val="54"/>
        </w:numPr>
        <w:spacing w:after="240" w:line="260" w:lineRule="exact"/>
        <w:jc w:val="left"/>
        <w:rPr>
          <w:rFonts w:ascii="Calibri" w:hAnsi="Calibri"/>
          <w:color w:val="000000"/>
          <w:sz w:val="24"/>
        </w:rPr>
      </w:pPr>
      <w:r w:rsidRPr="00261C59">
        <w:rPr>
          <w:rFonts w:ascii="Calibri" w:hAnsi="Calibri"/>
          <w:color w:val="000000"/>
          <w:sz w:val="24"/>
        </w:rPr>
        <w:t>In developing any such options and applying any corrective pricing, the IHACPA will consult extensively with the Parties.</w:t>
      </w:r>
    </w:p>
    <w:p w14:paraId="01F803FD" w14:textId="77777777" w:rsidR="00271836" w:rsidRPr="00261C59" w:rsidRDefault="00271836" w:rsidP="005460E8">
      <w:pPr>
        <w:keepNext/>
        <w:jc w:val="left"/>
        <w:outlineLvl w:val="2"/>
        <w:rPr>
          <w:rFonts w:ascii="Corbel" w:hAnsi="Corbel"/>
          <w:color w:val="3D4B67"/>
          <w:sz w:val="28"/>
          <w:szCs w:val="48"/>
          <w:lang w:eastAsia="ja-JP"/>
        </w:rPr>
      </w:pPr>
      <w:bookmarkStart w:id="425" w:name="_Toc168579028"/>
      <w:bookmarkStart w:id="426" w:name="_Toc171350380"/>
      <w:bookmarkStart w:id="427" w:name="_Toc172210261"/>
      <w:bookmarkStart w:id="428" w:name="_Toc172787711"/>
      <w:bookmarkStart w:id="429" w:name="_Toc183183324"/>
      <w:bookmarkStart w:id="430" w:name="_Toc201673982"/>
      <w:bookmarkStart w:id="431" w:name="_Toc210833615"/>
      <w:bookmarkStart w:id="432" w:name="_Toc214456515"/>
      <w:bookmarkStart w:id="433" w:name="_Toc221087994"/>
      <w:r w:rsidRPr="00261C59">
        <w:rPr>
          <w:rFonts w:ascii="Corbel" w:hAnsi="Corbel"/>
          <w:color w:val="3D4B67"/>
          <w:sz w:val="28"/>
          <w:szCs w:val="48"/>
          <w:lang w:eastAsia="ja-JP"/>
        </w:rPr>
        <w:t>Data requirements</w:t>
      </w:r>
      <w:bookmarkEnd w:id="425"/>
      <w:bookmarkEnd w:id="426"/>
      <w:bookmarkEnd w:id="427"/>
      <w:bookmarkEnd w:id="428"/>
      <w:bookmarkEnd w:id="429"/>
      <w:bookmarkEnd w:id="430"/>
      <w:bookmarkEnd w:id="431"/>
      <w:bookmarkEnd w:id="432"/>
      <w:bookmarkEnd w:id="433"/>
    </w:p>
    <w:p w14:paraId="22BDB54A" w14:textId="77777777" w:rsidR="00271836" w:rsidRPr="00261C59" w:rsidRDefault="00271836" w:rsidP="005460E8">
      <w:pPr>
        <w:keepNext/>
        <w:keepLines/>
        <w:spacing w:before="200"/>
        <w:jc w:val="left"/>
        <w:outlineLvl w:val="3"/>
        <w:rPr>
          <w:rFonts w:eastAsia="Yu Gothic Light"/>
          <w:b/>
          <w:bCs/>
          <w:iCs/>
        </w:rPr>
      </w:pPr>
      <w:bookmarkStart w:id="434" w:name="_Toc167133821"/>
      <w:r w:rsidRPr="00261C59">
        <w:rPr>
          <w:rFonts w:eastAsia="Yu Gothic Light"/>
          <w:b/>
          <w:bCs/>
          <w:iCs/>
        </w:rPr>
        <w:t>Data matching</w:t>
      </w:r>
      <w:bookmarkEnd w:id="434"/>
    </w:p>
    <w:p w14:paraId="62E08A16" w14:textId="30BBC6D0" w:rsidR="00271836" w:rsidRPr="00261C59" w:rsidRDefault="00271836" w:rsidP="004728D9">
      <w:pPr>
        <w:numPr>
          <w:ilvl w:val="0"/>
          <w:numId w:val="54"/>
        </w:numPr>
        <w:spacing w:after="240" w:line="260" w:lineRule="exact"/>
        <w:jc w:val="left"/>
        <w:rPr>
          <w:rFonts w:ascii="Calibri" w:hAnsi="Calibri" w:cs="Calibri"/>
          <w:color w:val="000000"/>
          <w:sz w:val="24"/>
          <w:szCs w:val="24"/>
          <w:shd w:val="clear" w:color="auto" w:fill="F7CAAC"/>
        </w:rPr>
      </w:pPr>
      <w:r w:rsidRPr="00261C59">
        <w:rPr>
          <w:rFonts w:ascii="Calibri" w:hAnsi="Calibri" w:cs="Arial"/>
          <w:color w:val="000000" w:themeColor="text1"/>
          <w:sz w:val="24"/>
          <w:szCs w:val="24"/>
        </w:rPr>
        <w:t xml:space="preserve">The Parties agree to jointly identify instances, not covered by the exceptions outlined at clause </w:t>
      </w:r>
      <w:r w:rsidRPr="00261C59">
        <w:rPr>
          <w:rFonts w:ascii="Calibri" w:hAnsi="Calibri"/>
          <w:color w:val="000000" w:themeColor="text1"/>
          <w:sz w:val="24"/>
        </w:rPr>
        <w:t>A1</w:t>
      </w:r>
      <w:r w:rsidR="000C0E3F" w:rsidRPr="00261C59">
        <w:rPr>
          <w:rFonts w:ascii="Calibri" w:hAnsi="Calibri"/>
          <w:color w:val="000000" w:themeColor="text1"/>
          <w:sz w:val="24"/>
        </w:rPr>
        <w:t>3</w:t>
      </w:r>
      <w:r w:rsidRPr="00261C59">
        <w:rPr>
          <w:rFonts w:ascii="Calibri" w:hAnsi="Calibri" w:cs="Arial"/>
          <w:color w:val="000000" w:themeColor="text1"/>
          <w:sz w:val="24"/>
          <w:szCs w:val="24"/>
        </w:rPr>
        <w:t>, where services appear to have been paid under this Addendum and other Commonwealth programs, such as through the MBS and PBS. The Administrator, aided by the National Health Funding Body, will also independently assess whether duplicate payments have occurred through other Commonwealth programs.</w:t>
      </w:r>
    </w:p>
    <w:p w14:paraId="5B1E534B" w14:textId="4EA5C75E" w:rsidR="00271836" w:rsidRPr="00261C59" w:rsidRDefault="00271836" w:rsidP="00830547">
      <w:pPr>
        <w:numPr>
          <w:ilvl w:val="1"/>
          <w:numId w:val="71"/>
        </w:numPr>
        <w:spacing w:after="240" w:line="260" w:lineRule="exact"/>
        <w:jc w:val="left"/>
        <w:rPr>
          <w:rFonts w:ascii="Calibri" w:hAnsi="Calibri"/>
          <w:sz w:val="24"/>
          <w:szCs w:val="24"/>
        </w:rPr>
      </w:pPr>
      <w:r w:rsidRPr="00261C59">
        <w:rPr>
          <w:rFonts w:ascii="Calibri" w:hAnsi="Calibri"/>
          <w:sz w:val="24"/>
          <w:szCs w:val="24"/>
        </w:rPr>
        <w:t>The Administrator’s assessment of duplicate payments will only occur after Business Rules have been established in respect of the relevant Commonwealth program.</w:t>
      </w:r>
    </w:p>
    <w:p w14:paraId="356E5444" w14:textId="390499A1" w:rsidR="00271836" w:rsidRPr="00261C59" w:rsidRDefault="00271836" w:rsidP="001A08BA">
      <w:pPr>
        <w:keepLines/>
        <w:numPr>
          <w:ilvl w:val="1"/>
          <w:numId w:val="71"/>
        </w:numPr>
        <w:spacing w:after="240" w:line="260" w:lineRule="exact"/>
        <w:jc w:val="left"/>
        <w:rPr>
          <w:rFonts w:ascii="Calibri" w:hAnsi="Calibri"/>
          <w:sz w:val="24"/>
          <w:szCs w:val="24"/>
        </w:rPr>
      </w:pPr>
      <w:r w:rsidRPr="7B1A1E71">
        <w:rPr>
          <w:rFonts w:ascii="Calibri" w:hAnsi="Calibri"/>
          <w:sz w:val="24"/>
          <w:szCs w:val="24"/>
        </w:rPr>
        <w:t>Using comprehensive MBS, PBS, and NHRA datasets, as detailed in clause A2</w:t>
      </w:r>
      <w:r w:rsidR="00A0633E" w:rsidRPr="7B1A1E71">
        <w:rPr>
          <w:rFonts w:ascii="Calibri" w:hAnsi="Calibri"/>
          <w:sz w:val="24"/>
          <w:szCs w:val="24"/>
        </w:rPr>
        <w:t>19</w:t>
      </w:r>
      <w:r w:rsidRPr="7B1A1E71">
        <w:rPr>
          <w:rFonts w:ascii="Calibri" w:hAnsi="Calibri"/>
          <w:sz w:val="24"/>
          <w:szCs w:val="24"/>
        </w:rPr>
        <w:t>, all Parties, as well as the Administrator, will determine their own data matching business rules for assessing whether duplicate payments have been made.</w:t>
      </w:r>
    </w:p>
    <w:p w14:paraId="64A37D62" w14:textId="77777777" w:rsidR="00271836" w:rsidRPr="00261C59" w:rsidRDefault="00271836" w:rsidP="004728D9">
      <w:pPr>
        <w:numPr>
          <w:ilvl w:val="1"/>
          <w:numId w:val="71"/>
        </w:numPr>
        <w:spacing w:after="240" w:line="260" w:lineRule="exact"/>
        <w:jc w:val="left"/>
        <w:rPr>
          <w:rFonts w:ascii="Calibri" w:hAnsi="Calibri"/>
          <w:sz w:val="24"/>
          <w:szCs w:val="24"/>
        </w:rPr>
      </w:pPr>
      <w:r w:rsidRPr="00261C59">
        <w:rPr>
          <w:rFonts w:ascii="Calibri" w:hAnsi="Calibri"/>
          <w:sz w:val="24"/>
          <w:szCs w:val="24"/>
        </w:rPr>
        <w:t>The relevant Commonwealth officer responsible for compliance will: notify, consult, and validate concerns about potential non-compliance with relevant States; and, have regard to timely advice provided by those States prior to undertaking any compliance activity relating to duplicate payments.</w:t>
      </w:r>
    </w:p>
    <w:p w14:paraId="6F0DF9C8" w14:textId="77777777" w:rsidR="00271836" w:rsidRPr="00261C59" w:rsidRDefault="00271836" w:rsidP="004728D9">
      <w:pPr>
        <w:numPr>
          <w:ilvl w:val="1"/>
          <w:numId w:val="71"/>
        </w:numPr>
        <w:spacing w:after="240" w:line="260" w:lineRule="exact"/>
        <w:jc w:val="left"/>
        <w:rPr>
          <w:rFonts w:ascii="Calibri" w:hAnsi="Calibri"/>
          <w:sz w:val="24"/>
          <w:szCs w:val="24"/>
        </w:rPr>
      </w:pPr>
      <w:r w:rsidRPr="00261C59">
        <w:rPr>
          <w:rFonts w:ascii="Calibri" w:hAnsi="Calibri"/>
          <w:sz w:val="24"/>
          <w:szCs w:val="24"/>
        </w:rPr>
        <w:t>The Commonwealth will conduct compliance assessments and activities to correct or remedy causes of non-compliance in collaboration with States and at a system level where possible.</w:t>
      </w:r>
    </w:p>
    <w:p w14:paraId="06345E0D" w14:textId="77777777" w:rsidR="00271836" w:rsidRPr="00261C59" w:rsidRDefault="00271836" w:rsidP="004728D9">
      <w:pPr>
        <w:numPr>
          <w:ilvl w:val="1"/>
          <w:numId w:val="71"/>
        </w:numPr>
        <w:spacing w:after="240" w:line="260" w:lineRule="exact"/>
        <w:jc w:val="left"/>
        <w:rPr>
          <w:rFonts w:ascii="Calibri" w:hAnsi="Calibri"/>
          <w:sz w:val="24"/>
          <w:szCs w:val="24"/>
        </w:rPr>
      </w:pPr>
      <w:r w:rsidRPr="00261C59">
        <w:rPr>
          <w:rFonts w:ascii="Calibri" w:hAnsi="Calibri"/>
          <w:sz w:val="24"/>
          <w:szCs w:val="24"/>
        </w:rPr>
        <w:t>The relevant State will receive a copy of any matched data provided by the Administrator for verification purposes.</w:t>
      </w:r>
    </w:p>
    <w:p w14:paraId="2208DDE2" w14:textId="77777777" w:rsidR="00271836" w:rsidRPr="00261C59" w:rsidRDefault="00271836" w:rsidP="00E84BBB">
      <w:pPr>
        <w:keepLines/>
        <w:numPr>
          <w:ilvl w:val="1"/>
          <w:numId w:val="71"/>
        </w:numPr>
        <w:spacing w:after="240" w:line="260" w:lineRule="exact"/>
        <w:jc w:val="left"/>
        <w:rPr>
          <w:rFonts w:ascii="Calibri" w:hAnsi="Calibri"/>
          <w:sz w:val="24"/>
          <w:szCs w:val="24"/>
        </w:rPr>
      </w:pPr>
      <w:r w:rsidRPr="00261C59">
        <w:rPr>
          <w:rFonts w:ascii="Calibri" w:hAnsi="Calibri"/>
          <w:sz w:val="24"/>
          <w:szCs w:val="24"/>
        </w:rPr>
        <w:lastRenderedPageBreak/>
        <w:t>Where a State health department identifies any validation or verification issues, it will raise this with the relevant Commonwealth officer responsible for compliance.</w:t>
      </w:r>
    </w:p>
    <w:p w14:paraId="4934F3AE" w14:textId="77777777" w:rsidR="00271836" w:rsidRPr="00261C59" w:rsidRDefault="00271836" w:rsidP="004728D9">
      <w:pPr>
        <w:numPr>
          <w:ilvl w:val="1"/>
          <w:numId w:val="71"/>
        </w:numPr>
        <w:spacing w:after="240" w:line="260" w:lineRule="exact"/>
        <w:jc w:val="left"/>
        <w:rPr>
          <w:rFonts w:ascii="Calibri" w:hAnsi="Calibri"/>
          <w:sz w:val="24"/>
          <w:szCs w:val="24"/>
        </w:rPr>
      </w:pPr>
      <w:r w:rsidRPr="00261C59">
        <w:rPr>
          <w:rFonts w:ascii="Calibri" w:hAnsi="Calibri"/>
          <w:sz w:val="24"/>
          <w:szCs w:val="24"/>
        </w:rPr>
        <w:t>Commonwealth compliance activities, where possible, will be undertaken in a timely manner.</w:t>
      </w:r>
    </w:p>
    <w:p w14:paraId="0F75261E" w14:textId="77777777" w:rsidR="00271836" w:rsidRPr="00261C59" w:rsidRDefault="00271836" w:rsidP="004728D9">
      <w:pPr>
        <w:numPr>
          <w:ilvl w:val="1"/>
          <w:numId w:val="71"/>
        </w:numPr>
        <w:spacing w:after="240" w:line="260" w:lineRule="exact"/>
        <w:jc w:val="left"/>
        <w:rPr>
          <w:rFonts w:ascii="Calibri" w:hAnsi="Calibri"/>
          <w:sz w:val="24"/>
          <w:szCs w:val="24"/>
        </w:rPr>
      </w:pPr>
      <w:r w:rsidRPr="00261C59">
        <w:rPr>
          <w:rFonts w:ascii="Calibri" w:hAnsi="Calibri"/>
          <w:sz w:val="24"/>
          <w:szCs w:val="24"/>
        </w:rPr>
        <w:t>As part of the annual reconciliation process, the Administrator will have primary responsibility for assessing and correcting miscoding of private patients that lead to duplicate payments.</w:t>
      </w:r>
    </w:p>
    <w:p w14:paraId="1C440074" w14:textId="77777777" w:rsidR="00271836" w:rsidRPr="00261C59" w:rsidRDefault="00271836" w:rsidP="004728D9">
      <w:pPr>
        <w:numPr>
          <w:ilvl w:val="1"/>
          <w:numId w:val="71"/>
        </w:numPr>
        <w:spacing w:after="240" w:line="260" w:lineRule="exact"/>
        <w:jc w:val="left"/>
        <w:rPr>
          <w:rFonts w:ascii="Calibri" w:hAnsi="Calibri"/>
          <w:sz w:val="24"/>
          <w:szCs w:val="24"/>
        </w:rPr>
      </w:pPr>
      <w:r w:rsidRPr="00261C59">
        <w:rPr>
          <w:rFonts w:ascii="Calibri" w:hAnsi="Calibri"/>
          <w:sz w:val="24"/>
          <w:szCs w:val="24"/>
        </w:rPr>
        <w:t>Where the Administrator cannot obtain agreement from a State to correct miscoding and/or cannot correct a potentially miscoded patient event, relevant data will be referred to the Commonwealth for consideration in its compliance activities.</w:t>
      </w:r>
    </w:p>
    <w:p w14:paraId="77D2146A" w14:textId="77777777" w:rsidR="00271836" w:rsidRPr="00261C59" w:rsidRDefault="00271836" w:rsidP="004728D9">
      <w:pPr>
        <w:widowControl/>
        <w:numPr>
          <w:ilvl w:val="1"/>
          <w:numId w:val="71"/>
        </w:numPr>
        <w:spacing w:after="240" w:line="260" w:lineRule="exact"/>
        <w:jc w:val="left"/>
        <w:rPr>
          <w:rFonts w:ascii="Calibri" w:hAnsi="Calibri"/>
          <w:sz w:val="24"/>
          <w:szCs w:val="24"/>
        </w:rPr>
      </w:pPr>
      <w:r w:rsidRPr="00261C59">
        <w:rPr>
          <w:rFonts w:ascii="Calibri" w:hAnsi="Calibri"/>
          <w:sz w:val="24"/>
          <w:szCs w:val="24"/>
        </w:rPr>
        <w:t>To support timely compliance activities, the Administrator will refer any miscoding concerns and any other duplicate payment concerns to the Commonwealth and relevant State(s) within two months, or as soon as practicable, of the annual reconciliation being finalised.</w:t>
      </w:r>
    </w:p>
    <w:p w14:paraId="51662224" w14:textId="1E248E3E" w:rsidR="00271836" w:rsidRPr="00261C59" w:rsidRDefault="00271836" w:rsidP="004728D9">
      <w:pPr>
        <w:numPr>
          <w:ilvl w:val="0"/>
          <w:numId w:val="54"/>
        </w:numPr>
        <w:spacing w:after="240" w:line="260" w:lineRule="exact"/>
        <w:jc w:val="left"/>
        <w:rPr>
          <w:rFonts w:ascii="Calibri" w:hAnsi="Calibri" w:cs="Calibri"/>
          <w:color w:val="000000"/>
          <w:sz w:val="24"/>
          <w:szCs w:val="24"/>
          <w:shd w:val="clear" w:color="auto" w:fill="BDD6EE"/>
        </w:rPr>
      </w:pPr>
      <w:r w:rsidRPr="00261C59">
        <w:rPr>
          <w:rFonts w:ascii="Calibri" w:hAnsi="Calibri" w:cs="Arial"/>
          <w:color w:val="000000" w:themeColor="text1"/>
          <w:sz w:val="24"/>
          <w:szCs w:val="24"/>
        </w:rPr>
        <w:t xml:space="preserve">To support compliance activities described in clause </w:t>
      </w:r>
      <w:r w:rsidRPr="00261C59">
        <w:rPr>
          <w:rFonts w:ascii="Calibri" w:hAnsi="Calibri"/>
          <w:color w:val="000000" w:themeColor="text1"/>
          <w:sz w:val="24"/>
        </w:rPr>
        <w:t>A2</w:t>
      </w:r>
      <w:r w:rsidR="00A0633E" w:rsidRPr="00261C59">
        <w:rPr>
          <w:rFonts w:ascii="Calibri" w:hAnsi="Calibri"/>
          <w:color w:val="000000" w:themeColor="text1"/>
          <w:sz w:val="24"/>
        </w:rPr>
        <w:t>18</w:t>
      </w:r>
      <w:r w:rsidRPr="00261C59">
        <w:rPr>
          <w:rFonts w:ascii="Calibri" w:hAnsi="Calibri" w:cs="Arial"/>
          <w:color w:val="000000" w:themeColor="text1"/>
          <w:sz w:val="24"/>
          <w:szCs w:val="24"/>
        </w:rPr>
        <w:t>, the Parties will, as soon as practicable after the end of each financial year, exchange data for full financial years as below:</w:t>
      </w:r>
    </w:p>
    <w:p w14:paraId="56388DD4" w14:textId="3CC44DEE" w:rsidR="00271836" w:rsidRPr="00261C59" w:rsidRDefault="00271836" w:rsidP="004728D9">
      <w:pPr>
        <w:numPr>
          <w:ilvl w:val="1"/>
          <w:numId w:val="72"/>
        </w:numPr>
        <w:spacing w:after="240" w:line="260" w:lineRule="exact"/>
        <w:jc w:val="left"/>
        <w:rPr>
          <w:rFonts w:ascii="Calibri" w:hAnsi="Calibri" w:cs="Arial"/>
          <w:color w:val="000000"/>
          <w:sz w:val="24"/>
          <w:szCs w:val="24"/>
        </w:rPr>
      </w:pPr>
      <w:r w:rsidRPr="7B1A1E71">
        <w:rPr>
          <w:rFonts w:ascii="Calibri" w:hAnsi="Calibri" w:cs="Arial"/>
          <w:color w:val="000000" w:themeColor="text1"/>
          <w:sz w:val="24"/>
          <w:szCs w:val="24"/>
        </w:rPr>
        <w:t>Commonwealth to provide each State and the Administrator a jurisdiction specific MBS Claims dataset</w:t>
      </w:r>
    </w:p>
    <w:p w14:paraId="52A5D42F" w14:textId="09AD0D1D" w:rsidR="00271836" w:rsidRPr="00261C59" w:rsidRDefault="00271836" w:rsidP="7B1A1E71">
      <w:pPr>
        <w:numPr>
          <w:ilvl w:val="1"/>
          <w:numId w:val="72"/>
        </w:numPr>
        <w:spacing w:after="240" w:line="260" w:lineRule="exact"/>
        <w:jc w:val="left"/>
        <w:rPr>
          <w:rFonts w:ascii="Calibri" w:hAnsi="Calibri"/>
          <w:color w:val="000000"/>
          <w:sz w:val="24"/>
          <w:szCs w:val="24"/>
        </w:rPr>
      </w:pPr>
      <w:r w:rsidRPr="7B1A1E71">
        <w:rPr>
          <w:rFonts w:ascii="Calibri" w:hAnsi="Calibri" w:cs="Arial"/>
          <w:color w:val="000000" w:themeColor="text1"/>
          <w:sz w:val="24"/>
          <w:szCs w:val="24"/>
        </w:rPr>
        <w:t>Commonwealth to provide each State and the Administrator a jurisdiction specific PBS Claims dataset</w:t>
      </w:r>
    </w:p>
    <w:p w14:paraId="3EC9E491" w14:textId="77777777" w:rsidR="00271836" w:rsidRPr="00261C59" w:rsidRDefault="00271836" w:rsidP="004728D9">
      <w:pPr>
        <w:numPr>
          <w:ilvl w:val="1"/>
          <w:numId w:val="72"/>
        </w:numPr>
        <w:spacing w:after="240" w:line="260" w:lineRule="exact"/>
        <w:jc w:val="left"/>
        <w:rPr>
          <w:rFonts w:ascii="Calibri" w:hAnsi="Calibri"/>
          <w:color w:val="000000"/>
          <w:sz w:val="24"/>
        </w:rPr>
      </w:pPr>
      <w:r w:rsidRPr="00261C59">
        <w:rPr>
          <w:rFonts w:ascii="Calibri" w:hAnsi="Calibri"/>
          <w:color w:val="000000"/>
          <w:sz w:val="24"/>
        </w:rPr>
        <w:t>States to provide a copy of NHRA datasets, as defined in the Administrator’s three-year data plan, to the Commonwealth and the Administrator.</w:t>
      </w:r>
    </w:p>
    <w:p w14:paraId="6252722E" w14:textId="532D08CC" w:rsidR="00271836" w:rsidRPr="00261C59" w:rsidRDefault="00271836" w:rsidP="004728D9">
      <w:pPr>
        <w:numPr>
          <w:ilvl w:val="0"/>
          <w:numId w:val="54"/>
        </w:numPr>
        <w:spacing w:after="240" w:line="260" w:lineRule="exact"/>
        <w:jc w:val="left"/>
        <w:rPr>
          <w:rFonts w:ascii="Calibri" w:hAnsi="Calibri" w:cs="Arial"/>
          <w:color w:val="000000"/>
          <w:sz w:val="24"/>
          <w:szCs w:val="24"/>
        </w:rPr>
      </w:pPr>
      <w:r w:rsidRPr="00261C59">
        <w:rPr>
          <w:rFonts w:ascii="Calibri" w:hAnsi="Calibri" w:cs="Arial"/>
          <w:color w:val="000000"/>
          <w:sz w:val="24"/>
          <w:szCs w:val="24"/>
        </w:rPr>
        <w:t>Data exchange between Parties will align with the ‘single-provision, multiple use’ principles in clauses H3</w:t>
      </w:r>
      <w:r w:rsidR="004606E3" w:rsidRPr="00261C59">
        <w:rPr>
          <w:rFonts w:ascii="Calibri" w:hAnsi="Calibri" w:cs="Arial"/>
          <w:color w:val="000000"/>
          <w:sz w:val="24"/>
          <w:szCs w:val="24"/>
        </w:rPr>
        <w:t>3</w:t>
      </w:r>
      <w:r w:rsidRPr="00261C59">
        <w:rPr>
          <w:rFonts w:ascii="Calibri" w:hAnsi="Calibri" w:cs="Arial"/>
          <w:color w:val="000000"/>
          <w:sz w:val="24"/>
          <w:szCs w:val="24"/>
        </w:rPr>
        <w:t>(a) and I</w:t>
      </w:r>
      <w:r w:rsidR="00747219" w:rsidRPr="00261C59">
        <w:rPr>
          <w:rFonts w:ascii="Calibri" w:hAnsi="Calibri" w:cs="Arial"/>
          <w:color w:val="000000"/>
          <w:sz w:val="24"/>
          <w:szCs w:val="24"/>
        </w:rPr>
        <w:t>79</w:t>
      </w:r>
      <w:r w:rsidRPr="00261C59">
        <w:rPr>
          <w:rFonts w:ascii="Calibri" w:hAnsi="Calibri" w:cs="Arial"/>
          <w:color w:val="000000"/>
          <w:sz w:val="24"/>
          <w:szCs w:val="24"/>
        </w:rPr>
        <w:t>(</w:t>
      </w:r>
      <w:r w:rsidR="00E147C3" w:rsidRPr="00261C59">
        <w:rPr>
          <w:rFonts w:ascii="Calibri" w:hAnsi="Calibri" w:cs="Arial"/>
          <w:color w:val="000000"/>
          <w:sz w:val="24"/>
          <w:szCs w:val="24"/>
        </w:rPr>
        <w:t>e</w:t>
      </w:r>
      <w:r w:rsidRPr="00261C59">
        <w:rPr>
          <w:rFonts w:ascii="Calibri" w:hAnsi="Calibri" w:cs="Arial"/>
          <w:color w:val="000000"/>
          <w:sz w:val="24"/>
          <w:szCs w:val="24"/>
        </w:rPr>
        <w:t>), which aim to increase funding transparency and support shared efforts to achieve health system sustainability in addition to compliance.</w:t>
      </w:r>
    </w:p>
    <w:p w14:paraId="0FF330F2" w14:textId="77777777" w:rsidR="00271836" w:rsidRPr="00261C59" w:rsidRDefault="00271836" w:rsidP="004728D9">
      <w:pPr>
        <w:numPr>
          <w:ilvl w:val="1"/>
          <w:numId w:val="73"/>
        </w:numPr>
        <w:spacing w:after="240" w:line="260" w:lineRule="exact"/>
        <w:jc w:val="left"/>
        <w:rPr>
          <w:rFonts w:ascii="Calibri" w:hAnsi="Calibri" w:cs="Arial"/>
          <w:color w:val="000000"/>
          <w:sz w:val="24"/>
          <w:szCs w:val="24"/>
        </w:rPr>
      </w:pPr>
      <w:r w:rsidRPr="00261C59">
        <w:rPr>
          <w:rFonts w:ascii="Calibri" w:hAnsi="Calibri" w:cs="Arial"/>
          <w:color w:val="000000" w:themeColor="text1"/>
          <w:sz w:val="24"/>
          <w:szCs w:val="24"/>
        </w:rPr>
        <w:t>Data provision will comply with applicable Commonwealth and State legislation, including privacy legislation and principles.</w:t>
      </w:r>
    </w:p>
    <w:p w14:paraId="7FA96C68" w14:textId="77777777" w:rsidR="00271836" w:rsidRPr="00261C59" w:rsidRDefault="00271836" w:rsidP="004728D9">
      <w:pPr>
        <w:numPr>
          <w:ilvl w:val="1"/>
          <w:numId w:val="73"/>
        </w:numPr>
        <w:spacing w:after="240" w:line="260" w:lineRule="exact"/>
        <w:jc w:val="left"/>
        <w:rPr>
          <w:rFonts w:ascii="Calibri" w:hAnsi="Calibri"/>
          <w:color w:val="000000"/>
          <w:sz w:val="24"/>
        </w:rPr>
      </w:pPr>
      <w:r w:rsidRPr="00261C59">
        <w:rPr>
          <w:rFonts w:ascii="Calibri" w:hAnsi="Calibri" w:cs="Arial"/>
          <w:color w:val="000000" w:themeColor="text1"/>
          <w:sz w:val="24"/>
          <w:szCs w:val="24"/>
        </w:rPr>
        <w:t>Each party will be responsible for seeking any changes to its own legislation or arranging any authorising instruments so data can be exchanged.</w:t>
      </w:r>
    </w:p>
    <w:p w14:paraId="21B0D056" w14:textId="77777777" w:rsidR="00271836" w:rsidRPr="00261C59" w:rsidRDefault="00271836" w:rsidP="004728D9">
      <w:pPr>
        <w:keepNext/>
        <w:widowControl/>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Instances of duplicate payments or payments inconsistent with the requirements of clause </w:t>
      </w:r>
      <w:r w:rsidRPr="00261C59">
        <w:rPr>
          <w:rFonts w:ascii="Calibri" w:hAnsi="Calibri"/>
          <w:sz w:val="24"/>
        </w:rPr>
        <w:t>A12</w:t>
      </w:r>
      <w:r w:rsidRPr="00261C59">
        <w:rPr>
          <w:rFonts w:ascii="Calibri" w:hAnsi="Calibri"/>
          <w:sz w:val="24"/>
          <w:szCs w:val="24"/>
        </w:rPr>
        <w:t xml:space="preserve"> that are identified and referred by the Commonwealth or the IHACPA (in fulfilling its cost-shifting functions) to the Administrator will not impact Commonwealth national health reform funding, except when:</w:t>
      </w:r>
    </w:p>
    <w:p w14:paraId="17354524" w14:textId="77777777" w:rsidR="00271836" w:rsidRPr="00261C59" w:rsidRDefault="00271836" w:rsidP="004728D9">
      <w:pPr>
        <w:numPr>
          <w:ilvl w:val="1"/>
          <w:numId w:val="74"/>
        </w:numPr>
        <w:spacing w:after="240" w:line="260" w:lineRule="exact"/>
        <w:jc w:val="left"/>
        <w:rPr>
          <w:rFonts w:ascii="Calibri" w:hAnsi="Calibri"/>
          <w:sz w:val="24"/>
          <w:szCs w:val="24"/>
        </w:rPr>
      </w:pPr>
      <w:r w:rsidRPr="00261C59">
        <w:rPr>
          <w:rFonts w:ascii="Calibri" w:hAnsi="Calibri"/>
          <w:sz w:val="24"/>
          <w:szCs w:val="24"/>
        </w:rPr>
        <w:t xml:space="preserve">amounts are identified where the services or any part of the service is funded through any other Commonwealth program, that is not excepted through clause </w:t>
      </w:r>
      <w:r w:rsidRPr="00261C59">
        <w:rPr>
          <w:rFonts w:ascii="Calibri" w:hAnsi="Calibri"/>
          <w:sz w:val="24"/>
        </w:rPr>
        <w:t>A13,</w:t>
      </w:r>
      <w:r w:rsidRPr="00261C59">
        <w:rPr>
          <w:rFonts w:ascii="Calibri" w:hAnsi="Calibri"/>
          <w:sz w:val="24"/>
          <w:szCs w:val="24"/>
        </w:rPr>
        <w:t xml:space="preserve"> and evidence is provided that reasonably demonstrates the amount is unable to be recovered, or</w:t>
      </w:r>
    </w:p>
    <w:p w14:paraId="71AA3E02" w14:textId="77777777" w:rsidR="00271836" w:rsidRPr="00261C59" w:rsidRDefault="00271836" w:rsidP="00E84BBB">
      <w:pPr>
        <w:keepLines/>
        <w:numPr>
          <w:ilvl w:val="1"/>
          <w:numId w:val="74"/>
        </w:numPr>
        <w:spacing w:after="240" w:line="260" w:lineRule="exact"/>
        <w:jc w:val="left"/>
        <w:rPr>
          <w:rFonts w:ascii="Calibri" w:hAnsi="Calibri"/>
          <w:sz w:val="24"/>
          <w:szCs w:val="24"/>
        </w:rPr>
      </w:pPr>
      <w:r w:rsidRPr="00261C59">
        <w:rPr>
          <w:rFonts w:ascii="Calibri" w:hAnsi="Calibri"/>
          <w:sz w:val="24"/>
          <w:szCs w:val="24"/>
        </w:rPr>
        <w:lastRenderedPageBreak/>
        <w:t xml:space="preserve">the relevant State is unable to provide documentation identified in clause </w:t>
      </w:r>
      <w:r w:rsidRPr="00261C59">
        <w:rPr>
          <w:rFonts w:ascii="Calibri" w:hAnsi="Calibri"/>
          <w:sz w:val="24"/>
        </w:rPr>
        <w:t>A14</w:t>
      </w:r>
      <w:r w:rsidRPr="00261C59">
        <w:rPr>
          <w:rFonts w:ascii="Calibri" w:hAnsi="Calibri"/>
          <w:sz w:val="24"/>
          <w:szCs w:val="24"/>
        </w:rPr>
        <w:t xml:space="preserve"> at the request of the Administrator, or the Commonwealth as part of related compliance activities, or</w:t>
      </w:r>
    </w:p>
    <w:p w14:paraId="2B19BAF4" w14:textId="77777777" w:rsidR="00271836" w:rsidRPr="00261C59" w:rsidRDefault="00271836" w:rsidP="004728D9">
      <w:pPr>
        <w:numPr>
          <w:ilvl w:val="1"/>
          <w:numId w:val="74"/>
        </w:numPr>
        <w:spacing w:after="240" w:line="260" w:lineRule="exact"/>
        <w:jc w:val="left"/>
        <w:rPr>
          <w:rFonts w:ascii="Calibri" w:hAnsi="Calibri"/>
          <w:sz w:val="24"/>
          <w:szCs w:val="24"/>
        </w:rPr>
      </w:pPr>
      <w:r w:rsidRPr="00261C59">
        <w:rPr>
          <w:rFonts w:ascii="Calibri" w:hAnsi="Calibri"/>
          <w:sz w:val="24"/>
          <w:szCs w:val="24"/>
        </w:rPr>
        <w:t>documentation provided by a State as outlined in clause J16 does not meet the requirements in clauses J16, J30(g) or both, or</w:t>
      </w:r>
    </w:p>
    <w:p w14:paraId="1525EF98" w14:textId="77777777" w:rsidR="00271836" w:rsidRPr="00261C59" w:rsidRDefault="00271836" w:rsidP="004728D9">
      <w:pPr>
        <w:numPr>
          <w:ilvl w:val="1"/>
          <w:numId w:val="74"/>
        </w:numPr>
        <w:spacing w:after="240" w:line="260" w:lineRule="exact"/>
        <w:jc w:val="left"/>
        <w:rPr>
          <w:rFonts w:ascii="Calibri" w:hAnsi="Calibri"/>
          <w:sz w:val="24"/>
          <w:szCs w:val="24"/>
        </w:rPr>
      </w:pPr>
      <w:r w:rsidRPr="00261C59">
        <w:rPr>
          <w:rFonts w:ascii="Calibri" w:hAnsi="Calibri"/>
          <w:sz w:val="24"/>
          <w:szCs w:val="24"/>
        </w:rPr>
        <w:t>the relevant State has been offered the opportunity outside of this Addendum to address over-payments unable to be recovered through Commonwealth compliance activities. In this case, the Administrator will:</w:t>
      </w:r>
    </w:p>
    <w:p w14:paraId="6B656299" w14:textId="77777777" w:rsidR="00271836" w:rsidRPr="00261C59" w:rsidRDefault="00271836" w:rsidP="004728D9">
      <w:pPr>
        <w:numPr>
          <w:ilvl w:val="2"/>
          <w:numId w:val="75"/>
        </w:numPr>
        <w:spacing w:after="240" w:line="260" w:lineRule="exact"/>
        <w:jc w:val="left"/>
        <w:rPr>
          <w:rFonts w:ascii="Calibri" w:hAnsi="Calibri"/>
          <w:sz w:val="24"/>
          <w:szCs w:val="24"/>
        </w:rPr>
      </w:pPr>
      <w:r w:rsidRPr="00261C59">
        <w:rPr>
          <w:rFonts w:ascii="Calibri" w:hAnsi="Calibri"/>
          <w:sz w:val="24"/>
          <w:szCs w:val="24"/>
        </w:rPr>
        <w:t>work with the relevant State to identify additional mechanisms to prevent further duplicate payments for services through this Addendum.</w:t>
      </w:r>
    </w:p>
    <w:p w14:paraId="2B847341" w14:textId="77777777" w:rsidR="00271836" w:rsidRPr="00261C59" w:rsidRDefault="00271836" w:rsidP="004728D9">
      <w:pPr>
        <w:numPr>
          <w:ilvl w:val="2"/>
          <w:numId w:val="75"/>
        </w:numPr>
        <w:spacing w:after="240" w:line="260" w:lineRule="exact"/>
        <w:ind w:left="1842" w:hanging="181"/>
        <w:jc w:val="left"/>
        <w:rPr>
          <w:rFonts w:ascii="Calibri" w:hAnsi="Calibri"/>
          <w:sz w:val="24"/>
          <w:szCs w:val="24"/>
        </w:rPr>
      </w:pPr>
      <w:r w:rsidRPr="00261C59">
        <w:rPr>
          <w:rFonts w:ascii="Calibri" w:hAnsi="Calibri"/>
          <w:sz w:val="24"/>
          <w:szCs w:val="24"/>
        </w:rPr>
        <w:t>adjust Commonwealth NHR funding by the amount of the over-payment, or</w:t>
      </w:r>
    </w:p>
    <w:p w14:paraId="13465F34" w14:textId="77777777" w:rsidR="00271836" w:rsidRPr="00261C59" w:rsidRDefault="00271836" w:rsidP="004728D9">
      <w:pPr>
        <w:numPr>
          <w:ilvl w:val="1"/>
          <w:numId w:val="74"/>
        </w:numPr>
        <w:spacing w:after="240" w:line="260" w:lineRule="exact"/>
        <w:jc w:val="left"/>
        <w:rPr>
          <w:rFonts w:ascii="Calibri" w:hAnsi="Calibri"/>
          <w:sz w:val="24"/>
          <w:szCs w:val="24"/>
        </w:rPr>
      </w:pPr>
      <w:r w:rsidRPr="00261C59">
        <w:rPr>
          <w:rFonts w:ascii="Calibri" w:hAnsi="Calibri"/>
          <w:sz w:val="24"/>
          <w:szCs w:val="24"/>
        </w:rPr>
        <w:t xml:space="preserve">the Administrator identifies that a matched payment is a false positive – for instance, a privately-funded service has incorrectly been coded as a publicly-funded service – the Administrator will work with the relevant State to correct the source data coding and re-process the necessary calculations. </w:t>
      </w:r>
    </w:p>
    <w:p w14:paraId="0DBF1886" w14:textId="77777777" w:rsidR="00271836" w:rsidRPr="00261C59" w:rsidRDefault="00271836" w:rsidP="005460E8">
      <w:pPr>
        <w:keepNext/>
        <w:keepLines/>
        <w:spacing w:before="200"/>
        <w:jc w:val="left"/>
        <w:outlineLvl w:val="3"/>
        <w:rPr>
          <w:rFonts w:eastAsia="Yu Gothic Light"/>
          <w:b/>
          <w:bCs/>
          <w:iCs/>
        </w:rPr>
      </w:pPr>
      <w:bookmarkStart w:id="435" w:name="_Toc165886256"/>
      <w:bookmarkStart w:id="436" w:name="_Toc167133846"/>
      <w:bookmarkStart w:id="437" w:name="_Toc165886249"/>
      <w:bookmarkStart w:id="438" w:name="_Toc167133838"/>
      <w:r w:rsidRPr="00261C59">
        <w:rPr>
          <w:rFonts w:eastAsia="Yu Gothic Light"/>
          <w:b/>
          <w:bCs/>
          <w:iCs/>
        </w:rPr>
        <w:t>Data Conditional Payment</w:t>
      </w:r>
      <w:bookmarkEnd w:id="435"/>
      <w:bookmarkEnd w:id="436"/>
    </w:p>
    <w:p w14:paraId="771C7CDB"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Commonwealth funding for public hospital and health services is dependent on provision of data requested by the national bodies outlined in this Addendum, including in relation to the activity and costs of delivering services to patients, and information identifying the patient to whom the services were provided, the public or private status of the patient, the nature of the service, and the facility providing the service. </w:t>
      </w:r>
    </w:p>
    <w:p w14:paraId="1AEED5E5"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Parties agree to maintain a Data Conditional Payment (DCP) to encourage the timely provision of Required Data to facilitate the accurate classification, pricing and funding of public hospital and health services.</w:t>
      </w:r>
    </w:p>
    <w:p w14:paraId="5790813D"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national funding bodies will determine what constitutes Required Data for the purposes of the DCP and will specify this in their Three-Year Data Plans and in accordance with the </w:t>
      </w:r>
      <w:r w:rsidRPr="00261C59">
        <w:rPr>
          <w:rFonts w:ascii="Calibri" w:hAnsi="Calibri"/>
          <w:i/>
          <w:iCs/>
          <w:sz w:val="24"/>
          <w:szCs w:val="24"/>
        </w:rPr>
        <w:t>National Health Reform Act 2011</w:t>
      </w:r>
      <w:r w:rsidRPr="00261C59">
        <w:rPr>
          <w:rFonts w:ascii="Calibri" w:hAnsi="Calibri"/>
          <w:sz w:val="24"/>
          <w:szCs w:val="24"/>
        </w:rPr>
        <w:t xml:space="preserve"> and this Addendum.</w:t>
      </w:r>
    </w:p>
    <w:p w14:paraId="5DBAF333"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The Administrator, in consultation with the IHACPA, will determine when a Party has failed to provide the Required Data. In making this determination, the Administrator will engage cooperatively with the Parties, including investigating alternative and/or temporary measures to the supply of Required Data.</w:t>
      </w:r>
    </w:p>
    <w:p w14:paraId="6810D6E6" w14:textId="77777777" w:rsidR="00271836" w:rsidRPr="00261C59" w:rsidRDefault="00271836" w:rsidP="004728D9">
      <w:pPr>
        <w:numPr>
          <w:ilvl w:val="0"/>
          <w:numId w:val="54"/>
        </w:numPr>
        <w:spacing w:after="240" w:line="260" w:lineRule="exact"/>
        <w:jc w:val="left"/>
        <w:rPr>
          <w:rFonts w:ascii="Calibri" w:hAnsi="Calibri"/>
          <w:sz w:val="24"/>
        </w:rPr>
      </w:pPr>
      <w:r w:rsidRPr="00261C59">
        <w:rPr>
          <w:rFonts w:ascii="Calibri" w:hAnsi="Calibri"/>
          <w:sz w:val="24"/>
          <w:szCs w:val="24"/>
        </w:rPr>
        <w:t>If a State has not provided the Required Data, the Administrator will, in calculating the Commonwealth contribution to the National Health Funding Pool for that State, advise the Commonwealth Treasurer to:</w:t>
      </w:r>
    </w:p>
    <w:p w14:paraId="69111A8E" w14:textId="611B5CE4" w:rsidR="00271836" w:rsidRPr="00261C59" w:rsidRDefault="00271836" w:rsidP="7B1A1E71">
      <w:pPr>
        <w:numPr>
          <w:ilvl w:val="1"/>
          <w:numId w:val="76"/>
        </w:numPr>
        <w:spacing w:after="240" w:line="260" w:lineRule="exact"/>
        <w:jc w:val="left"/>
        <w:rPr>
          <w:rFonts w:ascii="Calibri" w:hAnsi="Calibri"/>
          <w:sz w:val="24"/>
          <w:szCs w:val="24"/>
        </w:rPr>
      </w:pPr>
      <w:r w:rsidRPr="7B1A1E71">
        <w:rPr>
          <w:rFonts w:ascii="Calibri" w:hAnsi="Calibri"/>
          <w:sz w:val="24"/>
          <w:szCs w:val="24"/>
        </w:rPr>
        <w:t>defer payment of 10 per cent of the monthly amount to the State until the Required Data is provided, for each month up to 3 months</w:t>
      </w:r>
    </w:p>
    <w:p w14:paraId="5034B418" w14:textId="77777777" w:rsidR="00271836" w:rsidRPr="00261C59" w:rsidRDefault="00271836" w:rsidP="004728D9">
      <w:pPr>
        <w:numPr>
          <w:ilvl w:val="1"/>
          <w:numId w:val="76"/>
        </w:numPr>
        <w:spacing w:after="240" w:line="260" w:lineRule="exact"/>
        <w:jc w:val="left"/>
        <w:rPr>
          <w:rFonts w:ascii="Calibri" w:hAnsi="Calibri"/>
          <w:sz w:val="24"/>
          <w:szCs w:val="24"/>
        </w:rPr>
      </w:pPr>
      <w:r w:rsidRPr="00261C59">
        <w:rPr>
          <w:rFonts w:ascii="Calibri" w:hAnsi="Calibri"/>
          <w:sz w:val="24"/>
          <w:szCs w:val="24"/>
        </w:rPr>
        <w:t>defer a further 15 per cent of the monthly amount – for a total of 25 per cent – if the Required Data is not provided after the initial 3-month period.</w:t>
      </w:r>
    </w:p>
    <w:p w14:paraId="10EDD5E3" w14:textId="01B74903" w:rsidR="00271836" w:rsidRPr="00261C59" w:rsidRDefault="00271836" w:rsidP="004728D9">
      <w:pPr>
        <w:keepNext/>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If an amount is deferred under clauses </w:t>
      </w:r>
      <w:r w:rsidR="009B6598" w:rsidRPr="00261C59">
        <w:rPr>
          <w:rFonts w:ascii="Calibri" w:hAnsi="Calibri"/>
          <w:sz w:val="24"/>
        </w:rPr>
        <w:t>A226</w:t>
      </w:r>
      <w:r w:rsidRPr="00261C59">
        <w:rPr>
          <w:rFonts w:ascii="Calibri" w:hAnsi="Calibri"/>
          <w:sz w:val="24"/>
          <w:szCs w:val="24"/>
        </w:rPr>
        <w:t>:</w:t>
      </w:r>
    </w:p>
    <w:p w14:paraId="0F331ECA" w14:textId="61E3BA7C" w:rsidR="00271836" w:rsidRPr="00261C59" w:rsidRDefault="00271836" w:rsidP="004728D9">
      <w:pPr>
        <w:numPr>
          <w:ilvl w:val="1"/>
          <w:numId w:val="77"/>
        </w:numPr>
        <w:spacing w:after="240" w:line="260" w:lineRule="exact"/>
        <w:jc w:val="left"/>
        <w:rPr>
          <w:rFonts w:ascii="Calibri" w:hAnsi="Calibri"/>
          <w:sz w:val="24"/>
          <w:szCs w:val="24"/>
        </w:rPr>
      </w:pPr>
      <w:r w:rsidRPr="7B1A1E71">
        <w:rPr>
          <w:rFonts w:ascii="Calibri" w:hAnsi="Calibri"/>
          <w:sz w:val="24"/>
          <w:szCs w:val="24"/>
        </w:rPr>
        <w:t xml:space="preserve">the Administrator will advise the affected State </w:t>
      </w:r>
    </w:p>
    <w:p w14:paraId="3730DD23" w14:textId="77777777" w:rsidR="00271836" w:rsidRPr="00261C59" w:rsidRDefault="00271836" w:rsidP="004728D9">
      <w:pPr>
        <w:numPr>
          <w:ilvl w:val="1"/>
          <w:numId w:val="77"/>
        </w:numPr>
        <w:spacing w:after="240" w:line="260" w:lineRule="exact"/>
        <w:jc w:val="left"/>
        <w:rPr>
          <w:rFonts w:ascii="Calibri" w:hAnsi="Calibri"/>
          <w:sz w:val="24"/>
          <w:szCs w:val="24"/>
        </w:rPr>
      </w:pPr>
      <w:r w:rsidRPr="00261C59">
        <w:rPr>
          <w:rFonts w:ascii="Calibri" w:hAnsi="Calibri"/>
          <w:sz w:val="24"/>
          <w:szCs w:val="24"/>
        </w:rPr>
        <w:lastRenderedPageBreak/>
        <w:t>any funds deferred will be paid in the next available monthly payment, once the Required Data is provided.</w:t>
      </w:r>
    </w:p>
    <w:p w14:paraId="68A05291"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Administrator will be responsible for applying the DCP and providing advice to States on its operation.  </w:t>
      </w:r>
    </w:p>
    <w:p w14:paraId="698C701F" w14:textId="437F14AA" w:rsidR="00271836" w:rsidRPr="00261C59" w:rsidRDefault="00271836" w:rsidP="004728D9">
      <w:pPr>
        <w:widowControl/>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operation of DCP does not reduce a State’s funding entitlement as calculated in </w:t>
      </w:r>
      <w:r w:rsidR="007E4EBD" w:rsidRPr="00261C59">
        <w:rPr>
          <w:rFonts w:ascii="Calibri" w:hAnsi="Calibri"/>
          <w:sz w:val="24"/>
          <w:szCs w:val="24"/>
        </w:rPr>
        <w:br/>
      </w:r>
      <w:r w:rsidRPr="00261C59">
        <w:rPr>
          <w:rFonts w:ascii="Calibri" w:hAnsi="Calibri"/>
          <w:sz w:val="24"/>
          <w:szCs w:val="24"/>
        </w:rPr>
        <w:t>Part 1 of this Schedule; instead, it reduces the monthly payments of that entitlement owed to the State until the Required Data is provided.</w:t>
      </w:r>
    </w:p>
    <w:p w14:paraId="4BB6413C" w14:textId="77777777" w:rsidR="00271836" w:rsidRPr="00261C59" w:rsidRDefault="00271836" w:rsidP="00932864">
      <w:pPr>
        <w:keepNext/>
        <w:widowControl/>
        <w:jc w:val="left"/>
        <w:outlineLvl w:val="2"/>
        <w:rPr>
          <w:rFonts w:ascii="Corbel" w:hAnsi="Corbel"/>
          <w:color w:val="3D4B67"/>
          <w:sz w:val="28"/>
          <w:szCs w:val="48"/>
          <w:lang w:eastAsia="ja-JP"/>
        </w:rPr>
      </w:pPr>
      <w:bookmarkStart w:id="439" w:name="_Toc171350384"/>
      <w:bookmarkStart w:id="440" w:name="_Toc172210264"/>
      <w:bookmarkStart w:id="441" w:name="_Toc172787714"/>
      <w:bookmarkStart w:id="442" w:name="_Toc173937729"/>
      <w:bookmarkStart w:id="443" w:name="_Toc201674029"/>
      <w:bookmarkStart w:id="444" w:name="_Toc210833616"/>
      <w:bookmarkStart w:id="445" w:name="_Toc214456516"/>
      <w:bookmarkStart w:id="446" w:name="_Toc221087995"/>
      <w:bookmarkStart w:id="447" w:name="_Toc167133839"/>
      <w:bookmarkStart w:id="448" w:name="_Toc168579032"/>
      <w:bookmarkStart w:id="449" w:name="_Toc171350383"/>
      <w:bookmarkStart w:id="450" w:name="_Toc172210263"/>
      <w:bookmarkStart w:id="451" w:name="_Toc172787713"/>
      <w:bookmarkStart w:id="452" w:name="_Toc173937727"/>
      <w:bookmarkStart w:id="453" w:name="_Toc183183325"/>
      <w:bookmarkStart w:id="454" w:name="_Toc201673983"/>
      <w:bookmarkEnd w:id="437"/>
      <w:bookmarkEnd w:id="438"/>
      <w:r w:rsidRPr="00261C59">
        <w:rPr>
          <w:rFonts w:ascii="Corbel" w:hAnsi="Corbel"/>
          <w:color w:val="3D4B67"/>
          <w:sz w:val="28"/>
          <w:szCs w:val="48"/>
          <w:lang w:eastAsia="ja-JP"/>
        </w:rPr>
        <w:t>Nationally cohesive health technology assessment</w:t>
      </w:r>
      <w:bookmarkEnd w:id="439"/>
      <w:bookmarkEnd w:id="440"/>
      <w:bookmarkEnd w:id="441"/>
      <w:bookmarkEnd w:id="442"/>
      <w:bookmarkEnd w:id="443"/>
      <w:bookmarkEnd w:id="444"/>
      <w:bookmarkEnd w:id="445"/>
      <w:bookmarkEnd w:id="446"/>
    </w:p>
    <w:p w14:paraId="29F16AD2"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Australia requires a strategic, systematic, cohesive, efficient and responsive national framework for health technology assessments (HTA). Improved health technology decision-making will deliver safe, effective, efficient care that is financially viable and will improve population health.</w:t>
      </w:r>
    </w:p>
    <w:p w14:paraId="2D9BD3D4"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Parties agree to the following principles for HTA: </w:t>
      </w:r>
    </w:p>
    <w:p w14:paraId="4E1A482D" w14:textId="626A6E4B" w:rsidR="00271836" w:rsidRPr="00261C59" w:rsidRDefault="00271836" w:rsidP="004728D9">
      <w:pPr>
        <w:numPr>
          <w:ilvl w:val="1"/>
          <w:numId w:val="78"/>
        </w:numPr>
        <w:spacing w:after="240" w:line="260" w:lineRule="exact"/>
        <w:jc w:val="left"/>
        <w:rPr>
          <w:rFonts w:ascii="Calibri" w:hAnsi="Calibri"/>
          <w:sz w:val="24"/>
          <w:szCs w:val="24"/>
        </w:rPr>
      </w:pPr>
      <w:r w:rsidRPr="7B1A1E71">
        <w:rPr>
          <w:rFonts w:ascii="Calibri" w:hAnsi="Calibri"/>
          <w:sz w:val="24"/>
          <w:szCs w:val="24"/>
        </w:rPr>
        <w:t>nationally consistent, appropriate and evidence-based investment and disinvestment decisions</w:t>
      </w:r>
    </w:p>
    <w:p w14:paraId="614FD038" w14:textId="4C1BB4FC" w:rsidR="00271836" w:rsidRPr="00261C59" w:rsidRDefault="00271836" w:rsidP="004728D9">
      <w:pPr>
        <w:numPr>
          <w:ilvl w:val="1"/>
          <w:numId w:val="78"/>
        </w:numPr>
        <w:spacing w:after="240" w:line="260" w:lineRule="exact"/>
        <w:jc w:val="left"/>
        <w:rPr>
          <w:rFonts w:ascii="Calibri" w:hAnsi="Calibri"/>
          <w:sz w:val="24"/>
          <w:szCs w:val="24"/>
        </w:rPr>
      </w:pPr>
      <w:r w:rsidRPr="7B1A1E71">
        <w:rPr>
          <w:rFonts w:ascii="Calibri" w:hAnsi="Calibri"/>
          <w:sz w:val="24"/>
          <w:szCs w:val="24"/>
        </w:rPr>
        <w:t>improved patient access to cost effective health technologies</w:t>
      </w:r>
    </w:p>
    <w:p w14:paraId="4DF3E76F" w14:textId="40918618" w:rsidR="00271836" w:rsidRPr="00261C59" w:rsidRDefault="00271836" w:rsidP="004728D9">
      <w:pPr>
        <w:numPr>
          <w:ilvl w:val="1"/>
          <w:numId w:val="78"/>
        </w:numPr>
        <w:spacing w:after="240" w:line="260" w:lineRule="exact"/>
        <w:jc w:val="left"/>
        <w:rPr>
          <w:rFonts w:ascii="Calibri" w:hAnsi="Calibri"/>
          <w:sz w:val="24"/>
          <w:szCs w:val="24"/>
        </w:rPr>
      </w:pPr>
      <w:r w:rsidRPr="7B1A1E71">
        <w:rPr>
          <w:rFonts w:ascii="Calibri" w:hAnsi="Calibri"/>
          <w:sz w:val="24"/>
          <w:szCs w:val="24"/>
        </w:rPr>
        <w:t>improved transparency and reduced duplication of effort between HTA bodies</w:t>
      </w:r>
    </w:p>
    <w:p w14:paraId="2102672A" w14:textId="70B9EE24" w:rsidR="00271836" w:rsidRPr="00261C59" w:rsidRDefault="00271836" w:rsidP="004728D9">
      <w:pPr>
        <w:numPr>
          <w:ilvl w:val="1"/>
          <w:numId w:val="78"/>
        </w:numPr>
        <w:spacing w:after="240" w:line="260" w:lineRule="exact"/>
        <w:jc w:val="left"/>
        <w:rPr>
          <w:rFonts w:ascii="Calibri" w:hAnsi="Calibri"/>
          <w:sz w:val="24"/>
          <w:szCs w:val="24"/>
        </w:rPr>
      </w:pPr>
      <w:r w:rsidRPr="7B1A1E71">
        <w:rPr>
          <w:rFonts w:ascii="Calibri" w:hAnsi="Calibri"/>
          <w:sz w:val="24"/>
          <w:szCs w:val="24"/>
        </w:rPr>
        <w:t>coordinated and timely responses to rapidly changing technologies</w:t>
      </w:r>
    </w:p>
    <w:p w14:paraId="743C87ED" w14:textId="46CAFFDD" w:rsidR="00271836" w:rsidRPr="00261C59" w:rsidRDefault="00271836" w:rsidP="004728D9">
      <w:pPr>
        <w:widowControl/>
        <w:numPr>
          <w:ilvl w:val="1"/>
          <w:numId w:val="78"/>
        </w:numPr>
        <w:spacing w:after="240" w:line="260" w:lineRule="exact"/>
        <w:jc w:val="left"/>
        <w:rPr>
          <w:rFonts w:ascii="Calibri" w:hAnsi="Calibri"/>
          <w:sz w:val="24"/>
          <w:szCs w:val="24"/>
        </w:rPr>
      </w:pPr>
      <w:r w:rsidRPr="7B1A1E71">
        <w:rPr>
          <w:rFonts w:ascii="Calibri" w:hAnsi="Calibri"/>
          <w:sz w:val="24"/>
          <w:szCs w:val="24"/>
        </w:rPr>
        <w:t>effective sharing of information and recommendations between jurisdictions and the Commonwealth, including consistent outputs and standardised advice</w:t>
      </w:r>
    </w:p>
    <w:p w14:paraId="51378EDA" w14:textId="77777777" w:rsidR="00271836" w:rsidRPr="00261C59" w:rsidRDefault="00271836" w:rsidP="004728D9">
      <w:pPr>
        <w:numPr>
          <w:ilvl w:val="1"/>
          <w:numId w:val="78"/>
        </w:numPr>
        <w:spacing w:after="240" w:line="260" w:lineRule="exact"/>
        <w:jc w:val="left"/>
        <w:rPr>
          <w:rFonts w:ascii="Calibri" w:hAnsi="Calibri"/>
          <w:sz w:val="24"/>
          <w:szCs w:val="24"/>
        </w:rPr>
      </w:pPr>
      <w:r w:rsidRPr="00261C59">
        <w:rPr>
          <w:rFonts w:ascii="Calibri" w:hAnsi="Calibri"/>
          <w:sz w:val="24"/>
          <w:szCs w:val="24"/>
        </w:rPr>
        <w:t>improved stakeholder engagement, understanding and public trust in HTA process.</w:t>
      </w:r>
    </w:p>
    <w:p w14:paraId="5B700F7E"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Parties agree to a timely and nationally coordinated response to rapidly changing, emerging and disruptive technologies by: </w:t>
      </w:r>
    </w:p>
    <w:p w14:paraId="750F4DDB" w14:textId="2D30616F" w:rsidR="00271836" w:rsidRPr="00261C59" w:rsidRDefault="00271836" w:rsidP="004728D9">
      <w:pPr>
        <w:numPr>
          <w:ilvl w:val="1"/>
          <w:numId w:val="79"/>
        </w:numPr>
        <w:spacing w:after="240" w:line="260" w:lineRule="exact"/>
        <w:jc w:val="left"/>
        <w:rPr>
          <w:rFonts w:ascii="Calibri" w:hAnsi="Calibri"/>
          <w:sz w:val="24"/>
          <w:szCs w:val="24"/>
        </w:rPr>
      </w:pPr>
      <w:r w:rsidRPr="7B1A1E71">
        <w:rPr>
          <w:rFonts w:ascii="Calibri" w:hAnsi="Calibri"/>
          <w:sz w:val="24"/>
          <w:szCs w:val="24"/>
        </w:rPr>
        <w:t>further developing a unified national HTA process, addressing issues of national consistency, access and service delivery </w:t>
      </w:r>
    </w:p>
    <w:p w14:paraId="672AB8C7" w14:textId="1525E50B" w:rsidR="00271836" w:rsidRPr="00261C59" w:rsidRDefault="00271836" w:rsidP="004728D9">
      <w:pPr>
        <w:keepLines/>
        <w:numPr>
          <w:ilvl w:val="1"/>
          <w:numId w:val="79"/>
        </w:numPr>
        <w:spacing w:after="240" w:line="260" w:lineRule="exact"/>
        <w:jc w:val="left"/>
        <w:rPr>
          <w:rFonts w:ascii="Calibri" w:hAnsi="Calibri"/>
          <w:sz w:val="24"/>
          <w:szCs w:val="24"/>
        </w:rPr>
      </w:pPr>
      <w:r w:rsidRPr="7B1A1E71">
        <w:rPr>
          <w:rFonts w:ascii="Calibri" w:hAnsi="Calibri"/>
          <w:sz w:val="24"/>
          <w:szCs w:val="24"/>
        </w:rPr>
        <w:t>jointly establishing a structured horizon scanning process that supports forward planning across all governments that includes the potential implementation of technologies or services identified through the horizon scanning process </w:t>
      </w:r>
    </w:p>
    <w:p w14:paraId="6CFF8B9F" w14:textId="13E47C6E" w:rsidR="00271836" w:rsidRPr="00261C59" w:rsidRDefault="00271836" w:rsidP="004728D9">
      <w:pPr>
        <w:numPr>
          <w:ilvl w:val="1"/>
          <w:numId w:val="79"/>
        </w:numPr>
        <w:spacing w:after="240" w:line="260" w:lineRule="exact"/>
        <w:jc w:val="left"/>
        <w:rPr>
          <w:rFonts w:ascii="Calibri" w:hAnsi="Calibri"/>
          <w:sz w:val="24"/>
          <w:szCs w:val="24"/>
        </w:rPr>
      </w:pPr>
      <w:r w:rsidRPr="7B1A1E71">
        <w:rPr>
          <w:rFonts w:ascii="Calibri" w:hAnsi="Calibri"/>
          <w:sz w:val="24"/>
          <w:szCs w:val="24"/>
        </w:rPr>
        <w:t>robust and transparent prioritisation of spending on health technologies to ensure coordinated, equitable and efficient service delivery</w:t>
      </w:r>
    </w:p>
    <w:p w14:paraId="229C5118" w14:textId="04E479A3" w:rsidR="00271836" w:rsidRPr="00261C59" w:rsidRDefault="00271836" w:rsidP="004728D9">
      <w:pPr>
        <w:numPr>
          <w:ilvl w:val="1"/>
          <w:numId w:val="79"/>
        </w:numPr>
        <w:spacing w:after="240" w:line="260" w:lineRule="exact"/>
        <w:jc w:val="left"/>
        <w:rPr>
          <w:rFonts w:ascii="Calibri" w:hAnsi="Calibri"/>
          <w:sz w:val="24"/>
          <w:szCs w:val="24"/>
        </w:rPr>
      </w:pPr>
      <w:r w:rsidRPr="00261C59">
        <w:rPr>
          <w:rFonts w:ascii="Calibri" w:hAnsi="Calibri"/>
          <w:sz w:val="24"/>
          <w:szCs w:val="24"/>
        </w:rPr>
        <w:t xml:space="preserve">developing improved data infrastructure in support of shared real-world data and evidence, and ongoing monitoring and evaluation. This may include leveraging work progressed in relation to </w:t>
      </w:r>
      <w:r w:rsidR="007645E7" w:rsidRPr="00261C59">
        <w:rPr>
          <w:rFonts w:ascii="Calibri" w:hAnsi="Calibri"/>
          <w:sz w:val="24"/>
          <w:szCs w:val="24"/>
        </w:rPr>
        <w:t xml:space="preserve">clause </w:t>
      </w:r>
      <w:r w:rsidRPr="00261C59">
        <w:rPr>
          <w:rFonts w:ascii="Calibri" w:hAnsi="Calibri"/>
          <w:sz w:val="24"/>
          <w:szCs w:val="24"/>
        </w:rPr>
        <w:t>A24</w:t>
      </w:r>
      <w:r w:rsidR="00220C54" w:rsidRPr="00261C59">
        <w:rPr>
          <w:rFonts w:ascii="Calibri" w:hAnsi="Calibri"/>
          <w:sz w:val="24"/>
          <w:szCs w:val="24"/>
        </w:rPr>
        <w:t>1</w:t>
      </w:r>
      <w:r w:rsidRPr="00261C59">
        <w:rPr>
          <w:rFonts w:ascii="Calibri" w:hAnsi="Calibri"/>
          <w:sz w:val="24"/>
          <w:szCs w:val="24"/>
        </w:rPr>
        <w:t xml:space="preserve">, collection of testing results, clinical outcomes and, service and therapy use for HTA and related purposes, as agreed by the Parties. </w:t>
      </w:r>
    </w:p>
    <w:p w14:paraId="61DFC2C9" w14:textId="77777777" w:rsidR="00271836" w:rsidRPr="00261C59" w:rsidRDefault="00271836" w:rsidP="004728D9">
      <w:pPr>
        <w:numPr>
          <w:ilvl w:val="0"/>
          <w:numId w:val="54"/>
        </w:numPr>
        <w:spacing w:after="240" w:line="260" w:lineRule="exact"/>
        <w:jc w:val="left"/>
        <w:rPr>
          <w:rFonts w:ascii="Calibri" w:hAnsi="Calibri"/>
          <w:sz w:val="24"/>
        </w:rPr>
      </w:pPr>
      <w:r w:rsidRPr="00261C59">
        <w:rPr>
          <w:rFonts w:ascii="Calibri" w:hAnsi="Calibri"/>
          <w:sz w:val="24"/>
          <w:szCs w:val="24"/>
        </w:rPr>
        <w:t>This work program will be led by the Health Technology and Genomics Collaboration established under HCEF. Data sharing and governance arrangements will be reflected in the National Health Data System and enabling Governance Framework in Schedule H.</w:t>
      </w:r>
    </w:p>
    <w:p w14:paraId="60407448" w14:textId="77777777" w:rsidR="00271836" w:rsidRPr="00261C59" w:rsidRDefault="00271836" w:rsidP="009D17BE">
      <w:pPr>
        <w:jc w:val="left"/>
        <w:outlineLvl w:val="2"/>
        <w:rPr>
          <w:rFonts w:ascii="Corbel" w:hAnsi="Corbel"/>
          <w:color w:val="3D4B67"/>
          <w:sz w:val="28"/>
          <w:szCs w:val="48"/>
          <w:lang w:eastAsia="ja-JP"/>
        </w:rPr>
      </w:pPr>
      <w:bookmarkStart w:id="455" w:name="_Toc210833617"/>
      <w:bookmarkStart w:id="456" w:name="_Toc214456517"/>
      <w:bookmarkStart w:id="457" w:name="_Toc221087996"/>
      <w:r w:rsidRPr="00261C59">
        <w:rPr>
          <w:rFonts w:ascii="Corbel" w:hAnsi="Corbel"/>
          <w:color w:val="3D4B67"/>
          <w:sz w:val="28"/>
          <w:szCs w:val="48"/>
          <w:lang w:eastAsia="ja-JP"/>
        </w:rPr>
        <w:lastRenderedPageBreak/>
        <w:t>High Cost, Highly Specialised Therapies</w:t>
      </w:r>
      <w:bookmarkEnd w:id="447"/>
      <w:bookmarkEnd w:id="448"/>
      <w:bookmarkEnd w:id="449"/>
      <w:bookmarkEnd w:id="450"/>
      <w:bookmarkEnd w:id="451"/>
      <w:bookmarkEnd w:id="452"/>
      <w:bookmarkEnd w:id="453"/>
      <w:bookmarkEnd w:id="454"/>
      <w:bookmarkEnd w:id="455"/>
      <w:bookmarkEnd w:id="456"/>
      <w:bookmarkEnd w:id="457"/>
    </w:p>
    <w:p w14:paraId="23B9D123" w14:textId="715A0857" w:rsidR="00271836" w:rsidRPr="00261C59" w:rsidRDefault="00271836" w:rsidP="009D17BE">
      <w:pPr>
        <w:numPr>
          <w:ilvl w:val="0"/>
          <w:numId w:val="54"/>
        </w:numPr>
        <w:spacing w:after="240" w:line="260" w:lineRule="exact"/>
        <w:jc w:val="left"/>
        <w:rPr>
          <w:rFonts w:ascii="Calibri" w:hAnsi="Calibri"/>
          <w:sz w:val="24"/>
          <w:szCs w:val="24"/>
        </w:rPr>
      </w:pPr>
      <w:r w:rsidRPr="00261C59">
        <w:rPr>
          <w:rFonts w:ascii="Calibri" w:hAnsi="Calibri"/>
          <w:sz w:val="24"/>
          <w:szCs w:val="24"/>
        </w:rPr>
        <w:t>The Parties agree that a review of the governance process for High Cost, Highly Specialised Therapies (HSTs) will be conducted during the term of this Addendum. Until the review is completed, the arrangements and processes in clauses A2</w:t>
      </w:r>
      <w:r w:rsidR="00825E76" w:rsidRPr="00261C59">
        <w:rPr>
          <w:rFonts w:ascii="Calibri" w:hAnsi="Calibri"/>
          <w:sz w:val="24"/>
          <w:szCs w:val="24"/>
        </w:rPr>
        <w:t>35</w:t>
      </w:r>
      <w:r w:rsidRPr="00261C59">
        <w:rPr>
          <w:rFonts w:ascii="Calibri" w:hAnsi="Calibri"/>
          <w:sz w:val="24"/>
          <w:szCs w:val="24"/>
        </w:rPr>
        <w:t xml:space="preserve"> to A24</w:t>
      </w:r>
      <w:r w:rsidR="005474B0" w:rsidRPr="00261C59">
        <w:rPr>
          <w:rFonts w:ascii="Calibri" w:hAnsi="Calibri"/>
          <w:sz w:val="24"/>
          <w:szCs w:val="24"/>
        </w:rPr>
        <w:t>1</w:t>
      </w:r>
      <w:r w:rsidRPr="00261C59">
        <w:rPr>
          <w:rFonts w:ascii="Calibri" w:hAnsi="Calibri"/>
          <w:sz w:val="24"/>
          <w:szCs w:val="24"/>
        </w:rPr>
        <w:t xml:space="preserve"> will apply for HSTs. The review will:</w:t>
      </w:r>
    </w:p>
    <w:p w14:paraId="2A990388" w14:textId="2AD48189" w:rsidR="00271836" w:rsidRPr="00261C59" w:rsidRDefault="00271836" w:rsidP="009D17BE">
      <w:pPr>
        <w:numPr>
          <w:ilvl w:val="1"/>
          <w:numId w:val="54"/>
        </w:numPr>
        <w:spacing w:after="240" w:line="260" w:lineRule="exact"/>
        <w:jc w:val="left"/>
        <w:rPr>
          <w:rFonts w:ascii="Calibri" w:hAnsi="Calibri"/>
          <w:sz w:val="24"/>
          <w:szCs w:val="24"/>
        </w:rPr>
      </w:pPr>
      <w:r w:rsidRPr="7B1A1E71">
        <w:rPr>
          <w:rFonts w:ascii="Calibri" w:hAnsi="Calibri"/>
          <w:sz w:val="24"/>
          <w:szCs w:val="24"/>
        </w:rPr>
        <w:t>be led by the Health Technology and Genomics Collaboration</w:t>
      </w:r>
    </w:p>
    <w:p w14:paraId="4B294DC0" w14:textId="205882D4" w:rsidR="00271836" w:rsidRPr="00261C59" w:rsidRDefault="00271836" w:rsidP="009D17BE">
      <w:pPr>
        <w:numPr>
          <w:ilvl w:val="1"/>
          <w:numId w:val="54"/>
        </w:numPr>
        <w:spacing w:after="240" w:line="260" w:lineRule="exact"/>
        <w:jc w:val="left"/>
        <w:rPr>
          <w:rFonts w:ascii="Calibri" w:hAnsi="Calibri"/>
          <w:sz w:val="24"/>
          <w:szCs w:val="24"/>
        </w:rPr>
      </w:pPr>
      <w:r w:rsidRPr="7B1A1E71">
        <w:rPr>
          <w:rFonts w:ascii="Calibri" w:hAnsi="Calibri"/>
          <w:sz w:val="24"/>
          <w:szCs w:val="24"/>
        </w:rPr>
        <w:t>identify improvements to the existing HST assessment and implementation processes, for incorporation into the next iteration of the HMM-endorsed ‘Framework for the assessment, funding, and implementation of high cost, highly specialised therapies and services’ (HST Framework) by June 2027</w:t>
      </w:r>
    </w:p>
    <w:p w14:paraId="0A989452" w14:textId="3D7047E6" w:rsidR="00271836" w:rsidRPr="00261C59" w:rsidRDefault="00271836" w:rsidP="009D17BE">
      <w:pPr>
        <w:numPr>
          <w:ilvl w:val="1"/>
          <w:numId w:val="54"/>
        </w:numPr>
        <w:spacing w:after="240" w:line="260" w:lineRule="exact"/>
        <w:jc w:val="left"/>
        <w:rPr>
          <w:rFonts w:ascii="Calibri" w:hAnsi="Calibri"/>
          <w:sz w:val="24"/>
          <w:szCs w:val="24"/>
        </w:rPr>
      </w:pPr>
      <w:r w:rsidRPr="00261C59">
        <w:rPr>
          <w:rFonts w:ascii="Calibri" w:hAnsi="Calibri"/>
          <w:sz w:val="24"/>
          <w:szCs w:val="24"/>
        </w:rPr>
        <w:t>rely on mutual collaboration between Parties and other key stakeholders involved in the governance process, including relevant data sharing.</w:t>
      </w:r>
    </w:p>
    <w:p w14:paraId="1A7ED1E7" w14:textId="6DF4E018" w:rsidR="00271836" w:rsidRPr="00261C59" w:rsidRDefault="00271836" w:rsidP="004728D9">
      <w:pPr>
        <w:keepNext/>
        <w:keepLines/>
        <w:widowControl/>
        <w:numPr>
          <w:ilvl w:val="0"/>
          <w:numId w:val="54"/>
        </w:numPr>
        <w:spacing w:after="240" w:line="260" w:lineRule="exact"/>
        <w:jc w:val="left"/>
        <w:rPr>
          <w:rFonts w:ascii="Calibri" w:hAnsi="Calibri"/>
          <w:sz w:val="24"/>
          <w:szCs w:val="24"/>
        </w:rPr>
      </w:pPr>
      <w:r w:rsidRPr="00261C59">
        <w:rPr>
          <w:rFonts w:ascii="Calibri" w:hAnsi="Calibri"/>
          <w:sz w:val="24"/>
          <w:szCs w:val="24"/>
        </w:rPr>
        <w:t>The Parties agree that funding arrangements for new HSTs, recommended for delivery in a public hospital setting by the Medical Services Advisory Committee (MSAC), will be determined on the basis of hospital funding contributions specified in this Schedule, with the following exceptions for the term of this Addendum:</w:t>
      </w:r>
    </w:p>
    <w:p w14:paraId="0E4742AB" w14:textId="6CE5D1D3" w:rsidR="00271836" w:rsidRPr="00261C59" w:rsidRDefault="00271836" w:rsidP="004728D9">
      <w:pPr>
        <w:numPr>
          <w:ilvl w:val="1"/>
          <w:numId w:val="80"/>
        </w:numPr>
        <w:spacing w:after="240" w:line="260" w:lineRule="exact"/>
        <w:jc w:val="left"/>
        <w:rPr>
          <w:rFonts w:ascii="Calibri" w:hAnsi="Calibri"/>
          <w:sz w:val="24"/>
          <w:szCs w:val="24"/>
        </w:rPr>
      </w:pPr>
      <w:r w:rsidRPr="7B1A1E71">
        <w:rPr>
          <w:rFonts w:ascii="Calibri" w:hAnsi="Calibri"/>
          <w:sz w:val="24"/>
          <w:szCs w:val="24"/>
        </w:rPr>
        <w:t>HSTs (including ancillary services) will be funded at a Commonwealth contribution rate of 50 per cent</w:t>
      </w:r>
    </w:p>
    <w:p w14:paraId="5ED552FD" w14:textId="7A7BB959" w:rsidR="00271836" w:rsidRPr="00261C59" w:rsidDel="005B5D54" w:rsidRDefault="00271836" w:rsidP="004728D9">
      <w:pPr>
        <w:numPr>
          <w:ilvl w:val="1"/>
          <w:numId w:val="80"/>
        </w:numPr>
        <w:spacing w:after="240" w:line="260" w:lineRule="exact"/>
        <w:jc w:val="left"/>
        <w:rPr>
          <w:rFonts w:ascii="Calibri" w:hAnsi="Calibri"/>
          <w:sz w:val="24"/>
          <w:szCs w:val="24"/>
        </w:rPr>
      </w:pPr>
      <w:r w:rsidRPr="7B1A1E71">
        <w:rPr>
          <w:rFonts w:ascii="Calibri" w:hAnsi="Calibri"/>
          <w:sz w:val="24"/>
          <w:szCs w:val="24"/>
        </w:rPr>
        <w:t xml:space="preserve">HSTs will be exempt from the funding cap at clause </w:t>
      </w:r>
      <w:r w:rsidR="002F7CE5" w:rsidRPr="7B1A1E71">
        <w:rPr>
          <w:rFonts w:ascii="Calibri" w:hAnsi="Calibri"/>
          <w:sz w:val="24"/>
          <w:szCs w:val="24"/>
        </w:rPr>
        <w:t xml:space="preserve">A41 </w:t>
      </w:r>
      <w:r w:rsidRPr="7B1A1E71">
        <w:rPr>
          <w:rFonts w:ascii="Calibri" w:hAnsi="Calibri"/>
          <w:sz w:val="24"/>
          <w:szCs w:val="24"/>
        </w:rPr>
        <w:t>for a period of two years from the commencement of service delivery of the new treatment</w:t>
      </w:r>
    </w:p>
    <w:p w14:paraId="38DDAEF1" w14:textId="6D335257" w:rsidR="00271836" w:rsidRPr="00261C59" w:rsidRDefault="00271836" w:rsidP="004728D9">
      <w:pPr>
        <w:numPr>
          <w:ilvl w:val="1"/>
          <w:numId w:val="80"/>
        </w:numPr>
        <w:spacing w:after="240" w:line="260" w:lineRule="exact"/>
        <w:jc w:val="left"/>
        <w:rPr>
          <w:rFonts w:ascii="Calibri" w:hAnsi="Calibri"/>
          <w:sz w:val="24"/>
          <w:szCs w:val="24"/>
        </w:rPr>
      </w:pPr>
      <w:r w:rsidRPr="7B1A1E71">
        <w:rPr>
          <w:rFonts w:ascii="Calibri" w:hAnsi="Calibri"/>
          <w:sz w:val="24"/>
          <w:szCs w:val="24"/>
        </w:rPr>
        <w:t>upon commencement of service delivery of the new treatment in a State, the State may request advice from the Administrator on operation of the funding cap exemption for that treatment in that State</w:t>
      </w:r>
    </w:p>
    <w:p w14:paraId="2B8D3722" w14:textId="2C78C885" w:rsidR="00271836" w:rsidRPr="00261C59" w:rsidRDefault="18C940DA" w:rsidP="001A08BA">
      <w:pPr>
        <w:keepLines/>
        <w:numPr>
          <w:ilvl w:val="1"/>
          <w:numId w:val="80"/>
        </w:numPr>
        <w:spacing w:after="240" w:line="260" w:lineRule="exact"/>
        <w:jc w:val="left"/>
        <w:rPr>
          <w:rFonts w:ascii="Calibri" w:hAnsi="Calibri"/>
          <w:sz w:val="24"/>
          <w:szCs w:val="24"/>
        </w:rPr>
      </w:pPr>
      <w:r w:rsidRPr="7B1A1E71">
        <w:rPr>
          <w:rFonts w:ascii="Calibri" w:hAnsi="Calibri"/>
          <w:sz w:val="24"/>
          <w:szCs w:val="24"/>
        </w:rPr>
        <w:t>t</w:t>
      </w:r>
      <w:r w:rsidR="00271836" w:rsidRPr="7B1A1E71">
        <w:rPr>
          <w:rFonts w:ascii="Calibri" w:hAnsi="Calibri"/>
          <w:sz w:val="24"/>
          <w:szCs w:val="24"/>
        </w:rPr>
        <w:t>he above exceptions will only apply if the HST is delivered according to MSAC’s advice.</w:t>
      </w:r>
    </w:p>
    <w:p w14:paraId="6388D630" w14:textId="77777777" w:rsidR="00271836" w:rsidRPr="00261C59" w:rsidRDefault="00271836" w:rsidP="006A1496">
      <w:pPr>
        <w:keepLines/>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 MSAC and Pharmaceutical Benefits Advisory Committee (PBAC) chairs, together with a HMM representative, will jointly decide which committee should assess applications for new medicines or biological therapies, where the therapies are likely to be delivered in a public hospital setting. </w:t>
      </w:r>
    </w:p>
    <w:p w14:paraId="138DCA2E" w14:textId="77777777" w:rsidR="00271836" w:rsidRPr="00261C59" w:rsidRDefault="00271836" w:rsidP="004728D9">
      <w:pPr>
        <w:numPr>
          <w:ilvl w:val="1"/>
          <w:numId w:val="81"/>
        </w:numPr>
        <w:spacing w:after="240" w:line="260" w:lineRule="exact"/>
        <w:jc w:val="left"/>
        <w:rPr>
          <w:rFonts w:ascii="Calibri" w:hAnsi="Calibri"/>
          <w:sz w:val="24"/>
          <w:szCs w:val="24"/>
        </w:rPr>
      </w:pPr>
      <w:r w:rsidRPr="00261C59">
        <w:rPr>
          <w:rFonts w:ascii="Calibri" w:hAnsi="Calibri"/>
          <w:sz w:val="24"/>
          <w:szCs w:val="24"/>
        </w:rPr>
        <w:t xml:space="preserve">The rules for PBAC assessment are set out in the </w:t>
      </w:r>
      <w:r w:rsidRPr="00261C59">
        <w:rPr>
          <w:rFonts w:ascii="Calibri" w:hAnsi="Calibri"/>
          <w:i/>
          <w:iCs/>
          <w:sz w:val="24"/>
          <w:szCs w:val="24"/>
        </w:rPr>
        <w:t>National Health Act 1953</w:t>
      </w:r>
      <w:r w:rsidRPr="00261C59">
        <w:rPr>
          <w:rFonts w:ascii="Calibri" w:hAnsi="Calibri"/>
          <w:sz w:val="24"/>
          <w:szCs w:val="24"/>
        </w:rPr>
        <w:t>. Where the matter does not fall within the definition for consideration by PBAC, it is assessed by MSAC. </w:t>
      </w:r>
    </w:p>
    <w:p w14:paraId="4191F8EA" w14:textId="77777777" w:rsidR="00271836" w:rsidRPr="00261C59" w:rsidRDefault="00271836" w:rsidP="004728D9">
      <w:pPr>
        <w:numPr>
          <w:ilvl w:val="1"/>
          <w:numId w:val="81"/>
        </w:numPr>
        <w:spacing w:after="240" w:line="260" w:lineRule="exact"/>
        <w:jc w:val="left"/>
        <w:rPr>
          <w:rFonts w:ascii="Calibri" w:hAnsi="Calibri"/>
          <w:sz w:val="24"/>
          <w:szCs w:val="24"/>
        </w:rPr>
      </w:pPr>
      <w:r w:rsidRPr="00261C59">
        <w:rPr>
          <w:rFonts w:ascii="Calibri" w:hAnsi="Calibri"/>
          <w:sz w:val="24"/>
          <w:szCs w:val="24"/>
        </w:rPr>
        <w:t>The chair of HMM will nominate one representative on behalf of all States to participate in these meetings. This representative is to have the same level of clinical expertise as the MSAC and PBAC chairs.</w:t>
      </w:r>
    </w:p>
    <w:p w14:paraId="1806F750" w14:textId="77777777" w:rsidR="00271836" w:rsidRPr="00261C59" w:rsidRDefault="00271836" w:rsidP="004728D9">
      <w:pPr>
        <w:keepLines/>
        <w:widowControl/>
        <w:numPr>
          <w:ilvl w:val="0"/>
          <w:numId w:val="54"/>
        </w:numPr>
        <w:spacing w:after="240" w:line="260" w:lineRule="exact"/>
        <w:jc w:val="left"/>
        <w:rPr>
          <w:rFonts w:ascii="Calibri" w:hAnsi="Calibri"/>
          <w:sz w:val="24"/>
          <w:szCs w:val="24"/>
        </w:rPr>
      </w:pPr>
      <w:r w:rsidRPr="00261C59">
        <w:rPr>
          <w:rFonts w:ascii="Calibri" w:hAnsi="Calibri"/>
          <w:sz w:val="24"/>
          <w:szCs w:val="24"/>
        </w:rPr>
        <w:t>For therapies that will be assessed by MSAC and delivered in a public hospital setting, the Commonwealth will write to States advising them that an application has been received and invite them to make a submission to MSAC for consideration. States will need to abide by the same confidentiality requirements as MSAC members.</w:t>
      </w:r>
    </w:p>
    <w:p w14:paraId="5E4A646B" w14:textId="77777777" w:rsidR="00271836" w:rsidRPr="00261C59" w:rsidRDefault="00271836" w:rsidP="00E84BBB">
      <w:pPr>
        <w:keepLines/>
        <w:numPr>
          <w:ilvl w:val="1"/>
          <w:numId w:val="82"/>
        </w:numPr>
        <w:spacing w:after="240" w:line="260" w:lineRule="exact"/>
        <w:jc w:val="left"/>
        <w:rPr>
          <w:rFonts w:ascii="Calibri" w:hAnsi="Calibri"/>
          <w:sz w:val="24"/>
          <w:szCs w:val="24"/>
        </w:rPr>
      </w:pPr>
      <w:r w:rsidRPr="00261C59">
        <w:rPr>
          <w:rFonts w:ascii="Calibri" w:hAnsi="Calibri"/>
          <w:sz w:val="24"/>
          <w:szCs w:val="24"/>
        </w:rPr>
        <w:lastRenderedPageBreak/>
        <w:t>States will be invited to send a representative to observe the meeting when the application is being considered. </w:t>
      </w:r>
    </w:p>
    <w:p w14:paraId="66FB4B17" w14:textId="77777777" w:rsidR="00271836" w:rsidRPr="00261C59" w:rsidRDefault="00271836" w:rsidP="004728D9">
      <w:pPr>
        <w:numPr>
          <w:ilvl w:val="1"/>
          <w:numId w:val="82"/>
        </w:numPr>
        <w:spacing w:after="240" w:line="260" w:lineRule="exact"/>
        <w:jc w:val="left"/>
        <w:rPr>
          <w:rFonts w:ascii="Calibri" w:hAnsi="Calibri"/>
          <w:sz w:val="24"/>
          <w:szCs w:val="24"/>
        </w:rPr>
      </w:pPr>
      <w:r w:rsidRPr="00261C59">
        <w:rPr>
          <w:rFonts w:ascii="Calibri" w:hAnsi="Calibri"/>
          <w:sz w:val="24"/>
          <w:szCs w:val="24"/>
        </w:rPr>
        <w:t>This will enable States to ensure all submissions are considered and have early visibility of MSAC’s recommendations related to a therapy for funding under this Addendum.</w:t>
      </w:r>
    </w:p>
    <w:p w14:paraId="517C929D" w14:textId="77777777" w:rsidR="00271836" w:rsidRPr="00261C59" w:rsidRDefault="00271836" w:rsidP="004728D9">
      <w:pPr>
        <w:numPr>
          <w:ilvl w:val="1"/>
          <w:numId w:val="82"/>
        </w:numPr>
        <w:spacing w:after="240" w:line="260" w:lineRule="exact"/>
        <w:jc w:val="left"/>
        <w:rPr>
          <w:rFonts w:ascii="Calibri" w:hAnsi="Calibri"/>
          <w:sz w:val="24"/>
          <w:szCs w:val="24"/>
        </w:rPr>
      </w:pPr>
      <w:r w:rsidRPr="00261C59">
        <w:rPr>
          <w:rFonts w:ascii="Calibri" w:hAnsi="Calibri"/>
          <w:sz w:val="24"/>
          <w:szCs w:val="24"/>
        </w:rPr>
        <w:t>Under its terms of reference, MSAC is obliged to have due regard to the advice of States where it is relevant to comparative safety, clinical effectiveness and/or cost-effectiveness, and total cost of an HST.</w:t>
      </w:r>
    </w:p>
    <w:p w14:paraId="33116209" w14:textId="77777777" w:rsidR="00271836" w:rsidRPr="00261C59" w:rsidRDefault="00271836" w:rsidP="004728D9">
      <w:pPr>
        <w:numPr>
          <w:ilvl w:val="0"/>
          <w:numId w:val="54"/>
        </w:numPr>
        <w:spacing w:after="240" w:line="260" w:lineRule="exact"/>
        <w:jc w:val="left"/>
        <w:rPr>
          <w:rFonts w:ascii="Calibri" w:hAnsi="Calibri"/>
          <w:sz w:val="24"/>
          <w:szCs w:val="24"/>
        </w:rPr>
      </w:pPr>
      <w:r w:rsidRPr="00261C59">
        <w:rPr>
          <w:rFonts w:ascii="Calibri" w:hAnsi="Calibri"/>
          <w:sz w:val="24"/>
          <w:szCs w:val="24"/>
        </w:rPr>
        <w:t>Recommendations of MSAC are made public on the MSAC website, including the rationale for those recommendations.</w:t>
      </w:r>
    </w:p>
    <w:p w14:paraId="3CEAB44F" w14:textId="77777777" w:rsidR="00271836" w:rsidRPr="00261C59" w:rsidRDefault="00271836" w:rsidP="004728D9">
      <w:pPr>
        <w:numPr>
          <w:ilvl w:val="1"/>
          <w:numId w:val="83"/>
        </w:numPr>
        <w:spacing w:after="240" w:line="260" w:lineRule="exact"/>
        <w:jc w:val="left"/>
        <w:rPr>
          <w:rFonts w:ascii="Calibri" w:hAnsi="Calibri"/>
          <w:sz w:val="24"/>
          <w:szCs w:val="24"/>
        </w:rPr>
      </w:pPr>
      <w:r w:rsidRPr="00261C59">
        <w:rPr>
          <w:rFonts w:ascii="Calibri" w:hAnsi="Calibri"/>
          <w:sz w:val="24"/>
          <w:szCs w:val="24"/>
        </w:rPr>
        <w:t>States will be notified before publication, on the same day the company receives the ratified recommendations of MSAC. </w:t>
      </w:r>
    </w:p>
    <w:p w14:paraId="131407A7" w14:textId="77777777" w:rsidR="00271836" w:rsidRPr="00261C59" w:rsidRDefault="00271836" w:rsidP="004728D9">
      <w:pPr>
        <w:keepNext/>
        <w:keepLines/>
        <w:widowControl/>
        <w:numPr>
          <w:ilvl w:val="0"/>
          <w:numId w:val="54"/>
        </w:numPr>
        <w:spacing w:after="240" w:line="260" w:lineRule="exact"/>
        <w:jc w:val="left"/>
        <w:rPr>
          <w:rFonts w:ascii="Calibri" w:hAnsi="Calibri"/>
          <w:sz w:val="24"/>
          <w:szCs w:val="24"/>
        </w:rPr>
      </w:pPr>
      <w:r w:rsidRPr="00261C59">
        <w:rPr>
          <w:rFonts w:ascii="Calibri" w:hAnsi="Calibri"/>
          <w:sz w:val="24"/>
          <w:szCs w:val="24"/>
        </w:rPr>
        <w:t>Following a supportive MSAC recommendation, a deed of agreement will be executed between the company and the Commonwealth to ensure the MSAC recommended conditions for funding are met. This requires the company to agree to the MSAC’s recommendations for funding under this Addendum.</w:t>
      </w:r>
    </w:p>
    <w:p w14:paraId="02765A0E" w14:textId="77777777" w:rsidR="00271836" w:rsidRPr="00261C59" w:rsidRDefault="00271836" w:rsidP="004728D9">
      <w:pPr>
        <w:numPr>
          <w:ilvl w:val="1"/>
          <w:numId w:val="84"/>
        </w:numPr>
        <w:spacing w:after="240" w:line="260" w:lineRule="exact"/>
        <w:jc w:val="left"/>
        <w:rPr>
          <w:rFonts w:ascii="Calibri" w:hAnsi="Calibri"/>
          <w:sz w:val="24"/>
          <w:szCs w:val="24"/>
        </w:rPr>
      </w:pPr>
      <w:r w:rsidRPr="00261C59">
        <w:rPr>
          <w:rFonts w:ascii="Calibri" w:hAnsi="Calibri"/>
          <w:sz w:val="24"/>
          <w:szCs w:val="24"/>
        </w:rPr>
        <w:t>States will decide if, when, and where the therapy will be provided.</w:t>
      </w:r>
    </w:p>
    <w:p w14:paraId="11696A09" w14:textId="77777777" w:rsidR="00271836" w:rsidRPr="00261C59" w:rsidRDefault="00271836" w:rsidP="004728D9">
      <w:pPr>
        <w:widowControl/>
        <w:numPr>
          <w:ilvl w:val="0"/>
          <w:numId w:val="54"/>
        </w:numPr>
        <w:spacing w:after="240" w:line="260" w:lineRule="exact"/>
        <w:jc w:val="left"/>
        <w:rPr>
          <w:rFonts w:ascii="Calibri" w:hAnsi="Calibri"/>
          <w:sz w:val="24"/>
          <w:szCs w:val="24"/>
        </w:rPr>
      </w:pPr>
      <w:r w:rsidRPr="00261C59">
        <w:rPr>
          <w:rFonts w:ascii="Calibri" w:hAnsi="Calibri"/>
          <w:sz w:val="24"/>
          <w:szCs w:val="24"/>
        </w:rPr>
        <w:t>The publicly available HMM-endorsed ‘Framework for the assessment, funding, and implementation of high cost, highly specialised therapies and services’ outlines the steps required to implement HSTs under this Addendum.</w:t>
      </w:r>
    </w:p>
    <w:p w14:paraId="14158F6D" w14:textId="77777777" w:rsidR="00271836" w:rsidRPr="00261C59" w:rsidRDefault="00271836" w:rsidP="001A08BA">
      <w:pPr>
        <w:keepNext/>
        <w:widowControl/>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States agree to provide required HST data to existing registries at least quarterly, as agreed from time to time by HMM. </w:t>
      </w:r>
    </w:p>
    <w:p w14:paraId="1A2BFCE6" w14:textId="77777777" w:rsidR="00271836" w:rsidRPr="00261C59" w:rsidRDefault="00271836" w:rsidP="001A08BA">
      <w:pPr>
        <w:keepLines/>
        <w:numPr>
          <w:ilvl w:val="1"/>
          <w:numId w:val="85"/>
        </w:numPr>
        <w:spacing w:after="240" w:line="260" w:lineRule="exact"/>
        <w:jc w:val="left"/>
        <w:rPr>
          <w:rFonts w:ascii="Calibri" w:hAnsi="Calibri"/>
          <w:sz w:val="24"/>
          <w:szCs w:val="24"/>
        </w:rPr>
      </w:pPr>
      <w:r w:rsidRPr="00261C59">
        <w:rPr>
          <w:rFonts w:ascii="Calibri" w:hAnsi="Calibri"/>
          <w:sz w:val="24"/>
          <w:szCs w:val="24"/>
        </w:rPr>
        <w:t>Parties agree registry arrangements and minimum dataset requirements may be reviewed following advice from the Health Technology and Genomics Collaboration on HST monitoring and evaluation.</w:t>
      </w:r>
    </w:p>
    <w:p w14:paraId="2491D527" w14:textId="77777777" w:rsidR="00271836" w:rsidRPr="00261C59" w:rsidRDefault="00271836" w:rsidP="00815287">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458" w:name="_Toc210833618"/>
      <w:bookmarkStart w:id="459" w:name="_Toc214456518"/>
      <w:bookmarkStart w:id="460" w:name="_Toc221087997"/>
      <w:bookmarkStart w:id="461" w:name="_Toc183183326"/>
      <w:bookmarkStart w:id="462" w:name="_Toc201673984"/>
      <w:r w:rsidRPr="00261C59">
        <w:rPr>
          <w:rFonts w:ascii="Corbel" w:eastAsia="Times New Roman" w:hAnsi="Corbel"/>
          <w:b w:val="0"/>
          <w:bCs w:val="0"/>
          <w:iCs w:val="0"/>
          <w:color w:val="3D4B67"/>
          <w:sz w:val="28"/>
          <w:szCs w:val="48"/>
          <w:lang w:eastAsia="ja-JP"/>
        </w:rPr>
        <w:t>Specialised, low-volume services</w:t>
      </w:r>
      <w:bookmarkEnd w:id="458"/>
      <w:bookmarkEnd w:id="459"/>
      <w:bookmarkEnd w:id="460"/>
    </w:p>
    <w:p w14:paraId="09AB0B98" w14:textId="77777777" w:rsidR="00271836" w:rsidRPr="00261C59" w:rsidRDefault="00271836" w:rsidP="004728D9">
      <w:pPr>
        <w:widowControl/>
        <w:numPr>
          <w:ilvl w:val="0"/>
          <w:numId w:val="54"/>
        </w:numPr>
        <w:spacing w:after="240" w:line="260" w:lineRule="exact"/>
        <w:jc w:val="left"/>
        <w:rPr>
          <w:rFonts w:ascii="Calibri" w:hAnsi="Calibri"/>
          <w:sz w:val="24"/>
          <w:szCs w:val="24"/>
        </w:rPr>
      </w:pPr>
      <w:r w:rsidRPr="00261C59">
        <w:rPr>
          <w:rFonts w:ascii="Calibri" w:hAnsi="Calibri"/>
          <w:sz w:val="24"/>
          <w:szCs w:val="24"/>
        </w:rPr>
        <w:t>The Parties recognise there are certain public hospital and health services that are complex and cater for small population groups (i.e. limited demand or low volume). In addition, such services can only be delivered in dedicated facilities, as these require high quality, safe introduction and ongoing provision of specialised clinical practices and technologies.</w:t>
      </w:r>
    </w:p>
    <w:p w14:paraId="01E87235" w14:textId="77777777" w:rsidR="00271836" w:rsidRPr="00261C59" w:rsidRDefault="00271836" w:rsidP="004728D9">
      <w:pPr>
        <w:widowControl/>
        <w:numPr>
          <w:ilvl w:val="0"/>
          <w:numId w:val="54"/>
        </w:numPr>
        <w:spacing w:after="240" w:line="260" w:lineRule="exact"/>
        <w:jc w:val="left"/>
        <w:rPr>
          <w:rFonts w:ascii="Calibri" w:hAnsi="Calibri"/>
          <w:sz w:val="24"/>
          <w:szCs w:val="24"/>
        </w:rPr>
      </w:pPr>
      <w:r w:rsidRPr="00261C59">
        <w:rPr>
          <w:rFonts w:ascii="Calibri" w:hAnsi="Calibri"/>
          <w:sz w:val="24"/>
          <w:szCs w:val="24"/>
        </w:rPr>
        <w:t xml:space="preserve">These specialised, low-volume services include, but are not limited to: </w:t>
      </w:r>
    </w:p>
    <w:p w14:paraId="4D720045" w14:textId="6FC8DCAA" w:rsidR="00271836" w:rsidRPr="00261C59" w:rsidRDefault="663573BB" w:rsidP="004728D9">
      <w:pPr>
        <w:numPr>
          <w:ilvl w:val="1"/>
          <w:numId w:val="86"/>
        </w:numPr>
        <w:spacing w:after="240" w:line="260" w:lineRule="exact"/>
        <w:jc w:val="left"/>
        <w:rPr>
          <w:rFonts w:ascii="Calibri" w:hAnsi="Calibri"/>
          <w:sz w:val="24"/>
          <w:szCs w:val="24"/>
        </w:rPr>
      </w:pPr>
      <w:r w:rsidRPr="7B1A1E71">
        <w:rPr>
          <w:rFonts w:ascii="Calibri" w:hAnsi="Calibri"/>
          <w:sz w:val="24"/>
          <w:szCs w:val="24"/>
        </w:rPr>
        <w:t>s</w:t>
      </w:r>
      <w:r w:rsidR="00271836" w:rsidRPr="7B1A1E71">
        <w:rPr>
          <w:rFonts w:ascii="Calibri" w:hAnsi="Calibri"/>
          <w:sz w:val="24"/>
          <w:szCs w:val="24"/>
        </w:rPr>
        <w:t>ervices delivered under the Nationally Funded Centre Program</w:t>
      </w:r>
    </w:p>
    <w:p w14:paraId="29812692" w14:textId="57C70D60" w:rsidR="00271836" w:rsidRPr="00261C59" w:rsidRDefault="00271836" w:rsidP="004728D9">
      <w:pPr>
        <w:numPr>
          <w:ilvl w:val="1"/>
          <w:numId w:val="86"/>
        </w:numPr>
        <w:spacing w:after="240" w:line="260" w:lineRule="exact"/>
        <w:jc w:val="left"/>
        <w:rPr>
          <w:rFonts w:ascii="Calibri" w:hAnsi="Calibri"/>
          <w:sz w:val="24"/>
          <w:szCs w:val="24"/>
        </w:rPr>
      </w:pPr>
      <w:r w:rsidRPr="7B1A1E71">
        <w:rPr>
          <w:rFonts w:ascii="Calibri" w:hAnsi="Calibri"/>
          <w:sz w:val="24"/>
          <w:szCs w:val="24"/>
        </w:rPr>
        <w:t>High-cost, highly specialised therapies (HSTs), as recommended by the Medical Services Advisory Committee (MSAC)</w:t>
      </w:r>
    </w:p>
    <w:p w14:paraId="5AB16ECD" w14:textId="6B2C1965" w:rsidR="00271836" w:rsidRPr="00261C59" w:rsidRDefault="0DFB4FE5" w:rsidP="004728D9">
      <w:pPr>
        <w:numPr>
          <w:ilvl w:val="1"/>
          <w:numId w:val="86"/>
        </w:numPr>
        <w:spacing w:after="240" w:line="260" w:lineRule="exact"/>
        <w:jc w:val="left"/>
        <w:rPr>
          <w:rFonts w:ascii="Calibri" w:hAnsi="Calibri"/>
          <w:sz w:val="24"/>
          <w:szCs w:val="24"/>
        </w:rPr>
      </w:pPr>
      <w:r w:rsidRPr="7B1A1E71">
        <w:rPr>
          <w:rFonts w:ascii="Calibri" w:hAnsi="Calibri"/>
          <w:sz w:val="24"/>
          <w:szCs w:val="24"/>
        </w:rPr>
        <w:t>s</w:t>
      </w:r>
      <w:r w:rsidR="00271836" w:rsidRPr="7B1A1E71">
        <w:rPr>
          <w:rFonts w:ascii="Calibri" w:hAnsi="Calibri"/>
          <w:sz w:val="24"/>
          <w:szCs w:val="24"/>
        </w:rPr>
        <w:t>ervices not appropriately covered by DRGs, as agreed by States participating in cross-border arrangements</w:t>
      </w:r>
    </w:p>
    <w:p w14:paraId="63F49E6A" w14:textId="3FD94ACC" w:rsidR="00271836" w:rsidRPr="00261C59" w:rsidRDefault="65998B57" w:rsidP="004728D9">
      <w:pPr>
        <w:numPr>
          <w:ilvl w:val="1"/>
          <w:numId w:val="86"/>
        </w:numPr>
        <w:spacing w:after="240" w:line="260" w:lineRule="exact"/>
        <w:jc w:val="left"/>
        <w:rPr>
          <w:rFonts w:ascii="Calibri" w:hAnsi="Calibri"/>
          <w:sz w:val="24"/>
          <w:szCs w:val="24"/>
        </w:rPr>
      </w:pPr>
      <w:r w:rsidRPr="7B1A1E71">
        <w:rPr>
          <w:rFonts w:ascii="Calibri" w:hAnsi="Calibri"/>
          <w:sz w:val="24"/>
          <w:szCs w:val="24"/>
        </w:rPr>
        <w:t>o</w:t>
      </w:r>
      <w:r w:rsidR="00271836" w:rsidRPr="7B1A1E71">
        <w:rPr>
          <w:rFonts w:ascii="Calibri" w:hAnsi="Calibri"/>
          <w:sz w:val="24"/>
          <w:szCs w:val="24"/>
        </w:rPr>
        <w:t>ther services using certain high cost, low demand, new and emerging technologies, as agreed and recognised by Parties.</w:t>
      </w:r>
    </w:p>
    <w:p w14:paraId="3A6E3095" w14:textId="77777777" w:rsidR="00271836" w:rsidRPr="00261C59" w:rsidRDefault="00271836" w:rsidP="004728D9">
      <w:pPr>
        <w:widowControl/>
        <w:numPr>
          <w:ilvl w:val="0"/>
          <w:numId w:val="54"/>
        </w:numPr>
        <w:spacing w:after="240" w:line="260" w:lineRule="exact"/>
        <w:jc w:val="left"/>
        <w:rPr>
          <w:rFonts w:ascii="Calibri" w:hAnsi="Calibri"/>
          <w:sz w:val="24"/>
          <w:szCs w:val="24"/>
        </w:rPr>
      </w:pPr>
      <w:r w:rsidRPr="00261C59">
        <w:rPr>
          <w:rFonts w:ascii="Calibri" w:hAnsi="Calibri"/>
          <w:sz w:val="24"/>
          <w:szCs w:val="24"/>
        </w:rPr>
        <w:lastRenderedPageBreak/>
        <w:t>The Parties agree to work collaboratively to ensure these specialised, low-volume services are provided safely, efficiently and effectively.</w:t>
      </w:r>
    </w:p>
    <w:p w14:paraId="304AA96F" w14:textId="77777777" w:rsidR="00271836" w:rsidRPr="00261C59" w:rsidRDefault="00271836" w:rsidP="004728D9">
      <w:pPr>
        <w:numPr>
          <w:ilvl w:val="1"/>
          <w:numId w:val="87"/>
        </w:numPr>
        <w:spacing w:after="240" w:line="260" w:lineRule="exact"/>
        <w:jc w:val="left"/>
        <w:rPr>
          <w:rFonts w:ascii="Calibri" w:hAnsi="Calibri"/>
          <w:sz w:val="24"/>
          <w:szCs w:val="24"/>
        </w:rPr>
      </w:pPr>
      <w:r w:rsidRPr="00261C59">
        <w:rPr>
          <w:rFonts w:ascii="Calibri" w:hAnsi="Calibri"/>
          <w:sz w:val="24"/>
          <w:szCs w:val="24"/>
        </w:rPr>
        <w:t xml:space="preserve">Parties can request the IHACPA to consider developing suitable pricing adjustments, pricing mechanisms or models to account for these services. In doing so, Parties agree to support the IHACPA in identifying and providing the required data elements. </w:t>
      </w:r>
    </w:p>
    <w:p w14:paraId="3B52D0FB" w14:textId="77777777" w:rsidR="00271836" w:rsidRPr="00261C59" w:rsidRDefault="00271836" w:rsidP="005460E8">
      <w:pPr>
        <w:keepNext/>
        <w:jc w:val="left"/>
        <w:outlineLvl w:val="2"/>
        <w:rPr>
          <w:rFonts w:ascii="Corbel" w:hAnsi="Corbel"/>
          <w:color w:val="3D4B67"/>
          <w:sz w:val="28"/>
          <w:szCs w:val="48"/>
          <w:lang w:eastAsia="ja-JP"/>
        </w:rPr>
      </w:pPr>
      <w:bookmarkStart w:id="463" w:name="_Toc210833619"/>
      <w:bookmarkStart w:id="464" w:name="_Toc214456519"/>
      <w:bookmarkStart w:id="465" w:name="_Toc221087998"/>
      <w:r w:rsidRPr="00261C59">
        <w:rPr>
          <w:rFonts w:ascii="Corbel" w:hAnsi="Corbel"/>
          <w:color w:val="3D4B67"/>
          <w:sz w:val="28"/>
          <w:szCs w:val="48"/>
          <w:lang w:eastAsia="ja-JP"/>
        </w:rPr>
        <w:t>National Pharmaceutical Reform Arrangements</w:t>
      </w:r>
      <w:bookmarkEnd w:id="461"/>
      <w:bookmarkEnd w:id="462"/>
      <w:bookmarkEnd w:id="463"/>
      <w:bookmarkEnd w:id="464"/>
      <w:bookmarkEnd w:id="465"/>
    </w:p>
    <w:p w14:paraId="7327F5DC" w14:textId="77777777" w:rsidR="00271836" w:rsidRPr="00261C59" w:rsidRDefault="00271836" w:rsidP="004728D9">
      <w:pPr>
        <w:numPr>
          <w:ilvl w:val="0"/>
          <w:numId w:val="54"/>
        </w:numPr>
        <w:spacing w:after="240" w:line="260" w:lineRule="exact"/>
        <w:jc w:val="left"/>
        <w:rPr>
          <w:rFonts w:ascii="Calibri" w:hAnsi="Calibri" w:cs="Calibri"/>
          <w:sz w:val="24"/>
          <w:szCs w:val="24"/>
        </w:rPr>
      </w:pPr>
      <w:r w:rsidRPr="00261C59">
        <w:rPr>
          <w:rFonts w:ascii="Calibri" w:eastAsia="Yu Gothic Light" w:hAnsi="Calibri" w:cs="Arial"/>
          <w:sz w:val="24"/>
          <w:szCs w:val="24"/>
        </w:rPr>
        <w:t>The Parties agree to progress work during the term of this Addendum to develop nationally consistent arrangements for accessing PBS-subsidised medicines in public hospitals. This seeks to build on and likely supersede the existing bilateral Pharmaceutical Reform Agreements (PRAs) to support timely, equitable and affordable access to medicines in line with the National Medicines Policy 2022.</w:t>
      </w:r>
    </w:p>
    <w:p w14:paraId="5F100077" w14:textId="77777777" w:rsidR="00271836" w:rsidRPr="00261C59" w:rsidRDefault="00271836" w:rsidP="004728D9">
      <w:pPr>
        <w:numPr>
          <w:ilvl w:val="0"/>
          <w:numId w:val="54"/>
        </w:numPr>
        <w:spacing w:after="240" w:line="260" w:lineRule="exact"/>
        <w:jc w:val="left"/>
        <w:rPr>
          <w:rFonts w:ascii="Calibri" w:hAnsi="Calibri" w:cs="Calibri"/>
          <w:sz w:val="24"/>
          <w:szCs w:val="24"/>
        </w:rPr>
      </w:pPr>
      <w:r w:rsidRPr="00261C59">
        <w:rPr>
          <w:rFonts w:ascii="Calibri" w:eastAsia="Yu Gothic Light" w:hAnsi="Calibri" w:cs="Arial"/>
          <w:sz w:val="24"/>
          <w:szCs w:val="24"/>
        </w:rPr>
        <w:t>The work will be led by the Commonwealth, in consultation with States, and include</w:t>
      </w:r>
      <w:r w:rsidRPr="00261C59">
        <w:rPr>
          <w:rFonts w:ascii="Calibri" w:hAnsi="Calibri" w:cs="Arial"/>
          <w:sz w:val="24"/>
          <w:szCs w:val="24"/>
        </w:rPr>
        <w:t xml:space="preserve"> d</w:t>
      </w:r>
      <w:r w:rsidRPr="00261C59">
        <w:rPr>
          <w:rFonts w:ascii="Calibri" w:eastAsia="Yu Gothic Light" w:hAnsi="Calibri" w:cs="Arial"/>
          <w:sz w:val="24"/>
          <w:szCs w:val="24"/>
        </w:rPr>
        <w:t>evelopment work towards a new multilateral agreement within this Addendum period</w:t>
      </w:r>
      <w:r w:rsidRPr="00261C59" w:rsidDel="00855828">
        <w:rPr>
          <w:rFonts w:ascii="Calibri" w:eastAsia="Yu Gothic Light" w:hAnsi="Calibri" w:cs="Arial"/>
          <w:sz w:val="24"/>
          <w:szCs w:val="24"/>
        </w:rPr>
        <w:t xml:space="preserve">, with the functions and terms of this agreement intended </w:t>
      </w:r>
      <w:r w:rsidRPr="00261C59">
        <w:rPr>
          <w:rFonts w:ascii="Calibri" w:eastAsia="Yu Gothic Light" w:hAnsi="Calibri" w:cs="Arial"/>
          <w:sz w:val="24"/>
          <w:szCs w:val="24"/>
        </w:rPr>
        <w:t xml:space="preserve">to be incorporated in </w:t>
      </w:r>
      <w:r w:rsidRPr="00261C59">
        <w:rPr>
          <w:rFonts w:ascii="Calibri" w:eastAsia="Yu Gothic Light" w:hAnsi="Calibri"/>
          <w:sz w:val="24"/>
          <w:szCs w:val="24"/>
        </w:rPr>
        <w:t>the next Addendum</w:t>
      </w:r>
      <w:r w:rsidRPr="00261C59">
        <w:rPr>
          <w:rFonts w:ascii="Calibri" w:eastAsia="Yu Gothic Light" w:hAnsi="Calibri" w:cs="Arial"/>
          <w:sz w:val="24"/>
          <w:szCs w:val="24"/>
        </w:rPr>
        <w:t>.</w:t>
      </w:r>
    </w:p>
    <w:p w14:paraId="03EEC5B4" w14:textId="77777777" w:rsidR="00271836" w:rsidRPr="00261C59" w:rsidRDefault="00271836" w:rsidP="004728D9">
      <w:pPr>
        <w:widowControl/>
        <w:numPr>
          <w:ilvl w:val="0"/>
          <w:numId w:val="54"/>
        </w:numPr>
        <w:spacing w:after="240" w:line="260" w:lineRule="exact"/>
        <w:jc w:val="left"/>
        <w:rPr>
          <w:rFonts w:ascii="Calibri" w:hAnsi="Calibri" w:cs="Calibri"/>
          <w:sz w:val="24"/>
          <w:szCs w:val="24"/>
        </w:rPr>
      </w:pPr>
      <w:r w:rsidRPr="00261C59">
        <w:rPr>
          <w:rFonts w:ascii="Calibri" w:eastAsia="Yu Gothic Light" w:hAnsi="Calibri" w:cs="Calibri"/>
          <w:sz w:val="24"/>
          <w:szCs w:val="24"/>
        </w:rPr>
        <w:t xml:space="preserve">In developing the multilateral agreement, Parties will have regard to the National Medicines Policy as well as recommendations from the 2024 PRA Review Report, including prioritising: </w:t>
      </w:r>
    </w:p>
    <w:p w14:paraId="7A233027" w14:textId="46353582" w:rsidR="00271836" w:rsidRPr="00261C59" w:rsidRDefault="00271836" w:rsidP="004728D9">
      <w:pPr>
        <w:numPr>
          <w:ilvl w:val="1"/>
          <w:numId w:val="88"/>
        </w:numPr>
        <w:spacing w:after="240" w:line="260" w:lineRule="exact"/>
        <w:jc w:val="left"/>
        <w:rPr>
          <w:rFonts w:ascii="Calibri" w:hAnsi="Calibri" w:cs="Calibri"/>
          <w:sz w:val="24"/>
          <w:szCs w:val="24"/>
        </w:rPr>
      </w:pPr>
      <w:r w:rsidRPr="7B1A1E71">
        <w:rPr>
          <w:rFonts w:ascii="Calibri" w:eastAsia="Yu Gothic Light" w:hAnsi="Calibri" w:cs="Calibri"/>
          <w:sz w:val="24"/>
          <w:szCs w:val="24"/>
        </w:rPr>
        <w:t>removing barriers to access</w:t>
      </w:r>
    </w:p>
    <w:p w14:paraId="32FB36FD" w14:textId="0C2CA27A" w:rsidR="00271836" w:rsidRPr="00261C59" w:rsidRDefault="00271836" w:rsidP="004728D9">
      <w:pPr>
        <w:numPr>
          <w:ilvl w:val="1"/>
          <w:numId w:val="88"/>
        </w:numPr>
        <w:spacing w:after="240" w:line="260" w:lineRule="exact"/>
        <w:jc w:val="left"/>
        <w:rPr>
          <w:rFonts w:ascii="Calibri" w:hAnsi="Calibri" w:cs="Calibri"/>
          <w:sz w:val="24"/>
          <w:szCs w:val="24"/>
        </w:rPr>
      </w:pPr>
      <w:r w:rsidRPr="7B1A1E71">
        <w:rPr>
          <w:rFonts w:ascii="Calibri" w:eastAsia="Yu Gothic Light" w:hAnsi="Calibri" w:cs="Calibri"/>
          <w:sz w:val="24"/>
          <w:szCs w:val="24"/>
        </w:rPr>
        <w:t>quality use of medicines</w:t>
      </w:r>
    </w:p>
    <w:p w14:paraId="6A795443" w14:textId="46557C79" w:rsidR="00271836" w:rsidRPr="00261C59" w:rsidRDefault="00271836" w:rsidP="004728D9">
      <w:pPr>
        <w:numPr>
          <w:ilvl w:val="1"/>
          <w:numId w:val="88"/>
        </w:numPr>
        <w:spacing w:after="240" w:line="260" w:lineRule="exact"/>
        <w:jc w:val="left"/>
        <w:rPr>
          <w:rFonts w:ascii="Calibri" w:hAnsi="Calibri" w:cs="Calibri"/>
          <w:sz w:val="24"/>
          <w:szCs w:val="24"/>
        </w:rPr>
      </w:pPr>
      <w:r w:rsidRPr="7B1A1E71">
        <w:rPr>
          <w:rFonts w:ascii="Calibri" w:eastAsia="Yu Gothic Light" w:hAnsi="Calibri" w:cs="Calibri"/>
          <w:sz w:val="24"/>
          <w:szCs w:val="24"/>
        </w:rPr>
        <w:t>building and maintaining quality hospital pharmacy programs</w:t>
      </w:r>
    </w:p>
    <w:p w14:paraId="4BA26BB3" w14:textId="77777777" w:rsidR="00271836" w:rsidRPr="00261C59" w:rsidRDefault="00271836" w:rsidP="004728D9">
      <w:pPr>
        <w:numPr>
          <w:ilvl w:val="1"/>
          <w:numId w:val="88"/>
        </w:numPr>
        <w:spacing w:after="240" w:line="260" w:lineRule="exact"/>
        <w:jc w:val="left"/>
        <w:rPr>
          <w:rFonts w:ascii="Calibri" w:hAnsi="Calibri" w:cs="Calibri"/>
          <w:sz w:val="24"/>
          <w:szCs w:val="24"/>
        </w:rPr>
      </w:pPr>
      <w:r w:rsidRPr="00261C59">
        <w:rPr>
          <w:rFonts w:ascii="Calibri" w:eastAsia="Yu Gothic Light" w:hAnsi="Calibri" w:cs="Calibri"/>
          <w:sz w:val="24"/>
          <w:szCs w:val="24"/>
        </w:rPr>
        <w:t>transparency and accountability.</w:t>
      </w:r>
    </w:p>
    <w:p w14:paraId="310A984E" w14:textId="77777777" w:rsidR="00271836" w:rsidRPr="00261C59" w:rsidRDefault="00271836" w:rsidP="004728D9">
      <w:pPr>
        <w:numPr>
          <w:ilvl w:val="0"/>
          <w:numId w:val="54"/>
        </w:numPr>
        <w:spacing w:after="240" w:line="260" w:lineRule="exact"/>
        <w:jc w:val="left"/>
        <w:rPr>
          <w:rFonts w:ascii="Calibri" w:eastAsia="Yu Gothic Light" w:hAnsi="Calibri" w:cs="Arial"/>
          <w:sz w:val="24"/>
          <w:szCs w:val="24"/>
        </w:rPr>
      </w:pPr>
      <w:r w:rsidRPr="00261C59">
        <w:rPr>
          <w:rFonts w:ascii="Calibri" w:eastAsia="Yu Gothic Light" w:hAnsi="Calibri" w:cs="Arial"/>
          <w:sz w:val="24"/>
          <w:szCs w:val="24"/>
        </w:rPr>
        <w:t xml:space="preserve">In addition, the work towards a multilateral agreement would provide an opportunity to modernise current arrangements and consider reforms that benefit all Parties. </w:t>
      </w:r>
    </w:p>
    <w:p w14:paraId="7E81BFD9" w14:textId="77777777" w:rsidR="00271836" w:rsidRPr="00261C59" w:rsidRDefault="00271836" w:rsidP="004728D9">
      <w:pPr>
        <w:numPr>
          <w:ilvl w:val="0"/>
          <w:numId w:val="54"/>
        </w:numPr>
        <w:spacing w:after="240" w:line="260" w:lineRule="exact"/>
        <w:jc w:val="left"/>
        <w:rPr>
          <w:rFonts w:ascii="Calibri" w:eastAsia="Yu Gothic Light" w:hAnsi="Calibri" w:cs="Arial"/>
          <w:sz w:val="24"/>
          <w:szCs w:val="24"/>
        </w:rPr>
      </w:pPr>
      <w:r w:rsidRPr="00261C59">
        <w:rPr>
          <w:rFonts w:ascii="Calibri" w:eastAsia="Yu Gothic Light" w:hAnsi="Calibri" w:cs="Arial"/>
          <w:sz w:val="24"/>
          <w:szCs w:val="24"/>
        </w:rPr>
        <w:t xml:space="preserve">States with existing bilateral PRAs may continue to charge the PBS for pharmaceuticals for specific categories of patients as provided for in their agreements. </w:t>
      </w:r>
    </w:p>
    <w:p w14:paraId="52A9EE07" w14:textId="77777777" w:rsidR="00271836" w:rsidRPr="00261C59" w:rsidRDefault="00271836" w:rsidP="004728D9">
      <w:pPr>
        <w:numPr>
          <w:ilvl w:val="1"/>
          <w:numId w:val="54"/>
        </w:numPr>
        <w:spacing w:after="240" w:line="260" w:lineRule="exact"/>
        <w:jc w:val="left"/>
        <w:rPr>
          <w:rFonts w:ascii="Calibri" w:hAnsi="Calibri" w:cs="Calibri"/>
          <w:color w:val="000000"/>
          <w:sz w:val="24"/>
          <w:szCs w:val="24"/>
          <w:shd w:val="clear" w:color="auto" w:fill="BDD6EE"/>
        </w:rPr>
      </w:pPr>
      <w:r w:rsidRPr="00261C59">
        <w:rPr>
          <w:rFonts w:ascii="Calibri" w:hAnsi="Calibri" w:cs="Calibri"/>
          <w:color w:val="000000"/>
          <w:sz w:val="24"/>
          <w:szCs w:val="24"/>
        </w:rPr>
        <w:t>Interim bilateral PRAs for the ACT and NSW will be considered during this Addendum period, contingent on the provision of state-specific data.</w:t>
      </w:r>
      <w:r w:rsidRPr="00261C59">
        <w:rPr>
          <w:rFonts w:ascii="Calibri" w:hAnsi="Calibri" w:cs="Calibri"/>
          <w:color w:val="000000"/>
          <w:sz w:val="24"/>
          <w:szCs w:val="24"/>
          <w:shd w:val="clear" w:color="auto" w:fill="BDD6EE"/>
        </w:rPr>
        <w:t xml:space="preserve"> </w:t>
      </w:r>
    </w:p>
    <w:p w14:paraId="5C1D68AB" w14:textId="77777777" w:rsidR="00271836" w:rsidRPr="00261C59" w:rsidRDefault="00271836" w:rsidP="004728D9">
      <w:pPr>
        <w:numPr>
          <w:ilvl w:val="0"/>
          <w:numId w:val="54"/>
        </w:numPr>
        <w:spacing w:before="0" w:after="240" w:line="260" w:lineRule="exact"/>
        <w:jc w:val="left"/>
        <w:rPr>
          <w:rFonts w:ascii="Calibri" w:hAnsi="Calibri"/>
          <w:sz w:val="24"/>
        </w:rPr>
      </w:pPr>
      <w:r w:rsidRPr="00261C59">
        <w:rPr>
          <w:rFonts w:ascii="Calibri" w:eastAsia="Yu Gothic Light" w:hAnsi="Calibri" w:cs="Arial"/>
          <w:sz w:val="24"/>
          <w:szCs w:val="24"/>
        </w:rPr>
        <w:t>The existing PRAs and proposed agreements under this section are not funded through this Addendum.</w:t>
      </w:r>
    </w:p>
    <w:p w14:paraId="6F455810" w14:textId="77777777" w:rsidR="00271836" w:rsidRPr="00261C59" w:rsidRDefault="00271836" w:rsidP="002278B3">
      <w:pPr>
        <w:keepNext/>
        <w:jc w:val="left"/>
        <w:outlineLvl w:val="2"/>
        <w:rPr>
          <w:rFonts w:ascii="Corbel" w:hAnsi="Corbel"/>
          <w:color w:val="3D4B67"/>
          <w:sz w:val="28"/>
          <w:szCs w:val="48"/>
          <w:lang w:eastAsia="ja-JP"/>
        </w:rPr>
      </w:pPr>
      <w:bookmarkStart w:id="466" w:name="_Toc221087999"/>
      <w:r w:rsidRPr="00261C59">
        <w:rPr>
          <w:rFonts w:ascii="Corbel" w:hAnsi="Corbel"/>
          <w:color w:val="3D4B67"/>
          <w:sz w:val="28"/>
          <w:szCs w:val="48"/>
          <w:lang w:eastAsia="ja-JP"/>
        </w:rPr>
        <w:t>Veteran entitlements</w:t>
      </w:r>
      <w:bookmarkEnd w:id="466"/>
    </w:p>
    <w:p w14:paraId="6C95FAD7" w14:textId="76565A75" w:rsidR="00271836" w:rsidRPr="00261C59" w:rsidRDefault="00271836" w:rsidP="00950ADC">
      <w:pPr>
        <w:numPr>
          <w:ilvl w:val="0"/>
          <w:numId w:val="54"/>
        </w:numPr>
        <w:spacing w:before="0" w:after="240" w:line="260" w:lineRule="exact"/>
        <w:jc w:val="left"/>
      </w:pPr>
      <w:r w:rsidRPr="00261C59">
        <w:rPr>
          <w:rFonts w:ascii="Calibri" w:eastAsia="Yu Gothic Light" w:hAnsi="Calibri" w:cs="Arial"/>
          <w:sz w:val="24"/>
          <w:szCs w:val="24"/>
        </w:rPr>
        <w:t>Arrangements for funding and provision of health care for entitled veterans are the subject of a separate Commonwealth-State agreement. Nothing in any separate agreement will interfere with the rights of entitled veterans to access public hospital services as public patients.</w:t>
      </w:r>
      <w:r w:rsidRPr="00261C59">
        <w:br w:type="page"/>
      </w:r>
    </w:p>
    <w:p w14:paraId="62CFBE75" w14:textId="3E939EC0" w:rsidR="00703E51" w:rsidRPr="00261C59" w:rsidRDefault="102C040A" w:rsidP="00814D08">
      <w:pPr>
        <w:pStyle w:val="Heading1"/>
        <w:keepLines w:val="0"/>
        <w:widowControl/>
        <w:tabs>
          <w:tab w:val="clear" w:pos="567"/>
        </w:tabs>
        <w:adjustRightInd/>
        <w:spacing w:before="480" w:after="180"/>
        <w:jc w:val="left"/>
        <w:textAlignment w:val="auto"/>
        <w:rPr>
          <w:rFonts w:ascii="Consolas" w:eastAsia="Times New Roman" w:hAnsi="Consolas" w:cs="Arial"/>
          <w:b w:val="0"/>
          <w:bCs w:val="0"/>
          <w:caps/>
          <w:color w:val="980033"/>
          <w:kern w:val="32"/>
        </w:rPr>
      </w:pPr>
      <w:bookmarkStart w:id="467" w:name="_Toc210833620"/>
      <w:bookmarkStart w:id="468" w:name="_Toc214456520"/>
      <w:bookmarkStart w:id="469" w:name="_Toc221088000"/>
      <w:r w:rsidRPr="00261C59">
        <w:rPr>
          <w:rFonts w:ascii="Consolas" w:eastAsia="Times New Roman" w:hAnsi="Consolas" w:cs="Arial"/>
          <w:b w:val="0"/>
          <w:bCs w:val="0"/>
          <w:caps/>
          <w:color w:val="980033"/>
          <w:kern w:val="32"/>
        </w:rPr>
        <w:lastRenderedPageBreak/>
        <w:t>SCHEDULE B – B</w:t>
      </w:r>
      <w:r w:rsidR="00314D86" w:rsidRPr="00261C59">
        <w:rPr>
          <w:rFonts w:ascii="Consolas" w:eastAsia="Times New Roman" w:hAnsi="Consolas" w:cs="Arial"/>
          <w:b w:val="0"/>
          <w:bCs w:val="0"/>
          <w:caps/>
          <w:color w:val="980033"/>
          <w:kern w:val="32"/>
        </w:rPr>
        <w:t>etter</w:t>
      </w:r>
      <w:r w:rsidR="001D35BD" w:rsidRPr="00261C59">
        <w:rPr>
          <w:rFonts w:ascii="Consolas" w:eastAsia="Times New Roman" w:hAnsi="Consolas" w:cs="Arial"/>
          <w:b w:val="0"/>
          <w:bCs w:val="0"/>
          <w:caps/>
          <w:color w:val="980033"/>
          <w:kern w:val="32"/>
        </w:rPr>
        <w:t xml:space="preserve"> health</w:t>
      </w:r>
      <w:r w:rsidR="31136C3E" w:rsidRPr="00261C59">
        <w:rPr>
          <w:rFonts w:ascii="Consolas" w:eastAsia="Times New Roman" w:hAnsi="Consolas" w:cs="Arial"/>
          <w:b w:val="0"/>
          <w:bCs w:val="0"/>
          <w:caps/>
          <w:color w:val="980033"/>
          <w:kern w:val="32"/>
        </w:rPr>
        <w:t xml:space="preserve"> outcomes for </w:t>
      </w:r>
      <w:r w:rsidR="7D47159C" w:rsidRPr="00261C59">
        <w:rPr>
          <w:rFonts w:ascii="Consolas" w:eastAsia="Times New Roman" w:hAnsi="Consolas" w:cs="Arial"/>
          <w:b w:val="0"/>
          <w:bCs w:val="0"/>
          <w:caps/>
          <w:color w:val="980033"/>
          <w:kern w:val="32"/>
        </w:rPr>
        <w:t xml:space="preserve">Aboriginal and Torres Strait Islander </w:t>
      </w:r>
      <w:r w:rsidR="31136C3E" w:rsidRPr="00261C59">
        <w:rPr>
          <w:rFonts w:ascii="Consolas" w:eastAsia="Times New Roman" w:hAnsi="Consolas" w:cs="Arial"/>
          <w:b w:val="0"/>
          <w:bCs w:val="0"/>
          <w:caps/>
          <w:color w:val="980033"/>
          <w:kern w:val="32"/>
        </w:rPr>
        <w:t>people</w:t>
      </w:r>
      <w:bookmarkEnd w:id="467"/>
      <w:bookmarkEnd w:id="468"/>
      <w:bookmarkEnd w:id="469"/>
    </w:p>
    <w:p w14:paraId="050A2D28" w14:textId="204556B9" w:rsidR="006E7CE5" w:rsidRPr="00261C59" w:rsidRDefault="00FC4686" w:rsidP="001E4C2B">
      <w:pPr>
        <w:rPr>
          <w:sz w:val="22"/>
          <w:szCs w:val="22"/>
        </w:rPr>
      </w:pPr>
      <w:r w:rsidRPr="00261C59">
        <w:rPr>
          <w:rFonts w:ascii="Corbel" w:eastAsia="Corbel" w:hAnsi="Corbel" w:cs="Corbel"/>
          <w:color w:val="4472C4"/>
          <w:sz w:val="32"/>
          <w:szCs w:val="32"/>
        </w:rPr>
        <w:t>FINAL ENDORSED SCHEDULE ABORIGINAL AND TORRES STRAIT ISLANDER HEALTH SECTOR</w:t>
      </w:r>
      <w:r w:rsidRPr="00261C59" w:rsidDel="00FC4686">
        <w:rPr>
          <w:rFonts w:ascii="Corbel" w:eastAsia="Corbel" w:hAnsi="Corbel" w:cs="Corbel"/>
          <w:color w:val="4472C4"/>
          <w:sz w:val="32"/>
          <w:szCs w:val="32"/>
        </w:rPr>
        <w:t xml:space="preserve"> </w:t>
      </w:r>
    </w:p>
    <w:p w14:paraId="72730B3B" w14:textId="1AC35BB5" w:rsidR="006E7CE5" w:rsidRPr="00261C59" w:rsidRDefault="006E7CE5" w:rsidP="001E4C2B">
      <w:pPr>
        <w:pStyle w:val="Heading2"/>
        <w:widowControl/>
        <w:adjustRightInd/>
        <w:spacing w:before="180" w:after="120"/>
        <w:jc w:val="left"/>
        <w:textAlignment w:val="auto"/>
        <w:rPr>
          <w:rFonts w:ascii="Corbel" w:eastAsia="Times New Roman" w:hAnsi="Corbel" w:cs="Arial"/>
          <w:iCs/>
          <w:color w:val="3D4B67"/>
          <w:sz w:val="28"/>
          <w:szCs w:val="28"/>
        </w:rPr>
      </w:pPr>
      <w:bookmarkStart w:id="470" w:name="_Toc210833621"/>
      <w:bookmarkStart w:id="471" w:name="_Toc214456521"/>
      <w:bookmarkStart w:id="472" w:name="_Toc221088001"/>
      <w:r w:rsidRPr="00261C59">
        <w:rPr>
          <w:rFonts w:ascii="Corbel" w:eastAsia="Times New Roman" w:hAnsi="Corbel" w:cs="Arial"/>
          <w:iCs/>
          <w:color w:val="3D4B67"/>
          <w:sz w:val="28"/>
          <w:szCs w:val="28"/>
        </w:rPr>
        <w:t>Part 1 – Preliminaries</w:t>
      </w:r>
      <w:bookmarkEnd w:id="470"/>
      <w:bookmarkEnd w:id="471"/>
      <w:bookmarkEnd w:id="472"/>
      <w:r w:rsidRPr="00261C59">
        <w:rPr>
          <w:rFonts w:ascii="Corbel" w:eastAsia="Times New Roman" w:hAnsi="Corbel" w:cs="Arial"/>
          <w:iCs/>
          <w:color w:val="3D4B67"/>
          <w:sz w:val="28"/>
          <w:szCs w:val="28"/>
        </w:rPr>
        <w:t xml:space="preserve"> </w:t>
      </w:r>
      <w:r w:rsidR="000F44EA" w:rsidRPr="00261C59">
        <w:rPr>
          <w:rFonts w:ascii="Corbel" w:eastAsia="Times New Roman" w:hAnsi="Corbel" w:cs="Arial"/>
          <w:iCs/>
          <w:color w:val="3D4B67"/>
          <w:sz w:val="28"/>
          <w:szCs w:val="28"/>
        </w:rPr>
        <w:t xml:space="preserve"> </w:t>
      </w:r>
      <w:r w:rsidRPr="00261C59">
        <w:rPr>
          <w:rFonts w:ascii="Corbel" w:eastAsia="Times New Roman" w:hAnsi="Corbel" w:cs="Arial"/>
          <w:iCs/>
          <w:color w:val="3D4B67"/>
          <w:sz w:val="28"/>
          <w:szCs w:val="28"/>
        </w:rPr>
        <w:t xml:space="preserve"> </w:t>
      </w:r>
    </w:p>
    <w:p w14:paraId="4282BD03" w14:textId="77777777" w:rsidR="006E7CE5" w:rsidRPr="00261C59" w:rsidRDefault="006E7CE5" w:rsidP="001E4C2B">
      <w:pPr>
        <w:jc w:val="left"/>
        <w:outlineLvl w:val="2"/>
        <w:rPr>
          <w:rFonts w:ascii="Corbel" w:hAnsi="Corbel"/>
          <w:color w:val="3D4B67"/>
          <w:sz w:val="28"/>
          <w:szCs w:val="48"/>
          <w:lang w:eastAsia="ja-JP"/>
        </w:rPr>
      </w:pPr>
      <w:bookmarkStart w:id="473" w:name="_Toc210833622"/>
      <w:bookmarkStart w:id="474" w:name="_Toc214456522"/>
      <w:bookmarkStart w:id="475" w:name="_Toc221088002"/>
      <w:r w:rsidRPr="00261C59">
        <w:rPr>
          <w:rFonts w:ascii="Corbel" w:hAnsi="Corbel"/>
          <w:color w:val="3D4B67"/>
          <w:sz w:val="28"/>
          <w:szCs w:val="48"/>
          <w:lang w:eastAsia="ja-JP"/>
        </w:rPr>
        <w:t>Recognition statement</w:t>
      </w:r>
      <w:bookmarkEnd w:id="473"/>
      <w:bookmarkEnd w:id="474"/>
      <w:bookmarkEnd w:id="475"/>
      <w:r w:rsidRPr="00261C59">
        <w:rPr>
          <w:rFonts w:ascii="Corbel" w:hAnsi="Corbel"/>
          <w:color w:val="3D4B67"/>
          <w:sz w:val="28"/>
          <w:szCs w:val="48"/>
          <w:lang w:eastAsia="ja-JP"/>
        </w:rPr>
        <w:t> </w:t>
      </w:r>
    </w:p>
    <w:p w14:paraId="2C99E931" w14:textId="38600280" w:rsidR="006E7CE5" w:rsidRPr="00261C59" w:rsidRDefault="006E7CE5" w:rsidP="004728D9">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acknowledge Aboriginal and Torres Strait Islander people as the Traditional Custodians of the lands and waters on which Australians live and learn, and pay respects to their Elders past, present and emerging.</w:t>
      </w:r>
    </w:p>
    <w:p w14:paraId="2793D31F" w14:textId="4234AAB6" w:rsidR="006E7CE5" w:rsidRPr="00261C59" w:rsidRDefault="006E7CE5" w:rsidP="004728D9">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acknowledge that, for Aboriginal and Torres Strait Islander people, health means not just the physical wellbeing of an individual but refers to the social, emotional and cultural wellbeing of the whole community as a collective in which each individual is able to achieve their full potential as a human being, thereby bringing about the total wellbeing of their community. It is a whole-of-life view, self-determined and includes the cyclical concept of life-passing-life.</w:t>
      </w:r>
    </w:p>
    <w:p w14:paraId="6D170953" w14:textId="77777777" w:rsidR="006E7CE5" w:rsidRPr="00261C59" w:rsidRDefault="006E7CE5" w:rsidP="004728D9">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acknowledge that culture is a foundation for Aboriginal and Torres Strait Islander health and wellbeing. It is a protective factor across the life course and has a direct influence on broader social determinants outcomes. Gains across these broader determinants, in turn, reinforce cultural connectedness, maintenance, resurgence, nation building and pride in cultural identity.</w:t>
      </w:r>
    </w:p>
    <w:p w14:paraId="27CDB6C8"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further acknowledge that this Schedule, the National Health Reform Agreement, the Addendum and other Schedules respect the richness, strengths, and resilience of Aboriginal and Torres Strait Islander cultures which have continued to thrive despite the ongoing impacts of colonisation, systemic discrimination, racism, and intergenerational trauma.</w:t>
      </w:r>
    </w:p>
    <w:p w14:paraId="19E9D36D" w14:textId="2422AB13"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reaffirm their shared vision that Aboriginal and Torres Strait Islander people enjoy long, healthy lives that are centred in culture and community, with access to services that are prevention-focused, learning-oriented, culturally safe and trauma-aware and healing informed, responsive, equitable and free of racism.</w:t>
      </w:r>
    </w:p>
    <w:p w14:paraId="3A60BBFD" w14:textId="40491441"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further acknowledge the foundations of long</w:t>
      </w:r>
      <w:r w:rsidR="008A0734">
        <w:rPr>
          <w:rFonts w:asciiTheme="minorHAnsi" w:eastAsia="Corbel" w:hAnsiTheme="minorHAnsi" w:cstheme="minorHAnsi"/>
          <w:color w:val="000000" w:themeColor="text1"/>
          <w:sz w:val="24"/>
          <w:szCs w:val="24"/>
        </w:rPr>
        <w:t>-</w:t>
      </w:r>
      <w:r w:rsidRPr="00261C59">
        <w:rPr>
          <w:rFonts w:asciiTheme="minorHAnsi" w:eastAsia="Corbel" w:hAnsiTheme="minorHAnsi" w:cstheme="minorHAnsi"/>
          <w:color w:val="000000" w:themeColor="text1"/>
          <w:sz w:val="24"/>
          <w:szCs w:val="24"/>
        </w:rPr>
        <w:t>term sustainable and equitable health reform incorporate cultural and social determinants of health.</w:t>
      </w:r>
    </w:p>
    <w:p w14:paraId="2C18A603"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agree that all components of Australia's health system must better acknowledge and respect:</w:t>
      </w:r>
    </w:p>
    <w:p w14:paraId="48A59768" w14:textId="2083DE74" w:rsidR="006E7CE5" w:rsidRPr="00261C59" w:rsidRDefault="006E7CE5" w:rsidP="004728D9">
      <w:pPr>
        <w:pStyle w:val="ListParagraph"/>
        <w:widowControl/>
        <w:numPr>
          <w:ilvl w:val="1"/>
          <w:numId w:val="90"/>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Aboriginal and Torres Strait Islander community knowledges and lived experience of cultural ways of being, knowing and doing told through stories are valid forms of knowledge and knowledge sharing, and are the intellectual property of Aboriginal and Torres Strait people</w:t>
      </w:r>
    </w:p>
    <w:p w14:paraId="13AE5437" w14:textId="39C7B0AD" w:rsidR="006E7CE5" w:rsidRPr="00261C59" w:rsidRDefault="00FE7C53" w:rsidP="004728D9">
      <w:pPr>
        <w:pStyle w:val="ListParagraph"/>
        <w:widowControl/>
        <w:numPr>
          <w:ilvl w:val="1"/>
          <w:numId w:val="90"/>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Pr>
          <w:rFonts w:asciiTheme="minorHAnsi" w:eastAsia="Corbel" w:hAnsiTheme="minorHAnsi" w:cstheme="minorHAnsi"/>
          <w:color w:val="000000" w:themeColor="text1"/>
          <w:sz w:val="24"/>
          <w:szCs w:val="24"/>
        </w:rPr>
        <w:t>t</w:t>
      </w:r>
      <w:r w:rsidR="006E7CE5" w:rsidRPr="00261C59">
        <w:rPr>
          <w:rFonts w:asciiTheme="minorHAnsi" w:eastAsia="Corbel" w:hAnsiTheme="minorHAnsi" w:cstheme="minorHAnsi"/>
          <w:color w:val="000000" w:themeColor="text1"/>
          <w:sz w:val="24"/>
          <w:szCs w:val="24"/>
        </w:rPr>
        <w:t>he centrality of self-determining communities is paramount for culturally informed innovations to be created with policy makers as facilitators rather than leaders</w:t>
      </w:r>
    </w:p>
    <w:p w14:paraId="21E176E2" w14:textId="75E79805" w:rsidR="006E7CE5" w:rsidRPr="00261C59" w:rsidRDefault="00FE7C53" w:rsidP="004728D9">
      <w:pPr>
        <w:pStyle w:val="ListParagraph"/>
        <w:widowControl/>
        <w:numPr>
          <w:ilvl w:val="1"/>
          <w:numId w:val="90"/>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Pr>
          <w:rFonts w:asciiTheme="minorHAnsi" w:eastAsia="Corbel" w:hAnsiTheme="minorHAnsi" w:cstheme="minorHAnsi"/>
          <w:color w:val="000000" w:themeColor="text1"/>
          <w:sz w:val="24"/>
          <w:szCs w:val="24"/>
        </w:rPr>
        <w:lastRenderedPageBreak/>
        <w:t>t</w:t>
      </w:r>
      <w:r w:rsidR="006E7CE5" w:rsidRPr="00261C59">
        <w:rPr>
          <w:rFonts w:asciiTheme="minorHAnsi" w:eastAsia="Corbel" w:hAnsiTheme="minorHAnsi" w:cstheme="minorHAnsi"/>
          <w:color w:val="000000" w:themeColor="text1"/>
          <w:sz w:val="24"/>
          <w:szCs w:val="24"/>
        </w:rPr>
        <w:t xml:space="preserve">hat, where worldviews interact at the cultural interface, Aboriginal and Torres Strait Islander knowledges and cultures of ways of being, knowing and doing are paramount. </w:t>
      </w:r>
    </w:p>
    <w:p w14:paraId="619A78B8" w14:textId="5D05B54A"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The Parties acknowledge that better health and wellbeing are achieved when Aboriginal and Torres Strait Islander people have ownership over the decisions that affect their lives, the resources they need and, to progress their goals and priorities, the opportunity to partner with governments, mainstream institutions and government funded organisations. </w:t>
      </w:r>
    </w:p>
    <w:p w14:paraId="7E1602A8" w14:textId="43E1DE8F"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The Parties affirm that the NHRA Addendum and all Schedules including this Schedule B operationalise the shared commitment of the Commonwealth, States and Territories to work in partnership with Aboriginal and Torres Strait Islander people as agreed in the National Agreement on Closing the Gap. </w:t>
      </w:r>
    </w:p>
    <w:p w14:paraId="2D70E2BD" w14:textId="77777777" w:rsidR="006E7CE5" w:rsidRPr="00261C59" w:rsidRDefault="006E7CE5" w:rsidP="001E4C2B">
      <w:pPr>
        <w:jc w:val="left"/>
        <w:outlineLvl w:val="2"/>
        <w:rPr>
          <w:rFonts w:ascii="Corbel" w:hAnsi="Corbel"/>
          <w:color w:val="3D4B67"/>
          <w:sz w:val="28"/>
          <w:szCs w:val="48"/>
          <w:lang w:eastAsia="ja-JP"/>
        </w:rPr>
      </w:pPr>
      <w:bookmarkStart w:id="476" w:name="_Toc210833623"/>
      <w:bookmarkStart w:id="477" w:name="_Toc214456523"/>
      <w:bookmarkStart w:id="478" w:name="_Toc221088003"/>
      <w:r w:rsidRPr="00261C59">
        <w:rPr>
          <w:rFonts w:ascii="Corbel" w:hAnsi="Corbel"/>
          <w:color w:val="3D4B67"/>
          <w:sz w:val="28"/>
          <w:szCs w:val="48"/>
          <w:lang w:eastAsia="ja-JP"/>
        </w:rPr>
        <w:t>Principles</w:t>
      </w:r>
      <w:bookmarkEnd w:id="476"/>
      <w:bookmarkEnd w:id="477"/>
      <w:bookmarkEnd w:id="478"/>
    </w:p>
    <w:p w14:paraId="5EB7424D" w14:textId="75AE8220"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agree to support Aboriginal and Torres Strait Islander people</w:t>
      </w:r>
      <w:r w:rsidR="00C83E6F">
        <w:rPr>
          <w:rFonts w:asciiTheme="minorHAnsi" w:eastAsia="Corbel" w:hAnsiTheme="minorHAnsi" w:cstheme="minorHAnsi"/>
          <w:color w:val="000000" w:themeColor="text1"/>
          <w:sz w:val="24"/>
          <w:szCs w:val="24"/>
        </w:rPr>
        <w:t>’</w:t>
      </w:r>
      <w:r w:rsidRPr="00261C59">
        <w:rPr>
          <w:rFonts w:asciiTheme="minorHAnsi" w:eastAsia="Corbel" w:hAnsiTheme="minorHAnsi" w:cstheme="minorHAnsi"/>
          <w:color w:val="000000" w:themeColor="text1"/>
          <w:sz w:val="24"/>
          <w:szCs w:val="24"/>
        </w:rPr>
        <w:t xml:space="preserve">s self-determined health reform. </w:t>
      </w:r>
    </w:p>
    <w:p w14:paraId="3777756A"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To implement Schedule B and the broader Addendum, the Parties agree that principles, terminology and commitments specified in Schedule B take precedence in matters in relation to Aboriginal and Torres Strait Islander health and wellbeing unless legislative rules apply.</w:t>
      </w:r>
    </w:p>
    <w:p w14:paraId="7CE03D7E"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The Parties agree to: </w:t>
      </w:r>
    </w:p>
    <w:p w14:paraId="41A410BF" w14:textId="77AEF2BF" w:rsidR="006E7CE5" w:rsidRPr="00261C59" w:rsidRDefault="003D2702" w:rsidP="004728D9">
      <w:pPr>
        <w:pStyle w:val="ListParagraph"/>
        <w:widowControl/>
        <w:numPr>
          <w:ilvl w:val="1"/>
          <w:numId w:val="91"/>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Pr>
          <w:rFonts w:asciiTheme="minorHAnsi" w:eastAsia="Corbel" w:hAnsiTheme="minorHAnsi" w:cstheme="minorHAnsi"/>
          <w:color w:val="000000" w:themeColor="text1"/>
          <w:sz w:val="24"/>
          <w:szCs w:val="24"/>
        </w:rPr>
        <w:t>r</w:t>
      </w:r>
      <w:r w:rsidR="006E7CE5" w:rsidRPr="00261C59">
        <w:rPr>
          <w:rFonts w:asciiTheme="minorHAnsi" w:eastAsia="Corbel" w:hAnsiTheme="minorHAnsi" w:cstheme="minorHAnsi"/>
          <w:color w:val="000000" w:themeColor="text1"/>
          <w:sz w:val="24"/>
          <w:szCs w:val="24"/>
        </w:rPr>
        <w:t>ecognise and actively work to counteract the</w:t>
      </w:r>
      <w:r w:rsidR="006E7CE5" w:rsidRPr="00261C59">
        <w:rPr>
          <w:rFonts w:asciiTheme="minorHAnsi" w:eastAsia="Corbel" w:hAnsiTheme="minorHAnsi" w:cstheme="minorHAnsi"/>
          <w:strike/>
          <w:color w:val="000000" w:themeColor="text1"/>
          <w:sz w:val="24"/>
          <w:szCs w:val="24"/>
        </w:rPr>
        <w:t xml:space="preserve"> </w:t>
      </w:r>
      <w:r w:rsidR="006E7CE5" w:rsidRPr="00261C59">
        <w:rPr>
          <w:rFonts w:asciiTheme="minorHAnsi" w:eastAsia="Corbel" w:hAnsiTheme="minorHAnsi" w:cstheme="minorHAnsi"/>
          <w:color w:val="000000" w:themeColor="text1"/>
          <w:sz w:val="24"/>
          <w:szCs w:val="24"/>
        </w:rPr>
        <w:t xml:space="preserve">power imbalances, historical legacies and other challenges that have undermined relationships between governments and Aboriginal and Torres Strait Islander people in the past </w:t>
      </w:r>
    </w:p>
    <w:p w14:paraId="4E234089" w14:textId="11A6B088" w:rsidR="006E7CE5" w:rsidRPr="00261C59" w:rsidRDefault="006E7CE5" w:rsidP="004728D9">
      <w:pPr>
        <w:pStyle w:val="ListParagraph"/>
        <w:widowControl/>
        <w:numPr>
          <w:ilvl w:val="1"/>
          <w:numId w:val="91"/>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uphold Aboriginal and Torres Strait Islander people</w:t>
      </w:r>
      <w:r w:rsidR="00C83E6F">
        <w:rPr>
          <w:rFonts w:asciiTheme="minorHAnsi" w:eastAsia="Corbel" w:hAnsiTheme="minorHAnsi" w:cstheme="minorHAnsi"/>
          <w:color w:val="000000" w:themeColor="text1"/>
          <w:sz w:val="24"/>
          <w:szCs w:val="24"/>
        </w:rPr>
        <w:t>’</w:t>
      </w:r>
      <w:r w:rsidRPr="00261C59">
        <w:rPr>
          <w:rFonts w:asciiTheme="minorHAnsi" w:eastAsia="Corbel" w:hAnsiTheme="minorHAnsi" w:cstheme="minorHAnsi"/>
          <w:color w:val="000000" w:themeColor="text1"/>
          <w:sz w:val="24"/>
          <w:szCs w:val="24"/>
        </w:rPr>
        <w:t>s right to culturally safe, trauma-aware and healing informed and responsive health care, free of racism and inequity</w:t>
      </w:r>
    </w:p>
    <w:p w14:paraId="396F96BF" w14:textId="14F26C86" w:rsidR="006E7CE5" w:rsidRPr="00261C59" w:rsidRDefault="006E7CE5" w:rsidP="004728D9">
      <w:pPr>
        <w:pStyle w:val="ListParagraph"/>
        <w:widowControl/>
        <w:numPr>
          <w:ilvl w:val="1"/>
          <w:numId w:val="91"/>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elevate and formally embed Aboriginal and Torres Strait Islander people and leadership in health governance structures and decision-making arrangements </w:t>
      </w:r>
    </w:p>
    <w:p w14:paraId="08F6E21A" w14:textId="63F2F78C" w:rsidR="006E7CE5" w:rsidRPr="00261C59" w:rsidRDefault="006E7CE5" w:rsidP="004728D9">
      <w:pPr>
        <w:pStyle w:val="ListParagraph"/>
        <w:widowControl/>
        <w:numPr>
          <w:ilvl w:val="1"/>
          <w:numId w:val="91"/>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embed transparency and accountability to ensure that all Parties acknowledge their shared responsibility to work in partnership with Aboriginal and Torres Strait Islander people to improve the health outcomes of Aboriginal and Torres Strait Islander people</w:t>
      </w:r>
    </w:p>
    <w:p w14:paraId="024CA237" w14:textId="499ADCC8" w:rsidR="006E7CE5" w:rsidRPr="00261C59" w:rsidRDefault="006E7CE5" w:rsidP="004728D9">
      <w:pPr>
        <w:pStyle w:val="ListParagraph"/>
        <w:widowControl/>
        <w:numPr>
          <w:ilvl w:val="1"/>
          <w:numId w:val="91"/>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acknowledge that Aboriginal and Torres Strait Islander people are impacted by all health system policies and practices (not just those programs and policies explicitly aimed at Aboriginal and Torres Strait Islander people), and embed formal mechanisms in processes for program and policy reform and evaluation to consider the impact on Aboriginal and Torres Strait Islander people</w:t>
      </w:r>
    </w:p>
    <w:p w14:paraId="50F7D63F" w14:textId="6D9C4737" w:rsidR="006E7CE5" w:rsidRPr="00261C59" w:rsidRDefault="006E7CE5" w:rsidP="004728D9">
      <w:pPr>
        <w:pStyle w:val="ListParagraph"/>
        <w:widowControl/>
        <w:numPr>
          <w:ilvl w:val="1"/>
          <w:numId w:val="91"/>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acknowledge the importance of intersectional issues throughout the life course and the interface between health, disability and aged care for Aboriginal and Torres Strait Islander people.</w:t>
      </w:r>
    </w:p>
    <w:p w14:paraId="4EE3068E" w14:textId="77777777" w:rsidR="006E7CE5" w:rsidRPr="00261C59" w:rsidRDefault="006E7CE5" w:rsidP="004C5FAA">
      <w:pPr>
        <w:keepNext/>
        <w:jc w:val="left"/>
        <w:outlineLvl w:val="2"/>
        <w:rPr>
          <w:rFonts w:ascii="Corbel" w:hAnsi="Corbel"/>
          <w:color w:val="3D4B67"/>
          <w:sz w:val="28"/>
          <w:szCs w:val="48"/>
          <w:lang w:eastAsia="ja-JP"/>
        </w:rPr>
      </w:pPr>
      <w:bookmarkStart w:id="479" w:name="_Toc210833624"/>
      <w:bookmarkStart w:id="480" w:name="_Toc214456524"/>
      <w:bookmarkStart w:id="481" w:name="_Toc221088004"/>
      <w:r w:rsidRPr="00261C59">
        <w:rPr>
          <w:rFonts w:ascii="Corbel" w:hAnsi="Corbel"/>
          <w:color w:val="3D4B67"/>
          <w:sz w:val="28"/>
          <w:szCs w:val="48"/>
          <w:lang w:eastAsia="ja-JP"/>
        </w:rPr>
        <w:lastRenderedPageBreak/>
        <w:t>Objectives and Outcomes</w:t>
      </w:r>
      <w:bookmarkEnd w:id="479"/>
      <w:bookmarkEnd w:id="480"/>
      <w:bookmarkEnd w:id="481"/>
      <w:r w:rsidRPr="00261C59">
        <w:rPr>
          <w:rFonts w:ascii="Corbel" w:hAnsi="Corbel"/>
          <w:color w:val="3D4B67"/>
          <w:sz w:val="28"/>
          <w:szCs w:val="48"/>
          <w:lang w:eastAsia="ja-JP"/>
        </w:rPr>
        <w:t xml:space="preserve"> </w:t>
      </w:r>
    </w:p>
    <w:p w14:paraId="767F53FE"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The Parties agree that commitments specified in this Schedule B, and relevant commitments contained in the Addendum, including other Schedules, aspire to achieve the following long-term goals: </w:t>
      </w:r>
    </w:p>
    <w:p w14:paraId="0DC63262" w14:textId="6FEF4BC1" w:rsidR="006E7CE5" w:rsidRPr="00261C59" w:rsidRDefault="006E7CE5" w:rsidP="004728D9">
      <w:pPr>
        <w:pStyle w:val="ListParagraph"/>
        <w:widowControl/>
        <w:numPr>
          <w:ilvl w:val="1"/>
          <w:numId w:val="9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all Aboriginal and Torres Strait Islander people can have choice and control to access culturally safe, effective and equitable health care that meets their needs, aspirations and preferences, regardless of where they live</w:t>
      </w:r>
    </w:p>
    <w:p w14:paraId="07879DDD" w14:textId="5CC02DB2" w:rsidR="006E7CE5" w:rsidRPr="00261C59" w:rsidRDefault="006E7CE5" w:rsidP="004728D9">
      <w:pPr>
        <w:pStyle w:val="ListParagraph"/>
        <w:widowControl/>
        <w:numPr>
          <w:ilvl w:val="1"/>
          <w:numId w:val="9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Aboriginal and Torres Strait Islander people enjoy the highest attainable standard of health and wellbeing</w:t>
      </w:r>
    </w:p>
    <w:p w14:paraId="78BFECF7" w14:textId="122DBB43" w:rsidR="006E7CE5" w:rsidRPr="00261C59" w:rsidRDefault="006E7CE5" w:rsidP="004728D9">
      <w:pPr>
        <w:pStyle w:val="ListParagraph"/>
        <w:widowControl/>
        <w:numPr>
          <w:ilvl w:val="1"/>
          <w:numId w:val="9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all participating organisations and institutions are culturally safe and free from racism </w:t>
      </w:r>
    </w:p>
    <w:p w14:paraId="75F2BD15" w14:textId="7F75B953" w:rsidR="006E7CE5" w:rsidRPr="00261C59" w:rsidRDefault="006E7CE5" w:rsidP="004728D9">
      <w:pPr>
        <w:pStyle w:val="ListParagraph"/>
        <w:widowControl/>
        <w:numPr>
          <w:ilvl w:val="1"/>
          <w:numId w:val="9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meeting or exceeding the trajectories specified for Outcomes 1, 2, and 14 of the National Agreement on Closing the Gap</w:t>
      </w:r>
    </w:p>
    <w:p w14:paraId="7C4CCA7B" w14:textId="2AEBEEC6" w:rsidR="006E7CE5" w:rsidRPr="00261C59" w:rsidRDefault="006E7CE5" w:rsidP="004728D9">
      <w:pPr>
        <w:pStyle w:val="ListParagraph"/>
        <w:widowControl/>
        <w:numPr>
          <w:ilvl w:val="1"/>
          <w:numId w:val="9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Aboriginal and Torres Strait Islander people have full </w:t>
      </w:r>
      <w:r w:rsidR="002F24C4" w:rsidRPr="00261C59">
        <w:rPr>
          <w:rFonts w:asciiTheme="minorHAnsi" w:eastAsia="Corbel" w:hAnsiTheme="minorHAnsi" w:cstheme="minorHAnsi"/>
          <w:color w:val="000000" w:themeColor="text1"/>
          <w:sz w:val="24"/>
          <w:szCs w:val="24"/>
        </w:rPr>
        <w:t xml:space="preserve">health </w:t>
      </w:r>
      <w:r w:rsidRPr="00261C59">
        <w:rPr>
          <w:rFonts w:asciiTheme="minorHAnsi" w:eastAsia="Corbel" w:hAnsiTheme="minorHAnsi" w:cstheme="minorHAnsi"/>
          <w:color w:val="000000" w:themeColor="text1"/>
          <w:sz w:val="24"/>
          <w:szCs w:val="24"/>
        </w:rPr>
        <w:t>data sovereignty.</w:t>
      </w:r>
    </w:p>
    <w:p w14:paraId="2900DAA1" w14:textId="77777777" w:rsidR="006E7CE5" w:rsidRPr="00261C59" w:rsidRDefault="006E7CE5" w:rsidP="001E4C2B">
      <w:pPr>
        <w:jc w:val="left"/>
        <w:outlineLvl w:val="2"/>
        <w:rPr>
          <w:rFonts w:ascii="Corbel" w:hAnsi="Corbel"/>
          <w:color w:val="3D4B67"/>
          <w:sz w:val="28"/>
          <w:szCs w:val="48"/>
          <w:lang w:eastAsia="ja-JP"/>
        </w:rPr>
      </w:pPr>
      <w:bookmarkStart w:id="482" w:name="_Toc210833625"/>
      <w:bookmarkStart w:id="483" w:name="_Toc214456525"/>
      <w:bookmarkStart w:id="484" w:name="_Toc221088005"/>
      <w:r w:rsidRPr="00261C59">
        <w:rPr>
          <w:rFonts w:ascii="Corbel" w:hAnsi="Corbel"/>
          <w:color w:val="3D4B67"/>
          <w:sz w:val="28"/>
          <w:szCs w:val="48"/>
          <w:lang w:eastAsia="ja-JP"/>
        </w:rPr>
        <w:t>Commitments under agreed co-designed national Aboriginal and Torres Strait Islander health and wellbeing frameworks</w:t>
      </w:r>
      <w:bookmarkEnd w:id="482"/>
      <w:bookmarkEnd w:id="483"/>
      <w:bookmarkEnd w:id="484"/>
      <w:r w:rsidRPr="00261C59">
        <w:rPr>
          <w:rFonts w:ascii="Corbel" w:hAnsi="Corbel"/>
          <w:color w:val="3D4B67"/>
          <w:sz w:val="28"/>
          <w:szCs w:val="48"/>
          <w:lang w:eastAsia="ja-JP"/>
        </w:rPr>
        <w:t xml:space="preserve"> </w:t>
      </w:r>
    </w:p>
    <w:p w14:paraId="20D01567"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acknowledge four national co-designed frameworks or policies they have already endorsed and reaffirm their commitments to each as below.</w:t>
      </w:r>
    </w:p>
    <w:p w14:paraId="4D2F0079" w14:textId="5948C08F" w:rsidR="00EB3268"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reaffirm their commitments under the National Agreement on Closing the Gap signed in July 2020 and reaffirm that, through Joint Council and agreed Implementation Plans, the National Agreement on Closing the Gap remains the overarching framework to ensure better outcomes for Aboriginal and Torres Strait Islander people</w:t>
      </w:r>
      <w:r w:rsidR="00EB3268" w:rsidRPr="00261C59">
        <w:rPr>
          <w:rFonts w:asciiTheme="minorHAnsi" w:eastAsia="Corbel" w:hAnsiTheme="minorHAnsi" w:cstheme="minorHAnsi"/>
          <w:color w:val="000000" w:themeColor="text1"/>
          <w:sz w:val="24"/>
          <w:szCs w:val="24"/>
        </w:rPr>
        <w:t xml:space="preserve"> including the four Priority Reforms, namely</w:t>
      </w:r>
      <w:r w:rsidR="00DB134C">
        <w:rPr>
          <w:rFonts w:asciiTheme="minorHAnsi" w:eastAsia="Corbel" w:hAnsiTheme="minorHAnsi" w:cstheme="minorHAnsi"/>
          <w:color w:val="000000" w:themeColor="text1"/>
          <w:sz w:val="24"/>
          <w:szCs w:val="24"/>
        </w:rPr>
        <w:t>:</w:t>
      </w:r>
    </w:p>
    <w:p w14:paraId="1F31F129" w14:textId="77777777" w:rsidR="00EB3268" w:rsidRPr="00261C59" w:rsidRDefault="00EB3268" w:rsidP="004728D9">
      <w:pPr>
        <w:pStyle w:val="ListParagraph"/>
        <w:widowControl/>
        <w:numPr>
          <w:ilvl w:val="1"/>
          <w:numId w:val="94"/>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Priority Reform One: Formal Partnerships and shared decision-making</w:t>
      </w:r>
    </w:p>
    <w:p w14:paraId="59FD6525" w14:textId="77777777" w:rsidR="00EB3268" w:rsidRPr="00261C59" w:rsidRDefault="00EB3268" w:rsidP="004728D9">
      <w:pPr>
        <w:pStyle w:val="ListParagraph"/>
        <w:widowControl/>
        <w:numPr>
          <w:ilvl w:val="1"/>
          <w:numId w:val="94"/>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Priority Reform Two: Building the community-controlled sector</w:t>
      </w:r>
    </w:p>
    <w:p w14:paraId="64388BFA" w14:textId="77777777" w:rsidR="00B62867" w:rsidRPr="00261C59" w:rsidRDefault="00EB3268" w:rsidP="004728D9">
      <w:pPr>
        <w:pStyle w:val="ListParagraph"/>
        <w:widowControl/>
        <w:numPr>
          <w:ilvl w:val="1"/>
          <w:numId w:val="94"/>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Priority Reform Three: Transforming government organisations</w:t>
      </w:r>
    </w:p>
    <w:p w14:paraId="69D1CBC2" w14:textId="13D818B5" w:rsidR="006E7CE5" w:rsidRPr="00261C59" w:rsidRDefault="00EB3268" w:rsidP="004728D9">
      <w:pPr>
        <w:pStyle w:val="ListParagraph"/>
        <w:widowControl/>
        <w:numPr>
          <w:ilvl w:val="1"/>
          <w:numId w:val="94"/>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Priority Reform Four: Shared access to data and information.</w:t>
      </w:r>
    </w:p>
    <w:p w14:paraId="3082CC49"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The Parties further acknowledge their joint responsibility to progress long-term goals against the </w:t>
      </w:r>
      <w:r w:rsidRPr="00261C59">
        <w:rPr>
          <w:rFonts w:asciiTheme="minorHAnsi" w:eastAsia="Corbel" w:hAnsiTheme="minorHAnsi" w:cstheme="minorHAnsi"/>
          <w:b/>
          <w:bCs/>
          <w:color w:val="000000" w:themeColor="text1"/>
          <w:sz w:val="24"/>
          <w:szCs w:val="24"/>
        </w:rPr>
        <w:t>three health-related socio-economic targets</w:t>
      </w:r>
      <w:r w:rsidRPr="00261C59">
        <w:rPr>
          <w:rFonts w:asciiTheme="minorHAnsi" w:eastAsia="Corbel" w:hAnsiTheme="minorHAnsi" w:cstheme="minorHAnsi"/>
          <w:color w:val="000000" w:themeColor="text1"/>
          <w:sz w:val="24"/>
          <w:szCs w:val="24"/>
        </w:rPr>
        <w:t xml:space="preserve"> specified in the National Agreement on Closing the Gap, namely:</w:t>
      </w:r>
    </w:p>
    <w:p w14:paraId="24E3DB32" w14:textId="577DA707" w:rsidR="006E7CE5" w:rsidRPr="00261C59" w:rsidRDefault="006E7CE5" w:rsidP="004728D9">
      <w:pPr>
        <w:pStyle w:val="ListParagraph"/>
        <w:numPr>
          <w:ilvl w:val="1"/>
          <w:numId w:val="95"/>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 xml:space="preserve">Target 1: </w:t>
      </w:r>
      <w:r w:rsidRPr="00261C59">
        <w:rPr>
          <w:rFonts w:asciiTheme="minorHAnsi" w:eastAsia="Corbel" w:hAnsiTheme="minorHAnsi" w:cstheme="minorHAnsi"/>
          <w:color w:val="000000" w:themeColor="text1"/>
          <w:sz w:val="24"/>
          <w:szCs w:val="24"/>
        </w:rPr>
        <w:t>Close the Gap in life expectancy within a generation, by 2031</w:t>
      </w:r>
    </w:p>
    <w:p w14:paraId="545CDC5D" w14:textId="782C5D41" w:rsidR="006E7CE5" w:rsidRPr="00261C59" w:rsidRDefault="006E7CE5" w:rsidP="004728D9">
      <w:pPr>
        <w:pStyle w:val="ListParagraph"/>
        <w:numPr>
          <w:ilvl w:val="1"/>
          <w:numId w:val="95"/>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 xml:space="preserve">Target 2: </w:t>
      </w:r>
      <w:r w:rsidRPr="00261C59">
        <w:rPr>
          <w:rFonts w:asciiTheme="minorHAnsi" w:eastAsia="Corbel" w:hAnsiTheme="minorHAnsi" w:cstheme="minorHAnsi"/>
          <w:color w:val="000000" w:themeColor="text1"/>
          <w:sz w:val="24"/>
          <w:szCs w:val="24"/>
        </w:rPr>
        <w:t>By 2031, increase the proportion of Aboriginal and Torres Strait Islander babies with a healthy birthweight to 91 per cent</w:t>
      </w:r>
    </w:p>
    <w:p w14:paraId="097EB567" w14:textId="77AF511F" w:rsidR="006E7CE5" w:rsidRPr="00261C59" w:rsidRDefault="006E7CE5" w:rsidP="004728D9">
      <w:pPr>
        <w:pStyle w:val="ListParagraph"/>
        <w:numPr>
          <w:ilvl w:val="1"/>
          <w:numId w:val="95"/>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 xml:space="preserve">Target 14: </w:t>
      </w:r>
      <w:r w:rsidRPr="00261C59">
        <w:rPr>
          <w:rFonts w:asciiTheme="minorHAnsi" w:eastAsia="Corbel" w:hAnsiTheme="minorHAnsi" w:cstheme="minorHAnsi"/>
          <w:color w:val="000000" w:themeColor="text1"/>
          <w:sz w:val="24"/>
          <w:szCs w:val="24"/>
        </w:rPr>
        <w:t>Significant and sustained reduction in suicide of Aboriginal and Torres Strait Islander people towards zero.</w:t>
      </w:r>
    </w:p>
    <w:p w14:paraId="5D01ED2F" w14:textId="77777777" w:rsidR="006E7CE5" w:rsidRPr="00261C59" w:rsidRDefault="006E7CE5" w:rsidP="003E2FFA">
      <w:pPr>
        <w:pStyle w:val="ListParagraph"/>
        <w:keepNext/>
        <w:keepLines/>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lastRenderedPageBreak/>
        <w:t xml:space="preserve">The Parties reaffirm their commitments to the </w:t>
      </w:r>
      <w:r w:rsidRPr="00261C59">
        <w:rPr>
          <w:rFonts w:asciiTheme="minorHAnsi" w:eastAsia="Corbel" w:hAnsiTheme="minorHAnsi" w:cstheme="minorHAnsi"/>
          <w:b/>
          <w:bCs/>
          <w:color w:val="000000" w:themeColor="text1"/>
          <w:sz w:val="24"/>
          <w:szCs w:val="24"/>
        </w:rPr>
        <w:t>National Aboriginal and Torres Strait Islander Health Plan 2021-2031</w:t>
      </w:r>
      <w:r w:rsidRPr="00261C59">
        <w:rPr>
          <w:rFonts w:asciiTheme="minorHAnsi" w:eastAsia="Corbel" w:hAnsiTheme="minorHAnsi" w:cstheme="minorHAnsi"/>
          <w:color w:val="000000" w:themeColor="text1"/>
          <w:sz w:val="24"/>
          <w:szCs w:val="24"/>
        </w:rPr>
        <w:t xml:space="preserve"> (the Health Plan 2021-2031) endorsed by all Health Ministers in December 2021 including: </w:t>
      </w:r>
    </w:p>
    <w:p w14:paraId="2DF509D4" w14:textId="184AE889" w:rsidR="006E7CE5" w:rsidRPr="00261C59" w:rsidRDefault="00ED3E1E"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Pr>
          <w:rFonts w:asciiTheme="minorHAnsi" w:eastAsia="Corbel" w:hAnsiTheme="minorHAnsi" w:cstheme="minorHAnsi"/>
          <w:color w:val="000000" w:themeColor="text1"/>
          <w:sz w:val="24"/>
          <w:szCs w:val="24"/>
        </w:rPr>
        <w:t>t</w:t>
      </w:r>
      <w:r w:rsidR="006E7CE5" w:rsidRPr="00261C59">
        <w:rPr>
          <w:rFonts w:asciiTheme="minorHAnsi" w:eastAsia="Corbel" w:hAnsiTheme="minorHAnsi" w:cstheme="minorHAnsi"/>
          <w:color w:val="000000" w:themeColor="text1"/>
          <w:sz w:val="24"/>
          <w:szCs w:val="24"/>
        </w:rPr>
        <w:t>he Australian Government's accountability for implementation of the Health Plan 2021-2031 at a national level</w:t>
      </w:r>
    </w:p>
    <w:p w14:paraId="2C86D71E" w14:textId="610ACB21" w:rsidR="006E7CE5" w:rsidRPr="00261C59" w:rsidRDefault="00ED3E1E" w:rsidP="004728D9">
      <w:pPr>
        <w:pStyle w:val="ListParagraph"/>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Pr>
          <w:rFonts w:asciiTheme="minorHAnsi" w:eastAsia="Corbel" w:hAnsiTheme="minorHAnsi" w:cstheme="minorHAnsi"/>
          <w:color w:val="000000" w:themeColor="text1"/>
          <w:sz w:val="24"/>
          <w:szCs w:val="24"/>
        </w:rPr>
        <w:t>t</w:t>
      </w:r>
      <w:r w:rsidR="006E7CE5" w:rsidRPr="00261C59">
        <w:rPr>
          <w:rFonts w:asciiTheme="minorHAnsi" w:eastAsia="Corbel" w:hAnsiTheme="minorHAnsi" w:cstheme="minorHAnsi"/>
          <w:color w:val="000000" w:themeColor="text1"/>
          <w:sz w:val="24"/>
          <w:szCs w:val="24"/>
        </w:rPr>
        <w:t>he State and Territory Governments’ accountability for implementation of the Health Plan 2021-2031 within their own jurisdiction</w:t>
      </w:r>
    </w:p>
    <w:p w14:paraId="4BF77037" w14:textId="358D7CA0" w:rsidR="006E7CE5" w:rsidRPr="00261C59" w:rsidRDefault="00ED3E1E" w:rsidP="004728D9">
      <w:pPr>
        <w:pStyle w:val="ListParagraph"/>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Pr>
          <w:rFonts w:asciiTheme="minorHAnsi" w:eastAsia="Corbel" w:hAnsiTheme="minorHAnsi" w:cstheme="minorHAnsi"/>
          <w:color w:val="000000" w:themeColor="text1"/>
          <w:sz w:val="24"/>
          <w:szCs w:val="24"/>
        </w:rPr>
        <w:t>a</w:t>
      </w:r>
      <w:r w:rsidR="006E7CE5" w:rsidRPr="00261C59">
        <w:rPr>
          <w:rFonts w:asciiTheme="minorHAnsi" w:eastAsia="Corbel" w:hAnsiTheme="minorHAnsi" w:cstheme="minorHAnsi"/>
          <w:color w:val="000000" w:themeColor="text1"/>
          <w:sz w:val="24"/>
          <w:szCs w:val="24"/>
        </w:rPr>
        <w:t>ll Parties' responsibilities to mainstream service providers, organisations and regulators to drive the systemic and structural change needed to realise the Health Plan’s vision</w:t>
      </w:r>
    </w:p>
    <w:p w14:paraId="6E98D168" w14:textId="71AF6D9C" w:rsidR="006E7CE5" w:rsidRPr="00261C59" w:rsidRDefault="00ED3E1E" w:rsidP="004728D9">
      <w:pPr>
        <w:pStyle w:val="ListParagraph"/>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Pr>
          <w:rFonts w:asciiTheme="minorHAnsi" w:eastAsia="Corbel" w:hAnsiTheme="minorHAnsi" w:cstheme="minorHAnsi"/>
          <w:color w:val="000000" w:themeColor="text1"/>
          <w:sz w:val="24"/>
          <w:szCs w:val="24"/>
        </w:rPr>
        <w:t>t</w:t>
      </w:r>
      <w:r w:rsidR="006E7CE5" w:rsidRPr="00261C59">
        <w:rPr>
          <w:rFonts w:asciiTheme="minorHAnsi" w:eastAsia="Corbel" w:hAnsiTheme="minorHAnsi" w:cstheme="minorHAnsi"/>
          <w:color w:val="000000" w:themeColor="text1"/>
          <w:sz w:val="24"/>
          <w:szCs w:val="24"/>
        </w:rPr>
        <w:t>he Australian Government's responsibility to develop five-year Commonwealth Implementation Plans for the Health Plan</w:t>
      </w:r>
    </w:p>
    <w:p w14:paraId="77A68467" w14:textId="7496323E" w:rsidR="006E7CE5" w:rsidRPr="00261C59" w:rsidRDefault="00ED3E1E" w:rsidP="004728D9">
      <w:pPr>
        <w:pStyle w:val="ListParagraph"/>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Pr>
          <w:rFonts w:asciiTheme="minorHAnsi" w:eastAsia="Corbel" w:hAnsiTheme="minorHAnsi" w:cstheme="minorHAnsi"/>
          <w:color w:val="000000" w:themeColor="text1"/>
          <w:sz w:val="24"/>
          <w:szCs w:val="24"/>
        </w:rPr>
        <w:t>t</w:t>
      </w:r>
      <w:r w:rsidR="006E7CE5" w:rsidRPr="00261C59">
        <w:rPr>
          <w:rFonts w:asciiTheme="minorHAnsi" w:eastAsia="Corbel" w:hAnsiTheme="minorHAnsi" w:cstheme="minorHAnsi"/>
          <w:color w:val="000000" w:themeColor="text1"/>
          <w:sz w:val="24"/>
          <w:szCs w:val="24"/>
        </w:rPr>
        <w:t>he Australian Government's responsibility to work with the Aboriginal and Torres Strait Islander Health Sector to develop and use a monitoring and accountability framework for the Health Plan 2021-2031</w:t>
      </w:r>
    </w:p>
    <w:p w14:paraId="4A326CE9" w14:textId="7B571DD9" w:rsidR="006E7CE5" w:rsidRPr="00261C59" w:rsidRDefault="00ED3E1E" w:rsidP="004728D9">
      <w:pPr>
        <w:pStyle w:val="ListParagraph"/>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Pr>
          <w:rFonts w:asciiTheme="minorHAnsi" w:eastAsia="Corbel" w:hAnsiTheme="minorHAnsi" w:cstheme="minorHAnsi"/>
          <w:color w:val="000000" w:themeColor="text1"/>
          <w:sz w:val="24"/>
          <w:szCs w:val="24"/>
        </w:rPr>
        <w:t>a</w:t>
      </w:r>
      <w:r w:rsidR="006E7CE5" w:rsidRPr="00261C59">
        <w:rPr>
          <w:rFonts w:asciiTheme="minorHAnsi" w:eastAsia="Corbel" w:hAnsiTheme="minorHAnsi" w:cstheme="minorHAnsi"/>
          <w:color w:val="000000" w:themeColor="text1"/>
          <w:sz w:val="24"/>
          <w:szCs w:val="24"/>
        </w:rPr>
        <w:t xml:space="preserve">ll Parties' responsibilities to work with the Aboriginal and Torres Strait Islander Health Sector to undertake a mid-cycle review in 2026, and an end-of-cycle review in 2031. </w:t>
      </w:r>
    </w:p>
    <w:p w14:paraId="0B890C7A" w14:textId="3AF15604"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The Parties reaffirm their commitment to working in partnership with Aboriginal and Torres Strait Islander organisations to implement the </w:t>
      </w:r>
      <w:r w:rsidRPr="00261C59">
        <w:rPr>
          <w:rFonts w:asciiTheme="minorHAnsi" w:eastAsia="Corbel" w:hAnsiTheme="minorHAnsi" w:cstheme="minorHAnsi"/>
          <w:b/>
          <w:bCs/>
          <w:color w:val="000000" w:themeColor="text1"/>
          <w:sz w:val="24"/>
          <w:szCs w:val="24"/>
        </w:rPr>
        <w:t xml:space="preserve">National Aboriginal and Torres Strait Islander Health Workforce Strategic Framework and Implementation Plan 2021-2031 </w:t>
      </w:r>
      <w:r w:rsidRPr="00261C59">
        <w:rPr>
          <w:rFonts w:asciiTheme="minorHAnsi" w:eastAsia="Corbel" w:hAnsiTheme="minorHAnsi" w:cstheme="minorHAnsi"/>
          <w:color w:val="000000" w:themeColor="text1"/>
          <w:sz w:val="24"/>
          <w:szCs w:val="24"/>
        </w:rPr>
        <w:t>(the Workforce Plan 2021-2031) endorsed by all Health Ministers in December 2021</w:t>
      </w:r>
      <w:r w:rsidRPr="00261C59">
        <w:rPr>
          <w:rFonts w:asciiTheme="minorHAnsi" w:eastAsia="Corbel" w:hAnsiTheme="minorHAnsi" w:cstheme="minorHAnsi"/>
          <w:i/>
          <w:iCs/>
          <w:color w:val="000000" w:themeColor="text1"/>
          <w:sz w:val="24"/>
          <w:szCs w:val="24"/>
        </w:rPr>
        <w:t xml:space="preserve"> </w:t>
      </w:r>
      <w:r w:rsidRPr="00261C59">
        <w:rPr>
          <w:rFonts w:asciiTheme="minorHAnsi" w:eastAsia="Corbel" w:hAnsiTheme="minorHAnsi" w:cstheme="minorHAnsi"/>
          <w:color w:val="000000" w:themeColor="text1"/>
          <w:sz w:val="24"/>
          <w:szCs w:val="24"/>
        </w:rPr>
        <w:t>including strategies for the following six strategic directions</w:t>
      </w:r>
      <w:r w:rsidR="00DB134C">
        <w:rPr>
          <w:rFonts w:asciiTheme="minorHAnsi" w:eastAsia="Corbel" w:hAnsiTheme="minorHAnsi" w:cstheme="minorHAnsi"/>
          <w:color w:val="000000" w:themeColor="text1"/>
          <w:sz w:val="24"/>
          <w:szCs w:val="24"/>
        </w:rPr>
        <w:t>.</w:t>
      </w:r>
    </w:p>
    <w:p w14:paraId="23B05207" w14:textId="437D11F4" w:rsidR="006E7CE5" w:rsidRPr="00261C59" w:rsidRDefault="006E7CE5" w:rsidP="004728D9">
      <w:pPr>
        <w:pStyle w:val="ListParagraph"/>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 xml:space="preserve">Strategic Direction 1: </w:t>
      </w:r>
      <w:r w:rsidRPr="00261C59">
        <w:rPr>
          <w:rFonts w:asciiTheme="minorHAnsi" w:eastAsia="Corbel" w:hAnsiTheme="minorHAnsi" w:cstheme="minorHAnsi"/>
          <w:color w:val="000000" w:themeColor="text1"/>
          <w:sz w:val="24"/>
          <w:szCs w:val="24"/>
        </w:rPr>
        <w:t>Aboriginal and Torres Strait Islander people are represented and supported across all health disciplines, roles and functions</w:t>
      </w:r>
      <w:r w:rsidR="00CC2F1B">
        <w:rPr>
          <w:rFonts w:asciiTheme="minorHAnsi" w:eastAsia="Corbel" w:hAnsiTheme="minorHAnsi" w:cstheme="minorHAnsi"/>
          <w:color w:val="000000" w:themeColor="text1"/>
          <w:sz w:val="24"/>
          <w:szCs w:val="24"/>
        </w:rPr>
        <w:t>.</w:t>
      </w:r>
      <w:r w:rsidRPr="00261C59">
        <w:rPr>
          <w:rFonts w:asciiTheme="minorHAnsi" w:eastAsia="Corbel" w:hAnsiTheme="minorHAnsi" w:cstheme="minorHAnsi"/>
          <w:color w:val="000000" w:themeColor="text1"/>
          <w:sz w:val="24"/>
          <w:szCs w:val="24"/>
        </w:rPr>
        <w:t xml:space="preserve"> </w:t>
      </w:r>
    </w:p>
    <w:p w14:paraId="3E47A8BD" w14:textId="77777777" w:rsidR="006E7CE5" w:rsidRPr="00261C59" w:rsidRDefault="006E7CE5" w:rsidP="004728D9">
      <w:pPr>
        <w:pStyle w:val="ListParagraph"/>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Strategic Division 2:</w:t>
      </w:r>
      <w:r w:rsidRPr="00261C59">
        <w:rPr>
          <w:rFonts w:asciiTheme="minorHAnsi" w:eastAsia="Corbel" w:hAnsiTheme="minorHAnsi" w:cstheme="minorHAnsi"/>
          <w:color w:val="000000" w:themeColor="text1"/>
          <w:sz w:val="24"/>
          <w:szCs w:val="24"/>
        </w:rPr>
        <w:t xml:space="preserve"> The Aboriginal and Torres Strait Islander health workforce has the necessary skills, capacity and leadership across all health disciplines, roles and functions.</w:t>
      </w:r>
    </w:p>
    <w:p w14:paraId="5E213E77" w14:textId="1FE2EC42" w:rsidR="006E7CE5" w:rsidRPr="00261C59" w:rsidRDefault="006E7CE5" w:rsidP="004728D9">
      <w:pPr>
        <w:pStyle w:val="ListParagraph"/>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Strategic Direction 3:</w:t>
      </w:r>
      <w:r w:rsidRPr="00261C59">
        <w:rPr>
          <w:rFonts w:asciiTheme="minorHAnsi" w:eastAsia="Corbel" w:hAnsiTheme="minorHAnsi" w:cstheme="minorHAnsi"/>
          <w:color w:val="000000" w:themeColor="text1"/>
          <w:sz w:val="24"/>
          <w:szCs w:val="24"/>
        </w:rPr>
        <w:t xml:space="preserve"> Aboriginal and Torres Strait Islander people are employed in culturally safe and responsive workplace environments that are free from racism across health and all related sectors.</w:t>
      </w:r>
    </w:p>
    <w:p w14:paraId="3C6632F9" w14:textId="1331D1A3" w:rsidR="006E7CE5" w:rsidRPr="00261C59" w:rsidRDefault="006E7CE5" w:rsidP="004728D9">
      <w:pPr>
        <w:pStyle w:val="ListParagraph"/>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 xml:space="preserve">Strategic Direction 4: </w:t>
      </w:r>
      <w:r w:rsidRPr="00261C59">
        <w:rPr>
          <w:rFonts w:asciiTheme="minorHAnsi" w:eastAsia="Corbel" w:hAnsiTheme="minorHAnsi" w:cstheme="minorHAnsi"/>
          <w:color w:val="000000" w:themeColor="text1"/>
          <w:sz w:val="24"/>
          <w:szCs w:val="24"/>
        </w:rPr>
        <w:t xml:space="preserve">There are sufficient numbers of Aboriginal and Torres Strait Islander students studying and completing health qualifications to meet the future health care needs and aspirations of Aboriginal and Torres Strait Islander people. </w:t>
      </w:r>
    </w:p>
    <w:p w14:paraId="37BE48D5" w14:textId="77777777" w:rsidR="006E7CE5" w:rsidRPr="00261C59" w:rsidRDefault="006E7CE5" w:rsidP="004728D9">
      <w:pPr>
        <w:pStyle w:val="ListParagraph"/>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 xml:space="preserve">Strategic Direction 5: </w:t>
      </w:r>
      <w:r w:rsidRPr="00261C59">
        <w:rPr>
          <w:rFonts w:asciiTheme="minorHAnsi" w:eastAsia="Corbel" w:hAnsiTheme="minorHAnsi" w:cstheme="minorHAnsi"/>
          <w:color w:val="000000" w:themeColor="text1"/>
          <w:sz w:val="24"/>
          <w:szCs w:val="24"/>
        </w:rPr>
        <w:t>Aboriginal and Torres Strait Islander health students have successful transitions into the workforce and access clear career pathway options.</w:t>
      </w:r>
    </w:p>
    <w:p w14:paraId="19FCED12" w14:textId="77777777" w:rsidR="006E7CE5" w:rsidRPr="00261C59" w:rsidRDefault="006E7CE5" w:rsidP="004728D9">
      <w:pPr>
        <w:pStyle w:val="ListParagraph"/>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Strategic Direction 6:</w:t>
      </w:r>
      <w:r w:rsidRPr="00261C59">
        <w:rPr>
          <w:rFonts w:asciiTheme="minorHAnsi" w:eastAsia="Corbel" w:hAnsiTheme="minorHAnsi" w:cstheme="minorHAnsi"/>
          <w:color w:val="000000" w:themeColor="text1"/>
          <w:sz w:val="24"/>
          <w:szCs w:val="24"/>
        </w:rPr>
        <w:t xml:space="preserve"> Information and data are provided and shared across systems to assist health workforce planning, policy development, monitoring and evaluation, and continuous quality improvement. </w:t>
      </w:r>
    </w:p>
    <w:p w14:paraId="171F8F47" w14:textId="77777777" w:rsidR="006E7CE5" w:rsidRPr="00261C59" w:rsidRDefault="006E7CE5" w:rsidP="001A08BA">
      <w:pPr>
        <w:pStyle w:val="ListParagraph"/>
        <w:keepLines/>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lastRenderedPageBreak/>
        <w:t xml:space="preserve">The Parties reaffirm their commitment to the </w:t>
      </w:r>
      <w:r w:rsidRPr="00261C59">
        <w:rPr>
          <w:rFonts w:asciiTheme="minorHAnsi" w:eastAsia="Corbel" w:hAnsiTheme="minorHAnsi" w:cstheme="minorHAnsi"/>
          <w:b/>
          <w:bCs/>
          <w:color w:val="000000" w:themeColor="text1"/>
          <w:sz w:val="24"/>
          <w:szCs w:val="24"/>
        </w:rPr>
        <w:t>Health Sector Strengthening Plan</w:t>
      </w:r>
      <w:r w:rsidRPr="00261C59">
        <w:rPr>
          <w:rFonts w:asciiTheme="minorHAnsi" w:eastAsia="Corbel" w:hAnsiTheme="minorHAnsi" w:cstheme="minorHAnsi"/>
          <w:color w:val="000000" w:themeColor="text1"/>
          <w:sz w:val="24"/>
          <w:szCs w:val="24"/>
        </w:rPr>
        <w:t xml:space="preserve"> endorsed by the Joint Council for the National Agreement on Closing the Gap in December 2021 by:</w:t>
      </w:r>
    </w:p>
    <w:p w14:paraId="30C85210" w14:textId="1C570EC0" w:rsidR="006E7CE5" w:rsidRPr="00261C59" w:rsidRDefault="006E7CE5" w:rsidP="004728D9">
      <w:pPr>
        <w:pStyle w:val="ListParagraph"/>
        <w:keepLines/>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Refreshing priorities and actions in Formal Partnership with the Aboriginal and Torres Strait Islander Health Sector within two years of execution of this Agreement with tabling of recommendations at Joint Council within three years of execution of this Agreement</w:t>
      </w:r>
      <w:r w:rsidR="00036DD3" w:rsidRPr="00261C59">
        <w:rPr>
          <w:rFonts w:asciiTheme="minorHAnsi" w:eastAsia="Corbel" w:hAnsiTheme="minorHAnsi" w:cstheme="minorHAnsi"/>
          <w:color w:val="000000" w:themeColor="text1"/>
          <w:sz w:val="24"/>
          <w:szCs w:val="24"/>
        </w:rPr>
        <w:t>.</w:t>
      </w:r>
      <w:r w:rsidRPr="00261C59">
        <w:rPr>
          <w:rFonts w:asciiTheme="minorHAnsi" w:eastAsia="Corbel" w:hAnsiTheme="minorHAnsi" w:cstheme="minorHAnsi"/>
          <w:color w:val="000000" w:themeColor="text1"/>
          <w:sz w:val="24"/>
          <w:szCs w:val="24"/>
        </w:rPr>
        <w:t xml:space="preserve"> </w:t>
      </w:r>
    </w:p>
    <w:p w14:paraId="1000FD4B" w14:textId="77777777" w:rsidR="006E7CE5" w:rsidRPr="00261C59" w:rsidRDefault="006E7CE5" w:rsidP="001E4C2B">
      <w:pPr>
        <w:pStyle w:val="Heading2"/>
        <w:widowControl/>
        <w:adjustRightInd/>
        <w:spacing w:before="180" w:after="120"/>
        <w:jc w:val="left"/>
        <w:textAlignment w:val="auto"/>
        <w:rPr>
          <w:rFonts w:ascii="Corbel" w:eastAsia="Times New Roman" w:hAnsi="Corbel" w:cs="Arial"/>
          <w:iCs/>
          <w:color w:val="3D4B67"/>
          <w:sz w:val="28"/>
          <w:szCs w:val="28"/>
        </w:rPr>
      </w:pPr>
      <w:bookmarkStart w:id="485" w:name="_Toc210833626"/>
      <w:bookmarkStart w:id="486" w:name="_Toc214456526"/>
      <w:bookmarkStart w:id="487" w:name="_Toc221088006"/>
      <w:r w:rsidRPr="00261C59">
        <w:rPr>
          <w:rFonts w:ascii="Corbel" w:eastAsia="Times New Roman" w:hAnsi="Corbel" w:cs="Arial"/>
          <w:iCs/>
          <w:color w:val="3D4B67"/>
          <w:sz w:val="28"/>
          <w:szCs w:val="28"/>
        </w:rPr>
        <w:t>Part 2 – Partnership and governance</w:t>
      </w:r>
      <w:bookmarkEnd w:id="485"/>
      <w:bookmarkEnd w:id="486"/>
      <w:bookmarkEnd w:id="487"/>
      <w:r w:rsidRPr="00261C59">
        <w:rPr>
          <w:rFonts w:ascii="Corbel" w:eastAsia="Times New Roman" w:hAnsi="Corbel" w:cs="Arial"/>
          <w:iCs/>
          <w:color w:val="3D4B67"/>
          <w:sz w:val="28"/>
          <w:szCs w:val="28"/>
        </w:rPr>
        <w:t xml:space="preserve"> </w:t>
      </w:r>
    </w:p>
    <w:p w14:paraId="1101D2AF" w14:textId="77777777" w:rsidR="006E7CE5" w:rsidRPr="00261C59" w:rsidRDefault="006E7CE5" w:rsidP="001E4C2B">
      <w:pPr>
        <w:jc w:val="left"/>
        <w:outlineLvl w:val="2"/>
        <w:rPr>
          <w:rFonts w:ascii="Corbel" w:hAnsi="Corbel"/>
          <w:color w:val="3D4B67"/>
          <w:sz w:val="28"/>
          <w:szCs w:val="48"/>
          <w:lang w:eastAsia="ja-JP"/>
        </w:rPr>
      </w:pPr>
      <w:bookmarkStart w:id="488" w:name="_Toc210833627"/>
      <w:bookmarkStart w:id="489" w:name="_Toc214456527"/>
      <w:bookmarkStart w:id="490" w:name="_Toc221088007"/>
      <w:r w:rsidRPr="00261C59">
        <w:rPr>
          <w:rFonts w:ascii="Corbel" w:hAnsi="Corbel"/>
          <w:color w:val="3D4B67"/>
          <w:sz w:val="28"/>
          <w:szCs w:val="48"/>
          <w:lang w:eastAsia="ja-JP"/>
        </w:rPr>
        <w:t>NHRA governance</w:t>
      </w:r>
      <w:bookmarkEnd w:id="488"/>
      <w:bookmarkEnd w:id="489"/>
      <w:bookmarkEnd w:id="490"/>
      <w:r w:rsidRPr="00261C59">
        <w:rPr>
          <w:rFonts w:ascii="Corbel" w:hAnsi="Corbel"/>
          <w:color w:val="3D4B67"/>
          <w:sz w:val="28"/>
          <w:szCs w:val="48"/>
          <w:lang w:eastAsia="ja-JP"/>
        </w:rPr>
        <w:t xml:space="preserve"> </w:t>
      </w:r>
    </w:p>
    <w:p w14:paraId="0DFC2C0A" w14:textId="564F3990" w:rsidR="006E7CE5" w:rsidRPr="00261C59" w:rsidRDefault="006E7CE5" w:rsidP="004728D9">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agree that</w:t>
      </w:r>
      <w:r w:rsidRPr="00261C59">
        <w:rPr>
          <w:rFonts w:asciiTheme="minorHAnsi" w:eastAsia="Corbel" w:hAnsiTheme="minorHAnsi" w:cstheme="minorHAnsi"/>
          <w:b/>
          <w:bCs/>
          <w:color w:val="000000" w:themeColor="text1"/>
          <w:sz w:val="24"/>
          <w:szCs w:val="24"/>
        </w:rPr>
        <w:t xml:space="preserve"> </w:t>
      </w:r>
      <w:r w:rsidRPr="00261C59">
        <w:rPr>
          <w:rFonts w:asciiTheme="minorHAnsi" w:eastAsia="Corbel" w:hAnsiTheme="minorHAnsi" w:cstheme="minorHAnsi"/>
          <w:color w:val="000000" w:themeColor="text1"/>
          <w:sz w:val="24"/>
          <w:szCs w:val="24"/>
        </w:rPr>
        <w:t>Aboriginal and Torres Strait Islander governance brings unique and respected values, principles and practical mechanisms to health reform, further ensuring that the shared vision of Aboriginal and Torres Strait Islander people for self-determining their health and wellbeing is translated into structural reform and sustained, organised action.</w:t>
      </w:r>
    </w:p>
    <w:p w14:paraId="1E323268" w14:textId="77777777" w:rsidR="006E7CE5" w:rsidRPr="00261C59" w:rsidRDefault="006E7CE5" w:rsidP="004728D9">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acknowledge historical denial of Aboriginal and Torres Strait Islander cultural governance in health reform and health care delivery.</w:t>
      </w:r>
    </w:p>
    <w:p w14:paraId="06C49128" w14:textId="65AD1FC6" w:rsidR="006E7CE5" w:rsidRPr="00261C59" w:rsidRDefault="006E7CE5" w:rsidP="004728D9">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agree that Aboriginal and Torres Strait Islander people and communities must have the resources to determine their own priorities, aspirations and needs to attain good health and wellbeing outcomes, including but not restricted to:</w:t>
      </w:r>
    </w:p>
    <w:p w14:paraId="3E01690C" w14:textId="77777777"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color w:val="000000" w:themeColor="text1"/>
          <w:sz w:val="24"/>
          <w:szCs w:val="24"/>
        </w:rPr>
        <w:t xml:space="preserve">access to resources to establish governing bodies and participate as equal partners with </w:t>
      </w:r>
      <w:r w:rsidRPr="00261C59">
        <w:rPr>
          <w:rFonts w:asciiTheme="minorHAnsi" w:eastAsia="Corbel" w:hAnsiTheme="minorHAnsi" w:cstheme="minorHAnsi"/>
          <w:sz w:val="24"/>
          <w:szCs w:val="24"/>
        </w:rPr>
        <w:t>governments in shared decision-making and co-design</w:t>
      </w:r>
    </w:p>
    <w:p w14:paraId="5727D011" w14:textId="77777777"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the right to negotiate, implement and evaluate co-ordinated decisions effectively, efficiently and to the benefit of the community in partnership</w:t>
      </w:r>
    </w:p>
    <w:p w14:paraId="2D660CCB" w14:textId="68541742"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 xml:space="preserve">privileged data access consistent with the principles of governance of Aboriginal and Torres Strait Islander ('Indigenous') data in </w:t>
      </w:r>
      <w:r w:rsidR="00D157CB" w:rsidRPr="00261C59">
        <w:rPr>
          <w:rFonts w:asciiTheme="minorHAnsi" w:eastAsia="Corbel" w:hAnsiTheme="minorHAnsi" w:cstheme="minorHAnsi"/>
          <w:sz w:val="24"/>
          <w:szCs w:val="24"/>
        </w:rPr>
        <w:t>c</w:t>
      </w:r>
      <w:r w:rsidRPr="00261C59">
        <w:rPr>
          <w:rFonts w:asciiTheme="minorHAnsi" w:eastAsia="Corbel" w:hAnsiTheme="minorHAnsi" w:cstheme="minorHAnsi"/>
          <w:sz w:val="24"/>
          <w:szCs w:val="24"/>
        </w:rPr>
        <w:t>lause B</w:t>
      </w:r>
      <w:r w:rsidR="009A08A3" w:rsidRPr="00261C59">
        <w:rPr>
          <w:rFonts w:asciiTheme="minorHAnsi" w:eastAsia="Corbel" w:hAnsiTheme="minorHAnsi" w:cstheme="minorHAnsi"/>
          <w:sz w:val="24"/>
          <w:szCs w:val="24"/>
        </w:rPr>
        <w:t>40</w:t>
      </w:r>
      <w:r w:rsidRPr="00261C59">
        <w:rPr>
          <w:rFonts w:asciiTheme="minorHAnsi" w:eastAsia="Corbel" w:hAnsiTheme="minorHAnsi" w:cstheme="minorHAnsi"/>
          <w:sz w:val="24"/>
          <w:szCs w:val="24"/>
        </w:rPr>
        <w:t xml:space="preserve"> and progress towards the global principles for Aboriginal and Torres Strait Islander ('Indigenous') Data Sovereignty defined in Part 5.</w:t>
      </w:r>
    </w:p>
    <w:p w14:paraId="3F05A1CF" w14:textId="266A2159" w:rsidR="006E7CE5" w:rsidRPr="00261C59" w:rsidRDefault="006E7CE5" w:rsidP="004728D9">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The Parties agree to establish</w:t>
      </w:r>
      <w:r w:rsidRPr="00261C59" w:rsidDel="005A26DB">
        <w:rPr>
          <w:rFonts w:asciiTheme="minorHAnsi" w:eastAsia="Corbel" w:hAnsiTheme="minorHAnsi" w:cstheme="minorHAnsi"/>
          <w:sz w:val="24"/>
          <w:szCs w:val="24"/>
        </w:rPr>
        <w:t xml:space="preserve"> </w:t>
      </w:r>
      <w:r w:rsidRPr="00261C59">
        <w:rPr>
          <w:rFonts w:asciiTheme="minorHAnsi" w:eastAsia="Corbel" w:hAnsiTheme="minorHAnsi" w:cstheme="minorHAnsi"/>
          <w:sz w:val="24"/>
          <w:szCs w:val="24"/>
        </w:rPr>
        <w:t xml:space="preserve">a </w:t>
      </w:r>
      <w:r w:rsidRPr="00261C59">
        <w:rPr>
          <w:rFonts w:asciiTheme="minorHAnsi" w:eastAsia="Corbel" w:hAnsiTheme="minorHAnsi" w:cstheme="minorHAnsi"/>
          <w:b/>
          <w:bCs/>
          <w:sz w:val="24"/>
          <w:szCs w:val="24"/>
        </w:rPr>
        <w:t>new independent Aboriginal and Torres Strait Islander Monitoring and Accountability Group</w:t>
      </w:r>
      <w:r w:rsidRPr="00261C59">
        <w:rPr>
          <w:rFonts w:asciiTheme="minorHAnsi" w:eastAsia="Corbel" w:hAnsiTheme="minorHAnsi" w:cstheme="minorHAnsi"/>
          <w:sz w:val="24"/>
          <w:szCs w:val="24"/>
        </w:rPr>
        <w:t xml:space="preserve"> (Monitoring and Accountability Group) to commence operations alongside this NHRA for the purpose of monitoring implementation and impact of this NHRA on Aboriginal and Torres Strait Islander people</w:t>
      </w:r>
      <w:r w:rsidR="00C83E6F">
        <w:rPr>
          <w:rFonts w:asciiTheme="minorHAnsi" w:eastAsia="Corbel" w:hAnsiTheme="minorHAnsi" w:cstheme="minorHAnsi"/>
          <w:sz w:val="24"/>
          <w:szCs w:val="24"/>
        </w:rPr>
        <w:t>’</w:t>
      </w:r>
      <w:r w:rsidRPr="00261C59">
        <w:rPr>
          <w:rFonts w:asciiTheme="minorHAnsi" w:eastAsia="Corbel" w:hAnsiTheme="minorHAnsi" w:cstheme="minorHAnsi"/>
          <w:sz w:val="24"/>
          <w:szCs w:val="24"/>
        </w:rPr>
        <w:t>s health and wellbeing.</w:t>
      </w:r>
    </w:p>
    <w:p w14:paraId="372E9F09" w14:textId="6FC1B5D8" w:rsidR="00A36E6D" w:rsidRPr="00261C59" w:rsidRDefault="00A36E6D" w:rsidP="00036DD3">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 xml:space="preserve">The Monitoring and Accountability Group will be comprised of members nominated by the Aboriginal and Torres Strait Islander Health Sector as follows: Chair (NACCHO); one member each from Queensland, New South Wales, Victoria, Tasmania, South Australia, Western Australia, the Northern Territory and the Australian Capital Territory, and one member from NIHLA. The Commonwealth and representatives from State and Territory Governments will be </w:t>
      </w:r>
      <w:r w:rsidRPr="00261C59">
        <w:rPr>
          <w:rFonts w:asciiTheme="minorHAnsi" w:eastAsia="Corbel" w:hAnsiTheme="minorHAnsi" w:cstheme="minorHAnsi"/>
          <w:i/>
          <w:iCs/>
          <w:sz w:val="24"/>
          <w:szCs w:val="24"/>
        </w:rPr>
        <w:t>ex officio</w:t>
      </w:r>
      <w:r w:rsidRPr="00261C59">
        <w:rPr>
          <w:rFonts w:asciiTheme="minorHAnsi" w:eastAsia="Corbel" w:hAnsiTheme="minorHAnsi" w:cstheme="minorHAnsi"/>
          <w:sz w:val="24"/>
          <w:szCs w:val="24"/>
        </w:rPr>
        <w:t>.</w:t>
      </w:r>
    </w:p>
    <w:p w14:paraId="561D68C6" w14:textId="77777777" w:rsidR="006E7CE5" w:rsidRPr="00261C59" w:rsidRDefault="006E7CE5" w:rsidP="004728D9">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 xml:space="preserve">The Parties agree that the remit, membership, nomenclature and responsibilities of the Monitoring and Accountability Group as co-designed with the Aboriginal and Torres Strait Islander Health Sector and other stakeholders through the Health Collaboration will enable stewardship, technical and independent accountability functions such as: </w:t>
      </w:r>
    </w:p>
    <w:p w14:paraId="41496752" w14:textId="77777777" w:rsidR="006E7CE5" w:rsidRPr="00261C59" w:rsidRDefault="006E7CE5" w:rsidP="004728D9">
      <w:pPr>
        <w:pStyle w:val="ListParagraph"/>
        <w:numPr>
          <w:ilvl w:val="1"/>
          <w:numId w:val="96"/>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b/>
          <w:bCs/>
          <w:i/>
          <w:iCs/>
          <w:sz w:val="24"/>
          <w:szCs w:val="24"/>
        </w:rPr>
        <w:lastRenderedPageBreak/>
        <w:t>Stewardship</w:t>
      </w:r>
      <w:r w:rsidRPr="00261C59">
        <w:rPr>
          <w:rFonts w:asciiTheme="minorHAnsi" w:eastAsia="Corbel" w:hAnsiTheme="minorHAnsi" w:cstheme="minorHAnsi"/>
          <w:sz w:val="24"/>
          <w:szCs w:val="24"/>
        </w:rPr>
        <w:t>:</w:t>
      </w:r>
    </w:p>
    <w:p w14:paraId="380D8424" w14:textId="7D0D36A2" w:rsidR="006E7CE5" w:rsidRPr="00261C59" w:rsidRDefault="006E7CE5" w:rsidP="004728D9">
      <w:pPr>
        <w:pStyle w:val="ListParagraph"/>
        <w:numPr>
          <w:ilvl w:val="2"/>
          <w:numId w:val="97"/>
        </w:numPr>
        <w:tabs>
          <w:tab w:val="clear" w:pos="851"/>
        </w:tabs>
        <w:adjustRightInd/>
        <w:spacing w:before="120" w:after="240" w:line="260" w:lineRule="exact"/>
        <w:ind w:left="1842" w:hanging="181"/>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 xml:space="preserve">working with the Parties to this NHRA, the Aboriginal and Torres Strait Islander Health Sector and the Parties to the National Agreement on Closing the Gap to monitor performance under the NHRA and publicly </w:t>
      </w:r>
      <w:r w:rsidR="0025727D" w:rsidRPr="00261C59">
        <w:rPr>
          <w:rFonts w:asciiTheme="minorHAnsi" w:eastAsia="Corbel" w:hAnsiTheme="minorHAnsi" w:cstheme="minorHAnsi"/>
          <w:sz w:val="24"/>
          <w:szCs w:val="24"/>
        </w:rPr>
        <w:t xml:space="preserve">report </w:t>
      </w:r>
      <w:r w:rsidRPr="00261C59">
        <w:rPr>
          <w:rFonts w:asciiTheme="minorHAnsi" w:eastAsia="Corbel" w:hAnsiTheme="minorHAnsi" w:cstheme="minorHAnsi"/>
          <w:sz w:val="24"/>
          <w:szCs w:val="24"/>
        </w:rPr>
        <w:t>on performance monitoring</w:t>
      </w:r>
    </w:p>
    <w:p w14:paraId="79931A43" w14:textId="77777777" w:rsidR="006E7CE5" w:rsidRPr="00261C59" w:rsidRDefault="006E7CE5" w:rsidP="004728D9">
      <w:pPr>
        <w:pStyle w:val="ListParagraph"/>
        <w:numPr>
          <w:ilvl w:val="2"/>
          <w:numId w:val="97"/>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identifying priorities of the Aboriginal and Torres Strait Islander Health Sector and supporting self-determined health reform to enrich and amplify the NHRA commitments</w:t>
      </w:r>
    </w:p>
    <w:p w14:paraId="1B637D98" w14:textId="2E0150B8" w:rsidR="006E7CE5" w:rsidRPr="00261C59" w:rsidRDefault="006E7CE5" w:rsidP="004728D9">
      <w:pPr>
        <w:pStyle w:val="ListParagraph"/>
        <w:numPr>
          <w:ilvl w:val="2"/>
          <w:numId w:val="97"/>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 xml:space="preserve">reviewing and endorsing initiatives codesigned through Formal Partnerships to strengthen healthcare safety, quality, cultural safety and value as experienced by Aboriginal and Torres Strait Islander people during the term of this Addendum </w:t>
      </w:r>
    </w:p>
    <w:p w14:paraId="52D5F06E" w14:textId="77777777" w:rsidR="006E7CE5" w:rsidRPr="00261C59" w:rsidRDefault="006E7CE5" w:rsidP="004728D9">
      <w:pPr>
        <w:pStyle w:val="ListParagraph"/>
        <w:numPr>
          <w:ilvl w:val="2"/>
          <w:numId w:val="97"/>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sz w:val="24"/>
          <w:szCs w:val="24"/>
        </w:rPr>
        <w:t xml:space="preserve">supporting Affiliates as Aboriginal and Torres Strait Islander community-controlled health peak bodies in States and Territories to monitor jurisdictional matters in relation to Aboriginal </w:t>
      </w:r>
      <w:r w:rsidRPr="00261C59">
        <w:rPr>
          <w:rFonts w:asciiTheme="minorHAnsi" w:eastAsia="Corbel" w:hAnsiTheme="minorHAnsi" w:cstheme="minorHAnsi"/>
          <w:color w:val="000000" w:themeColor="text1"/>
          <w:sz w:val="24"/>
          <w:szCs w:val="24"/>
        </w:rPr>
        <w:t>and Torres Strait Islander health outcomes</w:t>
      </w:r>
    </w:p>
    <w:p w14:paraId="74759F59" w14:textId="77777777" w:rsidR="006E7CE5" w:rsidRPr="00261C59" w:rsidRDefault="006E7CE5" w:rsidP="004728D9">
      <w:pPr>
        <w:pStyle w:val="ListParagraph"/>
        <w:widowControl/>
        <w:numPr>
          <w:ilvl w:val="1"/>
          <w:numId w:val="97"/>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i/>
          <w:iCs/>
          <w:color w:val="000000" w:themeColor="text1"/>
          <w:sz w:val="24"/>
          <w:szCs w:val="24"/>
        </w:rPr>
        <w:t>Technical capacity</w:t>
      </w:r>
      <w:r w:rsidRPr="00261C59">
        <w:rPr>
          <w:rFonts w:asciiTheme="minorHAnsi" w:eastAsia="Corbel" w:hAnsiTheme="minorHAnsi" w:cstheme="minorHAnsi"/>
          <w:color w:val="000000" w:themeColor="text1"/>
          <w:sz w:val="24"/>
          <w:szCs w:val="24"/>
        </w:rPr>
        <w:t xml:space="preserve">: </w:t>
      </w:r>
    </w:p>
    <w:p w14:paraId="5F6F0F0B" w14:textId="03530064" w:rsidR="006E7CE5" w:rsidRPr="00261C59" w:rsidRDefault="006E7CE5" w:rsidP="004728D9">
      <w:pPr>
        <w:pStyle w:val="ListParagraph"/>
        <w:widowControl/>
        <w:numPr>
          <w:ilvl w:val="2"/>
          <w:numId w:val="98"/>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appointments of Aboriginal and Torres Strait Islander members nominated by the Aboriginal and Torres Strait Islander Health Sector</w:t>
      </w:r>
      <w:r w:rsidR="00DC4D72" w:rsidRPr="00261C59">
        <w:rPr>
          <w:rFonts w:asciiTheme="minorHAnsi" w:eastAsia="Corbel" w:hAnsiTheme="minorHAnsi" w:cstheme="minorHAnsi"/>
          <w:color w:val="000000" w:themeColor="text1"/>
          <w:sz w:val="24"/>
          <w:szCs w:val="24"/>
        </w:rPr>
        <w:t xml:space="preserve"> and other stakeholders through the Health Collaboration</w:t>
      </w:r>
      <w:r w:rsidRPr="00261C59">
        <w:rPr>
          <w:rFonts w:asciiTheme="minorHAnsi" w:eastAsia="Corbel" w:hAnsiTheme="minorHAnsi" w:cstheme="minorHAnsi"/>
          <w:color w:val="000000" w:themeColor="text1"/>
          <w:sz w:val="24"/>
          <w:szCs w:val="24"/>
        </w:rPr>
        <w:t xml:space="preserve"> </w:t>
      </w:r>
    </w:p>
    <w:p w14:paraId="42A1009F" w14:textId="77777777" w:rsidR="006E7CE5" w:rsidRPr="00261C59" w:rsidRDefault="006E7CE5" w:rsidP="004728D9">
      <w:pPr>
        <w:pStyle w:val="ListParagraph"/>
        <w:widowControl/>
        <w:numPr>
          <w:ilvl w:val="2"/>
          <w:numId w:val="98"/>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appointments of additional skills-based members in consultation with the Aboriginal and Torres Strait Islander Health Sector in a range of specialist and technical skills and capabilities as required to support its work</w:t>
      </w:r>
    </w:p>
    <w:p w14:paraId="35A1B59E" w14:textId="77777777" w:rsidR="006E7CE5" w:rsidRPr="00261C59" w:rsidRDefault="006E7CE5" w:rsidP="004728D9">
      <w:pPr>
        <w:pStyle w:val="ListParagraph"/>
        <w:widowControl/>
        <w:numPr>
          <w:ilvl w:val="2"/>
          <w:numId w:val="98"/>
        </w:numPr>
        <w:tabs>
          <w:tab w:val="clear" w:pos="851"/>
        </w:tabs>
        <w:adjustRightInd/>
        <w:spacing w:before="120" w:after="240" w:line="260" w:lineRule="exact"/>
        <w:ind w:left="1842" w:hanging="181"/>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resourcing to undertake reviews, contracts and consultations as required to support its work </w:t>
      </w:r>
    </w:p>
    <w:p w14:paraId="17C150C8" w14:textId="77777777" w:rsidR="006E7CE5" w:rsidRPr="00261C59" w:rsidRDefault="006E7CE5" w:rsidP="004728D9">
      <w:pPr>
        <w:pStyle w:val="ListParagraph"/>
        <w:widowControl/>
        <w:numPr>
          <w:ilvl w:val="1"/>
          <w:numId w:val="97"/>
        </w:numPr>
        <w:tabs>
          <w:tab w:val="clear" w:pos="851"/>
        </w:tabs>
        <w:adjustRightInd/>
        <w:spacing w:before="120" w:after="240" w:line="260" w:lineRule="exact"/>
        <w:contextualSpacing w:val="0"/>
        <w:jc w:val="left"/>
        <w:textAlignment w:val="auto"/>
        <w:rPr>
          <w:rFonts w:asciiTheme="minorHAnsi" w:eastAsia="Corbel" w:hAnsiTheme="minorHAnsi"/>
          <w:b/>
          <w:i/>
          <w:color w:val="000000" w:themeColor="text1"/>
          <w:sz w:val="24"/>
        </w:rPr>
      </w:pPr>
      <w:r w:rsidRPr="00261C59">
        <w:rPr>
          <w:rFonts w:asciiTheme="minorHAnsi" w:eastAsia="Corbel" w:hAnsiTheme="minorHAnsi" w:cstheme="minorHAnsi"/>
          <w:b/>
          <w:bCs/>
          <w:i/>
          <w:iCs/>
          <w:color w:val="000000" w:themeColor="text1"/>
          <w:sz w:val="24"/>
          <w:szCs w:val="24"/>
        </w:rPr>
        <w:t>Accountability role</w:t>
      </w:r>
      <w:r w:rsidRPr="00261C59">
        <w:rPr>
          <w:rFonts w:asciiTheme="minorHAnsi" w:eastAsia="Corbel" w:hAnsiTheme="minorHAnsi"/>
          <w:b/>
          <w:i/>
          <w:color w:val="000000" w:themeColor="text1"/>
          <w:sz w:val="24"/>
        </w:rPr>
        <w:t xml:space="preserve">: </w:t>
      </w:r>
    </w:p>
    <w:p w14:paraId="6E44CF16" w14:textId="7E1841FF" w:rsidR="006E7CE5" w:rsidRPr="00261C59" w:rsidRDefault="006E7CE5" w:rsidP="004728D9">
      <w:pPr>
        <w:pStyle w:val="ListParagraph"/>
        <w:numPr>
          <w:ilvl w:val="2"/>
          <w:numId w:val="99"/>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color w:val="000000" w:themeColor="text1"/>
          <w:sz w:val="24"/>
          <w:szCs w:val="24"/>
        </w:rPr>
        <w:t xml:space="preserve">holding the </w:t>
      </w:r>
      <w:r w:rsidRPr="00261C59">
        <w:rPr>
          <w:rFonts w:asciiTheme="minorHAnsi" w:eastAsia="Corbel" w:hAnsiTheme="minorHAnsi" w:cstheme="minorHAnsi"/>
          <w:sz w:val="24"/>
          <w:szCs w:val="24"/>
        </w:rPr>
        <w:t>Parties accountable for commitments in relation to Aboriginal and Torres Strait Islander health outcomes in this Schedule, the National Health Reform Agreement, the Addendum and other Schedules</w:t>
      </w:r>
    </w:p>
    <w:p w14:paraId="60C9754D" w14:textId="25D8D633" w:rsidR="006E7CE5" w:rsidRPr="00261C59" w:rsidRDefault="006E7CE5" w:rsidP="004728D9">
      <w:pPr>
        <w:pStyle w:val="ListParagraph"/>
        <w:numPr>
          <w:ilvl w:val="2"/>
          <w:numId w:val="99"/>
        </w:numPr>
        <w:tabs>
          <w:tab w:val="clear" w:pos="851"/>
        </w:tabs>
        <w:adjustRightInd/>
        <w:spacing w:before="120" w:after="240" w:line="260" w:lineRule="exact"/>
        <w:ind w:left="1842" w:hanging="181"/>
        <w:contextualSpacing w:val="0"/>
        <w:jc w:val="left"/>
        <w:textAlignment w:val="auto"/>
        <w:rPr>
          <w:rFonts w:asciiTheme="minorHAnsi" w:hAnsiTheme="minorHAnsi" w:cstheme="minorHAnsi"/>
          <w:sz w:val="24"/>
          <w:szCs w:val="24"/>
          <w:lang w:eastAsia="en-GB"/>
        </w:rPr>
      </w:pPr>
      <w:r w:rsidRPr="00261C59">
        <w:rPr>
          <w:rFonts w:asciiTheme="minorHAnsi" w:eastAsia="Corbel" w:hAnsiTheme="minorHAnsi" w:cstheme="minorHAnsi"/>
          <w:sz w:val="24"/>
          <w:szCs w:val="24"/>
        </w:rPr>
        <w:t>providing oversight of measures and reporting on health system responsiveness to the specific needs and aspirations of Aboriginal and Torres Strait Islander people as outlined in this Addendum</w:t>
      </w:r>
      <w:r w:rsidRPr="00261C59">
        <w:rPr>
          <w:rFonts w:asciiTheme="minorHAnsi" w:hAnsiTheme="minorHAnsi" w:cstheme="minorHAnsi"/>
          <w:sz w:val="24"/>
          <w:szCs w:val="24"/>
          <w:shd w:val="clear" w:color="auto" w:fill="FFFFFF"/>
          <w:lang w:eastAsia="en-GB"/>
        </w:rPr>
        <w:t xml:space="preserve"> </w:t>
      </w:r>
    </w:p>
    <w:p w14:paraId="2BA603FC" w14:textId="07DEEACF" w:rsidR="006E7CE5" w:rsidRPr="00261C59" w:rsidRDefault="006E7CE5" w:rsidP="004728D9">
      <w:pPr>
        <w:pStyle w:val="ListParagraph"/>
        <w:numPr>
          <w:ilvl w:val="2"/>
          <w:numId w:val="99"/>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 xml:space="preserve">monitoring implementation and impact of national healthcare accreditation standards through the Australian Health Service Safety and Quality Accreditation (AHSSQA) Scheme to improve outcomes and cultural safety as experienced by Aboriginal and Torres Strait Islander people during the term of this Addendum </w:t>
      </w:r>
    </w:p>
    <w:p w14:paraId="1AF39B70" w14:textId="77777777" w:rsidR="006E7CE5" w:rsidRPr="00261C59" w:rsidRDefault="006E7CE5" w:rsidP="004728D9">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sz w:val="24"/>
          <w:szCs w:val="24"/>
        </w:rPr>
        <w:t xml:space="preserve">The Parties recognise that the independent </w:t>
      </w:r>
      <w:r w:rsidRPr="00261C59">
        <w:rPr>
          <w:rFonts w:asciiTheme="minorHAnsi" w:eastAsia="Corbel" w:hAnsiTheme="minorHAnsi" w:cstheme="minorHAnsi"/>
          <w:color w:val="000000" w:themeColor="text1"/>
          <w:sz w:val="24"/>
          <w:szCs w:val="24"/>
        </w:rPr>
        <w:t>Monitoring and Accountability Group has the right to liaise directly with the Coalition of Peaks and escalate matters in relation to Aboriginal and Torres Strait Islander health outcomes to Joint Council for the National Agreement on Closing the Gap.</w:t>
      </w:r>
    </w:p>
    <w:p w14:paraId="0E9ED6B5" w14:textId="63B9B075"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color w:val="000000" w:themeColor="text1"/>
          <w:sz w:val="24"/>
          <w:szCs w:val="24"/>
        </w:rPr>
        <w:lastRenderedPageBreak/>
        <w:t xml:space="preserve">The </w:t>
      </w:r>
      <w:r w:rsidRPr="00261C59">
        <w:rPr>
          <w:rFonts w:asciiTheme="minorHAnsi" w:eastAsia="Corbel" w:hAnsiTheme="minorHAnsi" w:cstheme="minorHAnsi"/>
          <w:sz w:val="24"/>
          <w:szCs w:val="24"/>
        </w:rPr>
        <w:t xml:space="preserve">Parties recognise that the independent Monitoring and Accountability Group </w:t>
      </w:r>
      <w:r w:rsidR="00116433" w:rsidRPr="00261C59">
        <w:rPr>
          <w:rFonts w:asciiTheme="minorHAnsi" w:eastAsia="Corbel" w:hAnsiTheme="minorHAnsi" w:cstheme="minorHAnsi"/>
          <w:sz w:val="24"/>
          <w:szCs w:val="24"/>
        </w:rPr>
        <w:t xml:space="preserve">may </w:t>
      </w:r>
      <w:r w:rsidRPr="00261C59">
        <w:rPr>
          <w:rFonts w:asciiTheme="minorHAnsi" w:eastAsia="Corbel" w:hAnsiTheme="minorHAnsi" w:cstheme="minorHAnsi"/>
          <w:sz w:val="24"/>
          <w:szCs w:val="24"/>
        </w:rPr>
        <w:t xml:space="preserve">submit agenda items to the HMM </w:t>
      </w:r>
      <w:r w:rsidR="00116433" w:rsidRPr="00261C59">
        <w:rPr>
          <w:rFonts w:asciiTheme="minorHAnsi" w:eastAsia="Corbel" w:hAnsiTheme="minorHAnsi" w:cstheme="minorHAnsi"/>
          <w:sz w:val="24"/>
          <w:szCs w:val="24"/>
        </w:rPr>
        <w:t>via Health Chief Executives Forum</w:t>
      </w:r>
      <w:r w:rsidRPr="00261C59">
        <w:rPr>
          <w:rFonts w:asciiTheme="minorHAnsi" w:eastAsia="Corbel" w:hAnsiTheme="minorHAnsi" w:cstheme="minorHAnsi"/>
          <w:sz w:val="24"/>
          <w:szCs w:val="24"/>
        </w:rPr>
        <w:t xml:space="preserve"> (see Part 2).</w:t>
      </w:r>
    </w:p>
    <w:p w14:paraId="7E9F8803" w14:textId="1B8B9701" w:rsidR="006E7CE5" w:rsidRPr="00261C59" w:rsidRDefault="006E7CE5" w:rsidP="001E4C2B">
      <w:pPr>
        <w:jc w:val="left"/>
        <w:outlineLvl w:val="2"/>
        <w:rPr>
          <w:rFonts w:ascii="Corbel" w:hAnsi="Corbel"/>
          <w:color w:val="3D4B67"/>
          <w:sz w:val="28"/>
          <w:szCs w:val="48"/>
          <w:lang w:eastAsia="ja-JP"/>
        </w:rPr>
      </w:pPr>
      <w:bookmarkStart w:id="491" w:name="_Toc210833628"/>
      <w:bookmarkStart w:id="492" w:name="_Toc214456528"/>
      <w:bookmarkStart w:id="493" w:name="_Toc221088008"/>
      <w:r w:rsidRPr="00261C59">
        <w:rPr>
          <w:rFonts w:ascii="Corbel" w:hAnsi="Corbel"/>
          <w:color w:val="3D4B67"/>
          <w:sz w:val="28"/>
          <w:szCs w:val="48"/>
          <w:lang w:eastAsia="ja-JP"/>
        </w:rPr>
        <w:t>Working in Partnerships with Aboriginal and Torres Strait Islander People</w:t>
      </w:r>
      <w:bookmarkEnd w:id="491"/>
      <w:bookmarkEnd w:id="492"/>
      <w:bookmarkEnd w:id="493"/>
    </w:p>
    <w:p w14:paraId="4931C603" w14:textId="49DEFFD3"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Arial" w:hAnsiTheme="minorHAnsi" w:cstheme="minorHAnsi"/>
          <w:sz w:val="24"/>
          <w:szCs w:val="24"/>
        </w:rPr>
      </w:pPr>
      <w:r w:rsidRPr="00261C59">
        <w:rPr>
          <w:rFonts w:asciiTheme="minorHAnsi" w:eastAsia="Corbel" w:hAnsiTheme="minorHAnsi" w:cstheme="minorHAnsi"/>
          <w:sz w:val="24"/>
          <w:szCs w:val="24"/>
        </w:rPr>
        <w:t>The Parties</w:t>
      </w:r>
      <w:r w:rsidRPr="00261C59">
        <w:rPr>
          <w:rFonts w:asciiTheme="minorHAnsi" w:eastAsia="Calibri" w:hAnsiTheme="minorHAnsi" w:cstheme="minorHAnsi"/>
          <w:sz w:val="24"/>
          <w:szCs w:val="24"/>
        </w:rPr>
        <w:t xml:space="preserve"> commit </w:t>
      </w:r>
      <w:r w:rsidRPr="00261C59">
        <w:rPr>
          <w:rFonts w:asciiTheme="minorHAnsi" w:eastAsia="Corbel" w:hAnsiTheme="minorHAnsi" w:cstheme="minorHAnsi"/>
          <w:sz w:val="24"/>
          <w:szCs w:val="24"/>
        </w:rPr>
        <w:t>to working in partnership with Aboriginal and Torres Strait Islander people and organisations to enact the commitments under this Schedule, the National Health Reform Agreement, the Addendum and other Schedules.</w:t>
      </w:r>
      <w:r w:rsidRPr="00261C59">
        <w:rPr>
          <w:rFonts w:asciiTheme="minorHAnsi" w:eastAsia="Arial" w:hAnsiTheme="minorHAnsi" w:cstheme="minorHAnsi"/>
          <w:sz w:val="24"/>
          <w:szCs w:val="24"/>
        </w:rPr>
        <w:t xml:space="preserve"> </w:t>
      </w:r>
    </w:p>
    <w:p w14:paraId="158642B9" w14:textId="53BB8E63" w:rsidR="006E7CE5" w:rsidRPr="00261C59" w:rsidRDefault="006E7CE5" w:rsidP="004728D9">
      <w:pPr>
        <w:pStyle w:val="ListParagraph"/>
        <w:keepLines/>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 xml:space="preserve">The Parties acknowledge that ‘partnership’ is a general and overarching term, referring to many different and well-intended approaches for specific purposes with Aboriginal and Torres Strait Islander people.  For matters in the NHRA in relation to Aboriginal and Torres Strait Islander health outcomes, the Parties will apply the definitions in Part 5 of </w:t>
      </w:r>
      <w:r w:rsidR="00AF4C80">
        <w:rPr>
          <w:rFonts w:asciiTheme="minorHAnsi" w:eastAsia="Corbel" w:hAnsiTheme="minorHAnsi" w:cstheme="minorHAnsi"/>
          <w:sz w:val="24"/>
          <w:szCs w:val="24"/>
        </w:rPr>
        <w:br/>
      </w:r>
      <w:r w:rsidRPr="00261C59">
        <w:rPr>
          <w:rFonts w:asciiTheme="minorHAnsi" w:eastAsia="Corbel" w:hAnsiTheme="minorHAnsi" w:cstheme="minorHAnsi"/>
          <w:sz w:val="24"/>
          <w:szCs w:val="24"/>
        </w:rPr>
        <w:t>Schedule B.</w:t>
      </w:r>
    </w:p>
    <w:p w14:paraId="5ABA80AE" w14:textId="7ADAFC5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The Commonwealth commits to strengthening its Formal Partnership with Aboriginal and Torres Strait Islander people and the Aboriginal and Torres Strait Islander Health Sector to implement the four co-designed national agreements, health plans and health strategies (see Part 1).</w:t>
      </w:r>
    </w:p>
    <w:p w14:paraId="3FE78C5F" w14:textId="77777777" w:rsidR="006E7CE5" w:rsidRPr="00261C59" w:rsidRDefault="006E7CE5" w:rsidP="004728D9">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sz w:val="24"/>
          <w:szCs w:val="24"/>
        </w:rPr>
        <w:t xml:space="preserve">States and Territories commit </w:t>
      </w:r>
      <w:r w:rsidRPr="00261C59">
        <w:rPr>
          <w:rFonts w:asciiTheme="minorHAnsi" w:eastAsia="Corbel" w:hAnsiTheme="minorHAnsi" w:cstheme="minorHAnsi"/>
          <w:color w:val="000000" w:themeColor="text1"/>
          <w:sz w:val="24"/>
          <w:szCs w:val="24"/>
        </w:rPr>
        <w:t>to strengthening or, if not yet in place, initiating and supporting Formal Partnerships with the Aboriginal and Torres Strait Islander community-controlled Affiliate peak health body in their respective jurisdiction to oversee implementation of</w:t>
      </w:r>
      <w:r w:rsidRPr="00261C59">
        <w:rPr>
          <w:rFonts w:asciiTheme="minorHAnsi" w:eastAsia="Arial" w:hAnsiTheme="minorHAnsi" w:cstheme="minorHAnsi"/>
          <w:color w:val="000000" w:themeColor="text1"/>
          <w:sz w:val="24"/>
          <w:szCs w:val="24"/>
        </w:rPr>
        <w:t xml:space="preserve"> </w:t>
      </w:r>
      <w:r w:rsidRPr="00261C59">
        <w:rPr>
          <w:rFonts w:asciiTheme="minorHAnsi" w:eastAsia="Corbel" w:hAnsiTheme="minorHAnsi" w:cstheme="minorHAnsi"/>
          <w:color w:val="000000" w:themeColor="text1"/>
          <w:sz w:val="24"/>
          <w:szCs w:val="24"/>
        </w:rPr>
        <w:t xml:space="preserve">the four co-designed national agreements, plans and strategies (see Part 1),  codesign Implementation Plans for the National Agreement on Closing the Gap in relation to Aboriginal and Torres Strait Islander health outcomes, and receive and review key performance indicator reports as specified in this Agreement. </w:t>
      </w:r>
    </w:p>
    <w:p w14:paraId="3100E756" w14:textId="34ECD6B0" w:rsidR="006E7CE5" w:rsidRPr="00261C59" w:rsidRDefault="006E7CE5" w:rsidP="004728D9">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The Parties recognise these Formal Partnerships with Aboriginal and Torres Strait Islander people and the Aboriginal and Torres Strait Islander community-controlled Affiliate peak health bodies must be adequately funded to enable effective contributions from Aboriginal and Torres Strait Islander partners, as specified in </w:t>
      </w:r>
      <w:r w:rsidR="00D157CB" w:rsidRPr="00261C59">
        <w:rPr>
          <w:rFonts w:asciiTheme="minorHAnsi" w:eastAsia="Corbel" w:hAnsiTheme="minorHAnsi" w:cstheme="minorHAnsi"/>
          <w:color w:val="000000" w:themeColor="text1"/>
          <w:sz w:val="24"/>
          <w:szCs w:val="24"/>
        </w:rPr>
        <w:t>c</w:t>
      </w:r>
      <w:r w:rsidRPr="00261C59">
        <w:rPr>
          <w:rFonts w:asciiTheme="minorHAnsi" w:eastAsia="Corbel" w:hAnsiTheme="minorHAnsi" w:cstheme="minorHAnsi"/>
          <w:color w:val="000000" w:themeColor="text1"/>
          <w:sz w:val="24"/>
          <w:szCs w:val="24"/>
        </w:rPr>
        <w:t>lause 3</w:t>
      </w:r>
      <w:r w:rsidR="00D157CB" w:rsidRPr="00261C59">
        <w:rPr>
          <w:rFonts w:asciiTheme="minorHAnsi" w:eastAsia="Corbel" w:hAnsiTheme="minorHAnsi" w:cstheme="minorHAnsi"/>
          <w:color w:val="000000" w:themeColor="text1"/>
          <w:sz w:val="24"/>
          <w:szCs w:val="24"/>
        </w:rPr>
        <w:t>5</w:t>
      </w:r>
      <w:r w:rsidRPr="00261C59">
        <w:rPr>
          <w:rFonts w:asciiTheme="minorHAnsi" w:eastAsia="Corbel" w:hAnsiTheme="minorHAnsi" w:cstheme="minorHAnsi"/>
          <w:color w:val="000000" w:themeColor="text1"/>
          <w:sz w:val="24"/>
          <w:szCs w:val="24"/>
        </w:rPr>
        <w:t xml:space="preserve"> of the National Agreement on Closing the Gap, and effective liaison with the independent national Monitoring and Accountability Group. </w:t>
      </w:r>
    </w:p>
    <w:p w14:paraId="0AB7AB62" w14:textId="77777777" w:rsidR="006E7CE5" w:rsidRPr="00261C59" w:rsidRDefault="006E7CE5" w:rsidP="001E4C2B">
      <w:pPr>
        <w:jc w:val="left"/>
        <w:outlineLvl w:val="2"/>
        <w:rPr>
          <w:rFonts w:ascii="Corbel" w:hAnsi="Corbel"/>
          <w:color w:val="3D4B67"/>
          <w:sz w:val="28"/>
          <w:szCs w:val="48"/>
          <w:lang w:eastAsia="ja-JP"/>
        </w:rPr>
      </w:pPr>
      <w:bookmarkStart w:id="494" w:name="_Toc210833629"/>
      <w:bookmarkStart w:id="495" w:name="_Toc214456529"/>
      <w:bookmarkStart w:id="496" w:name="_Toc221088009"/>
      <w:r w:rsidRPr="00261C59">
        <w:rPr>
          <w:rFonts w:ascii="Corbel" w:hAnsi="Corbel"/>
          <w:color w:val="3D4B67"/>
          <w:sz w:val="28"/>
          <w:szCs w:val="48"/>
          <w:lang w:eastAsia="ja-JP"/>
        </w:rPr>
        <w:t>National Aboriginal and Torres Strait Islander Health Collaboration (the Collaboration)</w:t>
      </w:r>
      <w:bookmarkEnd w:id="494"/>
      <w:bookmarkEnd w:id="495"/>
      <w:bookmarkEnd w:id="496"/>
    </w:p>
    <w:p w14:paraId="4336799C" w14:textId="680E5066"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olor w:val="000000" w:themeColor="text1"/>
          <w:sz w:val="24"/>
        </w:rPr>
      </w:pPr>
      <w:r w:rsidRPr="00261C59">
        <w:rPr>
          <w:rFonts w:asciiTheme="minorHAnsi" w:eastAsia="Corbel" w:hAnsiTheme="minorHAnsi"/>
          <w:color w:val="000000" w:themeColor="text1"/>
          <w:sz w:val="24"/>
        </w:rPr>
        <w:t xml:space="preserve">The Parties acknowledge the value </w:t>
      </w:r>
      <w:r w:rsidRPr="00261C59" w:rsidDel="00350DE6">
        <w:rPr>
          <w:rFonts w:asciiTheme="minorHAnsi" w:eastAsia="Corbel" w:hAnsiTheme="minorHAnsi"/>
          <w:color w:val="000000" w:themeColor="text1"/>
          <w:sz w:val="24"/>
        </w:rPr>
        <w:t xml:space="preserve">of </w:t>
      </w:r>
      <w:r w:rsidRPr="00261C59">
        <w:rPr>
          <w:rFonts w:asciiTheme="minorHAnsi" w:eastAsia="Corbel" w:hAnsiTheme="minorHAnsi"/>
          <w:color w:val="000000" w:themeColor="text1"/>
          <w:sz w:val="24"/>
        </w:rPr>
        <w:t xml:space="preserve">the National Aboriginal and Torres Strait Islander Health Collaboration (the Collaboration) originally established under National Cabinet architecture to include Commonwealth, State and Territory Government Aboriginal and Torres Strait Islander Health Officers and representatives from the Aboriginal and Torres Strait Islander Health Sector. </w:t>
      </w:r>
    </w:p>
    <w:p w14:paraId="6CAAB86B" w14:textId="628BA489" w:rsidR="00DE2A27" w:rsidRPr="00261C59" w:rsidRDefault="00DE2A27" w:rsidP="00036DD3">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olor w:val="000000" w:themeColor="text1"/>
          <w:sz w:val="24"/>
        </w:rPr>
      </w:pPr>
      <w:r w:rsidRPr="00261C59">
        <w:rPr>
          <w:rFonts w:asciiTheme="minorHAnsi" w:eastAsia="Corbel" w:hAnsiTheme="minorHAnsi"/>
          <w:color w:val="000000" w:themeColor="text1"/>
          <w:sz w:val="24"/>
        </w:rPr>
        <w:t>The Parties agree that the Health Collaboration and Monitoring and Accountability Group may convene a National Aboriginal and Torres Strait Islander Health Roundtable with Health Ministers biennially to discuss the impact of the NHRA on health outcomes for Aboriginal and Torres Strait Islander people and explore areas for improvement.</w:t>
      </w:r>
    </w:p>
    <w:p w14:paraId="1BE4398E" w14:textId="54685255"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olor w:val="000000" w:themeColor="text1"/>
          <w:sz w:val="24"/>
        </w:rPr>
      </w:pPr>
      <w:r w:rsidRPr="00261C59">
        <w:rPr>
          <w:rFonts w:asciiTheme="minorHAnsi" w:eastAsia="Corbel" w:hAnsiTheme="minorHAnsi"/>
          <w:color w:val="000000" w:themeColor="text1"/>
          <w:sz w:val="24"/>
        </w:rPr>
        <w:t xml:space="preserve">The Parties agree that an Aboriginal and Torres </w:t>
      </w:r>
      <w:r w:rsidRPr="00261C59">
        <w:rPr>
          <w:rFonts w:asciiTheme="minorHAnsi" w:eastAsia="Corbel" w:hAnsiTheme="minorHAnsi" w:cstheme="minorHAnsi"/>
          <w:sz w:val="24"/>
          <w:szCs w:val="24"/>
        </w:rPr>
        <w:t xml:space="preserve">Strait Islander representative nominated by NACCHO will be formally appointed as an ongoing member of any comparable health executive forum </w:t>
      </w:r>
      <w:r w:rsidRPr="00261C59">
        <w:rPr>
          <w:rFonts w:asciiTheme="minorHAnsi" w:eastAsia="Corbel" w:hAnsiTheme="minorHAnsi"/>
          <w:color w:val="000000" w:themeColor="text1"/>
          <w:sz w:val="24"/>
        </w:rPr>
        <w:t>established during the term of this NHRA</w:t>
      </w:r>
      <w:r w:rsidR="005E66F4" w:rsidRPr="00261C59">
        <w:rPr>
          <w:rFonts w:asciiTheme="minorHAnsi" w:eastAsia="Corbel" w:hAnsiTheme="minorHAnsi"/>
          <w:color w:val="000000" w:themeColor="text1"/>
          <w:sz w:val="24"/>
        </w:rPr>
        <w:t>, as appropriate</w:t>
      </w:r>
      <w:r w:rsidRPr="00261C59">
        <w:rPr>
          <w:rFonts w:asciiTheme="minorHAnsi" w:eastAsia="Corbel" w:hAnsiTheme="minorHAnsi"/>
          <w:color w:val="000000" w:themeColor="text1"/>
          <w:sz w:val="24"/>
        </w:rPr>
        <w:t>.</w:t>
      </w:r>
    </w:p>
    <w:p w14:paraId="1D80B4EF" w14:textId="77777777" w:rsidR="006E7CE5" w:rsidRPr="00261C59" w:rsidRDefault="006E7CE5" w:rsidP="00946F1D">
      <w:pPr>
        <w:keepNext/>
        <w:jc w:val="left"/>
        <w:outlineLvl w:val="2"/>
        <w:rPr>
          <w:rFonts w:ascii="Corbel" w:hAnsi="Corbel"/>
          <w:color w:val="3D4B67"/>
          <w:sz w:val="28"/>
          <w:szCs w:val="48"/>
          <w:lang w:eastAsia="ja-JP"/>
        </w:rPr>
      </w:pPr>
      <w:bookmarkStart w:id="497" w:name="_Toc210833630"/>
      <w:bookmarkStart w:id="498" w:name="_Toc214456530"/>
      <w:bookmarkStart w:id="499" w:name="_Toc221088010"/>
      <w:r w:rsidRPr="00261C59">
        <w:rPr>
          <w:rFonts w:ascii="Corbel" w:hAnsi="Corbel"/>
          <w:color w:val="3D4B67"/>
          <w:sz w:val="28"/>
          <w:szCs w:val="48"/>
          <w:lang w:eastAsia="ja-JP"/>
        </w:rPr>
        <w:lastRenderedPageBreak/>
        <w:t>Aboriginal and Torres Strait Islander ('Indigenous') Data Sovereignty</w:t>
      </w:r>
      <w:bookmarkEnd w:id="497"/>
      <w:bookmarkEnd w:id="498"/>
      <w:bookmarkEnd w:id="499"/>
      <w:r w:rsidRPr="00261C59">
        <w:rPr>
          <w:rFonts w:ascii="Corbel" w:hAnsi="Corbel"/>
          <w:color w:val="3D4B67"/>
          <w:sz w:val="28"/>
          <w:szCs w:val="48"/>
          <w:lang w:eastAsia="ja-JP"/>
        </w:rPr>
        <w:t xml:space="preserve"> </w:t>
      </w:r>
    </w:p>
    <w:p w14:paraId="6DA9FF13" w14:textId="5C393F05"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acknowledge that health and social data are a cultural, strategic and economic asset for Aboriginal and Torres Strait Islander people.</w:t>
      </w:r>
    </w:p>
    <w:p w14:paraId="2DAB7C55" w14:textId="3886AD63"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endorse the following definitions as globally agreed and adopted by Aboriginal and Torres Strait Islander people, namely:</w:t>
      </w:r>
    </w:p>
    <w:p w14:paraId="26CD893F" w14:textId="7C721898"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 xml:space="preserve">‘Indigenous Data’ refers to information or knowledge, in any format, that is about and that may affect Indigenous people both collectively and individually </w:t>
      </w:r>
    </w:p>
    <w:p w14:paraId="3616EA7D" w14:textId="5F9967B1" w:rsidR="006E7CE5" w:rsidRPr="00261C59" w:rsidRDefault="006E7CE5" w:rsidP="004728D9">
      <w:pPr>
        <w:pStyle w:val="ListParagraph"/>
        <w:keepLines/>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 xml:space="preserve">‘Indigenous Data Sovereignty’ refers to the right of Indigenous people to exercise ownership over Indigenous data. Ownership of data can be expressed through the creation, collection, access, analysis, interpretation, management, dissemination and reuse of Indigenous data </w:t>
      </w:r>
    </w:p>
    <w:p w14:paraId="282E8485" w14:textId="6A7BAF68"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 xml:space="preserve">‘Indigenous Data Governance’ refers to the right of Indigenous people to decide what, how and why Indigenous data are collected. It ensures that data on or about Indigenous people reflects our priorities, values, cultures, worldviews and diversity.  </w:t>
      </w:r>
    </w:p>
    <w:p w14:paraId="1B9EA441" w14:textId="44947B34"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acknowledge that Aboriginal and Torres Strait Islander people have been systematically excluded from control over their own health data and that governments are complicit in aiding non-Indigenous parties to extract, analyse, interpret and control health data without reciprocal benefit for Aboriginal and Torres Strait Islander people.</w:t>
      </w:r>
    </w:p>
    <w:p w14:paraId="30102576" w14:textId="045A226C"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color w:val="000000" w:themeColor="text1"/>
          <w:sz w:val="24"/>
          <w:szCs w:val="24"/>
        </w:rPr>
        <w:t xml:space="preserve">The Parties </w:t>
      </w:r>
      <w:r w:rsidRPr="00261C59">
        <w:rPr>
          <w:rFonts w:asciiTheme="minorHAnsi" w:eastAsia="Corbel" w:hAnsiTheme="minorHAnsi" w:cstheme="minorHAnsi"/>
          <w:sz w:val="24"/>
          <w:szCs w:val="24"/>
        </w:rPr>
        <w:t xml:space="preserve">agree that Aboriginal and Torres Strait Islander people have the right as specified in the </w:t>
      </w:r>
      <w:r w:rsidRPr="00261C59">
        <w:rPr>
          <w:rFonts w:asciiTheme="minorHAnsi" w:eastAsia="Corbel" w:hAnsiTheme="minorHAnsi" w:cstheme="minorHAnsi"/>
          <w:i/>
          <w:iCs/>
          <w:sz w:val="24"/>
          <w:szCs w:val="24"/>
        </w:rPr>
        <w:t>Maiam nayri Wingara</w:t>
      </w:r>
      <w:r w:rsidRPr="00261C59">
        <w:rPr>
          <w:rFonts w:asciiTheme="minorHAnsi" w:eastAsia="Corbel" w:hAnsiTheme="minorHAnsi" w:cstheme="minorHAnsi"/>
          <w:sz w:val="24"/>
          <w:szCs w:val="24"/>
        </w:rPr>
        <w:t xml:space="preserve"> Indigenous Data Sovereignty Collective and the Australian Indigenous Governance Institute communique released in 2018 to decide which datasets require active governance and retain the right to abstain from participating in data processes inconsistent with the </w:t>
      </w:r>
      <w:r w:rsidR="00C74273" w:rsidRPr="00261C59">
        <w:rPr>
          <w:rFonts w:asciiTheme="minorHAnsi" w:eastAsia="Corbel" w:hAnsiTheme="minorHAnsi" w:cstheme="minorHAnsi"/>
          <w:sz w:val="24"/>
          <w:szCs w:val="24"/>
        </w:rPr>
        <w:t xml:space="preserve">global </w:t>
      </w:r>
      <w:r w:rsidRPr="00261C59">
        <w:rPr>
          <w:rFonts w:asciiTheme="minorHAnsi" w:eastAsia="Corbel" w:hAnsiTheme="minorHAnsi" w:cstheme="minorHAnsi"/>
          <w:sz w:val="24"/>
          <w:szCs w:val="24"/>
        </w:rPr>
        <w:t xml:space="preserve">principles of Aboriginal and Torres Strait Islander ('Indigenous') Data Sovereignty (see Part 5). </w:t>
      </w:r>
    </w:p>
    <w:p w14:paraId="7679DD28"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 xml:space="preserve">The Parties commit to strengthen their adherence to principles of governance of Aboriginal and Torres Strait Islander data including: </w:t>
      </w:r>
    </w:p>
    <w:p w14:paraId="3C2637B3" w14:textId="57EB4F70"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 xml:space="preserve">integration of all data lifecycle stages, utilising mechanisms aligned with Aboriginal and Torres Strait Islander-determined needs and aspirations </w:t>
      </w:r>
    </w:p>
    <w:p w14:paraId="2133A4B9" w14:textId="795364BC"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 xml:space="preserve">Aboriginal and Torres Strait Islander leadership and control over processes to strengthen </w:t>
      </w:r>
      <w:r w:rsidR="008A30A0" w:rsidRPr="00261C59">
        <w:rPr>
          <w:rFonts w:asciiTheme="minorHAnsi" w:eastAsia="Corbel" w:hAnsiTheme="minorHAnsi" w:cstheme="minorHAnsi"/>
          <w:sz w:val="24"/>
          <w:szCs w:val="24"/>
        </w:rPr>
        <w:t>gover</w:t>
      </w:r>
      <w:r w:rsidR="005D5A43" w:rsidRPr="00261C59">
        <w:rPr>
          <w:rFonts w:asciiTheme="minorHAnsi" w:eastAsia="Corbel" w:hAnsiTheme="minorHAnsi" w:cstheme="minorHAnsi"/>
          <w:sz w:val="24"/>
          <w:szCs w:val="24"/>
        </w:rPr>
        <w:t>nance of data and data for governance</w:t>
      </w:r>
      <w:r w:rsidRPr="00261C59">
        <w:rPr>
          <w:rFonts w:asciiTheme="minorHAnsi" w:eastAsia="Corbel" w:hAnsiTheme="minorHAnsi" w:cstheme="minorHAnsi"/>
          <w:sz w:val="24"/>
          <w:szCs w:val="24"/>
        </w:rPr>
        <w:t xml:space="preserve"> consistent with Aboriginal and Torres Strait Islander (Indigenous) Data Sovereignty </w:t>
      </w:r>
    </w:p>
    <w:p w14:paraId="554306C0" w14:textId="1400B7EE"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increasing data literacy and capability by allocating resources for Aboriginal and Torres Strait Islander workforce expansion and investing in digital infrastructure and systems aligned with Aboriginal and Torres Strait Islander people</w:t>
      </w:r>
      <w:r w:rsidR="00103F07">
        <w:rPr>
          <w:rFonts w:asciiTheme="minorHAnsi" w:eastAsia="Corbel" w:hAnsiTheme="minorHAnsi" w:cstheme="minorHAnsi"/>
          <w:sz w:val="24"/>
          <w:szCs w:val="24"/>
        </w:rPr>
        <w:t>’</w:t>
      </w:r>
      <w:r w:rsidRPr="00261C59">
        <w:rPr>
          <w:rFonts w:asciiTheme="minorHAnsi" w:eastAsia="Corbel" w:hAnsiTheme="minorHAnsi" w:cstheme="minorHAnsi"/>
          <w:sz w:val="24"/>
          <w:szCs w:val="24"/>
        </w:rPr>
        <w:t xml:space="preserve">s priorities </w:t>
      </w:r>
    </w:p>
    <w:p w14:paraId="0766E0C6" w14:textId="5ED88BA9"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sz w:val="24"/>
          <w:szCs w:val="24"/>
        </w:rPr>
        <w:t xml:space="preserve">reviewing and ensuring accountability of entities that hold Aboriginal and Torres Strait Islander data to ensure that data are </w:t>
      </w:r>
      <w:r w:rsidRPr="00261C59">
        <w:rPr>
          <w:rFonts w:asciiTheme="minorHAnsi" w:eastAsia="Corbel" w:hAnsiTheme="minorHAnsi" w:cstheme="minorHAnsi"/>
          <w:color w:val="000000" w:themeColor="text1"/>
          <w:sz w:val="24"/>
          <w:szCs w:val="24"/>
        </w:rPr>
        <w:t xml:space="preserve">available to and accessible by the Aboriginal and Torres Strait Islander </w:t>
      </w:r>
      <w:r w:rsidR="00613ACC">
        <w:rPr>
          <w:rFonts w:asciiTheme="minorHAnsi" w:eastAsia="Corbel" w:hAnsiTheme="minorHAnsi" w:cstheme="minorHAnsi"/>
          <w:color w:val="000000" w:themeColor="text1"/>
          <w:sz w:val="24"/>
          <w:szCs w:val="24"/>
        </w:rPr>
        <w:t>p</w:t>
      </w:r>
      <w:r w:rsidRPr="00261C59">
        <w:rPr>
          <w:rFonts w:asciiTheme="minorHAnsi" w:eastAsia="Corbel" w:hAnsiTheme="minorHAnsi" w:cstheme="minorHAnsi"/>
          <w:color w:val="000000" w:themeColor="text1"/>
          <w:sz w:val="24"/>
          <w:szCs w:val="24"/>
        </w:rPr>
        <w:t xml:space="preserve">eople and lands to which they relate </w:t>
      </w:r>
    </w:p>
    <w:p w14:paraId="10C9CA6C" w14:textId="77777777"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creation of new Aboriginal and Torres Strait Islander Data Governance mechanisms, guaranteeing that data production is ethical, representative, and beneficial. </w:t>
      </w:r>
    </w:p>
    <w:p w14:paraId="28675772" w14:textId="76FED7BA"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lastRenderedPageBreak/>
        <w:t>The Parties also commit to progress towards full realisation of the five principles for Aboriginal and Torres Strait Islander ('Indigenous') Data Sovereignty including:</w:t>
      </w:r>
    </w:p>
    <w:p w14:paraId="1F926B76" w14:textId="0E409779"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Aboriginal and Torres Strait Islander people should exercise control of the data ecosystem, including creation, development, stewardship, analysis, dissemination and infrastructure</w:t>
      </w:r>
    </w:p>
    <w:p w14:paraId="4F314670" w14:textId="00F7A4B7"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data should be contextual and disaggregated (available and accessible at individual, community, regional and jurisdictional levels)</w:t>
      </w:r>
    </w:p>
    <w:p w14:paraId="306815D9" w14:textId="3776BC33"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data should be relevant and useable to nourish and sustain self-determination and effective self-governance</w:t>
      </w:r>
    </w:p>
    <w:p w14:paraId="241AF389" w14:textId="4618575B"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data structures should be accountable to Aboriginal and Torres Strait Islander people and their community-controlled entities</w:t>
      </w:r>
    </w:p>
    <w:p w14:paraId="38FD901C" w14:textId="45E3618D"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data should be protective and respect Aboriginal and Torres Strait Islander people</w:t>
      </w:r>
      <w:r w:rsidR="00103F07">
        <w:rPr>
          <w:rFonts w:asciiTheme="minorHAnsi" w:eastAsia="Corbel" w:hAnsiTheme="minorHAnsi" w:cstheme="minorHAnsi"/>
          <w:color w:val="000000" w:themeColor="text1"/>
          <w:sz w:val="24"/>
          <w:szCs w:val="24"/>
        </w:rPr>
        <w:t>’</w:t>
      </w:r>
      <w:r w:rsidRPr="00261C59">
        <w:rPr>
          <w:rFonts w:asciiTheme="minorHAnsi" w:eastAsia="Corbel" w:hAnsiTheme="minorHAnsi" w:cstheme="minorHAnsi"/>
          <w:color w:val="000000" w:themeColor="text1"/>
          <w:sz w:val="24"/>
          <w:szCs w:val="24"/>
        </w:rPr>
        <w:t>s individual and collective interests.</w:t>
      </w:r>
    </w:p>
    <w:p w14:paraId="728E44A1"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color w:val="000000" w:themeColor="text1"/>
          <w:sz w:val="24"/>
          <w:szCs w:val="24"/>
        </w:rPr>
        <w:t xml:space="preserve">The Parties agree to report annually to the Monitoring and Accountability Group on their </w:t>
      </w:r>
      <w:r w:rsidRPr="00261C59">
        <w:rPr>
          <w:rFonts w:asciiTheme="minorHAnsi" w:eastAsia="Corbel" w:hAnsiTheme="minorHAnsi" w:cstheme="minorHAnsi"/>
          <w:sz w:val="24"/>
          <w:szCs w:val="24"/>
        </w:rPr>
        <w:t>efforts to strengthen their adherence to the principles for Aboriginal and Torres Strait Islander ('Indigenous') Data Sovereignty in the health system (see Part 5).</w:t>
      </w:r>
    </w:p>
    <w:p w14:paraId="56EBD91C"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 xml:space="preserve">The Parties agree that it is the responsibility of all National Bodies to work in Formal Partnership as defined in Part 5 with the Aboriginal and Torres Strait Islander Health Sector to strengthen their adherence to principles of governance of Aboriginal and Torres Strait Islander data including: </w:t>
      </w:r>
    </w:p>
    <w:p w14:paraId="30F4F47E" w14:textId="0A3C5D83"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hAnsiTheme="minorHAnsi" w:cstheme="minorHAnsi"/>
          <w:sz w:val="24"/>
          <w:szCs w:val="24"/>
        </w:rPr>
      </w:pPr>
      <w:r w:rsidRPr="00261C59">
        <w:rPr>
          <w:rFonts w:asciiTheme="minorHAnsi" w:hAnsiTheme="minorHAnsi" w:cstheme="minorHAnsi"/>
          <w:sz w:val="24"/>
          <w:szCs w:val="24"/>
        </w:rPr>
        <w:t xml:space="preserve">integration of all data lifecycle stages, utilising mechanisms aligned with Aboriginal and Torres Strait Islander-determined needs and aspirations </w:t>
      </w:r>
    </w:p>
    <w:p w14:paraId="40546023" w14:textId="48DC2602"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 xml:space="preserve">Aboriginal and Torres Strait Islander leadership and control over processes to achieve Data Governance consistent with Aboriginal and Torres Strait Islander (Indigenous) Data Sovereignty </w:t>
      </w:r>
    </w:p>
    <w:p w14:paraId="7FF8FACC" w14:textId="3FA2A860"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hAnsiTheme="minorHAnsi" w:cstheme="minorHAnsi"/>
          <w:sz w:val="24"/>
          <w:szCs w:val="24"/>
        </w:rPr>
      </w:pPr>
      <w:r w:rsidRPr="00261C59">
        <w:rPr>
          <w:rFonts w:asciiTheme="minorHAnsi" w:hAnsiTheme="minorHAnsi" w:cstheme="minorHAnsi"/>
          <w:sz w:val="24"/>
          <w:szCs w:val="24"/>
        </w:rPr>
        <w:t>increasing data literacy and capability by allocating resources for Aboriginal and Torres Strait Islander workforce expansion and investing in digital infrastructure and systems aligned with Aboriginal and Torres Strait Islander people</w:t>
      </w:r>
      <w:r w:rsidR="00103F07">
        <w:rPr>
          <w:rFonts w:asciiTheme="minorHAnsi" w:hAnsiTheme="minorHAnsi" w:cstheme="minorHAnsi"/>
          <w:sz w:val="24"/>
          <w:szCs w:val="24"/>
        </w:rPr>
        <w:t>’</w:t>
      </w:r>
      <w:r w:rsidRPr="00261C59">
        <w:rPr>
          <w:rFonts w:asciiTheme="minorHAnsi" w:hAnsiTheme="minorHAnsi" w:cstheme="minorHAnsi"/>
          <w:sz w:val="24"/>
          <w:szCs w:val="24"/>
        </w:rPr>
        <w:t xml:space="preserve">s priorities </w:t>
      </w:r>
    </w:p>
    <w:p w14:paraId="0DBA6D62" w14:textId="1685C69B"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hAnsiTheme="minorHAnsi" w:cstheme="minorHAnsi"/>
          <w:sz w:val="24"/>
          <w:szCs w:val="24"/>
        </w:rPr>
      </w:pPr>
      <w:r w:rsidRPr="00261C59">
        <w:rPr>
          <w:rFonts w:asciiTheme="minorHAnsi" w:hAnsiTheme="minorHAnsi" w:cstheme="minorHAnsi"/>
          <w:sz w:val="24"/>
          <w:szCs w:val="24"/>
        </w:rPr>
        <w:t xml:space="preserve">reviewing and ensuring accountability of entities that hold Aboriginal and Torres Strait Islander data to ensure that data are available to and accessible by the Aboriginal and Torres Strait Islander </w:t>
      </w:r>
      <w:r w:rsidR="00B4013E">
        <w:rPr>
          <w:rFonts w:asciiTheme="minorHAnsi" w:hAnsiTheme="minorHAnsi" w:cstheme="minorHAnsi"/>
          <w:sz w:val="24"/>
          <w:szCs w:val="24"/>
        </w:rPr>
        <w:t>p</w:t>
      </w:r>
      <w:r w:rsidRPr="00261C59">
        <w:rPr>
          <w:rFonts w:asciiTheme="minorHAnsi" w:hAnsiTheme="minorHAnsi" w:cstheme="minorHAnsi"/>
          <w:sz w:val="24"/>
          <w:szCs w:val="24"/>
        </w:rPr>
        <w:t xml:space="preserve">eople and lands to which they relate </w:t>
      </w:r>
    </w:p>
    <w:p w14:paraId="4402F316" w14:textId="77777777"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hAnsiTheme="minorHAnsi" w:cstheme="minorHAnsi"/>
          <w:sz w:val="24"/>
          <w:szCs w:val="24"/>
        </w:rPr>
      </w:pPr>
      <w:r w:rsidRPr="00261C59">
        <w:rPr>
          <w:rFonts w:asciiTheme="minorHAnsi" w:hAnsiTheme="minorHAnsi" w:cstheme="minorHAnsi"/>
          <w:sz w:val="24"/>
          <w:szCs w:val="24"/>
        </w:rPr>
        <w:t xml:space="preserve">creation of new Aboriginal and Torres Strait Islander Data Governance mechanisms, guaranteeing that data production is ethical, representative, and beneficial. </w:t>
      </w:r>
    </w:p>
    <w:p w14:paraId="40346C75" w14:textId="77777777" w:rsidR="006E7CE5" w:rsidRPr="00261C59" w:rsidRDefault="006E7CE5" w:rsidP="001E4C2B">
      <w:pPr>
        <w:spacing w:after="0"/>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Aboriginal and Torres Strait Islander ('Indigenous') Cultural and Intellectual Property</w:t>
      </w:r>
    </w:p>
    <w:p w14:paraId="363199B3" w14:textId="3100269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sz w:val="24"/>
          <w:szCs w:val="24"/>
        </w:rPr>
        <w:t>The Parties acknowledge definitions of Aboriginal and Torres Strait Islander ('Indigenous') Cultural and Intellectual Property (ICIP) as outlined in Appendix A and their application in the context of this agreement and respect Aboriginal and Torres Strait Islander people's rights to their heritage</w:t>
      </w:r>
      <w:r w:rsidRPr="00261C59">
        <w:rPr>
          <w:rFonts w:asciiTheme="minorHAnsi" w:eastAsia="Corbel" w:hAnsiTheme="minorHAnsi" w:cstheme="minorHAnsi"/>
          <w:color w:val="000000" w:themeColor="text1"/>
          <w:sz w:val="24"/>
          <w:szCs w:val="24"/>
        </w:rPr>
        <w:t xml:space="preserve">, cultural knowledge and cultural expression that originates from a family or community group and is passed on from generation to generation.  For the purposes of this agreement, ICIP rights may exist in: </w:t>
      </w:r>
    </w:p>
    <w:p w14:paraId="27E22FA9" w14:textId="6F5B1662" w:rsidR="006E7CE5" w:rsidRPr="00261C59" w:rsidRDefault="006E7CE5" w:rsidP="004728D9">
      <w:pPr>
        <w:pStyle w:val="ListParagraph"/>
        <w:widowControl/>
        <w:numPr>
          <w:ilvl w:val="1"/>
          <w:numId w:val="100"/>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lastRenderedPageBreak/>
        <w:t>literary, performing and artistic works</w:t>
      </w:r>
    </w:p>
    <w:p w14:paraId="2B4B32C0" w14:textId="4D7FA93E" w:rsidR="006E7CE5" w:rsidRPr="00261C59" w:rsidRDefault="006E7CE5" w:rsidP="004728D9">
      <w:pPr>
        <w:pStyle w:val="ListParagraph"/>
        <w:widowControl/>
        <w:numPr>
          <w:ilvl w:val="1"/>
          <w:numId w:val="100"/>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languages</w:t>
      </w:r>
    </w:p>
    <w:p w14:paraId="7EE6A6BE" w14:textId="6D4D51A2" w:rsidR="006E7CE5" w:rsidRPr="00261C59" w:rsidRDefault="006E7CE5" w:rsidP="004728D9">
      <w:pPr>
        <w:pStyle w:val="ListParagraph"/>
        <w:widowControl/>
        <w:numPr>
          <w:ilvl w:val="1"/>
          <w:numId w:val="100"/>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types of knowledge, including spiritual knowledge </w:t>
      </w:r>
    </w:p>
    <w:p w14:paraId="7197D3A9" w14:textId="4A41A84A" w:rsidR="006E7CE5" w:rsidRPr="00261C59" w:rsidRDefault="006E7CE5" w:rsidP="004728D9">
      <w:pPr>
        <w:pStyle w:val="ListParagraph"/>
        <w:widowControl/>
        <w:numPr>
          <w:ilvl w:val="1"/>
          <w:numId w:val="100"/>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tangible and intangible cultural property</w:t>
      </w:r>
    </w:p>
    <w:p w14:paraId="689FF859" w14:textId="77777777" w:rsidR="006E7CE5" w:rsidRPr="00261C59" w:rsidRDefault="006E7CE5" w:rsidP="004728D9">
      <w:pPr>
        <w:pStyle w:val="ListParagraph"/>
        <w:widowControl/>
        <w:numPr>
          <w:ilvl w:val="1"/>
          <w:numId w:val="100"/>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cultural environmental resources; and</w:t>
      </w:r>
    </w:p>
    <w:p w14:paraId="5F52FD63" w14:textId="77777777" w:rsidR="00E02001" w:rsidRPr="00261C59" w:rsidRDefault="006E7CE5" w:rsidP="004728D9">
      <w:pPr>
        <w:pStyle w:val="ListParagraph"/>
        <w:widowControl/>
        <w:numPr>
          <w:ilvl w:val="1"/>
          <w:numId w:val="100"/>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documentation of Indigenous heritage </w:t>
      </w:r>
    </w:p>
    <w:p w14:paraId="5C075535" w14:textId="537E9F76" w:rsidR="006E7CE5" w:rsidRPr="00261C59" w:rsidRDefault="006E7CE5" w:rsidP="004728D9">
      <w:pPr>
        <w:widowControl/>
        <w:adjustRightInd/>
        <w:spacing w:after="240" w:line="260" w:lineRule="exact"/>
        <w:ind w:left="72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created, performed, expressed or contributed to by Aboriginal and Torres Strait Islander people. </w:t>
      </w:r>
    </w:p>
    <w:p w14:paraId="205CBB28" w14:textId="77777777" w:rsidR="006E7CE5" w:rsidRPr="00261C59" w:rsidRDefault="006E7CE5" w:rsidP="001E4C2B">
      <w:pPr>
        <w:jc w:val="left"/>
        <w:outlineLvl w:val="2"/>
        <w:rPr>
          <w:rFonts w:ascii="Corbel" w:hAnsi="Corbel"/>
          <w:color w:val="3D4B67"/>
          <w:sz w:val="28"/>
          <w:szCs w:val="48"/>
          <w:lang w:eastAsia="ja-JP"/>
        </w:rPr>
      </w:pPr>
      <w:bookmarkStart w:id="500" w:name="_Toc210833631"/>
      <w:bookmarkStart w:id="501" w:name="_Toc214456531"/>
      <w:bookmarkStart w:id="502" w:name="_Toc221088011"/>
      <w:r w:rsidRPr="00261C59">
        <w:rPr>
          <w:rFonts w:ascii="Corbel" w:hAnsi="Corbel"/>
          <w:color w:val="3D4B67"/>
          <w:sz w:val="28"/>
          <w:szCs w:val="48"/>
          <w:lang w:eastAsia="ja-JP"/>
        </w:rPr>
        <w:t>Accountability and Reporting</w:t>
      </w:r>
      <w:bookmarkEnd w:id="500"/>
      <w:bookmarkEnd w:id="501"/>
      <w:bookmarkEnd w:id="502"/>
      <w:r w:rsidRPr="00261C59">
        <w:rPr>
          <w:rFonts w:ascii="Corbel" w:hAnsi="Corbel"/>
          <w:color w:val="3D4B67"/>
          <w:sz w:val="28"/>
          <w:szCs w:val="48"/>
          <w:lang w:eastAsia="ja-JP"/>
        </w:rPr>
        <w:t xml:space="preserve"> </w:t>
      </w:r>
    </w:p>
    <w:p w14:paraId="2084AC66"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acknowledge that accountability and reporting are foundations for successful national health reform.</w:t>
      </w:r>
    </w:p>
    <w:p w14:paraId="1CD687BE" w14:textId="1251787D"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acknowledge their obligations to better respect Aboriginal and Torres Strait Islander people</w:t>
      </w:r>
      <w:r w:rsidR="00103F07">
        <w:rPr>
          <w:rFonts w:asciiTheme="minorHAnsi" w:eastAsia="Corbel" w:hAnsiTheme="minorHAnsi" w:cstheme="minorHAnsi"/>
          <w:color w:val="000000" w:themeColor="text1"/>
          <w:sz w:val="24"/>
          <w:szCs w:val="24"/>
        </w:rPr>
        <w:t>’</w:t>
      </w:r>
      <w:r w:rsidRPr="00261C59">
        <w:rPr>
          <w:rFonts w:asciiTheme="minorHAnsi" w:eastAsia="Corbel" w:hAnsiTheme="minorHAnsi" w:cstheme="minorHAnsi"/>
          <w:color w:val="000000" w:themeColor="text1"/>
          <w:sz w:val="24"/>
          <w:szCs w:val="24"/>
        </w:rPr>
        <w:t>s self-determining health agenda and the benefits of shared decision-making in health reform under this Agreement.</w:t>
      </w:r>
    </w:p>
    <w:p w14:paraId="6D2250D3"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agree that accountability, structures and policies in relation to Aboriginal and Torres Strait Islander health outcomes should be transparent, with clearly defined responsibilities specified for all levels of government, sectors and services.</w:t>
      </w:r>
    </w:p>
    <w:p w14:paraId="58838F75" w14:textId="37C884F8"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cstheme="minorHAnsi"/>
          <w:color w:val="000000" w:themeColor="text1"/>
          <w:sz w:val="24"/>
          <w:szCs w:val="24"/>
        </w:rPr>
        <w:t xml:space="preserve">The Parties agree to </w:t>
      </w:r>
      <w:r w:rsidR="00E96357" w:rsidRPr="00261C59">
        <w:rPr>
          <w:rFonts w:asciiTheme="minorHAnsi" w:eastAsia="Corbel" w:hAnsiTheme="minorHAnsi" w:cstheme="minorHAnsi"/>
          <w:color w:val="000000" w:themeColor="text1"/>
          <w:sz w:val="24"/>
          <w:szCs w:val="24"/>
        </w:rPr>
        <w:t xml:space="preserve">strengthen actions to </w:t>
      </w:r>
      <w:r w:rsidRPr="00261C59">
        <w:rPr>
          <w:rFonts w:asciiTheme="minorHAnsi" w:eastAsia="Corbel" w:hAnsiTheme="minorHAnsi" w:cstheme="minorHAnsi"/>
          <w:color w:val="000000" w:themeColor="text1"/>
          <w:sz w:val="24"/>
          <w:szCs w:val="24"/>
        </w:rPr>
        <w:t xml:space="preserve">standardise and enhance data collection across all states and territories to ensure consistency and comprehensiveness. This includes addressing data </w:t>
      </w:r>
      <w:r w:rsidRPr="00261C59">
        <w:rPr>
          <w:rFonts w:asciiTheme="minorHAnsi" w:eastAsia="Corbel" w:hAnsiTheme="minorHAnsi"/>
          <w:sz w:val="24"/>
        </w:rPr>
        <w:t>gaps, particularly in rural and remote areas, through equity-informed methodologies and greater investment in data infrastructure at national through to local levels.</w:t>
      </w:r>
    </w:p>
    <w:p w14:paraId="4A236F6B" w14:textId="320E68DD"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sz w:val="24"/>
        </w:rPr>
        <w:t>The Parties acknowledge that performance indicators about Aboriginal and Torres Strait Islander people'</w:t>
      </w:r>
      <w:r w:rsidR="003C78E6">
        <w:rPr>
          <w:rFonts w:asciiTheme="minorHAnsi" w:eastAsia="Corbel" w:hAnsiTheme="minorHAnsi"/>
          <w:sz w:val="24"/>
        </w:rPr>
        <w:t>s</w:t>
      </w:r>
      <w:r w:rsidRPr="00261C59">
        <w:rPr>
          <w:rFonts w:asciiTheme="minorHAnsi" w:eastAsia="Corbel" w:hAnsiTheme="minorHAnsi"/>
          <w:sz w:val="24"/>
        </w:rPr>
        <w:t xml:space="preserve"> health should be co-designed and take into account factors including connection to land, cultural practices, and the social and cultural wellbeing of communities as collectives, and cultural safety of health services.</w:t>
      </w:r>
    </w:p>
    <w:p w14:paraId="4C7635A2" w14:textId="4D2767F6"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sz w:val="24"/>
        </w:rPr>
        <w:t xml:space="preserve">The Parties agree that it is the responsibility of AIHW to work in Formal Partnership as defined in Part 5 with the Aboriginal and Torres Strait Islander Health Sector to ensure that indicators in the </w:t>
      </w:r>
      <w:r w:rsidR="00C76020" w:rsidRPr="00261C59">
        <w:rPr>
          <w:rFonts w:asciiTheme="minorHAnsi" w:eastAsia="Corbel" w:hAnsiTheme="minorHAnsi"/>
          <w:sz w:val="24"/>
        </w:rPr>
        <w:t>h</w:t>
      </w:r>
      <w:r w:rsidRPr="00261C59">
        <w:rPr>
          <w:rFonts w:asciiTheme="minorHAnsi" w:eastAsia="Corbel" w:hAnsiTheme="minorHAnsi"/>
          <w:sz w:val="24"/>
        </w:rPr>
        <w:t xml:space="preserve">ealth </w:t>
      </w:r>
      <w:r w:rsidR="00C76020" w:rsidRPr="00261C59">
        <w:rPr>
          <w:rFonts w:asciiTheme="minorHAnsi" w:eastAsia="Corbel" w:hAnsiTheme="minorHAnsi"/>
          <w:sz w:val="24"/>
        </w:rPr>
        <w:t>s</w:t>
      </w:r>
      <w:r w:rsidRPr="00261C59">
        <w:rPr>
          <w:rFonts w:asciiTheme="minorHAnsi" w:eastAsia="Corbel" w:hAnsiTheme="minorHAnsi"/>
          <w:sz w:val="24"/>
        </w:rPr>
        <w:t xml:space="preserve">ystem </w:t>
      </w:r>
      <w:r w:rsidR="00C76020" w:rsidRPr="00261C59">
        <w:rPr>
          <w:rFonts w:asciiTheme="minorHAnsi" w:eastAsia="Corbel" w:hAnsiTheme="minorHAnsi"/>
          <w:sz w:val="24"/>
        </w:rPr>
        <w:t>p</w:t>
      </w:r>
      <w:r w:rsidRPr="00261C59">
        <w:rPr>
          <w:rFonts w:asciiTheme="minorHAnsi" w:eastAsia="Corbel" w:hAnsiTheme="minorHAnsi"/>
          <w:sz w:val="24"/>
        </w:rPr>
        <w:t xml:space="preserve">erformance </w:t>
      </w:r>
      <w:r w:rsidR="00C76020" w:rsidRPr="00261C59">
        <w:rPr>
          <w:rFonts w:asciiTheme="minorHAnsi" w:eastAsia="Corbel" w:hAnsiTheme="minorHAnsi"/>
          <w:sz w:val="24"/>
        </w:rPr>
        <w:t>a</w:t>
      </w:r>
      <w:r w:rsidRPr="00261C59">
        <w:rPr>
          <w:rFonts w:asciiTheme="minorHAnsi" w:eastAsia="Corbel" w:hAnsiTheme="minorHAnsi"/>
          <w:sz w:val="24"/>
        </w:rPr>
        <w:t xml:space="preserve">ssessment </w:t>
      </w:r>
      <w:r w:rsidR="00EA6E99" w:rsidRPr="00261C59">
        <w:rPr>
          <w:rFonts w:asciiTheme="minorHAnsi" w:eastAsia="Corbel" w:hAnsiTheme="minorHAnsi"/>
          <w:sz w:val="24"/>
        </w:rPr>
        <w:t>F</w:t>
      </w:r>
      <w:r w:rsidRPr="00261C59">
        <w:rPr>
          <w:rFonts w:asciiTheme="minorHAnsi" w:eastAsia="Corbel" w:hAnsiTheme="minorHAnsi"/>
          <w:sz w:val="24"/>
        </w:rPr>
        <w:t>ramework measuring health system performance in relation to Aboriginal and Torres Strait Islander people</w:t>
      </w:r>
      <w:r w:rsidR="00103F07">
        <w:rPr>
          <w:rFonts w:asciiTheme="minorHAnsi" w:eastAsia="Corbel" w:hAnsiTheme="minorHAnsi"/>
          <w:sz w:val="24"/>
        </w:rPr>
        <w:t>’</w:t>
      </w:r>
      <w:r w:rsidRPr="00261C59">
        <w:rPr>
          <w:rFonts w:asciiTheme="minorHAnsi" w:eastAsia="Corbel" w:hAnsiTheme="minorHAnsi"/>
          <w:sz w:val="24"/>
        </w:rPr>
        <w:t>s health are co-designed, relevant, accurate, meaningful and reflective of Aboriginal and Torres Strait Islander people</w:t>
      </w:r>
      <w:r w:rsidR="00103F07">
        <w:rPr>
          <w:rFonts w:asciiTheme="minorHAnsi" w:eastAsia="Corbel" w:hAnsiTheme="minorHAnsi"/>
          <w:sz w:val="24"/>
        </w:rPr>
        <w:t>’</w:t>
      </w:r>
      <w:r w:rsidRPr="00261C59">
        <w:rPr>
          <w:rFonts w:asciiTheme="minorHAnsi" w:eastAsia="Corbel" w:hAnsiTheme="minorHAnsi"/>
          <w:sz w:val="24"/>
        </w:rPr>
        <w:t>s health priorities.</w:t>
      </w:r>
    </w:p>
    <w:p w14:paraId="6DF478EA" w14:textId="0B4CF5B1"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sz w:val="24"/>
        </w:rPr>
        <w:t>The</w:t>
      </w:r>
      <w:r w:rsidRPr="00261C59">
        <w:rPr>
          <w:rFonts w:asciiTheme="minorHAnsi" w:eastAsia="Corbel" w:hAnsiTheme="minorHAnsi"/>
          <w:strike/>
          <w:sz w:val="24"/>
        </w:rPr>
        <w:t xml:space="preserve"> </w:t>
      </w:r>
      <w:r w:rsidRPr="00261C59">
        <w:rPr>
          <w:rFonts w:asciiTheme="minorHAnsi" w:eastAsia="Corbel" w:hAnsiTheme="minorHAnsi"/>
          <w:sz w:val="24"/>
        </w:rPr>
        <w:t xml:space="preserve">Parties agree that the </w:t>
      </w:r>
      <w:r w:rsidR="00C76020" w:rsidRPr="00261C59">
        <w:rPr>
          <w:rFonts w:asciiTheme="minorHAnsi" w:eastAsia="Corbel" w:hAnsiTheme="minorHAnsi"/>
          <w:sz w:val="24"/>
        </w:rPr>
        <w:t>h</w:t>
      </w:r>
      <w:r w:rsidRPr="00261C59">
        <w:rPr>
          <w:rFonts w:asciiTheme="minorHAnsi" w:eastAsia="Corbel" w:hAnsiTheme="minorHAnsi"/>
          <w:sz w:val="24"/>
        </w:rPr>
        <w:t xml:space="preserve">ealth </w:t>
      </w:r>
      <w:r w:rsidR="00C76020" w:rsidRPr="00261C59">
        <w:rPr>
          <w:rFonts w:asciiTheme="minorHAnsi" w:eastAsia="Corbel" w:hAnsiTheme="minorHAnsi"/>
          <w:sz w:val="24"/>
        </w:rPr>
        <w:t>s</w:t>
      </w:r>
      <w:r w:rsidRPr="00261C59">
        <w:rPr>
          <w:rFonts w:asciiTheme="minorHAnsi" w:eastAsia="Corbel" w:hAnsiTheme="minorHAnsi"/>
          <w:sz w:val="24"/>
        </w:rPr>
        <w:t xml:space="preserve">ystem </w:t>
      </w:r>
      <w:r w:rsidR="00C76020" w:rsidRPr="00261C59">
        <w:rPr>
          <w:rFonts w:asciiTheme="minorHAnsi" w:eastAsia="Corbel" w:hAnsiTheme="minorHAnsi"/>
          <w:sz w:val="24"/>
        </w:rPr>
        <w:t>p</w:t>
      </w:r>
      <w:r w:rsidRPr="00261C59">
        <w:rPr>
          <w:rFonts w:asciiTheme="minorHAnsi" w:eastAsia="Corbel" w:hAnsiTheme="minorHAnsi"/>
          <w:sz w:val="24"/>
        </w:rPr>
        <w:t xml:space="preserve">erformance </w:t>
      </w:r>
      <w:r w:rsidR="00C76020" w:rsidRPr="00261C59">
        <w:rPr>
          <w:rFonts w:asciiTheme="minorHAnsi" w:eastAsia="Corbel" w:hAnsiTheme="minorHAnsi"/>
          <w:sz w:val="24"/>
        </w:rPr>
        <w:t>a</w:t>
      </w:r>
      <w:r w:rsidRPr="00261C59">
        <w:rPr>
          <w:rFonts w:asciiTheme="minorHAnsi" w:eastAsia="Corbel" w:hAnsiTheme="minorHAnsi"/>
          <w:sz w:val="24"/>
        </w:rPr>
        <w:t xml:space="preserve">ssessment </w:t>
      </w:r>
      <w:r w:rsidR="00C76020" w:rsidRPr="00261C59">
        <w:rPr>
          <w:rFonts w:asciiTheme="minorHAnsi" w:eastAsia="Corbel" w:hAnsiTheme="minorHAnsi"/>
          <w:sz w:val="24"/>
        </w:rPr>
        <w:t>f</w:t>
      </w:r>
      <w:r w:rsidRPr="00261C59">
        <w:rPr>
          <w:rFonts w:asciiTheme="minorHAnsi" w:eastAsia="Corbel" w:hAnsiTheme="minorHAnsi"/>
          <w:sz w:val="24"/>
        </w:rPr>
        <w:t>ramework as it relates to Aboriginal and Torres Strait Islander people</w:t>
      </w:r>
      <w:r w:rsidR="00103F07">
        <w:rPr>
          <w:rFonts w:asciiTheme="minorHAnsi" w:eastAsia="Corbel" w:hAnsiTheme="minorHAnsi"/>
          <w:sz w:val="24"/>
        </w:rPr>
        <w:t>’</w:t>
      </w:r>
      <w:r w:rsidRPr="00261C59">
        <w:rPr>
          <w:rFonts w:asciiTheme="minorHAnsi" w:eastAsia="Corbel" w:hAnsiTheme="minorHAnsi"/>
          <w:sz w:val="24"/>
        </w:rPr>
        <w:t xml:space="preserve">s health outcomes </w:t>
      </w:r>
      <w:r w:rsidR="008D50D4" w:rsidRPr="00261C59">
        <w:rPr>
          <w:rFonts w:asciiTheme="minorHAnsi" w:eastAsia="Corbel" w:hAnsiTheme="minorHAnsi"/>
          <w:sz w:val="24"/>
        </w:rPr>
        <w:t>will be</w:t>
      </w:r>
      <w:r w:rsidR="007A0EC1" w:rsidRPr="00261C59">
        <w:rPr>
          <w:rFonts w:asciiTheme="minorHAnsi" w:eastAsia="Corbel" w:hAnsiTheme="minorHAnsi"/>
          <w:sz w:val="24"/>
        </w:rPr>
        <w:t xml:space="preserve"> </w:t>
      </w:r>
      <w:r w:rsidRPr="00261C59">
        <w:rPr>
          <w:rFonts w:asciiTheme="minorHAnsi" w:eastAsia="Corbel" w:hAnsiTheme="minorHAnsi"/>
          <w:sz w:val="24"/>
        </w:rPr>
        <w:t xml:space="preserve">developed to the satisfaction of the independent national Monitoring and Accountability Group. </w:t>
      </w:r>
    </w:p>
    <w:p w14:paraId="56CFACE1" w14:textId="77777777" w:rsidR="006E7CE5" w:rsidRPr="00261C59" w:rsidRDefault="006E7CE5" w:rsidP="001A08BA">
      <w:pPr>
        <w:keepNext/>
        <w:jc w:val="left"/>
        <w:outlineLvl w:val="2"/>
        <w:rPr>
          <w:rFonts w:ascii="Corbel" w:hAnsi="Corbel"/>
          <w:sz w:val="28"/>
          <w:szCs w:val="48"/>
          <w:lang w:eastAsia="ja-JP"/>
        </w:rPr>
      </w:pPr>
      <w:bookmarkStart w:id="503" w:name="_Toc210833632"/>
      <w:bookmarkStart w:id="504" w:name="_Toc214456532"/>
      <w:bookmarkStart w:id="505" w:name="_Toc221088012"/>
      <w:r w:rsidRPr="00261C59">
        <w:rPr>
          <w:rFonts w:ascii="Corbel" w:hAnsi="Corbel"/>
          <w:sz w:val="28"/>
          <w:szCs w:val="48"/>
          <w:lang w:eastAsia="ja-JP"/>
        </w:rPr>
        <w:t>National Bodies</w:t>
      </w:r>
      <w:bookmarkEnd w:id="503"/>
      <w:bookmarkEnd w:id="504"/>
      <w:bookmarkEnd w:id="505"/>
    </w:p>
    <w:p w14:paraId="782827F3" w14:textId="77777777" w:rsidR="006E7CE5" w:rsidRPr="00261C59" w:rsidRDefault="006E7CE5" w:rsidP="002C4E35">
      <w:pPr>
        <w:pStyle w:val="ListParagraph"/>
        <w:keepNext/>
        <w:keepLines/>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sz w:val="24"/>
        </w:rPr>
        <w:t>The Parties agree that it is the responsibility of all National Bodies to enact and embed the National Agreement on Closing the Gap and its four Priority Reforms by transforming their structures, systems, processes and cultures. These National Bodies are:</w:t>
      </w:r>
    </w:p>
    <w:p w14:paraId="37918AEA" w14:textId="77777777"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The Independent Health and Aged Care Pricing Authority</w:t>
      </w:r>
    </w:p>
    <w:p w14:paraId="658B13BD" w14:textId="77777777"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The Administrator of the National Health Funding Pool (the Administrator) and the National Health Funding Body</w:t>
      </w:r>
    </w:p>
    <w:p w14:paraId="2381269C" w14:textId="77777777"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sz w:val="24"/>
          <w:szCs w:val="24"/>
        </w:rPr>
        <w:t xml:space="preserve">The Australian Commission on Safety and Quality in </w:t>
      </w:r>
      <w:r w:rsidRPr="00261C59">
        <w:rPr>
          <w:rFonts w:asciiTheme="minorHAnsi" w:eastAsia="Corbel" w:hAnsiTheme="minorHAnsi" w:cstheme="minorHAnsi"/>
          <w:color w:val="000000" w:themeColor="text1"/>
          <w:sz w:val="24"/>
          <w:szCs w:val="24"/>
        </w:rPr>
        <w:t xml:space="preserve">Health Care </w:t>
      </w:r>
    </w:p>
    <w:p w14:paraId="6635D67E" w14:textId="17E1C353"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Australian Institute of Health and Welfare.</w:t>
      </w:r>
    </w:p>
    <w:p w14:paraId="3A7280CE"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The Parties agree that the National Bodies must ensure:</w:t>
      </w:r>
    </w:p>
    <w:p w14:paraId="55C4414A" w14:textId="77777777"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their decision-making and governance arrangements include Aboriginal and Torres Strait Islander representation through actions including but not limited to:</w:t>
      </w:r>
    </w:p>
    <w:p w14:paraId="6509A7A5" w14:textId="5F78BB0B" w:rsidR="006E7CE5" w:rsidRPr="00261C59" w:rsidRDefault="006E7CE5" w:rsidP="004728D9">
      <w:pPr>
        <w:pStyle w:val="ListParagraph"/>
        <w:widowControl/>
        <w:numPr>
          <w:ilvl w:val="2"/>
          <w:numId w:val="93"/>
        </w:numPr>
        <w:tabs>
          <w:tab w:val="clear" w:pos="851"/>
        </w:tabs>
        <w:adjustRightInd/>
        <w:spacing w:before="120" w:after="240" w:line="260" w:lineRule="exact"/>
        <w:ind w:left="1842" w:hanging="181"/>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appointing Aboriginal and Torres Strait Islander representatives on agency boards and committees (if required, the Parties will review amendments to</w:t>
      </w:r>
      <w:r w:rsidRPr="00261C59">
        <w:rPr>
          <w:rFonts w:asciiTheme="minorHAnsi" w:eastAsia="Corbel" w:hAnsiTheme="minorHAnsi"/>
          <w:sz w:val="24"/>
          <w:u w:val="single"/>
        </w:rPr>
        <w:t xml:space="preserve"> </w:t>
      </w:r>
      <w:r w:rsidRPr="00261C59">
        <w:rPr>
          <w:rFonts w:asciiTheme="minorHAnsi" w:eastAsia="Corbel" w:hAnsiTheme="minorHAnsi" w:cstheme="minorHAnsi"/>
          <w:sz w:val="24"/>
          <w:szCs w:val="24"/>
        </w:rPr>
        <w:t>legislation and other barriers to enable this)</w:t>
      </w:r>
    </w:p>
    <w:p w14:paraId="3E715722" w14:textId="55705AE7" w:rsidR="006E7CE5" w:rsidRPr="00261C59" w:rsidRDefault="006E7CE5" w:rsidP="004728D9">
      <w:pPr>
        <w:pStyle w:val="ListParagraph"/>
        <w:widowControl/>
        <w:numPr>
          <w:ilvl w:val="2"/>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establishing Formal Partnership arrangements with Aboriginal and Torres Strait Islander people and the Aboriginal and Torres Strait Islander Health Sector</w:t>
      </w:r>
    </w:p>
    <w:p w14:paraId="1D28864D" w14:textId="77777777" w:rsidR="006E7CE5" w:rsidRPr="00261C59" w:rsidRDefault="006E7CE5" w:rsidP="004728D9">
      <w:pPr>
        <w:pStyle w:val="ListParagraph"/>
        <w:widowControl/>
        <w:numPr>
          <w:ilvl w:val="2"/>
          <w:numId w:val="93"/>
        </w:numPr>
        <w:tabs>
          <w:tab w:val="clear" w:pos="851"/>
        </w:tabs>
        <w:adjustRightInd/>
        <w:spacing w:before="120" w:after="240" w:line="260" w:lineRule="exact"/>
        <w:contextualSpacing w:val="0"/>
        <w:jc w:val="left"/>
        <w:textAlignment w:val="auto"/>
        <w:rPr>
          <w:rFonts w:asciiTheme="minorHAnsi" w:eastAsia="Corbel" w:hAnsiTheme="minorHAnsi"/>
          <w:color w:val="000000" w:themeColor="text1"/>
          <w:sz w:val="24"/>
        </w:rPr>
      </w:pPr>
      <w:r w:rsidRPr="00261C59">
        <w:rPr>
          <w:rFonts w:asciiTheme="minorHAnsi" w:eastAsia="Corbel" w:hAnsiTheme="minorHAnsi"/>
          <w:color w:val="000000" w:themeColor="text1"/>
          <w:sz w:val="24"/>
        </w:rPr>
        <w:t>establishing dedicated Aboriginal and Torres Strait Islander teams in their organisations</w:t>
      </w:r>
    </w:p>
    <w:p w14:paraId="36B4EE5F" w14:textId="77777777" w:rsidR="006E7CE5" w:rsidRPr="00261C59" w:rsidRDefault="006E7CE5" w:rsidP="004728D9">
      <w:pPr>
        <w:pStyle w:val="ListParagraph"/>
        <w:widowControl/>
        <w:numPr>
          <w:ilvl w:val="2"/>
          <w:numId w:val="93"/>
        </w:numPr>
        <w:tabs>
          <w:tab w:val="clear" w:pos="851"/>
        </w:tabs>
        <w:adjustRightInd/>
        <w:spacing w:before="120" w:after="240" w:line="260" w:lineRule="exact"/>
        <w:contextualSpacing w:val="0"/>
        <w:jc w:val="left"/>
        <w:textAlignment w:val="auto"/>
        <w:rPr>
          <w:rFonts w:asciiTheme="minorHAnsi" w:eastAsia="Corbel" w:hAnsiTheme="minorHAnsi"/>
          <w:color w:val="000000" w:themeColor="text1"/>
          <w:sz w:val="24"/>
        </w:rPr>
      </w:pPr>
      <w:r w:rsidRPr="00261C59">
        <w:rPr>
          <w:rFonts w:asciiTheme="minorHAnsi" w:eastAsia="Corbel" w:hAnsiTheme="minorHAnsi"/>
          <w:color w:val="000000" w:themeColor="text1"/>
          <w:sz w:val="24"/>
        </w:rPr>
        <w:t>embedding strategies for the recruitment, retention and career advancement of Aboriginal and Torres Strait Islander staff</w:t>
      </w:r>
    </w:p>
    <w:p w14:paraId="56298768" w14:textId="77777777"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public reporting on efforts they have undertaken to implement the National Agreement on Closing the Gap and its four Priority Reforms including:</w:t>
      </w:r>
    </w:p>
    <w:p w14:paraId="123C72E8" w14:textId="35AC7D26" w:rsidR="006E7CE5" w:rsidRPr="00261C59" w:rsidRDefault="006E7CE5" w:rsidP="004728D9">
      <w:pPr>
        <w:pStyle w:val="ListParagraph"/>
        <w:widowControl/>
        <w:numPr>
          <w:ilvl w:val="2"/>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presenting in their corporate plans and annual reports their efforts to operationalise the National Agreement on Closing the Gap and its four Priority Reforms as above</w:t>
      </w:r>
    </w:p>
    <w:p w14:paraId="3410E4C1" w14:textId="5F268432" w:rsidR="006E7CE5" w:rsidRPr="00261C59" w:rsidRDefault="006E7CE5" w:rsidP="004728D9">
      <w:pPr>
        <w:pStyle w:val="ListParagraph"/>
        <w:widowControl/>
        <w:numPr>
          <w:ilvl w:val="2"/>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contributing to their respective departmental formal reporting on the National Agreement on Closing the Gap, including through the Partnership Stocktake, Implementation Plan and Annual Report</w:t>
      </w:r>
    </w:p>
    <w:p w14:paraId="07249BFB" w14:textId="77777777" w:rsidR="006E7CE5" w:rsidRPr="00261C59" w:rsidRDefault="006E7CE5" w:rsidP="004728D9">
      <w:pPr>
        <w:pStyle w:val="ListParagraph"/>
        <w:widowControl/>
        <w:numPr>
          <w:ilvl w:val="2"/>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strengthening Aboriginal and Torres Strait Islander ('Indigenous') data governance including Aboriginal and Torres Strait Islander ('Indigenous') Data Sovereignty.</w:t>
      </w:r>
    </w:p>
    <w:p w14:paraId="228093D3" w14:textId="77777777" w:rsidR="006E7CE5" w:rsidRPr="00261C59" w:rsidRDefault="006E7CE5" w:rsidP="001E4C2B">
      <w:pPr>
        <w:pStyle w:val="Heading2"/>
        <w:widowControl/>
        <w:adjustRightInd/>
        <w:spacing w:before="180" w:after="120"/>
        <w:jc w:val="left"/>
        <w:textAlignment w:val="auto"/>
        <w:rPr>
          <w:rFonts w:ascii="Corbel" w:eastAsia="Times New Roman" w:hAnsi="Corbel" w:cs="Arial"/>
          <w:iCs/>
          <w:color w:val="3D4B67"/>
          <w:sz w:val="28"/>
          <w:szCs w:val="28"/>
        </w:rPr>
      </w:pPr>
      <w:bookmarkStart w:id="506" w:name="_Toc210833633"/>
      <w:bookmarkStart w:id="507" w:name="_Toc214456533"/>
      <w:bookmarkStart w:id="508" w:name="_Toc221088013"/>
      <w:r w:rsidRPr="00261C59">
        <w:rPr>
          <w:rFonts w:ascii="Corbel" w:eastAsia="Times New Roman" w:hAnsi="Corbel" w:cs="Arial"/>
          <w:iCs/>
          <w:color w:val="3D4B67"/>
          <w:sz w:val="28"/>
          <w:szCs w:val="28"/>
        </w:rPr>
        <w:t>Part 3 – Health equity</w:t>
      </w:r>
      <w:bookmarkEnd w:id="506"/>
      <w:bookmarkEnd w:id="507"/>
      <w:bookmarkEnd w:id="508"/>
    </w:p>
    <w:p w14:paraId="39B3BC80" w14:textId="77777777" w:rsidR="006E7CE5" w:rsidRPr="00261C59" w:rsidRDefault="006E7CE5" w:rsidP="001A08BA">
      <w:pPr>
        <w:keepNext/>
        <w:jc w:val="left"/>
        <w:outlineLvl w:val="2"/>
        <w:rPr>
          <w:rFonts w:ascii="Corbel" w:hAnsi="Corbel"/>
          <w:color w:val="3D4B67"/>
          <w:sz w:val="28"/>
          <w:szCs w:val="48"/>
          <w:lang w:eastAsia="ja-JP"/>
        </w:rPr>
      </w:pPr>
      <w:bookmarkStart w:id="509" w:name="_Toc210833634"/>
      <w:bookmarkStart w:id="510" w:name="_Toc214456534"/>
      <w:bookmarkStart w:id="511" w:name="_Toc221088014"/>
      <w:r w:rsidRPr="00261C59">
        <w:rPr>
          <w:rFonts w:ascii="Corbel" w:hAnsi="Corbel"/>
          <w:color w:val="3D4B67"/>
          <w:sz w:val="28"/>
          <w:szCs w:val="48"/>
          <w:lang w:eastAsia="ja-JP"/>
        </w:rPr>
        <w:t>Health Equity</w:t>
      </w:r>
      <w:bookmarkEnd w:id="509"/>
      <w:bookmarkEnd w:id="510"/>
      <w:bookmarkEnd w:id="511"/>
      <w:r w:rsidRPr="00261C59">
        <w:rPr>
          <w:rFonts w:ascii="Corbel" w:hAnsi="Corbel"/>
          <w:color w:val="3D4B67"/>
          <w:sz w:val="28"/>
          <w:szCs w:val="48"/>
          <w:lang w:eastAsia="ja-JP"/>
        </w:rPr>
        <w:t xml:space="preserve"> </w:t>
      </w:r>
    </w:p>
    <w:p w14:paraId="3F5352D7"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acknowledge that racism and associated discriminatory practices create inequities within Australia's health care system and harm good health outcomes for all Australians.</w:t>
      </w:r>
    </w:p>
    <w:p w14:paraId="7A9DE1DC" w14:textId="77777777" w:rsidR="006E7CE5" w:rsidRPr="00261C59" w:rsidRDefault="006E7CE5" w:rsidP="004728D9">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The Parties recognise the importance of primary health care as a foundation for an effective, sustainable and equitable health care system. </w:t>
      </w:r>
    </w:p>
    <w:p w14:paraId="15EEBA5F"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The Parties agree that Aboriginal and Torres Strait Islander Australians have a right to culturally safe, trauma-aware and healing informed, responsive health care, free of racism and inequity. </w:t>
      </w:r>
    </w:p>
    <w:p w14:paraId="02709553" w14:textId="5D89DA09"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recognise the leadership of Aboriginal and Torres Strait Islander people in driving health equity.</w:t>
      </w:r>
    </w:p>
    <w:p w14:paraId="341D3738" w14:textId="454CD61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acknowledge that the attainment by Aboriginal and Torres Strait Islander people of equitable health outcomes requires shared decision-making, power-sharing, accountability and monitoring.</w:t>
      </w:r>
    </w:p>
    <w:p w14:paraId="5FDC1D4F" w14:textId="77777777" w:rsidR="006E7CE5" w:rsidRPr="00261C59" w:rsidRDefault="006E7CE5" w:rsidP="001E4C2B">
      <w:pPr>
        <w:pStyle w:val="Heading2"/>
        <w:widowControl/>
        <w:adjustRightInd/>
        <w:spacing w:before="180" w:after="120"/>
        <w:jc w:val="left"/>
        <w:textAlignment w:val="auto"/>
        <w:rPr>
          <w:rFonts w:ascii="Corbel" w:eastAsia="Times New Roman" w:hAnsi="Corbel" w:cs="Arial"/>
          <w:iCs/>
          <w:color w:val="3D4B67"/>
          <w:sz w:val="28"/>
          <w:szCs w:val="28"/>
        </w:rPr>
      </w:pPr>
      <w:bookmarkStart w:id="512" w:name="_Toc210833635"/>
      <w:bookmarkStart w:id="513" w:name="_Toc214456535"/>
      <w:bookmarkStart w:id="514" w:name="_Toc221088015"/>
      <w:r w:rsidRPr="00261C59">
        <w:rPr>
          <w:rFonts w:ascii="Corbel" w:eastAsia="Times New Roman" w:hAnsi="Corbel" w:cs="Arial"/>
          <w:iCs/>
          <w:color w:val="3D4B67"/>
          <w:sz w:val="28"/>
          <w:szCs w:val="28"/>
        </w:rPr>
        <w:t>Part 4 – Culturally safe health care</w:t>
      </w:r>
      <w:bookmarkEnd w:id="512"/>
      <w:bookmarkEnd w:id="513"/>
      <w:bookmarkEnd w:id="514"/>
    </w:p>
    <w:p w14:paraId="1A5D58DC" w14:textId="77777777" w:rsidR="006E7CE5" w:rsidRPr="00261C59" w:rsidRDefault="006E7CE5" w:rsidP="001E4C2B">
      <w:pPr>
        <w:jc w:val="left"/>
        <w:outlineLvl w:val="2"/>
        <w:rPr>
          <w:rFonts w:ascii="Corbel" w:hAnsi="Corbel"/>
          <w:color w:val="3D4B67"/>
          <w:sz w:val="28"/>
          <w:szCs w:val="48"/>
          <w:lang w:eastAsia="ja-JP"/>
        </w:rPr>
      </w:pPr>
      <w:bookmarkStart w:id="515" w:name="_Toc210833636"/>
      <w:bookmarkStart w:id="516" w:name="_Toc214456536"/>
      <w:bookmarkStart w:id="517" w:name="_Toc221088016"/>
      <w:r w:rsidRPr="00261C59">
        <w:rPr>
          <w:rFonts w:ascii="Corbel" w:hAnsi="Corbel"/>
          <w:color w:val="3D4B67"/>
          <w:sz w:val="28"/>
          <w:szCs w:val="48"/>
          <w:lang w:eastAsia="ja-JP"/>
        </w:rPr>
        <w:t>Cultural Safety and Racism</w:t>
      </w:r>
      <w:bookmarkEnd w:id="515"/>
      <w:bookmarkEnd w:id="516"/>
      <w:bookmarkEnd w:id="517"/>
      <w:r w:rsidRPr="00261C59">
        <w:rPr>
          <w:rFonts w:ascii="Corbel" w:hAnsi="Corbel"/>
          <w:color w:val="3D4B67"/>
          <w:sz w:val="28"/>
          <w:szCs w:val="48"/>
          <w:lang w:eastAsia="ja-JP"/>
        </w:rPr>
        <w:t xml:space="preserve"> </w:t>
      </w:r>
    </w:p>
    <w:p w14:paraId="0A26BEC0"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accept their responsibilities as system managers to ensure that health care is provided in facilities free of racism and that specific efforts are required to ensure hospitals, public health services and all health facilities are free of systemic and institutional racism.</w:t>
      </w:r>
    </w:p>
    <w:p w14:paraId="0B708287" w14:textId="270E98EB"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acknowledge colonisation and systemic racism, social, cultural, behavioural and economic factors which impact individual and community health for Aboriginal and Torres Strait Islander people.</w:t>
      </w:r>
    </w:p>
    <w:p w14:paraId="764C200C" w14:textId="60B1B81B"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cstheme="minorHAnsi"/>
          <w:color w:val="000000" w:themeColor="text1"/>
          <w:sz w:val="24"/>
          <w:szCs w:val="24"/>
        </w:rPr>
        <w:t xml:space="preserve">The Parties will show the leadership necessary to ensure that members of the HMM, Health Chief Executives Forum </w:t>
      </w:r>
      <w:r w:rsidRPr="00261C59">
        <w:rPr>
          <w:rFonts w:asciiTheme="minorHAnsi" w:eastAsia="Corbel" w:hAnsiTheme="minorHAnsi"/>
          <w:sz w:val="24"/>
        </w:rPr>
        <w:t>and System Reform Deputies Group commit to improve their stewardship of partnership, co-design, shared decision-making and power sharing with Aboriginal and Torres Strait Islander people, their communities and the Aboriginal and Torres Strait Islander Health Sector.</w:t>
      </w:r>
    </w:p>
    <w:p w14:paraId="6176769A" w14:textId="5613761A"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sz w:val="24"/>
        </w:rPr>
        <w:t>The Parties agree to foster safe working environments through leadership to support the rights and dignity of Aboriginal and Torres Strait Islander people and colleagues.</w:t>
      </w:r>
    </w:p>
    <w:p w14:paraId="18B0D0BB" w14:textId="0A41350D"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sz w:val="24"/>
        </w:rPr>
        <w:t>The Parties accept the two-part definition of cultural safety developed by the Australian Health Practitioner Regulation Authority (AHPRA) for the National</w:t>
      </w:r>
      <w:r w:rsidR="00EC4A9F" w:rsidRPr="00261C59">
        <w:rPr>
          <w:rFonts w:asciiTheme="minorHAnsi" w:eastAsia="Corbel" w:hAnsiTheme="minorHAnsi"/>
          <w:sz w:val="24"/>
        </w:rPr>
        <w:t xml:space="preserve"> </w:t>
      </w:r>
      <w:r w:rsidRPr="00261C59">
        <w:rPr>
          <w:rFonts w:asciiTheme="minorHAnsi" w:eastAsia="Corbel" w:hAnsiTheme="minorHAnsi"/>
          <w:sz w:val="24"/>
        </w:rPr>
        <w:t xml:space="preserve">Registration and Accreditation Scheme, as follows: </w:t>
      </w:r>
    </w:p>
    <w:p w14:paraId="52446728" w14:textId="63AA6268"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Cultural safety is determined by Aboriginal and Torres Strait Islander individuals, families and communities</w:t>
      </w:r>
    </w:p>
    <w:p w14:paraId="25363F7A" w14:textId="1A8E0D5F"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Culturally safe practise is the ongoing critical reflection of health practitioner knowledge, skills, attitudes, practising behaviours and power differentials in delivering safe, accessible and responsive healthcare free of racism</w:t>
      </w:r>
    </w:p>
    <w:p w14:paraId="2D2DEBE9" w14:textId="77777777" w:rsidR="006E7CE5" w:rsidRPr="00261C59" w:rsidRDefault="006E7CE5" w:rsidP="004728D9">
      <w:pPr>
        <w:spacing w:after="240" w:line="260" w:lineRule="exact"/>
        <w:ind w:left="720"/>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and also acknowledge that</w:t>
      </w:r>
    </w:p>
    <w:p w14:paraId="55C01326" w14:textId="77777777"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cultural safety requires organisational change through critically analysing and addressing racism, biases, assumptions, stereotypes and prejudices expressed through the organisations structures, values, policies and procedures that create barriers to provide good health care and good health outcomes. </w:t>
      </w:r>
    </w:p>
    <w:p w14:paraId="44AB79E9" w14:textId="77777777" w:rsidR="006E7CE5" w:rsidRPr="00261C59" w:rsidRDefault="006E7CE5" w:rsidP="002C4E35">
      <w:pPr>
        <w:pStyle w:val="ListParagraph"/>
        <w:keepLines/>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sz w:val="24"/>
        </w:rPr>
        <w:t xml:space="preserve">The Parties agree that it is the responsibility of the Australian Commission on Safety and Quality in Health Care to work in Formal Partnership as defined in Part 5 with the Aboriginal and Torres Strait Islander Health Sector to ensure that cultural safety as defined in Part 5 is embedded in the Australian Health Service Safety and Quality Accreditation (AHSSQA) Scheme. </w:t>
      </w:r>
    </w:p>
    <w:p w14:paraId="0170C913" w14:textId="6217FDDF" w:rsidR="006E7CE5" w:rsidRPr="00261C59" w:rsidRDefault="006E7CE5" w:rsidP="00131C82">
      <w:pPr>
        <w:pStyle w:val="ListParagraph"/>
        <w:keepLines/>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sz w:val="24"/>
        </w:rPr>
        <w:t>The Parties agree that State</w:t>
      </w:r>
      <w:r w:rsidR="00A565A3">
        <w:rPr>
          <w:rFonts w:asciiTheme="minorHAnsi" w:eastAsia="Corbel" w:hAnsiTheme="minorHAnsi"/>
          <w:sz w:val="24"/>
        </w:rPr>
        <w:t>s</w:t>
      </w:r>
      <w:r w:rsidRPr="00261C59">
        <w:rPr>
          <w:rFonts w:asciiTheme="minorHAnsi" w:eastAsia="Corbel" w:hAnsiTheme="minorHAnsi"/>
          <w:sz w:val="24"/>
        </w:rPr>
        <w:t xml:space="preserve"> and Territories </w:t>
      </w:r>
      <w:r w:rsidR="002E10F3">
        <w:rPr>
          <w:rFonts w:asciiTheme="minorHAnsi" w:eastAsia="Corbel" w:hAnsiTheme="minorHAnsi"/>
          <w:sz w:val="24"/>
        </w:rPr>
        <w:t xml:space="preserve">will </w:t>
      </w:r>
      <w:r w:rsidRPr="00261C59">
        <w:rPr>
          <w:rFonts w:asciiTheme="minorHAnsi" w:eastAsia="Corbel" w:hAnsiTheme="minorHAnsi"/>
          <w:sz w:val="24"/>
        </w:rPr>
        <w:t xml:space="preserve">ensure that their health system governance arrangements including at Local Hospital Network (LHN) level, include and resource Aboriginal and Torres Strait Islander people with </w:t>
      </w:r>
      <w:r w:rsidRPr="00261C59">
        <w:rPr>
          <w:rFonts w:asciiTheme="minorHAnsi" w:eastAsia="Corbel" w:hAnsiTheme="minorHAnsi" w:cstheme="minorHAnsi"/>
          <w:color w:val="000000" w:themeColor="text1"/>
          <w:sz w:val="24"/>
          <w:szCs w:val="24"/>
        </w:rPr>
        <w:t>local community health and cultural expertise to sit on key health system governance groups e</w:t>
      </w:r>
      <w:r w:rsidR="00EC4A9F" w:rsidRPr="00261C59">
        <w:rPr>
          <w:rFonts w:asciiTheme="minorHAnsi" w:eastAsia="Corbel" w:hAnsiTheme="minorHAnsi" w:cstheme="minorHAnsi"/>
          <w:color w:val="000000" w:themeColor="text1"/>
          <w:sz w:val="24"/>
          <w:szCs w:val="24"/>
        </w:rPr>
        <w:t>.</w:t>
      </w:r>
      <w:r w:rsidRPr="00261C59">
        <w:rPr>
          <w:rFonts w:asciiTheme="minorHAnsi" w:eastAsia="Corbel" w:hAnsiTheme="minorHAnsi" w:cstheme="minorHAnsi"/>
          <w:color w:val="000000" w:themeColor="text1"/>
          <w:sz w:val="24"/>
          <w:szCs w:val="24"/>
        </w:rPr>
        <w:t>g</w:t>
      </w:r>
      <w:r w:rsidR="00EC4A9F" w:rsidRPr="00261C59">
        <w:rPr>
          <w:rFonts w:asciiTheme="minorHAnsi" w:eastAsia="Corbel" w:hAnsiTheme="minorHAnsi" w:cstheme="minorHAnsi"/>
          <w:color w:val="000000" w:themeColor="text1"/>
          <w:sz w:val="24"/>
          <w:szCs w:val="24"/>
        </w:rPr>
        <w:t>.</w:t>
      </w:r>
      <w:r w:rsidRPr="00261C59">
        <w:rPr>
          <w:rFonts w:asciiTheme="minorHAnsi" w:eastAsia="Corbel" w:hAnsiTheme="minorHAnsi" w:cstheme="minorHAnsi"/>
          <w:color w:val="000000" w:themeColor="text1"/>
          <w:sz w:val="24"/>
          <w:szCs w:val="24"/>
        </w:rPr>
        <w:t xml:space="preserve"> governing councils or as per </w:t>
      </w:r>
      <w:r w:rsidR="005E42CB" w:rsidRPr="00261C59">
        <w:rPr>
          <w:rFonts w:asciiTheme="minorHAnsi" w:eastAsia="Corbel" w:hAnsiTheme="minorHAnsi" w:cstheme="minorHAnsi"/>
          <w:color w:val="000000" w:themeColor="text1"/>
          <w:sz w:val="24"/>
          <w:szCs w:val="24"/>
        </w:rPr>
        <w:t xml:space="preserve">clause </w:t>
      </w:r>
      <w:r w:rsidRPr="00261C59">
        <w:rPr>
          <w:rFonts w:asciiTheme="minorHAnsi" w:eastAsia="Corbel" w:hAnsiTheme="minorHAnsi" w:cstheme="minorHAnsi"/>
          <w:color w:val="000000" w:themeColor="text1"/>
          <w:sz w:val="24"/>
          <w:szCs w:val="24"/>
        </w:rPr>
        <w:t xml:space="preserve">E10. </w:t>
      </w:r>
    </w:p>
    <w:p w14:paraId="5EDE80D1" w14:textId="39D0AEA1"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The Parties require all LHNs to commence </w:t>
      </w:r>
      <w:r w:rsidR="004771F0" w:rsidRPr="00261C59">
        <w:rPr>
          <w:rFonts w:asciiTheme="minorHAnsi" w:eastAsia="Corbel" w:hAnsiTheme="minorHAnsi" w:cstheme="minorHAnsi"/>
          <w:color w:val="000000" w:themeColor="text1"/>
          <w:sz w:val="24"/>
          <w:szCs w:val="24"/>
        </w:rPr>
        <w:t xml:space="preserve">the </w:t>
      </w:r>
      <w:r w:rsidRPr="00261C59">
        <w:rPr>
          <w:rFonts w:asciiTheme="minorHAnsi" w:eastAsia="Corbel" w:hAnsiTheme="minorHAnsi" w:cstheme="minorHAnsi"/>
          <w:color w:val="000000" w:themeColor="text1"/>
          <w:sz w:val="24"/>
          <w:szCs w:val="24"/>
        </w:rPr>
        <w:t xml:space="preserve">collection and reporting of the following </w:t>
      </w:r>
      <w:r w:rsidR="00342626" w:rsidRPr="00261C59">
        <w:rPr>
          <w:rFonts w:asciiTheme="minorHAnsi" w:eastAsia="Corbel" w:hAnsiTheme="minorHAnsi" w:cstheme="minorHAnsi"/>
          <w:color w:val="000000" w:themeColor="text1"/>
          <w:sz w:val="24"/>
          <w:szCs w:val="24"/>
        </w:rPr>
        <w:t>measures</w:t>
      </w:r>
      <w:r w:rsidRPr="00261C59">
        <w:rPr>
          <w:rFonts w:asciiTheme="minorHAnsi" w:eastAsia="Corbel" w:hAnsiTheme="minorHAnsi" w:cstheme="minorHAnsi"/>
          <w:color w:val="000000" w:themeColor="text1"/>
          <w:sz w:val="24"/>
          <w:szCs w:val="24"/>
        </w:rPr>
        <w:t xml:space="preserve"> to their jurisdiction's Aboriginal and Torres Strait peak health body complying with the terms for data sharing as agreed in Formal Partnerships (</w:t>
      </w:r>
      <w:r w:rsidR="004F575C" w:rsidRPr="00261C59">
        <w:rPr>
          <w:rFonts w:asciiTheme="minorHAnsi" w:eastAsia="Corbel" w:hAnsiTheme="minorHAnsi" w:cstheme="minorHAnsi"/>
          <w:color w:val="000000" w:themeColor="text1"/>
          <w:sz w:val="24"/>
          <w:szCs w:val="24"/>
        </w:rPr>
        <w:t>c</w:t>
      </w:r>
      <w:r w:rsidRPr="00261C59">
        <w:rPr>
          <w:rFonts w:asciiTheme="minorHAnsi" w:eastAsia="Corbel" w:hAnsiTheme="minorHAnsi" w:cstheme="minorHAnsi"/>
          <w:color w:val="000000" w:themeColor="text1"/>
          <w:sz w:val="24"/>
          <w:szCs w:val="24"/>
        </w:rPr>
        <w:t>lause B3</w:t>
      </w:r>
      <w:r w:rsidR="004771F0" w:rsidRPr="00261C59">
        <w:rPr>
          <w:rFonts w:asciiTheme="minorHAnsi" w:eastAsia="Corbel" w:hAnsiTheme="minorHAnsi" w:cstheme="minorHAnsi"/>
          <w:color w:val="000000" w:themeColor="text1"/>
          <w:sz w:val="24"/>
          <w:szCs w:val="24"/>
        </w:rPr>
        <w:t>1</w:t>
      </w:r>
      <w:r w:rsidRPr="00261C59">
        <w:rPr>
          <w:rFonts w:asciiTheme="minorHAnsi" w:eastAsia="Corbel" w:hAnsiTheme="minorHAnsi" w:cstheme="minorHAnsi"/>
          <w:color w:val="000000" w:themeColor="text1"/>
          <w:sz w:val="24"/>
          <w:szCs w:val="24"/>
        </w:rPr>
        <w:t xml:space="preserve">): </w:t>
      </w:r>
    </w:p>
    <w:p w14:paraId="1900C47F" w14:textId="77777777"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Number and rates of admissions disaggregated by Aboriginal and Torres Strait Islander status where hospitals have not ensured completion of treatment (known elsewhere as Discharge Against Medical Advice (DAMA) rates)</w:t>
      </w:r>
    </w:p>
    <w:p w14:paraId="4D7EF0A9" w14:textId="77777777"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Number of sentinel events by Severity Assessment Code (SAC) category disaggregated by Aboriginal and Torres Strait Islander status</w:t>
      </w:r>
    </w:p>
    <w:p w14:paraId="19E369E6" w14:textId="7FC8B722"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color w:val="000000" w:themeColor="text1"/>
          <w:sz w:val="24"/>
          <w:szCs w:val="24"/>
        </w:rPr>
        <w:t xml:space="preserve">Number and rates of </w:t>
      </w:r>
      <w:r w:rsidR="003230AD" w:rsidRPr="00261C59">
        <w:rPr>
          <w:rFonts w:asciiTheme="minorHAnsi" w:eastAsia="Corbel" w:hAnsiTheme="minorHAnsi" w:cstheme="minorHAnsi"/>
          <w:sz w:val="24"/>
          <w:szCs w:val="24"/>
        </w:rPr>
        <w:t>‘</w:t>
      </w:r>
      <w:r w:rsidRPr="00261C59">
        <w:rPr>
          <w:rFonts w:asciiTheme="minorHAnsi" w:eastAsia="Corbel" w:hAnsiTheme="minorHAnsi" w:cstheme="minorHAnsi"/>
          <w:color w:val="000000" w:themeColor="text1"/>
          <w:sz w:val="24"/>
          <w:szCs w:val="24"/>
        </w:rPr>
        <w:t xml:space="preserve">Missed Opportunities to </w:t>
      </w:r>
      <w:r w:rsidRPr="00261C59">
        <w:rPr>
          <w:rFonts w:asciiTheme="minorHAnsi" w:eastAsia="Corbel" w:hAnsiTheme="minorHAnsi" w:cstheme="minorHAnsi"/>
          <w:sz w:val="24"/>
          <w:szCs w:val="24"/>
        </w:rPr>
        <w:t>Treat’ (MOT) disaggregated by Aboriginal and Torres Strait Islander status in presentations to Emergency Departments (known elsewhere as 'Did Not Wait' (DNW) rates)</w:t>
      </w:r>
    </w:p>
    <w:p w14:paraId="4462629D" w14:textId="77777777" w:rsidR="006E7CE5"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Number and percentage of Aboriginal and Torres Strait Islander staff to measure attraction and recruitment, retention and leadership roles</w:t>
      </w:r>
    </w:p>
    <w:p w14:paraId="3A1E6C35" w14:textId="05805ADD" w:rsidR="00BC2626" w:rsidRPr="00261C59" w:rsidRDefault="006E7CE5" w:rsidP="004728D9">
      <w:pPr>
        <w:pStyle w:val="ListParagraph"/>
        <w:widowControl/>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 xml:space="preserve">Amounts received in the previous financial year through the Indigenous adjustment and the amounts expended on Aboriginal and Torres Strait Islander services </w:t>
      </w:r>
    </w:p>
    <w:p w14:paraId="0D6DF482" w14:textId="40A2A19A" w:rsidR="006E7CE5" w:rsidRPr="00261C59" w:rsidRDefault="006E7CE5" w:rsidP="004728D9">
      <w:pPr>
        <w:widowControl/>
        <w:adjustRightInd/>
        <w:spacing w:after="240" w:line="260" w:lineRule="exact"/>
        <w:ind w:left="720"/>
        <w:jc w:val="left"/>
        <w:textAlignment w:val="auto"/>
        <w:rPr>
          <w:rFonts w:asciiTheme="minorHAnsi" w:eastAsia="Corbel" w:hAnsiTheme="minorHAnsi" w:cstheme="minorHAnsi"/>
          <w:sz w:val="24"/>
          <w:szCs w:val="24"/>
        </w:rPr>
      </w:pPr>
      <w:r w:rsidRPr="00261C59">
        <w:rPr>
          <w:rFonts w:asciiTheme="minorHAnsi" w:eastAsia="Corbel" w:hAnsiTheme="minorHAnsi" w:cstheme="minorHAnsi"/>
          <w:sz w:val="24"/>
          <w:szCs w:val="24"/>
        </w:rPr>
        <w:t>and report these as a minimum annually.</w:t>
      </w:r>
    </w:p>
    <w:p w14:paraId="4E49E00A" w14:textId="2DEB5EEA"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sz w:val="24"/>
        </w:rPr>
        <w:t>The Parties require all LHNs to measure and report to the Aboriginal and Torres Strait Islander community-controlled peak body in their respective jurisdiction using, at a minimum, indicators specified in</w:t>
      </w:r>
      <w:r w:rsidRPr="00261C59">
        <w:rPr>
          <w:rFonts w:asciiTheme="minorHAnsi" w:eastAsia="Corbel" w:hAnsiTheme="minorHAnsi"/>
          <w:strike/>
          <w:sz w:val="24"/>
        </w:rPr>
        <w:t xml:space="preserve"> </w:t>
      </w:r>
      <w:r w:rsidRPr="00261C59">
        <w:rPr>
          <w:rFonts w:asciiTheme="minorHAnsi" w:eastAsia="Corbel" w:hAnsiTheme="minorHAnsi"/>
          <w:sz w:val="24"/>
        </w:rPr>
        <w:t xml:space="preserve">the </w:t>
      </w:r>
      <w:r w:rsidR="00292140" w:rsidRPr="00261C59">
        <w:rPr>
          <w:rFonts w:asciiTheme="minorHAnsi" w:eastAsia="Corbel" w:hAnsiTheme="minorHAnsi"/>
          <w:sz w:val="24"/>
        </w:rPr>
        <w:t>h</w:t>
      </w:r>
      <w:r w:rsidRPr="00261C59">
        <w:rPr>
          <w:rFonts w:asciiTheme="minorHAnsi" w:eastAsia="Corbel" w:hAnsiTheme="minorHAnsi"/>
          <w:sz w:val="24"/>
        </w:rPr>
        <w:t xml:space="preserve">ealth </w:t>
      </w:r>
      <w:r w:rsidR="00292140" w:rsidRPr="00261C59">
        <w:rPr>
          <w:rFonts w:asciiTheme="minorHAnsi" w:eastAsia="Corbel" w:hAnsiTheme="minorHAnsi"/>
          <w:sz w:val="24"/>
        </w:rPr>
        <w:t>s</w:t>
      </w:r>
      <w:r w:rsidRPr="00261C59">
        <w:rPr>
          <w:rFonts w:asciiTheme="minorHAnsi" w:eastAsia="Corbel" w:hAnsiTheme="minorHAnsi"/>
          <w:sz w:val="24"/>
        </w:rPr>
        <w:t xml:space="preserve">ystem </w:t>
      </w:r>
      <w:r w:rsidR="00292140" w:rsidRPr="00261C59">
        <w:rPr>
          <w:rFonts w:asciiTheme="minorHAnsi" w:eastAsia="Corbel" w:hAnsiTheme="minorHAnsi"/>
          <w:sz w:val="24"/>
        </w:rPr>
        <w:t>p</w:t>
      </w:r>
      <w:r w:rsidRPr="00261C59">
        <w:rPr>
          <w:rFonts w:asciiTheme="minorHAnsi" w:eastAsia="Corbel" w:hAnsiTheme="minorHAnsi"/>
          <w:sz w:val="24"/>
        </w:rPr>
        <w:t xml:space="preserve">erformance </w:t>
      </w:r>
      <w:r w:rsidR="00292140" w:rsidRPr="00261C59">
        <w:rPr>
          <w:rFonts w:asciiTheme="minorHAnsi" w:eastAsia="Corbel" w:hAnsiTheme="minorHAnsi"/>
          <w:sz w:val="24"/>
        </w:rPr>
        <w:t>a</w:t>
      </w:r>
      <w:r w:rsidRPr="00261C59">
        <w:rPr>
          <w:rFonts w:asciiTheme="minorHAnsi" w:eastAsia="Corbel" w:hAnsiTheme="minorHAnsi"/>
          <w:sz w:val="24"/>
        </w:rPr>
        <w:t xml:space="preserve">ssessment </w:t>
      </w:r>
      <w:r w:rsidR="00292140" w:rsidRPr="00261C59">
        <w:rPr>
          <w:rFonts w:asciiTheme="minorHAnsi" w:eastAsia="Corbel" w:hAnsiTheme="minorHAnsi"/>
          <w:sz w:val="24"/>
        </w:rPr>
        <w:t>f</w:t>
      </w:r>
      <w:r w:rsidRPr="00261C59">
        <w:rPr>
          <w:rFonts w:asciiTheme="minorHAnsi" w:eastAsia="Corbel" w:hAnsiTheme="minorHAnsi"/>
          <w:sz w:val="24"/>
        </w:rPr>
        <w:t>ramework and national accreditation standards in the Australian Health Service Safety and Quality Accreditation (AHSSQA) Scheme that pertain to Aboriginal and Torres Strait Islander people</w:t>
      </w:r>
      <w:r w:rsidR="00DB76BB">
        <w:rPr>
          <w:rFonts w:asciiTheme="minorHAnsi" w:eastAsia="Corbel" w:hAnsiTheme="minorHAnsi"/>
          <w:sz w:val="24"/>
        </w:rPr>
        <w:t>’</w:t>
      </w:r>
      <w:r w:rsidRPr="00261C59">
        <w:rPr>
          <w:rFonts w:asciiTheme="minorHAnsi" w:eastAsia="Corbel" w:hAnsiTheme="minorHAnsi"/>
          <w:sz w:val="24"/>
        </w:rPr>
        <w:t>s experiences of and outcomes from health care</w:t>
      </w:r>
      <w:r w:rsidR="00873D4A">
        <w:rPr>
          <w:rFonts w:asciiTheme="minorHAnsi" w:eastAsia="Corbel" w:hAnsiTheme="minorHAnsi"/>
          <w:sz w:val="24"/>
        </w:rPr>
        <w:t>.</w:t>
      </w:r>
      <w:r w:rsidRPr="00261C59">
        <w:rPr>
          <w:rFonts w:asciiTheme="minorHAnsi" w:eastAsia="Corbel" w:hAnsiTheme="minorHAnsi"/>
          <w:sz w:val="24"/>
        </w:rPr>
        <w:t xml:space="preserve"> </w:t>
      </w:r>
    </w:p>
    <w:p w14:paraId="0324BE0C" w14:textId="4296F5D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sz w:val="24"/>
        </w:rPr>
        <w:t>The Parties agree to support LHNs to comply with</w:t>
      </w:r>
      <w:r w:rsidR="005E42CB" w:rsidRPr="00261C59">
        <w:rPr>
          <w:rFonts w:asciiTheme="minorHAnsi" w:eastAsia="Corbel" w:hAnsiTheme="minorHAnsi"/>
          <w:sz w:val="24"/>
        </w:rPr>
        <w:t xml:space="preserve"> clause</w:t>
      </w:r>
      <w:r w:rsidRPr="00261C59">
        <w:rPr>
          <w:rFonts w:asciiTheme="minorHAnsi" w:eastAsia="Corbel" w:hAnsiTheme="minorHAnsi"/>
          <w:sz w:val="24"/>
        </w:rPr>
        <w:t xml:space="preserve"> B65 including giving due consideration to capacity building in LHNs, resources and investment in phased implementation and change management. </w:t>
      </w:r>
    </w:p>
    <w:p w14:paraId="339B80BE" w14:textId="4A1D6AFF"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sz w:val="24"/>
        </w:rPr>
        <w:t xml:space="preserve">The Parties agree to require all LHNs to co-design, implement and evaluate strategies to eliminate racial discrimination and institutional racism from its services and institutions, working in partnership with the Aboriginal and Torres Strait Islander Health Sector to share best practice and adopt effective strategies. </w:t>
      </w:r>
    </w:p>
    <w:p w14:paraId="2FCF17F7" w14:textId="6E3291E6" w:rsidR="003641B3" w:rsidRPr="00261C59" w:rsidRDefault="003641B3" w:rsidP="00164A30">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acknowledge implementation of clauses B67 to B69 could be impacted by on the digital capacity and maturity, workforce capability and data infrastructure of each LHN, with varying levels of readiness across the country.</w:t>
      </w:r>
    </w:p>
    <w:p w14:paraId="6FA6BD35" w14:textId="77777777" w:rsidR="006E7CE5" w:rsidRPr="00261C59" w:rsidRDefault="006E7CE5" w:rsidP="00131C82">
      <w:pPr>
        <w:pStyle w:val="ListParagraph"/>
        <w:keepLines/>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All Parties agree to require all LHNs to have formal racism complaints processes in place and operational within the timeframe of this Addendum. These must be co-designed and data reported to Formal Partnerships with the Aboriginal and Torres Strait Islander Health Sector including those ACCHOs located in the respective LHN footprint to ensure that complaints processes are appropriate for and meet the needs and aspirations of the local Aboriginal and Torres Strait Islander community.  </w:t>
      </w:r>
    </w:p>
    <w:p w14:paraId="6AB59655" w14:textId="77777777" w:rsidR="006E7CE5" w:rsidRPr="00261C59" w:rsidRDefault="006E7CE5" w:rsidP="001E4C2B">
      <w:pPr>
        <w:jc w:val="left"/>
        <w:outlineLvl w:val="2"/>
        <w:rPr>
          <w:rFonts w:ascii="Corbel" w:hAnsi="Corbel"/>
          <w:color w:val="3D4B67"/>
          <w:sz w:val="28"/>
          <w:szCs w:val="48"/>
          <w:lang w:eastAsia="ja-JP"/>
        </w:rPr>
      </w:pPr>
      <w:bookmarkStart w:id="518" w:name="_Toc210833637"/>
      <w:bookmarkStart w:id="519" w:name="_Toc214456537"/>
      <w:bookmarkStart w:id="520" w:name="_Toc221088017"/>
      <w:r w:rsidRPr="00261C59">
        <w:rPr>
          <w:rFonts w:ascii="Corbel" w:hAnsi="Corbel"/>
          <w:color w:val="3D4B67"/>
          <w:sz w:val="28"/>
          <w:szCs w:val="48"/>
          <w:lang w:eastAsia="ja-JP"/>
        </w:rPr>
        <w:t>Prioritising the ACCHO Sector</w:t>
      </w:r>
      <w:bookmarkEnd w:id="518"/>
      <w:bookmarkEnd w:id="519"/>
      <w:bookmarkEnd w:id="520"/>
      <w:r w:rsidRPr="00261C59">
        <w:rPr>
          <w:rFonts w:ascii="Corbel" w:hAnsi="Corbel"/>
          <w:color w:val="3D4B67"/>
          <w:sz w:val="28"/>
          <w:szCs w:val="48"/>
          <w:lang w:eastAsia="ja-JP"/>
        </w:rPr>
        <w:t xml:space="preserve"> </w:t>
      </w:r>
    </w:p>
    <w:p w14:paraId="5355334A" w14:textId="77777777" w:rsidR="006E7CE5" w:rsidRPr="00261C59" w:rsidRDefault="006E7CE5" w:rsidP="004728D9">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The Parties recognise the role of the Aboriginal and Torres Strait Islander community-controlled Health Sector as </w:t>
      </w:r>
      <w:r w:rsidRPr="00261C59">
        <w:rPr>
          <w:rFonts w:asciiTheme="minorHAnsi" w:eastAsia="Corbel" w:hAnsiTheme="minorHAnsi"/>
          <w:sz w:val="24"/>
        </w:rPr>
        <w:t>defined in Part 5 including</w:t>
      </w:r>
      <w:r w:rsidRPr="00261C59">
        <w:rPr>
          <w:rFonts w:asciiTheme="minorHAnsi" w:eastAsia="Corbel" w:hAnsiTheme="minorHAnsi" w:cstheme="minorHAnsi"/>
          <w:color w:val="000000" w:themeColor="text1"/>
          <w:sz w:val="24"/>
          <w:szCs w:val="24"/>
        </w:rPr>
        <w:t xml:space="preserve"> Aboriginal and Torres Strait Islander Community Controlled Health Organisations (ACCHOs) and respect that Aboriginal and Torres Strait Islander community-controlled health care is an act of self-determination. </w:t>
      </w:r>
    </w:p>
    <w:p w14:paraId="069D73C1"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acknowledge that ACCHOs, when resourced, provide holistic multi-disciplinary primary health care as described in the community-controlled health sector's Core Services and Outcomes Framework.</w:t>
      </w:r>
    </w:p>
    <w:p w14:paraId="616E6CBB" w14:textId="338A8A8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acknowledge that ACCHOs, when resourced, also support system level, regional and local planning and coordination of healthcare delivery for Aboriginal and Torres Strait Islander people.</w:t>
      </w:r>
    </w:p>
    <w:p w14:paraId="644E35EC" w14:textId="77777777" w:rsidR="006E7CE5" w:rsidRPr="00261C59" w:rsidRDefault="006E7CE5" w:rsidP="004728D9">
      <w:pPr>
        <w:pStyle w:val="ListParagraph"/>
        <w:keepLines/>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acknowledge that ACCHOs, when resourced, also support a broad range of other services of relevance to the NHRA including secondary healthcare services such as sub-acute medical and allied health care, disability services, and aged care that respond to an Aboriginal and Torres Strait Islander definition of health and wellbeing.</w:t>
      </w:r>
    </w:p>
    <w:p w14:paraId="27777F78"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The Parties recognise the challenges of service delivery in remote and very remote areas and agree to support the critical role that ACCHOs play in self-determined health and wellbeing in remote and very remote communities. </w:t>
      </w:r>
    </w:p>
    <w:p w14:paraId="2E61E52D"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recognise that complex care pathways can be difficult to navigate for patients requiring access to specialist review/more complex investigations that cannot be accessed in remote communities and /or hospital care.</w:t>
      </w:r>
    </w:p>
    <w:p w14:paraId="7CA1CD3B" w14:textId="2B78FCB6"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cstheme="minorHAnsi"/>
          <w:color w:val="000000" w:themeColor="text1"/>
          <w:sz w:val="24"/>
          <w:szCs w:val="24"/>
        </w:rPr>
        <w:t xml:space="preserve">The Parties agree that </w:t>
      </w:r>
      <w:r w:rsidR="00D525AD" w:rsidRPr="00261C59">
        <w:rPr>
          <w:rFonts w:asciiTheme="minorHAnsi" w:eastAsia="Corbel" w:hAnsiTheme="minorHAnsi"/>
          <w:sz w:val="24"/>
        </w:rPr>
        <w:t>any monitoring processes for primary care, aged care, and the NDIS as per Schedule C</w:t>
      </w:r>
      <w:r w:rsidRPr="00261C59">
        <w:rPr>
          <w:rFonts w:asciiTheme="minorHAnsi" w:eastAsia="Corbel" w:hAnsiTheme="minorHAnsi"/>
          <w:sz w:val="24"/>
        </w:rPr>
        <w:t xml:space="preserve"> will be developed in partnership with the Aboriginal and Torres Strait Islander Health Sector.</w:t>
      </w:r>
    </w:p>
    <w:p w14:paraId="664B4120"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sz w:val="24"/>
        </w:rPr>
        <w:t xml:space="preserve">The Parties agree that strategic initiatives including but not limited to policy and service redesign, innovation, trials or service-based research in relation to Aboriginal and Torres Strait Islander health and wellbeing are co-designed, as defined in Part 5. </w:t>
      </w:r>
    </w:p>
    <w:p w14:paraId="700E49A8" w14:textId="7C4F2D4C"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sz w:val="24"/>
        </w:rPr>
        <w:t xml:space="preserve">The Parties acknowledge the need to improve the interface between primary health care and the secondary, tertiary and quaternary components of the Australian </w:t>
      </w:r>
      <w:r w:rsidRPr="00261C59">
        <w:rPr>
          <w:rFonts w:asciiTheme="minorHAnsi" w:eastAsia="Corbel" w:hAnsiTheme="minorHAnsi" w:cstheme="minorHAnsi"/>
          <w:color w:val="000000" w:themeColor="text1"/>
          <w:sz w:val="24"/>
          <w:szCs w:val="24"/>
        </w:rPr>
        <w:t xml:space="preserve">health system. The Parties commit to co-design, measure and improve the Australian </w:t>
      </w:r>
      <w:r w:rsidR="006B7786" w:rsidRPr="00261C59">
        <w:rPr>
          <w:rFonts w:asciiTheme="minorHAnsi" w:eastAsia="Corbel" w:hAnsiTheme="minorHAnsi" w:cstheme="minorHAnsi"/>
          <w:color w:val="000000" w:themeColor="text1"/>
          <w:sz w:val="24"/>
          <w:szCs w:val="24"/>
        </w:rPr>
        <w:t>h</w:t>
      </w:r>
      <w:r w:rsidRPr="00261C59">
        <w:rPr>
          <w:rFonts w:asciiTheme="minorHAnsi" w:eastAsia="Corbel" w:hAnsiTheme="minorHAnsi" w:cstheme="minorHAnsi"/>
          <w:color w:val="000000" w:themeColor="text1"/>
          <w:sz w:val="24"/>
          <w:szCs w:val="24"/>
        </w:rPr>
        <w:t xml:space="preserve">ealth </w:t>
      </w:r>
      <w:r w:rsidR="006B7786" w:rsidRPr="00261C59">
        <w:rPr>
          <w:rFonts w:asciiTheme="minorHAnsi" w:eastAsia="Corbel" w:hAnsiTheme="minorHAnsi" w:cstheme="minorHAnsi"/>
          <w:color w:val="000000" w:themeColor="text1"/>
          <w:sz w:val="24"/>
          <w:szCs w:val="24"/>
        </w:rPr>
        <w:t>s</w:t>
      </w:r>
      <w:r w:rsidRPr="00261C59">
        <w:rPr>
          <w:rFonts w:asciiTheme="minorHAnsi" w:eastAsia="Corbel" w:hAnsiTheme="minorHAnsi" w:cstheme="minorHAnsi"/>
          <w:color w:val="000000" w:themeColor="text1"/>
          <w:sz w:val="24"/>
          <w:szCs w:val="24"/>
        </w:rPr>
        <w:t xml:space="preserve">ystem in partnership with the Aboriginal and Torres Strait Islander Health Sector, focusing on but not limited to, the quality and outcomes of discharge planning and handover procedures for Aboriginal and Torres Strait Islander people admitted to hospitals and returning to primary health care.  </w:t>
      </w:r>
    </w:p>
    <w:p w14:paraId="6F2C947C" w14:textId="1D7303EF" w:rsidR="006E7CE5" w:rsidRPr="00261C59" w:rsidRDefault="006E7CE5" w:rsidP="00131C82">
      <w:pPr>
        <w:keepNext/>
        <w:jc w:val="left"/>
        <w:outlineLvl w:val="2"/>
        <w:rPr>
          <w:rFonts w:ascii="Corbel" w:hAnsi="Corbel"/>
          <w:color w:val="3D4B67"/>
          <w:sz w:val="28"/>
          <w:szCs w:val="48"/>
          <w:lang w:eastAsia="ja-JP"/>
        </w:rPr>
      </w:pPr>
      <w:bookmarkStart w:id="521" w:name="_Toc210833638"/>
      <w:bookmarkStart w:id="522" w:name="_Toc214456538"/>
      <w:bookmarkStart w:id="523" w:name="_Toc221088018"/>
      <w:r w:rsidRPr="00261C59">
        <w:rPr>
          <w:rFonts w:ascii="Corbel" w:hAnsi="Corbel"/>
          <w:color w:val="3D4B67"/>
          <w:sz w:val="28"/>
          <w:szCs w:val="48"/>
          <w:lang w:eastAsia="ja-JP"/>
        </w:rPr>
        <w:t>Funding Reform</w:t>
      </w:r>
      <w:bookmarkEnd w:id="521"/>
      <w:bookmarkEnd w:id="522"/>
      <w:bookmarkEnd w:id="523"/>
    </w:p>
    <w:p w14:paraId="1C494CF7" w14:textId="3F0A0ED4" w:rsidR="006E7CE5" w:rsidRPr="00261C59" w:rsidRDefault="006E7CE5" w:rsidP="004728D9">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cstheme="minorHAnsi"/>
          <w:color w:val="000000" w:themeColor="text1"/>
          <w:sz w:val="24"/>
          <w:szCs w:val="24"/>
        </w:rPr>
        <w:t xml:space="preserve">The Parties agree </w:t>
      </w:r>
      <w:r w:rsidRPr="00261C59">
        <w:rPr>
          <w:rFonts w:asciiTheme="minorHAnsi" w:eastAsia="Corbel" w:hAnsiTheme="minorHAnsi"/>
          <w:sz w:val="24"/>
        </w:rPr>
        <w:t xml:space="preserve">the identification of priorities and funding rules for any dedicated funding under this Addendum and outside the National Funding Model such as an Aboriginal and Torres Strait Islander (First Nations) Health Reform Fund to drive better health outcomes for Aboriginal and Torres Strait Islander people will be led by Aboriginal and Torres Strait Islander people as set out in Part 1 of Schedule B. </w:t>
      </w:r>
    </w:p>
    <w:p w14:paraId="431A5335" w14:textId="1D6F8752" w:rsidR="006E7CE5" w:rsidRPr="00261C59" w:rsidRDefault="006E7CE5" w:rsidP="004728D9">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sz w:val="24"/>
        </w:rPr>
        <w:t>The Parties agree to continue integrating safety, quality and value into the pricing and funding of public hospitals and health services, with particular focus on the measurement and reporting of racism and cultural safety; and incentives to address health system inequities for Aboriginal and Torres Strait Islander people.</w:t>
      </w:r>
    </w:p>
    <w:p w14:paraId="63F6E9ED" w14:textId="18E3FDBF" w:rsidR="006E7CE5" w:rsidRPr="00261C59" w:rsidRDefault="006E7CE5" w:rsidP="004728D9">
      <w:pPr>
        <w:pStyle w:val="ListParagraph"/>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sz w:val="24"/>
        </w:rPr>
        <w:t>The Parties including the National Bodies agree to work in Formal Partnership with the Aboriginal and Torres Strait Islander Health Sector and the Health Collaboration and other Aboriginal and Torres Strait Islander stakeholders to determine and action priority areas for funding reform, including (but not limited to):</w:t>
      </w:r>
    </w:p>
    <w:p w14:paraId="1279027D" w14:textId="09D1B9BE" w:rsidR="006E7CE5" w:rsidRPr="00261C59" w:rsidRDefault="006E7CE5" w:rsidP="004728D9">
      <w:pPr>
        <w:pStyle w:val="ListParagraph"/>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sz w:val="24"/>
        </w:rPr>
        <w:t>reviewing the methodology for determining the pricing adjustments for 'Indigenous' status and 'regional and remote' status (</w:t>
      </w:r>
      <w:r w:rsidR="002C3E7D" w:rsidRPr="00261C59">
        <w:rPr>
          <w:rFonts w:asciiTheme="minorHAnsi" w:eastAsia="Corbel" w:hAnsiTheme="minorHAnsi"/>
          <w:sz w:val="24"/>
        </w:rPr>
        <w:t>Schedule A</w:t>
      </w:r>
      <w:r w:rsidRPr="00261C59">
        <w:rPr>
          <w:rFonts w:asciiTheme="minorHAnsi" w:eastAsia="Corbel" w:hAnsiTheme="minorHAnsi"/>
          <w:sz w:val="24"/>
        </w:rPr>
        <w:t>)</w:t>
      </w:r>
    </w:p>
    <w:p w14:paraId="476143A3" w14:textId="1591382F" w:rsidR="006E7CE5" w:rsidRPr="00261C59" w:rsidRDefault="006E7CE5" w:rsidP="004728D9">
      <w:pPr>
        <w:pStyle w:val="ListParagraph"/>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sz w:val="24"/>
        </w:rPr>
      </w:pPr>
      <w:r w:rsidRPr="00261C59">
        <w:rPr>
          <w:rFonts w:asciiTheme="minorHAnsi" w:eastAsia="Corbel" w:hAnsiTheme="minorHAnsi"/>
          <w:sz w:val="24"/>
        </w:rPr>
        <w:t xml:space="preserve">considering, as part of the </w:t>
      </w:r>
      <w:r w:rsidR="008E4CF7" w:rsidRPr="00261C59">
        <w:rPr>
          <w:rFonts w:asciiTheme="minorHAnsi" w:eastAsia="Corbel" w:hAnsiTheme="minorHAnsi"/>
          <w:sz w:val="24"/>
        </w:rPr>
        <w:t xml:space="preserve">review of safety and quality measures </w:t>
      </w:r>
      <w:r w:rsidRPr="00261C59">
        <w:rPr>
          <w:rFonts w:asciiTheme="minorHAnsi" w:eastAsia="Corbel" w:hAnsiTheme="minorHAnsi"/>
          <w:sz w:val="24"/>
        </w:rPr>
        <w:t>(</w:t>
      </w:r>
      <w:r w:rsidR="002C3E7D" w:rsidRPr="00261C59">
        <w:rPr>
          <w:rFonts w:asciiTheme="minorHAnsi" w:eastAsia="Corbel" w:hAnsiTheme="minorHAnsi"/>
          <w:sz w:val="24"/>
        </w:rPr>
        <w:t>Schedule D</w:t>
      </w:r>
      <w:r w:rsidRPr="00261C59">
        <w:rPr>
          <w:rFonts w:asciiTheme="minorHAnsi" w:eastAsia="Corbel" w:hAnsiTheme="minorHAnsi"/>
          <w:sz w:val="24"/>
        </w:rPr>
        <w:t>), the feasibility of funding or pricing adjustments for safety,</w:t>
      </w:r>
      <w:r w:rsidR="002302DA" w:rsidRPr="00261C59">
        <w:rPr>
          <w:rFonts w:asciiTheme="minorHAnsi" w:eastAsia="Corbel" w:hAnsiTheme="minorHAnsi"/>
          <w:sz w:val="24"/>
        </w:rPr>
        <w:t xml:space="preserve"> </w:t>
      </w:r>
      <w:r w:rsidR="0081617D" w:rsidRPr="00261C59">
        <w:rPr>
          <w:rFonts w:asciiTheme="minorHAnsi" w:eastAsia="Corbel" w:hAnsiTheme="minorHAnsi"/>
          <w:sz w:val="24"/>
        </w:rPr>
        <w:t>c</w:t>
      </w:r>
      <w:r w:rsidRPr="00261C59">
        <w:rPr>
          <w:rFonts w:asciiTheme="minorHAnsi" w:eastAsia="Corbel" w:hAnsiTheme="minorHAnsi"/>
          <w:sz w:val="24"/>
        </w:rPr>
        <w:t xml:space="preserve">ultural safety and quality to address racism </w:t>
      </w:r>
    </w:p>
    <w:p w14:paraId="796C8FF7" w14:textId="6117FCDA" w:rsidR="006E7CE5" w:rsidRPr="00261C59" w:rsidRDefault="006E7CE5" w:rsidP="004728D9">
      <w:pPr>
        <w:pStyle w:val="ListParagraph"/>
        <w:numPr>
          <w:ilvl w:val="1"/>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sz w:val="24"/>
        </w:rPr>
        <w:t>reviewing the funding model to ensure that funding to ACCHOs for the provision of in-scope hospital services is incentivised</w:t>
      </w:r>
      <w:r w:rsidRPr="00261C59">
        <w:rPr>
          <w:rFonts w:asciiTheme="minorHAnsi" w:eastAsia="Corbel" w:hAnsiTheme="minorHAnsi" w:cstheme="minorHAnsi"/>
          <w:color w:val="000000" w:themeColor="text1"/>
          <w:sz w:val="24"/>
          <w:szCs w:val="24"/>
        </w:rPr>
        <w:t xml:space="preserve">. </w:t>
      </w:r>
    </w:p>
    <w:p w14:paraId="54DBE912" w14:textId="77777777" w:rsidR="006E7CE5" w:rsidRPr="00261C59" w:rsidRDefault="006E7CE5" w:rsidP="004728D9">
      <w:pPr>
        <w:jc w:val="left"/>
        <w:outlineLvl w:val="2"/>
        <w:rPr>
          <w:rFonts w:ascii="Corbel" w:hAnsi="Corbel"/>
          <w:color w:val="3D4B67"/>
          <w:sz w:val="28"/>
          <w:szCs w:val="48"/>
          <w:lang w:eastAsia="ja-JP"/>
        </w:rPr>
      </w:pPr>
      <w:bookmarkStart w:id="524" w:name="_Toc210833639"/>
      <w:bookmarkStart w:id="525" w:name="_Toc214456539"/>
      <w:bookmarkStart w:id="526" w:name="_Toc221088019"/>
      <w:r w:rsidRPr="00261C59">
        <w:rPr>
          <w:rFonts w:ascii="Corbel" w:hAnsi="Corbel"/>
          <w:color w:val="3D4B67"/>
          <w:sz w:val="28"/>
          <w:szCs w:val="48"/>
          <w:lang w:eastAsia="ja-JP"/>
        </w:rPr>
        <w:t>Workforce</w:t>
      </w:r>
      <w:bookmarkEnd w:id="524"/>
      <w:bookmarkEnd w:id="525"/>
      <w:bookmarkEnd w:id="526"/>
    </w:p>
    <w:p w14:paraId="13893893" w14:textId="77777777" w:rsidR="006E7CE5" w:rsidRPr="00261C59" w:rsidRDefault="006E7CE5" w:rsidP="004728D9">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The Parties agree to implement the strategies in the </w:t>
      </w:r>
      <w:r w:rsidRPr="00261C59">
        <w:rPr>
          <w:rFonts w:asciiTheme="minorHAnsi" w:eastAsia="Corbel" w:hAnsiTheme="minorHAnsi" w:cstheme="minorHAnsi"/>
          <w:b/>
          <w:bCs/>
          <w:color w:val="000000" w:themeColor="text1"/>
          <w:sz w:val="24"/>
          <w:szCs w:val="24"/>
        </w:rPr>
        <w:t>National Aboriginal and Torres Strait Islander Health Workforce Strategic Framework and Implementation Plan 2021-2031</w:t>
      </w:r>
      <w:r w:rsidRPr="00261C59">
        <w:rPr>
          <w:rFonts w:asciiTheme="minorHAnsi" w:eastAsia="Corbel" w:hAnsiTheme="minorHAnsi" w:cstheme="minorHAnsi"/>
          <w:i/>
          <w:iCs/>
          <w:color w:val="000000" w:themeColor="text1"/>
          <w:sz w:val="24"/>
          <w:szCs w:val="24"/>
        </w:rPr>
        <w:t xml:space="preserve"> </w:t>
      </w:r>
      <w:r w:rsidRPr="00261C59">
        <w:rPr>
          <w:rFonts w:asciiTheme="minorHAnsi" w:eastAsia="Corbel" w:hAnsiTheme="minorHAnsi" w:cstheme="minorHAnsi"/>
          <w:color w:val="000000" w:themeColor="text1"/>
          <w:sz w:val="24"/>
          <w:szCs w:val="24"/>
        </w:rPr>
        <w:t>with priority given</w:t>
      </w:r>
      <w:r w:rsidRPr="00261C59">
        <w:rPr>
          <w:rFonts w:asciiTheme="minorHAnsi" w:eastAsia="Corbel" w:hAnsiTheme="minorHAnsi" w:cstheme="minorHAnsi"/>
          <w:i/>
          <w:iCs/>
          <w:color w:val="000000" w:themeColor="text1"/>
          <w:sz w:val="24"/>
          <w:szCs w:val="24"/>
        </w:rPr>
        <w:t xml:space="preserve"> </w:t>
      </w:r>
      <w:r w:rsidRPr="00261C59">
        <w:rPr>
          <w:rFonts w:asciiTheme="minorHAnsi" w:eastAsia="Corbel" w:hAnsiTheme="minorHAnsi" w:cstheme="minorHAnsi"/>
          <w:color w:val="000000" w:themeColor="text1"/>
          <w:sz w:val="24"/>
          <w:szCs w:val="24"/>
        </w:rPr>
        <w:t>to:</w:t>
      </w:r>
    </w:p>
    <w:p w14:paraId="124C1B7F" w14:textId="69BD2388" w:rsidR="006E7CE5" w:rsidRPr="00261C59" w:rsidRDefault="006E7CE5" w:rsidP="004728D9">
      <w:pPr>
        <w:pStyle w:val="ListParagraph"/>
        <w:widowControl/>
        <w:numPr>
          <w:ilvl w:val="1"/>
          <w:numId w:val="10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ensure compliance with occupational health and safety legislation regarding culturally safe workplaces </w:t>
      </w:r>
    </w:p>
    <w:p w14:paraId="0CC7A48B" w14:textId="77777777" w:rsidR="006E7CE5" w:rsidRPr="00261C59" w:rsidRDefault="006E7CE5" w:rsidP="004728D9">
      <w:pPr>
        <w:pStyle w:val="ListParagraph"/>
        <w:widowControl/>
        <w:numPr>
          <w:ilvl w:val="1"/>
          <w:numId w:val="102"/>
        </w:numPr>
        <w:tabs>
          <w:tab w:val="clear" w:pos="851"/>
        </w:tabs>
        <w:adjustRightInd/>
        <w:spacing w:before="120" w:after="240" w:line="260" w:lineRule="exact"/>
        <w:contextualSpacing w:val="0"/>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work in partnership with the National Association of Aboriginal and Torres Strait Islander Health Workers and Practitioners (NAATSIHWP) to address barriers to support and enable implementation of the national minimum scopes of practice for Aboriginal and Torres Strait Islander Workers and Health Practitioners   </w:t>
      </w:r>
    </w:p>
    <w:p w14:paraId="62000DF5" w14:textId="77777777" w:rsidR="006E7CE5" w:rsidRPr="00261C59" w:rsidRDefault="006E7CE5" w:rsidP="008F06BC">
      <w:pPr>
        <w:pStyle w:val="ListParagraph"/>
        <w:keepNext/>
        <w:keepLines/>
        <w:widowControl/>
        <w:numPr>
          <w:ilvl w:val="1"/>
          <w:numId w:val="10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work in partnership with the Aboriginal and Torres Strait Islander Health Professional Organisations to develop and deliver jurisdictional and LHN Aboriginal and Torres Strait Islander health workforce plans and initiatives to ensure:</w:t>
      </w:r>
    </w:p>
    <w:p w14:paraId="37246950" w14:textId="77777777" w:rsidR="006E7CE5" w:rsidRPr="00261C59" w:rsidRDefault="006E7CE5" w:rsidP="004728D9">
      <w:pPr>
        <w:pStyle w:val="ListParagraph"/>
        <w:widowControl/>
        <w:numPr>
          <w:ilvl w:val="2"/>
          <w:numId w:val="101"/>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Culturally safe recruitment processes</w:t>
      </w:r>
    </w:p>
    <w:p w14:paraId="0AE8FED4" w14:textId="77777777" w:rsidR="006E7CE5" w:rsidRPr="00261C59" w:rsidRDefault="006E7CE5" w:rsidP="004728D9">
      <w:pPr>
        <w:pStyle w:val="ListParagraph"/>
        <w:widowControl/>
        <w:numPr>
          <w:ilvl w:val="2"/>
          <w:numId w:val="101"/>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Active recruitment processes</w:t>
      </w:r>
    </w:p>
    <w:p w14:paraId="2784B98C" w14:textId="77777777" w:rsidR="006E7CE5" w:rsidRPr="00261C59" w:rsidRDefault="006E7CE5" w:rsidP="004728D9">
      <w:pPr>
        <w:pStyle w:val="ListParagraph"/>
        <w:widowControl/>
        <w:numPr>
          <w:ilvl w:val="2"/>
          <w:numId w:val="101"/>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Initiatives to ensure vertical/horizontal distribution of workforce</w:t>
      </w:r>
    </w:p>
    <w:p w14:paraId="29CF01FC" w14:textId="77777777" w:rsidR="006E7CE5" w:rsidRPr="00261C59" w:rsidRDefault="006E7CE5" w:rsidP="004728D9">
      <w:pPr>
        <w:pStyle w:val="ListParagraph"/>
        <w:widowControl/>
        <w:numPr>
          <w:ilvl w:val="2"/>
          <w:numId w:val="101"/>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Retention programs and initiatives</w:t>
      </w:r>
    </w:p>
    <w:p w14:paraId="058BD706" w14:textId="18090DAC" w:rsidR="006E7CE5" w:rsidRPr="00261C59" w:rsidRDefault="006E7CE5" w:rsidP="004728D9">
      <w:pPr>
        <w:pStyle w:val="ListParagraph"/>
        <w:widowControl/>
        <w:numPr>
          <w:ilvl w:val="1"/>
          <w:numId w:val="10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report progress on implementation of the Workforce Plan 2021-2031 to Affiliates and other stakeholders including data for indicators by occupational category, attraction, recruitment, retention and seniority, and progress in community obligations to attain or exceed proportional employment </w:t>
      </w:r>
    </w:p>
    <w:p w14:paraId="60C4B6AD" w14:textId="2E5E3D3A" w:rsidR="006E7CE5" w:rsidRPr="00261C59" w:rsidRDefault="006E7CE5" w:rsidP="004728D9">
      <w:pPr>
        <w:pStyle w:val="ListParagraph"/>
        <w:widowControl/>
        <w:numPr>
          <w:ilvl w:val="1"/>
          <w:numId w:val="10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work with local Aboriginal and Torres Strait Islander communities to undertake cultural safety reviews and implement remedial actions to address institutional racism within health, education and training sectors</w:t>
      </w:r>
    </w:p>
    <w:p w14:paraId="75A0FF35" w14:textId="705FA752" w:rsidR="006E7CE5" w:rsidRPr="00261C59" w:rsidRDefault="006E7CE5" w:rsidP="004728D9">
      <w:pPr>
        <w:pStyle w:val="ListParagraph"/>
        <w:widowControl/>
        <w:numPr>
          <w:ilvl w:val="1"/>
          <w:numId w:val="10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develop and promote career pipelines and pathways with priority given to a resource that maps career journey within LHNs and the creation of VET in school programs </w:t>
      </w:r>
    </w:p>
    <w:p w14:paraId="3C6B97D4" w14:textId="20A2D90C" w:rsidR="006E7CE5" w:rsidRPr="00261C59" w:rsidRDefault="006E7CE5" w:rsidP="004728D9">
      <w:pPr>
        <w:pStyle w:val="ListParagraph"/>
        <w:widowControl/>
        <w:numPr>
          <w:ilvl w:val="1"/>
          <w:numId w:val="10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work with the Aboriginal and Torres Strait Islander Health Sector to reform the national and jurisdictional collection and use of Aboriginal and Torres Strait Islander health workforce data </w:t>
      </w:r>
    </w:p>
    <w:p w14:paraId="06AC785C" w14:textId="77777777" w:rsidR="006E7CE5" w:rsidRPr="00261C59" w:rsidRDefault="006E7CE5" w:rsidP="004728D9">
      <w:pPr>
        <w:pStyle w:val="ListParagraph"/>
        <w:widowControl/>
        <w:numPr>
          <w:ilvl w:val="1"/>
          <w:numId w:val="10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undertake a national review of Aboriginal and Torres Strait Islander workforce data for all health disciplines in terms of national, jurisdictional and regional distribution and health needs. </w:t>
      </w:r>
    </w:p>
    <w:p w14:paraId="21921AD2" w14:textId="0FF2E027" w:rsidR="006E7CE5" w:rsidRPr="00261C59" w:rsidRDefault="006E7CE5" w:rsidP="001E4C2B">
      <w:pPr>
        <w:pStyle w:val="Heading2"/>
        <w:widowControl/>
        <w:adjustRightInd/>
        <w:spacing w:before="180" w:after="120"/>
        <w:jc w:val="left"/>
        <w:textAlignment w:val="auto"/>
        <w:rPr>
          <w:rFonts w:ascii="Corbel" w:eastAsia="Times New Roman" w:hAnsi="Corbel" w:cs="Arial"/>
          <w:iCs/>
          <w:color w:val="3D4B67"/>
          <w:sz w:val="28"/>
          <w:szCs w:val="28"/>
        </w:rPr>
      </w:pPr>
      <w:bookmarkStart w:id="527" w:name="_Toc210833640"/>
      <w:bookmarkStart w:id="528" w:name="_Toc214456540"/>
      <w:bookmarkStart w:id="529" w:name="_Toc221088020"/>
      <w:r w:rsidRPr="00261C59">
        <w:rPr>
          <w:rFonts w:ascii="Corbel" w:eastAsia="Times New Roman" w:hAnsi="Corbel" w:cs="Arial"/>
          <w:iCs/>
          <w:color w:val="3D4B67"/>
          <w:sz w:val="28"/>
          <w:szCs w:val="28"/>
        </w:rPr>
        <w:t xml:space="preserve">Part 5 </w:t>
      </w:r>
      <w:r w:rsidR="00A74689" w:rsidRPr="00261C59">
        <w:rPr>
          <w:rFonts w:ascii="Corbel" w:eastAsia="Times New Roman" w:hAnsi="Corbel" w:cs="Arial"/>
          <w:iCs/>
          <w:color w:val="3D4B67"/>
          <w:sz w:val="28"/>
          <w:szCs w:val="28"/>
        </w:rPr>
        <w:t xml:space="preserve">– </w:t>
      </w:r>
      <w:r w:rsidRPr="00261C59">
        <w:rPr>
          <w:rFonts w:ascii="Corbel" w:eastAsia="Times New Roman" w:hAnsi="Corbel" w:cs="Arial"/>
          <w:iCs/>
          <w:color w:val="3D4B67"/>
          <w:sz w:val="28"/>
          <w:szCs w:val="28"/>
        </w:rPr>
        <w:t>Terminology</w:t>
      </w:r>
      <w:bookmarkEnd w:id="527"/>
      <w:bookmarkEnd w:id="528"/>
      <w:bookmarkEnd w:id="529"/>
    </w:p>
    <w:p w14:paraId="7D1BA302" w14:textId="5795E4D4" w:rsidR="006E7CE5" w:rsidRPr="00261C59" w:rsidRDefault="006E7CE5" w:rsidP="00CD67DE">
      <w:pPr>
        <w:pStyle w:val="ListParagraph"/>
        <w:widowControl/>
        <w:numPr>
          <w:ilvl w:val="0"/>
          <w:numId w:val="9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The Parties agree to operationalise, under this NHRA, a range of partnership and consultations processes with the Aboriginal and Torres Strait Islander Health Sector including but not limited to those defined below and agree to adopt the term only when activities fully comply with the definitions as below</w:t>
      </w:r>
      <w:r w:rsidR="00131C82">
        <w:rPr>
          <w:rFonts w:asciiTheme="minorHAnsi" w:eastAsia="Corbel" w:hAnsiTheme="minorHAnsi" w:cstheme="minorHAnsi"/>
          <w:color w:val="000000" w:themeColor="text1"/>
          <w:sz w:val="24"/>
          <w:szCs w:val="24"/>
        </w:rPr>
        <w:t>.</w:t>
      </w:r>
      <w:r w:rsidRPr="00261C59">
        <w:rPr>
          <w:rFonts w:asciiTheme="minorHAnsi" w:eastAsia="Corbel" w:hAnsiTheme="minorHAnsi" w:cstheme="minorHAnsi"/>
          <w:color w:val="000000" w:themeColor="text1"/>
          <w:sz w:val="24"/>
          <w:szCs w:val="24"/>
        </w:rPr>
        <w:t xml:space="preserve"> </w:t>
      </w:r>
    </w:p>
    <w:p w14:paraId="284970D3" w14:textId="77777777" w:rsidR="006E7CE5" w:rsidRPr="00261C59" w:rsidRDefault="006E7CE5" w:rsidP="00CD67DE">
      <w:pPr>
        <w:pStyle w:val="ListParagraph"/>
        <w:widowControl/>
        <w:numPr>
          <w:ilvl w:val="1"/>
          <w:numId w:val="10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Health and wellbeing</w:t>
      </w:r>
      <w:r w:rsidRPr="00261C59">
        <w:rPr>
          <w:rFonts w:asciiTheme="minorHAnsi" w:eastAsia="Corbel" w:hAnsiTheme="minorHAnsi" w:cstheme="minorHAnsi"/>
          <w:color w:val="000000" w:themeColor="text1"/>
          <w:sz w:val="24"/>
          <w:szCs w:val="24"/>
        </w:rPr>
        <w:t xml:space="preserve"> means not just the physical wellbeing of an individual but refers to the social, emotional and cultural wellbeing of the whole community in which each individual is able to achieve their full potential as a human being, thereby bringing about the total wellbeing of their community. It is a whole-of-life view and includes the cyclical concept of life-passing-life.</w:t>
      </w:r>
    </w:p>
    <w:p w14:paraId="247A141D" w14:textId="2BB24CAC" w:rsidR="006E7CE5" w:rsidRPr="00261C59" w:rsidRDefault="006E7CE5" w:rsidP="00CD67DE">
      <w:pPr>
        <w:pStyle w:val="ListParagraph"/>
        <w:numPr>
          <w:ilvl w:val="1"/>
          <w:numId w:val="10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Formal Partnership</w:t>
      </w:r>
      <w:r w:rsidRPr="00261C59">
        <w:rPr>
          <w:rFonts w:asciiTheme="minorHAnsi" w:eastAsia="Corbel" w:hAnsiTheme="minorHAnsi" w:cstheme="minorHAnsi"/>
          <w:color w:val="000000" w:themeColor="text1"/>
          <w:sz w:val="24"/>
          <w:szCs w:val="24"/>
        </w:rPr>
        <w:t xml:space="preserve"> as defined in the National Agreement on Closing the Gap </w:t>
      </w:r>
      <w:r w:rsidR="00242F28" w:rsidRPr="00261C59">
        <w:rPr>
          <w:rFonts w:asciiTheme="minorHAnsi" w:eastAsia="Corbel" w:hAnsiTheme="minorHAnsi" w:cstheme="minorHAnsi"/>
          <w:color w:val="000000" w:themeColor="text1"/>
          <w:sz w:val="24"/>
          <w:szCs w:val="24"/>
        </w:rPr>
        <w:br/>
      </w:r>
      <w:r w:rsidR="00B4286D" w:rsidRPr="00261C59">
        <w:rPr>
          <w:rFonts w:asciiTheme="minorHAnsi" w:eastAsia="Corbel" w:hAnsiTheme="minorHAnsi" w:cstheme="minorHAnsi"/>
          <w:color w:val="000000" w:themeColor="text1"/>
          <w:sz w:val="24"/>
          <w:szCs w:val="24"/>
        </w:rPr>
        <w:t>c</w:t>
      </w:r>
      <w:r w:rsidRPr="00261C59">
        <w:rPr>
          <w:rFonts w:asciiTheme="minorHAnsi" w:eastAsia="Corbel" w:hAnsiTheme="minorHAnsi" w:cstheme="minorHAnsi"/>
          <w:color w:val="000000" w:themeColor="text1"/>
          <w:sz w:val="24"/>
          <w:szCs w:val="24"/>
        </w:rPr>
        <w:t>lauses 2</w:t>
      </w:r>
      <w:r w:rsidR="00531C4D" w:rsidRPr="00261C59">
        <w:rPr>
          <w:rFonts w:asciiTheme="minorHAnsi" w:eastAsia="Corbel" w:hAnsiTheme="minorHAnsi" w:cstheme="minorHAnsi"/>
          <w:color w:val="000000" w:themeColor="text1"/>
          <w:sz w:val="24"/>
          <w:szCs w:val="24"/>
        </w:rPr>
        <w:t>8</w:t>
      </w:r>
      <w:r w:rsidR="005B5789" w:rsidRPr="00261C59">
        <w:rPr>
          <w:rFonts w:asciiTheme="minorHAnsi" w:eastAsia="Corbel" w:hAnsiTheme="minorHAnsi" w:cstheme="minorHAnsi"/>
          <w:color w:val="000000" w:themeColor="text1"/>
          <w:sz w:val="24"/>
          <w:szCs w:val="24"/>
        </w:rPr>
        <w:t xml:space="preserve"> to</w:t>
      </w:r>
      <w:r w:rsidR="00F36FA8" w:rsidRPr="00261C59">
        <w:rPr>
          <w:rFonts w:asciiTheme="minorHAnsi" w:eastAsia="Corbel" w:hAnsiTheme="minorHAnsi" w:cstheme="minorHAnsi"/>
          <w:color w:val="000000" w:themeColor="text1"/>
          <w:sz w:val="24"/>
          <w:szCs w:val="24"/>
        </w:rPr>
        <w:t xml:space="preserve"> </w:t>
      </w:r>
      <w:r w:rsidRPr="00261C59">
        <w:rPr>
          <w:rFonts w:asciiTheme="minorHAnsi" w:eastAsia="Corbel" w:hAnsiTheme="minorHAnsi" w:cstheme="minorHAnsi"/>
          <w:color w:val="000000" w:themeColor="text1"/>
          <w:sz w:val="24"/>
          <w:szCs w:val="24"/>
        </w:rPr>
        <w:t>3</w:t>
      </w:r>
      <w:r w:rsidR="00531C4D" w:rsidRPr="00261C59">
        <w:rPr>
          <w:rFonts w:asciiTheme="minorHAnsi" w:eastAsia="Corbel" w:hAnsiTheme="minorHAnsi" w:cstheme="minorHAnsi"/>
          <w:color w:val="000000" w:themeColor="text1"/>
          <w:sz w:val="24"/>
          <w:szCs w:val="24"/>
        </w:rPr>
        <w:t>3</w:t>
      </w:r>
      <w:r w:rsidRPr="00261C59">
        <w:rPr>
          <w:rFonts w:asciiTheme="minorHAnsi" w:eastAsia="Corbel" w:hAnsiTheme="minorHAnsi" w:cstheme="minorHAnsi"/>
          <w:color w:val="000000" w:themeColor="text1"/>
          <w:sz w:val="24"/>
          <w:szCs w:val="24"/>
        </w:rPr>
        <w:t xml:space="preserve"> enshrine agreed joint decision-making by setting out who makes decisions, how decisions are made, and what decisions will be about. Formal Partnerships provide Aboriginal and Torres Strait Islander parties with a level of power that is</w:t>
      </w:r>
      <w:r w:rsidRPr="00261C59">
        <w:rPr>
          <w:rFonts w:asciiTheme="minorHAnsi" w:eastAsia="Corbel" w:hAnsiTheme="minorHAnsi" w:cstheme="minorHAnsi"/>
          <w:i/>
          <w:iCs/>
          <w:color w:val="000000" w:themeColor="text1"/>
          <w:sz w:val="24"/>
          <w:szCs w:val="24"/>
        </w:rPr>
        <w:t xml:space="preserve"> </w:t>
      </w:r>
      <w:r w:rsidRPr="00261C59">
        <w:rPr>
          <w:rFonts w:asciiTheme="minorHAnsi" w:eastAsia="Corbel" w:hAnsiTheme="minorHAnsi" w:cstheme="minorHAnsi"/>
          <w:color w:val="000000" w:themeColor="text1"/>
          <w:sz w:val="24"/>
          <w:szCs w:val="24"/>
        </w:rPr>
        <w:t>equal to or higher than</w:t>
      </w:r>
      <w:r w:rsidRPr="00261C59">
        <w:rPr>
          <w:rFonts w:asciiTheme="minorHAnsi" w:eastAsia="Corbel" w:hAnsiTheme="minorHAnsi" w:cstheme="minorHAnsi"/>
          <w:i/>
          <w:iCs/>
          <w:color w:val="000000" w:themeColor="text1"/>
          <w:sz w:val="24"/>
          <w:szCs w:val="24"/>
        </w:rPr>
        <w:t xml:space="preserve"> </w:t>
      </w:r>
      <w:r w:rsidRPr="00261C59">
        <w:rPr>
          <w:rFonts w:asciiTheme="minorHAnsi" w:eastAsia="Corbel" w:hAnsiTheme="minorHAnsi" w:cstheme="minorHAnsi"/>
          <w:color w:val="000000" w:themeColor="text1"/>
          <w:sz w:val="24"/>
          <w:szCs w:val="24"/>
        </w:rPr>
        <w:t>other parties.  In Formal Partnerships, Aboriginal and Torres Strait Islander people choose their own representatives.  Formal Partnerships require formal signed agreements between Aboriginal and Torres Strait Islander people, governments, and/or other parties that sets out how they will each work together to achieve agreed goals and aims. As stated in the National Agreement on Closing the Gap, adequate funding is needed to support Aboriginal and Torres Strait Islander parties to be partners with governments in Formal Partnerships for activities to:</w:t>
      </w:r>
    </w:p>
    <w:p w14:paraId="7A625E9E" w14:textId="77777777" w:rsidR="006E7CE5" w:rsidRPr="00261C59" w:rsidRDefault="006E7CE5" w:rsidP="00CD67DE">
      <w:pPr>
        <w:pStyle w:val="ListParagraph"/>
        <w:widowControl/>
        <w:numPr>
          <w:ilvl w:val="2"/>
          <w:numId w:val="104"/>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engage independent policy advice </w:t>
      </w:r>
    </w:p>
    <w:p w14:paraId="2AD4DB8B" w14:textId="77777777" w:rsidR="006E7CE5" w:rsidRPr="00261C59" w:rsidRDefault="006E7CE5" w:rsidP="00CD67DE">
      <w:pPr>
        <w:pStyle w:val="ListParagraph"/>
        <w:widowControl/>
        <w:numPr>
          <w:ilvl w:val="2"/>
          <w:numId w:val="104"/>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meet independently of governments to determine their own policy positions </w:t>
      </w:r>
    </w:p>
    <w:p w14:paraId="42F73EFC" w14:textId="77777777" w:rsidR="006E7CE5" w:rsidRPr="00261C59" w:rsidRDefault="006E7CE5" w:rsidP="00CD67DE">
      <w:pPr>
        <w:pStyle w:val="ListParagraph"/>
        <w:widowControl/>
        <w:numPr>
          <w:ilvl w:val="2"/>
          <w:numId w:val="104"/>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support strengthened governance between and across Aboriginal and Torres Strait Islander organisations and parties </w:t>
      </w:r>
    </w:p>
    <w:p w14:paraId="22381B12" w14:textId="77777777" w:rsidR="006E7CE5" w:rsidRPr="00261C59" w:rsidRDefault="006E7CE5" w:rsidP="00CD67DE">
      <w:pPr>
        <w:pStyle w:val="ListParagraph"/>
        <w:widowControl/>
        <w:numPr>
          <w:ilvl w:val="2"/>
          <w:numId w:val="104"/>
        </w:numPr>
        <w:tabs>
          <w:tab w:val="clear" w:pos="851"/>
        </w:tabs>
        <w:adjustRightInd/>
        <w:spacing w:before="120" w:after="240" w:line="260" w:lineRule="exact"/>
        <w:ind w:left="1842" w:hanging="181"/>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engage with and seek advice from Aboriginal and Torres Strait Islander people from all relevant groups within affected communities, including but not limited to Elders, Traditional Owners and Native Title Holders. </w:t>
      </w:r>
    </w:p>
    <w:p w14:paraId="5D734CFE" w14:textId="67274E7E" w:rsidR="006E7CE5" w:rsidRPr="00261C59" w:rsidRDefault="006E7CE5" w:rsidP="00CD67DE">
      <w:pPr>
        <w:pStyle w:val="ListParagraph"/>
        <w:numPr>
          <w:ilvl w:val="1"/>
          <w:numId w:val="10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Shared decision-making</w:t>
      </w:r>
      <w:r w:rsidRPr="00261C59">
        <w:rPr>
          <w:rFonts w:asciiTheme="minorHAnsi" w:eastAsia="Corbel" w:hAnsiTheme="minorHAnsi"/>
          <w:b/>
          <w:color w:val="000000" w:themeColor="text1"/>
          <w:sz w:val="24"/>
        </w:rPr>
        <w:t xml:space="preserve"> </w:t>
      </w:r>
      <w:r w:rsidRPr="00261C59">
        <w:rPr>
          <w:rFonts w:asciiTheme="minorHAnsi" w:eastAsia="Corbel" w:hAnsiTheme="minorHAnsi" w:cstheme="minorHAnsi"/>
          <w:color w:val="000000" w:themeColor="text1"/>
          <w:sz w:val="24"/>
          <w:szCs w:val="24"/>
        </w:rPr>
        <w:t xml:space="preserve">which refers to processes mutually described as shared between government and Aboriginal and Torres Strait Islander people. Activities characterised as shared decision-making must adhere to the definition of shared decision-making in the National Agreement on Closing the Gap, namely: </w:t>
      </w:r>
    </w:p>
    <w:p w14:paraId="2B5D82BE" w14:textId="77777777" w:rsidR="006E7CE5" w:rsidRPr="00261C59" w:rsidRDefault="006E7CE5" w:rsidP="00CD67DE">
      <w:pPr>
        <w:pStyle w:val="ListParagraph"/>
        <w:widowControl/>
        <w:numPr>
          <w:ilvl w:val="2"/>
          <w:numId w:val="105"/>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by consensus, where the voices of Aboriginal and Torres Strait Islander parties hold as much weight as the governments</w:t>
      </w:r>
    </w:p>
    <w:p w14:paraId="3D6D7E07" w14:textId="77777777" w:rsidR="006E7CE5" w:rsidRPr="00261C59" w:rsidRDefault="006E7CE5" w:rsidP="00CD67DE">
      <w:pPr>
        <w:pStyle w:val="ListParagraph"/>
        <w:widowControl/>
        <w:numPr>
          <w:ilvl w:val="2"/>
          <w:numId w:val="105"/>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transparent, where matters for decision are in terms that are easily understood by all parties and where there is enough information and time to understand the implications of the decision</w:t>
      </w:r>
    </w:p>
    <w:p w14:paraId="2C88A591" w14:textId="77777777" w:rsidR="006E7CE5" w:rsidRPr="00261C59" w:rsidRDefault="006E7CE5" w:rsidP="00CD67DE">
      <w:pPr>
        <w:pStyle w:val="ListParagraph"/>
        <w:widowControl/>
        <w:numPr>
          <w:ilvl w:val="2"/>
          <w:numId w:val="105"/>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where Aboriginal and Torres Strait Islander representatives can speak without fear of reprisals or repercussions</w:t>
      </w:r>
    </w:p>
    <w:p w14:paraId="1144690C" w14:textId="77777777" w:rsidR="006E7CE5" w:rsidRPr="00261C59" w:rsidRDefault="006E7CE5" w:rsidP="00CD67DE">
      <w:pPr>
        <w:pStyle w:val="ListParagraph"/>
        <w:widowControl/>
        <w:numPr>
          <w:ilvl w:val="2"/>
          <w:numId w:val="105"/>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where a wide variety of groups of Aboriginal and Torres Strait Islander people, including women, young people, Elders, and Aboriginal and Torres Strait Islander people with a disability can have their voice heard</w:t>
      </w:r>
    </w:p>
    <w:p w14:paraId="087E9BC6" w14:textId="77777777" w:rsidR="006E7CE5" w:rsidRPr="00261C59" w:rsidRDefault="006E7CE5" w:rsidP="00CD67DE">
      <w:pPr>
        <w:pStyle w:val="ListParagraph"/>
        <w:widowControl/>
        <w:numPr>
          <w:ilvl w:val="2"/>
          <w:numId w:val="105"/>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where self-determination is supported, and Aboriginal and Torres Strait Islander lived experience is understood and respected</w:t>
      </w:r>
    </w:p>
    <w:p w14:paraId="7C2AA70F" w14:textId="77777777" w:rsidR="006E7CE5" w:rsidRPr="00261C59" w:rsidRDefault="006E7CE5" w:rsidP="00CD67DE">
      <w:pPr>
        <w:pStyle w:val="ListParagraph"/>
        <w:widowControl/>
        <w:numPr>
          <w:ilvl w:val="2"/>
          <w:numId w:val="105"/>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where relevant funding for programs and services align with jointly agreed community priorities, noting governments retain responsibility for funding decisions</w:t>
      </w:r>
    </w:p>
    <w:p w14:paraId="0B57EA21" w14:textId="77777777" w:rsidR="006E7CE5" w:rsidRPr="00261C59" w:rsidRDefault="006E7CE5" w:rsidP="00CD67DE">
      <w:pPr>
        <w:pStyle w:val="ListParagraph"/>
        <w:widowControl/>
        <w:numPr>
          <w:ilvl w:val="2"/>
          <w:numId w:val="105"/>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where all parties have access to the same data and information, in an easily accessible format, on which any decisions are made.</w:t>
      </w:r>
    </w:p>
    <w:p w14:paraId="46BDBB3F" w14:textId="77777777" w:rsidR="006E7CE5" w:rsidRPr="00261C59" w:rsidRDefault="006E7CE5" w:rsidP="00CD67DE">
      <w:pPr>
        <w:pStyle w:val="ListParagraph"/>
        <w:widowControl/>
        <w:numPr>
          <w:ilvl w:val="1"/>
          <w:numId w:val="106"/>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Co-design</w:t>
      </w:r>
      <w:r w:rsidRPr="00261C59">
        <w:rPr>
          <w:rFonts w:asciiTheme="minorHAnsi" w:eastAsia="Corbel" w:hAnsiTheme="minorHAnsi" w:cstheme="minorHAnsi"/>
          <w:color w:val="000000" w:themeColor="text1"/>
          <w:sz w:val="24"/>
          <w:szCs w:val="24"/>
        </w:rPr>
        <w:t xml:space="preserve"> which refers to an equitably resourced partnership process that is Aboriginal and Torres Strait Islander-led and built on authentic relationships, communicating through agreed mechanisms, two-way understanding, cumulative evaluation and reflection in order to generate and sustain shared development pathways to outcome delivery and reform.  To be described as co-design, the Parties agree that respective activities, arrangements and claims must:</w:t>
      </w:r>
    </w:p>
    <w:p w14:paraId="77C52FC2" w14:textId="77777777" w:rsidR="006E7CE5" w:rsidRPr="00261C59" w:rsidRDefault="006E7CE5" w:rsidP="00CD67DE">
      <w:pPr>
        <w:pStyle w:val="ListParagraph"/>
        <w:widowControl/>
        <w:numPr>
          <w:ilvl w:val="2"/>
          <w:numId w:val="107"/>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Ensure early and consistent involvement of Aboriginal and Torres Strait Islander people and/or communities throughout the design process for transparency and accountability; </w:t>
      </w:r>
    </w:p>
    <w:p w14:paraId="62C61771" w14:textId="77777777" w:rsidR="006E7CE5" w:rsidRPr="00261C59" w:rsidRDefault="006E7CE5" w:rsidP="00CD67DE">
      <w:pPr>
        <w:pStyle w:val="ListParagraph"/>
        <w:widowControl/>
        <w:numPr>
          <w:ilvl w:val="2"/>
          <w:numId w:val="107"/>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Prioritise and respect the voices of Aboriginal and Torres Strait Islander people to determine and drive the agenda and design solutions for health reform; and address the interface between the health, disability and aged care sectors, and </w:t>
      </w:r>
    </w:p>
    <w:p w14:paraId="647E2E87" w14:textId="77777777" w:rsidR="006E7CE5" w:rsidRPr="00261C59" w:rsidRDefault="006E7CE5" w:rsidP="00CD67DE">
      <w:pPr>
        <w:pStyle w:val="ListParagraph"/>
        <w:widowControl/>
        <w:numPr>
          <w:ilvl w:val="2"/>
          <w:numId w:val="107"/>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Facilitate knowledge-sharing, power-sharing, shifts in control consistent with the National Agreement on Closing the Gap and capability building between the healthcare system, Aboriginal and Torres Strait Islander experts and patients.</w:t>
      </w:r>
    </w:p>
    <w:p w14:paraId="57CBE122" w14:textId="77777777" w:rsidR="006E7CE5" w:rsidRPr="00261C59" w:rsidRDefault="006E7CE5" w:rsidP="00CD67DE">
      <w:pPr>
        <w:pStyle w:val="ListParagraph"/>
        <w:numPr>
          <w:ilvl w:val="2"/>
          <w:numId w:val="107"/>
        </w:numPr>
        <w:spacing w:before="120" w:after="240" w:line="260" w:lineRule="exact"/>
        <w:ind w:left="1842" w:hanging="181"/>
        <w:contextualSpacing w:val="0"/>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Examples of co-designed process were the development of the National Agreement on Closing the Gap, National Aboriginal and Torres Strait Islander Health Plans, and the National Aboriginal and Torres Strait Islander Health Workforce Strategic Framework and Implementation Plan 2021-2031; and Health Sector Strengthening Plan.</w:t>
      </w:r>
    </w:p>
    <w:p w14:paraId="4388CB5D" w14:textId="08355AE0" w:rsidR="006E7CE5" w:rsidRPr="00261C59" w:rsidRDefault="006E7CE5" w:rsidP="00CD67DE">
      <w:pPr>
        <w:pStyle w:val="ListParagraph"/>
        <w:widowControl/>
        <w:numPr>
          <w:ilvl w:val="1"/>
          <w:numId w:val="108"/>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Aboriginal and Torres Strait Islander ('Indigenous') Cultural and Intellectual Property (ICIP)</w:t>
      </w:r>
      <w:r w:rsidRPr="00261C59">
        <w:rPr>
          <w:rFonts w:asciiTheme="minorHAnsi" w:eastAsia="Corbel" w:hAnsiTheme="minorHAnsi" w:cstheme="minorHAnsi"/>
          <w:color w:val="000000" w:themeColor="text1"/>
          <w:sz w:val="24"/>
          <w:szCs w:val="24"/>
        </w:rPr>
        <w:t xml:space="preserve"> means Aboriginal and Torres Strait Islander people's rights to their heritage, cultural knowledge and cultural expression that originates from a family or community group and is passed on from generation to generation.  These rights may exist in literary, performing and artistic works; languages; types of knowledge, including spiritual knowledge; tangible and intangible cultural property; cultural environmental resources; and documentation of Indigenous heritage created, performed, expressed or contributed to by Aboriginal and Torres Strait Islander people. </w:t>
      </w:r>
    </w:p>
    <w:p w14:paraId="71EE8BD8" w14:textId="77777777" w:rsidR="006E7CE5" w:rsidRPr="00261C59" w:rsidRDefault="006E7CE5" w:rsidP="00CD67DE">
      <w:pPr>
        <w:pStyle w:val="ListParagraph"/>
        <w:widowControl/>
        <w:numPr>
          <w:ilvl w:val="1"/>
          <w:numId w:val="109"/>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Nation building</w:t>
      </w:r>
      <w:r w:rsidRPr="00261C59">
        <w:rPr>
          <w:rFonts w:asciiTheme="minorHAnsi" w:eastAsia="Corbel" w:hAnsiTheme="minorHAnsi" w:cstheme="minorHAnsi"/>
          <w:color w:val="000000" w:themeColor="text1"/>
          <w:sz w:val="24"/>
          <w:szCs w:val="24"/>
        </w:rPr>
        <w:t xml:space="preserve"> refers to the efforts enhancing Aboriginal and Torres Strait Islander people’s capacities for self-governance and self-determined economic development and, according to the Social Justice Report (2014), is achieved when local Aboriginal and Torres Strait Islander people, Nations, communities, authorities and organisations have power and control over decision making and resources.</w:t>
      </w:r>
    </w:p>
    <w:p w14:paraId="6777CE3C" w14:textId="1DEFF8E4" w:rsidR="006E7CE5" w:rsidRPr="00261C59" w:rsidRDefault="006E7CE5" w:rsidP="00CD67DE">
      <w:pPr>
        <w:pStyle w:val="ListParagraph"/>
        <w:widowControl/>
        <w:numPr>
          <w:ilvl w:val="1"/>
          <w:numId w:val="109"/>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b/>
          <w:bCs/>
          <w:color w:val="000000" w:themeColor="text1"/>
          <w:sz w:val="24"/>
          <w:szCs w:val="24"/>
        </w:rPr>
        <w:t>Cultural safety</w:t>
      </w:r>
      <w:r w:rsidRPr="00261C59">
        <w:rPr>
          <w:rFonts w:asciiTheme="minorHAnsi" w:eastAsia="Corbel" w:hAnsiTheme="minorHAnsi" w:cstheme="minorHAnsi"/>
          <w:color w:val="000000" w:themeColor="text1"/>
          <w:sz w:val="24"/>
          <w:szCs w:val="24"/>
        </w:rPr>
        <w:t xml:space="preserve"> for Aboriginal and Torres Strait Islander people acknowledges the two-part definition of cultural </w:t>
      </w:r>
      <w:r w:rsidRPr="00261C59">
        <w:rPr>
          <w:rFonts w:asciiTheme="minorHAnsi" w:eastAsia="Corbel" w:hAnsiTheme="minorHAnsi" w:cstheme="minorHAnsi"/>
          <w:sz w:val="24"/>
          <w:szCs w:val="24"/>
        </w:rPr>
        <w:t xml:space="preserve">safety developed by the Australian Health Practitioner Regulation Authority (AHPRA) for the National Registration and Accreditation Scheme namely: </w:t>
      </w:r>
    </w:p>
    <w:p w14:paraId="7A2FBBDE" w14:textId="77777777" w:rsidR="006E7CE5" w:rsidRPr="00261C59" w:rsidRDefault="006E7CE5" w:rsidP="00CD67DE">
      <w:pPr>
        <w:pStyle w:val="ListParagraph"/>
        <w:widowControl/>
        <w:numPr>
          <w:ilvl w:val="2"/>
          <w:numId w:val="110"/>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Cultural safety is determined by Aboriginal and Torres Strait Islander individuals, families and communities.</w:t>
      </w:r>
    </w:p>
    <w:p w14:paraId="14473F51" w14:textId="77777777" w:rsidR="006E7CE5" w:rsidRPr="00261C59" w:rsidRDefault="006E7CE5" w:rsidP="00CD67DE">
      <w:pPr>
        <w:pStyle w:val="ListParagraph"/>
        <w:widowControl/>
        <w:numPr>
          <w:ilvl w:val="2"/>
          <w:numId w:val="110"/>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Culturally safe practise is the ongoing critical reflection of health practitioner knowledge, skills, attitudes, practising behaviours and power differentials in delivering safe, accessible and responsive healthcare free of racism.</w:t>
      </w:r>
    </w:p>
    <w:p w14:paraId="0C54D015" w14:textId="77777777" w:rsidR="006E7CE5" w:rsidRPr="00261C59" w:rsidRDefault="006E7CE5" w:rsidP="00CD67DE">
      <w:pPr>
        <w:pStyle w:val="ListParagraph"/>
        <w:spacing w:before="120" w:after="240" w:line="260" w:lineRule="exact"/>
        <w:ind w:left="1134" w:firstLine="0"/>
        <w:contextualSpacing w:val="0"/>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and also acknowledges that </w:t>
      </w:r>
    </w:p>
    <w:p w14:paraId="495D7DE2" w14:textId="3B8BD970" w:rsidR="006E7CE5" w:rsidRPr="00261C59" w:rsidRDefault="006E7CE5" w:rsidP="00CD67DE">
      <w:pPr>
        <w:pStyle w:val="ListParagraph"/>
        <w:widowControl/>
        <w:numPr>
          <w:ilvl w:val="2"/>
          <w:numId w:val="110"/>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Cultural safety requires organisational change through critically analysing and addressing racism, biases, assumptions, stereotypes and prejudices expressed through the organisations structures, values, policies and procedures that create barriers to provide good health care and good health outcomes.</w:t>
      </w:r>
    </w:p>
    <w:p w14:paraId="22B31122" w14:textId="4E438F9C" w:rsidR="006E7CE5" w:rsidRPr="00261C59" w:rsidRDefault="006E7CE5" w:rsidP="00CD67DE">
      <w:pPr>
        <w:pStyle w:val="ListParagraph"/>
        <w:widowControl/>
        <w:numPr>
          <w:ilvl w:val="1"/>
          <w:numId w:val="111"/>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b/>
          <w:bCs/>
          <w:color w:val="000000" w:themeColor="text1"/>
          <w:sz w:val="24"/>
          <w:szCs w:val="24"/>
        </w:rPr>
        <w:t>Trauma-aware, healing-</w:t>
      </w:r>
      <w:r w:rsidRPr="00261C59">
        <w:rPr>
          <w:rFonts w:asciiTheme="minorHAnsi" w:eastAsia="Corbel" w:hAnsiTheme="minorHAnsi" w:cstheme="minorHAnsi"/>
          <w:b/>
          <w:bCs/>
          <w:sz w:val="24"/>
          <w:szCs w:val="24"/>
        </w:rPr>
        <w:t>informed practice/</w:t>
      </w:r>
      <w:r w:rsidRPr="00261C59">
        <w:rPr>
          <w:rFonts w:asciiTheme="minorHAnsi" w:eastAsia="Corbel" w:hAnsiTheme="minorHAnsi" w:cstheme="minorHAnsi"/>
          <w:sz w:val="24"/>
          <w:szCs w:val="24"/>
        </w:rPr>
        <w:t>approach has been developed to address the high prevalence of trauma amongst Aboriginal and Torres Strait Islander people and support journeys of individual, family, and community healing. It recognises the co-existence of trauma with intergenerational trauma, built within individual and collective experiences of colonialism and racism. It is strengths based and grounded in Aboriginal and Torres Strait Islander people</w:t>
      </w:r>
      <w:r w:rsidR="000254D4">
        <w:rPr>
          <w:rFonts w:asciiTheme="minorHAnsi" w:eastAsia="Corbel" w:hAnsiTheme="minorHAnsi" w:cstheme="minorHAnsi"/>
          <w:sz w:val="24"/>
          <w:szCs w:val="24"/>
        </w:rPr>
        <w:t>’</w:t>
      </w:r>
      <w:r w:rsidRPr="00261C59">
        <w:rPr>
          <w:rFonts w:asciiTheme="minorHAnsi" w:eastAsia="Corbel" w:hAnsiTheme="minorHAnsi" w:cstheme="minorHAnsi"/>
          <w:sz w:val="24"/>
          <w:szCs w:val="24"/>
        </w:rPr>
        <w:t>s ways of knowing, being, and doing. The approach is non-linear and cyclical, reflective of the story and journey of each individual, family, community and Country. In practice, it emphasises cultural, spiritual, physical, psychological, and emotional safety, when engaging with issues of high importance that are likely to be sensitive and triggering of trauma responses. It requires a reflective practice and an awareness of cultural and unconscious bias, privilege, and the ongoing impacts of colonialism.  Its principles are:</w:t>
      </w:r>
    </w:p>
    <w:p w14:paraId="4AA50A83" w14:textId="77777777" w:rsidR="006E7CE5" w:rsidRPr="00261C59" w:rsidRDefault="006E7CE5" w:rsidP="00CD67DE">
      <w:pPr>
        <w:pStyle w:val="ListParagraph"/>
        <w:widowControl/>
        <w:numPr>
          <w:ilvl w:val="2"/>
          <w:numId w:val="11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Stolen Generations survivors have complex needs related to their experiences of trauma</w:t>
      </w:r>
    </w:p>
    <w:p w14:paraId="3891102B" w14:textId="6A2DFBEA" w:rsidR="006E7CE5" w:rsidRPr="00261C59" w:rsidRDefault="006E7CE5" w:rsidP="00CD67DE">
      <w:pPr>
        <w:pStyle w:val="ListParagraph"/>
        <w:widowControl/>
        <w:numPr>
          <w:ilvl w:val="2"/>
          <w:numId w:val="11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Aboriginal and Torres Strait Islander people</w:t>
      </w:r>
      <w:r w:rsidR="000254D4">
        <w:rPr>
          <w:rFonts w:asciiTheme="minorHAnsi" w:eastAsia="Corbel" w:hAnsiTheme="minorHAnsi" w:cstheme="minorHAnsi"/>
          <w:color w:val="000000" w:themeColor="text1"/>
          <w:sz w:val="24"/>
          <w:szCs w:val="24"/>
        </w:rPr>
        <w:t>’</w:t>
      </w:r>
      <w:r w:rsidRPr="00261C59">
        <w:rPr>
          <w:rFonts w:asciiTheme="minorHAnsi" w:eastAsia="Corbel" w:hAnsiTheme="minorHAnsi" w:cstheme="minorHAnsi"/>
          <w:color w:val="000000" w:themeColor="text1"/>
          <w:sz w:val="24"/>
          <w:szCs w:val="24"/>
        </w:rPr>
        <w:t>s ways of knowing, being, and doing encompass belonging, (re)connection, collectivity, intergenerational learning, knowledges, and relationships</w:t>
      </w:r>
    </w:p>
    <w:p w14:paraId="30260D86" w14:textId="755B2DEF" w:rsidR="006E7CE5" w:rsidRPr="00261C59" w:rsidRDefault="006E7CE5" w:rsidP="00CD67DE">
      <w:pPr>
        <w:pStyle w:val="ListParagraph"/>
        <w:widowControl/>
        <w:numPr>
          <w:ilvl w:val="2"/>
          <w:numId w:val="112"/>
        </w:numPr>
        <w:tabs>
          <w:tab w:val="clear" w:pos="851"/>
        </w:tabs>
        <w:adjustRightInd/>
        <w:spacing w:before="120" w:after="240" w:line="260" w:lineRule="exact"/>
        <w:ind w:left="1842" w:hanging="181"/>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an understanding of and engagement with collective and interconnected trauma and intergenerational trauma experienced by First Nations people</w:t>
      </w:r>
    </w:p>
    <w:p w14:paraId="3EE1A798" w14:textId="77777777" w:rsidR="006E7CE5" w:rsidRPr="00261C59" w:rsidRDefault="006E7CE5" w:rsidP="00CD67DE">
      <w:pPr>
        <w:pStyle w:val="ListParagraph"/>
        <w:widowControl/>
        <w:numPr>
          <w:ilvl w:val="2"/>
          <w:numId w:val="11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culture and cultural expression are central to healing</w:t>
      </w:r>
    </w:p>
    <w:p w14:paraId="71E74ADB" w14:textId="77777777" w:rsidR="006E7CE5" w:rsidRPr="00261C59" w:rsidRDefault="006E7CE5" w:rsidP="00CD67DE">
      <w:pPr>
        <w:pStyle w:val="ListParagraph"/>
        <w:widowControl/>
        <w:numPr>
          <w:ilvl w:val="2"/>
          <w:numId w:val="11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strengths based interconnected approaches</w:t>
      </w:r>
    </w:p>
    <w:p w14:paraId="512FAF31" w14:textId="77777777" w:rsidR="006E7CE5" w:rsidRPr="00261C59" w:rsidRDefault="006E7CE5" w:rsidP="00CD67DE">
      <w:pPr>
        <w:pStyle w:val="ListParagraph"/>
        <w:widowControl/>
        <w:numPr>
          <w:ilvl w:val="2"/>
          <w:numId w:val="112"/>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healing informed is a nonlinear, holistic journey that addresses physical, emotional, and spiritual needs.</w:t>
      </w:r>
    </w:p>
    <w:p w14:paraId="2D60B98D" w14:textId="77777777" w:rsidR="006E7CE5" w:rsidRPr="00261C59" w:rsidRDefault="006E7CE5" w:rsidP="00CD67DE">
      <w:pPr>
        <w:pStyle w:val="ListParagraph"/>
        <w:widowControl/>
        <w:numPr>
          <w:ilvl w:val="1"/>
          <w:numId w:val="11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The Aboriginal and Torres Strait Islander Health Sector</w:t>
      </w:r>
      <w:r w:rsidRPr="00261C59">
        <w:rPr>
          <w:rFonts w:asciiTheme="minorHAnsi" w:eastAsia="Corbel" w:hAnsiTheme="minorHAnsi" w:cstheme="minorHAnsi"/>
          <w:color w:val="000000" w:themeColor="text1"/>
          <w:sz w:val="24"/>
          <w:szCs w:val="24"/>
        </w:rPr>
        <w:t xml:space="preserve"> (short-hand where appropriate to the ‘Health Sector’ or ’the Sector’) refers to the National Indigenous Health Leaders Alliance (NIHLA) and the National Aboriginal Community-Controlled Health Organisation (NACCHO), the State and Territory Affiliate peak health bodies and ACCHOs.</w:t>
      </w:r>
    </w:p>
    <w:p w14:paraId="72BB2C63" w14:textId="77777777" w:rsidR="006E7CE5" w:rsidRPr="00261C59" w:rsidRDefault="006E7CE5" w:rsidP="00CD67DE">
      <w:pPr>
        <w:pStyle w:val="ListParagraph"/>
        <w:widowControl/>
        <w:numPr>
          <w:ilvl w:val="1"/>
          <w:numId w:val="11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The Aboriginal and Torres Strait Islander community-controlled health sector</w:t>
      </w:r>
      <w:r w:rsidRPr="00261C59">
        <w:rPr>
          <w:rFonts w:asciiTheme="minorHAnsi" w:eastAsia="Corbel" w:hAnsiTheme="minorHAnsi" w:cstheme="minorHAnsi"/>
          <w:color w:val="000000" w:themeColor="text1"/>
          <w:sz w:val="24"/>
          <w:szCs w:val="24"/>
        </w:rPr>
        <w:t xml:space="preserve"> (short-hand where appropriate to 'the community-controlled health Sector') refers to NACCHO, Affiliates and all ACCHOs which meet the criteria for delivering comprehensive community-controlled primary health care as stated in the Core Services and Outcomes Framework</w:t>
      </w:r>
    </w:p>
    <w:p w14:paraId="11A2CDD3" w14:textId="77777777" w:rsidR="006E7CE5" w:rsidRPr="00261C59" w:rsidRDefault="006E7CE5" w:rsidP="00CD67DE">
      <w:pPr>
        <w:pStyle w:val="ListParagraph"/>
        <w:keepLines/>
        <w:widowControl/>
        <w:numPr>
          <w:ilvl w:val="1"/>
          <w:numId w:val="11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The </w:t>
      </w:r>
      <w:r w:rsidRPr="00261C59">
        <w:rPr>
          <w:rFonts w:asciiTheme="minorHAnsi" w:eastAsia="Corbel" w:hAnsiTheme="minorHAnsi" w:cstheme="minorHAnsi"/>
          <w:b/>
          <w:bCs/>
          <w:color w:val="000000" w:themeColor="text1"/>
          <w:sz w:val="24"/>
          <w:szCs w:val="24"/>
        </w:rPr>
        <w:t xml:space="preserve">Coalition of Peaks </w:t>
      </w:r>
      <w:r w:rsidRPr="00261C59">
        <w:rPr>
          <w:rFonts w:asciiTheme="minorHAnsi" w:eastAsia="Corbel" w:hAnsiTheme="minorHAnsi" w:cstheme="minorHAnsi"/>
          <w:color w:val="000000" w:themeColor="text1"/>
          <w:sz w:val="24"/>
          <w:szCs w:val="24"/>
        </w:rPr>
        <w:t>is a national network of more than 80 Aboriginal and Torres Strait Islander community-controlled peak bodies and members across Australia, who represent some 800 organisations. The Coalition of Peaks bring forward the views of their members and communities to all their discussions with governments.</w:t>
      </w:r>
    </w:p>
    <w:p w14:paraId="2DBED4DF" w14:textId="481B6103" w:rsidR="006E7CE5" w:rsidRPr="00261C59" w:rsidRDefault="006E7CE5" w:rsidP="00CD67DE">
      <w:pPr>
        <w:pStyle w:val="ListParagraph"/>
        <w:widowControl/>
        <w:numPr>
          <w:ilvl w:val="1"/>
          <w:numId w:val="113"/>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The </w:t>
      </w:r>
      <w:r w:rsidRPr="00261C59">
        <w:rPr>
          <w:rFonts w:asciiTheme="minorHAnsi" w:eastAsia="Corbel" w:hAnsiTheme="minorHAnsi" w:cstheme="minorHAnsi"/>
          <w:b/>
          <w:bCs/>
          <w:color w:val="000000" w:themeColor="text1"/>
          <w:sz w:val="24"/>
          <w:szCs w:val="24"/>
        </w:rPr>
        <w:t>National Indigenous Health Leadership Alliance</w:t>
      </w:r>
      <w:r w:rsidRPr="00261C59">
        <w:rPr>
          <w:rFonts w:asciiTheme="minorHAnsi" w:eastAsia="Corbel" w:hAnsiTheme="minorHAnsi" w:cstheme="minorHAnsi"/>
          <w:color w:val="000000" w:themeColor="text1"/>
          <w:sz w:val="24"/>
          <w:szCs w:val="24"/>
        </w:rPr>
        <w:t xml:space="preserve"> (NIHLA) is a partnership of Aboriginal and Torres Strait Islander health and wellbeing organisations, whose purpose is to drive systemic and structural transformation of mainstream government systems, including addressing institutional racism and advancing the human rights of Indigenous people in alignment with the National Agreement on Closing the Gap, the National Aboriginal and Torres Strait Islander Health Plan, the National Aboriginal and Torres Strait Islander Health Workforce Strategic Framework and Implementation Plan. Each member of the NIHLA has their own membership who work across the public and private hospital systems through to primary health through ACCHOs and general practice, and private practice. The breadth of locational practice, scopes of professional practice and lived experience provides NIHLA with a broad understanding of the strengths, weaknesses and failing of our health systems. Thus, NIHLA plays an important role in advocating for and supporting improved outcomes for Aboriginal and Torres Strait Islander people:</w:t>
      </w:r>
    </w:p>
    <w:p w14:paraId="0CF931DA" w14:textId="77777777" w:rsidR="006E7CE5" w:rsidRPr="00261C59" w:rsidRDefault="006E7CE5" w:rsidP="00CD67DE">
      <w:pPr>
        <w:pStyle w:val="ListParagraph"/>
        <w:widowControl/>
        <w:numPr>
          <w:ilvl w:val="2"/>
          <w:numId w:val="114"/>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sharing their knowledge, expertise and insights to strengthen the capability of governments and mainstream organisations to deliver more effective policies and programs</w:t>
      </w:r>
    </w:p>
    <w:p w14:paraId="4EFA2C92" w14:textId="77777777" w:rsidR="006E7CE5" w:rsidRPr="00261C59" w:rsidRDefault="006E7CE5" w:rsidP="00CD67DE">
      <w:pPr>
        <w:pStyle w:val="ListParagraph"/>
        <w:widowControl/>
        <w:numPr>
          <w:ilvl w:val="2"/>
          <w:numId w:val="114"/>
        </w:numPr>
        <w:tabs>
          <w:tab w:val="clear" w:pos="851"/>
        </w:tabs>
        <w:adjustRightInd/>
        <w:spacing w:before="120" w:after="240" w:line="260" w:lineRule="exact"/>
        <w:contextualSpacing w:val="0"/>
        <w:jc w:val="left"/>
        <w:textAlignment w:val="auto"/>
        <w:rPr>
          <w:rFonts w:asciiTheme="minorHAnsi" w:eastAsia="Corbel" w:hAnsiTheme="minorHAnsi" w:cstheme="minorHAnsi"/>
          <w:sz w:val="24"/>
          <w:szCs w:val="24"/>
        </w:rPr>
      </w:pPr>
      <w:r w:rsidRPr="00261C59">
        <w:rPr>
          <w:rFonts w:asciiTheme="minorHAnsi" w:eastAsia="Corbel" w:hAnsiTheme="minorHAnsi" w:cstheme="minorHAnsi"/>
          <w:color w:val="000000" w:themeColor="text1"/>
          <w:sz w:val="24"/>
          <w:szCs w:val="24"/>
        </w:rPr>
        <w:t xml:space="preserve">providing advice on matters relating to Aboriginal and Torres Strait Islander health from the perspective of the mainstream service system, education and training </w:t>
      </w:r>
      <w:r w:rsidRPr="00261C59">
        <w:rPr>
          <w:rFonts w:asciiTheme="minorHAnsi" w:eastAsia="Corbel" w:hAnsiTheme="minorHAnsi" w:cstheme="minorHAnsi"/>
          <w:sz w:val="24"/>
          <w:szCs w:val="24"/>
        </w:rPr>
        <w:t>systems.</w:t>
      </w:r>
    </w:p>
    <w:p w14:paraId="6E8CB59A" w14:textId="68EC1508" w:rsidR="006E7CE5" w:rsidRPr="00261C59" w:rsidRDefault="006E7CE5" w:rsidP="00CD67DE">
      <w:pPr>
        <w:pStyle w:val="ListParagraph"/>
        <w:widowControl/>
        <w:numPr>
          <w:ilvl w:val="1"/>
          <w:numId w:val="115"/>
        </w:numPr>
        <w:tabs>
          <w:tab w:val="clear" w:pos="851"/>
        </w:tabs>
        <w:adjustRightInd/>
        <w:spacing w:before="120" w:after="240" w:line="260" w:lineRule="exact"/>
        <w:contextualSpacing w:val="0"/>
        <w:jc w:val="left"/>
        <w:textAlignment w:val="auto"/>
        <w:rPr>
          <w:rFonts w:asciiTheme="minorHAnsi" w:eastAsia="Arial" w:hAnsiTheme="minorHAnsi" w:cstheme="minorHAnsi"/>
          <w:sz w:val="24"/>
          <w:szCs w:val="24"/>
        </w:rPr>
      </w:pPr>
      <w:r w:rsidRPr="00261C59">
        <w:rPr>
          <w:rFonts w:asciiTheme="minorHAnsi" w:eastAsia="Corbel" w:hAnsiTheme="minorHAnsi" w:cstheme="minorHAnsi"/>
          <w:b/>
          <w:bCs/>
          <w:sz w:val="24"/>
          <w:szCs w:val="24"/>
        </w:rPr>
        <w:t>ACCHOs</w:t>
      </w:r>
      <w:r w:rsidRPr="00261C59">
        <w:rPr>
          <w:rFonts w:asciiTheme="minorHAnsi" w:eastAsia="Calibri" w:hAnsiTheme="minorHAnsi" w:cstheme="minorHAnsi"/>
          <w:sz w:val="24"/>
          <w:szCs w:val="24"/>
        </w:rPr>
        <w:t xml:space="preserve"> or Aboriginal Community Controlled Health Organisations </w:t>
      </w:r>
      <w:r w:rsidRPr="00261C59">
        <w:rPr>
          <w:rFonts w:asciiTheme="minorHAnsi" w:eastAsia="Corbel" w:hAnsiTheme="minorHAnsi" w:cstheme="minorHAnsi"/>
          <w:sz w:val="24"/>
          <w:szCs w:val="24"/>
        </w:rPr>
        <w:t>must be non-government and not-for-profit incorporated Aboriginal or Torres Strait Islander organisations that are initiated by a local Aboriginal or Torres Strait Islander community; based in a local Aboriginal or Torres Strait Islander community; governed by an Aboriginal or Torres Strait Islander body which is elected by the local Aboriginal or Torres Strait Islander community; and deliver</w:t>
      </w:r>
      <w:r w:rsidR="00742B10" w:rsidRPr="00261C59">
        <w:rPr>
          <w:rFonts w:asciiTheme="minorHAnsi" w:eastAsia="Corbel" w:hAnsiTheme="minorHAnsi" w:cstheme="minorHAnsi"/>
          <w:sz w:val="24"/>
          <w:szCs w:val="24"/>
        </w:rPr>
        <w:t xml:space="preserve"> a</w:t>
      </w:r>
      <w:r w:rsidRPr="00261C59">
        <w:rPr>
          <w:rFonts w:asciiTheme="minorHAnsi" w:eastAsia="Corbel" w:hAnsiTheme="minorHAnsi" w:cstheme="minorHAnsi"/>
          <w:sz w:val="24"/>
          <w:szCs w:val="24"/>
        </w:rPr>
        <w:t xml:space="preserve"> holistic and culturally appropriate health service to the community which controls it.  Through their unique corporate structure, ACCHOs are an expression of self-determination that aim to improve health and wellbeing and mitigate the processes of ongoing colonisation by offering comprehensive community-controlled primary health care described in the Core Services Framework published by NACCHO in 2021. The terms ACCHO, Aboriginal Community Controlled Health Service (ACCHS) and Aboriginal Medical Service (AMS) and </w:t>
      </w:r>
      <w:r w:rsidRPr="00261C59">
        <w:rPr>
          <w:rFonts w:asciiTheme="minorHAnsi" w:eastAsia="Calibri" w:hAnsiTheme="minorHAnsi" w:cstheme="minorHAnsi"/>
          <w:sz w:val="24"/>
          <w:szCs w:val="24"/>
        </w:rPr>
        <w:t>Aboriginal and Torres Strait Islander Health Organisations (A&amp;TSIHOs)</w:t>
      </w:r>
      <w:r w:rsidRPr="00261C59">
        <w:rPr>
          <w:rFonts w:asciiTheme="minorHAnsi" w:eastAsia="Arial" w:hAnsiTheme="minorHAnsi" w:cstheme="minorHAnsi"/>
          <w:sz w:val="24"/>
          <w:szCs w:val="24"/>
        </w:rPr>
        <w:t xml:space="preserve"> </w:t>
      </w:r>
      <w:r w:rsidR="0020543C" w:rsidRPr="00261C59">
        <w:rPr>
          <w:rFonts w:asciiTheme="minorHAnsi" w:eastAsia="Corbel" w:hAnsiTheme="minorHAnsi" w:cstheme="minorHAnsi"/>
          <w:sz w:val="24"/>
          <w:szCs w:val="24"/>
        </w:rPr>
        <w:t>are</w:t>
      </w:r>
      <w:r w:rsidRPr="00261C59">
        <w:rPr>
          <w:rFonts w:asciiTheme="minorHAnsi" w:eastAsia="Corbel" w:hAnsiTheme="minorHAnsi" w:cstheme="minorHAnsi"/>
          <w:sz w:val="24"/>
          <w:szCs w:val="24"/>
        </w:rPr>
        <w:t xml:space="preserve"> used interchangeably. In some jurisdictions like Victoria, these services are also known more broadly as Aboriginal Community Controlled Organisations (ACCO). While this NHRA refers to ACCHOs, this is intended to be inclusive of services across the community-controlled health services sector.</w:t>
      </w:r>
      <w:r w:rsidRPr="00261C59">
        <w:rPr>
          <w:rFonts w:asciiTheme="minorHAnsi" w:eastAsia="Arial" w:hAnsiTheme="minorHAnsi" w:cstheme="minorHAnsi"/>
          <w:sz w:val="24"/>
          <w:szCs w:val="24"/>
        </w:rPr>
        <w:t xml:space="preserve"> </w:t>
      </w:r>
    </w:p>
    <w:p w14:paraId="271FC99C" w14:textId="77777777" w:rsidR="006E7CE5" w:rsidRPr="00261C59" w:rsidRDefault="006E7CE5" w:rsidP="00CD67DE">
      <w:pPr>
        <w:pStyle w:val="ListParagraph"/>
        <w:widowControl/>
        <w:numPr>
          <w:ilvl w:val="1"/>
          <w:numId w:val="115"/>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sz w:val="24"/>
          <w:szCs w:val="24"/>
        </w:rPr>
        <w:t xml:space="preserve">Affiliates </w:t>
      </w:r>
      <w:r w:rsidRPr="00261C59">
        <w:rPr>
          <w:rFonts w:asciiTheme="minorHAnsi" w:eastAsia="Corbel" w:hAnsiTheme="minorHAnsi" w:cstheme="minorHAnsi"/>
          <w:sz w:val="24"/>
          <w:szCs w:val="24"/>
        </w:rPr>
        <w:t xml:space="preserve">comprise eight community-controlled peak health </w:t>
      </w:r>
      <w:r w:rsidRPr="00261C59">
        <w:rPr>
          <w:rFonts w:asciiTheme="minorHAnsi" w:eastAsia="Corbel" w:hAnsiTheme="minorHAnsi" w:cstheme="minorHAnsi"/>
          <w:color w:val="000000" w:themeColor="text1"/>
          <w:sz w:val="24"/>
          <w:szCs w:val="24"/>
        </w:rPr>
        <w:t>bodies each based in a state or territory within Australia ('jurisdiction') supporting and amplifying NACCHO in its leadership of the Aboriginal and Torres Strait Islander community-controlled health sector. Each Affiliate supports the Aboriginal Community-Controlled Health Organisations (ACCHOs) in their jurisdiction through the provision of support and practical advice in the areas of organisational governance and services, continuous quality improvement (CQI) accreditation, program implementation, workforce development and building capacity. Affiliates facilitate partnerships between the ACCHOs, the respective government departments and other service providers in the development and application of co-designed health policies, plans and evaluations.</w:t>
      </w:r>
    </w:p>
    <w:p w14:paraId="09863879" w14:textId="66017F11" w:rsidR="006E7CE5" w:rsidRPr="00261C59" w:rsidRDefault="006E7CE5" w:rsidP="00CD67DE">
      <w:pPr>
        <w:pStyle w:val="ListParagraph"/>
        <w:widowControl/>
        <w:numPr>
          <w:ilvl w:val="1"/>
          <w:numId w:val="115"/>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The National Aboriginal Community Controlled Health Organisation (NACCHO)</w:t>
      </w:r>
      <w:r w:rsidRPr="00261C59">
        <w:rPr>
          <w:rFonts w:asciiTheme="minorHAnsi" w:eastAsia="Corbel" w:hAnsiTheme="minorHAnsi" w:cstheme="minorHAnsi"/>
          <w:color w:val="000000" w:themeColor="text1"/>
          <w:sz w:val="24"/>
          <w:szCs w:val="24"/>
        </w:rPr>
        <w:t xml:space="preserve"> is a community-controlled peak body for Aboriginal and Torres Strait Islander people</w:t>
      </w:r>
      <w:r w:rsidR="000254D4">
        <w:rPr>
          <w:rFonts w:asciiTheme="minorHAnsi" w:eastAsia="Corbel" w:hAnsiTheme="minorHAnsi" w:cstheme="minorHAnsi"/>
          <w:color w:val="000000" w:themeColor="text1"/>
          <w:sz w:val="24"/>
          <w:szCs w:val="24"/>
        </w:rPr>
        <w:t>’</w:t>
      </w:r>
      <w:r w:rsidRPr="00261C59">
        <w:rPr>
          <w:rFonts w:asciiTheme="minorHAnsi" w:eastAsia="Corbel" w:hAnsiTheme="minorHAnsi" w:cstheme="minorHAnsi"/>
          <w:color w:val="000000" w:themeColor="text1"/>
          <w:sz w:val="24"/>
          <w:szCs w:val="24"/>
        </w:rPr>
        <w:t>s health and wellbeing operating at national level to co-design and provide guidance to the Australian Government on policy and budget matters while advocating for community-developed health solutions that contribute to the quality of life and improved health outcomes for Aboriginal and Torres Strait Islander people. Almost all ACCHOs in Australia are NACCHO Members.  NACCHO contributes significantly to closing the gap in health outcomes between Aboriginal and Torres Strait Islander people and other Australians.</w:t>
      </w:r>
    </w:p>
    <w:p w14:paraId="7D31226A" w14:textId="5D408B82" w:rsidR="006E7CE5" w:rsidRPr="00261C59" w:rsidRDefault="006E7CE5" w:rsidP="00CD67DE">
      <w:pPr>
        <w:pStyle w:val="ListParagraph"/>
        <w:widowControl/>
        <w:numPr>
          <w:ilvl w:val="1"/>
          <w:numId w:val="115"/>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b/>
          <w:bCs/>
          <w:color w:val="000000" w:themeColor="text1"/>
          <w:sz w:val="24"/>
          <w:szCs w:val="24"/>
        </w:rPr>
        <w:t>Indigenous Data Sovereignty</w:t>
      </w:r>
      <w:r w:rsidRPr="00261C59">
        <w:rPr>
          <w:rFonts w:asciiTheme="minorHAnsi" w:eastAsia="Corbel" w:hAnsiTheme="minorHAnsi" w:cstheme="minorHAnsi"/>
          <w:color w:val="000000" w:themeColor="text1"/>
          <w:sz w:val="24"/>
          <w:szCs w:val="24"/>
        </w:rPr>
        <w:t xml:space="preserve"> is the right of Aboriginal and Torres Strait Islander people, communities and organisations to maintain, control, protect, develop, and use data affecting self-determination.  Five principles convey these rights to:</w:t>
      </w:r>
    </w:p>
    <w:p w14:paraId="61024001" w14:textId="77777777" w:rsidR="006E7CE5" w:rsidRPr="00261C59" w:rsidRDefault="006E7CE5" w:rsidP="00CD67DE">
      <w:pPr>
        <w:pStyle w:val="ListParagraph"/>
        <w:widowControl/>
        <w:numPr>
          <w:ilvl w:val="2"/>
          <w:numId w:val="116"/>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Exercise control of the data ecosystem including creation, development, stewardship, analysis, dissemination and infrastructure.</w:t>
      </w:r>
    </w:p>
    <w:p w14:paraId="2E5E5E2D" w14:textId="77777777" w:rsidR="006E7CE5" w:rsidRPr="00261C59" w:rsidRDefault="006E7CE5" w:rsidP="00CD67DE">
      <w:pPr>
        <w:pStyle w:val="ListParagraph"/>
        <w:widowControl/>
        <w:numPr>
          <w:ilvl w:val="2"/>
          <w:numId w:val="116"/>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 xml:space="preserve">Data that are contextual and disaggregated </w:t>
      </w:r>
    </w:p>
    <w:p w14:paraId="754FA8D4" w14:textId="77777777" w:rsidR="006E7CE5" w:rsidRPr="00261C59" w:rsidRDefault="006E7CE5" w:rsidP="00CD67DE">
      <w:pPr>
        <w:pStyle w:val="ListParagraph"/>
        <w:widowControl/>
        <w:numPr>
          <w:ilvl w:val="2"/>
          <w:numId w:val="116"/>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Data that are relevant and empowers sustainable self-determination and effective self-governance.</w:t>
      </w:r>
    </w:p>
    <w:p w14:paraId="0C0CCDF9" w14:textId="51901171" w:rsidR="006E7CE5" w:rsidRPr="00261C59" w:rsidRDefault="006E7CE5" w:rsidP="00CD67DE">
      <w:pPr>
        <w:pStyle w:val="ListParagraph"/>
        <w:widowControl/>
        <w:numPr>
          <w:ilvl w:val="2"/>
          <w:numId w:val="116"/>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Data structures that are accountable to Aboriginal and Torres Strait Islander people.</w:t>
      </w:r>
    </w:p>
    <w:p w14:paraId="62466DCC" w14:textId="77777777" w:rsidR="006E7CE5" w:rsidRPr="00261C59" w:rsidRDefault="006E7CE5" w:rsidP="00CD67DE">
      <w:pPr>
        <w:pStyle w:val="ListParagraph"/>
        <w:widowControl/>
        <w:numPr>
          <w:ilvl w:val="2"/>
          <w:numId w:val="116"/>
        </w:numPr>
        <w:tabs>
          <w:tab w:val="clear" w:pos="851"/>
        </w:tabs>
        <w:adjustRightInd/>
        <w:spacing w:before="120" w:after="240" w:line="260" w:lineRule="exact"/>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Data that are protective and respects our individual and collective interests.</w:t>
      </w:r>
    </w:p>
    <w:p w14:paraId="42EF089F" w14:textId="73089735" w:rsidR="006E7CE5" w:rsidRPr="00261C59" w:rsidRDefault="006E7CE5" w:rsidP="00CD67DE">
      <w:pPr>
        <w:pStyle w:val="ListParagraph"/>
        <w:widowControl/>
        <w:tabs>
          <w:tab w:val="clear" w:pos="851"/>
        </w:tabs>
        <w:adjustRightInd/>
        <w:spacing w:before="120" w:after="240" w:line="260" w:lineRule="exact"/>
        <w:ind w:left="1134" w:firstLine="0"/>
        <w:contextualSpacing w:val="0"/>
        <w:jc w:val="left"/>
        <w:textAlignment w:val="auto"/>
        <w:rPr>
          <w:rFonts w:asciiTheme="minorHAnsi" w:eastAsia="Corbel" w:hAnsiTheme="minorHAnsi" w:cstheme="minorHAnsi"/>
          <w:color w:val="000000" w:themeColor="text1"/>
          <w:sz w:val="24"/>
          <w:szCs w:val="24"/>
        </w:rPr>
      </w:pPr>
      <w:r w:rsidRPr="00261C59">
        <w:rPr>
          <w:rFonts w:asciiTheme="minorHAnsi" w:eastAsia="Corbel" w:hAnsiTheme="minorHAnsi" w:cstheme="minorHAnsi"/>
          <w:color w:val="000000" w:themeColor="text1"/>
          <w:sz w:val="24"/>
          <w:szCs w:val="24"/>
        </w:rPr>
        <w:t>Indigenous Data Sovereignty guarantees that the rights of Indigenous people, their experiences, values and understanding are developed and reflected in any data and information gathered about Aboriginal and Torres Strait Islander people, communities and their knowledges.  Indigenous Data Sovereignty is practiced through Indigenous data governance.</w:t>
      </w:r>
    </w:p>
    <w:p w14:paraId="65EE1B4F" w14:textId="3ADAA8A7" w:rsidR="006E7CE5" w:rsidRPr="00261C59" w:rsidRDefault="006E7CE5" w:rsidP="00CD67DE">
      <w:pPr>
        <w:pStyle w:val="ListParagraph"/>
        <w:numPr>
          <w:ilvl w:val="1"/>
          <w:numId w:val="117"/>
        </w:numPr>
        <w:spacing w:before="120" w:after="240" w:line="260" w:lineRule="exact"/>
        <w:contextualSpacing w:val="0"/>
        <w:rPr>
          <w:rFonts w:asciiTheme="minorHAnsi" w:hAnsiTheme="minorHAnsi"/>
          <w:sz w:val="24"/>
        </w:rPr>
      </w:pPr>
      <w:r w:rsidRPr="00261C59">
        <w:rPr>
          <w:rFonts w:asciiTheme="minorHAnsi" w:eastAsia="Corbel" w:hAnsiTheme="minorHAnsi" w:cstheme="minorHAnsi"/>
          <w:b/>
          <w:bCs/>
          <w:color w:val="000000" w:themeColor="text1"/>
          <w:sz w:val="24"/>
          <w:szCs w:val="24"/>
        </w:rPr>
        <w:t>Joint Council</w:t>
      </w:r>
      <w:r w:rsidRPr="00261C59">
        <w:rPr>
          <w:rFonts w:asciiTheme="minorHAnsi" w:eastAsia="Corbel" w:hAnsiTheme="minorHAnsi" w:cstheme="minorHAnsi"/>
          <w:color w:val="000000" w:themeColor="text1"/>
          <w:sz w:val="24"/>
          <w:szCs w:val="24"/>
        </w:rPr>
        <w:t xml:space="preserve"> supports national leadership, coordination and cooperation for the National Agreement on Closing the Gap.  It has two Co-Chairs, namely a Government Minister with responsibility allocated on a rotational basis and an Aboriginal and Torres Strait Islander representative nominated by the Coalition of Peaks.  The Joint Council is responsible for monitoring implementation of the National Agreement on Closing the Gap, including progress by the Parties against their Implementation Plans. Its membership comprises one Minister with responsibility for Closing the Gap nominated by each jurisdiction, one representative from the Australian Local Government Association and 12 representatives nominated by the Coalition of Peaks, with broad geographic and subject matter coverage.</w:t>
      </w:r>
    </w:p>
    <w:p w14:paraId="09AB4391" w14:textId="5F81AD48" w:rsidR="00604FC5" w:rsidRPr="00261C59" w:rsidRDefault="008D098F" w:rsidP="00CD67DE">
      <w:pPr>
        <w:pStyle w:val="ListParagraph"/>
        <w:numPr>
          <w:ilvl w:val="1"/>
          <w:numId w:val="117"/>
        </w:numPr>
        <w:spacing w:before="120" w:after="240" w:line="260" w:lineRule="exact"/>
        <w:contextualSpacing w:val="0"/>
        <w:rPr>
          <w:rFonts w:asciiTheme="minorHAnsi" w:hAnsiTheme="minorHAnsi" w:cstheme="minorHAnsi"/>
          <w:sz w:val="24"/>
          <w:szCs w:val="24"/>
        </w:rPr>
      </w:pPr>
      <w:r w:rsidRPr="00261C59">
        <w:rPr>
          <w:rFonts w:asciiTheme="minorHAnsi" w:hAnsiTheme="minorHAnsi" w:cstheme="minorHAnsi"/>
          <w:b/>
          <w:bCs/>
          <w:sz w:val="24"/>
          <w:szCs w:val="24"/>
        </w:rPr>
        <w:t xml:space="preserve">Ex Officio </w:t>
      </w:r>
      <w:r w:rsidRPr="00261C59">
        <w:rPr>
          <w:rFonts w:asciiTheme="minorHAnsi" w:hAnsiTheme="minorHAnsi" w:cstheme="minorHAnsi"/>
          <w:sz w:val="24"/>
          <w:szCs w:val="24"/>
        </w:rPr>
        <w:t>means a non-voting member with the authority to attend meetings, receive the meeting agenda and relevant documents in advance, participate and contribute views and insights</w:t>
      </w:r>
      <w:r w:rsidR="00195BCF" w:rsidRPr="00261C59">
        <w:rPr>
          <w:rFonts w:asciiTheme="minorHAnsi" w:hAnsiTheme="minorHAnsi" w:cstheme="minorHAnsi"/>
          <w:sz w:val="24"/>
          <w:szCs w:val="24"/>
        </w:rPr>
        <w:t>.</w:t>
      </w:r>
    </w:p>
    <w:p w14:paraId="7A9A8647" w14:textId="77777777" w:rsidR="006E7CE5" w:rsidRPr="00261C59" w:rsidRDefault="006E7CE5"/>
    <w:p w14:paraId="6F531EC1" w14:textId="4E29C0DA" w:rsidR="00703E51" w:rsidRPr="00261C59" w:rsidRDefault="00703E51" w:rsidP="00814D08">
      <w:pPr>
        <w:widowControl/>
        <w:adjustRightInd/>
        <w:spacing w:before="0" w:after="240"/>
        <w:jc w:val="left"/>
        <w:textAlignment w:val="auto"/>
        <w:rPr>
          <w:rFonts w:ascii="Calibri" w:eastAsia="Calibri" w:hAnsi="Calibri" w:cs="Arial"/>
          <w:caps/>
        </w:rPr>
        <w:sectPr w:rsidR="00703E51" w:rsidRPr="00261C59" w:rsidSect="00A63859">
          <w:headerReference w:type="even" r:id="rId14"/>
          <w:headerReference w:type="default" r:id="rId15"/>
          <w:footerReference w:type="even" r:id="rId16"/>
          <w:footerReference w:type="default" r:id="rId17"/>
          <w:headerReference w:type="first" r:id="rId18"/>
          <w:footerReference w:type="first" r:id="rId19"/>
          <w:pgSz w:w="11906" w:h="16838" w:code="9"/>
          <w:pgMar w:top="1440" w:right="1274" w:bottom="1440" w:left="1134" w:header="708" w:footer="708" w:gutter="0"/>
          <w:cols w:space="708"/>
          <w:docGrid w:linePitch="360"/>
        </w:sectPr>
      </w:pPr>
    </w:p>
    <w:p w14:paraId="7BB0AC7B" w14:textId="234D94A8" w:rsidR="000F1379" w:rsidRPr="00261C59" w:rsidRDefault="000F1379" w:rsidP="4AB45E22">
      <w:pPr>
        <w:pStyle w:val="Heading1"/>
        <w:keepLines w:val="0"/>
        <w:widowControl/>
        <w:tabs>
          <w:tab w:val="clear" w:pos="567"/>
        </w:tabs>
        <w:adjustRightInd/>
        <w:spacing w:before="480" w:after="180"/>
        <w:jc w:val="left"/>
        <w:textAlignment w:val="auto"/>
        <w:rPr>
          <w:rFonts w:ascii="Consolas" w:eastAsia="Times New Roman" w:hAnsi="Consolas" w:cs="Arial"/>
          <w:b w:val="0"/>
          <w:bCs w:val="0"/>
          <w:caps/>
          <w:color w:val="980033"/>
          <w:kern w:val="32"/>
        </w:rPr>
      </w:pPr>
      <w:bookmarkStart w:id="530" w:name="_Toc210833641"/>
      <w:bookmarkStart w:id="531" w:name="_Toc214456541"/>
      <w:bookmarkStart w:id="532" w:name="_Toc221088021"/>
      <w:bookmarkStart w:id="533" w:name="_Hlk178603582"/>
      <w:r w:rsidRPr="00261C59">
        <w:rPr>
          <w:rFonts w:ascii="Consolas" w:eastAsia="Times New Roman" w:hAnsi="Consolas" w:cs="Arial"/>
          <w:b w:val="0"/>
          <w:bCs w:val="0"/>
          <w:caps/>
          <w:color w:val="980033"/>
          <w:kern w:val="32"/>
        </w:rPr>
        <w:t xml:space="preserve">SCHEDULE </w:t>
      </w:r>
      <w:r w:rsidR="00D44C54" w:rsidRPr="00261C59">
        <w:rPr>
          <w:rFonts w:ascii="Consolas" w:eastAsia="Times New Roman" w:hAnsi="Consolas" w:cs="Arial"/>
          <w:b w:val="0"/>
          <w:bCs w:val="0"/>
          <w:caps/>
          <w:color w:val="980033"/>
          <w:kern w:val="32"/>
        </w:rPr>
        <w:t>C</w:t>
      </w:r>
      <w:r w:rsidRPr="00261C59">
        <w:rPr>
          <w:rFonts w:ascii="Consolas" w:eastAsia="Times New Roman" w:hAnsi="Consolas" w:cs="Arial"/>
          <w:b w:val="0"/>
          <w:bCs w:val="0"/>
          <w:caps/>
          <w:color w:val="980033"/>
          <w:kern w:val="32"/>
        </w:rPr>
        <w:t xml:space="preserve"> – </w:t>
      </w:r>
      <w:r w:rsidR="00B10432" w:rsidRPr="00261C59">
        <w:rPr>
          <w:rFonts w:ascii="Consolas" w:eastAsia="Times New Roman" w:hAnsi="Consolas" w:cs="Arial"/>
          <w:b w:val="0"/>
          <w:bCs w:val="0"/>
          <w:caps/>
          <w:color w:val="980033"/>
          <w:kern w:val="32"/>
        </w:rPr>
        <w:t xml:space="preserve">System </w:t>
      </w:r>
      <w:r w:rsidR="00731671">
        <w:rPr>
          <w:rFonts w:ascii="Consolas" w:eastAsia="Times New Roman" w:hAnsi="Consolas" w:cs="Arial"/>
          <w:b w:val="0"/>
          <w:bCs w:val="0"/>
          <w:caps/>
          <w:color w:val="980033"/>
          <w:kern w:val="32"/>
        </w:rPr>
        <w:t>i</w:t>
      </w:r>
      <w:r w:rsidR="00995726" w:rsidRPr="00261C59">
        <w:rPr>
          <w:rFonts w:ascii="Consolas" w:eastAsia="Times New Roman" w:hAnsi="Consolas" w:cs="Arial"/>
          <w:b w:val="0"/>
          <w:bCs w:val="0"/>
          <w:caps/>
          <w:color w:val="980033"/>
          <w:kern w:val="32"/>
        </w:rPr>
        <w:t xml:space="preserve">nterface </w:t>
      </w:r>
      <w:r w:rsidR="00731671">
        <w:rPr>
          <w:rFonts w:ascii="Consolas" w:eastAsia="Times New Roman" w:hAnsi="Consolas" w:cs="Arial"/>
          <w:b w:val="0"/>
          <w:bCs w:val="0"/>
          <w:caps/>
          <w:color w:val="980033"/>
          <w:kern w:val="32"/>
        </w:rPr>
        <w:t>r</w:t>
      </w:r>
      <w:r w:rsidR="00995726" w:rsidRPr="00261C59">
        <w:rPr>
          <w:rFonts w:ascii="Consolas" w:eastAsia="Times New Roman" w:hAnsi="Consolas" w:cs="Arial"/>
          <w:b w:val="0"/>
          <w:bCs w:val="0"/>
          <w:caps/>
          <w:color w:val="980033"/>
          <w:kern w:val="32"/>
        </w:rPr>
        <w:t>eform</w:t>
      </w:r>
      <w:bookmarkEnd w:id="530"/>
      <w:bookmarkEnd w:id="531"/>
      <w:bookmarkEnd w:id="532"/>
    </w:p>
    <w:p w14:paraId="147F9529" w14:textId="77777777" w:rsidR="006E0759" w:rsidRPr="00261C59" w:rsidRDefault="006E0759"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 xml:space="preserve">For people to receive quality health care, we need seamless interfaces between many different types of services, delivered by public, private and non-government providers.  </w:t>
      </w:r>
    </w:p>
    <w:p w14:paraId="7D89F313" w14:textId="1B2A73A9" w:rsidR="006E0759" w:rsidRPr="00261C59" w:rsidRDefault="006E0759"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This schedule aims to improve care at the interface of public, private and not-for-profit systems, including: hospitals, non-GP specialist services, GP services and broader primary and community care, the Aboriginal Community Controlled Health Organisation (ACCHO) sector, ambulance and patient transport services, aged care in both home and residential settings</w:t>
      </w:r>
      <w:r w:rsidR="00D26ACD" w:rsidRPr="00261C59">
        <w:rPr>
          <w:rFonts w:ascii="Calibri" w:hAnsi="Calibri"/>
          <w:sz w:val="24"/>
          <w:szCs w:val="24"/>
        </w:rPr>
        <w:t>,</w:t>
      </w:r>
      <w:r w:rsidRPr="00261C59">
        <w:rPr>
          <w:rFonts w:ascii="Calibri" w:hAnsi="Calibri"/>
          <w:sz w:val="24"/>
          <w:szCs w:val="24"/>
        </w:rPr>
        <w:t xml:space="preserve"> and disability services. It focuses on reforms addressing barriers between Local Hospital Networks (LHNs) and the primary care, aged care, and disability care systems. </w:t>
      </w:r>
    </w:p>
    <w:p w14:paraId="303F0E0C" w14:textId="77777777" w:rsidR="006E0759" w:rsidRPr="00261C59" w:rsidRDefault="006E0759"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 xml:space="preserve">This Schedule commits Parties to: </w:t>
      </w:r>
    </w:p>
    <w:p w14:paraId="7E0ABCCB" w14:textId="1C3F036E" w:rsidR="006E0759" w:rsidRPr="00261C59" w:rsidRDefault="006E0759" w:rsidP="004728D9">
      <w:pPr>
        <w:widowControl/>
        <w:numPr>
          <w:ilvl w:val="1"/>
          <w:numId w:val="28"/>
        </w:numPr>
        <w:adjustRightInd/>
        <w:spacing w:after="240" w:line="260" w:lineRule="exact"/>
        <w:jc w:val="left"/>
        <w:textAlignment w:val="auto"/>
        <w:rPr>
          <w:rFonts w:ascii="Calibri" w:eastAsia="Yu Mincho" w:hAnsi="Calibri" w:cs="Calibri"/>
          <w:kern w:val="2"/>
          <w:sz w:val="24"/>
          <w:szCs w:val="24"/>
          <w:lang w:eastAsia="en-US"/>
          <w14:ligatures w14:val="standardContextual"/>
        </w:rPr>
      </w:pPr>
      <w:r w:rsidRPr="00261C59">
        <w:rPr>
          <w:rFonts w:ascii="Calibri" w:eastAsia="Yu Mincho" w:hAnsi="Calibri" w:cs="Calibri"/>
          <w:kern w:val="2"/>
          <w:sz w:val="24"/>
          <w:szCs w:val="24"/>
          <w:lang w:eastAsia="en-US"/>
          <w14:ligatures w14:val="standardContextual"/>
        </w:rPr>
        <w:t>taking a routine and systematic approach to addressing interface issues between services and sectors</w:t>
      </w:r>
    </w:p>
    <w:p w14:paraId="7CF9C129" w14:textId="3873593F" w:rsidR="006E0759" w:rsidRPr="00261C59" w:rsidRDefault="006E0759" w:rsidP="004728D9">
      <w:pPr>
        <w:widowControl/>
        <w:numPr>
          <w:ilvl w:val="1"/>
          <w:numId w:val="28"/>
        </w:numPr>
        <w:adjustRightInd/>
        <w:spacing w:after="240" w:line="260" w:lineRule="exact"/>
        <w:jc w:val="left"/>
        <w:textAlignment w:val="auto"/>
        <w:rPr>
          <w:rFonts w:ascii="Calibri" w:eastAsia="Yu Mincho" w:hAnsi="Calibri" w:cs="Calibri"/>
          <w:kern w:val="2"/>
          <w:sz w:val="24"/>
          <w:szCs w:val="24"/>
          <w:lang w:eastAsia="en-US"/>
          <w14:ligatures w14:val="standardContextual"/>
        </w:rPr>
      </w:pPr>
      <w:r w:rsidRPr="00261C59">
        <w:rPr>
          <w:rFonts w:ascii="Calibri" w:eastAsia="Yu Mincho" w:hAnsi="Calibri" w:cs="Calibri"/>
          <w:kern w:val="2"/>
          <w:sz w:val="24"/>
          <w:szCs w:val="24"/>
          <w:lang w:eastAsia="en-US"/>
          <w14:ligatures w14:val="standardContextual"/>
        </w:rPr>
        <w:t>new governance mechanisms designed to address problems at the interface between services and sectors</w:t>
      </w:r>
    </w:p>
    <w:p w14:paraId="14744732" w14:textId="3C3387E6" w:rsidR="006E0759" w:rsidRPr="00261C59" w:rsidRDefault="006E0759" w:rsidP="004728D9">
      <w:pPr>
        <w:widowControl/>
        <w:numPr>
          <w:ilvl w:val="1"/>
          <w:numId w:val="28"/>
        </w:numPr>
        <w:adjustRightInd/>
        <w:spacing w:after="240" w:line="260" w:lineRule="exact"/>
        <w:jc w:val="left"/>
        <w:textAlignment w:val="auto"/>
        <w:rPr>
          <w:rFonts w:ascii="Calibri" w:eastAsia="Yu Mincho" w:hAnsi="Calibri" w:cs="Calibri"/>
          <w:kern w:val="2"/>
          <w:sz w:val="24"/>
          <w:szCs w:val="24"/>
          <w:lang w:eastAsia="en-US"/>
          <w14:ligatures w14:val="standardContextual"/>
        </w:rPr>
      </w:pPr>
      <w:r w:rsidRPr="00261C59">
        <w:rPr>
          <w:rFonts w:ascii="Calibri" w:eastAsia="Yu Mincho" w:hAnsi="Calibri" w:cs="Calibri"/>
          <w:kern w:val="2"/>
          <w:sz w:val="24"/>
          <w:szCs w:val="24"/>
          <w:lang w:eastAsia="en-US"/>
          <w14:ligatures w14:val="standardContextual"/>
        </w:rPr>
        <w:t>embedding cooperative working arrangements between LHNs, Primary Health Networks (PHNs), Commonwealth Department of Health, Disability and Ageing’s Local Network, National Disability Insurance Agency (NDIA), Rural Workforce Agencies, ACCHOs, and local service providers involved in the provision of health, disability or aged care services</w:t>
      </w:r>
    </w:p>
    <w:p w14:paraId="4BDC0209" w14:textId="77777777" w:rsidR="006E0759" w:rsidRPr="00261C59" w:rsidRDefault="006E0759" w:rsidP="004728D9">
      <w:pPr>
        <w:widowControl/>
        <w:numPr>
          <w:ilvl w:val="1"/>
          <w:numId w:val="28"/>
        </w:numPr>
        <w:adjustRightInd/>
        <w:spacing w:after="240" w:line="260" w:lineRule="exact"/>
        <w:jc w:val="left"/>
        <w:textAlignment w:val="auto"/>
        <w:rPr>
          <w:rFonts w:ascii="Calibri" w:eastAsia="Yu Mincho" w:hAnsi="Calibri" w:cs="Calibri"/>
          <w:kern w:val="2"/>
          <w:sz w:val="24"/>
          <w:szCs w:val="24"/>
          <w:lang w:eastAsia="en-US"/>
          <w14:ligatures w14:val="standardContextual"/>
        </w:rPr>
      </w:pPr>
      <w:r w:rsidRPr="00261C59">
        <w:rPr>
          <w:rFonts w:ascii="Calibri" w:eastAsia="Yu Mincho" w:hAnsi="Calibri" w:cs="Calibri"/>
          <w:kern w:val="2"/>
          <w:sz w:val="24"/>
          <w:szCs w:val="24"/>
          <w:lang w:eastAsia="en-US"/>
          <w14:ligatures w14:val="standardContextual"/>
        </w:rPr>
        <w:t>coordinating planning for service delivery in the future by working together through agreed governance mechanisms to review and analyse service interactions, service gaps, and relevant data, for example demographic,</w:t>
      </w:r>
      <w:r w:rsidRPr="00261C59" w:rsidDel="05349477">
        <w:rPr>
          <w:rFonts w:ascii="Calibri" w:eastAsia="Yu Mincho" w:hAnsi="Calibri" w:cs="Calibri"/>
          <w:kern w:val="2"/>
          <w:sz w:val="24"/>
          <w:szCs w:val="24"/>
          <w:lang w:eastAsia="en-US"/>
          <w14:ligatures w14:val="standardContextual"/>
        </w:rPr>
        <w:t xml:space="preserve"> </w:t>
      </w:r>
      <w:r w:rsidR="002B2C5F" w:rsidRPr="00261C59">
        <w:rPr>
          <w:rFonts w:ascii="Calibri" w:eastAsia="Yu Mincho" w:hAnsi="Calibri" w:cs="Calibri"/>
          <w:kern w:val="2"/>
          <w:sz w:val="24"/>
          <w:szCs w:val="24"/>
          <w:lang w:eastAsia="en-US"/>
          <w14:ligatures w14:val="standardContextual"/>
        </w:rPr>
        <w:t>population health and workforce data.</w:t>
      </w:r>
      <w:r w:rsidRPr="00261C59">
        <w:rPr>
          <w:rFonts w:ascii="Calibri" w:eastAsia="Yu Mincho" w:hAnsi="Calibri" w:cs="Calibri"/>
          <w:kern w:val="2"/>
          <w:sz w:val="24"/>
          <w:szCs w:val="24"/>
          <w:lang w:eastAsia="en-US"/>
          <w14:ligatures w14:val="standardContextual"/>
        </w:rPr>
        <w:t xml:space="preserve">   </w:t>
      </w:r>
    </w:p>
    <w:p w14:paraId="5246E7F0" w14:textId="77777777" w:rsidR="006E0759" w:rsidRPr="00261C59" w:rsidRDefault="006E0759"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 xml:space="preserve">The Parties recognise that: </w:t>
      </w:r>
    </w:p>
    <w:p w14:paraId="053CC5C5" w14:textId="1FF15D5F" w:rsidR="006E0759" w:rsidRPr="00261C59" w:rsidRDefault="006E0759" w:rsidP="004728D9">
      <w:pPr>
        <w:widowControl/>
        <w:numPr>
          <w:ilvl w:val="1"/>
          <w:numId w:val="29"/>
        </w:numPr>
        <w:adjustRightInd/>
        <w:spacing w:after="240" w:line="260" w:lineRule="exact"/>
        <w:jc w:val="left"/>
        <w:textAlignment w:val="auto"/>
        <w:rPr>
          <w:rFonts w:ascii="Calibri" w:eastAsia="Yu Mincho" w:hAnsi="Calibri" w:cs="Calibri"/>
          <w:kern w:val="2"/>
          <w:sz w:val="24"/>
          <w:szCs w:val="24"/>
          <w:lang w:eastAsia="en-US"/>
          <w14:ligatures w14:val="standardContextual"/>
        </w:rPr>
      </w:pPr>
      <w:r w:rsidRPr="00261C59">
        <w:rPr>
          <w:rFonts w:ascii="Calibri" w:eastAsia="Yu Mincho" w:hAnsi="Calibri" w:cs="Calibri"/>
          <w:kern w:val="2"/>
          <w:sz w:val="24"/>
          <w:szCs w:val="24"/>
          <w:lang w:eastAsia="en-US"/>
          <w14:ligatures w14:val="standardContextual"/>
        </w:rPr>
        <w:t>quality health care means committing to person-centred care and seamless coordination of services throughout the patient journey, especially when patients need to transition between service providers and service types</w:t>
      </w:r>
    </w:p>
    <w:p w14:paraId="077BD968" w14:textId="78B672CD" w:rsidR="006E0759" w:rsidRPr="00261C59" w:rsidRDefault="006E0759" w:rsidP="004728D9">
      <w:pPr>
        <w:widowControl/>
        <w:numPr>
          <w:ilvl w:val="1"/>
          <w:numId w:val="29"/>
        </w:numPr>
        <w:adjustRightInd/>
        <w:spacing w:after="240" w:line="260" w:lineRule="exact"/>
        <w:jc w:val="left"/>
        <w:textAlignment w:val="auto"/>
        <w:rPr>
          <w:rFonts w:ascii="Calibri" w:eastAsia="Yu Mincho" w:hAnsi="Calibri" w:cs="Calibri"/>
          <w:kern w:val="2"/>
          <w:sz w:val="24"/>
          <w:szCs w:val="24"/>
          <w:lang w:eastAsia="en-US"/>
          <w14:ligatures w14:val="standardContextual"/>
        </w:rPr>
      </w:pPr>
      <w:r w:rsidRPr="00261C59">
        <w:rPr>
          <w:rFonts w:ascii="Calibri" w:eastAsia="Yu Mincho" w:hAnsi="Calibri" w:cs="Calibri"/>
          <w:kern w:val="2"/>
          <w:sz w:val="24"/>
          <w:szCs w:val="24"/>
          <w:lang w:eastAsia="en-US"/>
          <w14:ligatures w14:val="standardContextual"/>
        </w:rPr>
        <w:t>the disability, aged care, primary care, hospital, non-GP specialist care and community health systems (such as nursing and allied health), and the ACCHO sector, form part of a whole care and support system and are a collective responsibility underpinned by long</w:t>
      </w:r>
      <w:r w:rsidR="008A0734">
        <w:rPr>
          <w:rFonts w:ascii="Calibri" w:eastAsia="Yu Mincho" w:hAnsi="Calibri" w:cs="Calibri"/>
          <w:kern w:val="2"/>
          <w:sz w:val="24"/>
          <w:szCs w:val="24"/>
          <w:lang w:eastAsia="en-US"/>
          <w14:ligatures w14:val="standardContextual"/>
        </w:rPr>
        <w:t>-</w:t>
      </w:r>
      <w:r w:rsidRPr="00261C59">
        <w:rPr>
          <w:rFonts w:ascii="Calibri" w:eastAsia="Yu Mincho" w:hAnsi="Calibri" w:cs="Calibri"/>
          <w:kern w:val="2"/>
          <w:sz w:val="24"/>
          <w:szCs w:val="24"/>
          <w:lang w:eastAsia="en-US"/>
          <w14:ligatures w14:val="standardContextual"/>
        </w:rPr>
        <w:t>term system-wide planning in each system by the responsible party</w:t>
      </w:r>
    </w:p>
    <w:p w14:paraId="35501F28" w14:textId="1D7B09C1" w:rsidR="006E0759" w:rsidRPr="00261C59" w:rsidRDefault="006E0759" w:rsidP="004728D9">
      <w:pPr>
        <w:widowControl/>
        <w:numPr>
          <w:ilvl w:val="1"/>
          <w:numId w:val="29"/>
        </w:numPr>
        <w:adjustRightInd/>
        <w:spacing w:after="240" w:line="260" w:lineRule="exact"/>
        <w:jc w:val="left"/>
        <w:textAlignment w:val="auto"/>
        <w:rPr>
          <w:rFonts w:ascii="Calibri" w:eastAsia="Yu Mincho" w:hAnsi="Calibri" w:cs="Calibri"/>
          <w:kern w:val="2"/>
          <w:sz w:val="24"/>
          <w:szCs w:val="24"/>
          <w:lang w:eastAsia="en-US"/>
          <w14:ligatures w14:val="standardContextual"/>
        </w:rPr>
      </w:pPr>
      <w:r w:rsidRPr="00261C59">
        <w:rPr>
          <w:rFonts w:ascii="Calibri" w:eastAsia="Yu Mincho" w:hAnsi="Calibri" w:cs="Calibri"/>
          <w:kern w:val="2"/>
          <w:sz w:val="24"/>
          <w:szCs w:val="24"/>
          <w:lang w:eastAsia="en-US"/>
          <w14:ligatures w14:val="standardContextual"/>
        </w:rPr>
        <w:t>there are complex interrelationships between the health, primary care, aged care and disability systems, and that policy changes in one system can have an impact on other systems, particularly as these are resource constrained environments</w:t>
      </w:r>
    </w:p>
    <w:p w14:paraId="5DC81A18" w14:textId="14320436" w:rsidR="006E0759" w:rsidRPr="00261C59" w:rsidRDefault="006E0759" w:rsidP="004728D9">
      <w:pPr>
        <w:widowControl/>
        <w:numPr>
          <w:ilvl w:val="1"/>
          <w:numId w:val="29"/>
        </w:numPr>
        <w:adjustRightInd/>
        <w:spacing w:after="240" w:line="260" w:lineRule="exact"/>
        <w:jc w:val="left"/>
        <w:textAlignment w:val="auto"/>
        <w:rPr>
          <w:rFonts w:ascii="Calibri" w:eastAsia="Yu Mincho" w:hAnsi="Calibri" w:cs="Calibri"/>
          <w:kern w:val="2"/>
          <w:sz w:val="24"/>
          <w:szCs w:val="24"/>
          <w:lang w:eastAsia="en-US"/>
          <w14:ligatures w14:val="standardContextual"/>
        </w:rPr>
      </w:pPr>
      <w:r w:rsidRPr="00261C59">
        <w:rPr>
          <w:rFonts w:ascii="Calibri" w:eastAsia="Yu Mincho" w:hAnsi="Calibri" w:cs="Calibri"/>
          <w:kern w:val="2"/>
          <w:sz w:val="24"/>
          <w:szCs w:val="24"/>
          <w:lang w:eastAsia="en-US"/>
          <w14:ligatures w14:val="standardContextual"/>
        </w:rPr>
        <w:t>there is a need to ensure changes in one system do not create unintended consequences in other systems</w:t>
      </w:r>
    </w:p>
    <w:p w14:paraId="609DFF61" w14:textId="5DD84FF3" w:rsidR="006E0759" w:rsidRPr="00261C59" w:rsidRDefault="006E0759" w:rsidP="004728D9">
      <w:pPr>
        <w:keepLines/>
        <w:widowControl/>
        <w:numPr>
          <w:ilvl w:val="1"/>
          <w:numId w:val="29"/>
        </w:numPr>
        <w:adjustRightInd/>
        <w:spacing w:after="240" w:line="260" w:lineRule="exact"/>
        <w:jc w:val="left"/>
        <w:textAlignment w:val="auto"/>
        <w:rPr>
          <w:rFonts w:ascii="Calibri" w:eastAsia="Yu Mincho" w:hAnsi="Calibri" w:cs="Calibri"/>
          <w:kern w:val="2"/>
          <w:sz w:val="24"/>
          <w:szCs w:val="24"/>
          <w:lang w:eastAsia="en-US"/>
          <w14:ligatures w14:val="standardContextual"/>
        </w:rPr>
      </w:pPr>
      <w:r w:rsidRPr="00261C59">
        <w:rPr>
          <w:rFonts w:ascii="Calibri" w:eastAsia="Yu Mincho" w:hAnsi="Calibri" w:cs="Calibri"/>
          <w:kern w:val="2"/>
          <w:sz w:val="24"/>
          <w:szCs w:val="24"/>
          <w:lang w:eastAsia="en-US"/>
          <w14:ligatures w14:val="standardContextual"/>
        </w:rPr>
        <w:t>all governments have a shared responsibility to improve people’s health outcomes, by supporting system users, carers and their families to navigate the health, primary care, aged care, and disability support systems, with the aim of optimising care and support, maintaining health and reducing avoidable</w:t>
      </w:r>
      <w:r w:rsidRPr="00261C59" w:rsidDel="201093B3">
        <w:rPr>
          <w:rFonts w:ascii="Calibri" w:eastAsia="Yu Mincho" w:hAnsi="Calibri" w:cs="Calibri"/>
          <w:kern w:val="2"/>
          <w:sz w:val="24"/>
          <w:szCs w:val="24"/>
          <w:lang w:eastAsia="en-US"/>
          <w14:ligatures w14:val="standardContextual"/>
        </w:rPr>
        <w:t xml:space="preserve"> </w:t>
      </w:r>
      <w:r w:rsidR="002B2C5F" w:rsidRPr="00261C59">
        <w:rPr>
          <w:rFonts w:ascii="Calibri" w:eastAsia="Yu Mincho" w:hAnsi="Calibri" w:cs="Calibri"/>
          <w:kern w:val="2"/>
          <w:sz w:val="24"/>
          <w:szCs w:val="24"/>
          <w:lang w:eastAsia="en-US"/>
          <w14:ligatures w14:val="standardContextual"/>
        </w:rPr>
        <w:t>admissions</w:t>
      </w:r>
      <w:r w:rsidR="002B2C5F" w:rsidRPr="00261C59">
        <w:rPr>
          <w:rFonts w:ascii="Calibri" w:eastAsia="Yu Mincho" w:hAnsi="Calibri"/>
          <w:sz w:val="24"/>
        </w:rPr>
        <w:t xml:space="preserve"> and delayed discharge from hospital</w:t>
      </w:r>
    </w:p>
    <w:p w14:paraId="285B2553" w14:textId="4E80104B" w:rsidR="006E0759" w:rsidRPr="00261C59" w:rsidRDefault="006E0759" w:rsidP="004728D9">
      <w:pPr>
        <w:widowControl/>
        <w:numPr>
          <w:ilvl w:val="1"/>
          <w:numId w:val="29"/>
        </w:numPr>
        <w:adjustRightInd/>
        <w:spacing w:after="240" w:line="260" w:lineRule="exact"/>
        <w:jc w:val="left"/>
        <w:textAlignment w:val="auto"/>
        <w:rPr>
          <w:rFonts w:ascii="Calibri" w:eastAsia="Yu Mincho" w:hAnsi="Calibri" w:cs="Calibri"/>
          <w:kern w:val="2"/>
          <w:sz w:val="24"/>
          <w:szCs w:val="24"/>
          <w:lang w:eastAsia="en-US"/>
          <w14:ligatures w14:val="standardContextual"/>
        </w:rPr>
      </w:pPr>
      <w:r w:rsidRPr="00261C59">
        <w:rPr>
          <w:rFonts w:ascii="Calibri" w:eastAsia="Yu Mincho" w:hAnsi="Calibri" w:cs="Calibri"/>
          <w:kern w:val="2"/>
          <w:sz w:val="24"/>
          <w:szCs w:val="24"/>
          <w:lang w:eastAsia="en-US"/>
          <w14:ligatures w14:val="standardContextual"/>
        </w:rPr>
        <w:t xml:space="preserve">digital enablement, through greater uptake of national digital health capabilities, is required for near real-time sharing of health information between relevant providers, healthcare organisations, </w:t>
      </w:r>
      <w:r w:rsidRPr="00261C59" w:rsidDel="00596EBB">
        <w:rPr>
          <w:rFonts w:ascii="Calibri" w:eastAsia="Yu Mincho" w:hAnsi="Calibri" w:cs="Calibri"/>
          <w:kern w:val="2"/>
          <w:sz w:val="24"/>
          <w:szCs w:val="24"/>
          <w:lang w:eastAsia="en-US"/>
          <w14:ligatures w14:val="standardContextual"/>
        </w:rPr>
        <w:t>consumers</w:t>
      </w:r>
      <w:r w:rsidRPr="00261C59">
        <w:rPr>
          <w:rFonts w:ascii="Calibri" w:eastAsia="Yu Mincho" w:hAnsi="Calibri" w:cs="Calibri"/>
          <w:kern w:val="2"/>
          <w:sz w:val="24"/>
          <w:szCs w:val="24"/>
          <w:lang w:eastAsia="en-US"/>
          <w14:ligatures w14:val="standardContextual"/>
        </w:rPr>
        <w:t>,</w:t>
      </w:r>
      <w:r w:rsidRPr="00261C59" w:rsidDel="00596EBB">
        <w:rPr>
          <w:rFonts w:ascii="Calibri" w:eastAsia="Yu Mincho" w:hAnsi="Calibri" w:cs="Calibri"/>
          <w:kern w:val="2"/>
          <w:sz w:val="24"/>
          <w:szCs w:val="24"/>
          <w:lang w:eastAsia="en-US"/>
          <w14:ligatures w14:val="standardContextual"/>
        </w:rPr>
        <w:t xml:space="preserve"> </w:t>
      </w:r>
      <w:r w:rsidRPr="00261C59">
        <w:rPr>
          <w:rFonts w:ascii="Calibri" w:eastAsia="Yu Mincho" w:hAnsi="Calibri" w:cs="Calibri"/>
          <w:kern w:val="2"/>
          <w:sz w:val="24"/>
          <w:szCs w:val="24"/>
          <w:lang w:eastAsia="en-US"/>
          <w14:ligatures w14:val="standardContextual"/>
        </w:rPr>
        <w:t>patients and their carers, to support quality decision making, transitions between interfacing care systems, and effective care coordination</w:t>
      </w:r>
    </w:p>
    <w:p w14:paraId="4BB3A902" w14:textId="21FDE01E" w:rsidR="006E0759" w:rsidRPr="00261C59" w:rsidRDefault="006E0759" w:rsidP="004728D9">
      <w:pPr>
        <w:widowControl/>
        <w:numPr>
          <w:ilvl w:val="1"/>
          <w:numId w:val="29"/>
        </w:numPr>
        <w:adjustRightInd/>
        <w:spacing w:after="240" w:line="260" w:lineRule="exact"/>
        <w:jc w:val="left"/>
        <w:textAlignment w:val="auto"/>
        <w:rPr>
          <w:rFonts w:ascii="Calibri" w:eastAsia="Yu Mincho" w:hAnsi="Calibri"/>
          <w:sz w:val="24"/>
        </w:rPr>
      </w:pPr>
      <w:r w:rsidRPr="00261C59">
        <w:rPr>
          <w:rFonts w:ascii="Calibri" w:eastAsia="Yu Mincho" w:hAnsi="Calibri" w:cs="Calibri"/>
          <w:kern w:val="2"/>
          <w:sz w:val="24"/>
          <w:szCs w:val="24"/>
          <w:lang w:eastAsia="en-US"/>
          <w14:ligatures w14:val="standardContextual"/>
        </w:rPr>
        <w:t>timely and relevant data is needed to build a shared understanding of the pressure points across sector interfaces, develop local solutions that address them, and identify issues that need to be escalated up from the local level</w:t>
      </w:r>
    </w:p>
    <w:p w14:paraId="466792FC" w14:textId="77777777" w:rsidR="006E0759" w:rsidRPr="00261C59" w:rsidRDefault="006E0759" w:rsidP="004728D9">
      <w:pPr>
        <w:widowControl/>
        <w:numPr>
          <w:ilvl w:val="1"/>
          <w:numId w:val="29"/>
        </w:numPr>
        <w:adjustRightInd/>
        <w:spacing w:after="240" w:line="260" w:lineRule="exact"/>
        <w:jc w:val="left"/>
        <w:textAlignment w:val="auto"/>
        <w:rPr>
          <w:rFonts w:ascii="Calibri" w:eastAsia="Yu Mincho" w:hAnsi="Calibri" w:cs="Calibri"/>
          <w:kern w:val="2"/>
          <w:sz w:val="24"/>
          <w:szCs w:val="24"/>
          <w:lang w:eastAsia="en-US"/>
          <w14:ligatures w14:val="standardContextual"/>
        </w:rPr>
      </w:pPr>
      <w:r w:rsidRPr="00261C59">
        <w:rPr>
          <w:rFonts w:ascii="Calibri" w:eastAsia="Yu Mincho" w:hAnsi="Calibri" w:cs="Calibri"/>
          <w:kern w:val="2"/>
          <w:sz w:val="24"/>
          <w:szCs w:val="24"/>
          <w:lang w:eastAsia="en-US"/>
          <w14:ligatures w14:val="standardContextual"/>
        </w:rPr>
        <w:t>major initiatives are being implemented in the primary care, aged care, and disability sectors that will impact on the interface between systems over the life of this Addendum. They will require all Parties to be flexible and adapt their responses over time. These initiatives include:</w:t>
      </w:r>
    </w:p>
    <w:p w14:paraId="0E7E9E8C" w14:textId="238BB4B2" w:rsidR="006E0759" w:rsidRPr="00261C59" w:rsidRDefault="006E0759" w:rsidP="004728D9">
      <w:pPr>
        <w:numPr>
          <w:ilvl w:val="2"/>
          <w:numId w:val="30"/>
        </w:numPr>
        <w:spacing w:after="240" w:line="260" w:lineRule="exact"/>
        <w:ind w:left="1842" w:hanging="181"/>
        <w:jc w:val="left"/>
        <w:rPr>
          <w:rFonts w:ascii="Calibri" w:hAnsi="Calibri"/>
          <w:sz w:val="24"/>
          <w:szCs w:val="24"/>
        </w:rPr>
      </w:pPr>
      <w:r w:rsidRPr="00261C59">
        <w:rPr>
          <w:rFonts w:ascii="Calibri" w:hAnsi="Calibri"/>
          <w:sz w:val="24"/>
          <w:szCs w:val="24"/>
        </w:rPr>
        <w:t>government responses to the Royal Commission into Aged Care Quality and Safety</w:t>
      </w:r>
    </w:p>
    <w:p w14:paraId="2A9521E6" w14:textId="419FC351" w:rsidR="006E0759" w:rsidRPr="00261C59" w:rsidRDefault="006E0759" w:rsidP="004728D9">
      <w:pPr>
        <w:numPr>
          <w:ilvl w:val="2"/>
          <w:numId w:val="30"/>
        </w:numPr>
        <w:spacing w:after="240" w:line="260" w:lineRule="exact"/>
        <w:jc w:val="left"/>
        <w:rPr>
          <w:rFonts w:ascii="Calibri" w:hAnsi="Calibri"/>
          <w:sz w:val="24"/>
          <w:szCs w:val="24"/>
        </w:rPr>
      </w:pPr>
      <w:r w:rsidRPr="00261C59">
        <w:rPr>
          <w:rFonts w:ascii="Calibri" w:hAnsi="Calibri"/>
          <w:sz w:val="24"/>
          <w:szCs w:val="24"/>
        </w:rPr>
        <w:t>government responses to the Royal Commission into Violence, Abuse, Neglect and Exploitation of People with Disability (Disability Royal Commission)</w:t>
      </w:r>
    </w:p>
    <w:p w14:paraId="36424182" w14:textId="2914CC2D" w:rsidR="006E0759" w:rsidRPr="00261C59" w:rsidRDefault="002B2C5F" w:rsidP="004728D9">
      <w:pPr>
        <w:numPr>
          <w:ilvl w:val="2"/>
          <w:numId w:val="30"/>
        </w:numPr>
        <w:spacing w:after="240" w:line="260" w:lineRule="exact"/>
        <w:jc w:val="left"/>
        <w:rPr>
          <w:rFonts w:ascii="Calibri" w:hAnsi="Calibri"/>
          <w:sz w:val="24"/>
          <w:szCs w:val="24"/>
        </w:rPr>
      </w:pPr>
      <w:r w:rsidRPr="00261C59">
        <w:rPr>
          <w:rFonts w:ascii="Calibri" w:hAnsi="Calibri"/>
          <w:sz w:val="24"/>
          <w:szCs w:val="24"/>
        </w:rPr>
        <w:t>the</w:t>
      </w:r>
      <w:r w:rsidR="006E0759" w:rsidRPr="00261C59">
        <w:rPr>
          <w:rFonts w:ascii="Calibri" w:hAnsi="Calibri"/>
          <w:sz w:val="24"/>
          <w:szCs w:val="24"/>
        </w:rPr>
        <w:t xml:space="preserve"> </w:t>
      </w:r>
      <w:r w:rsidR="006E0759" w:rsidRPr="00261C59">
        <w:rPr>
          <w:rFonts w:ascii="Calibri" w:hAnsi="Calibri"/>
          <w:i/>
          <w:iCs/>
          <w:sz w:val="24"/>
          <w:szCs w:val="24"/>
        </w:rPr>
        <w:t>Aged Care Act 2024</w:t>
      </w:r>
    </w:p>
    <w:p w14:paraId="26D7E09C" w14:textId="1DE99458" w:rsidR="006E0759" w:rsidRPr="00261C59" w:rsidRDefault="006E0759" w:rsidP="004728D9">
      <w:pPr>
        <w:numPr>
          <w:ilvl w:val="2"/>
          <w:numId w:val="30"/>
        </w:numPr>
        <w:spacing w:after="240" w:line="260" w:lineRule="exact"/>
        <w:jc w:val="left"/>
        <w:rPr>
          <w:rFonts w:ascii="Calibri" w:hAnsi="Calibri"/>
          <w:sz w:val="24"/>
          <w:szCs w:val="24"/>
        </w:rPr>
      </w:pPr>
      <w:r w:rsidRPr="00261C59">
        <w:rPr>
          <w:rFonts w:ascii="Calibri" w:hAnsi="Calibri"/>
          <w:sz w:val="24"/>
          <w:szCs w:val="24"/>
        </w:rPr>
        <w:t>government responses to the Royal Commission into Defence and Veteran Suicide</w:t>
      </w:r>
    </w:p>
    <w:p w14:paraId="42D085FB" w14:textId="24ECBE13" w:rsidR="006E0759" w:rsidRPr="00261C59" w:rsidRDefault="006E0759" w:rsidP="004728D9">
      <w:pPr>
        <w:numPr>
          <w:ilvl w:val="2"/>
          <w:numId w:val="30"/>
        </w:numPr>
        <w:spacing w:after="240" w:line="260" w:lineRule="exact"/>
        <w:jc w:val="left"/>
        <w:rPr>
          <w:rFonts w:ascii="Calibri" w:hAnsi="Calibri"/>
          <w:sz w:val="24"/>
          <w:szCs w:val="24"/>
        </w:rPr>
      </w:pPr>
      <w:r w:rsidRPr="00261C59">
        <w:rPr>
          <w:rFonts w:ascii="Calibri" w:hAnsi="Calibri"/>
          <w:sz w:val="24"/>
          <w:szCs w:val="24"/>
        </w:rPr>
        <w:t>government responses to the Independent Review into the National Disability Insurance Scheme (NDIS)</w:t>
      </w:r>
    </w:p>
    <w:p w14:paraId="54B0C8B2" w14:textId="2944AB08" w:rsidR="006E0759" w:rsidRPr="00261C59" w:rsidRDefault="006E0759" w:rsidP="004728D9">
      <w:pPr>
        <w:numPr>
          <w:ilvl w:val="2"/>
          <w:numId w:val="30"/>
        </w:numPr>
        <w:spacing w:after="240" w:line="260" w:lineRule="exact"/>
        <w:jc w:val="left"/>
        <w:rPr>
          <w:rFonts w:ascii="Calibri" w:hAnsi="Calibri"/>
          <w:sz w:val="24"/>
          <w:szCs w:val="24"/>
        </w:rPr>
      </w:pPr>
      <w:r w:rsidRPr="00261C59">
        <w:rPr>
          <w:rFonts w:ascii="Calibri" w:hAnsi="Calibri"/>
          <w:sz w:val="24"/>
          <w:szCs w:val="24"/>
        </w:rPr>
        <w:t xml:space="preserve">reforms to the </w:t>
      </w:r>
      <w:r w:rsidRPr="00261C59">
        <w:rPr>
          <w:rFonts w:ascii="Calibri" w:hAnsi="Calibri"/>
          <w:i/>
          <w:iCs/>
          <w:sz w:val="24"/>
        </w:rPr>
        <w:t>National Disability Insurance Scheme Act 2013</w:t>
      </w:r>
      <w:r w:rsidRPr="00261C59">
        <w:rPr>
          <w:rFonts w:ascii="Calibri" w:hAnsi="Calibri"/>
          <w:sz w:val="24"/>
          <w:szCs w:val="24"/>
        </w:rPr>
        <w:t>, including associated legislative instruments and rules</w:t>
      </w:r>
    </w:p>
    <w:p w14:paraId="1D103EB1" w14:textId="4A621A5D" w:rsidR="006E0759" w:rsidRPr="00261C59" w:rsidRDefault="006E0759" w:rsidP="004728D9">
      <w:pPr>
        <w:numPr>
          <w:ilvl w:val="2"/>
          <w:numId w:val="30"/>
        </w:numPr>
        <w:spacing w:after="240" w:line="260" w:lineRule="exact"/>
        <w:jc w:val="left"/>
        <w:rPr>
          <w:rFonts w:ascii="Calibri" w:hAnsi="Calibri"/>
          <w:sz w:val="24"/>
          <w:szCs w:val="24"/>
        </w:rPr>
      </w:pPr>
      <w:r w:rsidRPr="00261C59">
        <w:rPr>
          <w:rFonts w:ascii="Calibri" w:hAnsi="Calibri"/>
          <w:sz w:val="24"/>
          <w:szCs w:val="24"/>
        </w:rPr>
        <w:t>Strengthening Medicare primary care reforms</w:t>
      </w:r>
    </w:p>
    <w:p w14:paraId="1341C09B" w14:textId="309A2E10" w:rsidR="006E0759" w:rsidRPr="00261C59" w:rsidRDefault="006E0759" w:rsidP="004728D9">
      <w:pPr>
        <w:numPr>
          <w:ilvl w:val="2"/>
          <w:numId w:val="30"/>
        </w:numPr>
        <w:spacing w:after="240" w:line="260" w:lineRule="exact"/>
        <w:jc w:val="left"/>
        <w:rPr>
          <w:rFonts w:ascii="Calibri" w:hAnsi="Calibri"/>
          <w:sz w:val="24"/>
          <w:szCs w:val="24"/>
        </w:rPr>
      </w:pPr>
      <w:r w:rsidRPr="00261C59">
        <w:rPr>
          <w:rFonts w:ascii="Calibri" w:hAnsi="Calibri"/>
          <w:sz w:val="24"/>
          <w:szCs w:val="24"/>
        </w:rPr>
        <w:t>government responses to the Strengthening Medicare reviews which include Unleashing the Potential of our Health Workforce (Scope of Practice) Review</w:t>
      </w:r>
    </w:p>
    <w:p w14:paraId="0B58C9F3" w14:textId="77777777" w:rsidR="002B2C5F" w:rsidRPr="00261C59" w:rsidRDefault="002B2C5F"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Parties acknowledge the issues older people and people with disability encounter navigating the interface between public hospitals, primary care, disability support and aged care services. This can be further impacted by intersectional factors such as being from a culturally and linguistically diverse background.</w:t>
      </w:r>
    </w:p>
    <w:p w14:paraId="6848156A" w14:textId="6692D749" w:rsidR="002B2C5F" w:rsidRPr="00261C59" w:rsidRDefault="002B2C5F"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All Parties acknowledge the importance of supporting older people and people with disability to safely transition back to home, community, or residential care after a hospital admission. Addressing discharge barriers remains a priority for all governments in particular for older people who are medically fit for discharge to their preferred (and clinically feasible) longer</w:t>
      </w:r>
      <w:r w:rsidR="00EE7E0E">
        <w:rPr>
          <w:rFonts w:ascii="Calibri" w:hAnsi="Calibri"/>
          <w:sz w:val="24"/>
          <w:szCs w:val="24"/>
        </w:rPr>
        <w:t>-</w:t>
      </w:r>
      <w:r w:rsidRPr="00261C59">
        <w:rPr>
          <w:rFonts w:ascii="Calibri" w:hAnsi="Calibri"/>
          <w:sz w:val="24"/>
          <w:szCs w:val="24"/>
        </w:rPr>
        <w:t>term care setting but remain in the hospital for a range of non-clinical reasons (delayed discharge of older patients).</w:t>
      </w:r>
    </w:p>
    <w:p w14:paraId="306A6ECE" w14:textId="77777777" w:rsidR="006E0759" w:rsidRPr="00261C59" w:rsidRDefault="006E0759"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Parties agree to convene</w:t>
      </w:r>
      <w:r w:rsidRPr="00261C59" w:rsidDel="003F3BF5">
        <w:rPr>
          <w:rFonts w:ascii="Calibri" w:hAnsi="Calibri"/>
          <w:sz w:val="24"/>
          <w:szCs w:val="24"/>
        </w:rPr>
        <w:t xml:space="preserve"> </w:t>
      </w:r>
      <w:r w:rsidRPr="00261C59">
        <w:rPr>
          <w:rFonts w:ascii="Calibri" w:hAnsi="Calibri"/>
          <w:sz w:val="24"/>
          <w:szCs w:val="24"/>
        </w:rPr>
        <w:t xml:space="preserve">to discuss ways of continuing to fund effective Strengthening Medicare initiatives that support older </w:t>
      </w:r>
      <w:r w:rsidR="002B2C5F" w:rsidRPr="00261C59">
        <w:rPr>
          <w:rFonts w:ascii="Calibri" w:hAnsi="Calibri"/>
          <w:sz w:val="24"/>
          <w:szCs w:val="24"/>
        </w:rPr>
        <w:t>people.</w:t>
      </w:r>
      <w:r w:rsidRPr="00261C59">
        <w:rPr>
          <w:rFonts w:ascii="Calibri" w:hAnsi="Calibri"/>
          <w:sz w:val="24"/>
          <w:szCs w:val="24"/>
        </w:rPr>
        <w:t xml:space="preserve"> </w:t>
      </w:r>
    </w:p>
    <w:p w14:paraId="7E29B2DE" w14:textId="77777777" w:rsidR="006E0759" w:rsidRPr="00261C59" w:rsidRDefault="006E0759" w:rsidP="004728D9">
      <w:pPr>
        <w:numPr>
          <w:ilvl w:val="1"/>
          <w:numId w:val="22"/>
        </w:numPr>
        <w:spacing w:after="240" w:line="260" w:lineRule="exact"/>
        <w:jc w:val="left"/>
        <w:rPr>
          <w:rFonts w:ascii="Calibri" w:hAnsi="Calibri"/>
          <w:sz w:val="24"/>
        </w:rPr>
      </w:pPr>
      <w:r w:rsidRPr="00261C59">
        <w:rPr>
          <w:rFonts w:ascii="Calibri" w:hAnsi="Calibri"/>
          <w:sz w:val="24"/>
        </w:rPr>
        <w:t xml:space="preserve">New proposals should be considered by Health Chief Executives Forum (HCEF) and Health Ministers (HMM). </w:t>
      </w:r>
    </w:p>
    <w:p w14:paraId="20BFED48" w14:textId="07CC5B29" w:rsidR="002B2C5F" w:rsidRPr="00261C59" w:rsidRDefault="00783B96" w:rsidP="004728D9">
      <w:pPr>
        <w:numPr>
          <w:ilvl w:val="1"/>
          <w:numId w:val="22"/>
        </w:numPr>
        <w:spacing w:after="240" w:line="260" w:lineRule="exact"/>
        <w:jc w:val="left"/>
        <w:rPr>
          <w:rFonts w:ascii="Calibri" w:hAnsi="Calibri"/>
          <w:sz w:val="24"/>
        </w:rPr>
      </w:pPr>
      <w:r w:rsidRPr="00261C59">
        <w:rPr>
          <w:rFonts w:ascii="Calibri" w:hAnsi="Calibri"/>
          <w:sz w:val="24"/>
          <w:szCs w:val="24"/>
        </w:rPr>
        <w:t>Service Model</w:t>
      </w:r>
      <w:r w:rsidRPr="00261C59">
        <w:rPr>
          <w:rFonts w:ascii="Calibri" w:hAnsi="Calibri"/>
          <w:sz w:val="24"/>
        </w:rPr>
        <w:t xml:space="preserve"> Reform Funding</w:t>
      </w:r>
      <w:r w:rsidR="002B2C5F" w:rsidRPr="00261C59">
        <w:rPr>
          <w:rFonts w:ascii="Calibri" w:hAnsi="Calibri"/>
          <w:sz w:val="24"/>
        </w:rPr>
        <w:t xml:space="preserve"> could also be used to trial new initiatives or scale up and embed successful ones (refer to Schedule D). </w:t>
      </w:r>
    </w:p>
    <w:p w14:paraId="7DFE95BB" w14:textId="25989942" w:rsidR="002B2C5F" w:rsidRPr="00261C59" w:rsidRDefault="002B2C5F" w:rsidP="004728D9">
      <w:pPr>
        <w:numPr>
          <w:ilvl w:val="1"/>
          <w:numId w:val="22"/>
        </w:numPr>
        <w:spacing w:after="240" w:line="260" w:lineRule="exact"/>
        <w:jc w:val="left"/>
        <w:rPr>
          <w:rFonts w:ascii="Calibri" w:hAnsi="Calibri"/>
          <w:sz w:val="24"/>
        </w:rPr>
      </w:pPr>
      <w:r w:rsidRPr="00261C59">
        <w:rPr>
          <w:rFonts w:ascii="Calibri" w:hAnsi="Calibri"/>
          <w:sz w:val="24"/>
        </w:rPr>
        <w:t>IHACPA will review outcomes of relevant state projects where they include in-scope NHRA services under the Federation Funding Agreements for opportunities to update classification and pricing models by 30 October 2029.</w:t>
      </w:r>
    </w:p>
    <w:p w14:paraId="2AC31814" w14:textId="77777777" w:rsidR="002B2C5F" w:rsidRPr="00261C59" w:rsidRDefault="002B2C5F"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Parties commit to further understanding the discharge barriers for older people experiencing delayed discharge from hospital and supporting implementation of evidence-based approaches, including by:</w:t>
      </w:r>
    </w:p>
    <w:p w14:paraId="197F7589" w14:textId="1F36A905" w:rsidR="002B2C5F" w:rsidRPr="00261C59" w:rsidRDefault="00275CEE" w:rsidP="004728D9">
      <w:pPr>
        <w:widowControl/>
        <w:numPr>
          <w:ilvl w:val="1"/>
          <w:numId w:val="119"/>
        </w:numPr>
        <w:adjustRightInd/>
        <w:spacing w:after="240" w:line="260" w:lineRule="exact"/>
        <w:jc w:val="left"/>
        <w:textAlignment w:val="auto"/>
        <w:rPr>
          <w:rFonts w:ascii="Calibri" w:hAnsi="Calibri"/>
          <w:sz w:val="24"/>
          <w:szCs w:val="24"/>
        </w:rPr>
      </w:pPr>
      <w:r>
        <w:rPr>
          <w:rFonts w:ascii="Calibri" w:hAnsi="Calibri"/>
          <w:sz w:val="24"/>
          <w:szCs w:val="24"/>
        </w:rPr>
        <w:t>i</w:t>
      </w:r>
      <w:r w:rsidR="002B2C5F" w:rsidRPr="00261C59">
        <w:rPr>
          <w:rFonts w:ascii="Calibri" w:hAnsi="Calibri"/>
          <w:sz w:val="24"/>
          <w:szCs w:val="24"/>
        </w:rPr>
        <w:t xml:space="preserve">mproving data sharing (see data clauses </w:t>
      </w:r>
      <w:r w:rsidR="002B2C5F" w:rsidRPr="00261C59">
        <w:rPr>
          <w:rFonts w:ascii="Calibri" w:hAnsi="Calibri"/>
          <w:sz w:val="24"/>
        </w:rPr>
        <w:t>C43</w:t>
      </w:r>
      <w:r>
        <w:rPr>
          <w:rFonts w:ascii="Calibri" w:hAnsi="Calibri"/>
          <w:sz w:val="24"/>
        </w:rPr>
        <w:t xml:space="preserve"> to </w:t>
      </w:r>
      <w:r w:rsidR="002B2C5F" w:rsidRPr="00261C59">
        <w:rPr>
          <w:rFonts w:ascii="Calibri" w:hAnsi="Calibri"/>
          <w:sz w:val="24"/>
        </w:rPr>
        <w:t>C47</w:t>
      </w:r>
      <w:r w:rsidR="002B2C5F" w:rsidRPr="00261C59">
        <w:rPr>
          <w:rFonts w:ascii="Calibri" w:hAnsi="Calibri"/>
          <w:sz w:val="24"/>
          <w:szCs w:val="24"/>
        </w:rPr>
        <w:t>)</w:t>
      </w:r>
    </w:p>
    <w:p w14:paraId="49CCBA12" w14:textId="3AF615F1" w:rsidR="002B2C5F" w:rsidRPr="00261C59" w:rsidRDefault="00275CEE" w:rsidP="004728D9">
      <w:pPr>
        <w:widowControl/>
        <w:numPr>
          <w:ilvl w:val="1"/>
          <w:numId w:val="119"/>
        </w:numPr>
        <w:adjustRightInd/>
        <w:spacing w:after="240" w:line="260" w:lineRule="exact"/>
        <w:jc w:val="left"/>
        <w:textAlignment w:val="auto"/>
        <w:rPr>
          <w:rFonts w:ascii="Calibri" w:hAnsi="Calibri"/>
          <w:sz w:val="24"/>
          <w:szCs w:val="24"/>
        </w:rPr>
      </w:pPr>
      <w:r>
        <w:rPr>
          <w:rFonts w:ascii="Calibri" w:hAnsi="Calibri"/>
          <w:sz w:val="24"/>
          <w:szCs w:val="24"/>
        </w:rPr>
        <w:t>i</w:t>
      </w:r>
      <w:r w:rsidR="002B2C5F" w:rsidRPr="00261C59">
        <w:rPr>
          <w:rFonts w:ascii="Calibri" w:hAnsi="Calibri"/>
          <w:sz w:val="24"/>
          <w:szCs w:val="24"/>
        </w:rPr>
        <w:t xml:space="preserve">dentifying effective models of care </w:t>
      </w:r>
      <w:r w:rsidR="00B80520" w:rsidRPr="00261C59">
        <w:rPr>
          <w:rFonts w:ascii="Calibri" w:hAnsi="Calibri"/>
          <w:sz w:val="24"/>
          <w:szCs w:val="24"/>
        </w:rPr>
        <w:t xml:space="preserve">including through </w:t>
      </w:r>
      <w:r w:rsidR="00073AE8" w:rsidRPr="00261C59">
        <w:rPr>
          <w:rFonts w:ascii="Calibri" w:hAnsi="Calibri"/>
          <w:sz w:val="24"/>
          <w:szCs w:val="24"/>
        </w:rPr>
        <w:t xml:space="preserve">the </w:t>
      </w:r>
      <w:r w:rsidR="00347B7D" w:rsidRPr="00261C59">
        <w:rPr>
          <w:rFonts w:ascii="Calibri" w:hAnsi="Calibri"/>
          <w:sz w:val="24"/>
          <w:szCs w:val="24"/>
        </w:rPr>
        <w:t xml:space="preserve">Service </w:t>
      </w:r>
      <w:r w:rsidR="003914A2" w:rsidRPr="00261C59">
        <w:rPr>
          <w:rFonts w:ascii="Calibri" w:hAnsi="Calibri"/>
          <w:sz w:val="24"/>
          <w:szCs w:val="24"/>
        </w:rPr>
        <w:t xml:space="preserve">Model and Funding Reform Collaboration </w:t>
      </w:r>
      <w:r w:rsidR="00B80520" w:rsidRPr="00261C59">
        <w:rPr>
          <w:rFonts w:ascii="Calibri" w:hAnsi="Calibri"/>
          <w:sz w:val="24"/>
          <w:szCs w:val="24"/>
        </w:rPr>
        <w:t>to be established under Schedule D</w:t>
      </w:r>
      <w:r w:rsidR="002B2C5F" w:rsidRPr="00261C59">
        <w:rPr>
          <w:rFonts w:ascii="Calibri" w:hAnsi="Calibri"/>
          <w:sz w:val="24"/>
          <w:szCs w:val="24"/>
        </w:rPr>
        <w:t>.</w:t>
      </w:r>
    </w:p>
    <w:p w14:paraId="1E95DE83" w14:textId="77777777" w:rsidR="006E0759" w:rsidRPr="00261C59" w:rsidRDefault="006E0759" w:rsidP="00B17D4B">
      <w:pPr>
        <w:pStyle w:val="Heading2"/>
        <w:widowControl/>
        <w:adjustRightInd/>
        <w:spacing w:before="180" w:after="120"/>
        <w:jc w:val="left"/>
        <w:textAlignment w:val="auto"/>
        <w:rPr>
          <w:rFonts w:ascii="Corbel" w:eastAsia="Times New Roman" w:hAnsi="Corbel" w:cs="Arial"/>
          <w:iCs/>
          <w:color w:val="3D4B67"/>
          <w:sz w:val="28"/>
          <w:szCs w:val="28"/>
        </w:rPr>
      </w:pPr>
      <w:bookmarkStart w:id="534" w:name="_Toc167456328"/>
      <w:bookmarkStart w:id="535" w:name="_Toc173837444"/>
      <w:bookmarkStart w:id="536" w:name="_Toc201674005"/>
      <w:bookmarkStart w:id="537" w:name="_Toc210833642"/>
      <w:bookmarkStart w:id="538" w:name="_Toc214456542"/>
      <w:bookmarkStart w:id="539" w:name="_Toc221088022"/>
      <w:r w:rsidRPr="00261C59">
        <w:rPr>
          <w:rFonts w:ascii="Corbel" w:eastAsia="Times New Roman" w:hAnsi="Corbel" w:cs="Arial"/>
          <w:iCs/>
          <w:color w:val="3D4B67"/>
          <w:sz w:val="28"/>
          <w:szCs w:val="28"/>
        </w:rPr>
        <w:t>Roles and responsibilities</w:t>
      </w:r>
      <w:bookmarkEnd w:id="534"/>
      <w:bookmarkEnd w:id="535"/>
      <w:bookmarkEnd w:id="536"/>
      <w:bookmarkEnd w:id="537"/>
      <w:bookmarkEnd w:id="538"/>
      <w:bookmarkEnd w:id="539"/>
    </w:p>
    <w:p w14:paraId="76860AF3" w14:textId="77777777" w:rsidR="006E0759" w:rsidRPr="00261C59" w:rsidRDefault="006E0759"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 xml:space="preserve">The roles and responsibilities of the Parties within the broader health system are outlined in the Preliminaries of this Addendum. Roles and responsibilities for local level governance arrangements are outlined in </w:t>
      </w:r>
      <w:r w:rsidRPr="00261C59">
        <w:rPr>
          <w:rFonts w:ascii="Calibri" w:hAnsi="Calibri"/>
          <w:sz w:val="24"/>
        </w:rPr>
        <w:t>Schedule E</w:t>
      </w:r>
      <w:r w:rsidRPr="00261C59">
        <w:rPr>
          <w:rFonts w:ascii="Calibri" w:hAnsi="Calibri"/>
          <w:sz w:val="24"/>
          <w:szCs w:val="24"/>
        </w:rPr>
        <w:t xml:space="preserve">. </w:t>
      </w:r>
    </w:p>
    <w:p w14:paraId="0F5EF16F" w14:textId="77777777" w:rsidR="006E0759" w:rsidRPr="00261C59" w:rsidRDefault="006E0759"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The roles and responsibilities of the Parties where they relate to the interface between hospitals, primary care, aged care, and disability support systems, including community and residential aged care, and the NDIS, should be considered in the context of relevant agreements, legislation, and supporting documents including but not limited to:</w:t>
      </w:r>
    </w:p>
    <w:p w14:paraId="4860EB31" w14:textId="0EFEF61E" w:rsidR="006E0759" w:rsidRPr="00261C59" w:rsidRDefault="006E0759" w:rsidP="004728D9">
      <w:pPr>
        <w:widowControl/>
        <w:numPr>
          <w:ilvl w:val="1"/>
          <w:numId w:val="120"/>
        </w:numPr>
        <w:adjustRightInd/>
        <w:spacing w:after="240" w:line="260" w:lineRule="exact"/>
        <w:jc w:val="left"/>
        <w:textAlignment w:val="auto"/>
        <w:rPr>
          <w:rFonts w:ascii="Calibri" w:eastAsia="Calibri" w:hAnsi="Calibri"/>
          <w:kern w:val="2"/>
          <w:sz w:val="24"/>
          <w:szCs w:val="24"/>
          <w:lang w:eastAsia="en-US"/>
          <w14:ligatures w14:val="standardContextual"/>
        </w:rPr>
      </w:pPr>
      <w:r w:rsidRPr="00261C59">
        <w:rPr>
          <w:rFonts w:ascii="Calibri" w:eastAsia="Calibri" w:hAnsi="Calibri"/>
          <w:kern w:val="2"/>
          <w:sz w:val="24"/>
          <w:szCs w:val="24"/>
          <w:lang w:eastAsia="en-US"/>
          <w14:ligatures w14:val="standardContextual"/>
        </w:rPr>
        <w:t>Bilateral Agreements</w:t>
      </w:r>
      <w:r w:rsidR="00950338" w:rsidRPr="00261C59">
        <w:rPr>
          <w:rFonts w:ascii="Calibri" w:eastAsia="Calibri" w:hAnsi="Calibri"/>
          <w:kern w:val="2"/>
          <w:sz w:val="24"/>
          <w:szCs w:val="24"/>
          <w:lang w:eastAsia="en-US"/>
          <w14:ligatures w14:val="standardContextual"/>
        </w:rPr>
        <w:t xml:space="preserve"> between the Commonwealth of Australia and each jurisdiction on the National Disability Insurance Scheme</w:t>
      </w:r>
    </w:p>
    <w:p w14:paraId="28194C96" w14:textId="66349372" w:rsidR="006E0759" w:rsidRPr="00261C59" w:rsidRDefault="006E0759" w:rsidP="004728D9">
      <w:pPr>
        <w:widowControl/>
        <w:numPr>
          <w:ilvl w:val="1"/>
          <w:numId w:val="120"/>
        </w:numPr>
        <w:adjustRightInd/>
        <w:spacing w:after="240" w:line="260" w:lineRule="exact"/>
        <w:jc w:val="left"/>
        <w:textAlignment w:val="auto"/>
        <w:rPr>
          <w:rFonts w:ascii="Calibri" w:eastAsia="Calibri" w:hAnsi="Calibri"/>
          <w:iCs/>
          <w:kern w:val="2"/>
          <w:sz w:val="24"/>
          <w:szCs w:val="24"/>
          <w:lang w:eastAsia="en-US"/>
          <w14:ligatures w14:val="standardContextual"/>
        </w:rPr>
      </w:pPr>
      <w:r w:rsidRPr="00261C59">
        <w:rPr>
          <w:rFonts w:ascii="Calibri" w:eastAsia="Calibri" w:hAnsi="Calibri"/>
          <w:kern w:val="2"/>
          <w:sz w:val="24"/>
          <w:szCs w:val="24"/>
          <w:lang w:eastAsia="en-US"/>
          <w14:ligatures w14:val="standardContextual"/>
        </w:rPr>
        <w:t>National Mental Health and Suicide Prevention Agreement</w:t>
      </w:r>
    </w:p>
    <w:p w14:paraId="6D9BE850" w14:textId="0A095F40" w:rsidR="006E0759" w:rsidRPr="00261C59" w:rsidRDefault="006E0759" w:rsidP="004728D9">
      <w:pPr>
        <w:widowControl/>
        <w:numPr>
          <w:ilvl w:val="1"/>
          <w:numId w:val="120"/>
        </w:numPr>
        <w:adjustRightInd/>
        <w:spacing w:after="240" w:line="260" w:lineRule="exact"/>
        <w:jc w:val="left"/>
        <w:textAlignment w:val="auto"/>
        <w:rPr>
          <w:rFonts w:ascii="Calibri" w:eastAsia="Calibri" w:hAnsi="Calibri"/>
          <w:kern w:val="2"/>
          <w:sz w:val="24"/>
          <w:szCs w:val="24"/>
          <w:lang w:eastAsia="en-US"/>
          <w14:ligatures w14:val="standardContextual"/>
        </w:rPr>
      </w:pPr>
      <w:r w:rsidRPr="00261C59">
        <w:rPr>
          <w:rFonts w:ascii="Calibri" w:eastAsia="Calibri" w:hAnsi="Calibri"/>
          <w:kern w:val="2"/>
          <w:sz w:val="24"/>
          <w:szCs w:val="24"/>
          <w:lang w:eastAsia="en-US"/>
          <w14:ligatures w14:val="standardContextual"/>
        </w:rPr>
        <w:t xml:space="preserve">the </w:t>
      </w:r>
      <w:r w:rsidRPr="00261C59">
        <w:rPr>
          <w:rFonts w:ascii="Calibri" w:eastAsia="Calibri" w:hAnsi="Calibri"/>
          <w:i/>
          <w:iCs/>
          <w:kern w:val="2"/>
          <w:sz w:val="24"/>
          <w:szCs w:val="24"/>
          <w:lang w:eastAsia="en-US"/>
          <w14:ligatures w14:val="standardContextual"/>
        </w:rPr>
        <w:t>Aged Care Act 2024</w:t>
      </w:r>
    </w:p>
    <w:p w14:paraId="112C2C64" w14:textId="2497BDC5" w:rsidR="002B2C5F" w:rsidRPr="00261C59" w:rsidRDefault="002B2C5F" w:rsidP="004728D9">
      <w:pPr>
        <w:widowControl/>
        <w:numPr>
          <w:ilvl w:val="1"/>
          <w:numId w:val="120"/>
        </w:numPr>
        <w:adjustRightInd/>
        <w:spacing w:after="240" w:line="260" w:lineRule="exact"/>
        <w:jc w:val="left"/>
        <w:textAlignment w:val="auto"/>
        <w:rPr>
          <w:rFonts w:ascii="Calibri" w:eastAsia="Calibri" w:hAnsi="Calibri"/>
          <w:kern w:val="2"/>
          <w:sz w:val="24"/>
          <w:szCs w:val="24"/>
          <w:lang w:eastAsia="en-US"/>
          <w14:ligatures w14:val="standardContextual"/>
        </w:rPr>
      </w:pPr>
      <w:r w:rsidRPr="00261C59">
        <w:rPr>
          <w:rFonts w:ascii="Calibri" w:eastAsia="Calibri" w:hAnsi="Calibri"/>
          <w:i/>
          <w:iCs/>
          <w:kern w:val="2"/>
          <w:sz w:val="24"/>
          <w:szCs w:val="24"/>
          <w:lang w:eastAsia="en-US"/>
          <w14:ligatures w14:val="standardContextual"/>
        </w:rPr>
        <w:t xml:space="preserve">the Aged Care Safety and Quality Commission Act 2018 </w:t>
      </w:r>
      <w:r w:rsidRPr="00261C59">
        <w:rPr>
          <w:rFonts w:ascii="Calibri" w:eastAsia="Calibri" w:hAnsi="Calibri"/>
          <w:kern w:val="2"/>
          <w:sz w:val="24"/>
          <w:szCs w:val="24"/>
          <w:lang w:eastAsia="en-US"/>
          <w14:ligatures w14:val="standardContextual"/>
        </w:rPr>
        <w:t xml:space="preserve">(noting updates will be made to reflect the </w:t>
      </w:r>
      <w:r w:rsidRPr="00261C59">
        <w:rPr>
          <w:rFonts w:ascii="Calibri" w:eastAsia="Calibri" w:hAnsi="Calibri"/>
          <w:i/>
          <w:iCs/>
          <w:kern w:val="2"/>
          <w:sz w:val="24"/>
          <w:szCs w:val="24"/>
          <w:lang w:eastAsia="en-US"/>
          <w14:ligatures w14:val="standardContextual"/>
        </w:rPr>
        <w:t>Aged Care Act 2024)</w:t>
      </w:r>
    </w:p>
    <w:p w14:paraId="66AFBE62" w14:textId="6C57E5C9" w:rsidR="006E0759" w:rsidRPr="00261C59" w:rsidRDefault="006E0759" w:rsidP="004728D9">
      <w:pPr>
        <w:widowControl/>
        <w:numPr>
          <w:ilvl w:val="1"/>
          <w:numId w:val="120"/>
        </w:numPr>
        <w:adjustRightInd/>
        <w:spacing w:after="240" w:line="260" w:lineRule="exact"/>
        <w:jc w:val="left"/>
        <w:textAlignment w:val="auto"/>
        <w:rPr>
          <w:rFonts w:ascii="Calibri" w:eastAsia="Calibri" w:hAnsi="Calibri"/>
          <w:kern w:val="2"/>
          <w:sz w:val="24"/>
          <w:szCs w:val="24"/>
          <w:lang w:eastAsia="en-US"/>
          <w14:ligatures w14:val="standardContextual"/>
        </w:rPr>
      </w:pPr>
      <w:r w:rsidRPr="00261C59">
        <w:rPr>
          <w:rFonts w:ascii="Calibri" w:eastAsia="Calibri" w:hAnsi="Calibri"/>
          <w:kern w:val="2"/>
          <w:sz w:val="24"/>
          <w:szCs w:val="24"/>
          <w:lang w:eastAsia="en-US"/>
          <w14:ligatures w14:val="standardContextual"/>
        </w:rPr>
        <w:t>Australia’s Disability Strategy 2021-2031</w:t>
      </w:r>
    </w:p>
    <w:p w14:paraId="7F27AF6E" w14:textId="03174B35" w:rsidR="006E0759" w:rsidRPr="00261C59" w:rsidRDefault="006E0759" w:rsidP="004728D9">
      <w:pPr>
        <w:widowControl/>
        <w:numPr>
          <w:ilvl w:val="1"/>
          <w:numId w:val="120"/>
        </w:numPr>
        <w:adjustRightInd/>
        <w:spacing w:after="240" w:line="260" w:lineRule="exact"/>
        <w:jc w:val="left"/>
        <w:textAlignment w:val="auto"/>
        <w:rPr>
          <w:rFonts w:ascii="Calibri" w:eastAsia="Calibri" w:hAnsi="Calibri"/>
          <w:kern w:val="2"/>
          <w:sz w:val="24"/>
          <w:szCs w:val="24"/>
          <w:lang w:eastAsia="en-US"/>
          <w14:ligatures w14:val="standardContextual"/>
        </w:rPr>
      </w:pPr>
      <w:r w:rsidRPr="00261C59">
        <w:rPr>
          <w:rFonts w:ascii="Calibri" w:eastAsia="Calibri" w:hAnsi="Calibri"/>
          <w:kern w:val="2"/>
          <w:sz w:val="24"/>
          <w:szCs w:val="24"/>
          <w:lang w:eastAsia="en-US"/>
          <w14:ligatures w14:val="standardContextual"/>
        </w:rPr>
        <w:t xml:space="preserve">the </w:t>
      </w:r>
      <w:r w:rsidRPr="00261C59">
        <w:rPr>
          <w:rFonts w:ascii="Calibri" w:eastAsia="Calibri" w:hAnsi="Calibri"/>
          <w:i/>
          <w:kern w:val="2"/>
          <w:sz w:val="24"/>
          <w:szCs w:val="24"/>
          <w:lang w:eastAsia="en-US"/>
          <w14:ligatures w14:val="standardContextual"/>
        </w:rPr>
        <w:t>National Disability Insurance Scheme Act 2013</w:t>
      </w:r>
      <w:r w:rsidRPr="00261C59">
        <w:rPr>
          <w:rFonts w:ascii="Calibri" w:eastAsia="Calibri" w:hAnsi="Calibri"/>
          <w:iCs/>
          <w:kern w:val="2"/>
          <w:sz w:val="24"/>
          <w:szCs w:val="24"/>
          <w:lang w:eastAsia="en-US"/>
          <w14:ligatures w14:val="standardContextual"/>
        </w:rPr>
        <w:t xml:space="preserve"> (NDIS Act) and </w:t>
      </w:r>
      <w:r w:rsidRPr="00261C59">
        <w:rPr>
          <w:rFonts w:ascii="Calibri" w:hAnsi="Calibri"/>
          <w:sz w:val="24"/>
          <w:szCs w:val="24"/>
        </w:rPr>
        <w:t>associated legislative instruments and rules</w:t>
      </w:r>
    </w:p>
    <w:p w14:paraId="30821C80" w14:textId="2FACD50C" w:rsidR="006E0759" w:rsidRPr="00261C59" w:rsidRDefault="006E0759" w:rsidP="004728D9">
      <w:pPr>
        <w:widowControl/>
        <w:numPr>
          <w:ilvl w:val="1"/>
          <w:numId w:val="120"/>
        </w:numPr>
        <w:adjustRightInd/>
        <w:spacing w:after="240" w:line="260" w:lineRule="exact"/>
        <w:jc w:val="left"/>
        <w:textAlignment w:val="auto"/>
        <w:rPr>
          <w:rFonts w:ascii="Calibri" w:eastAsia="Calibri" w:hAnsi="Calibri"/>
          <w:kern w:val="2"/>
          <w:sz w:val="24"/>
          <w:szCs w:val="24"/>
          <w:lang w:eastAsia="en-US"/>
          <w14:ligatures w14:val="standardContextual"/>
        </w:rPr>
      </w:pPr>
      <w:r w:rsidRPr="00261C59">
        <w:rPr>
          <w:rFonts w:ascii="Calibri" w:eastAsia="Calibri" w:hAnsi="Calibri"/>
          <w:kern w:val="2"/>
          <w:sz w:val="24"/>
          <w:szCs w:val="24"/>
          <w:lang w:eastAsia="en-US"/>
          <w14:ligatures w14:val="standardContextual"/>
        </w:rPr>
        <w:t>the NDIS Rules</w:t>
      </w:r>
      <w:r w:rsidRPr="00261C59">
        <w:rPr>
          <w:rFonts w:ascii="Calibri" w:eastAsia="Calibri" w:hAnsi="Calibri"/>
          <w:sz w:val="24"/>
          <w:szCs w:val="24"/>
          <w:lang w:eastAsia="en-US"/>
        </w:rPr>
        <w:t xml:space="preserve"> and legislative instruments</w:t>
      </w:r>
      <w:r w:rsidR="002B2C5F" w:rsidRPr="00261C59">
        <w:rPr>
          <w:rFonts w:ascii="Calibri" w:eastAsia="Calibri" w:hAnsi="Calibri"/>
          <w:sz w:val="24"/>
          <w:szCs w:val="24"/>
          <w:lang w:eastAsia="en-US"/>
        </w:rPr>
        <w:t>.</w:t>
      </w:r>
    </w:p>
    <w:p w14:paraId="0A8C38FD" w14:textId="1475E7F5" w:rsidR="006E0759" w:rsidRPr="00261C59" w:rsidRDefault="006E0759" w:rsidP="004728D9">
      <w:pPr>
        <w:widowControl/>
        <w:numPr>
          <w:ilvl w:val="1"/>
          <w:numId w:val="120"/>
        </w:numPr>
        <w:adjustRightInd/>
        <w:spacing w:after="240" w:line="260" w:lineRule="exact"/>
        <w:jc w:val="left"/>
        <w:textAlignment w:val="auto"/>
        <w:rPr>
          <w:rFonts w:ascii="Calibri" w:eastAsia="Calibri" w:hAnsi="Calibri"/>
          <w:kern w:val="2"/>
          <w:sz w:val="24"/>
          <w:szCs w:val="24"/>
          <w:lang w:eastAsia="en-US"/>
          <w14:ligatures w14:val="standardContextual"/>
        </w:rPr>
      </w:pPr>
      <w:r w:rsidRPr="00261C59">
        <w:rPr>
          <w:rFonts w:ascii="Calibri" w:eastAsia="Calibri" w:hAnsi="Calibri"/>
          <w:kern w:val="2"/>
          <w:sz w:val="24"/>
          <w:szCs w:val="24"/>
          <w:lang w:eastAsia="en-US"/>
          <w14:ligatures w14:val="standardContextual"/>
        </w:rPr>
        <w:t>the 'Principles to Determine the Responsibilities of the NDIS and other Service Systems - Applied Principles and Tables of Support (APTOS)' agreed by COAG, and subsequent decisions by Ministerial Councils on responsibilities of service systems</w:t>
      </w:r>
    </w:p>
    <w:p w14:paraId="4072F742" w14:textId="0A506E22" w:rsidR="006E0759" w:rsidRPr="00261C59" w:rsidRDefault="006E0759" w:rsidP="004728D9">
      <w:pPr>
        <w:widowControl/>
        <w:numPr>
          <w:ilvl w:val="1"/>
          <w:numId w:val="120"/>
        </w:numPr>
        <w:adjustRightInd/>
        <w:spacing w:after="240" w:line="260" w:lineRule="exact"/>
        <w:jc w:val="left"/>
        <w:textAlignment w:val="auto"/>
        <w:rPr>
          <w:rFonts w:ascii="Calibri" w:eastAsia="Calibri" w:hAnsi="Calibri"/>
          <w:kern w:val="2"/>
          <w:sz w:val="24"/>
          <w:szCs w:val="24"/>
          <w:lang w:eastAsia="en-US"/>
          <w14:ligatures w14:val="standardContextual"/>
        </w:rPr>
      </w:pPr>
      <w:r w:rsidRPr="00261C59">
        <w:rPr>
          <w:rFonts w:ascii="Calibri" w:eastAsia="Calibri" w:hAnsi="Calibri"/>
          <w:kern w:val="2"/>
          <w:sz w:val="24"/>
          <w:szCs w:val="24"/>
          <w:lang w:eastAsia="en-US"/>
          <w14:ligatures w14:val="standardContextual"/>
        </w:rPr>
        <w:t>the National Agreement on Closing the Gap</w:t>
      </w:r>
    </w:p>
    <w:p w14:paraId="15848568" w14:textId="4A9DD6CF" w:rsidR="006E0759" w:rsidRPr="00261C59" w:rsidRDefault="006E0759" w:rsidP="004728D9">
      <w:pPr>
        <w:widowControl/>
        <w:numPr>
          <w:ilvl w:val="1"/>
          <w:numId w:val="120"/>
        </w:numPr>
        <w:adjustRightInd/>
        <w:spacing w:after="240" w:line="260" w:lineRule="exact"/>
        <w:jc w:val="left"/>
        <w:textAlignment w:val="auto"/>
        <w:rPr>
          <w:rFonts w:ascii="Calibri" w:eastAsia="Calibri" w:hAnsi="Calibri"/>
          <w:kern w:val="2"/>
          <w:sz w:val="24"/>
          <w:szCs w:val="24"/>
          <w:lang w:eastAsia="en-US"/>
          <w14:ligatures w14:val="standardContextual"/>
        </w:rPr>
      </w:pPr>
      <w:r w:rsidRPr="00261C59">
        <w:rPr>
          <w:rFonts w:ascii="Calibri" w:eastAsia="Calibri" w:hAnsi="Calibri"/>
          <w:kern w:val="2"/>
          <w:sz w:val="24"/>
          <w:szCs w:val="24"/>
          <w:lang w:eastAsia="en-US"/>
          <w14:ligatures w14:val="standardContextual"/>
        </w:rPr>
        <w:t>the National Aboriginal and Torres Strait Islander Health Plan 2021-2031</w:t>
      </w:r>
    </w:p>
    <w:p w14:paraId="17FEA5E0" w14:textId="24468F7A" w:rsidR="006E0759" w:rsidRPr="00261C59" w:rsidRDefault="006E0759" w:rsidP="004728D9">
      <w:pPr>
        <w:widowControl/>
        <w:numPr>
          <w:ilvl w:val="1"/>
          <w:numId w:val="120"/>
        </w:numPr>
        <w:adjustRightInd/>
        <w:spacing w:after="240" w:line="260" w:lineRule="exact"/>
        <w:jc w:val="left"/>
        <w:textAlignment w:val="auto"/>
        <w:rPr>
          <w:rFonts w:ascii="Calibri" w:eastAsia="Calibri" w:hAnsi="Calibri"/>
          <w:kern w:val="2"/>
          <w:sz w:val="24"/>
          <w:szCs w:val="24"/>
          <w:lang w:eastAsia="en-US"/>
          <w14:ligatures w14:val="standardContextual"/>
        </w:rPr>
      </w:pPr>
      <w:r w:rsidRPr="00261C59">
        <w:rPr>
          <w:rFonts w:ascii="Calibri" w:eastAsia="Calibri" w:hAnsi="Calibri" w:cs="Calibri"/>
          <w:sz w:val="24"/>
          <w:szCs w:val="24"/>
        </w:rPr>
        <w:t xml:space="preserve">the National Aboriginal and Torres Strait Islander Health Workforce Strategic Framework and Implementation Plan 2021-2031 </w:t>
      </w:r>
    </w:p>
    <w:p w14:paraId="1F2E339B" w14:textId="41FB11B6" w:rsidR="006E0759" w:rsidRPr="00261C59" w:rsidRDefault="006E0759" w:rsidP="004728D9">
      <w:pPr>
        <w:widowControl/>
        <w:numPr>
          <w:ilvl w:val="1"/>
          <w:numId w:val="120"/>
        </w:numPr>
        <w:spacing w:after="240" w:line="260" w:lineRule="exact"/>
        <w:jc w:val="left"/>
        <w:rPr>
          <w:rFonts w:ascii="Calibri" w:eastAsia="Calibri" w:hAnsi="Calibri" w:cs="Calibri"/>
          <w:sz w:val="24"/>
          <w:szCs w:val="24"/>
          <w:lang w:eastAsia="en-US"/>
        </w:rPr>
      </w:pPr>
      <w:r w:rsidRPr="00261C59">
        <w:rPr>
          <w:rFonts w:ascii="Calibri" w:eastAsia="Calibri" w:hAnsi="Calibri" w:cs="Calibri"/>
          <w:sz w:val="24"/>
          <w:szCs w:val="24"/>
          <w:lang w:eastAsia="en-US"/>
        </w:rPr>
        <w:t>the National Medical Workforce Strategy (2021-2031)</w:t>
      </w:r>
    </w:p>
    <w:p w14:paraId="4A7E81BF" w14:textId="57E35D84" w:rsidR="006E0759" w:rsidRPr="00261C59" w:rsidRDefault="006E0759" w:rsidP="004728D9">
      <w:pPr>
        <w:widowControl/>
        <w:numPr>
          <w:ilvl w:val="1"/>
          <w:numId w:val="120"/>
        </w:numPr>
        <w:adjustRightInd/>
        <w:spacing w:after="240" w:line="260" w:lineRule="exact"/>
        <w:jc w:val="left"/>
        <w:textAlignment w:val="auto"/>
        <w:rPr>
          <w:rFonts w:ascii="Calibri" w:eastAsia="Calibri" w:hAnsi="Calibri"/>
          <w:kern w:val="2"/>
          <w:sz w:val="24"/>
          <w:szCs w:val="24"/>
          <w:lang w:eastAsia="en-US"/>
          <w14:ligatures w14:val="standardContextual"/>
        </w:rPr>
      </w:pPr>
      <w:r w:rsidRPr="00261C59">
        <w:rPr>
          <w:rFonts w:ascii="Calibri" w:eastAsia="Calibri" w:hAnsi="Calibri"/>
          <w:kern w:val="2"/>
          <w:sz w:val="24"/>
          <w:szCs w:val="24"/>
          <w:lang w:eastAsia="en-US"/>
          <w14:ligatures w14:val="standardContextual"/>
        </w:rPr>
        <w:t>the National Palliative Care Strategy 2018</w:t>
      </w:r>
    </w:p>
    <w:p w14:paraId="72445E51" w14:textId="48876818" w:rsidR="006E0759" w:rsidRPr="00261C59" w:rsidRDefault="006E0759" w:rsidP="004728D9">
      <w:pPr>
        <w:widowControl/>
        <w:numPr>
          <w:ilvl w:val="1"/>
          <w:numId w:val="120"/>
        </w:numPr>
        <w:adjustRightInd/>
        <w:spacing w:after="240" w:line="260" w:lineRule="exact"/>
        <w:jc w:val="left"/>
        <w:textAlignment w:val="auto"/>
        <w:rPr>
          <w:rFonts w:ascii="Calibri" w:eastAsia="Calibri" w:hAnsi="Calibri"/>
          <w:kern w:val="2"/>
          <w:sz w:val="24"/>
          <w:szCs w:val="24"/>
          <w:lang w:eastAsia="en-US"/>
          <w14:ligatures w14:val="standardContextual"/>
        </w:rPr>
      </w:pPr>
      <w:r w:rsidRPr="00261C59">
        <w:rPr>
          <w:rFonts w:ascii="Calibri" w:eastAsia="Calibri" w:hAnsi="Calibri"/>
          <w:sz w:val="24"/>
          <w:szCs w:val="24"/>
          <w:lang w:eastAsia="en-US"/>
        </w:rPr>
        <w:t xml:space="preserve">the 'Joint Statement to clarify the roles and responsibilities for the delivery of health care for people </w:t>
      </w:r>
      <w:r w:rsidR="00996FA2" w:rsidRPr="00261C59">
        <w:rPr>
          <w:rFonts w:ascii="Calibri" w:eastAsia="Calibri" w:hAnsi="Calibri"/>
          <w:sz w:val="24"/>
          <w:szCs w:val="24"/>
          <w:lang w:eastAsia="en-US"/>
        </w:rPr>
        <w:t xml:space="preserve">accessing </w:t>
      </w:r>
      <w:r w:rsidRPr="00261C59">
        <w:rPr>
          <w:rFonts w:ascii="Calibri" w:eastAsia="Calibri" w:hAnsi="Calibri"/>
          <w:sz w:val="24"/>
          <w:szCs w:val="24"/>
          <w:lang w:eastAsia="en-US"/>
        </w:rPr>
        <w:t xml:space="preserve">aged care services’, developed following the Royal Commission into Aged Care Quality and Safety. </w:t>
      </w:r>
      <w:r w:rsidR="002B2C5F" w:rsidRPr="00261C59">
        <w:rPr>
          <w:rFonts w:ascii="Calibri" w:eastAsia="Calibri" w:hAnsi="Calibri"/>
          <w:sz w:val="24"/>
          <w:szCs w:val="24"/>
          <w:lang w:eastAsia="en-US"/>
        </w:rPr>
        <w:t xml:space="preserve">The </w:t>
      </w:r>
      <w:r w:rsidRPr="00261C59">
        <w:rPr>
          <w:rFonts w:ascii="Calibri" w:eastAsia="Calibri" w:hAnsi="Calibri"/>
          <w:sz w:val="24"/>
          <w:szCs w:val="24"/>
          <w:lang w:eastAsia="en-US"/>
        </w:rPr>
        <w:t>Joint Statement will be updated as needed in the term of the Addendum to reflect changes to roles and responsibilities resulting from any other program review or amendments</w:t>
      </w:r>
    </w:p>
    <w:p w14:paraId="43E332C6" w14:textId="09622F6A" w:rsidR="006E0759" w:rsidRPr="00261C59" w:rsidRDefault="006E0759" w:rsidP="004728D9">
      <w:pPr>
        <w:widowControl/>
        <w:numPr>
          <w:ilvl w:val="1"/>
          <w:numId w:val="120"/>
        </w:numPr>
        <w:adjustRightInd/>
        <w:spacing w:after="240" w:line="260" w:lineRule="exact"/>
        <w:jc w:val="left"/>
        <w:textAlignment w:val="auto"/>
        <w:rPr>
          <w:rFonts w:ascii="Calibri" w:eastAsia="Calibri" w:hAnsi="Calibri"/>
          <w:kern w:val="2"/>
          <w:sz w:val="24"/>
          <w:szCs w:val="24"/>
          <w:lang w:eastAsia="en-US"/>
          <w14:ligatures w14:val="standardContextual"/>
        </w:rPr>
      </w:pPr>
      <w:r w:rsidRPr="00261C59">
        <w:rPr>
          <w:rFonts w:ascii="Calibri" w:eastAsia="Calibri" w:hAnsi="Calibri"/>
          <w:sz w:val="24"/>
          <w:szCs w:val="24"/>
          <w:lang w:eastAsia="en-US"/>
        </w:rPr>
        <w:t>National Preventive Health Strategy</w:t>
      </w:r>
      <w:r w:rsidR="00073AE8" w:rsidRPr="00261C59">
        <w:rPr>
          <w:rFonts w:ascii="Calibri" w:eastAsia="Calibri" w:hAnsi="Calibri"/>
          <w:sz w:val="24"/>
          <w:szCs w:val="24"/>
          <w:lang w:eastAsia="en-US"/>
        </w:rPr>
        <w:t xml:space="preserve"> 2021-2030</w:t>
      </w:r>
      <w:r w:rsidRPr="00261C59">
        <w:rPr>
          <w:rFonts w:ascii="Calibri" w:eastAsia="Calibri" w:hAnsi="Calibri"/>
          <w:sz w:val="24"/>
          <w:szCs w:val="24"/>
          <w:lang w:eastAsia="en-US"/>
        </w:rPr>
        <w:t xml:space="preserve">. </w:t>
      </w:r>
    </w:p>
    <w:p w14:paraId="1D19788E" w14:textId="32C44461" w:rsidR="004D21D8" w:rsidRPr="00261C59" w:rsidRDefault="008A24ED" w:rsidP="00CF6F67">
      <w:pPr>
        <w:numPr>
          <w:ilvl w:val="0"/>
          <w:numId w:val="22"/>
        </w:numPr>
        <w:spacing w:after="240" w:line="260" w:lineRule="exact"/>
        <w:jc w:val="left"/>
        <w:rPr>
          <w:rFonts w:ascii="Calibri" w:hAnsi="Calibri"/>
          <w:sz w:val="24"/>
          <w:szCs w:val="24"/>
        </w:rPr>
      </w:pPr>
      <w:r w:rsidRPr="00261C59">
        <w:rPr>
          <w:rFonts w:ascii="Calibri" w:hAnsi="Calibri"/>
          <w:sz w:val="24"/>
          <w:szCs w:val="24"/>
        </w:rPr>
        <w:t>The Commonwealth, supported by the Parties, has a stewardship role for primary care, aged care and the NDIS, and will apply a systematic approach to collaborative planning to meet service demands and address market sustainability in a timely way. This will consider the short, medium and long-term impacts on the broader healthcare system.</w:t>
      </w:r>
    </w:p>
    <w:p w14:paraId="7E1FBEC0" w14:textId="1B3A0D35" w:rsidR="006E0759" w:rsidRPr="00261C59" w:rsidRDefault="006E0759"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 xml:space="preserve">In addition to health care responsibilities specified in the Preliminaries, the Commonwealth is responsible for: </w:t>
      </w:r>
    </w:p>
    <w:p w14:paraId="22E5D060" w14:textId="0DB14414" w:rsidR="006E0759" w:rsidRPr="00261C59" w:rsidRDefault="008A24ED" w:rsidP="004728D9">
      <w:pPr>
        <w:widowControl/>
        <w:numPr>
          <w:ilvl w:val="1"/>
          <w:numId w:val="121"/>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kern w:val="2"/>
          <w:sz w:val="24"/>
          <w:szCs w:val="24"/>
          <w:lang w:eastAsia="en-US"/>
          <w14:ligatures w14:val="standardContextual"/>
        </w:rPr>
        <w:t xml:space="preserve">funding, </w:t>
      </w:r>
      <w:r w:rsidR="006E0759" w:rsidRPr="00261C59">
        <w:rPr>
          <w:rFonts w:ascii="Calibri" w:eastAsia="Calibri" w:hAnsi="Calibri" w:cs="Calibri"/>
          <w:kern w:val="2"/>
          <w:sz w:val="24"/>
          <w:szCs w:val="24"/>
          <w:lang w:eastAsia="en-US"/>
          <w14:ligatures w14:val="standardContextual"/>
        </w:rPr>
        <w:t>policy and regulation of community, home and residential aged care delivered under</w:t>
      </w:r>
      <w:r w:rsidRPr="00261C59">
        <w:rPr>
          <w:rFonts w:ascii="Calibri" w:eastAsia="Calibri" w:hAnsi="Calibri" w:cs="Calibri"/>
          <w:kern w:val="2"/>
          <w:sz w:val="24"/>
          <w:szCs w:val="24"/>
          <w:lang w:eastAsia="en-US"/>
          <w14:ligatures w14:val="standardContextual"/>
        </w:rPr>
        <w:t xml:space="preserve"> the </w:t>
      </w:r>
      <w:r w:rsidRPr="00261C59">
        <w:rPr>
          <w:rFonts w:ascii="Calibri" w:eastAsia="Calibri" w:hAnsi="Calibri" w:cs="Calibri"/>
          <w:i/>
          <w:iCs/>
          <w:kern w:val="2"/>
          <w:sz w:val="24"/>
          <w:szCs w:val="24"/>
          <w:lang w:eastAsia="en-US"/>
          <w14:ligatures w14:val="standardContextual"/>
        </w:rPr>
        <w:t>Aged Care Act 2024</w:t>
      </w:r>
    </w:p>
    <w:p w14:paraId="3D20FABE" w14:textId="648D6132" w:rsidR="006E0759" w:rsidRPr="00261C59" w:rsidRDefault="006E0759" w:rsidP="004728D9">
      <w:pPr>
        <w:widowControl/>
        <w:numPr>
          <w:ilvl w:val="1"/>
          <w:numId w:val="121"/>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sz w:val="24"/>
          <w:szCs w:val="24"/>
          <w:lang w:eastAsia="en-US"/>
        </w:rPr>
        <w:t xml:space="preserve">overarching guidance on </w:t>
      </w:r>
      <w:r w:rsidRPr="00261C59">
        <w:rPr>
          <w:rFonts w:ascii="Calibri" w:eastAsia="Calibri" w:hAnsi="Calibri" w:cs="Calibri"/>
          <w:kern w:val="2"/>
          <w:sz w:val="24"/>
          <w:szCs w:val="24"/>
          <w:lang w:eastAsia="en-US"/>
          <w14:ligatures w14:val="standardContextual"/>
        </w:rPr>
        <w:t xml:space="preserve">policy for people with disability, </w:t>
      </w:r>
      <w:r w:rsidRPr="00261C59">
        <w:rPr>
          <w:rFonts w:ascii="Calibri" w:eastAsia="Calibri" w:hAnsi="Calibri" w:cs="Calibri"/>
          <w:sz w:val="24"/>
          <w:szCs w:val="24"/>
        </w:rPr>
        <w:t xml:space="preserve">through Australia’s Disability Strategy, as part of Commonwealth obligations related to the </w:t>
      </w:r>
      <w:r w:rsidRPr="00261C59">
        <w:rPr>
          <w:rFonts w:ascii="Calibri" w:eastAsia="Calibri" w:hAnsi="Calibri" w:cs="Calibri"/>
          <w:i/>
          <w:sz w:val="24"/>
          <w:szCs w:val="24"/>
        </w:rPr>
        <w:t>Convention on the Rights of Persons with Disability</w:t>
      </w:r>
      <w:r w:rsidRPr="00261C59">
        <w:rPr>
          <w:rFonts w:ascii="Calibri" w:eastAsia="Calibri" w:hAnsi="Calibri" w:cs="Calibri"/>
          <w:sz w:val="24"/>
          <w:szCs w:val="24"/>
        </w:rPr>
        <w:t>. This includes</w:t>
      </w:r>
      <w:r w:rsidRPr="00261C59">
        <w:rPr>
          <w:rFonts w:ascii="Calibri" w:eastAsia="Calibri" w:hAnsi="Calibri" w:cs="Calibri"/>
          <w:kern w:val="2"/>
          <w:sz w:val="24"/>
          <w:szCs w:val="24"/>
          <w:lang w:eastAsia="en-US"/>
          <w14:ligatures w14:val="standardContextual"/>
        </w:rPr>
        <w:t xml:space="preserve"> planning, policy, management, and delivery of the NDIS</w:t>
      </w:r>
    </w:p>
    <w:p w14:paraId="3540271C" w14:textId="1ED6A245" w:rsidR="006E0759" w:rsidRPr="00261C59" w:rsidRDefault="006E0759" w:rsidP="004728D9">
      <w:pPr>
        <w:widowControl/>
        <w:numPr>
          <w:ilvl w:val="1"/>
          <w:numId w:val="121"/>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kern w:val="2"/>
          <w:sz w:val="24"/>
          <w:szCs w:val="24"/>
          <w:lang w:eastAsia="en-US"/>
          <w14:ligatures w14:val="standardContextual"/>
        </w:rPr>
        <w:t>providing continuity of support, where required, for individuals accessing Commonwealth programs for support and who are aged under 65 years with disability but are not NDIS participants, while they continue to require that service</w:t>
      </w:r>
    </w:p>
    <w:p w14:paraId="79294013" w14:textId="77777777" w:rsidR="006E0759" w:rsidRPr="00261C59" w:rsidRDefault="006E0759" w:rsidP="004728D9">
      <w:pPr>
        <w:widowControl/>
        <w:numPr>
          <w:ilvl w:val="1"/>
          <w:numId w:val="121"/>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kern w:val="2"/>
          <w:sz w:val="24"/>
          <w:szCs w:val="24"/>
          <w:lang w:eastAsia="en-US"/>
          <w14:ligatures w14:val="standardContextual"/>
        </w:rPr>
        <w:t>regulating the provision of services under the NDIS via the NDIA and the NDIS Quality and Safeguards Commission.</w:t>
      </w:r>
    </w:p>
    <w:p w14:paraId="3E8C101D" w14:textId="77777777" w:rsidR="006E0759" w:rsidRPr="00261C59" w:rsidRDefault="006E0759"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 xml:space="preserve">In addition to health care responsibilities specified in the Preliminaries, States are responsible for: </w:t>
      </w:r>
    </w:p>
    <w:p w14:paraId="1E530214" w14:textId="2B1BE225" w:rsidR="006E0759" w:rsidRPr="00261C59" w:rsidRDefault="006E0759" w:rsidP="004728D9">
      <w:pPr>
        <w:widowControl/>
        <w:numPr>
          <w:ilvl w:val="1"/>
          <w:numId w:val="122"/>
        </w:numPr>
        <w:adjustRightInd/>
        <w:spacing w:after="240" w:line="260" w:lineRule="exact"/>
        <w:jc w:val="left"/>
        <w:textAlignment w:val="auto"/>
        <w:rPr>
          <w:rFonts w:ascii="Calibri" w:eastAsia="Calibri" w:hAnsi="Calibri" w:cs="Calibri"/>
          <w:color w:val="1F497D"/>
          <w:kern w:val="2"/>
          <w:sz w:val="24"/>
          <w:szCs w:val="24"/>
          <w:lang w:eastAsia="en-US"/>
          <w14:ligatures w14:val="standardContextual"/>
        </w:rPr>
      </w:pPr>
      <w:r w:rsidRPr="00261C59">
        <w:rPr>
          <w:rFonts w:ascii="Calibri" w:eastAsia="Calibri" w:hAnsi="Calibri" w:cs="Calibri"/>
          <w:kern w:val="2"/>
          <w:sz w:val="24"/>
          <w:szCs w:val="24"/>
          <w:lang w:eastAsia="en-US"/>
          <w14:ligatures w14:val="standardContextual"/>
        </w:rPr>
        <w:t xml:space="preserve">policy, funding, and regulation of relevant </w:t>
      </w:r>
      <w:r w:rsidRPr="00261C59">
        <w:rPr>
          <w:rFonts w:ascii="Calibri" w:eastAsia="Calibri" w:hAnsi="Calibri" w:cs="Calibri"/>
          <w:sz w:val="24"/>
          <w:szCs w:val="24"/>
          <w:lang w:eastAsia="en-US"/>
        </w:rPr>
        <w:t xml:space="preserve">disability supports and services for people with </w:t>
      </w:r>
      <w:r w:rsidRPr="00261C59">
        <w:rPr>
          <w:rFonts w:ascii="Calibri" w:eastAsia="Calibri" w:hAnsi="Calibri" w:cs="Calibri"/>
          <w:kern w:val="2"/>
          <w:sz w:val="24"/>
          <w:szCs w:val="24"/>
          <w:lang w:eastAsia="en-US"/>
          <w14:ligatures w14:val="standardContextual"/>
        </w:rPr>
        <w:t>disability</w:t>
      </w:r>
      <w:r w:rsidRPr="00261C59">
        <w:rPr>
          <w:rFonts w:ascii="Calibri" w:eastAsia="Calibri" w:hAnsi="Calibri" w:cs="Calibri"/>
          <w:sz w:val="24"/>
          <w:szCs w:val="24"/>
          <w:lang w:eastAsia="en-US"/>
        </w:rPr>
        <w:t xml:space="preserve"> </w:t>
      </w:r>
      <w:r w:rsidRPr="00261C59">
        <w:rPr>
          <w:rFonts w:ascii="Calibri" w:eastAsia="Calibri" w:hAnsi="Calibri" w:cs="Calibri"/>
          <w:kern w:val="2"/>
          <w:sz w:val="24"/>
          <w:szCs w:val="24"/>
          <w:lang w:eastAsia="en-US"/>
          <w14:ligatures w14:val="standardContextual"/>
        </w:rPr>
        <w:t xml:space="preserve">aged under 65 years, </w:t>
      </w:r>
      <w:r w:rsidRPr="00261C59">
        <w:rPr>
          <w:rFonts w:ascii="Calibri" w:eastAsia="Calibri" w:hAnsi="Calibri" w:cs="Calibri"/>
          <w:sz w:val="24"/>
          <w:szCs w:val="24"/>
          <w:lang w:eastAsia="en-US"/>
        </w:rPr>
        <w:t xml:space="preserve">and Aboriginal and Torres Strait Islander people aged under 50 years as per clause C15, </w:t>
      </w:r>
      <w:r w:rsidR="002B2C5F" w:rsidRPr="00261C59">
        <w:rPr>
          <w:rFonts w:ascii="Calibri" w:eastAsia="Calibri" w:hAnsi="Calibri" w:cs="Calibri"/>
          <w:sz w:val="24"/>
          <w:szCs w:val="24"/>
          <w:lang w:eastAsia="en-US"/>
        </w:rPr>
        <w:t>where the participant is not eligible to receive the support under the NDIS.</w:t>
      </w:r>
      <w:r w:rsidRPr="00261C59">
        <w:rPr>
          <w:rFonts w:ascii="Calibri" w:eastAsia="Calibri" w:hAnsi="Calibri" w:cs="Calibri"/>
          <w:sz w:val="24"/>
          <w:szCs w:val="24"/>
          <w:lang w:eastAsia="en-US"/>
        </w:rPr>
        <w:t xml:space="preserve"> This includes supports for NDIS participants where the support addresses </w:t>
      </w:r>
      <w:bookmarkStart w:id="540" w:name="_Int_kkcUqkOq"/>
      <w:r w:rsidRPr="00261C59">
        <w:rPr>
          <w:rFonts w:ascii="Calibri" w:eastAsia="Calibri" w:hAnsi="Calibri" w:cs="Calibri"/>
          <w:sz w:val="24"/>
          <w:szCs w:val="24"/>
          <w:lang w:eastAsia="en-US"/>
        </w:rPr>
        <w:t>needs</w:t>
      </w:r>
      <w:bookmarkEnd w:id="540"/>
      <w:r w:rsidRPr="00261C59">
        <w:rPr>
          <w:rFonts w:ascii="Calibri" w:eastAsia="Calibri" w:hAnsi="Calibri" w:cs="Calibri"/>
          <w:sz w:val="24"/>
          <w:szCs w:val="24"/>
          <w:lang w:eastAsia="en-US"/>
        </w:rPr>
        <w:t xml:space="preserve"> that do not arise from an impairment for which the participant meets the NDIS access criteria</w:t>
      </w:r>
    </w:p>
    <w:p w14:paraId="71836F10" w14:textId="67BF7E4E" w:rsidR="002B2C5F" w:rsidRPr="00261C59" w:rsidRDefault="002B2C5F" w:rsidP="004728D9">
      <w:pPr>
        <w:widowControl/>
        <w:numPr>
          <w:ilvl w:val="1"/>
          <w:numId w:val="122"/>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kern w:val="2"/>
          <w:sz w:val="24"/>
          <w:szCs w:val="24"/>
          <w:lang w:eastAsia="en-US"/>
          <w14:ligatures w14:val="standardContextual"/>
        </w:rPr>
        <w:t>continuing to fund and provide access to mainstream public hospital and State owned and run community health services for all Medicare eligible people, including older people and</w:t>
      </w:r>
      <w:r w:rsidRPr="00261C59">
        <w:rPr>
          <w:rFonts w:ascii="Calibri" w:eastAsia="Calibri" w:hAnsi="Calibri" w:cs="Calibri"/>
          <w:sz w:val="24"/>
          <w:szCs w:val="24"/>
          <w:lang w:eastAsia="en-US"/>
        </w:rPr>
        <w:t xml:space="preserve"> people with disability</w:t>
      </w:r>
      <w:r w:rsidRPr="00261C59">
        <w:rPr>
          <w:rFonts w:ascii="Calibri" w:eastAsia="Calibri" w:hAnsi="Calibri" w:cs="Calibri"/>
          <w:kern w:val="2"/>
          <w:sz w:val="24"/>
          <w:szCs w:val="24"/>
          <w:lang w:eastAsia="en-US"/>
          <w14:ligatures w14:val="standardContextual"/>
        </w:rPr>
        <w:t xml:space="preserve"> </w:t>
      </w:r>
    </w:p>
    <w:p w14:paraId="5A48A2AF" w14:textId="77777777" w:rsidR="006E0759" w:rsidRPr="00261C59" w:rsidRDefault="006E0759" w:rsidP="004728D9">
      <w:pPr>
        <w:widowControl/>
        <w:numPr>
          <w:ilvl w:val="1"/>
          <w:numId w:val="122"/>
        </w:numPr>
        <w:shd w:val="clear" w:color="auto" w:fill="FFFFFF" w:themeFill="background1"/>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kern w:val="2"/>
          <w:sz w:val="24"/>
          <w:szCs w:val="24"/>
          <w:lang w:eastAsia="en-US"/>
          <w14:ligatures w14:val="standardContextual"/>
        </w:rPr>
        <w:t>providing continuity of support, where required, for clients of State disability programs who are not NDIS participants, to assist them to achieve similar outcomes.</w:t>
      </w:r>
    </w:p>
    <w:p w14:paraId="2F9606BE" w14:textId="77777777" w:rsidR="006E0759" w:rsidRPr="00261C59" w:rsidRDefault="006E0759" w:rsidP="004728D9">
      <w:pPr>
        <w:numPr>
          <w:ilvl w:val="0"/>
          <w:numId w:val="22"/>
        </w:numPr>
        <w:shd w:val="clear" w:color="auto" w:fill="FFFFFF" w:themeFill="background1"/>
        <w:spacing w:after="240" w:line="260" w:lineRule="exact"/>
        <w:jc w:val="left"/>
        <w:rPr>
          <w:rFonts w:ascii="Calibri" w:hAnsi="Calibri"/>
          <w:sz w:val="24"/>
          <w:szCs w:val="24"/>
        </w:rPr>
      </w:pPr>
      <w:r w:rsidRPr="00261C59">
        <w:rPr>
          <w:rFonts w:ascii="Calibri" w:hAnsi="Calibri"/>
          <w:sz w:val="24"/>
          <w:szCs w:val="24"/>
        </w:rPr>
        <w:t>The Parties will share responsibility for:</w:t>
      </w:r>
    </w:p>
    <w:p w14:paraId="298D6178" w14:textId="385D6083" w:rsidR="006E0759" w:rsidRPr="00261C59" w:rsidRDefault="006E0759" w:rsidP="004728D9">
      <w:pPr>
        <w:widowControl/>
        <w:numPr>
          <w:ilvl w:val="1"/>
          <w:numId w:val="123"/>
        </w:numPr>
        <w:shd w:val="clear" w:color="auto" w:fill="FFFFFF" w:themeFill="background1"/>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kern w:val="2"/>
          <w:sz w:val="24"/>
          <w:szCs w:val="24"/>
          <w:lang w:eastAsia="en-US"/>
          <w14:ligatures w14:val="standardContextual"/>
        </w:rPr>
        <w:t>providing continuity of care across interfacing care systems to ensure smooth client transitions and reduce avoidable hospital admissions and readmissions, and avoidable disability and aged care admissions and readmissions, and enable timely hospital discharge to appropriate care or home setting</w:t>
      </w:r>
      <w:r w:rsidR="000F0E5F" w:rsidRPr="00261C59">
        <w:rPr>
          <w:rFonts w:ascii="Calibri" w:eastAsia="Calibri" w:hAnsi="Calibri" w:cs="Calibri"/>
          <w:kern w:val="2"/>
          <w:sz w:val="24"/>
          <w:szCs w:val="24"/>
          <w:lang w:eastAsia="en-US"/>
          <w14:ligatures w14:val="standardContextual"/>
        </w:rPr>
        <w:t>, including the two-way sharing of relevant client information between systems to support these outcomes</w:t>
      </w:r>
    </w:p>
    <w:p w14:paraId="2FE10625" w14:textId="714C43D3" w:rsidR="006E0759" w:rsidRPr="00261C59" w:rsidRDefault="006E0759" w:rsidP="004728D9">
      <w:pPr>
        <w:numPr>
          <w:ilvl w:val="2"/>
          <w:numId w:val="123"/>
        </w:numPr>
        <w:spacing w:after="240" w:line="260" w:lineRule="exact"/>
        <w:jc w:val="left"/>
        <w:rPr>
          <w:rFonts w:ascii="Calibri" w:hAnsi="Calibri"/>
          <w:sz w:val="24"/>
          <w:szCs w:val="24"/>
        </w:rPr>
      </w:pPr>
      <w:r w:rsidRPr="00261C59">
        <w:rPr>
          <w:rFonts w:ascii="Calibri" w:hAnsi="Calibri"/>
          <w:sz w:val="24"/>
          <w:szCs w:val="24"/>
        </w:rPr>
        <w:t>Some programs such as the Transition Care and Multi-Purpose Service</w:t>
      </w:r>
      <w:r w:rsidR="006C742C" w:rsidRPr="00261C59">
        <w:rPr>
          <w:rFonts w:ascii="Calibri" w:hAnsi="Calibri"/>
          <w:sz w:val="24"/>
          <w:szCs w:val="24"/>
        </w:rPr>
        <w:t>s</w:t>
      </w:r>
      <w:r w:rsidRPr="00261C59">
        <w:rPr>
          <w:rFonts w:ascii="Calibri" w:hAnsi="Calibri"/>
          <w:sz w:val="24"/>
          <w:szCs w:val="24"/>
        </w:rPr>
        <w:t xml:space="preserve"> programs will continue to be jointly funded by the Commonwealth and the States</w:t>
      </w:r>
    </w:p>
    <w:p w14:paraId="5EDD22F5" w14:textId="15D2E560" w:rsidR="006E0759" w:rsidRPr="00261C59" w:rsidRDefault="00DC65FF" w:rsidP="004728D9">
      <w:pPr>
        <w:widowControl/>
        <w:numPr>
          <w:ilvl w:val="1"/>
          <w:numId w:val="123"/>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sz w:val="24"/>
          <w:szCs w:val="24"/>
          <w:lang w:eastAsia="en-US"/>
        </w:rPr>
        <w:t xml:space="preserve">working collaboratively to </w:t>
      </w:r>
      <w:r w:rsidR="006E0759" w:rsidRPr="00261C59">
        <w:rPr>
          <w:rFonts w:ascii="Calibri" w:eastAsia="Calibri" w:hAnsi="Calibri" w:cs="Calibri"/>
          <w:sz w:val="24"/>
          <w:szCs w:val="24"/>
          <w:lang w:eastAsia="en-US"/>
        </w:rPr>
        <w:t>identify the need for legislative and policy reform required to enable NDIS market</w:t>
      </w:r>
      <w:r w:rsidR="00D61E16" w:rsidRPr="00261C59">
        <w:rPr>
          <w:rFonts w:ascii="Calibri" w:eastAsia="Calibri" w:hAnsi="Calibri" w:cs="Calibri"/>
          <w:sz w:val="24"/>
          <w:szCs w:val="24"/>
          <w:lang w:eastAsia="en-US"/>
        </w:rPr>
        <w:t>s</w:t>
      </w:r>
      <w:r w:rsidR="006E0759" w:rsidRPr="00261C59">
        <w:rPr>
          <w:rFonts w:ascii="Calibri" w:eastAsia="Calibri" w:hAnsi="Calibri" w:cs="Calibri"/>
          <w:sz w:val="24"/>
          <w:szCs w:val="24"/>
          <w:lang w:eastAsia="en-US"/>
        </w:rPr>
        <w:t xml:space="preserve">  </w:t>
      </w:r>
    </w:p>
    <w:p w14:paraId="6492EE83" w14:textId="56B640C2" w:rsidR="006E0759" w:rsidRPr="00261C59" w:rsidRDefault="006E0759" w:rsidP="004728D9">
      <w:pPr>
        <w:widowControl/>
        <w:numPr>
          <w:ilvl w:val="1"/>
          <w:numId w:val="123"/>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kern w:val="2"/>
          <w:sz w:val="24"/>
          <w:szCs w:val="24"/>
          <w:lang w:eastAsia="en-US"/>
          <w14:ligatures w14:val="standardContextual"/>
        </w:rPr>
        <w:t>providing strategic governance through the Disability Reform Ministerial Council on the NDIS and Australia’s Disability Strategy, which represents all governments’ shared commitment to improve the health and wellbeing of all people with disability</w:t>
      </w:r>
    </w:p>
    <w:p w14:paraId="73D50BCD" w14:textId="77777777" w:rsidR="006E0759" w:rsidRPr="00261C59" w:rsidRDefault="006E0759" w:rsidP="004728D9">
      <w:pPr>
        <w:widowControl/>
        <w:numPr>
          <w:ilvl w:val="1"/>
          <w:numId w:val="123"/>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kern w:val="2"/>
          <w:sz w:val="24"/>
          <w:szCs w:val="24"/>
          <w:lang w:eastAsia="en-US"/>
          <w14:ligatures w14:val="standardContextual"/>
        </w:rPr>
        <w:t>implementing data and digital reforms to achieve an interconnected and efficient health system that supports continuity of patient care across all health and care settings</w:t>
      </w:r>
      <w:r w:rsidRPr="00261C59">
        <w:rPr>
          <w:rFonts w:ascii="Calibri" w:eastAsia="Calibri" w:hAnsi="Calibri" w:cs="Calibri"/>
          <w:sz w:val="24"/>
          <w:szCs w:val="24"/>
          <w:lang w:eastAsia="en-US"/>
        </w:rPr>
        <w:t xml:space="preserve"> (as set out in this Schedule and in Schedule H).</w:t>
      </w:r>
    </w:p>
    <w:p w14:paraId="4F32AD1C" w14:textId="3D6761E3" w:rsidR="006E0759" w:rsidRPr="00261C59" w:rsidRDefault="006E0759"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 xml:space="preserve">Where applicable, the Parties will share program responsibility for their respective community care and residential care services for Aboriginal and Torres Strait Islander people aged 50 to 64 years, who will be eligible to receive services from an appropriate provider under programs of either level of government. There will be no 'wrong door' for Aboriginal and Torres Strait Islander people in this age group seeking community or residential care services. </w:t>
      </w:r>
    </w:p>
    <w:p w14:paraId="6627EBE7" w14:textId="77777777" w:rsidR="006E0759" w:rsidRPr="00261C59" w:rsidRDefault="006E0759"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 xml:space="preserve">All parties recognise the need for further work to agree on roles and responsibilities and </w:t>
      </w:r>
      <w:r w:rsidRPr="00261C59">
        <w:rPr>
          <w:rFonts w:ascii="Calibri" w:eastAsia="Calibri" w:hAnsi="Calibri" w:cs="Calibri"/>
          <w:sz w:val="24"/>
          <w:szCs w:val="24"/>
          <w:lang w:eastAsia="en-US"/>
        </w:rPr>
        <w:t>mechanisms to improve how systems and agencies work together to plan and coordinate streamlined care</w:t>
      </w:r>
      <w:r w:rsidRPr="00261C59">
        <w:rPr>
          <w:rFonts w:ascii="Calibri" w:hAnsi="Calibri"/>
          <w:sz w:val="24"/>
          <w:szCs w:val="24"/>
        </w:rPr>
        <w:t xml:space="preserve"> for</w:t>
      </w:r>
      <w:r w:rsidRPr="00261C59" w:rsidDel="201093B3">
        <w:rPr>
          <w:rFonts w:ascii="Calibri" w:hAnsi="Calibri"/>
          <w:sz w:val="24"/>
          <w:szCs w:val="24"/>
        </w:rPr>
        <w:t xml:space="preserve"> </w:t>
      </w:r>
      <w:r w:rsidR="002B2C5F" w:rsidRPr="00261C59">
        <w:rPr>
          <w:rFonts w:ascii="Calibri" w:hAnsi="Calibri"/>
          <w:sz w:val="24"/>
          <w:szCs w:val="24"/>
        </w:rPr>
        <w:t>people with significant and permanent disability resulting from chronic or complex health conditions, including life-limiting conditions, and that</w:t>
      </w:r>
      <w:r w:rsidRPr="00261C59">
        <w:rPr>
          <w:rFonts w:ascii="Calibri" w:hAnsi="Calibri"/>
          <w:sz w:val="24"/>
          <w:szCs w:val="24"/>
        </w:rPr>
        <w:t>:</w:t>
      </w:r>
    </w:p>
    <w:p w14:paraId="2491E9DE" w14:textId="28DF24C0" w:rsidR="002B2C5F" w:rsidRPr="00261C59" w:rsidRDefault="002B2C5F" w:rsidP="004728D9">
      <w:pPr>
        <w:widowControl/>
        <w:numPr>
          <w:ilvl w:val="1"/>
          <w:numId w:val="124"/>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sz w:val="24"/>
          <w:szCs w:val="24"/>
          <w:lang w:eastAsia="en-US"/>
        </w:rPr>
        <w:t xml:space="preserve">the National Palliative Care Strategy (2018) notes that palliative care is an approach that improves the quality of life of patients (adults and children) and their families who are facing problems associated with life-limiting illness, through the prevention and relief of suffering by means of early identification and correct assessment and treatment of pain and other problems, whether physical, psychosocial or spiritual </w:t>
      </w:r>
    </w:p>
    <w:p w14:paraId="0CC5A12C" w14:textId="13919E2A" w:rsidR="002B2C5F" w:rsidRPr="00261C59" w:rsidRDefault="002B2C5F" w:rsidP="004728D9">
      <w:pPr>
        <w:widowControl/>
        <w:numPr>
          <w:ilvl w:val="1"/>
          <w:numId w:val="124"/>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sz w:val="24"/>
          <w:szCs w:val="24"/>
          <w:lang w:eastAsia="en-US"/>
        </w:rPr>
        <w:t xml:space="preserve">the health system has </w:t>
      </w:r>
      <w:r w:rsidRPr="00261C59">
        <w:rPr>
          <w:rFonts w:ascii="Calibri" w:eastAsia="Calibri" w:hAnsi="Calibri" w:cs="Calibri"/>
          <w:kern w:val="2"/>
          <w:sz w:val="24"/>
          <w:szCs w:val="24"/>
          <w:lang w:eastAsia="en-US"/>
          <w14:ligatures w14:val="standardContextual"/>
        </w:rPr>
        <w:t>ongoing responsibilit</w:t>
      </w:r>
      <w:r w:rsidRPr="00261C59">
        <w:rPr>
          <w:rFonts w:ascii="Calibri" w:eastAsia="Calibri" w:hAnsi="Calibri" w:cs="Calibri"/>
          <w:sz w:val="24"/>
          <w:szCs w:val="24"/>
          <w:lang w:eastAsia="en-US"/>
        </w:rPr>
        <w:t>y</w:t>
      </w:r>
      <w:r w:rsidRPr="00261C59">
        <w:rPr>
          <w:rFonts w:ascii="Calibri" w:eastAsia="Calibri" w:hAnsi="Calibri" w:cs="Calibri"/>
          <w:kern w:val="2"/>
          <w:sz w:val="24"/>
          <w:szCs w:val="24"/>
          <w:lang w:eastAsia="en-US"/>
          <w14:ligatures w14:val="standardContextual"/>
        </w:rPr>
        <w:t xml:space="preserve"> </w:t>
      </w:r>
      <w:r w:rsidRPr="00261C59">
        <w:rPr>
          <w:rFonts w:ascii="Calibri" w:eastAsia="Calibri" w:hAnsi="Calibri" w:cs="Calibri"/>
          <w:sz w:val="24"/>
          <w:szCs w:val="24"/>
          <w:lang w:eastAsia="en-US"/>
        </w:rPr>
        <w:t>for</w:t>
      </w:r>
      <w:r w:rsidRPr="00261C59">
        <w:rPr>
          <w:rFonts w:ascii="Calibri" w:eastAsia="Calibri" w:hAnsi="Calibri" w:cs="Calibri"/>
          <w:kern w:val="2"/>
          <w:sz w:val="24"/>
          <w:szCs w:val="24"/>
          <w:lang w:eastAsia="en-US"/>
          <w14:ligatures w14:val="standardContextual"/>
        </w:rPr>
        <w:t xml:space="preserve"> provid</w:t>
      </w:r>
      <w:r w:rsidRPr="00261C59">
        <w:rPr>
          <w:rFonts w:ascii="Calibri" w:eastAsia="Calibri" w:hAnsi="Calibri" w:cs="Calibri"/>
          <w:sz w:val="24"/>
          <w:szCs w:val="24"/>
          <w:lang w:eastAsia="en-US"/>
        </w:rPr>
        <w:t>ing</w:t>
      </w:r>
      <w:r w:rsidRPr="00261C59">
        <w:rPr>
          <w:rFonts w:ascii="Calibri" w:eastAsia="Calibri" w:hAnsi="Calibri" w:cs="Calibri"/>
          <w:kern w:val="2"/>
          <w:sz w:val="24"/>
          <w:szCs w:val="24"/>
          <w:lang w:eastAsia="en-US"/>
          <w14:ligatures w14:val="standardContextual"/>
        </w:rPr>
        <w:t xml:space="preserve"> health services, including palliative care, for people with life-limiting conditions</w:t>
      </w:r>
    </w:p>
    <w:p w14:paraId="14C4DF51" w14:textId="0DF3F31B" w:rsidR="002B2C5F" w:rsidRPr="00261C59" w:rsidRDefault="002B2C5F" w:rsidP="004728D9">
      <w:pPr>
        <w:widowControl/>
        <w:numPr>
          <w:ilvl w:val="1"/>
          <w:numId w:val="124"/>
        </w:numPr>
        <w:spacing w:after="240" w:line="260" w:lineRule="exact"/>
        <w:jc w:val="left"/>
        <w:rPr>
          <w:rFonts w:ascii="Calibri" w:eastAsia="Calibri" w:hAnsi="Calibri" w:cs="Calibri"/>
          <w:sz w:val="24"/>
          <w:szCs w:val="24"/>
        </w:rPr>
      </w:pPr>
      <w:r w:rsidRPr="00261C59">
        <w:rPr>
          <w:rFonts w:ascii="Calibri" w:eastAsia="Calibri" w:hAnsi="Calibri" w:cs="Calibri"/>
          <w:sz w:val="24"/>
          <w:szCs w:val="24"/>
        </w:rPr>
        <w:t xml:space="preserve">aged care services can provide care and support services, and disability services can provide functional supports (funded via the NDIS where the person meets eligibility requirements under the NDIS Act or by States as per clause </w:t>
      </w:r>
      <w:r w:rsidR="008334A5" w:rsidRPr="00261C59">
        <w:rPr>
          <w:rFonts w:ascii="Calibri" w:eastAsia="Calibri" w:hAnsi="Calibri" w:cs="Calibri"/>
          <w:sz w:val="24"/>
          <w:szCs w:val="24"/>
        </w:rPr>
        <w:t>C</w:t>
      </w:r>
      <w:r w:rsidRPr="00261C59">
        <w:rPr>
          <w:rFonts w:ascii="Calibri" w:eastAsia="Calibri" w:hAnsi="Calibri" w:cs="Calibri"/>
          <w:sz w:val="24"/>
          <w:szCs w:val="24"/>
        </w:rPr>
        <w:t>13(a)</w:t>
      </w:r>
      <w:r w:rsidR="000F0A92" w:rsidRPr="00261C59">
        <w:rPr>
          <w:rFonts w:ascii="Calibri" w:eastAsia="Calibri" w:hAnsi="Calibri" w:cs="Calibri"/>
          <w:sz w:val="24"/>
          <w:szCs w:val="24"/>
        </w:rPr>
        <w:t>)</w:t>
      </w:r>
      <w:r w:rsidRPr="00261C59">
        <w:rPr>
          <w:rFonts w:ascii="Calibri" w:eastAsia="Calibri" w:hAnsi="Calibri" w:cs="Calibri"/>
          <w:sz w:val="24"/>
          <w:szCs w:val="24"/>
        </w:rPr>
        <w:t>, including disability-related health supports, for eligible people with life-limiting conditions at the same time as palliative care services are delivered by the health system.</w:t>
      </w:r>
    </w:p>
    <w:p w14:paraId="5FB7E118" w14:textId="77777777" w:rsidR="002B2C5F" w:rsidRPr="00261C59" w:rsidRDefault="002B2C5F" w:rsidP="00F64C52">
      <w:pPr>
        <w:keepLines/>
        <w:numPr>
          <w:ilvl w:val="0"/>
          <w:numId w:val="22"/>
        </w:numPr>
        <w:spacing w:after="240" w:line="260" w:lineRule="exact"/>
        <w:jc w:val="left"/>
        <w:rPr>
          <w:rFonts w:ascii="Calibri" w:hAnsi="Calibri"/>
          <w:sz w:val="24"/>
          <w:szCs w:val="24"/>
        </w:rPr>
      </w:pPr>
      <w:r w:rsidRPr="00261C59">
        <w:rPr>
          <w:rFonts w:ascii="Calibri" w:hAnsi="Calibri"/>
          <w:sz w:val="24"/>
          <w:szCs w:val="24"/>
        </w:rPr>
        <w:t>In addition to the roles and functions of the NHRA national bodies as described in Schedule I, the roles and functions of other relevant bodies including the Aged Care Quality and Safety Commission, the Office of the Inspector General of Aged Care, and the NDIS Quality and Safeguards Commission will be considered in delivering the intent of this Schedule.</w:t>
      </w:r>
    </w:p>
    <w:p w14:paraId="2C43382D" w14:textId="77777777" w:rsidR="006E0759" w:rsidRPr="00261C59" w:rsidRDefault="006E0759" w:rsidP="1476B102">
      <w:pPr>
        <w:pStyle w:val="Heading2"/>
        <w:widowControl/>
        <w:adjustRightInd/>
        <w:spacing w:before="180" w:after="120"/>
        <w:jc w:val="left"/>
        <w:textAlignment w:val="auto"/>
        <w:rPr>
          <w:rFonts w:ascii="Corbel" w:eastAsia="Times New Roman" w:hAnsi="Corbel" w:cs="Arial"/>
          <w:color w:val="3D4B67"/>
          <w:sz w:val="28"/>
          <w:szCs w:val="28"/>
        </w:rPr>
      </w:pPr>
      <w:bookmarkStart w:id="541" w:name="_Toc173837445"/>
      <w:bookmarkStart w:id="542" w:name="_Toc201674006"/>
      <w:bookmarkStart w:id="543" w:name="_Toc210833643"/>
      <w:bookmarkStart w:id="544" w:name="_Toc214456543"/>
      <w:bookmarkStart w:id="545" w:name="_Toc221088023"/>
      <w:r w:rsidRPr="00261C59">
        <w:rPr>
          <w:rFonts w:ascii="Corbel" w:eastAsia="Times New Roman" w:hAnsi="Corbel" w:cs="Arial"/>
          <w:color w:val="3D4B67"/>
          <w:sz w:val="28"/>
          <w:szCs w:val="28"/>
        </w:rPr>
        <w:t>Monitoring supply of services to identify interface issues early</w:t>
      </w:r>
      <w:bookmarkEnd w:id="541"/>
      <w:bookmarkEnd w:id="542"/>
      <w:bookmarkEnd w:id="543"/>
      <w:bookmarkEnd w:id="544"/>
      <w:bookmarkEnd w:id="545"/>
    </w:p>
    <w:p w14:paraId="0A5D6B2A" w14:textId="2D4624CB" w:rsidR="006E0759" w:rsidRPr="00261C59" w:rsidRDefault="006D5CB0" w:rsidP="004728D9">
      <w:pPr>
        <w:numPr>
          <w:ilvl w:val="0"/>
          <w:numId w:val="22"/>
        </w:numPr>
        <w:spacing w:after="240" w:line="260" w:lineRule="exact"/>
        <w:jc w:val="left"/>
        <w:rPr>
          <w:rFonts w:ascii="Calibri" w:eastAsia="Calibri" w:hAnsi="Calibri" w:cs="Calibri"/>
          <w:kern w:val="2"/>
          <w:sz w:val="24"/>
          <w:szCs w:val="24"/>
          <w:lang w:eastAsia="en-US"/>
          <w14:ligatures w14:val="standardContextual"/>
        </w:rPr>
      </w:pPr>
      <w:r w:rsidRPr="00261C59">
        <w:rPr>
          <w:rFonts w:ascii="Calibri" w:hAnsi="Calibri"/>
          <w:sz w:val="24"/>
          <w:szCs w:val="24"/>
        </w:rPr>
        <w:t>Consistent with the principles for market stewardship at Preliminaries clause 20, t</w:t>
      </w:r>
      <w:r w:rsidR="002B2C5F" w:rsidRPr="00261C59">
        <w:rPr>
          <w:rFonts w:ascii="Calibri" w:hAnsi="Calibri"/>
          <w:sz w:val="24"/>
          <w:szCs w:val="24"/>
        </w:rPr>
        <w:t xml:space="preserve">he Parties </w:t>
      </w:r>
      <w:r w:rsidR="006E0759" w:rsidRPr="00261C59">
        <w:rPr>
          <w:rFonts w:ascii="Calibri" w:hAnsi="Calibri"/>
          <w:sz w:val="24"/>
          <w:szCs w:val="24"/>
        </w:rPr>
        <w:t xml:space="preserve">are committed to monitoring primary care, aged care, and </w:t>
      </w:r>
      <w:r w:rsidR="0076744C" w:rsidRPr="00261C59">
        <w:rPr>
          <w:rFonts w:ascii="Calibri" w:hAnsi="Calibri"/>
          <w:sz w:val="24"/>
          <w:szCs w:val="24"/>
        </w:rPr>
        <w:t xml:space="preserve">NDIS </w:t>
      </w:r>
      <w:r w:rsidR="006E0759" w:rsidRPr="00261C59">
        <w:rPr>
          <w:rFonts w:ascii="Calibri" w:hAnsi="Calibri"/>
          <w:sz w:val="24"/>
          <w:szCs w:val="24"/>
        </w:rPr>
        <w:t xml:space="preserve">services </w:t>
      </w:r>
      <w:r w:rsidR="0076744C" w:rsidRPr="00261C59">
        <w:rPr>
          <w:rFonts w:ascii="Calibri" w:hAnsi="Calibri"/>
          <w:sz w:val="24"/>
          <w:szCs w:val="24"/>
        </w:rPr>
        <w:t xml:space="preserve">at a regional </w:t>
      </w:r>
      <w:r w:rsidR="00767B3F" w:rsidRPr="00261C59">
        <w:rPr>
          <w:rFonts w:ascii="Calibri" w:hAnsi="Calibri"/>
          <w:sz w:val="24"/>
          <w:szCs w:val="24"/>
        </w:rPr>
        <w:t xml:space="preserve">and local </w:t>
      </w:r>
      <w:r w:rsidR="0076744C" w:rsidRPr="00261C59">
        <w:rPr>
          <w:rFonts w:ascii="Calibri" w:hAnsi="Calibri"/>
          <w:sz w:val="24"/>
          <w:szCs w:val="24"/>
        </w:rPr>
        <w:t>level</w:t>
      </w:r>
      <w:r w:rsidRPr="00261C59">
        <w:rPr>
          <w:rFonts w:ascii="Calibri" w:hAnsi="Calibri"/>
          <w:sz w:val="24"/>
          <w:szCs w:val="24"/>
        </w:rPr>
        <w:t xml:space="preserve"> to identify accessibility issues and/or service gaps</w:t>
      </w:r>
      <w:r w:rsidR="0076744C" w:rsidRPr="00261C59">
        <w:rPr>
          <w:rFonts w:ascii="Calibri" w:hAnsi="Calibri"/>
          <w:sz w:val="24"/>
          <w:szCs w:val="24"/>
        </w:rPr>
        <w:t xml:space="preserve">. </w:t>
      </w:r>
      <w:r w:rsidR="006D28AE" w:rsidRPr="00261C59">
        <w:rPr>
          <w:rFonts w:ascii="Calibri" w:hAnsi="Calibri"/>
          <w:sz w:val="24"/>
          <w:szCs w:val="24"/>
        </w:rPr>
        <w:t xml:space="preserve">Monitoring processes will align with emerging reforms and be flexible to allow for adaptations over time as per clause C4(h), </w:t>
      </w:r>
      <w:r w:rsidR="00752512" w:rsidRPr="00261C59">
        <w:rPr>
          <w:rFonts w:ascii="Calibri" w:hAnsi="Calibri"/>
          <w:sz w:val="24"/>
          <w:szCs w:val="24"/>
        </w:rPr>
        <w:t>to support a sustainable and responsive service market</w:t>
      </w:r>
      <w:r w:rsidR="006D28AE" w:rsidRPr="00261C59">
        <w:rPr>
          <w:rFonts w:ascii="Calibri" w:hAnsi="Calibri"/>
          <w:sz w:val="24"/>
          <w:szCs w:val="24"/>
        </w:rPr>
        <w:t>.</w:t>
      </w:r>
    </w:p>
    <w:p w14:paraId="3CE4D172" w14:textId="17385BBC" w:rsidR="006E0759" w:rsidRPr="00261C59" w:rsidRDefault="00752512"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Consistent with the principles for market stewardship, t</w:t>
      </w:r>
      <w:r w:rsidR="006E0759" w:rsidRPr="00261C59">
        <w:rPr>
          <w:rFonts w:ascii="Calibri" w:hAnsi="Calibri"/>
          <w:sz w:val="24"/>
          <w:szCs w:val="24"/>
        </w:rPr>
        <w:t>he Commonwealth will monitor</w:t>
      </w:r>
      <w:r w:rsidR="006E0759" w:rsidRPr="00261C59" w:rsidDel="00642180">
        <w:rPr>
          <w:rFonts w:ascii="Calibri" w:hAnsi="Calibri"/>
          <w:sz w:val="24"/>
          <w:szCs w:val="24"/>
        </w:rPr>
        <w:t xml:space="preserve"> </w:t>
      </w:r>
      <w:r w:rsidR="006E0759" w:rsidRPr="00261C59">
        <w:rPr>
          <w:rFonts w:ascii="Calibri" w:hAnsi="Calibri"/>
          <w:sz w:val="24"/>
          <w:szCs w:val="24"/>
        </w:rPr>
        <w:t xml:space="preserve">performance </w:t>
      </w:r>
      <w:r w:rsidR="002B2C5F" w:rsidRPr="00261C59">
        <w:rPr>
          <w:rFonts w:ascii="Calibri" w:hAnsi="Calibri"/>
          <w:sz w:val="24"/>
          <w:szCs w:val="24"/>
        </w:rPr>
        <w:t>of</w:t>
      </w:r>
      <w:r w:rsidR="006E0759" w:rsidRPr="00261C59">
        <w:rPr>
          <w:rFonts w:ascii="Calibri" w:hAnsi="Calibri"/>
          <w:sz w:val="24"/>
          <w:szCs w:val="24"/>
        </w:rPr>
        <w:t xml:space="preserve"> primary care, aged care, and </w:t>
      </w:r>
      <w:r w:rsidR="00AC7969" w:rsidRPr="00261C59">
        <w:rPr>
          <w:rFonts w:ascii="Calibri" w:hAnsi="Calibri"/>
          <w:sz w:val="24"/>
          <w:szCs w:val="24"/>
        </w:rPr>
        <w:t xml:space="preserve">NDIS </w:t>
      </w:r>
      <w:r w:rsidR="00034076" w:rsidRPr="00261C59">
        <w:rPr>
          <w:rFonts w:ascii="Calibri" w:hAnsi="Calibri"/>
          <w:sz w:val="24"/>
          <w:szCs w:val="24"/>
        </w:rPr>
        <w:t>services</w:t>
      </w:r>
      <w:r w:rsidR="004431CD" w:rsidRPr="00261C59">
        <w:rPr>
          <w:rFonts w:ascii="Calibri" w:hAnsi="Calibri"/>
          <w:sz w:val="24"/>
          <w:szCs w:val="24"/>
        </w:rPr>
        <w:t xml:space="preserve"> </w:t>
      </w:r>
      <w:r w:rsidR="006E0759" w:rsidRPr="00261C59">
        <w:rPr>
          <w:rFonts w:ascii="Calibri" w:hAnsi="Calibri"/>
          <w:sz w:val="24"/>
          <w:szCs w:val="24"/>
        </w:rPr>
        <w:t>through the following arrangements:</w:t>
      </w:r>
    </w:p>
    <w:p w14:paraId="3143DC2E" w14:textId="76871B8E" w:rsidR="006E0759" w:rsidRPr="00261C59" w:rsidRDefault="00275CEE" w:rsidP="004728D9">
      <w:pPr>
        <w:widowControl/>
        <w:numPr>
          <w:ilvl w:val="1"/>
          <w:numId w:val="125"/>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Pr>
          <w:rFonts w:ascii="Calibri" w:eastAsia="Yu Mincho" w:hAnsi="Calibri" w:cs="Calibri"/>
          <w:sz w:val="24"/>
          <w:szCs w:val="24"/>
          <w:lang w:eastAsia="en-US"/>
        </w:rPr>
        <w:t>i</w:t>
      </w:r>
      <w:r w:rsidR="006E0759" w:rsidRPr="00261C59">
        <w:rPr>
          <w:rFonts w:ascii="Calibri" w:eastAsia="Yu Mincho" w:hAnsi="Calibri" w:cs="Calibri"/>
          <w:sz w:val="24"/>
          <w:szCs w:val="24"/>
          <w:lang w:eastAsia="en-US"/>
        </w:rPr>
        <w:t xml:space="preserve">n primary care, the </w:t>
      </w:r>
      <w:r w:rsidR="00B84CAB" w:rsidRPr="00261C59">
        <w:rPr>
          <w:rFonts w:ascii="Calibri" w:eastAsia="Yu Mincho" w:hAnsi="Calibri" w:cs="Calibri"/>
          <w:sz w:val="24"/>
          <w:szCs w:val="24"/>
          <w:lang w:eastAsia="en-US"/>
        </w:rPr>
        <w:t>Department of Health, Disability and Ageing</w:t>
      </w:r>
      <w:r w:rsidR="006E0759" w:rsidRPr="00261C59">
        <w:rPr>
          <w:rFonts w:ascii="Calibri" w:eastAsia="Yu Mincho" w:hAnsi="Calibri" w:cs="Calibri"/>
          <w:sz w:val="24"/>
          <w:szCs w:val="24"/>
          <w:lang w:eastAsia="en-US"/>
        </w:rPr>
        <w:t xml:space="preserve">, together with PHNs, Rural Workforce Agencies and other stakeholders will monitor the sustainability of primary care services typically delivered within a general practice or equivalent setting and identify communities, where possible, with services at risk of closure resulting in </w:t>
      </w:r>
      <w:r w:rsidR="00EF6FCA" w:rsidRPr="00261C59">
        <w:rPr>
          <w:rFonts w:ascii="Calibri" w:eastAsia="Yu Mincho" w:hAnsi="Calibri" w:cs="Calibri"/>
          <w:sz w:val="24"/>
          <w:szCs w:val="24"/>
          <w:lang w:eastAsia="en-US"/>
        </w:rPr>
        <w:t xml:space="preserve">limited or </w:t>
      </w:r>
      <w:r w:rsidR="006E0759" w:rsidRPr="00261C59">
        <w:rPr>
          <w:rFonts w:ascii="Calibri" w:eastAsia="Yu Mincho" w:hAnsi="Calibri" w:cs="Calibri"/>
          <w:sz w:val="24"/>
          <w:szCs w:val="24"/>
          <w:lang w:eastAsia="en-US"/>
        </w:rPr>
        <w:t>no access to primary care. Parties commit to improved sharing of market intelligence, including through HCEF and HMM processes as required, as soon as practical after December 2026</w:t>
      </w:r>
      <w:r w:rsidR="002B2C5F" w:rsidRPr="00261C59">
        <w:rPr>
          <w:rFonts w:ascii="Calibri" w:eastAsia="Yu Mincho" w:hAnsi="Calibri" w:cs="Calibri"/>
          <w:sz w:val="24"/>
          <w:szCs w:val="24"/>
          <w:lang w:eastAsia="en-US"/>
        </w:rPr>
        <w:t xml:space="preserve"> </w:t>
      </w:r>
    </w:p>
    <w:p w14:paraId="13629B6B" w14:textId="1AAF0E1E" w:rsidR="006E0759" w:rsidRPr="00261C59" w:rsidRDefault="00275CEE" w:rsidP="004728D9">
      <w:pPr>
        <w:widowControl/>
        <w:numPr>
          <w:ilvl w:val="1"/>
          <w:numId w:val="125"/>
        </w:numPr>
        <w:spacing w:after="240" w:line="260" w:lineRule="exact"/>
        <w:jc w:val="left"/>
        <w:rPr>
          <w:rFonts w:ascii="Calibri" w:eastAsia="Calibri" w:hAnsi="Calibri" w:cs="Calibri"/>
          <w:sz w:val="24"/>
          <w:szCs w:val="24"/>
          <w:lang w:eastAsia="en-US"/>
        </w:rPr>
      </w:pPr>
      <w:r>
        <w:rPr>
          <w:rFonts w:ascii="Calibri" w:eastAsia="Calibri" w:hAnsi="Calibri" w:cs="Calibri"/>
          <w:kern w:val="2"/>
          <w:sz w:val="24"/>
          <w:szCs w:val="24"/>
          <w:lang w:eastAsia="en-US"/>
          <w14:ligatures w14:val="standardContextual"/>
        </w:rPr>
        <w:t>i</w:t>
      </w:r>
      <w:r w:rsidR="006E0759" w:rsidRPr="00261C59">
        <w:rPr>
          <w:rFonts w:ascii="Calibri" w:eastAsia="Calibri" w:hAnsi="Calibri" w:cs="Calibri"/>
          <w:kern w:val="2"/>
          <w:sz w:val="24"/>
          <w:szCs w:val="24"/>
          <w:lang w:eastAsia="en-US"/>
          <w14:ligatures w14:val="standardContextual"/>
        </w:rPr>
        <w:t xml:space="preserve">n aged care, the Department of Health, Disability and Ageing (including through the Department’s Local Network) and the Aged Care Quality and Safety Commission will </w:t>
      </w:r>
      <w:r w:rsidR="006E0759" w:rsidRPr="00261C59">
        <w:rPr>
          <w:rFonts w:ascii="Calibri" w:eastAsia="Yu Mincho" w:hAnsi="Calibri" w:cs="Calibri"/>
          <w:sz w:val="24"/>
          <w:szCs w:val="24"/>
          <w:lang w:eastAsia="en-US"/>
        </w:rPr>
        <w:t xml:space="preserve">actively monitor </w:t>
      </w:r>
      <w:r w:rsidR="006E0759" w:rsidRPr="00261C59">
        <w:rPr>
          <w:rFonts w:ascii="Calibri" w:eastAsia="Calibri" w:hAnsi="Calibri" w:cs="Calibri"/>
          <w:kern w:val="2"/>
          <w:sz w:val="24"/>
          <w:szCs w:val="24"/>
          <w:lang w:eastAsia="en-US"/>
          <w14:ligatures w14:val="standardContextual"/>
        </w:rPr>
        <w:t xml:space="preserve">aged care services and conduct routine analysis of </w:t>
      </w:r>
      <w:r w:rsidR="006E0759" w:rsidRPr="00261C59">
        <w:rPr>
          <w:rFonts w:ascii="Calibri" w:eastAsia="Calibri" w:hAnsi="Calibri" w:cs="Calibri"/>
          <w:sz w:val="24"/>
          <w:szCs w:val="24"/>
          <w:lang w:eastAsia="en-US"/>
        </w:rPr>
        <w:t>market performance</w:t>
      </w:r>
      <w:r w:rsidR="006E0759" w:rsidRPr="00261C59">
        <w:rPr>
          <w:rFonts w:ascii="Calibri" w:eastAsia="Calibri" w:hAnsi="Calibri" w:cs="Calibri"/>
          <w:kern w:val="2"/>
          <w:sz w:val="24"/>
          <w:szCs w:val="24"/>
          <w:lang w:eastAsia="en-US"/>
          <w14:ligatures w14:val="standardContextual"/>
        </w:rPr>
        <w:t xml:space="preserve"> of these services. This includes an ongoing commitment to monitoring supply and demand for services; and monitoring sector-level financial performance, publishing sector-level financial information, and provider-level financial and operations information </w:t>
      </w:r>
    </w:p>
    <w:p w14:paraId="48F10F05" w14:textId="216E9DF7" w:rsidR="006E0759" w:rsidRPr="00261C59" w:rsidRDefault="00275CEE" w:rsidP="004728D9">
      <w:pPr>
        <w:widowControl/>
        <w:numPr>
          <w:ilvl w:val="1"/>
          <w:numId w:val="125"/>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Pr>
          <w:rFonts w:ascii="Calibri" w:eastAsia="Calibri" w:hAnsi="Calibri" w:cs="Calibri"/>
          <w:sz w:val="24"/>
          <w:szCs w:val="24"/>
          <w:lang w:eastAsia="en-US"/>
        </w:rPr>
        <w:t>i</w:t>
      </w:r>
      <w:r w:rsidR="006E0759" w:rsidRPr="00261C59">
        <w:rPr>
          <w:rFonts w:ascii="Calibri" w:eastAsia="Calibri" w:hAnsi="Calibri" w:cs="Calibri"/>
          <w:sz w:val="24"/>
          <w:szCs w:val="24"/>
          <w:lang w:eastAsia="en-US"/>
        </w:rPr>
        <w:t xml:space="preserve">n disability, the Department of Health, Disability and Ageing will work with the NDIA and NDIS Quality and Safeguards Commission </w:t>
      </w:r>
      <w:r w:rsidR="006E0759" w:rsidRPr="00261C59">
        <w:rPr>
          <w:rFonts w:ascii="Calibri" w:eastAsia="Yu Mincho" w:hAnsi="Calibri" w:cs="Calibri"/>
          <w:sz w:val="24"/>
          <w:szCs w:val="24"/>
          <w:lang w:eastAsia="en-US"/>
        </w:rPr>
        <w:t xml:space="preserve">to actively monitor </w:t>
      </w:r>
      <w:r w:rsidR="006E0759" w:rsidRPr="00261C59">
        <w:rPr>
          <w:rFonts w:ascii="Calibri" w:eastAsia="Calibri" w:hAnsi="Calibri" w:cs="Calibri"/>
          <w:sz w:val="24"/>
          <w:szCs w:val="24"/>
          <w:lang w:eastAsia="en-US"/>
        </w:rPr>
        <w:t>NDIS services and conduct routine analysis of market performance of these services.</w:t>
      </w:r>
    </w:p>
    <w:p w14:paraId="62DA00AA" w14:textId="77777777" w:rsidR="006E0759" w:rsidRPr="00261C59" w:rsidRDefault="002B2C5F"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States will monitor</w:t>
      </w:r>
      <w:r w:rsidR="006E0759" w:rsidRPr="00261C59" w:rsidDel="201093B3">
        <w:rPr>
          <w:rFonts w:ascii="Calibri" w:hAnsi="Calibri"/>
          <w:sz w:val="24"/>
          <w:szCs w:val="24"/>
        </w:rPr>
        <w:t xml:space="preserve"> </w:t>
      </w:r>
      <w:r w:rsidR="006E0759" w:rsidRPr="00261C59">
        <w:rPr>
          <w:rFonts w:ascii="Calibri" w:hAnsi="Calibri"/>
          <w:sz w:val="24"/>
          <w:szCs w:val="24"/>
        </w:rPr>
        <w:t>performance of the public hospital and health care system.</w:t>
      </w:r>
    </w:p>
    <w:p w14:paraId="60586F65" w14:textId="77777777" w:rsidR="006E0759" w:rsidRPr="00261C59" w:rsidRDefault="006E0759" w:rsidP="00B17D4B">
      <w:pPr>
        <w:pStyle w:val="Heading2"/>
        <w:widowControl/>
        <w:adjustRightInd/>
        <w:spacing w:before="180" w:after="120"/>
        <w:jc w:val="left"/>
        <w:textAlignment w:val="auto"/>
        <w:rPr>
          <w:rFonts w:ascii="Corbel" w:eastAsia="Times New Roman" w:hAnsi="Corbel" w:cs="Arial"/>
          <w:color w:val="3D4B67"/>
          <w:sz w:val="28"/>
          <w:szCs w:val="28"/>
        </w:rPr>
      </w:pPr>
      <w:bookmarkStart w:id="546" w:name="_Toc167456330"/>
      <w:bookmarkStart w:id="547" w:name="_Toc173837446"/>
      <w:bookmarkStart w:id="548" w:name="_Toc201674007"/>
      <w:bookmarkStart w:id="549" w:name="_Toc210833644"/>
      <w:bookmarkStart w:id="550" w:name="_Toc214456544"/>
      <w:bookmarkStart w:id="551" w:name="_Toc221088024"/>
      <w:r w:rsidRPr="00261C59">
        <w:rPr>
          <w:rFonts w:ascii="Corbel" w:eastAsia="Times New Roman" w:hAnsi="Corbel" w:cs="Arial"/>
          <w:color w:val="3D4B67"/>
          <w:sz w:val="28"/>
          <w:szCs w:val="28"/>
        </w:rPr>
        <w:t>Governance</w:t>
      </w:r>
      <w:bookmarkEnd w:id="546"/>
      <w:r w:rsidRPr="00261C59">
        <w:rPr>
          <w:rFonts w:ascii="Corbel" w:eastAsia="Times New Roman" w:hAnsi="Corbel" w:cs="Arial"/>
          <w:color w:val="3D4B67"/>
          <w:sz w:val="28"/>
          <w:szCs w:val="28"/>
        </w:rPr>
        <w:t xml:space="preserve"> and escalation pathways</w:t>
      </w:r>
      <w:bookmarkEnd w:id="547"/>
      <w:bookmarkEnd w:id="548"/>
      <w:bookmarkEnd w:id="549"/>
      <w:bookmarkEnd w:id="550"/>
      <w:bookmarkEnd w:id="551"/>
      <w:r w:rsidRPr="00261C59">
        <w:rPr>
          <w:rFonts w:ascii="Corbel" w:eastAsia="Times New Roman" w:hAnsi="Corbel" w:cs="Arial"/>
          <w:color w:val="3D4B67"/>
          <w:sz w:val="28"/>
          <w:szCs w:val="28"/>
        </w:rPr>
        <w:t xml:space="preserve">  </w:t>
      </w:r>
    </w:p>
    <w:p w14:paraId="3BB65646" w14:textId="77777777" w:rsidR="006E0759" w:rsidRPr="00261C59" w:rsidRDefault="002B2C5F"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Consistent</w:t>
      </w:r>
      <w:r w:rsidR="006E0759" w:rsidRPr="00261C59">
        <w:rPr>
          <w:rFonts w:ascii="Calibri" w:hAnsi="Calibri"/>
          <w:sz w:val="24"/>
          <w:szCs w:val="24"/>
        </w:rPr>
        <w:t xml:space="preserve"> with Schedule E, relevant governance arrangements at the local, regional, state, and national level will support monitoring, escalation, and responses to market performance and interface issues.</w:t>
      </w:r>
    </w:p>
    <w:p w14:paraId="5D189A70" w14:textId="6824010E" w:rsidR="006E0759" w:rsidRPr="00261C59" w:rsidRDefault="006E0759" w:rsidP="004728D9">
      <w:pPr>
        <w:widowControl/>
        <w:numPr>
          <w:ilvl w:val="0"/>
          <w:numId w:val="22"/>
        </w:numPr>
        <w:spacing w:after="240" w:line="260" w:lineRule="exact"/>
        <w:jc w:val="left"/>
        <w:rPr>
          <w:rFonts w:ascii="Calibri" w:hAnsi="Calibri"/>
          <w:sz w:val="24"/>
          <w:szCs w:val="24"/>
        </w:rPr>
      </w:pPr>
      <w:r w:rsidRPr="00261C59">
        <w:rPr>
          <w:rFonts w:ascii="Calibri" w:hAnsi="Calibri"/>
          <w:sz w:val="24"/>
          <w:szCs w:val="24"/>
        </w:rPr>
        <w:t xml:space="preserve">In accordance with Parties’ roles and responsibilities, market monitoring will take a top-down and bottom-up approach, which involves system leadership by the Commonwealth and States and using market intelligence shared by local stakeholders, including PHNs, LHNs, ACCHOs and other primary care, aged care and </w:t>
      </w:r>
      <w:r w:rsidR="004D4898" w:rsidRPr="00261C59">
        <w:rPr>
          <w:rFonts w:ascii="Calibri" w:hAnsi="Calibri"/>
          <w:sz w:val="24"/>
          <w:szCs w:val="24"/>
        </w:rPr>
        <w:t xml:space="preserve">NDIS </w:t>
      </w:r>
      <w:r w:rsidRPr="00261C59">
        <w:rPr>
          <w:rFonts w:ascii="Calibri" w:hAnsi="Calibri"/>
          <w:sz w:val="24"/>
          <w:szCs w:val="24"/>
        </w:rPr>
        <w:t>providers.</w:t>
      </w:r>
    </w:p>
    <w:p w14:paraId="13E9A0D1" w14:textId="77777777" w:rsidR="006E0759" w:rsidRPr="00261C59" w:rsidRDefault="006E0759"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 xml:space="preserve">Local governance approaches will need to recognise existing roles and responsibilities across the system, and the levers available to each Party to address interface issues identified. </w:t>
      </w:r>
    </w:p>
    <w:p w14:paraId="04CB3B82" w14:textId="744A5C6E" w:rsidR="006E0759" w:rsidRPr="00261C59" w:rsidRDefault="000278EA" w:rsidP="004728D9">
      <w:pPr>
        <w:numPr>
          <w:ilvl w:val="0"/>
          <w:numId w:val="22"/>
        </w:numPr>
        <w:spacing w:after="240" w:line="260" w:lineRule="exact"/>
        <w:jc w:val="left"/>
        <w:rPr>
          <w:rFonts w:ascii="Calibri" w:hAnsi="Calibri"/>
          <w:sz w:val="24"/>
          <w:szCs w:val="24"/>
        </w:rPr>
      </w:pPr>
      <w:r w:rsidRPr="00261C59">
        <w:rPr>
          <w:rFonts w:ascii="Calibri" w:hAnsi="Calibri"/>
          <w:sz w:val="24"/>
          <w:szCs w:val="24"/>
        </w:rPr>
        <w:t>Consistent with the principles for market stewardship, a</w:t>
      </w:r>
      <w:r w:rsidR="006E0759" w:rsidRPr="00261C59">
        <w:rPr>
          <w:rFonts w:ascii="Calibri" w:hAnsi="Calibri"/>
          <w:sz w:val="24"/>
          <w:szCs w:val="24"/>
        </w:rPr>
        <w:t>ny Party can raise issues regarding market performance of interfacing systems</w:t>
      </w:r>
      <w:r w:rsidR="000740F9">
        <w:rPr>
          <w:rFonts w:ascii="Calibri" w:hAnsi="Calibri"/>
          <w:sz w:val="24"/>
          <w:szCs w:val="24"/>
        </w:rPr>
        <w:t>.</w:t>
      </w:r>
      <w:r w:rsidR="006E0759" w:rsidRPr="00261C59">
        <w:rPr>
          <w:rFonts w:ascii="Calibri" w:hAnsi="Calibri"/>
          <w:sz w:val="24"/>
          <w:szCs w:val="24"/>
        </w:rPr>
        <w:t xml:space="preserve"> </w:t>
      </w:r>
    </w:p>
    <w:p w14:paraId="03B6ABF1" w14:textId="77777777" w:rsidR="006E0759" w:rsidRPr="00261C59" w:rsidRDefault="006E0759" w:rsidP="004728D9">
      <w:pPr>
        <w:widowControl/>
        <w:numPr>
          <w:ilvl w:val="1"/>
          <w:numId w:val="126"/>
        </w:numPr>
        <w:adjustRightInd/>
        <w:spacing w:after="240" w:line="260" w:lineRule="exact"/>
        <w:jc w:val="left"/>
        <w:textAlignment w:val="auto"/>
        <w:rPr>
          <w:rFonts w:ascii="Calibri" w:eastAsia="Yu Mincho" w:hAnsi="Calibri" w:cs="Calibri"/>
          <w:sz w:val="24"/>
          <w:szCs w:val="24"/>
          <w:lang w:eastAsia="en-US"/>
        </w:rPr>
      </w:pPr>
      <w:r w:rsidRPr="00261C59">
        <w:rPr>
          <w:rFonts w:ascii="Calibri" w:eastAsia="Yu Mincho" w:hAnsi="Calibri" w:cs="Calibri"/>
          <w:sz w:val="24"/>
          <w:szCs w:val="24"/>
          <w:lang w:eastAsia="en-US"/>
        </w:rPr>
        <w:t xml:space="preserve">PHNs will be the main point of contact for primary care. PHNs will work in collaboration with LHNs, ACCHOs and other primary care stakeholders where relevant, particularly in rural and remote regions. </w:t>
      </w:r>
    </w:p>
    <w:p w14:paraId="11EEFB7E" w14:textId="77777777" w:rsidR="006E0759" w:rsidRPr="00261C59" w:rsidRDefault="006E0759" w:rsidP="004728D9">
      <w:pPr>
        <w:widowControl/>
        <w:numPr>
          <w:ilvl w:val="1"/>
          <w:numId w:val="126"/>
        </w:numPr>
        <w:adjustRightInd/>
        <w:spacing w:after="240" w:line="260" w:lineRule="exact"/>
        <w:jc w:val="left"/>
        <w:textAlignment w:val="auto"/>
        <w:rPr>
          <w:rFonts w:ascii="Calibri" w:eastAsia="Yu Mincho" w:hAnsi="Calibri" w:cs="Calibri"/>
          <w:sz w:val="24"/>
          <w:szCs w:val="24"/>
          <w:lang w:eastAsia="en-US"/>
        </w:rPr>
      </w:pPr>
      <w:r w:rsidRPr="00261C59">
        <w:rPr>
          <w:rFonts w:ascii="Calibri" w:eastAsia="Yu Mincho" w:hAnsi="Calibri" w:cs="Calibri"/>
          <w:sz w:val="24"/>
          <w:szCs w:val="24"/>
          <w:lang w:eastAsia="en-US"/>
        </w:rPr>
        <w:t>T</w:t>
      </w:r>
      <w:r w:rsidRPr="00261C59">
        <w:rPr>
          <w:rFonts w:ascii="Calibri" w:eastAsia="Calibri" w:hAnsi="Calibri" w:cs="Calibri"/>
          <w:kern w:val="2"/>
          <w:sz w:val="24"/>
          <w:szCs w:val="24"/>
          <w:lang w:eastAsia="en-US"/>
          <w14:ligatures w14:val="standardContextual"/>
        </w:rPr>
        <w:t xml:space="preserve">he Department of Health, Disability and Ageing’s Local Network </w:t>
      </w:r>
      <w:r w:rsidRPr="00261C59">
        <w:rPr>
          <w:rFonts w:ascii="Calibri" w:eastAsia="Calibri" w:hAnsi="Calibri" w:cs="Calibri"/>
          <w:sz w:val="24"/>
          <w:szCs w:val="24"/>
          <w:lang w:eastAsia="en-US"/>
        </w:rPr>
        <w:t xml:space="preserve">will be the main point of contact for </w:t>
      </w:r>
      <w:r w:rsidRPr="00261C59">
        <w:rPr>
          <w:rFonts w:ascii="Calibri" w:eastAsia="Calibri" w:hAnsi="Calibri" w:cs="Calibri"/>
          <w:kern w:val="2"/>
          <w:sz w:val="24"/>
          <w:szCs w:val="24"/>
          <w:lang w:eastAsia="en-US"/>
          <w14:ligatures w14:val="standardContextual"/>
        </w:rPr>
        <w:t>aged care</w:t>
      </w:r>
      <w:r w:rsidRPr="00261C59">
        <w:rPr>
          <w:rFonts w:ascii="Calibri" w:eastAsia="Calibri" w:hAnsi="Calibri" w:cs="Calibri"/>
          <w:sz w:val="24"/>
          <w:szCs w:val="24"/>
          <w:lang w:eastAsia="en-US"/>
        </w:rPr>
        <w:t>.</w:t>
      </w:r>
    </w:p>
    <w:p w14:paraId="1832DA6E" w14:textId="4B4DC043" w:rsidR="006E0759" w:rsidRPr="00261C59" w:rsidRDefault="006E0759" w:rsidP="004728D9">
      <w:pPr>
        <w:widowControl/>
        <w:numPr>
          <w:ilvl w:val="1"/>
          <w:numId w:val="126"/>
        </w:numPr>
        <w:adjustRightInd/>
        <w:spacing w:after="240" w:line="260" w:lineRule="exact"/>
        <w:jc w:val="left"/>
        <w:textAlignment w:val="auto"/>
        <w:rPr>
          <w:rFonts w:ascii="Calibri" w:eastAsia="Yu Mincho" w:hAnsi="Calibri" w:cs="Calibri"/>
          <w:sz w:val="24"/>
          <w:szCs w:val="24"/>
          <w:lang w:eastAsia="en-US"/>
        </w:rPr>
      </w:pPr>
      <w:r w:rsidRPr="00261C59">
        <w:rPr>
          <w:rFonts w:ascii="Calibri" w:eastAsia="Yu Mincho" w:hAnsi="Calibri" w:cs="Calibri"/>
          <w:sz w:val="24"/>
          <w:szCs w:val="24"/>
          <w:lang w:eastAsia="en-US"/>
        </w:rPr>
        <w:t>The NDIA will be the main point of contact regarding NDIS participants and prospective participants.</w:t>
      </w:r>
    </w:p>
    <w:p w14:paraId="71F276A3" w14:textId="77777777" w:rsidR="006E0759" w:rsidRPr="00261C59" w:rsidRDefault="006E0759" w:rsidP="004728D9">
      <w:pPr>
        <w:widowControl/>
        <w:numPr>
          <w:ilvl w:val="1"/>
          <w:numId w:val="126"/>
        </w:numPr>
        <w:adjustRightInd/>
        <w:spacing w:after="240" w:line="260" w:lineRule="exact"/>
        <w:jc w:val="left"/>
        <w:textAlignment w:val="auto"/>
        <w:rPr>
          <w:rFonts w:ascii="Calibri" w:eastAsia="Yu Mincho" w:hAnsi="Calibri" w:cs="Calibri"/>
          <w:sz w:val="24"/>
          <w:szCs w:val="24"/>
          <w:lang w:eastAsia="en-US"/>
        </w:rPr>
      </w:pPr>
      <w:r w:rsidRPr="00261C59">
        <w:rPr>
          <w:rFonts w:ascii="Calibri" w:eastAsia="Yu Mincho" w:hAnsi="Calibri" w:cs="Calibri"/>
          <w:sz w:val="24"/>
          <w:szCs w:val="24"/>
          <w:lang w:eastAsia="en-US"/>
        </w:rPr>
        <w:t>State and territory governments will be the main point of contact regarding disability services outside the NDIS, as per clause C13</w:t>
      </w:r>
      <w:r w:rsidR="002B2C5F" w:rsidRPr="00261C59">
        <w:rPr>
          <w:rFonts w:ascii="Calibri" w:eastAsia="Yu Mincho" w:hAnsi="Calibri" w:cs="Calibri"/>
          <w:sz w:val="24"/>
          <w:szCs w:val="24"/>
          <w:lang w:eastAsia="en-US"/>
        </w:rPr>
        <w:t>(a) of this agreement.</w:t>
      </w:r>
      <w:r w:rsidRPr="00261C59">
        <w:rPr>
          <w:rFonts w:ascii="Calibri" w:eastAsia="Yu Mincho" w:hAnsi="Calibri" w:cs="Calibri"/>
          <w:sz w:val="24"/>
          <w:szCs w:val="24"/>
          <w:lang w:eastAsia="en-US"/>
        </w:rPr>
        <w:t xml:space="preserve"> </w:t>
      </w:r>
    </w:p>
    <w:p w14:paraId="7DBE52C2" w14:textId="77777777" w:rsidR="006E0759" w:rsidRPr="00261C59" w:rsidRDefault="006E0759" w:rsidP="004728D9">
      <w:pPr>
        <w:widowControl/>
        <w:numPr>
          <w:ilvl w:val="1"/>
          <w:numId w:val="126"/>
        </w:numPr>
        <w:adjustRightInd/>
        <w:spacing w:after="240" w:line="260" w:lineRule="exact"/>
        <w:jc w:val="left"/>
        <w:textAlignment w:val="auto"/>
        <w:rPr>
          <w:rFonts w:ascii="Calibri" w:eastAsia="Yu Mincho" w:hAnsi="Calibri" w:cs="Calibri"/>
          <w:sz w:val="24"/>
          <w:szCs w:val="24"/>
          <w:lang w:eastAsia="en-US"/>
        </w:rPr>
      </w:pPr>
      <w:r w:rsidRPr="00261C59">
        <w:rPr>
          <w:rFonts w:ascii="Calibri" w:eastAsia="Yu Mincho" w:hAnsi="Calibri" w:cs="Calibri"/>
          <w:sz w:val="24"/>
          <w:szCs w:val="24"/>
          <w:lang w:eastAsia="en-US"/>
        </w:rPr>
        <w:t xml:space="preserve">State and territory health departments and/or LHNs will be the point of contact for public hospital and health system delivery issues. </w:t>
      </w:r>
    </w:p>
    <w:p w14:paraId="0979CCF3" w14:textId="77777777" w:rsidR="006E0759" w:rsidRPr="00261C59" w:rsidRDefault="006E0759" w:rsidP="004728D9">
      <w:pPr>
        <w:widowControl/>
        <w:numPr>
          <w:ilvl w:val="0"/>
          <w:numId w:val="22"/>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sz w:val="24"/>
          <w:szCs w:val="24"/>
          <w:lang w:eastAsia="en-US"/>
        </w:rPr>
        <w:t xml:space="preserve">The Commonwealth, through </w:t>
      </w:r>
      <w:r w:rsidRPr="00261C59">
        <w:rPr>
          <w:rFonts w:ascii="Calibri" w:eastAsia="Yu Mincho" w:hAnsi="Calibri" w:cs="Calibri"/>
          <w:sz w:val="24"/>
          <w:szCs w:val="24"/>
          <w:lang w:eastAsia="en-US"/>
        </w:rPr>
        <w:t xml:space="preserve">PHNs, the </w:t>
      </w:r>
      <w:r w:rsidRPr="00261C59">
        <w:rPr>
          <w:rFonts w:ascii="Calibri" w:eastAsia="Calibri" w:hAnsi="Calibri" w:cs="Calibri"/>
          <w:kern w:val="2"/>
          <w:sz w:val="24"/>
          <w:szCs w:val="24"/>
          <w:lang w:eastAsia="en-US"/>
          <w14:ligatures w14:val="standardContextual"/>
        </w:rPr>
        <w:t>Department of Health, Disability and Ageing’s Local Network</w:t>
      </w:r>
      <w:r w:rsidRPr="00261C59" w:rsidDel="00DE155B">
        <w:rPr>
          <w:rFonts w:ascii="Calibri" w:eastAsia="Yu Mincho" w:hAnsi="Calibri" w:cs="Calibri"/>
          <w:sz w:val="24"/>
          <w:szCs w:val="24"/>
          <w:lang w:eastAsia="en-US"/>
        </w:rPr>
        <w:t xml:space="preserve"> </w:t>
      </w:r>
      <w:r w:rsidRPr="00261C59">
        <w:rPr>
          <w:rFonts w:ascii="Calibri" w:eastAsia="Yu Mincho" w:hAnsi="Calibri" w:cs="Calibri"/>
          <w:sz w:val="24"/>
          <w:szCs w:val="24"/>
          <w:lang w:eastAsia="en-US"/>
        </w:rPr>
        <w:t xml:space="preserve">and the NDIA </w:t>
      </w:r>
      <w:r w:rsidRPr="00261C59">
        <w:rPr>
          <w:rFonts w:ascii="Calibri" w:eastAsia="Calibri" w:hAnsi="Calibri" w:cs="Mangal"/>
          <w:sz w:val="24"/>
          <w:szCs w:val="24"/>
          <w:lang w:eastAsia="en-US"/>
        </w:rPr>
        <w:t xml:space="preserve">will assess identified issues, and lead local stakeholder </w:t>
      </w:r>
      <w:r w:rsidR="002B2C5F" w:rsidRPr="00261C59">
        <w:rPr>
          <w:rFonts w:ascii="Calibri" w:eastAsia="Calibri" w:hAnsi="Calibri" w:cs="Mangal"/>
          <w:sz w:val="24"/>
          <w:szCs w:val="24"/>
          <w:lang w:eastAsia="en-US"/>
        </w:rPr>
        <w:t>collaboration</w:t>
      </w:r>
      <w:r w:rsidRPr="00261C59">
        <w:rPr>
          <w:rFonts w:ascii="Calibri" w:eastAsia="Calibri" w:hAnsi="Calibri" w:cs="Mangal"/>
          <w:sz w:val="24"/>
          <w:szCs w:val="24"/>
          <w:lang w:eastAsia="en-US"/>
        </w:rPr>
        <w:t xml:space="preserve"> with the following parties, as relevant</w:t>
      </w:r>
      <w:r w:rsidRPr="00261C59">
        <w:rPr>
          <w:rFonts w:ascii="Calibri" w:eastAsia="Calibri" w:hAnsi="Calibri" w:cs="Mangal"/>
          <w:kern w:val="2"/>
          <w:sz w:val="24"/>
          <w:szCs w:val="24"/>
          <w:lang w:eastAsia="en-US"/>
          <w14:ligatures w14:val="standardContextual"/>
        </w:rPr>
        <w:t>:</w:t>
      </w:r>
    </w:p>
    <w:p w14:paraId="20B82C1E" w14:textId="63C8D49B" w:rsidR="006E0759" w:rsidRPr="00261C59" w:rsidRDefault="006E0759" w:rsidP="004728D9">
      <w:pPr>
        <w:widowControl/>
        <w:numPr>
          <w:ilvl w:val="1"/>
          <w:numId w:val="127"/>
        </w:numPr>
        <w:adjustRightInd/>
        <w:spacing w:after="240" w:line="260" w:lineRule="exact"/>
        <w:jc w:val="left"/>
        <w:textAlignment w:val="auto"/>
        <w:rPr>
          <w:rFonts w:ascii="Calibri" w:eastAsia="Yu Mincho" w:hAnsi="Calibri" w:cs="Calibri"/>
          <w:sz w:val="24"/>
          <w:szCs w:val="24"/>
          <w:lang w:eastAsia="en-US"/>
        </w:rPr>
      </w:pPr>
      <w:r w:rsidRPr="00261C59">
        <w:rPr>
          <w:rFonts w:ascii="Calibri" w:eastAsia="Yu Mincho" w:hAnsi="Calibri" w:cs="Calibri"/>
          <w:sz w:val="24"/>
          <w:szCs w:val="24"/>
          <w:lang w:eastAsia="en-US"/>
        </w:rPr>
        <w:t>Local Hospital Networks</w:t>
      </w:r>
    </w:p>
    <w:p w14:paraId="54814A52" w14:textId="2A9126D6" w:rsidR="006E0759" w:rsidRPr="00261C59" w:rsidRDefault="006E0759" w:rsidP="004728D9">
      <w:pPr>
        <w:widowControl/>
        <w:numPr>
          <w:ilvl w:val="1"/>
          <w:numId w:val="127"/>
        </w:numPr>
        <w:adjustRightInd/>
        <w:spacing w:after="240" w:line="260" w:lineRule="exact"/>
        <w:jc w:val="left"/>
        <w:textAlignment w:val="auto"/>
        <w:rPr>
          <w:rFonts w:ascii="Calibri" w:eastAsia="Yu Mincho" w:hAnsi="Calibri" w:cs="Calibri"/>
          <w:sz w:val="24"/>
          <w:szCs w:val="24"/>
          <w:lang w:eastAsia="en-US"/>
        </w:rPr>
      </w:pPr>
      <w:r w:rsidRPr="00261C59">
        <w:rPr>
          <w:rFonts w:ascii="Calibri" w:eastAsia="Yu Mincho" w:hAnsi="Calibri" w:cs="Calibri"/>
          <w:sz w:val="24"/>
          <w:szCs w:val="24"/>
          <w:lang w:eastAsia="en-US"/>
        </w:rPr>
        <w:t>State and territory health departments</w:t>
      </w:r>
    </w:p>
    <w:p w14:paraId="7F0D1A4E" w14:textId="1D8BA222" w:rsidR="006E0759" w:rsidRPr="00261C59" w:rsidRDefault="006E0759" w:rsidP="004728D9">
      <w:pPr>
        <w:widowControl/>
        <w:numPr>
          <w:ilvl w:val="1"/>
          <w:numId w:val="127"/>
        </w:numPr>
        <w:adjustRightInd/>
        <w:spacing w:after="240" w:line="260" w:lineRule="exact"/>
        <w:jc w:val="left"/>
        <w:textAlignment w:val="auto"/>
        <w:rPr>
          <w:rFonts w:ascii="Calibri" w:eastAsia="Yu Mincho" w:hAnsi="Calibri" w:cs="Calibri"/>
          <w:sz w:val="24"/>
          <w:szCs w:val="24"/>
          <w:lang w:eastAsia="en-US"/>
        </w:rPr>
      </w:pPr>
      <w:r w:rsidRPr="00261C59">
        <w:rPr>
          <w:rFonts w:ascii="Calibri" w:eastAsia="Yu Mincho" w:hAnsi="Calibri" w:cs="Calibri"/>
          <w:sz w:val="24"/>
          <w:szCs w:val="24"/>
          <w:lang w:eastAsia="en-US"/>
        </w:rPr>
        <w:t>Primary Health Networks</w:t>
      </w:r>
    </w:p>
    <w:p w14:paraId="34B71F78" w14:textId="10D7A348" w:rsidR="006E0759" w:rsidRPr="00261C59" w:rsidRDefault="006E0759" w:rsidP="004728D9">
      <w:pPr>
        <w:widowControl/>
        <w:numPr>
          <w:ilvl w:val="1"/>
          <w:numId w:val="127"/>
        </w:numPr>
        <w:adjustRightInd/>
        <w:spacing w:after="240" w:line="260" w:lineRule="exact"/>
        <w:jc w:val="left"/>
        <w:textAlignment w:val="auto"/>
        <w:rPr>
          <w:rFonts w:ascii="Calibri" w:eastAsia="Yu Mincho" w:hAnsi="Calibri" w:cs="Calibri"/>
          <w:sz w:val="24"/>
          <w:szCs w:val="24"/>
          <w:lang w:eastAsia="en-US"/>
        </w:rPr>
      </w:pPr>
      <w:r w:rsidRPr="00261C59">
        <w:rPr>
          <w:rFonts w:ascii="Calibri" w:eastAsia="Yu Mincho" w:hAnsi="Calibri" w:cs="Calibri"/>
          <w:sz w:val="24"/>
          <w:szCs w:val="24"/>
          <w:lang w:eastAsia="en-US"/>
        </w:rPr>
        <w:t>Rural Workforce Agencies</w:t>
      </w:r>
    </w:p>
    <w:p w14:paraId="703EFF41" w14:textId="518A71D9" w:rsidR="006E0759" w:rsidRPr="00261C59" w:rsidRDefault="006E0759" w:rsidP="004728D9">
      <w:pPr>
        <w:widowControl/>
        <w:numPr>
          <w:ilvl w:val="1"/>
          <w:numId w:val="127"/>
        </w:numPr>
        <w:adjustRightInd/>
        <w:spacing w:after="240" w:line="260" w:lineRule="exact"/>
        <w:jc w:val="left"/>
        <w:textAlignment w:val="auto"/>
        <w:rPr>
          <w:rFonts w:ascii="Calibri" w:eastAsia="Yu Mincho" w:hAnsi="Calibri" w:cs="Calibri"/>
          <w:sz w:val="24"/>
          <w:szCs w:val="24"/>
          <w:lang w:eastAsia="en-US"/>
        </w:rPr>
      </w:pPr>
      <w:r w:rsidRPr="00261C59">
        <w:rPr>
          <w:rFonts w:ascii="Calibri" w:eastAsia="Yu Mincho" w:hAnsi="Calibri" w:cs="Calibri"/>
          <w:sz w:val="24"/>
          <w:szCs w:val="24"/>
          <w:lang w:eastAsia="en-US"/>
        </w:rPr>
        <w:t>The ACCHO secto</w:t>
      </w:r>
      <w:r w:rsidR="000740F9">
        <w:rPr>
          <w:rFonts w:ascii="Calibri" w:eastAsia="Yu Mincho" w:hAnsi="Calibri" w:cs="Calibri"/>
          <w:sz w:val="24"/>
          <w:szCs w:val="24"/>
          <w:lang w:eastAsia="en-US"/>
        </w:rPr>
        <w:t>r</w:t>
      </w:r>
    </w:p>
    <w:p w14:paraId="3BD35773" w14:textId="473E6261" w:rsidR="006E0759" w:rsidRPr="00261C59" w:rsidRDefault="006E0759" w:rsidP="004728D9">
      <w:pPr>
        <w:widowControl/>
        <w:numPr>
          <w:ilvl w:val="1"/>
          <w:numId w:val="127"/>
        </w:numPr>
        <w:adjustRightInd/>
        <w:spacing w:after="240" w:line="260" w:lineRule="exact"/>
        <w:jc w:val="left"/>
        <w:textAlignment w:val="auto"/>
        <w:rPr>
          <w:rFonts w:ascii="Calibri" w:eastAsia="Yu Mincho" w:hAnsi="Calibri" w:cs="Calibri"/>
          <w:sz w:val="24"/>
          <w:szCs w:val="24"/>
          <w:lang w:eastAsia="en-US"/>
        </w:rPr>
      </w:pPr>
      <w:r w:rsidRPr="00261C59">
        <w:rPr>
          <w:rFonts w:ascii="Calibri" w:eastAsia="Yu Mincho" w:hAnsi="Calibri" w:cs="Calibri"/>
          <w:sz w:val="24"/>
          <w:szCs w:val="24"/>
          <w:lang w:eastAsia="en-US"/>
        </w:rPr>
        <w:t>Other Aboriginal Community Controlled Organisations</w:t>
      </w:r>
    </w:p>
    <w:p w14:paraId="35CEB3EA" w14:textId="3F510731" w:rsidR="006E0759" w:rsidRPr="00261C59" w:rsidRDefault="006E0759" w:rsidP="004728D9">
      <w:pPr>
        <w:widowControl/>
        <w:numPr>
          <w:ilvl w:val="1"/>
          <w:numId w:val="127"/>
        </w:numPr>
        <w:adjustRightInd/>
        <w:spacing w:after="240" w:line="260" w:lineRule="exact"/>
        <w:jc w:val="left"/>
        <w:textAlignment w:val="auto"/>
        <w:rPr>
          <w:rFonts w:ascii="Calibri" w:eastAsia="Yu Mincho" w:hAnsi="Calibri" w:cs="Calibri"/>
          <w:sz w:val="24"/>
          <w:szCs w:val="24"/>
          <w:lang w:eastAsia="en-US"/>
        </w:rPr>
      </w:pPr>
      <w:r w:rsidRPr="00261C59">
        <w:rPr>
          <w:rFonts w:ascii="Calibri" w:eastAsia="Yu Mincho" w:hAnsi="Calibri" w:cs="Calibri"/>
          <w:sz w:val="24"/>
          <w:szCs w:val="24"/>
          <w:lang w:eastAsia="en-US"/>
        </w:rPr>
        <w:t xml:space="preserve">NDIA </w:t>
      </w:r>
    </w:p>
    <w:p w14:paraId="55D8E961" w14:textId="228DC87B" w:rsidR="006E0759" w:rsidRPr="00261C59" w:rsidRDefault="006E0759" w:rsidP="004728D9">
      <w:pPr>
        <w:widowControl/>
        <w:numPr>
          <w:ilvl w:val="1"/>
          <w:numId w:val="127"/>
        </w:numPr>
        <w:adjustRightInd/>
        <w:spacing w:after="240" w:line="260" w:lineRule="exact"/>
        <w:jc w:val="left"/>
        <w:textAlignment w:val="auto"/>
        <w:rPr>
          <w:rFonts w:ascii="Calibri" w:eastAsia="Yu Mincho" w:hAnsi="Calibri" w:cs="Calibri"/>
          <w:sz w:val="24"/>
          <w:szCs w:val="24"/>
          <w:lang w:eastAsia="en-US"/>
        </w:rPr>
      </w:pPr>
      <w:r w:rsidRPr="00261C59">
        <w:rPr>
          <w:rFonts w:ascii="Calibri" w:eastAsia="Yu Mincho" w:hAnsi="Calibri" w:cs="Calibri"/>
          <w:sz w:val="24"/>
          <w:szCs w:val="24"/>
          <w:lang w:eastAsia="en-US"/>
        </w:rPr>
        <w:t>Local service providers involved in delivering health, disability or aged care services</w:t>
      </w:r>
    </w:p>
    <w:p w14:paraId="7D7E121D" w14:textId="77777777" w:rsidR="006E0759" w:rsidRPr="00261C59" w:rsidRDefault="006E0759" w:rsidP="004728D9">
      <w:pPr>
        <w:widowControl/>
        <w:numPr>
          <w:ilvl w:val="1"/>
          <w:numId w:val="127"/>
        </w:numPr>
        <w:adjustRightInd/>
        <w:spacing w:after="240" w:line="260" w:lineRule="exact"/>
        <w:jc w:val="left"/>
        <w:textAlignment w:val="auto"/>
        <w:rPr>
          <w:rFonts w:ascii="Calibri" w:eastAsia="Yu Mincho" w:hAnsi="Calibri" w:cs="Calibri"/>
          <w:sz w:val="24"/>
          <w:szCs w:val="24"/>
          <w:lang w:eastAsia="en-US"/>
        </w:rPr>
      </w:pPr>
      <w:r w:rsidRPr="00261C59">
        <w:rPr>
          <w:rFonts w:ascii="Calibri" w:eastAsia="Yu Mincho" w:hAnsi="Calibri" w:cs="Calibri"/>
          <w:sz w:val="24"/>
          <w:szCs w:val="24"/>
          <w:lang w:eastAsia="en-US"/>
        </w:rPr>
        <w:t>Peak bodies.</w:t>
      </w:r>
    </w:p>
    <w:p w14:paraId="6889E79B" w14:textId="402A21A8" w:rsidR="006E0759" w:rsidRPr="00261C59" w:rsidRDefault="006E0759" w:rsidP="004728D9">
      <w:pPr>
        <w:widowControl/>
        <w:numPr>
          <w:ilvl w:val="0"/>
          <w:numId w:val="22"/>
        </w:numPr>
        <w:adjustRightInd/>
        <w:spacing w:after="240" w:line="260" w:lineRule="exact"/>
        <w:jc w:val="left"/>
        <w:textAlignment w:val="auto"/>
        <w:rPr>
          <w:rFonts w:ascii="Calibri" w:eastAsia="Calibri" w:hAnsi="Calibri" w:cs="Mangal"/>
          <w:sz w:val="24"/>
          <w:szCs w:val="24"/>
          <w:lang w:eastAsia="en-US"/>
        </w:rPr>
      </w:pPr>
      <w:r w:rsidRPr="00261C59">
        <w:rPr>
          <w:rFonts w:ascii="Calibri" w:eastAsia="Calibri" w:hAnsi="Calibri" w:cs="Mangal"/>
          <w:sz w:val="24"/>
          <w:szCs w:val="24"/>
          <w:lang w:eastAsia="en-US"/>
        </w:rPr>
        <w:t>Where markets are identified as at risk, the following escalation pathway will be deployed to support action:</w:t>
      </w:r>
    </w:p>
    <w:p w14:paraId="0D8715EE" w14:textId="7BB1541F" w:rsidR="002B2C5F" w:rsidRPr="00261C59" w:rsidRDefault="00501D33" w:rsidP="004728D9">
      <w:pPr>
        <w:widowControl/>
        <w:numPr>
          <w:ilvl w:val="1"/>
          <w:numId w:val="128"/>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Pr>
          <w:rFonts w:ascii="Calibri" w:eastAsia="Calibri" w:hAnsi="Calibri" w:cs="Mangal"/>
          <w:kern w:val="2"/>
          <w:sz w:val="24"/>
          <w:szCs w:val="24"/>
          <w:lang w:eastAsia="en-US"/>
          <w14:ligatures w14:val="standardContextual"/>
        </w:rPr>
        <w:t>i</w:t>
      </w:r>
      <w:r w:rsidR="002B2C5F" w:rsidRPr="00261C59">
        <w:rPr>
          <w:rFonts w:ascii="Calibri" w:eastAsia="Calibri" w:hAnsi="Calibri" w:cs="Mangal"/>
          <w:kern w:val="2"/>
          <w:sz w:val="24"/>
          <w:szCs w:val="24"/>
          <w:lang w:eastAsia="en-US"/>
          <w14:ligatures w14:val="standardContextual"/>
        </w:rPr>
        <w:t xml:space="preserve">n the first instance, </w:t>
      </w:r>
      <w:r w:rsidR="002B2C5F" w:rsidRPr="00261C59">
        <w:rPr>
          <w:rFonts w:ascii="Calibri" w:eastAsia="Calibri" w:hAnsi="Calibri" w:cs="Mangal"/>
          <w:sz w:val="24"/>
          <w:szCs w:val="24"/>
          <w:lang w:eastAsia="en-US"/>
        </w:rPr>
        <w:t xml:space="preserve">local stakeholders (as identified at clause </w:t>
      </w:r>
      <w:r w:rsidR="002B2C5F" w:rsidRPr="00261C59">
        <w:rPr>
          <w:rFonts w:ascii="Calibri" w:eastAsia="Calibri" w:hAnsi="Calibri"/>
          <w:sz w:val="24"/>
        </w:rPr>
        <w:t>C25</w:t>
      </w:r>
      <w:r w:rsidR="002B2C5F" w:rsidRPr="00261C59">
        <w:rPr>
          <w:rFonts w:ascii="Calibri" w:eastAsia="Calibri" w:hAnsi="Calibri" w:cs="Mangal"/>
          <w:sz w:val="24"/>
          <w:szCs w:val="24"/>
          <w:lang w:eastAsia="en-US"/>
        </w:rPr>
        <w:t>) will work together to address the problem, minimise impacts on adjacent services, stabilise the service system(s) and re-establish sustainable services as soon as possible</w:t>
      </w:r>
      <w:r w:rsidR="002B2C5F" w:rsidRPr="00261C59">
        <w:rPr>
          <w:rFonts w:ascii="Calibri" w:eastAsia="Calibri" w:hAnsi="Calibri" w:cs="Mangal"/>
          <w:kern w:val="2"/>
          <w:sz w:val="24"/>
          <w:szCs w:val="24"/>
          <w:lang w:eastAsia="en-US"/>
          <w14:ligatures w14:val="standardContextual"/>
        </w:rPr>
        <w:t xml:space="preserve">. </w:t>
      </w:r>
      <w:r w:rsidR="002B2C5F" w:rsidRPr="00261C59" w:rsidDel="000A6C24">
        <w:rPr>
          <w:rFonts w:ascii="Calibri" w:eastAsia="Calibri" w:hAnsi="Calibri" w:cs="Mangal"/>
          <w:kern w:val="2"/>
          <w:sz w:val="24"/>
          <w:szCs w:val="24"/>
          <w:lang w:eastAsia="en-US"/>
          <w14:ligatures w14:val="standardContextual"/>
        </w:rPr>
        <w:t xml:space="preserve">Local </w:t>
      </w:r>
      <w:r w:rsidR="002B2C5F" w:rsidRPr="00261C59">
        <w:rPr>
          <w:rFonts w:ascii="Calibri" w:eastAsia="Calibri" w:hAnsi="Calibri" w:cs="Mangal"/>
          <w:kern w:val="2"/>
          <w:sz w:val="24"/>
          <w:szCs w:val="24"/>
          <w:lang w:eastAsia="en-US"/>
          <w14:ligatures w14:val="standardContextual"/>
        </w:rPr>
        <w:t>stakeholders</w:t>
      </w:r>
      <w:r w:rsidR="002B2C5F" w:rsidRPr="00261C59" w:rsidDel="000A6C24">
        <w:rPr>
          <w:rFonts w:ascii="Calibri" w:eastAsia="Calibri" w:hAnsi="Calibri" w:cs="Mangal"/>
          <w:kern w:val="2"/>
          <w:sz w:val="24"/>
          <w:szCs w:val="24"/>
          <w:lang w:eastAsia="en-US"/>
          <w14:ligatures w14:val="standardContextual"/>
        </w:rPr>
        <w:t xml:space="preserve"> will be supported by State and Commonwealth level leadership in line with the roles and responsibilities of the Parties</w:t>
      </w:r>
      <w:r w:rsidR="002B2C5F" w:rsidRPr="00261C59" w:rsidDel="000A6C24">
        <w:rPr>
          <w:rFonts w:ascii="Calibri" w:eastAsia="Calibri" w:hAnsi="Calibri" w:cs="Mangal"/>
          <w:sz w:val="24"/>
          <w:szCs w:val="24"/>
          <w:lang w:eastAsia="en-US"/>
        </w:rPr>
        <w:t xml:space="preserve"> and local level governance outlined in Schedule E.</w:t>
      </w:r>
      <w:r w:rsidR="002B2C5F" w:rsidRPr="00261C59" w:rsidDel="000A6C24">
        <w:rPr>
          <w:rFonts w:ascii="Calibri" w:eastAsia="Calibri" w:hAnsi="Calibri" w:cs="Mangal"/>
          <w:kern w:val="2"/>
          <w:sz w:val="24"/>
          <w:szCs w:val="24"/>
          <w:lang w:eastAsia="en-US"/>
          <w14:ligatures w14:val="standardContextual"/>
        </w:rPr>
        <w:t xml:space="preserve"> </w:t>
      </w:r>
      <w:r w:rsidR="002B2C5F" w:rsidRPr="00261C59">
        <w:rPr>
          <w:rFonts w:ascii="Calibri" w:eastAsia="Calibri" w:hAnsi="Calibri" w:cs="Mangal"/>
          <w:kern w:val="2"/>
          <w:sz w:val="24"/>
          <w:szCs w:val="24"/>
          <w:lang w:eastAsia="en-US"/>
          <w14:ligatures w14:val="standardContextual"/>
        </w:rPr>
        <w:t xml:space="preserve">Before escalating further, </w:t>
      </w:r>
      <w:r w:rsidR="002B2C5F" w:rsidRPr="00261C59">
        <w:rPr>
          <w:rFonts w:ascii="Calibri" w:eastAsia="Calibri" w:hAnsi="Calibri" w:cs="Mangal"/>
          <w:sz w:val="24"/>
          <w:szCs w:val="24"/>
          <w:lang w:eastAsia="en-US"/>
        </w:rPr>
        <w:t>all Parties commit to documenting all mechanisms trialled to address market issues at the local level, including assessing their effectiveness</w:t>
      </w:r>
    </w:p>
    <w:p w14:paraId="1260FF2A" w14:textId="4A4C87FB" w:rsidR="006E0759" w:rsidRPr="00261C59" w:rsidRDefault="00501D33" w:rsidP="00F64C52">
      <w:pPr>
        <w:keepLines/>
        <w:widowControl/>
        <w:numPr>
          <w:ilvl w:val="1"/>
          <w:numId w:val="128"/>
        </w:numPr>
        <w:adjustRightInd/>
        <w:spacing w:after="240" w:line="260" w:lineRule="exact"/>
        <w:jc w:val="left"/>
        <w:textAlignment w:val="auto"/>
        <w:rPr>
          <w:rFonts w:ascii="Calibri" w:eastAsia="Calibri" w:hAnsi="Calibri" w:cs="Mangal"/>
          <w:sz w:val="24"/>
          <w:szCs w:val="24"/>
          <w:lang w:eastAsia="en-US"/>
        </w:rPr>
      </w:pPr>
      <w:r>
        <w:rPr>
          <w:rFonts w:ascii="Calibri" w:eastAsia="Calibri" w:hAnsi="Calibri" w:cs="Mangal"/>
          <w:kern w:val="2"/>
          <w:sz w:val="24"/>
          <w:szCs w:val="24"/>
          <w:lang w:eastAsia="en-US"/>
          <w14:ligatures w14:val="standardContextual"/>
        </w:rPr>
        <w:t>w</w:t>
      </w:r>
      <w:r w:rsidR="002B2C5F" w:rsidRPr="00261C59">
        <w:rPr>
          <w:rFonts w:ascii="Calibri" w:eastAsia="Calibri" w:hAnsi="Calibri" w:cs="Mangal"/>
          <w:kern w:val="2"/>
          <w:sz w:val="24"/>
          <w:szCs w:val="24"/>
          <w:lang w:eastAsia="en-US"/>
          <w14:ligatures w14:val="standardContextual"/>
        </w:rPr>
        <w:t xml:space="preserve">here the local </w:t>
      </w:r>
      <w:r w:rsidR="002B2C5F" w:rsidRPr="00261C59">
        <w:rPr>
          <w:rFonts w:ascii="Calibri" w:eastAsia="Calibri" w:hAnsi="Calibri" w:cs="Mangal"/>
          <w:sz w:val="24"/>
          <w:szCs w:val="24"/>
          <w:lang w:eastAsia="en-US"/>
        </w:rPr>
        <w:t>market response</w:t>
      </w:r>
      <w:r w:rsidR="006E0759" w:rsidRPr="00261C59">
        <w:rPr>
          <w:rFonts w:ascii="Calibri" w:eastAsia="Calibri" w:hAnsi="Calibri" w:cs="Mangal"/>
          <w:sz w:val="24"/>
          <w:szCs w:val="24"/>
          <w:lang w:eastAsia="en-US"/>
        </w:rPr>
        <w:t xml:space="preserve"> is ineffective, this will be escalated to the relevant system manager or</w:t>
      </w:r>
      <w:r w:rsidR="00384609" w:rsidRPr="00261C59">
        <w:rPr>
          <w:rFonts w:ascii="Calibri" w:eastAsia="Calibri" w:hAnsi="Calibri" w:cs="Mangal"/>
          <w:sz w:val="24"/>
          <w:szCs w:val="24"/>
          <w:lang w:eastAsia="en-US"/>
        </w:rPr>
        <w:t xml:space="preserve"> </w:t>
      </w:r>
      <w:r w:rsidR="5ABE9370" w:rsidRPr="00261C59">
        <w:rPr>
          <w:rFonts w:ascii="Calibri" w:eastAsia="Calibri" w:hAnsi="Calibri" w:cs="Mangal"/>
          <w:sz w:val="24"/>
          <w:szCs w:val="24"/>
          <w:lang w:eastAsia="en-US"/>
        </w:rPr>
        <w:t>system</w:t>
      </w:r>
      <w:r w:rsidR="00384609" w:rsidRPr="00261C59">
        <w:rPr>
          <w:rFonts w:ascii="Calibri" w:eastAsia="Calibri" w:hAnsi="Calibri" w:cs="Mangal"/>
          <w:sz w:val="24"/>
          <w:szCs w:val="24"/>
          <w:lang w:eastAsia="en-US"/>
        </w:rPr>
        <w:t xml:space="preserve"> </w:t>
      </w:r>
      <w:r w:rsidR="006E0759" w:rsidRPr="00261C59">
        <w:rPr>
          <w:rFonts w:ascii="Calibri" w:eastAsia="Calibri" w:hAnsi="Calibri" w:cs="Mangal"/>
          <w:sz w:val="24"/>
          <w:szCs w:val="24"/>
          <w:lang w:eastAsia="en-US"/>
        </w:rPr>
        <w:t xml:space="preserve">steward, for example, the relevant </w:t>
      </w:r>
      <w:r w:rsidR="002B2C5F" w:rsidRPr="00261C59">
        <w:rPr>
          <w:rFonts w:ascii="Calibri" w:eastAsia="Calibri" w:hAnsi="Calibri" w:cs="Mangal"/>
          <w:sz w:val="24"/>
          <w:szCs w:val="24"/>
          <w:lang w:eastAsia="en-US"/>
        </w:rPr>
        <w:t>health, aged care or disability services officials.</w:t>
      </w:r>
      <w:r w:rsidR="006E0759" w:rsidRPr="00261C59" w:rsidDel="05349477">
        <w:rPr>
          <w:rFonts w:ascii="Calibri" w:eastAsia="Calibri" w:hAnsi="Calibri" w:cs="Mangal"/>
          <w:sz w:val="24"/>
          <w:szCs w:val="24"/>
          <w:lang w:eastAsia="en-US"/>
        </w:rPr>
        <w:t xml:space="preserve"> </w:t>
      </w:r>
      <w:r w:rsidR="006E0759" w:rsidRPr="00261C59">
        <w:rPr>
          <w:rFonts w:ascii="Calibri" w:eastAsia="Calibri" w:hAnsi="Calibri" w:cs="Mangal"/>
          <w:sz w:val="24"/>
          <w:szCs w:val="24"/>
          <w:lang w:eastAsia="en-US"/>
        </w:rPr>
        <w:t xml:space="preserve">This process will be the mechanism used for determining whether any further existing </w:t>
      </w:r>
      <w:r w:rsidR="00AD35A0" w:rsidRPr="00261C59">
        <w:rPr>
          <w:rFonts w:ascii="Calibri" w:eastAsia="Calibri" w:hAnsi="Calibri" w:cs="Mangal"/>
          <w:sz w:val="24"/>
          <w:szCs w:val="24"/>
          <w:lang w:eastAsia="en-US"/>
        </w:rPr>
        <w:t xml:space="preserve">or proposed </w:t>
      </w:r>
      <w:r w:rsidR="006E0759" w:rsidRPr="00261C59">
        <w:rPr>
          <w:rFonts w:ascii="Calibri" w:eastAsia="Calibri" w:hAnsi="Calibri" w:cs="Mangal"/>
          <w:sz w:val="24"/>
          <w:szCs w:val="24"/>
          <w:lang w:eastAsia="en-US"/>
        </w:rPr>
        <w:t>policy, program or funding options could be deployed to assist the local area</w:t>
      </w:r>
    </w:p>
    <w:p w14:paraId="2E29AE79" w14:textId="77A9DB3C" w:rsidR="006E0759" w:rsidRPr="00261C59" w:rsidRDefault="00501D33" w:rsidP="004728D9">
      <w:pPr>
        <w:widowControl/>
        <w:numPr>
          <w:ilvl w:val="1"/>
          <w:numId w:val="128"/>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Pr>
          <w:rFonts w:ascii="Calibri" w:eastAsia="Calibri" w:hAnsi="Calibri" w:cs="Mangal"/>
          <w:sz w:val="24"/>
          <w:szCs w:val="24"/>
          <w:lang w:eastAsia="en-US"/>
        </w:rPr>
        <w:t>w</w:t>
      </w:r>
      <w:r w:rsidR="006E0759" w:rsidRPr="00261C59">
        <w:rPr>
          <w:rFonts w:ascii="Calibri" w:eastAsia="Calibri" w:hAnsi="Calibri" w:cs="Mangal"/>
          <w:sz w:val="24"/>
          <w:szCs w:val="24"/>
          <w:lang w:eastAsia="en-US"/>
        </w:rPr>
        <w:t xml:space="preserve">here system manager </w:t>
      </w:r>
      <w:r w:rsidR="219DE48D" w:rsidRPr="00261C59">
        <w:rPr>
          <w:rFonts w:ascii="Calibri" w:eastAsia="Calibri" w:hAnsi="Calibri" w:cs="Mangal"/>
          <w:sz w:val="24"/>
          <w:szCs w:val="24"/>
          <w:lang w:eastAsia="en-US"/>
        </w:rPr>
        <w:t>or system steward</w:t>
      </w:r>
      <w:r w:rsidR="006E0759" w:rsidRPr="00261C59">
        <w:rPr>
          <w:rFonts w:ascii="Calibri" w:eastAsia="Calibri" w:hAnsi="Calibri" w:cs="Mangal"/>
          <w:sz w:val="24"/>
          <w:szCs w:val="24"/>
          <w:lang w:eastAsia="en-US"/>
        </w:rPr>
        <w:t xml:space="preserve"> intervention remains unsuccessful, </w:t>
      </w:r>
      <w:r w:rsidR="006E0759" w:rsidRPr="00261C59">
        <w:rPr>
          <w:rFonts w:ascii="Calibri" w:eastAsia="Calibri" w:hAnsi="Calibri" w:cs="Mangal"/>
          <w:kern w:val="2"/>
          <w:sz w:val="24"/>
          <w:szCs w:val="24"/>
          <w:lang w:eastAsia="en-US"/>
          <w14:ligatures w14:val="standardContextual"/>
        </w:rPr>
        <w:t>Parties will</w:t>
      </w:r>
      <w:r w:rsidR="006E0759" w:rsidRPr="00261C59">
        <w:rPr>
          <w:rFonts w:ascii="Calibri" w:eastAsia="Calibri" w:hAnsi="Calibri" w:cs="Mangal"/>
          <w:sz w:val="24"/>
          <w:szCs w:val="24"/>
          <w:lang w:eastAsia="en-US"/>
        </w:rPr>
        <w:t xml:space="preserve"> provide</w:t>
      </w:r>
      <w:r w:rsidR="006E0759" w:rsidRPr="00261C59">
        <w:rPr>
          <w:rFonts w:ascii="Calibri" w:eastAsia="Calibri" w:hAnsi="Calibri" w:cs="Mangal"/>
          <w:kern w:val="2"/>
          <w:sz w:val="24"/>
          <w:szCs w:val="24"/>
          <w:lang w:eastAsia="en-US"/>
          <w14:ligatures w14:val="standardContextual"/>
        </w:rPr>
        <w:t xml:space="preserve"> reports to HCEF or delegated group for</w:t>
      </w:r>
      <w:r w:rsidR="006E0759" w:rsidRPr="00261C59">
        <w:rPr>
          <w:rFonts w:ascii="Calibri" w:eastAsia="Calibri" w:hAnsi="Calibri" w:cs="Mangal"/>
          <w:sz w:val="24"/>
          <w:szCs w:val="24"/>
          <w:lang w:eastAsia="en-US"/>
        </w:rPr>
        <w:t xml:space="preserve"> </w:t>
      </w:r>
      <w:r w:rsidR="006E0759" w:rsidRPr="00261C59">
        <w:rPr>
          <w:rFonts w:ascii="Calibri" w:eastAsia="Calibri" w:hAnsi="Calibri" w:cs="Mangal"/>
          <w:kern w:val="2"/>
          <w:sz w:val="24"/>
          <w:szCs w:val="24"/>
          <w:lang w:eastAsia="en-US"/>
          <w14:ligatures w14:val="standardContextual"/>
        </w:rPr>
        <w:t xml:space="preserve">further consideration and action. If there is an impact on the NDIS or broader disability service system, Parties will concurrently report to senior officials responsible for disability policy. </w:t>
      </w:r>
      <w:r w:rsidR="006E0759" w:rsidRPr="00261C59">
        <w:rPr>
          <w:rFonts w:ascii="Calibri" w:eastAsia="Calibri" w:hAnsi="Calibri" w:cs="Mangal"/>
          <w:sz w:val="24"/>
          <w:szCs w:val="24"/>
          <w:lang w:eastAsia="en-US"/>
        </w:rPr>
        <w:t>If there are similar market issues across multiple service areas or multiple jurisdictions, the Commonwealth will facilitate meetings with officials from all relevant portfolios and jurisdictions to consider the issues and potential solutions.</w:t>
      </w:r>
    </w:p>
    <w:p w14:paraId="101724FD" w14:textId="77777777" w:rsidR="006E0759" w:rsidRPr="00261C59" w:rsidRDefault="006E0759" w:rsidP="004728D9">
      <w:pPr>
        <w:widowControl/>
        <w:numPr>
          <w:ilvl w:val="0"/>
          <w:numId w:val="22"/>
        </w:numPr>
        <w:adjustRightInd/>
        <w:spacing w:after="240" w:line="260" w:lineRule="exact"/>
        <w:jc w:val="left"/>
        <w:textAlignment w:val="auto"/>
        <w:rPr>
          <w:rFonts w:ascii="Calibri" w:eastAsia="Calibri" w:hAnsi="Calibri" w:cs="Mangal"/>
          <w:sz w:val="24"/>
          <w:szCs w:val="24"/>
          <w:lang w:eastAsia="en-US"/>
        </w:rPr>
      </w:pPr>
      <w:r w:rsidRPr="00261C59">
        <w:rPr>
          <w:rFonts w:ascii="Calibri" w:eastAsia="Calibri" w:hAnsi="Calibri" w:cs="Mangal"/>
          <w:sz w:val="24"/>
          <w:szCs w:val="24"/>
          <w:lang w:eastAsia="en-US"/>
        </w:rPr>
        <w:t>HCEF will report to HMM on systemic issues and resolution strategies and seek endorsement for any action that requires Ministerial approval. Further:</w:t>
      </w:r>
    </w:p>
    <w:p w14:paraId="62F2A6E5" w14:textId="75097355" w:rsidR="006E0759" w:rsidRPr="00261C59" w:rsidRDefault="006E0759" w:rsidP="004728D9">
      <w:pPr>
        <w:widowControl/>
        <w:numPr>
          <w:ilvl w:val="1"/>
          <w:numId w:val="129"/>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the Intergovernmental Health and Aged Care Senior Officials Group, with escalation pathways to Aged Care Ministers will be included in any decisions relating to aged care systems</w:t>
      </w:r>
    </w:p>
    <w:p w14:paraId="11F986BF" w14:textId="069A8B34" w:rsidR="006E0759" w:rsidRPr="00261C59" w:rsidRDefault="006E0759" w:rsidP="004728D9">
      <w:pPr>
        <w:widowControl/>
        <w:numPr>
          <w:ilvl w:val="1"/>
          <w:numId w:val="129"/>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HCEF and the Disability Deputy Department Heads (DDH) will monitor interface issues that may arise between the health system and disability service systems  </w:t>
      </w:r>
    </w:p>
    <w:p w14:paraId="2CB301EA" w14:textId="71DAFF29" w:rsidR="006E0759" w:rsidRPr="00261C59" w:rsidRDefault="006E0759" w:rsidP="004728D9">
      <w:pPr>
        <w:widowControl/>
        <w:numPr>
          <w:ilvl w:val="1"/>
          <w:numId w:val="129"/>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HCEF and the </w:t>
      </w:r>
      <w:r w:rsidRPr="00261C59">
        <w:rPr>
          <w:rFonts w:ascii="Calibri" w:eastAsia="Calibri" w:hAnsi="Calibri" w:cs="Mangal"/>
          <w:sz w:val="24"/>
          <w:szCs w:val="24"/>
          <w:lang w:eastAsia="en-US"/>
        </w:rPr>
        <w:t xml:space="preserve">Intergovernmental Health and </w:t>
      </w:r>
      <w:r w:rsidRPr="00261C59">
        <w:rPr>
          <w:rFonts w:ascii="Calibri" w:eastAsia="Calibri" w:hAnsi="Calibri" w:cs="Mangal"/>
          <w:kern w:val="2"/>
          <w:sz w:val="24"/>
          <w:szCs w:val="24"/>
          <w:lang w:eastAsia="en-US"/>
          <w14:ligatures w14:val="standardContextual"/>
        </w:rPr>
        <w:t xml:space="preserve">Aged Care Senior Officials Group </w:t>
      </w:r>
      <w:r w:rsidRPr="00261C59">
        <w:rPr>
          <w:rFonts w:ascii="Calibri" w:eastAsia="Calibri" w:hAnsi="Calibri" w:cs="Mangal"/>
          <w:sz w:val="24"/>
          <w:szCs w:val="24"/>
          <w:lang w:eastAsia="en-US"/>
        </w:rPr>
        <w:t xml:space="preserve">(or similar aged care delegate group) </w:t>
      </w:r>
      <w:r w:rsidRPr="00261C59">
        <w:rPr>
          <w:rFonts w:ascii="Calibri" w:eastAsia="Calibri" w:hAnsi="Calibri" w:cs="Mangal"/>
          <w:kern w:val="2"/>
          <w:sz w:val="24"/>
          <w:szCs w:val="24"/>
          <w:lang w:eastAsia="en-US"/>
          <w14:ligatures w14:val="standardContextual"/>
        </w:rPr>
        <w:t xml:space="preserve">can raise an issue to be resolved with outcomes or recommendations to be provided to the HMM, and Disability Deputy Department Heads (DDH) may escalate issues to Disability Reform Ministerial Council (DRMC) for resolution </w:t>
      </w:r>
    </w:p>
    <w:p w14:paraId="6A5D2E25" w14:textId="77777777" w:rsidR="006E0759" w:rsidRPr="00261C59" w:rsidRDefault="006E0759" w:rsidP="004728D9">
      <w:pPr>
        <w:widowControl/>
        <w:numPr>
          <w:ilvl w:val="1"/>
          <w:numId w:val="129"/>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Ministerial Councils may refer matters and make representations to each other on interface issues. Where an issue relates to the provision of social or community housing, these parties may also provide recommendations to Housing Ministers via the appropriate forum. </w:t>
      </w:r>
    </w:p>
    <w:p w14:paraId="13C02DDE" w14:textId="37C92E62" w:rsidR="006E0759" w:rsidRPr="00261C59" w:rsidRDefault="006E0759" w:rsidP="004728D9">
      <w:pPr>
        <w:widowControl/>
        <w:numPr>
          <w:ilvl w:val="0"/>
          <w:numId w:val="22"/>
        </w:numPr>
        <w:adjustRightInd/>
        <w:spacing w:after="240" w:line="260" w:lineRule="exact"/>
        <w:jc w:val="left"/>
        <w:textAlignment w:val="auto"/>
        <w:rPr>
          <w:rFonts w:ascii="Calibri" w:eastAsia="Calibri" w:hAnsi="Calibri" w:cs="Mangal"/>
          <w:sz w:val="24"/>
          <w:szCs w:val="24"/>
          <w:lang w:eastAsia="en-US"/>
        </w:rPr>
      </w:pPr>
      <w:r w:rsidRPr="00261C59">
        <w:rPr>
          <w:rFonts w:ascii="Calibri" w:eastAsia="Calibri" w:hAnsi="Calibri" w:cs="Mangal"/>
          <w:sz w:val="24"/>
          <w:szCs w:val="24"/>
          <w:lang w:eastAsia="en-US"/>
        </w:rPr>
        <w:t>Any new Commonwealth funding to support actions below will remain subject to Australian Government decisions.</w:t>
      </w:r>
    </w:p>
    <w:p w14:paraId="4EAC4AC1" w14:textId="77777777" w:rsidR="006E0759" w:rsidRPr="00261C59" w:rsidRDefault="006E0759" w:rsidP="00B17D4B">
      <w:pPr>
        <w:spacing w:before="0" w:after="240" w:line="260" w:lineRule="exact"/>
        <w:jc w:val="left"/>
        <w:rPr>
          <w:rFonts w:ascii="Calibri" w:eastAsia="Calibri" w:hAnsi="Calibri" w:cs="Mangal"/>
          <w:kern w:val="2"/>
          <w:sz w:val="24"/>
          <w:szCs w:val="24"/>
          <w:lang w:eastAsia="en-US"/>
          <w14:ligatures w14:val="standardContextual"/>
        </w:rPr>
      </w:pPr>
      <w:r w:rsidRPr="00261C59">
        <w:rPr>
          <w:rFonts w:ascii="Corbel" w:hAnsi="Corbel"/>
          <w:color w:val="3D4B67"/>
          <w:sz w:val="28"/>
          <w:szCs w:val="28"/>
          <w:lang w:eastAsia="ja-JP"/>
        </w:rPr>
        <w:t>Mechanisms to support continuity of primary care services</w:t>
      </w:r>
    </w:p>
    <w:p w14:paraId="42BCB54A" w14:textId="77777777" w:rsidR="002B2C5F" w:rsidRPr="00261C59" w:rsidRDefault="002B2C5F" w:rsidP="004728D9">
      <w:pPr>
        <w:widowControl/>
        <w:numPr>
          <w:ilvl w:val="0"/>
          <w:numId w:val="22"/>
        </w:numPr>
        <w:adjustRightInd/>
        <w:spacing w:after="240" w:line="260" w:lineRule="exact"/>
        <w:jc w:val="left"/>
        <w:textAlignment w:val="auto"/>
        <w:rPr>
          <w:rFonts w:ascii="Calibri" w:eastAsia="Calibri" w:hAnsi="Calibri" w:cs="Mangal"/>
          <w:sz w:val="24"/>
          <w:szCs w:val="24"/>
          <w:lang w:eastAsia="en-US"/>
        </w:rPr>
      </w:pPr>
      <w:r w:rsidRPr="00261C59">
        <w:rPr>
          <w:rFonts w:ascii="Calibri" w:eastAsia="Calibri" w:hAnsi="Calibri" w:cs="Mangal"/>
          <w:sz w:val="24"/>
          <w:szCs w:val="24"/>
          <w:lang w:eastAsia="en-US"/>
        </w:rPr>
        <w:t>The Commonwealth, in consultation and collaboration with states and other key stakeholders, will ensure appropriate enablers and incentives are in place for the primary care system to work effectively. The Commonwealth will remain committed to Strengthening Medicare measures, and other commitments, to support all Australians to access services when and where they need them. The principles guiding primary care investments will include supporting continuity of healthcare in the community, prioritising early intervention and the prevention of avoidable hospitalisations.</w:t>
      </w:r>
    </w:p>
    <w:p w14:paraId="5C83B64B" w14:textId="63AD60D6" w:rsidR="002B2C5F" w:rsidRPr="00261C59" w:rsidRDefault="002B2C5F" w:rsidP="004728D9">
      <w:pPr>
        <w:widowControl/>
        <w:numPr>
          <w:ilvl w:val="1"/>
          <w:numId w:val="130"/>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The Commonwealth will consider opportunities to reform primary care funding arrangements, as recommended in the Strengthening Medicare reviews, to support continuity of primary care services. This includes exploring new blended funding arrangements</w:t>
      </w:r>
      <w:r w:rsidR="00D44111" w:rsidRPr="00261C59">
        <w:rPr>
          <w:rFonts w:ascii="Calibri" w:eastAsia="Calibri" w:hAnsi="Calibri" w:cs="Mangal"/>
          <w:kern w:val="2"/>
          <w:sz w:val="24"/>
          <w:szCs w:val="24"/>
          <w:lang w:eastAsia="en-US"/>
          <w14:ligatures w14:val="standardContextual"/>
        </w:rPr>
        <w:t xml:space="preserve"> and arrangements to more effectively support primary care in rural and remote Australia</w:t>
      </w:r>
      <w:r w:rsidRPr="00261C59">
        <w:rPr>
          <w:rFonts w:ascii="Calibri" w:eastAsia="Calibri" w:hAnsi="Calibri" w:cs="Mangal"/>
          <w:kern w:val="2"/>
          <w:sz w:val="24"/>
          <w:szCs w:val="24"/>
          <w:lang w:eastAsia="en-US"/>
          <w14:ligatures w14:val="standardContextual"/>
        </w:rPr>
        <w:t>.</w:t>
      </w:r>
    </w:p>
    <w:p w14:paraId="43F52FFD" w14:textId="47D275A6" w:rsidR="002B2C5F" w:rsidRPr="00261C59" w:rsidRDefault="002B2C5F" w:rsidP="004728D9">
      <w:pPr>
        <w:widowControl/>
        <w:numPr>
          <w:ilvl w:val="0"/>
          <w:numId w:val="22"/>
        </w:numPr>
        <w:adjustRightInd/>
        <w:spacing w:after="240" w:line="260" w:lineRule="exact"/>
        <w:jc w:val="left"/>
        <w:textAlignment w:val="auto"/>
        <w:rPr>
          <w:rFonts w:ascii="Calibri" w:eastAsia="Calibri" w:hAnsi="Calibri" w:cs="Mangal"/>
          <w:sz w:val="24"/>
          <w:szCs w:val="24"/>
          <w:lang w:eastAsia="en-US"/>
        </w:rPr>
      </w:pPr>
      <w:r w:rsidRPr="00261C59">
        <w:rPr>
          <w:rFonts w:ascii="Calibri" w:eastAsia="Calibri" w:hAnsi="Calibri" w:cs="Mangal"/>
          <w:sz w:val="24"/>
          <w:szCs w:val="24"/>
          <w:lang w:eastAsia="en-US"/>
        </w:rPr>
        <w:t xml:space="preserve">In areas where continuity of primary care services </w:t>
      </w:r>
      <w:r w:rsidR="00A72D7E" w:rsidRPr="00261C59">
        <w:rPr>
          <w:rFonts w:ascii="Calibri" w:eastAsia="Calibri" w:hAnsi="Calibri" w:cs="Mangal"/>
          <w:sz w:val="24"/>
          <w:szCs w:val="24"/>
          <w:lang w:eastAsia="en-US"/>
        </w:rPr>
        <w:t>is</w:t>
      </w:r>
      <w:r w:rsidRPr="00261C59">
        <w:rPr>
          <w:rFonts w:ascii="Calibri" w:eastAsia="Calibri" w:hAnsi="Calibri" w:cs="Mangal"/>
          <w:sz w:val="24"/>
          <w:szCs w:val="24"/>
          <w:lang w:eastAsia="en-US"/>
        </w:rPr>
        <w:t xml:space="preserve"> at risk, as per clauses C26(a) and (b), the Commonwealth will lead actions, </w:t>
      </w:r>
      <w:r w:rsidR="00575277" w:rsidRPr="00261C59">
        <w:rPr>
          <w:rFonts w:ascii="Calibri" w:eastAsia="Calibri" w:hAnsi="Calibri" w:cs="Mangal"/>
          <w:sz w:val="24"/>
          <w:szCs w:val="24"/>
          <w:lang w:eastAsia="en-US"/>
        </w:rPr>
        <w:t>through PHN</w:t>
      </w:r>
      <w:r w:rsidR="00F84BDA" w:rsidRPr="00261C59">
        <w:rPr>
          <w:rFonts w:ascii="Calibri" w:eastAsia="Calibri" w:hAnsi="Calibri" w:cs="Mangal"/>
          <w:sz w:val="24"/>
          <w:szCs w:val="24"/>
          <w:lang w:eastAsia="en-US"/>
        </w:rPr>
        <w:t>s</w:t>
      </w:r>
      <w:r w:rsidR="00575277" w:rsidRPr="00261C59">
        <w:rPr>
          <w:rFonts w:ascii="Calibri" w:eastAsia="Calibri" w:hAnsi="Calibri" w:cs="Mangal"/>
          <w:sz w:val="24"/>
          <w:szCs w:val="24"/>
          <w:lang w:eastAsia="en-US"/>
        </w:rPr>
        <w:t xml:space="preserve">, </w:t>
      </w:r>
      <w:r w:rsidRPr="00261C59">
        <w:rPr>
          <w:rFonts w:ascii="Calibri" w:eastAsia="Calibri" w:hAnsi="Calibri" w:cs="Mangal"/>
          <w:sz w:val="24"/>
          <w:szCs w:val="24"/>
          <w:lang w:eastAsia="en-US"/>
        </w:rPr>
        <w:t>in partnership with relevant local stakeholders (outlined in clause C25) which may encompass:</w:t>
      </w:r>
    </w:p>
    <w:p w14:paraId="2442E74A" w14:textId="797BCDB7" w:rsidR="00575277" w:rsidRPr="00261C59" w:rsidRDefault="00575277" w:rsidP="00830547">
      <w:pPr>
        <w:widowControl/>
        <w:numPr>
          <w:ilvl w:val="1"/>
          <w:numId w:val="131"/>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monitoring the local situation and, where necessary</w:t>
      </w:r>
      <w:r w:rsidR="00DF3555" w:rsidRPr="00261C59">
        <w:rPr>
          <w:rFonts w:ascii="Calibri" w:eastAsia="Calibri" w:hAnsi="Calibri" w:cs="Mangal"/>
          <w:kern w:val="2"/>
          <w:sz w:val="24"/>
          <w:szCs w:val="24"/>
          <w:lang w:eastAsia="en-US"/>
          <w14:ligatures w14:val="standardContextual"/>
        </w:rPr>
        <w:t>,</w:t>
      </w:r>
      <w:r w:rsidRPr="00261C59">
        <w:rPr>
          <w:rFonts w:ascii="Calibri" w:eastAsia="Calibri" w:hAnsi="Calibri" w:cs="Mangal"/>
          <w:kern w:val="2"/>
          <w:sz w:val="24"/>
          <w:szCs w:val="24"/>
          <w:lang w:eastAsia="en-US"/>
          <w14:ligatures w14:val="standardContextual"/>
        </w:rPr>
        <w:t xml:space="preserve"> capacity building for local organisation</w:t>
      </w:r>
      <w:r w:rsidR="003D6561" w:rsidRPr="00261C59">
        <w:rPr>
          <w:rFonts w:ascii="Calibri" w:eastAsia="Calibri" w:hAnsi="Calibri" w:cs="Mangal"/>
          <w:kern w:val="2"/>
          <w:sz w:val="24"/>
          <w:szCs w:val="24"/>
          <w:lang w:eastAsia="en-US"/>
          <w14:ligatures w14:val="standardContextual"/>
        </w:rPr>
        <w:t>s</w:t>
      </w:r>
      <w:r w:rsidRPr="00261C59">
        <w:rPr>
          <w:rFonts w:ascii="Calibri" w:eastAsia="Calibri" w:hAnsi="Calibri" w:cs="Mangal"/>
          <w:kern w:val="2"/>
          <w:sz w:val="24"/>
          <w:szCs w:val="24"/>
          <w:lang w:eastAsia="en-US"/>
          <w14:ligatures w14:val="standardContextual"/>
        </w:rPr>
        <w:t>, coordinating action of all relevant entities, and escalation according to agreed escalation pathways</w:t>
      </w:r>
    </w:p>
    <w:p w14:paraId="303EE776" w14:textId="1D8FCF35" w:rsidR="006E0759" w:rsidRPr="00261C59" w:rsidRDefault="006E0759" w:rsidP="004728D9">
      <w:pPr>
        <w:widowControl/>
        <w:numPr>
          <w:ilvl w:val="1"/>
          <w:numId w:val="131"/>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utilising/exploring capacity building for local organisations</w:t>
      </w:r>
    </w:p>
    <w:p w14:paraId="78425894" w14:textId="310CE31F" w:rsidR="002B2C5F" w:rsidRPr="00261C59" w:rsidRDefault="002B2C5F" w:rsidP="004728D9">
      <w:pPr>
        <w:widowControl/>
        <w:numPr>
          <w:ilvl w:val="1"/>
          <w:numId w:val="131"/>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addressing service delivery gaps within available resources</w:t>
      </w:r>
    </w:p>
    <w:p w14:paraId="244D273E" w14:textId="5671DEF2" w:rsidR="006E0759" w:rsidRPr="00261C59" w:rsidRDefault="00614F49" w:rsidP="004728D9">
      <w:pPr>
        <w:widowControl/>
        <w:numPr>
          <w:ilvl w:val="1"/>
          <w:numId w:val="131"/>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sz w:val="24"/>
          <w:szCs w:val="24"/>
          <w:lang w:eastAsia="en-US"/>
        </w:rPr>
        <w:t>collaborating on</w:t>
      </w:r>
      <w:r w:rsidRPr="00261C59">
        <w:rPr>
          <w:rFonts w:ascii="Calibri" w:eastAsia="Calibri" w:hAnsi="Calibri"/>
          <w:sz w:val="24"/>
        </w:rPr>
        <w:t xml:space="preserve"> </w:t>
      </w:r>
      <w:r w:rsidR="006E0759" w:rsidRPr="00261C59">
        <w:rPr>
          <w:rFonts w:ascii="Calibri" w:eastAsia="Calibri" w:hAnsi="Calibri" w:cs="Mangal"/>
          <w:kern w:val="2"/>
          <w:sz w:val="24"/>
          <w:szCs w:val="24"/>
          <w:lang w:eastAsia="en-US"/>
          <w14:ligatures w14:val="standardContextual"/>
        </w:rPr>
        <w:t>alternate primary care service delivery models, appropriate to the local community circumstances, informed by primary care access measures</w:t>
      </w:r>
    </w:p>
    <w:p w14:paraId="3EE74A91" w14:textId="6982DD14" w:rsidR="006E0759" w:rsidRPr="00261C59" w:rsidRDefault="006E0759" w:rsidP="004728D9">
      <w:pPr>
        <w:widowControl/>
        <w:numPr>
          <w:ilvl w:val="1"/>
          <w:numId w:val="131"/>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coordinating actions of all relevant entities</w:t>
      </w:r>
    </w:p>
    <w:p w14:paraId="4A247CBC" w14:textId="77777777" w:rsidR="006E0759" w:rsidRPr="00261C59" w:rsidRDefault="006E0759" w:rsidP="004728D9">
      <w:pPr>
        <w:widowControl/>
        <w:numPr>
          <w:ilvl w:val="1"/>
          <w:numId w:val="131"/>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escalating action to governments, where necessary. </w:t>
      </w:r>
    </w:p>
    <w:p w14:paraId="74D20CE3" w14:textId="77777777" w:rsidR="002B2C5F" w:rsidRPr="00261C59" w:rsidRDefault="002B2C5F" w:rsidP="004728D9">
      <w:pPr>
        <w:widowControl/>
        <w:numPr>
          <w:ilvl w:val="0"/>
          <w:numId w:val="22"/>
        </w:numPr>
        <w:adjustRightInd/>
        <w:spacing w:after="240" w:line="260" w:lineRule="exact"/>
        <w:jc w:val="left"/>
        <w:textAlignment w:val="auto"/>
        <w:rPr>
          <w:rFonts w:ascii="Calibri" w:eastAsia="Calibri" w:hAnsi="Calibri" w:cs="Mangal"/>
          <w:sz w:val="24"/>
          <w:szCs w:val="24"/>
          <w:lang w:eastAsia="en-US"/>
        </w:rPr>
      </w:pPr>
      <w:r w:rsidRPr="00261C59">
        <w:rPr>
          <w:rFonts w:ascii="Calibri" w:eastAsia="Calibri" w:hAnsi="Calibri" w:cs="Mangal"/>
          <w:sz w:val="24"/>
          <w:szCs w:val="24"/>
          <w:lang w:eastAsia="en-US"/>
        </w:rPr>
        <w:t xml:space="preserve">The Commonwealth may also enter into an agreement with a State (or non-government organisation or ACCHO), where the State may be an alternative provider or provider of last resort for primary care services typically delivered within a general practice or equivalent setting. This would include consideration of whether current exemptions apply under Section 19(2) of the </w:t>
      </w:r>
      <w:r w:rsidRPr="00261C59">
        <w:rPr>
          <w:rFonts w:ascii="Calibri" w:eastAsia="Calibri" w:hAnsi="Calibri" w:cs="Mangal"/>
          <w:i/>
          <w:iCs/>
          <w:sz w:val="24"/>
          <w:szCs w:val="24"/>
          <w:lang w:eastAsia="en-US"/>
        </w:rPr>
        <w:t>Health Insurance Act 1973</w:t>
      </w:r>
      <w:r w:rsidRPr="00261C59">
        <w:rPr>
          <w:rFonts w:ascii="Calibri" w:eastAsia="Calibri" w:hAnsi="Calibri" w:cs="Mangal"/>
          <w:sz w:val="24"/>
          <w:szCs w:val="24"/>
          <w:lang w:eastAsia="en-US"/>
        </w:rPr>
        <w:t xml:space="preserve">. </w:t>
      </w:r>
    </w:p>
    <w:p w14:paraId="39456371" w14:textId="77777777" w:rsidR="006E0759" w:rsidRPr="00261C59" w:rsidRDefault="006E0759" w:rsidP="004728D9">
      <w:pPr>
        <w:widowControl/>
        <w:numPr>
          <w:ilvl w:val="0"/>
          <w:numId w:val="22"/>
        </w:numPr>
        <w:adjustRightInd/>
        <w:spacing w:after="240" w:line="260" w:lineRule="exact"/>
        <w:jc w:val="left"/>
        <w:textAlignment w:val="auto"/>
        <w:rPr>
          <w:rFonts w:ascii="Calibri" w:eastAsia="Calibri" w:hAnsi="Calibri" w:cs="Mangal"/>
          <w:sz w:val="24"/>
          <w:szCs w:val="24"/>
          <w:lang w:eastAsia="en-US"/>
        </w:rPr>
      </w:pPr>
      <w:r w:rsidRPr="00261C59">
        <w:rPr>
          <w:rFonts w:ascii="Calibri" w:eastAsia="Calibri" w:hAnsi="Calibri" w:cs="Mangal"/>
          <w:sz w:val="24"/>
          <w:szCs w:val="24"/>
          <w:lang w:eastAsia="en-US"/>
        </w:rPr>
        <w:t xml:space="preserve">Before any agreement with a </w:t>
      </w:r>
      <w:r w:rsidR="002B2C5F" w:rsidRPr="00261C59">
        <w:rPr>
          <w:rFonts w:ascii="Calibri" w:eastAsia="Calibri" w:hAnsi="Calibri" w:cs="Mangal"/>
          <w:sz w:val="24"/>
          <w:szCs w:val="24"/>
          <w:lang w:eastAsia="en-US"/>
        </w:rPr>
        <w:t>State (or non-government organisation or ACCHO)</w:t>
      </w:r>
      <w:r w:rsidRPr="00261C59" w:rsidDel="42F3698B">
        <w:rPr>
          <w:rFonts w:ascii="Calibri" w:eastAsia="Calibri" w:hAnsi="Calibri" w:cs="Mangal"/>
          <w:sz w:val="24"/>
          <w:szCs w:val="24"/>
          <w:lang w:eastAsia="en-US"/>
        </w:rPr>
        <w:t xml:space="preserve"> </w:t>
      </w:r>
      <w:r w:rsidRPr="00261C59">
        <w:rPr>
          <w:rFonts w:ascii="Calibri" w:eastAsia="Calibri" w:hAnsi="Calibri" w:cs="Mangal"/>
          <w:sz w:val="24"/>
          <w:szCs w:val="24"/>
          <w:lang w:eastAsia="en-US"/>
        </w:rPr>
        <w:t xml:space="preserve">can be made for providing primary care services typically delivered within a general practice or equivalent, the Commonwealth will need to assess all available policy levers to ensure the agreement is comprehensive. The agreement may outline: </w:t>
      </w:r>
    </w:p>
    <w:p w14:paraId="3604AD02" w14:textId="5C682912" w:rsidR="006E0759" w:rsidRPr="00261C59" w:rsidRDefault="006E0759" w:rsidP="004728D9">
      <w:pPr>
        <w:widowControl/>
        <w:numPr>
          <w:ilvl w:val="1"/>
          <w:numId w:val="132"/>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kern w:val="2"/>
          <w:sz w:val="24"/>
          <w:szCs w:val="24"/>
          <w:lang w:eastAsia="en-US"/>
          <w14:ligatures w14:val="standardContextual"/>
        </w:rPr>
        <w:t>Short and medium-term actions</w:t>
      </w:r>
    </w:p>
    <w:p w14:paraId="6C6E0016" w14:textId="22FC8B75" w:rsidR="006E0759" w:rsidRPr="00261C59" w:rsidRDefault="006E0759" w:rsidP="004728D9">
      <w:pPr>
        <w:widowControl/>
        <w:numPr>
          <w:ilvl w:val="1"/>
          <w:numId w:val="132"/>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kern w:val="2"/>
          <w:sz w:val="24"/>
          <w:szCs w:val="24"/>
          <w:lang w:eastAsia="en-US"/>
          <w14:ligatures w14:val="standardContextual"/>
        </w:rPr>
        <w:t>Timeframes</w:t>
      </w:r>
    </w:p>
    <w:p w14:paraId="53064E71" w14:textId="4D7EBAE7" w:rsidR="006E0759" w:rsidRPr="00261C59" w:rsidRDefault="006E0759" w:rsidP="004728D9">
      <w:pPr>
        <w:widowControl/>
        <w:numPr>
          <w:ilvl w:val="1"/>
          <w:numId w:val="132"/>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kern w:val="2"/>
          <w:sz w:val="24"/>
          <w:szCs w:val="24"/>
          <w:lang w:eastAsia="en-US"/>
          <w14:ligatures w14:val="standardContextual"/>
        </w:rPr>
        <w:t>Performance/accountability mechanisms</w:t>
      </w:r>
    </w:p>
    <w:p w14:paraId="33FC2808" w14:textId="11D520FD" w:rsidR="006E0759" w:rsidRPr="00261C59" w:rsidRDefault="006E0759" w:rsidP="004728D9">
      <w:pPr>
        <w:widowControl/>
        <w:numPr>
          <w:ilvl w:val="1"/>
          <w:numId w:val="132"/>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kern w:val="2"/>
          <w:sz w:val="24"/>
          <w:szCs w:val="24"/>
          <w:lang w:eastAsia="en-US"/>
          <w14:ligatures w14:val="standardContextual"/>
        </w:rPr>
        <w:t>Compensation arrangements</w:t>
      </w:r>
    </w:p>
    <w:p w14:paraId="6B9892B8" w14:textId="385F410F" w:rsidR="006E0759" w:rsidRPr="00261C59" w:rsidRDefault="006E0759" w:rsidP="004728D9">
      <w:pPr>
        <w:widowControl/>
        <w:numPr>
          <w:ilvl w:val="1"/>
          <w:numId w:val="132"/>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kern w:val="2"/>
          <w:sz w:val="24"/>
          <w:szCs w:val="24"/>
          <w:lang w:eastAsia="en-US"/>
          <w14:ligatures w14:val="standardContextual"/>
        </w:rPr>
        <w:t>Longer-term market remediation strategies to be trialled and evaluated</w:t>
      </w:r>
    </w:p>
    <w:p w14:paraId="5741988D" w14:textId="394FAA4D" w:rsidR="006E0759" w:rsidRPr="00261C59" w:rsidRDefault="006E0759" w:rsidP="004728D9">
      <w:pPr>
        <w:widowControl/>
        <w:numPr>
          <w:ilvl w:val="1"/>
          <w:numId w:val="132"/>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sz w:val="24"/>
          <w:szCs w:val="24"/>
          <w:lang w:eastAsia="en-US"/>
        </w:rPr>
        <w:t xml:space="preserve">Addressing primary care needs of the community, including those living with a disability and older </w:t>
      </w:r>
      <w:r w:rsidR="002B2C5F" w:rsidRPr="00261C59">
        <w:rPr>
          <w:rFonts w:ascii="Calibri" w:eastAsia="Calibri" w:hAnsi="Calibri" w:cs="Calibri"/>
          <w:sz w:val="24"/>
          <w:szCs w:val="24"/>
          <w:lang w:eastAsia="en-US"/>
        </w:rPr>
        <w:t>people</w:t>
      </w:r>
    </w:p>
    <w:p w14:paraId="0A862EDF" w14:textId="77777777" w:rsidR="002B2C5F" w:rsidRPr="00261C59" w:rsidRDefault="002B2C5F" w:rsidP="004728D9">
      <w:pPr>
        <w:widowControl/>
        <w:numPr>
          <w:ilvl w:val="1"/>
          <w:numId w:val="132"/>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Calibri"/>
          <w:kern w:val="2"/>
          <w:sz w:val="24"/>
          <w:szCs w:val="24"/>
          <w:lang w:eastAsia="en-US"/>
          <w14:ligatures w14:val="standardContextual"/>
        </w:rPr>
        <w:t xml:space="preserve">Engagement with PHNs and local stakeholders. </w:t>
      </w:r>
    </w:p>
    <w:p w14:paraId="58C0C5BA" w14:textId="77777777" w:rsidR="006E0759" w:rsidRPr="00261C59" w:rsidRDefault="006E0759" w:rsidP="004728D9">
      <w:pPr>
        <w:keepLines/>
        <w:widowControl/>
        <w:numPr>
          <w:ilvl w:val="0"/>
          <w:numId w:val="22"/>
        </w:numPr>
        <w:spacing w:after="240" w:line="260" w:lineRule="exact"/>
        <w:jc w:val="left"/>
        <w:rPr>
          <w:rFonts w:ascii="Calibri" w:eastAsia="Calibri" w:hAnsi="Calibri" w:cs="Calibri"/>
          <w:sz w:val="24"/>
          <w:szCs w:val="24"/>
          <w:lang w:eastAsia="en-US"/>
        </w:rPr>
      </w:pPr>
      <w:r w:rsidRPr="00261C59">
        <w:rPr>
          <w:rFonts w:ascii="Calibri" w:eastAsia="Calibri" w:hAnsi="Calibri" w:cs="Calibri"/>
          <w:sz w:val="24"/>
          <w:szCs w:val="24"/>
          <w:lang w:eastAsia="en-US"/>
        </w:rPr>
        <w:t>Parties recognise that key considerations for stakeholders to determine the preferred provider will include community preferences for the appropriate mode of care, the appropriate provider (e.g., an ACCHO), and the availability, capacity and capability of providers to deliver some or all services.</w:t>
      </w:r>
    </w:p>
    <w:p w14:paraId="766E4A8E" w14:textId="77777777" w:rsidR="006E0759" w:rsidRPr="00261C59" w:rsidRDefault="006E0759" w:rsidP="004728D9">
      <w:pPr>
        <w:numPr>
          <w:ilvl w:val="0"/>
          <w:numId w:val="22"/>
        </w:numPr>
        <w:spacing w:after="240" w:line="260" w:lineRule="exact"/>
        <w:jc w:val="left"/>
        <w:rPr>
          <w:rFonts w:ascii="Calibri" w:eastAsia="Calibri" w:hAnsi="Calibri" w:cs="Calibri"/>
          <w:sz w:val="24"/>
          <w:szCs w:val="24"/>
          <w:lang w:eastAsia="en-US"/>
        </w:rPr>
      </w:pPr>
      <w:r w:rsidRPr="00261C59">
        <w:rPr>
          <w:rFonts w:ascii="Calibri" w:eastAsia="Calibri" w:hAnsi="Calibri" w:cs="Calibri"/>
          <w:sz w:val="24"/>
          <w:szCs w:val="24"/>
          <w:lang w:eastAsia="en-US"/>
        </w:rPr>
        <w:t xml:space="preserve">Parties recognise policy and funding frameworks that further the capability of ACCHOs are an important enabler to transition primary healthcare services to ACCHOs over time. </w:t>
      </w:r>
    </w:p>
    <w:p w14:paraId="002F2F90" w14:textId="77777777" w:rsidR="006E0759" w:rsidRPr="00261C59" w:rsidRDefault="006E0759" w:rsidP="00B17D4B">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552" w:name="_Toc173837447"/>
      <w:bookmarkStart w:id="553" w:name="_Toc201674008"/>
      <w:bookmarkStart w:id="554" w:name="_Toc210833645"/>
      <w:bookmarkStart w:id="555" w:name="_Toc214456545"/>
      <w:bookmarkStart w:id="556" w:name="_Toc221088025"/>
      <w:r w:rsidRPr="00261C59">
        <w:rPr>
          <w:rFonts w:ascii="Corbel" w:eastAsia="Times New Roman" w:hAnsi="Corbel"/>
          <w:b w:val="0"/>
          <w:bCs w:val="0"/>
          <w:iCs w:val="0"/>
          <w:color w:val="3D4B67"/>
          <w:sz w:val="28"/>
          <w:szCs w:val="48"/>
          <w:lang w:eastAsia="ja-JP"/>
        </w:rPr>
        <w:t>Mechanisms to support continuity of aged care services</w:t>
      </w:r>
      <w:bookmarkEnd w:id="552"/>
      <w:bookmarkEnd w:id="553"/>
      <w:bookmarkEnd w:id="554"/>
      <w:bookmarkEnd w:id="555"/>
      <w:bookmarkEnd w:id="556"/>
      <w:r w:rsidRPr="00261C59">
        <w:rPr>
          <w:rFonts w:ascii="Corbel" w:eastAsia="Times New Roman" w:hAnsi="Corbel"/>
          <w:b w:val="0"/>
          <w:bCs w:val="0"/>
          <w:iCs w:val="0"/>
          <w:color w:val="3D4B67"/>
          <w:sz w:val="28"/>
          <w:szCs w:val="48"/>
          <w:lang w:eastAsia="ja-JP"/>
        </w:rPr>
        <w:t xml:space="preserve"> </w:t>
      </w:r>
    </w:p>
    <w:p w14:paraId="2D405219" w14:textId="77777777" w:rsidR="006E0759" w:rsidRPr="00261C59" w:rsidRDefault="006E0759" w:rsidP="004728D9">
      <w:pPr>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The Commonwealth will ensure appropriate enablers and incentives are in place for the aged care system to work effectively. The Commonwealth will remain committed to ongoing improvements that allow eligible older </w:t>
      </w:r>
      <w:r w:rsidR="002B2C5F" w:rsidRPr="00261C59">
        <w:rPr>
          <w:rFonts w:ascii="Calibri" w:eastAsia="Calibri" w:hAnsi="Calibri" w:cs="Mangal"/>
          <w:kern w:val="2"/>
          <w:sz w:val="24"/>
          <w:szCs w:val="24"/>
          <w:lang w:eastAsia="en-US"/>
          <w14:ligatures w14:val="standardContextual"/>
        </w:rPr>
        <w:t>people to access services when and where they need them.</w:t>
      </w:r>
    </w:p>
    <w:p w14:paraId="179A5810" w14:textId="256B6C38" w:rsidR="006E0759" w:rsidRPr="00261C59" w:rsidRDefault="006E0759" w:rsidP="004728D9">
      <w:pPr>
        <w:widowControl/>
        <w:numPr>
          <w:ilvl w:val="0"/>
          <w:numId w:val="22"/>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sz w:val="24"/>
          <w:szCs w:val="24"/>
          <w:lang w:eastAsia="en-US"/>
        </w:rPr>
        <w:t>In areas where aged care markets are at risk, the Commonwealth will lead actions, in collaboration with LHNs/state and territory health departments</w:t>
      </w:r>
      <w:r w:rsidR="00A72D7E" w:rsidRPr="00261C59">
        <w:rPr>
          <w:rFonts w:ascii="Calibri" w:eastAsia="Calibri" w:hAnsi="Calibri" w:cs="Mangal"/>
          <w:sz w:val="24"/>
          <w:szCs w:val="24"/>
          <w:lang w:eastAsia="en-US"/>
        </w:rPr>
        <w:t xml:space="preserve"> where necessary</w:t>
      </w:r>
      <w:r w:rsidRPr="00261C59">
        <w:rPr>
          <w:rFonts w:ascii="Calibri" w:eastAsia="Calibri" w:hAnsi="Calibri" w:cs="Mangal"/>
          <w:sz w:val="24"/>
          <w:szCs w:val="24"/>
          <w:lang w:eastAsia="en-US"/>
        </w:rPr>
        <w:t xml:space="preserve">, to prevent service closure or restore care services, as appropriate. These actions </w:t>
      </w:r>
      <w:r w:rsidRPr="00261C59">
        <w:rPr>
          <w:rFonts w:ascii="Calibri" w:eastAsia="Calibri" w:hAnsi="Calibri" w:cs="Mangal"/>
          <w:kern w:val="2"/>
          <w:sz w:val="24"/>
          <w:szCs w:val="24"/>
          <w:lang w:eastAsia="en-US"/>
          <w14:ligatures w14:val="standardContextual"/>
        </w:rPr>
        <w:t>may encompass:</w:t>
      </w:r>
    </w:p>
    <w:p w14:paraId="17310A8C" w14:textId="40451B3F" w:rsidR="006E0759" w:rsidRPr="00261C59" w:rsidRDefault="006E0759" w:rsidP="004728D9">
      <w:pPr>
        <w:widowControl/>
        <w:numPr>
          <w:ilvl w:val="1"/>
          <w:numId w:val="133"/>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reviewing access to, and suitability of, transition care places, respite care and related models of care that aim to optimise care and reduce avoidable hospital stays and admissions</w:t>
      </w:r>
    </w:p>
    <w:p w14:paraId="4F6E6132" w14:textId="36332078" w:rsidR="006E0759" w:rsidRPr="00261C59" w:rsidRDefault="006E0759" w:rsidP="004728D9">
      <w:pPr>
        <w:widowControl/>
        <w:numPr>
          <w:ilvl w:val="1"/>
          <w:numId w:val="133"/>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investing in state-led, integrated, multidisciplinary outreach care models for older patients using funding streams outside the NHRA</w:t>
      </w:r>
    </w:p>
    <w:p w14:paraId="589387D1" w14:textId="62717A9A" w:rsidR="006E0759" w:rsidRPr="00261C59" w:rsidRDefault="006E0759" w:rsidP="004728D9">
      <w:pPr>
        <w:widowControl/>
        <w:numPr>
          <w:ilvl w:val="1"/>
          <w:numId w:val="133"/>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active management of older people placements, including establishing a system for tracking placement into aged care settings, and timely provision of hospital discharge summary</w:t>
      </w:r>
      <w:r w:rsidRPr="00261C59">
        <w:rPr>
          <w:rFonts w:ascii="Calibri" w:eastAsia="Calibri" w:hAnsi="Calibri" w:cs="Mangal"/>
          <w:sz w:val="24"/>
          <w:szCs w:val="24"/>
          <w:lang w:eastAsia="en-US"/>
        </w:rPr>
        <w:t xml:space="preserve"> and care requirements</w:t>
      </w:r>
      <w:r w:rsidRPr="00261C59">
        <w:rPr>
          <w:rFonts w:ascii="Calibri" w:eastAsia="Calibri" w:hAnsi="Calibri" w:cs="Mangal"/>
          <w:kern w:val="2"/>
          <w:sz w:val="24"/>
          <w:szCs w:val="24"/>
          <w:lang w:eastAsia="en-US"/>
          <w14:ligatures w14:val="standardContextual"/>
        </w:rPr>
        <w:t xml:space="preserve"> information to support safe transitions</w:t>
      </w:r>
      <w:r w:rsidRPr="00261C59">
        <w:rPr>
          <w:rFonts w:ascii="Calibri" w:eastAsia="Calibri" w:hAnsi="Calibri" w:cs="Mangal"/>
          <w:sz w:val="24"/>
          <w:szCs w:val="24"/>
          <w:lang w:eastAsia="en-US"/>
        </w:rPr>
        <w:t xml:space="preserve"> that avoid readmission</w:t>
      </w:r>
    </w:p>
    <w:p w14:paraId="2ECE2FCC" w14:textId="36794C13" w:rsidR="006E0759" w:rsidRPr="00261C59" w:rsidRDefault="006E0759" w:rsidP="004728D9">
      <w:pPr>
        <w:widowControl/>
        <w:numPr>
          <w:ilvl w:val="1"/>
          <w:numId w:val="133"/>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addressing discharge delays, especially for people with complex needs who also need aged care services, such as people with </w:t>
      </w:r>
      <w:r w:rsidRPr="00261C59">
        <w:rPr>
          <w:rFonts w:ascii="Calibri" w:eastAsia="Calibri" w:hAnsi="Calibri" w:cs="Calibri"/>
          <w:kern w:val="2"/>
          <w:sz w:val="24"/>
          <w:szCs w:val="24"/>
          <w:lang w:eastAsia="en-US"/>
          <w14:ligatures w14:val="standardContextual"/>
        </w:rPr>
        <w:t>bariatric support needs</w:t>
      </w:r>
      <w:r w:rsidRPr="00261C59" w:rsidDel="00B324F7">
        <w:rPr>
          <w:rFonts w:ascii="Calibri" w:eastAsia="Calibri" w:hAnsi="Calibri" w:cs="Calibri"/>
          <w:kern w:val="2"/>
          <w:sz w:val="24"/>
          <w:szCs w:val="24"/>
          <w:lang w:eastAsia="en-US"/>
          <w14:ligatures w14:val="standardContextual"/>
        </w:rPr>
        <w:t xml:space="preserve"> </w:t>
      </w:r>
      <w:r w:rsidRPr="00261C59">
        <w:rPr>
          <w:rFonts w:ascii="Calibri" w:eastAsia="Calibri" w:hAnsi="Calibri" w:cs="Calibri"/>
          <w:kern w:val="2"/>
          <w:sz w:val="24"/>
          <w:szCs w:val="24"/>
          <w:lang w:eastAsia="en-US"/>
          <w14:ligatures w14:val="standardContextual"/>
        </w:rPr>
        <w:t>or behavioural and psychological symptoms of dementia</w:t>
      </w:r>
    </w:p>
    <w:p w14:paraId="370C7AE7" w14:textId="66683E7B" w:rsidR="006E0759" w:rsidRPr="00261C59" w:rsidRDefault="006E0759" w:rsidP="004728D9">
      <w:pPr>
        <w:widowControl/>
        <w:numPr>
          <w:ilvl w:val="1"/>
          <w:numId w:val="133"/>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building </w:t>
      </w:r>
      <w:r w:rsidRPr="00261C59">
        <w:rPr>
          <w:rFonts w:ascii="Calibri" w:eastAsia="Calibri" w:hAnsi="Calibri" w:cs="Mangal"/>
          <w:sz w:val="24"/>
          <w:szCs w:val="24"/>
          <w:lang w:eastAsia="en-US"/>
        </w:rPr>
        <w:t xml:space="preserve">staff </w:t>
      </w:r>
      <w:r w:rsidRPr="00261C59">
        <w:rPr>
          <w:rFonts w:ascii="Calibri" w:eastAsia="Calibri" w:hAnsi="Calibri" w:cs="Mangal"/>
          <w:kern w:val="2"/>
          <w:sz w:val="24"/>
          <w:szCs w:val="24"/>
          <w:lang w:eastAsia="en-US"/>
          <w14:ligatures w14:val="standardContextual"/>
        </w:rPr>
        <w:t>capacity in aged care settings, other step down/supported accommodation and support services.</w:t>
      </w:r>
    </w:p>
    <w:p w14:paraId="74D3C8EE" w14:textId="4831DCC2" w:rsidR="006E0759" w:rsidRPr="00261C59" w:rsidRDefault="006E0759" w:rsidP="004728D9">
      <w:pPr>
        <w:widowControl/>
        <w:numPr>
          <w:ilvl w:val="1"/>
          <w:numId w:val="133"/>
        </w:numPr>
        <w:adjustRightInd/>
        <w:spacing w:after="240" w:line="260" w:lineRule="exact"/>
        <w:jc w:val="left"/>
        <w:textAlignment w:val="auto"/>
        <w:rPr>
          <w:rFonts w:ascii="Calibri" w:eastAsia="Calibri" w:hAnsi="Calibri" w:cs="Calibri"/>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local coordination of Commonwealth and state/territory services to address specific need and increase availability of service through collective action</w:t>
      </w:r>
      <w:r w:rsidRPr="00261C59">
        <w:rPr>
          <w:rFonts w:ascii="Calibri" w:eastAsia="Calibri" w:hAnsi="Calibri" w:cs="Mangal"/>
          <w:sz w:val="24"/>
          <w:szCs w:val="24"/>
          <w:lang w:eastAsia="en-US"/>
        </w:rPr>
        <w:t>, including engaging with local stakeholders</w:t>
      </w:r>
    </w:p>
    <w:p w14:paraId="7BD04A91" w14:textId="3BEEE3C8" w:rsidR="006E0759" w:rsidRPr="00261C59" w:rsidRDefault="006E0759" w:rsidP="004728D9">
      <w:pPr>
        <w:widowControl/>
        <w:numPr>
          <w:ilvl w:val="1"/>
          <w:numId w:val="133"/>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the Commonwealth entering into an </w:t>
      </w:r>
      <w:r w:rsidR="002B2C5F" w:rsidRPr="00261C59">
        <w:rPr>
          <w:rFonts w:ascii="Calibri" w:eastAsia="Calibri" w:hAnsi="Calibri" w:cs="Mangal"/>
          <w:kern w:val="2"/>
          <w:sz w:val="24"/>
          <w:szCs w:val="24"/>
          <w:lang w:eastAsia="en-US"/>
          <w14:ligatures w14:val="standardContextual"/>
        </w:rPr>
        <w:t xml:space="preserve">arrangement with </w:t>
      </w:r>
      <w:r w:rsidR="002B2C5F" w:rsidRPr="00261C59">
        <w:rPr>
          <w:rFonts w:ascii="Calibri" w:eastAsia="Calibri" w:hAnsi="Calibri" w:cs="Mangal"/>
          <w:sz w:val="24"/>
          <w:szCs w:val="24"/>
          <w:lang w:eastAsia="en-US"/>
        </w:rPr>
        <w:t xml:space="preserve">a </w:t>
      </w:r>
      <w:r w:rsidR="002B2C5F" w:rsidRPr="00261C59">
        <w:rPr>
          <w:rFonts w:ascii="Calibri" w:eastAsia="Calibri" w:hAnsi="Calibri" w:cs="Mangal"/>
          <w:kern w:val="2"/>
          <w:sz w:val="24"/>
          <w:szCs w:val="24"/>
          <w:lang w:eastAsia="en-US"/>
          <w14:ligatures w14:val="standardContextual"/>
        </w:rPr>
        <w:t>State</w:t>
      </w:r>
      <w:r w:rsidRPr="00261C59">
        <w:rPr>
          <w:rFonts w:ascii="Calibri" w:eastAsia="Calibri" w:hAnsi="Calibri" w:cs="Mangal"/>
          <w:kern w:val="2"/>
          <w:sz w:val="24"/>
          <w:szCs w:val="24"/>
          <w:lang w:eastAsia="en-US"/>
          <w14:ligatures w14:val="standardContextual"/>
        </w:rPr>
        <w:t>, where the State may be an alternat</w:t>
      </w:r>
      <w:r w:rsidRPr="00261C59">
        <w:rPr>
          <w:rFonts w:ascii="Calibri" w:eastAsia="Calibri" w:hAnsi="Calibri" w:cs="Mangal"/>
          <w:sz w:val="24"/>
          <w:szCs w:val="24"/>
          <w:lang w:eastAsia="en-US"/>
        </w:rPr>
        <w:t>iv</w:t>
      </w:r>
      <w:r w:rsidRPr="00261C59">
        <w:rPr>
          <w:rFonts w:ascii="Calibri" w:eastAsia="Calibri" w:hAnsi="Calibri" w:cs="Mangal"/>
          <w:kern w:val="2"/>
          <w:sz w:val="24"/>
          <w:szCs w:val="24"/>
          <w:lang w:eastAsia="en-US"/>
          <w14:ligatures w14:val="standardContextual"/>
        </w:rPr>
        <w:t xml:space="preserve">e provider or provider of last resort, acknowledging </w:t>
      </w:r>
      <w:r w:rsidRPr="00261C59">
        <w:rPr>
          <w:rFonts w:ascii="Calibri" w:eastAsia="Calibri" w:hAnsi="Calibri" w:cs="Calibri"/>
          <w:kern w:val="2"/>
          <w:sz w:val="24"/>
          <w:szCs w:val="24"/>
          <w:lang w:eastAsia="en-US"/>
          <w14:ligatures w14:val="standardContextual"/>
        </w:rPr>
        <w:t xml:space="preserve">that the Commonwealth has </w:t>
      </w:r>
      <w:r w:rsidRPr="00261C59">
        <w:rPr>
          <w:rFonts w:ascii="Calibri" w:eastAsia="Calibri" w:hAnsi="Calibri" w:cs="Calibri"/>
          <w:sz w:val="24"/>
          <w:szCs w:val="24"/>
          <w:lang w:eastAsia="en-US"/>
        </w:rPr>
        <w:t xml:space="preserve">existing separate </w:t>
      </w:r>
      <w:r w:rsidRPr="00261C59">
        <w:rPr>
          <w:rFonts w:ascii="Calibri" w:eastAsia="Calibri" w:hAnsi="Calibri" w:cs="Calibri"/>
          <w:kern w:val="2"/>
          <w:sz w:val="24"/>
          <w:szCs w:val="24"/>
          <w:lang w:eastAsia="en-US"/>
          <w14:ligatures w14:val="standardContextual"/>
        </w:rPr>
        <w:t>arrangements to fund States for the delivery of aged care</w:t>
      </w:r>
    </w:p>
    <w:p w14:paraId="00C9A37A" w14:textId="77777777" w:rsidR="006E0759" w:rsidRPr="00261C59" w:rsidRDefault="006E0759" w:rsidP="00B17D4B">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557" w:name="_Toc173837448"/>
      <w:bookmarkStart w:id="558" w:name="_Toc201674009"/>
      <w:bookmarkStart w:id="559" w:name="_Toc210833646"/>
      <w:bookmarkStart w:id="560" w:name="_Toc214456546"/>
      <w:bookmarkStart w:id="561" w:name="_Toc221088026"/>
      <w:r w:rsidRPr="00261C59">
        <w:rPr>
          <w:rFonts w:ascii="Corbel" w:eastAsia="Times New Roman" w:hAnsi="Corbel"/>
          <w:b w:val="0"/>
          <w:bCs w:val="0"/>
          <w:iCs w:val="0"/>
          <w:color w:val="3D4B67"/>
          <w:sz w:val="28"/>
          <w:szCs w:val="48"/>
          <w:lang w:eastAsia="ja-JP"/>
        </w:rPr>
        <w:t>Mechanisms to support continuity of disability services</w:t>
      </w:r>
      <w:bookmarkEnd w:id="557"/>
      <w:bookmarkEnd w:id="558"/>
      <w:bookmarkEnd w:id="559"/>
      <w:bookmarkEnd w:id="560"/>
      <w:bookmarkEnd w:id="561"/>
      <w:r w:rsidRPr="00261C59">
        <w:rPr>
          <w:rFonts w:ascii="Corbel" w:eastAsia="Times New Roman" w:hAnsi="Corbel"/>
          <w:b w:val="0"/>
          <w:bCs w:val="0"/>
          <w:iCs w:val="0"/>
          <w:color w:val="3D4B67"/>
          <w:sz w:val="28"/>
          <w:szCs w:val="48"/>
          <w:lang w:eastAsia="ja-JP"/>
        </w:rPr>
        <w:t xml:space="preserve"> </w:t>
      </w:r>
    </w:p>
    <w:p w14:paraId="52912A1B" w14:textId="5B8701B2" w:rsidR="006E0759" w:rsidRPr="00261C59" w:rsidRDefault="006E0759" w:rsidP="004728D9">
      <w:pPr>
        <w:widowControl/>
        <w:numPr>
          <w:ilvl w:val="0"/>
          <w:numId w:val="22"/>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sz w:val="24"/>
          <w:szCs w:val="24"/>
          <w:lang w:eastAsia="en-US"/>
        </w:rPr>
        <w:t xml:space="preserve">In areas where </w:t>
      </w:r>
      <w:r w:rsidR="00833794" w:rsidRPr="00261C59">
        <w:rPr>
          <w:rFonts w:ascii="Calibri" w:eastAsia="Calibri" w:hAnsi="Calibri" w:cs="Mangal"/>
          <w:sz w:val="24"/>
          <w:szCs w:val="24"/>
          <w:lang w:eastAsia="en-US"/>
        </w:rPr>
        <w:t xml:space="preserve">NDIS </w:t>
      </w:r>
      <w:r w:rsidRPr="00261C59">
        <w:rPr>
          <w:rFonts w:ascii="Calibri" w:eastAsia="Calibri" w:hAnsi="Calibri" w:cs="Mangal"/>
          <w:sz w:val="24"/>
          <w:szCs w:val="24"/>
          <w:lang w:eastAsia="en-US"/>
        </w:rPr>
        <w:t>service markets are at risk, actions may encompass:</w:t>
      </w:r>
    </w:p>
    <w:p w14:paraId="26091CC9" w14:textId="56A5394F" w:rsidR="006E0759" w:rsidRPr="00261C59" w:rsidRDefault="006E0759" w:rsidP="004728D9">
      <w:pPr>
        <w:widowControl/>
        <w:numPr>
          <w:ilvl w:val="1"/>
          <w:numId w:val="134"/>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identifying and addressing delays in accessing disability supports, including for specialist disability accommodation, supported independent living, and state and territory funded social and community housing, and timely provision of hospital discharge summary information to support safe transitions</w:t>
      </w:r>
    </w:p>
    <w:p w14:paraId="46A21B31" w14:textId="1B947ABF" w:rsidR="006E0759" w:rsidRPr="00261C59" w:rsidRDefault="006E0759" w:rsidP="004728D9">
      <w:pPr>
        <w:widowControl/>
        <w:numPr>
          <w:ilvl w:val="1"/>
          <w:numId w:val="134"/>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the Commonwealth committing to work with States and Territories through DDH and DRMC in response to market risk and market failure, engaging with ACCHOs and other stakeholders on a needs-based and place-based basis</w:t>
      </w:r>
    </w:p>
    <w:p w14:paraId="53FA0E47" w14:textId="2A35AC35" w:rsidR="006E0759" w:rsidRPr="00261C59" w:rsidRDefault="006E0759" w:rsidP="004728D9">
      <w:pPr>
        <w:widowControl/>
        <w:numPr>
          <w:ilvl w:val="1"/>
          <w:numId w:val="134"/>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the Commonwealth continuing to work with States and Territories on existing trials on commissioning measures to support or complement the operation of NDIS markets</w:t>
      </w:r>
    </w:p>
    <w:p w14:paraId="3B028DB7" w14:textId="77777777" w:rsidR="006E0759" w:rsidRPr="00261C59" w:rsidRDefault="006E0759" w:rsidP="004728D9">
      <w:pPr>
        <w:widowControl/>
        <w:numPr>
          <w:ilvl w:val="1"/>
          <w:numId w:val="134"/>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the Commonwealth or States entering into arrangements, from time to time, to establish an alternative provider or provider of last resort for people with disability, acknowledging and funding this service in specified local areas.</w:t>
      </w:r>
    </w:p>
    <w:p w14:paraId="6C0369BD" w14:textId="77777777" w:rsidR="006E0759" w:rsidRPr="00261C59" w:rsidRDefault="006E0759" w:rsidP="00B17D4B">
      <w:pPr>
        <w:pStyle w:val="Heading2"/>
        <w:widowControl/>
        <w:adjustRightInd/>
        <w:spacing w:before="180" w:after="120"/>
        <w:jc w:val="left"/>
        <w:textAlignment w:val="auto"/>
        <w:rPr>
          <w:rFonts w:ascii="Corbel" w:eastAsia="Times New Roman" w:hAnsi="Corbel" w:cs="Arial"/>
          <w:iCs/>
          <w:color w:val="3D4B67"/>
          <w:sz w:val="28"/>
          <w:szCs w:val="28"/>
        </w:rPr>
      </w:pPr>
      <w:bookmarkStart w:id="562" w:name="_Toc167456333"/>
      <w:bookmarkStart w:id="563" w:name="_Toc173837449"/>
      <w:bookmarkStart w:id="564" w:name="_Toc201674010"/>
      <w:bookmarkStart w:id="565" w:name="_Toc210833647"/>
      <w:bookmarkStart w:id="566" w:name="_Toc214456547"/>
      <w:bookmarkStart w:id="567" w:name="_Toc221088027"/>
      <w:r w:rsidRPr="00261C59">
        <w:rPr>
          <w:rFonts w:ascii="Corbel" w:eastAsia="Times New Roman" w:hAnsi="Corbel" w:cs="Arial"/>
          <w:iCs/>
          <w:color w:val="3D4B67"/>
          <w:sz w:val="28"/>
          <w:szCs w:val="28"/>
        </w:rPr>
        <w:t>Digital enablement of interface transitions</w:t>
      </w:r>
      <w:bookmarkEnd w:id="562"/>
      <w:bookmarkEnd w:id="563"/>
      <w:bookmarkEnd w:id="564"/>
      <w:bookmarkEnd w:id="565"/>
      <w:bookmarkEnd w:id="566"/>
      <w:bookmarkEnd w:id="567"/>
    </w:p>
    <w:p w14:paraId="59FC63B5" w14:textId="77777777" w:rsidR="006E0759" w:rsidRPr="00261C59" w:rsidRDefault="006E0759" w:rsidP="004728D9">
      <w:pPr>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Digitally enabled care supports timely access to patients’ health information and history so clinicians, patients, and their care teams can make more informed decisions at the point of care. </w:t>
      </w:r>
    </w:p>
    <w:p w14:paraId="4289EDE5" w14:textId="77777777" w:rsidR="006E0759" w:rsidRPr="00261C59" w:rsidRDefault="006E0759" w:rsidP="004728D9">
      <w:pPr>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The Parties commit to adopting key digital reforms to enable safe and timely information exchange across interfaces, including:</w:t>
      </w:r>
    </w:p>
    <w:p w14:paraId="40784D8C" w14:textId="40C18A36" w:rsidR="006E0759" w:rsidRPr="00261C59" w:rsidRDefault="006E0759" w:rsidP="004728D9">
      <w:pPr>
        <w:widowControl/>
        <w:numPr>
          <w:ilvl w:val="1"/>
          <w:numId w:val="135"/>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nationally consistent Healthcare Identifiers, which are necessary for near real-time information exchange about patients across care settings, such as between hospitals and aged or disability care (see clause </w:t>
      </w:r>
      <w:r w:rsidRPr="00261C59">
        <w:rPr>
          <w:rFonts w:ascii="Calibri" w:eastAsia="Calibri" w:hAnsi="Calibri"/>
          <w:kern w:val="2"/>
          <w:sz w:val="24"/>
          <w14:ligatures w14:val="standardContextual"/>
        </w:rPr>
        <w:t>H</w:t>
      </w:r>
      <w:r w:rsidR="00F92FD0" w:rsidRPr="00261C59">
        <w:rPr>
          <w:rFonts w:ascii="Calibri" w:eastAsia="Calibri" w:hAnsi="Calibri"/>
          <w:kern w:val="2"/>
          <w:sz w:val="24"/>
          <w14:ligatures w14:val="standardContextual"/>
        </w:rPr>
        <w:t>6</w:t>
      </w:r>
      <w:r w:rsidR="008953D5" w:rsidRPr="00261C59">
        <w:rPr>
          <w:rFonts w:ascii="Calibri" w:eastAsia="Calibri" w:hAnsi="Calibri"/>
          <w:kern w:val="2"/>
          <w:sz w:val="24"/>
          <w14:ligatures w14:val="standardContextual"/>
        </w:rPr>
        <w:t>6</w:t>
      </w:r>
      <w:r w:rsidRPr="00261C59">
        <w:rPr>
          <w:rFonts w:ascii="Calibri" w:eastAsia="Calibri" w:hAnsi="Calibri" w:cs="Mangal"/>
          <w:kern w:val="2"/>
          <w:sz w:val="24"/>
          <w:szCs w:val="24"/>
          <w:lang w:eastAsia="en-US"/>
          <w14:ligatures w14:val="standardContextual"/>
        </w:rPr>
        <w:t>). This underpins high quality connected care for all Australians</w:t>
      </w:r>
    </w:p>
    <w:p w14:paraId="6243C827" w14:textId="77777777" w:rsidR="006E0759" w:rsidRPr="00261C59" w:rsidRDefault="006E0759" w:rsidP="004728D9">
      <w:pPr>
        <w:widowControl/>
        <w:numPr>
          <w:ilvl w:val="1"/>
          <w:numId w:val="135"/>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enhance</w:t>
      </w:r>
      <w:r w:rsidRPr="00261C59">
        <w:rPr>
          <w:rFonts w:ascii="Calibri" w:eastAsia="Calibri" w:hAnsi="Calibri" w:cs="Mangal"/>
          <w:sz w:val="24"/>
          <w:szCs w:val="24"/>
          <w:lang w:eastAsia="en-US"/>
        </w:rPr>
        <w:t>d</w:t>
      </w:r>
      <w:r w:rsidRPr="00261C59">
        <w:rPr>
          <w:rFonts w:ascii="Calibri" w:eastAsia="Calibri" w:hAnsi="Calibri" w:cs="Mangal"/>
          <w:kern w:val="2"/>
          <w:sz w:val="24"/>
          <w:szCs w:val="24"/>
          <w:lang w:eastAsia="en-US"/>
          <w14:ligatures w14:val="standardContextual"/>
        </w:rPr>
        <w:t xml:space="preserve"> digital infrastructure, including national interoperability standards and capabilities, so that information transfer is less reliant on manual handling.  Additionally, investment in digitisation of information or automation of information capture will reduce the burden on staff.</w:t>
      </w:r>
    </w:p>
    <w:p w14:paraId="5D626745" w14:textId="77777777" w:rsidR="006E0759" w:rsidRPr="00261C59" w:rsidRDefault="006E0759" w:rsidP="004728D9">
      <w:pPr>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The delivery of digital priorities that support high quality connected care and transitions of care will be undertaken in line with principles and commitments in Schedule H. </w:t>
      </w:r>
    </w:p>
    <w:p w14:paraId="23209983" w14:textId="77777777" w:rsidR="006E0759" w:rsidRPr="00261C59" w:rsidRDefault="006E0759" w:rsidP="00540DD1">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568" w:name="_Toc173837450"/>
      <w:bookmarkStart w:id="569" w:name="_Toc201674011"/>
      <w:bookmarkStart w:id="570" w:name="_Toc210833648"/>
      <w:bookmarkStart w:id="571" w:name="_Toc214456548"/>
      <w:bookmarkStart w:id="572" w:name="_Toc221088028"/>
      <w:bookmarkStart w:id="573" w:name="_Toc167456334"/>
      <w:r w:rsidRPr="00261C59">
        <w:rPr>
          <w:rFonts w:ascii="Corbel" w:eastAsia="Times New Roman" w:hAnsi="Corbel"/>
          <w:b w:val="0"/>
          <w:bCs w:val="0"/>
          <w:iCs w:val="0"/>
          <w:color w:val="3D4B67"/>
          <w:sz w:val="28"/>
          <w:szCs w:val="48"/>
          <w:lang w:eastAsia="ja-JP"/>
        </w:rPr>
        <w:t>Mechanisms to support smooth client transitions</w:t>
      </w:r>
      <w:bookmarkEnd w:id="568"/>
      <w:bookmarkEnd w:id="569"/>
      <w:bookmarkEnd w:id="570"/>
      <w:bookmarkEnd w:id="571"/>
      <w:bookmarkEnd w:id="572"/>
    </w:p>
    <w:p w14:paraId="34ADE918" w14:textId="77777777" w:rsidR="006E0759" w:rsidRPr="00261C59" w:rsidRDefault="006E0759" w:rsidP="004728D9">
      <w:pPr>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The Parties recognise that information sharing to support people’s transitions between hospitals and other care settings can have significant benefits for clinical safety, equity, and quality health outcomes. This is especially important for priority groups, such as those requiring aged care services or people with disability. </w:t>
      </w:r>
    </w:p>
    <w:p w14:paraId="0ED40188" w14:textId="4A96FC25" w:rsidR="006E0759" w:rsidRPr="00261C59" w:rsidRDefault="006E0759" w:rsidP="004728D9">
      <w:pPr>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The Parties agree to progress timely sharing of high-quality hospital discharge summaries from public hospitals to community care (including primary care, particularly GPs, residential aged care homes and disability support teams and accommodation) and vice versa. </w:t>
      </w:r>
      <w:r w:rsidR="002B2C5F" w:rsidRPr="00261C59">
        <w:rPr>
          <w:rFonts w:ascii="Calibri" w:eastAsia="Calibri" w:hAnsi="Calibri" w:cs="Mangal"/>
          <w:kern w:val="2"/>
          <w:sz w:val="24"/>
          <w:szCs w:val="24"/>
          <w:lang w:eastAsia="en-US"/>
          <w14:ligatures w14:val="standardContextual"/>
        </w:rPr>
        <w:t xml:space="preserve">This includes </w:t>
      </w:r>
      <w:r w:rsidRPr="00261C59">
        <w:rPr>
          <w:rFonts w:ascii="Calibri" w:eastAsia="Calibri" w:hAnsi="Calibri" w:cs="Mangal"/>
          <w:kern w:val="2"/>
          <w:sz w:val="24"/>
          <w:szCs w:val="24"/>
          <w:lang w:eastAsia="en-US"/>
          <w14:ligatures w14:val="standardContextual"/>
        </w:rPr>
        <w:t xml:space="preserve">adopting minimum standards for information exchange and timeliness of discharge summaries </w:t>
      </w:r>
      <w:r w:rsidR="002B2C5F" w:rsidRPr="00261C59">
        <w:rPr>
          <w:rFonts w:ascii="Calibri" w:eastAsia="Calibri" w:hAnsi="Calibri" w:cs="Mangal"/>
          <w:kern w:val="2"/>
          <w:sz w:val="24"/>
          <w:szCs w:val="24"/>
          <w:lang w:eastAsia="en-US"/>
          <w14:ligatures w14:val="standardContextual"/>
        </w:rPr>
        <w:t xml:space="preserve">(refer </w:t>
      </w:r>
      <w:r w:rsidR="002B2C5F" w:rsidRPr="00261C59">
        <w:rPr>
          <w:rFonts w:ascii="Calibri" w:eastAsia="Calibri" w:hAnsi="Calibri"/>
          <w:kern w:val="2"/>
          <w:sz w:val="24"/>
          <w14:ligatures w14:val="standardContextual"/>
        </w:rPr>
        <w:t>clause</w:t>
      </w:r>
      <w:r w:rsidR="004E225D" w:rsidRPr="00261C59">
        <w:rPr>
          <w:rFonts w:ascii="Calibri" w:eastAsia="Calibri" w:hAnsi="Calibri"/>
          <w:kern w:val="2"/>
          <w:sz w:val="24"/>
          <w14:ligatures w14:val="standardContextual"/>
        </w:rPr>
        <w:t>s</w:t>
      </w:r>
      <w:r w:rsidR="002B2C5F" w:rsidRPr="00261C59">
        <w:rPr>
          <w:rFonts w:ascii="Calibri" w:eastAsia="Calibri" w:hAnsi="Calibri"/>
          <w:kern w:val="2"/>
          <w:sz w:val="24"/>
          <w14:ligatures w14:val="standardContextual"/>
        </w:rPr>
        <w:t xml:space="preserve"> D</w:t>
      </w:r>
      <w:r w:rsidR="00353CF4" w:rsidRPr="00261C59">
        <w:rPr>
          <w:rFonts w:ascii="Calibri" w:eastAsia="Calibri" w:hAnsi="Calibri"/>
          <w:kern w:val="2"/>
          <w:sz w:val="24"/>
          <w14:ligatures w14:val="standardContextual"/>
        </w:rPr>
        <w:t>4</w:t>
      </w:r>
      <w:r w:rsidR="00137595" w:rsidRPr="00261C59">
        <w:rPr>
          <w:rFonts w:ascii="Calibri" w:eastAsia="Calibri" w:hAnsi="Calibri"/>
          <w:kern w:val="2"/>
          <w:sz w:val="24"/>
          <w14:ligatures w14:val="standardContextual"/>
        </w:rPr>
        <w:t>7</w:t>
      </w:r>
      <w:r w:rsidR="00353CF4" w:rsidRPr="00261C59">
        <w:rPr>
          <w:rFonts w:ascii="Calibri" w:eastAsia="Calibri" w:hAnsi="Calibri"/>
          <w:kern w:val="2"/>
          <w:sz w:val="24"/>
          <w14:ligatures w14:val="standardContextual"/>
        </w:rPr>
        <w:t xml:space="preserve"> </w:t>
      </w:r>
      <w:r w:rsidR="00CE6E55" w:rsidRPr="00261C59">
        <w:rPr>
          <w:rFonts w:ascii="Calibri" w:eastAsia="Calibri" w:hAnsi="Calibri"/>
          <w:kern w:val="2"/>
          <w:sz w:val="24"/>
          <w14:ligatures w14:val="standardContextual"/>
        </w:rPr>
        <w:t>and</w:t>
      </w:r>
      <w:r w:rsidR="00353CF4" w:rsidRPr="00261C59">
        <w:rPr>
          <w:rFonts w:ascii="Calibri" w:eastAsia="Calibri" w:hAnsi="Calibri"/>
          <w:kern w:val="2"/>
          <w:sz w:val="24"/>
          <w14:ligatures w14:val="standardContextual"/>
        </w:rPr>
        <w:t xml:space="preserve"> D</w:t>
      </w:r>
      <w:r w:rsidR="0097109A" w:rsidRPr="00261C59">
        <w:rPr>
          <w:rFonts w:ascii="Calibri" w:eastAsia="Calibri" w:hAnsi="Calibri"/>
          <w:kern w:val="2"/>
          <w:sz w:val="24"/>
          <w14:ligatures w14:val="standardContextual"/>
        </w:rPr>
        <w:t>4</w:t>
      </w:r>
      <w:r w:rsidR="00137595" w:rsidRPr="00261C59">
        <w:rPr>
          <w:rFonts w:ascii="Calibri" w:eastAsia="Calibri" w:hAnsi="Calibri"/>
          <w:kern w:val="2"/>
          <w:sz w:val="24"/>
          <w14:ligatures w14:val="standardContextual"/>
        </w:rPr>
        <w:t>8</w:t>
      </w:r>
      <w:r w:rsidR="002B2C5F" w:rsidRPr="00261C59">
        <w:rPr>
          <w:rFonts w:ascii="Calibri" w:eastAsia="Calibri" w:hAnsi="Calibri" w:cs="Mangal"/>
          <w:kern w:val="2"/>
          <w:sz w:val="24"/>
          <w:szCs w:val="24"/>
          <w:lang w:eastAsia="en-US"/>
          <w14:ligatures w14:val="standardContextual"/>
        </w:rPr>
        <w:t>).</w:t>
      </w:r>
      <w:r w:rsidRPr="00261C59">
        <w:rPr>
          <w:rFonts w:ascii="Calibri" w:eastAsia="Calibri" w:hAnsi="Calibri" w:cs="Mangal"/>
          <w:kern w:val="2"/>
          <w:sz w:val="24"/>
          <w:szCs w:val="24"/>
          <w:lang w:eastAsia="en-US"/>
          <w14:ligatures w14:val="standardContextual"/>
        </w:rPr>
        <w:t xml:space="preserve"> Digital implementation will be undertaken in line with commitments in Schedule H (see </w:t>
      </w:r>
      <w:r w:rsidRPr="00261C59">
        <w:rPr>
          <w:rFonts w:ascii="Calibri" w:eastAsia="Calibri" w:hAnsi="Calibri"/>
          <w:kern w:val="2"/>
          <w:sz w:val="24"/>
          <w14:ligatures w14:val="standardContextual"/>
        </w:rPr>
        <w:t xml:space="preserve">clauses </w:t>
      </w:r>
      <w:r w:rsidR="00FE4EA3" w:rsidRPr="00261C59">
        <w:rPr>
          <w:rFonts w:ascii="Calibri" w:eastAsia="Calibri" w:hAnsi="Calibri"/>
          <w:kern w:val="2"/>
          <w:sz w:val="24"/>
          <w14:ligatures w14:val="standardContextual"/>
        </w:rPr>
        <w:t>H7</w:t>
      </w:r>
      <w:r w:rsidR="00E1482E" w:rsidRPr="00261C59">
        <w:rPr>
          <w:rFonts w:ascii="Calibri" w:eastAsia="Calibri" w:hAnsi="Calibri"/>
          <w:kern w:val="2"/>
          <w:sz w:val="24"/>
          <w14:ligatures w14:val="standardContextual"/>
        </w:rPr>
        <w:t>1</w:t>
      </w:r>
      <w:r w:rsidR="00FE4EA3" w:rsidRPr="00261C59">
        <w:rPr>
          <w:rFonts w:ascii="Calibri" w:eastAsia="Calibri" w:hAnsi="Calibri"/>
          <w:kern w:val="2"/>
          <w:sz w:val="24"/>
          <w14:ligatures w14:val="standardContextual"/>
        </w:rPr>
        <w:t xml:space="preserve"> </w:t>
      </w:r>
      <w:r w:rsidRPr="00261C59">
        <w:rPr>
          <w:rFonts w:ascii="Calibri" w:eastAsia="Calibri" w:hAnsi="Calibri"/>
          <w:kern w:val="2"/>
          <w:sz w:val="24"/>
          <w14:ligatures w14:val="standardContextual"/>
        </w:rPr>
        <w:t>to H</w:t>
      </w:r>
      <w:r w:rsidR="00FE4EA3" w:rsidRPr="00261C59">
        <w:rPr>
          <w:rFonts w:ascii="Calibri" w:eastAsia="Calibri" w:hAnsi="Calibri"/>
          <w:kern w:val="2"/>
          <w:sz w:val="24"/>
          <w14:ligatures w14:val="standardContextual"/>
        </w:rPr>
        <w:t>7</w:t>
      </w:r>
      <w:r w:rsidR="00E1482E" w:rsidRPr="00261C59">
        <w:rPr>
          <w:rFonts w:ascii="Calibri" w:eastAsia="Calibri" w:hAnsi="Calibri"/>
          <w:kern w:val="2"/>
          <w:sz w:val="24"/>
          <w14:ligatures w14:val="standardContextual"/>
        </w:rPr>
        <w:t>3</w:t>
      </w:r>
      <w:r w:rsidRPr="00261C59">
        <w:rPr>
          <w:rFonts w:ascii="Calibri" w:eastAsia="Calibri" w:hAnsi="Calibri" w:cs="Mangal"/>
          <w:kern w:val="2"/>
          <w:sz w:val="24"/>
          <w:szCs w:val="24"/>
          <w:lang w:eastAsia="en-US"/>
          <w14:ligatures w14:val="standardContextual"/>
        </w:rPr>
        <w:t xml:space="preserve">). </w:t>
      </w:r>
    </w:p>
    <w:p w14:paraId="764B80A4" w14:textId="77777777" w:rsidR="006E0759" w:rsidRPr="00261C59" w:rsidRDefault="006E0759" w:rsidP="00B17D4B">
      <w:pPr>
        <w:pStyle w:val="Heading2"/>
        <w:widowControl/>
        <w:adjustRightInd/>
        <w:spacing w:before="180" w:after="120"/>
        <w:jc w:val="left"/>
        <w:textAlignment w:val="auto"/>
        <w:rPr>
          <w:rFonts w:ascii="Corbel" w:eastAsia="Times New Roman" w:hAnsi="Corbel" w:cs="Arial"/>
          <w:iCs/>
          <w:color w:val="3D4B67"/>
          <w:sz w:val="28"/>
          <w:szCs w:val="28"/>
        </w:rPr>
      </w:pPr>
      <w:bookmarkStart w:id="574" w:name="_Toc173837451"/>
      <w:bookmarkStart w:id="575" w:name="_Toc201674012"/>
      <w:bookmarkStart w:id="576" w:name="_Toc210833649"/>
      <w:bookmarkStart w:id="577" w:name="_Toc214456549"/>
      <w:bookmarkStart w:id="578" w:name="_Toc221088029"/>
      <w:r w:rsidRPr="00261C59">
        <w:rPr>
          <w:rFonts w:ascii="Corbel" w:eastAsia="Times New Roman" w:hAnsi="Corbel" w:cs="Arial"/>
          <w:iCs/>
          <w:color w:val="3D4B67"/>
          <w:sz w:val="28"/>
          <w:szCs w:val="28"/>
        </w:rPr>
        <w:t>Interface data and performance monitoring</w:t>
      </w:r>
      <w:bookmarkEnd w:id="573"/>
      <w:bookmarkEnd w:id="574"/>
      <w:bookmarkEnd w:id="575"/>
      <w:bookmarkEnd w:id="576"/>
      <w:bookmarkEnd w:id="577"/>
      <w:bookmarkEnd w:id="578"/>
    </w:p>
    <w:p w14:paraId="4993034C" w14:textId="77777777" w:rsidR="006E0759" w:rsidRPr="00261C59" w:rsidRDefault="006E0759" w:rsidP="004728D9">
      <w:pPr>
        <w:keepLines/>
        <w:widowControl/>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Parties recognise data is critical for providing evidence about issues at the interface of sectors. All Parties commit to developing ongoing data sharing capability at the local level to ensure timely access to care and services when and where needed.</w:t>
      </w:r>
      <w:r w:rsidRPr="00261C59">
        <w:rPr>
          <w:rFonts w:ascii="Calibri" w:eastAsia="Calibri" w:hAnsi="Calibri" w:cs="Mangal"/>
          <w:sz w:val="24"/>
          <w:szCs w:val="24"/>
          <w:lang w:eastAsia="en-US"/>
        </w:rPr>
        <w:t xml:space="preserve"> This includes a commitment to facilitating data access and sharing for Aboriginal and Torres Strait Islander-led data outcomes as agreed in Schedule B, in line with Reform Priorities under the National Agreement on Closing the Gap.</w:t>
      </w:r>
    </w:p>
    <w:p w14:paraId="27F24DDB" w14:textId="5B9A1111" w:rsidR="006E0759" w:rsidRPr="00261C59" w:rsidRDefault="006E0759" w:rsidP="00F64C52">
      <w:pPr>
        <w:keepLines/>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The Parties agree that the AIHW, in consultation with the Parties, will prioritise development of public hospital, primary care, aged care and disability interface performance indicators as part of the health system performance </w:t>
      </w:r>
      <w:r w:rsidR="00292140" w:rsidRPr="00261C59">
        <w:rPr>
          <w:rFonts w:ascii="Calibri" w:eastAsia="Calibri" w:hAnsi="Calibri" w:cs="Mangal"/>
          <w:kern w:val="2"/>
          <w:sz w:val="24"/>
          <w:szCs w:val="24"/>
          <w:lang w:eastAsia="en-US"/>
          <w14:ligatures w14:val="standardContextual"/>
        </w:rPr>
        <w:t xml:space="preserve">assessment </w:t>
      </w:r>
      <w:r w:rsidRPr="00261C59">
        <w:rPr>
          <w:rFonts w:ascii="Calibri" w:eastAsia="Calibri" w:hAnsi="Calibri" w:cs="Mangal"/>
          <w:kern w:val="2"/>
          <w:sz w:val="24"/>
          <w:szCs w:val="24"/>
          <w:lang w:eastAsia="en-US"/>
          <w14:ligatures w14:val="standardContextual"/>
        </w:rPr>
        <w:t>framework outlined in Schedule H, including for performance reporting to HMM. This work will take advantage of enhanced data capability as it becomes available, including linked data, and will consider the impact on patient outcomes, with a focus on priority population groups.</w:t>
      </w:r>
    </w:p>
    <w:p w14:paraId="15A19CD5" w14:textId="1D53E931" w:rsidR="006E0759" w:rsidRPr="00261C59" w:rsidRDefault="006E0759" w:rsidP="004728D9">
      <w:pPr>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All Parties will further leverage opportunities in the National Health Data System (see </w:t>
      </w:r>
      <w:r w:rsidR="00B5340F" w:rsidRPr="00261C59">
        <w:rPr>
          <w:rFonts w:ascii="Calibri" w:eastAsia="Calibri" w:hAnsi="Calibri"/>
          <w:kern w:val="2"/>
          <w:sz w:val="24"/>
          <w14:ligatures w14:val="standardContextual"/>
        </w:rPr>
        <w:t>Schedule H</w:t>
      </w:r>
      <w:r w:rsidRPr="00261C59">
        <w:rPr>
          <w:rFonts w:ascii="Calibri" w:eastAsia="Calibri" w:hAnsi="Calibri" w:cs="Mangal"/>
          <w:kern w:val="2"/>
          <w:sz w:val="24"/>
          <w:szCs w:val="24"/>
          <w:lang w:eastAsia="en-US"/>
          <w14:ligatures w14:val="standardContextual"/>
        </w:rPr>
        <w:t xml:space="preserve">) to gain insights from existing or emerging data integration infrastructure and data assets, such as the National Disability Data Asset (NDDA). </w:t>
      </w:r>
    </w:p>
    <w:p w14:paraId="740A5BC9" w14:textId="77777777" w:rsidR="006E0759" w:rsidRPr="00261C59" w:rsidRDefault="006E0759" w:rsidP="004728D9">
      <w:pPr>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In recognising the role of States in providing services across the different sectors, particularly in thin and failing markets, the Commonwealth will support work to harmonise regulation across the health, aged care and disability sector</w:t>
      </w:r>
      <w:r w:rsidRPr="00261C59">
        <w:rPr>
          <w:rFonts w:ascii="Calibri" w:eastAsia="Calibri" w:hAnsi="Calibri" w:cs="Mangal"/>
          <w:sz w:val="24"/>
          <w:szCs w:val="24"/>
          <w:lang w:eastAsia="en-US"/>
        </w:rPr>
        <w:t>s</w:t>
      </w:r>
      <w:r w:rsidRPr="00261C59">
        <w:rPr>
          <w:rFonts w:ascii="Calibri" w:eastAsia="Calibri" w:hAnsi="Calibri" w:cs="Mangal"/>
          <w:kern w:val="2"/>
          <w:sz w:val="24"/>
          <w:szCs w:val="24"/>
          <w:lang w:eastAsia="en-US"/>
          <w14:ligatures w14:val="standardContextual"/>
        </w:rPr>
        <w:t>, with the aim</w:t>
      </w:r>
      <w:r w:rsidRPr="00261C59" w:rsidDel="00A87FD2">
        <w:rPr>
          <w:rFonts w:ascii="Calibri" w:eastAsia="Calibri" w:hAnsi="Calibri" w:cs="Mangal"/>
          <w:kern w:val="2"/>
          <w:sz w:val="24"/>
          <w:szCs w:val="24"/>
          <w:lang w:eastAsia="en-US"/>
          <w14:ligatures w14:val="standardContextual"/>
        </w:rPr>
        <w:t xml:space="preserve"> </w:t>
      </w:r>
      <w:r w:rsidRPr="00261C59">
        <w:rPr>
          <w:rFonts w:ascii="Calibri" w:eastAsia="Calibri" w:hAnsi="Calibri" w:cs="Mangal"/>
          <w:sz w:val="24"/>
          <w:szCs w:val="24"/>
          <w:lang w:eastAsia="en-US"/>
        </w:rPr>
        <w:t xml:space="preserve">of reducing </w:t>
      </w:r>
      <w:r w:rsidRPr="00261C59">
        <w:rPr>
          <w:rFonts w:ascii="Calibri" w:eastAsia="Calibri" w:hAnsi="Calibri" w:cs="Mangal"/>
          <w:kern w:val="2"/>
          <w:sz w:val="24"/>
          <w:szCs w:val="24"/>
          <w:lang w:eastAsia="en-US"/>
          <w14:ligatures w14:val="standardContextual"/>
        </w:rPr>
        <w:t xml:space="preserve">duplication of </w:t>
      </w:r>
      <w:r w:rsidRPr="00261C59">
        <w:rPr>
          <w:rFonts w:ascii="Calibri" w:eastAsia="Calibri" w:hAnsi="Calibri" w:cs="Mangal"/>
          <w:sz w:val="24"/>
          <w:szCs w:val="24"/>
          <w:lang w:eastAsia="en-US"/>
        </w:rPr>
        <w:t xml:space="preserve">regulation </w:t>
      </w:r>
      <w:r w:rsidRPr="00261C59">
        <w:rPr>
          <w:rFonts w:ascii="Calibri" w:eastAsia="Calibri" w:hAnsi="Calibri" w:cs="Mangal"/>
          <w:kern w:val="2"/>
          <w:sz w:val="24"/>
          <w:szCs w:val="24"/>
          <w:lang w:eastAsia="en-US"/>
          <w14:ligatures w14:val="standardContextual"/>
        </w:rPr>
        <w:t xml:space="preserve">requirements. This </w:t>
      </w:r>
      <w:r w:rsidRPr="00261C59">
        <w:rPr>
          <w:rFonts w:ascii="Calibri" w:eastAsia="Calibri" w:hAnsi="Calibri" w:cs="Mangal"/>
          <w:sz w:val="24"/>
          <w:szCs w:val="24"/>
          <w:lang w:eastAsia="en-US"/>
        </w:rPr>
        <w:t xml:space="preserve">work </w:t>
      </w:r>
      <w:r w:rsidRPr="00261C59">
        <w:rPr>
          <w:rFonts w:ascii="Calibri" w:eastAsia="Calibri" w:hAnsi="Calibri" w:cs="Mangal"/>
          <w:kern w:val="2"/>
          <w:sz w:val="24"/>
          <w:szCs w:val="24"/>
          <w:lang w:eastAsia="en-US"/>
          <w14:ligatures w14:val="standardContextual"/>
        </w:rPr>
        <w:t>should consider:</w:t>
      </w:r>
    </w:p>
    <w:p w14:paraId="4C702801" w14:textId="5BE021C4" w:rsidR="006E0759" w:rsidRPr="00261C59" w:rsidRDefault="006E0759" w:rsidP="004728D9">
      <w:pPr>
        <w:widowControl/>
        <w:numPr>
          <w:ilvl w:val="1"/>
          <w:numId w:val="136"/>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providers delivering services across care and support sectors in small communities, including rural and remote communities, where undue regulatory burden restricts the supply of services</w:t>
      </w:r>
    </w:p>
    <w:p w14:paraId="05BB7D1E" w14:textId="77777777" w:rsidR="006E0759" w:rsidRPr="00261C59" w:rsidRDefault="006E0759" w:rsidP="004728D9">
      <w:pPr>
        <w:widowControl/>
        <w:numPr>
          <w:ilvl w:val="1"/>
          <w:numId w:val="136"/>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continuity of appropriate care for people with complex cognitive and behavioural care needs, including where medication management is delivered in partnership with specialised health care providers.</w:t>
      </w:r>
    </w:p>
    <w:p w14:paraId="04BB97B5" w14:textId="650EFAC3" w:rsidR="006E0759" w:rsidRPr="00261C59" w:rsidRDefault="005A54A5" w:rsidP="004728D9">
      <w:pPr>
        <w:widowControl/>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A</w:t>
      </w:r>
      <w:r w:rsidR="006E0759" w:rsidRPr="00261C59">
        <w:rPr>
          <w:rFonts w:ascii="Calibri" w:eastAsia="Calibri" w:hAnsi="Calibri" w:cs="Mangal"/>
          <w:kern w:val="2"/>
          <w:sz w:val="24"/>
          <w:szCs w:val="24"/>
          <w:lang w:eastAsia="en-US"/>
          <w14:ligatures w14:val="standardContextual"/>
        </w:rPr>
        <w:t>ll Parties will progress streamlined data sharing across governments, including to integrated data assets to enable critical data collection across interfaces. </w:t>
      </w:r>
    </w:p>
    <w:p w14:paraId="2BB7A9E3" w14:textId="77777777" w:rsidR="002B2C5F" w:rsidRPr="00261C59" w:rsidRDefault="002B2C5F" w:rsidP="1476B102">
      <w:pPr>
        <w:pStyle w:val="Heading3"/>
        <w:keepNext/>
        <w:widowControl/>
        <w:adjustRightInd/>
        <w:spacing w:before="0" w:after="120"/>
        <w:ind w:left="0"/>
        <w:jc w:val="left"/>
        <w:textAlignment w:val="auto"/>
        <w:rPr>
          <w:rFonts w:ascii="Corbel" w:eastAsia="Times New Roman" w:hAnsi="Corbel"/>
          <w:b w:val="0"/>
          <w:bCs w:val="0"/>
          <w:color w:val="3D4B67"/>
          <w:sz w:val="28"/>
          <w:szCs w:val="28"/>
          <w:lang w:eastAsia="ja-JP"/>
        </w:rPr>
      </w:pPr>
      <w:bookmarkStart w:id="579" w:name="_Toc201674013"/>
      <w:bookmarkStart w:id="580" w:name="_Toc210833650"/>
      <w:bookmarkStart w:id="581" w:name="_Toc214456550"/>
      <w:bookmarkStart w:id="582" w:name="_Toc221088030"/>
      <w:bookmarkStart w:id="583" w:name="_Toc167456335"/>
      <w:bookmarkStart w:id="584" w:name="_Toc173837452"/>
      <w:r w:rsidRPr="00261C59">
        <w:rPr>
          <w:rFonts w:ascii="Corbel" w:eastAsia="Times New Roman" w:hAnsi="Corbel"/>
          <w:b w:val="0"/>
          <w:bCs w:val="0"/>
          <w:color w:val="3D4B67"/>
          <w:sz w:val="28"/>
          <w:szCs w:val="28"/>
          <w:lang w:eastAsia="ja-JP"/>
        </w:rPr>
        <w:t>Strengthening consistent and regular delayed discharge of older patient data</w:t>
      </w:r>
      <w:bookmarkEnd w:id="579"/>
      <w:bookmarkEnd w:id="580"/>
      <w:bookmarkEnd w:id="581"/>
      <w:bookmarkEnd w:id="582"/>
    </w:p>
    <w:bookmarkEnd w:id="583"/>
    <w:bookmarkEnd w:id="584"/>
    <w:p w14:paraId="3FFD269B" w14:textId="77777777" w:rsidR="002B2C5F" w:rsidRPr="00261C59" w:rsidRDefault="002B2C5F" w:rsidP="004728D9">
      <w:pPr>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To support timely reporting to HMM and HCEF and problem solving at the local level, the Parties acknowledge that a shared national and local understanding of delayed discharge of older patient from hospital, including on discharge barriers, is critical to providing evidence on the areas in need of government support. </w:t>
      </w:r>
    </w:p>
    <w:p w14:paraId="6DBEEA8A" w14:textId="2AAB3C9E" w:rsidR="006E0759" w:rsidRPr="00261C59" w:rsidRDefault="006E0759" w:rsidP="004728D9">
      <w:pPr>
        <w:numPr>
          <w:ilvl w:val="0"/>
          <w:numId w:val="22"/>
        </w:numPr>
        <w:spacing w:after="240" w:line="260" w:lineRule="exact"/>
        <w:jc w:val="left"/>
        <w:rPr>
          <w:rFonts w:ascii="Calibri" w:eastAsia="Calibri" w:hAnsi="Calibri" w:cs="Mangal"/>
          <w:lang w:eastAsia="en-US"/>
        </w:rPr>
      </w:pPr>
      <w:r w:rsidRPr="00261C59">
        <w:rPr>
          <w:rFonts w:ascii="Calibri" w:eastAsia="Calibri" w:hAnsi="Calibri" w:cs="Mangal"/>
          <w:kern w:val="2"/>
          <w:sz w:val="24"/>
          <w:szCs w:val="24"/>
          <w:lang w:eastAsia="en-US"/>
          <w14:ligatures w14:val="standardContextual"/>
        </w:rPr>
        <w:t xml:space="preserve">Parties therefore commit to developing a nationally consistent definition for </w:t>
      </w:r>
      <w:r w:rsidR="002B2C5F" w:rsidRPr="00261C59">
        <w:rPr>
          <w:rFonts w:ascii="Calibri" w:eastAsia="Calibri" w:hAnsi="Calibri" w:cs="Mangal"/>
          <w:sz w:val="24"/>
          <w:szCs w:val="24"/>
          <w:lang w:eastAsia="en-US"/>
        </w:rPr>
        <w:t>delayed discharge of</w:t>
      </w:r>
      <w:r w:rsidR="002B2C5F" w:rsidRPr="00261C59">
        <w:rPr>
          <w:rFonts w:ascii="Calibri" w:eastAsia="Calibri" w:hAnsi="Calibri" w:cs="Mangal"/>
          <w:kern w:val="2"/>
          <w:sz w:val="24"/>
          <w:szCs w:val="24"/>
          <w:lang w:eastAsia="en-US"/>
          <w14:ligatures w14:val="standardContextual"/>
        </w:rPr>
        <w:t xml:space="preserve"> older patients </w:t>
      </w:r>
      <w:r w:rsidR="002B2C5F" w:rsidRPr="00261C59">
        <w:rPr>
          <w:rFonts w:ascii="Calibri" w:eastAsia="Calibri" w:hAnsi="Calibri" w:cs="Mangal"/>
          <w:sz w:val="24"/>
          <w:szCs w:val="24"/>
          <w:lang w:eastAsia="en-US"/>
        </w:rPr>
        <w:t>by December 202</w:t>
      </w:r>
      <w:r w:rsidR="00E71CE6" w:rsidRPr="00261C59">
        <w:rPr>
          <w:rFonts w:ascii="Calibri" w:eastAsia="Calibri" w:hAnsi="Calibri" w:cs="Mangal"/>
          <w:sz w:val="24"/>
          <w:szCs w:val="24"/>
          <w:lang w:eastAsia="en-US"/>
        </w:rPr>
        <w:t>6</w:t>
      </w:r>
      <w:r w:rsidR="002B2C5F" w:rsidRPr="00261C59">
        <w:rPr>
          <w:rFonts w:ascii="Calibri" w:eastAsia="Calibri" w:hAnsi="Calibri" w:cs="Mangal"/>
          <w:sz w:val="24"/>
          <w:szCs w:val="24"/>
          <w:lang w:eastAsia="en-US"/>
        </w:rPr>
        <w:t>.</w:t>
      </w:r>
      <w:r w:rsidRPr="00261C59">
        <w:rPr>
          <w:rFonts w:ascii="Calibri" w:eastAsia="Calibri" w:hAnsi="Calibri" w:cs="Mangal"/>
          <w:sz w:val="24"/>
          <w:szCs w:val="24"/>
          <w:lang w:eastAsia="en-US"/>
        </w:rPr>
        <w:t xml:space="preserve">  A</w:t>
      </w:r>
      <w:r w:rsidR="00A401BC" w:rsidRPr="00261C59">
        <w:rPr>
          <w:rFonts w:ascii="Calibri" w:eastAsia="Calibri" w:hAnsi="Calibri" w:cs="Mangal"/>
          <w:sz w:val="24"/>
          <w:szCs w:val="24"/>
          <w:lang w:eastAsia="en-US"/>
        </w:rPr>
        <w:t>dditionally, a</w:t>
      </w:r>
      <w:r w:rsidRPr="00261C59">
        <w:rPr>
          <w:rFonts w:ascii="Calibri" w:eastAsia="Calibri" w:hAnsi="Calibri" w:cs="Mangal"/>
          <w:sz w:val="24"/>
          <w:szCs w:val="24"/>
          <w:lang w:eastAsia="en-US"/>
        </w:rPr>
        <w:t xml:space="preserve">ll Parties will collaborate to develop nationally consistent data collection, as required for the Performance Framework (see Schedule </w:t>
      </w:r>
      <w:r w:rsidR="00DA050F" w:rsidRPr="00261C59">
        <w:rPr>
          <w:rFonts w:ascii="Calibri" w:eastAsia="Calibri" w:hAnsi="Calibri" w:cs="Mangal"/>
          <w:sz w:val="24"/>
          <w:szCs w:val="24"/>
          <w:lang w:eastAsia="en-US"/>
        </w:rPr>
        <w:t>H</w:t>
      </w:r>
      <w:r w:rsidRPr="00261C59">
        <w:rPr>
          <w:rFonts w:ascii="Calibri" w:eastAsia="Calibri" w:hAnsi="Calibri" w:cs="Mangal"/>
          <w:sz w:val="24"/>
          <w:szCs w:val="24"/>
          <w:lang w:eastAsia="en-US"/>
        </w:rPr>
        <w:t>) and transparency across governments</w:t>
      </w:r>
      <w:r w:rsidR="00A401BC" w:rsidRPr="00261C59">
        <w:rPr>
          <w:rFonts w:ascii="Calibri" w:eastAsia="Calibri" w:hAnsi="Calibri" w:cs="Mangal"/>
          <w:sz w:val="24"/>
          <w:szCs w:val="24"/>
          <w:lang w:eastAsia="en-US"/>
        </w:rPr>
        <w:t xml:space="preserve"> by December 2026</w:t>
      </w:r>
      <w:r w:rsidRPr="00261C59">
        <w:rPr>
          <w:rFonts w:ascii="Calibri" w:eastAsia="Calibri" w:hAnsi="Calibri" w:cs="Mangal"/>
          <w:kern w:val="2"/>
          <w:sz w:val="24"/>
          <w:szCs w:val="24"/>
          <w:lang w:eastAsia="en-US"/>
          <w14:ligatures w14:val="standardContextual"/>
        </w:rPr>
        <w:t xml:space="preserve">. Key metrics under a national data collection may include but are not limited to those outlined in </w:t>
      </w:r>
      <w:r w:rsidRPr="00261C59">
        <w:rPr>
          <w:rFonts w:ascii="Calibri" w:eastAsia="Calibri" w:hAnsi="Calibri"/>
          <w:kern w:val="2"/>
          <w:sz w:val="24"/>
          <w14:ligatures w14:val="standardContextual"/>
        </w:rPr>
        <w:t xml:space="preserve">clause </w:t>
      </w:r>
      <w:r w:rsidR="002B2C5F" w:rsidRPr="00261C59">
        <w:rPr>
          <w:rFonts w:ascii="Calibri" w:eastAsia="Calibri" w:hAnsi="Calibri"/>
          <w:kern w:val="2"/>
          <w:sz w:val="24"/>
          <w14:ligatures w14:val="standardContextual"/>
        </w:rPr>
        <w:t>C5</w:t>
      </w:r>
      <w:r w:rsidR="002B2C5F" w:rsidRPr="00261C59">
        <w:rPr>
          <w:rFonts w:ascii="Calibri" w:eastAsia="Calibri" w:hAnsi="Calibri"/>
          <w:sz w:val="24"/>
        </w:rPr>
        <w:t>2</w:t>
      </w:r>
      <w:r w:rsidR="002B2C5F" w:rsidRPr="00261C59">
        <w:rPr>
          <w:rFonts w:ascii="Calibri" w:eastAsia="Calibri" w:hAnsi="Calibri" w:cs="Mangal"/>
          <w:kern w:val="2"/>
          <w:sz w:val="24"/>
          <w:szCs w:val="24"/>
          <w:lang w:eastAsia="en-US"/>
          <w14:ligatures w14:val="standardContextual"/>
        </w:rPr>
        <w:t>.</w:t>
      </w:r>
      <w:r w:rsidRPr="00261C59">
        <w:rPr>
          <w:rFonts w:ascii="Calibri" w:eastAsia="Calibri" w:hAnsi="Calibri" w:cs="Mangal"/>
          <w:kern w:val="2"/>
          <w:sz w:val="24"/>
          <w:szCs w:val="24"/>
          <w:lang w:eastAsia="en-US"/>
          <w14:ligatures w14:val="standardContextual"/>
        </w:rPr>
        <w:t xml:space="preserve"> </w:t>
      </w:r>
    </w:p>
    <w:p w14:paraId="50388EFE" w14:textId="20A12C3F" w:rsidR="006E0759" w:rsidRPr="00261C59" w:rsidRDefault="006E0759" w:rsidP="004728D9">
      <w:pPr>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As part of the Commonwealth’s $1.2 billion Strengthening Medicare package, $</w:t>
      </w:r>
      <w:r w:rsidR="002B2C5F" w:rsidRPr="00261C59">
        <w:rPr>
          <w:rFonts w:ascii="Calibri" w:eastAsia="Calibri" w:hAnsi="Calibri" w:cs="Mangal"/>
          <w:kern w:val="2"/>
          <w:sz w:val="24"/>
          <w:szCs w:val="24"/>
          <w:lang w:eastAsia="en-US"/>
          <w14:ligatures w14:val="standardContextual"/>
        </w:rPr>
        <w:t>598.8</w:t>
      </w:r>
      <w:r w:rsidR="00A833D3" w:rsidRPr="00261C59">
        <w:rPr>
          <w:rFonts w:ascii="Calibri" w:eastAsia="Calibri" w:hAnsi="Calibri" w:cs="Mangal"/>
          <w:kern w:val="2"/>
          <w:sz w:val="24"/>
          <w:szCs w:val="24"/>
          <w:lang w:eastAsia="en-US"/>
          <w14:ligatures w14:val="standardContextual"/>
        </w:rPr>
        <w:t> </w:t>
      </w:r>
      <w:r w:rsidR="002B2C5F" w:rsidRPr="00261C59">
        <w:rPr>
          <w:rFonts w:ascii="Calibri" w:eastAsia="Calibri" w:hAnsi="Calibri" w:cs="Mangal"/>
          <w:kern w:val="2"/>
          <w:sz w:val="24"/>
          <w:szCs w:val="24"/>
          <w:lang w:eastAsia="en-US"/>
          <w14:ligatures w14:val="standardContextual"/>
        </w:rPr>
        <w:t>million has been allocated (over four years from 2024-25 to 2027-28) to State-led initiatives that support older</w:t>
      </w:r>
      <w:r w:rsidRPr="00261C59" w:rsidDel="005F6188">
        <w:rPr>
          <w:rFonts w:ascii="Calibri" w:eastAsia="Calibri" w:hAnsi="Calibri" w:cs="Mangal"/>
          <w:kern w:val="2"/>
          <w:sz w:val="24"/>
          <w:szCs w:val="24"/>
          <w:lang w:eastAsia="en-US"/>
          <w14:ligatures w14:val="standardContextual"/>
        </w:rPr>
        <w:t xml:space="preserve"> </w:t>
      </w:r>
      <w:r w:rsidRPr="00261C59">
        <w:rPr>
          <w:rFonts w:ascii="Calibri" w:eastAsia="Calibri" w:hAnsi="Calibri" w:cs="Mangal"/>
          <w:kern w:val="2"/>
          <w:sz w:val="24"/>
          <w:szCs w:val="24"/>
          <w:lang w:eastAsia="en-US"/>
          <w14:ligatures w14:val="standardContextual"/>
        </w:rPr>
        <w:t>people to avoid hospital admission, be discharged from hospital earlier, and improve their transition from hospital to other appropriate care.</w:t>
      </w:r>
    </w:p>
    <w:p w14:paraId="24D27E9E" w14:textId="7C9D3534" w:rsidR="002B2C5F" w:rsidRPr="00261C59" w:rsidRDefault="002B2C5F" w:rsidP="004728D9">
      <w:pPr>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sz w:val="24"/>
          <w:szCs w:val="24"/>
          <w:lang w:eastAsia="en-US"/>
        </w:rPr>
        <w:t>All f</w:t>
      </w:r>
      <w:r w:rsidRPr="00261C59">
        <w:rPr>
          <w:rFonts w:ascii="Calibri" w:eastAsia="Calibri" w:hAnsi="Calibri" w:cs="Mangal"/>
          <w:kern w:val="2"/>
          <w:sz w:val="24"/>
          <w:szCs w:val="24"/>
          <w:lang w:eastAsia="en-US"/>
          <w14:ligatures w14:val="standardContextual"/>
        </w:rPr>
        <w:t xml:space="preserve">unding agreements </w:t>
      </w:r>
      <w:r w:rsidRPr="00261C59">
        <w:rPr>
          <w:rFonts w:ascii="Calibri" w:eastAsia="Calibri" w:hAnsi="Calibri" w:cs="Mangal"/>
          <w:sz w:val="24"/>
          <w:szCs w:val="24"/>
          <w:lang w:eastAsia="en-US"/>
        </w:rPr>
        <w:t xml:space="preserve">with the Australian Government under this package </w:t>
      </w:r>
      <w:r w:rsidRPr="00261C59">
        <w:rPr>
          <w:rFonts w:ascii="Calibri" w:eastAsia="Calibri" w:hAnsi="Calibri" w:cs="Mangal"/>
          <w:kern w:val="2"/>
          <w:sz w:val="24"/>
          <w:szCs w:val="24"/>
          <w:lang w:eastAsia="en-US"/>
          <w14:ligatures w14:val="standardContextual"/>
        </w:rPr>
        <w:t>include a commitment by States to provide data that supports evaluation of these initiatives by 30</w:t>
      </w:r>
      <w:r w:rsidR="00506FDD" w:rsidRPr="00261C59">
        <w:rPr>
          <w:rFonts w:ascii="Calibri" w:eastAsia="Calibri" w:hAnsi="Calibri" w:cs="Mangal"/>
          <w:kern w:val="2"/>
          <w:sz w:val="24"/>
          <w:szCs w:val="24"/>
          <w:lang w:eastAsia="en-US"/>
          <w14:ligatures w14:val="standardContextual"/>
        </w:rPr>
        <w:t> </w:t>
      </w:r>
      <w:r w:rsidRPr="00261C59">
        <w:rPr>
          <w:rFonts w:ascii="Calibri" w:eastAsia="Calibri" w:hAnsi="Calibri" w:cs="Mangal"/>
          <w:kern w:val="2"/>
          <w:sz w:val="24"/>
          <w:szCs w:val="24"/>
          <w:lang w:eastAsia="en-US"/>
          <w14:ligatures w14:val="standardContextual"/>
        </w:rPr>
        <w:t xml:space="preserve">October 2028 </w:t>
      </w:r>
      <w:r w:rsidRPr="00261C59">
        <w:rPr>
          <w:rFonts w:ascii="Calibri" w:eastAsia="Calibri" w:hAnsi="Calibri" w:cs="Mangal"/>
          <w:sz w:val="24"/>
          <w:szCs w:val="24"/>
          <w:lang w:eastAsia="en-US"/>
        </w:rPr>
        <w:t>unless otherwise agreed.</w:t>
      </w:r>
    </w:p>
    <w:p w14:paraId="3A502CCB" w14:textId="77777777" w:rsidR="002B2C5F" w:rsidRPr="00261C59" w:rsidRDefault="002B2C5F" w:rsidP="006171E3">
      <w:pPr>
        <w:keepNext/>
        <w:keepLines/>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sz w:val="24"/>
          <w:szCs w:val="24"/>
          <w:lang w:eastAsia="en-US"/>
        </w:rPr>
        <w:t>Evaluation will m</w:t>
      </w:r>
      <w:r w:rsidRPr="00261C59">
        <w:rPr>
          <w:rFonts w:ascii="Calibri" w:eastAsia="Calibri" w:hAnsi="Calibri" w:cs="Mangal"/>
          <w:kern w:val="2"/>
          <w:sz w:val="24"/>
          <w:szCs w:val="24"/>
          <w:lang w:eastAsia="en-US"/>
          <w14:ligatures w14:val="standardContextual"/>
        </w:rPr>
        <w:t xml:space="preserve">easure the number of older people experiencing delayed discharge from hospital within </w:t>
      </w:r>
      <w:r w:rsidRPr="00261C59">
        <w:rPr>
          <w:rFonts w:ascii="Calibri" w:eastAsia="Calibri" w:hAnsi="Calibri" w:cs="Mangal"/>
          <w:sz w:val="24"/>
          <w:szCs w:val="24"/>
          <w:lang w:eastAsia="en-US"/>
        </w:rPr>
        <w:t xml:space="preserve">each </w:t>
      </w:r>
      <w:r w:rsidRPr="00261C59">
        <w:rPr>
          <w:rFonts w:ascii="Calibri" w:eastAsia="Calibri" w:hAnsi="Calibri" w:cs="Mangal"/>
          <w:kern w:val="2"/>
          <w:sz w:val="24"/>
          <w:szCs w:val="24"/>
          <w:lang w:eastAsia="en-US"/>
          <w14:ligatures w14:val="standardContextual"/>
        </w:rPr>
        <w:t>State</w:t>
      </w:r>
      <w:r w:rsidRPr="00261C59">
        <w:rPr>
          <w:rFonts w:ascii="Calibri" w:eastAsia="Calibri" w:hAnsi="Calibri" w:cs="Mangal"/>
          <w:sz w:val="24"/>
          <w:szCs w:val="24"/>
          <w:lang w:eastAsia="en-US"/>
        </w:rPr>
        <w:t xml:space="preserve"> and efficacy and effectiveness of interventions. Other indicators may be collected</w:t>
      </w:r>
      <w:r w:rsidRPr="00261C59">
        <w:rPr>
          <w:rFonts w:ascii="Calibri" w:eastAsia="Calibri" w:hAnsi="Calibri" w:cs="Mangal"/>
          <w:kern w:val="2"/>
          <w:sz w:val="24"/>
          <w:szCs w:val="24"/>
          <w:lang w:eastAsia="en-US"/>
          <w14:ligatures w14:val="standardContextual"/>
        </w:rPr>
        <w:t xml:space="preserve"> at</w:t>
      </w:r>
      <w:r w:rsidRPr="00261C59">
        <w:rPr>
          <w:rFonts w:ascii="Calibri" w:eastAsia="Calibri" w:hAnsi="Calibri" w:cs="Mangal"/>
          <w:sz w:val="24"/>
          <w:szCs w:val="24"/>
          <w:lang w:eastAsia="en-US"/>
        </w:rPr>
        <w:t xml:space="preserve"> quarterly </w:t>
      </w:r>
      <w:r w:rsidRPr="00261C59">
        <w:rPr>
          <w:rFonts w:ascii="Calibri" w:eastAsia="Calibri" w:hAnsi="Calibri" w:cs="Mangal"/>
          <w:kern w:val="2"/>
          <w:sz w:val="24"/>
          <w:szCs w:val="24"/>
          <w:lang w:eastAsia="en-US"/>
          <w14:ligatures w14:val="standardContextual"/>
        </w:rPr>
        <w:t>intervals over the four years, including:</w:t>
      </w:r>
    </w:p>
    <w:p w14:paraId="30D346D5" w14:textId="6CECAF52" w:rsidR="006E0759" w:rsidRPr="00261C59" w:rsidRDefault="007B7AF4" w:rsidP="004728D9">
      <w:pPr>
        <w:widowControl/>
        <w:numPr>
          <w:ilvl w:val="1"/>
          <w:numId w:val="137"/>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Pr>
          <w:rFonts w:ascii="Calibri" w:eastAsia="Calibri" w:hAnsi="Calibri" w:cs="Mangal"/>
          <w:kern w:val="2"/>
          <w:sz w:val="24"/>
          <w:szCs w:val="24"/>
          <w:lang w:eastAsia="en-US"/>
          <w14:ligatures w14:val="standardContextual"/>
        </w:rPr>
        <w:t>n</w:t>
      </w:r>
      <w:r w:rsidR="006E0759" w:rsidRPr="00261C59">
        <w:rPr>
          <w:rFonts w:ascii="Calibri" w:eastAsia="Calibri" w:hAnsi="Calibri" w:cs="Mangal"/>
          <w:kern w:val="2"/>
          <w:sz w:val="24"/>
          <w:szCs w:val="24"/>
          <w:lang w:eastAsia="en-US"/>
          <w14:ligatures w14:val="standardContextual"/>
        </w:rPr>
        <w:t xml:space="preserve">umber of patients ready for discharge </w:t>
      </w:r>
      <w:r w:rsidR="006E0759" w:rsidRPr="00261C59">
        <w:rPr>
          <w:rFonts w:ascii="Calibri" w:eastAsia="Calibri" w:hAnsi="Calibri" w:cs="Mangal"/>
          <w:sz w:val="24"/>
          <w:szCs w:val="24"/>
          <w:lang w:eastAsia="en-US"/>
        </w:rPr>
        <w:t xml:space="preserve">to their preferred (and feasible) longer-term </w:t>
      </w:r>
      <w:r w:rsidR="002B2C5F" w:rsidRPr="00261C59">
        <w:rPr>
          <w:rFonts w:ascii="Calibri" w:eastAsia="Calibri" w:hAnsi="Calibri" w:cs="Mangal"/>
          <w:sz w:val="24"/>
          <w:szCs w:val="24"/>
          <w:lang w:eastAsia="en-US"/>
        </w:rPr>
        <w:t>care setting.</w:t>
      </w:r>
      <w:r w:rsidR="006E0759" w:rsidRPr="00261C59">
        <w:rPr>
          <w:rFonts w:ascii="Calibri" w:eastAsia="Calibri" w:hAnsi="Calibri" w:cs="Mangal"/>
          <w:sz w:val="24"/>
          <w:szCs w:val="24"/>
          <w:lang w:eastAsia="en-US"/>
        </w:rPr>
        <w:t xml:space="preserve"> This means </w:t>
      </w:r>
      <w:r w:rsidR="006E0759" w:rsidRPr="00261C59">
        <w:rPr>
          <w:rFonts w:ascii="Calibri" w:eastAsia="Calibri" w:hAnsi="Calibri" w:cs="Mangal"/>
          <w:kern w:val="2"/>
          <w:sz w:val="24"/>
          <w:szCs w:val="24"/>
          <w:lang w:eastAsia="en-US"/>
          <w14:ligatures w14:val="standardContextual"/>
        </w:rPr>
        <w:t>that the patient has</w:t>
      </w:r>
      <w:r w:rsidR="006E0759" w:rsidRPr="00261C59">
        <w:rPr>
          <w:rFonts w:ascii="Calibri" w:eastAsia="Calibri" w:hAnsi="Calibri" w:cs="Mangal"/>
          <w:sz w:val="24"/>
          <w:szCs w:val="24"/>
          <w:lang w:eastAsia="en-US"/>
        </w:rPr>
        <w:t xml:space="preserve"> stabilised and is receiving care in which the primary clinical purpose or treatment goal is support for a patient with impairment, activity limitation or participation restriction due to a health condition, and they are </w:t>
      </w:r>
      <w:r w:rsidR="006E0759" w:rsidRPr="00261C59">
        <w:rPr>
          <w:rFonts w:ascii="Calibri" w:eastAsia="Calibri" w:hAnsi="Calibri" w:cs="Mangal"/>
          <w:kern w:val="2"/>
          <w:sz w:val="24"/>
          <w:szCs w:val="24"/>
          <w:lang w:eastAsia="en-US"/>
          <w14:ligatures w14:val="standardContextual"/>
        </w:rPr>
        <w:t xml:space="preserve">awaiting discharge to their preferred care </w:t>
      </w:r>
      <w:r w:rsidR="002B2C5F" w:rsidRPr="00261C59">
        <w:rPr>
          <w:rFonts w:ascii="Calibri" w:eastAsia="Calibri" w:hAnsi="Calibri" w:cs="Mangal"/>
          <w:kern w:val="2"/>
          <w:sz w:val="24"/>
          <w:szCs w:val="24"/>
          <w:lang w:eastAsia="en-US"/>
          <w14:ligatures w14:val="standardContextual"/>
        </w:rPr>
        <w:t>setting in their Local Hospital Network or region</w:t>
      </w:r>
      <w:r w:rsidR="006E0759" w:rsidRPr="00261C59">
        <w:rPr>
          <w:rFonts w:ascii="Calibri" w:eastAsia="Calibri" w:hAnsi="Calibri" w:cs="Mangal"/>
          <w:kern w:val="2"/>
          <w:sz w:val="24"/>
          <w:szCs w:val="24"/>
          <w:lang w:eastAsia="en-US"/>
          <w14:ligatures w14:val="standardContextual"/>
        </w:rPr>
        <w:t xml:space="preserve"> </w:t>
      </w:r>
    </w:p>
    <w:p w14:paraId="3451201D" w14:textId="2C2BCD5B" w:rsidR="006E0759" w:rsidRPr="00261C59" w:rsidRDefault="007B7AF4" w:rsidP="004728D9">
      <w:pPr>
        <w:widowControl/>
        <w:numPr>
          <w:ilvl w:val="1"/>
          <w:numId w:val="137"/>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Pr>
          <w:rFonts w:ascii="Calibri" w:eastAsia="Calibri" w:hAnsi="Calibri" w:cs="Mangal"/>
          <w:kern w:val="2"/>
          <w:sz w:val="24"/>
          <w:szCs w:val="24"/>
          <w:lang w:eastAsia="en-US"/>
          <w14:ligatures w14:val="standardContextual"/>
        </w:rPr>
        <w:t>b</w:t>
      </w:r>
      <w:r w:rsidR="006E0759" w:rsidRPr="00261C59">
        <w:rPr>
          <w:rFonts w:ascii="Calibri" w:eastAsia="Calibri" w:hAnsi="Calibri" w:cs="Mangal"/>
          <w:kern w:val="2"/>
          <w:sz w:val="24"/>
          <w:szCs w:val="24"/>
          <w:lang w:eastAsia="en-US"/>
          <w14:ligatures w14:val="standardContextual"/>
        </w:rPr>
        <w:t>ed days occupied while meeting the above criteria</w:t>
      </w:r>
    </w:p>
    <w:p w14:paraId="2749BDFF" w14:textId="08868869" w:rsidR="006E0759" w:rsidRPr="00261C59" w:rsidRDefault="007B7AF4" w:rsidP="004728D9">
      <w:pPr>
        <w:widowControl/>
        <w:numPr>
          <w:ilvl w:val="1"/>
          <w:numId w:val="137"/>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Pr>
          <w:rFonts w:ascii="Calibri" w:eastAsia="Calibri" w:hAnsi="Calibri" w:cs="Mangal"/>
          <w:kern w:val="2"/>
          <w:sz w:val="24"/>
          <w:szCs w:val="24"/>
          <w:lang w:eastAsia="en-US"/>
          <w14:ligatures w14:val="standardContextual"/>
        </w:rPr>
        <w:t>m</w:t>
      </w:r>
      <w:r w:rsidR="006E0759" w:rsidRPr="00261C59">
        <w:rPr>
          <w:rFonts w:ascii="Calibri" w:eastAsia="Calibri" w:hAnsi="Calibri" w:cs="Mangal"/>
          <w:kern w:val="2"/>
          <w:sz w:val="24"/>
          <w:szCs w:val="24"/>
          <w:lang w:eastAsia="en-US"/>
          <w14:ligatures w14:val="standardContextual"/>
        </w:rPr>
        <w:t xml:space="preserve">ain barriers to discharge, where primary reasons include: </w:t>
      </w:r>
    </w:p>
    <w:p w14:paraId="530AA1B9" w14:textId="2771F227" w:rsidR="006E0759" w:rsidRPr="00261C59" w:rsidRDefault="006E0759" w:rsidP="004728D9">
      <w:pPr>
        <w:widowControl/>
        <w:numPr>
          <w:ilvl w:val="2"/>
          <w:numId w:val="137"/>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Administrative – personal reasons such as financial affairs, making family arrangements, preparing the home environment</w:t>
      </w:r>
    </w:p>
    <w:p w14:paraId="59EB17FD" w14:textId="596390B1" w:rsidR="006E0759" w:rsidRPr="00261C59" w:rsidRDefault="006E0759" w:rsidP="004728D9">
      <w:pPr>
        <w:widowControl/>
        <w:numPr>
          <w:ilvl w:val="2"/>
          <w:numId w:val="137"/>
        </w:numPr>
        <w:adjustRightInd/>
        <w:spacing w:after="240" w:line="260" w:lineRule="exact"/>
        <w:ind w:left="1842" w:hanging="181"/>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Administrative – related to guardianship proceedings</w:t>
      </w:r>
    </w:p>
    <w:p w14:paraId="2B042053" w14:textId="5BB2BDED" w:rsidR="006E0759" w:rsidRPr="00261C59" w:rsidRDefault="006E0759" w:rsidP="004728D9">
      <w:pPr>
        <w:widowControl/>
        <w:numPr>
          <w:ilvl w:val="2"/>
          <w:numId w:val="137"/>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Aged care assessment in progress or waitlisted</w:t>
      </w:r>
    </w:p>
    <w:p w14:paraId="5858DAB4" w14:textId="732D0EF4" w:rsidR="006E0759" w:rsidRPr="00261C59" w:rsidRDefault="006E0759" w:rsidP="004728D9">
      <w:pPr>
        <w:widowControl/>
        <w:numPr>
          <w:ilvl w:val="2"/>
          <w:numId w:val="137"/>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Awaiting a transition care bed</w:t>
      </w:r>
    </w:p>
    <w:p w14:paraId="63CB2153" w14:textId="7C4DE861" w:rsidR="006E0759" w:rsidRPr="00261C59" w:rsidRDefault="006E0759" w:rsidP="004728D9">
      <w:pPr>
        <w:widowControl/>
        <w:numPr>
          <w:ilvl w:val="2"/>
          <w:numId w:val="137"/>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Awaiting a bed in a residential aged care home – no availability at selected home(s</w:t>
      </w:r>
      <w:r w:rsidR="007B7AF4">
        <w:rPr>
          <w:rFonts w:ascii="Calibri" w:eastAsia="Calibri" w:hAnsi="Calibri" w:cs="Mangal"/>
          <w:kern w:val="2"/>
          <w:sz w:val="24"/>
          <w:szCs w:val="24"/>
          <w:lang w:eastAsia="en-US"/>
          <w14:ligatures w14:val="standardContextual"/>
        </w:rPr>
        <w:t>)</w:t>
      </w:r>
    </w:p>
    <w:p w14:paraId="02CA699D" w14:textId="53D8DD94" w:rsidR="006E0759" w:rsidRPr="00261C59" w:rsidRDefault="006E0759" w:rsidP="004728D9">
      <w:pPr>
        <w:widowControl/>
        <w:numPr>
          <w:ilvl w:val="2"/>
          <w:numId w:val="137"/>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Awaiting a bed in a residential aged care home – cannot identify a suitable home due to complex care needs</w:t>
      </w:r>
    </w:p>
    <w:p w14:paraId="2A425433" w14:textId="77777777" w:rsidR="006E0759" w:rsidRPr="00261C59" w:rsidRDefault="006E0759" w:rsidP="004728D9">
      <w:pPr>
        <w:widowControl/>
        <w:numPr>
          <w:ilvl w:val="2"/>
          <w:numId w:val="137"/>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Awaiting aged care services in the home – Commonwealth Home </w:t>
      </w:r>
      <w:r w:rsidR="002B2C5F" w:rsidRPr="00261C59">
        <w:rPr>
          <w:rFonts w:ascii="Calibri" w:eastAsia="Calibri" w:hAnsi="Calibri" w:cs="Mangal"/>
          <w:kern w:val="2"/>
          <w:sz w:val="24"/>
          <w:szCs w:val="24"/>
          <w:lang w:eastAsia="en-US"/>
          <w14:ligatures w14:val="standardContextual"/>
        </w:rPr>
        <w:t>Support</w:t>
      </w:r>
      <w:r w:rsidRPr="00261C59">
        <w:rPr>
          <w:rFonts w:ascii="Calibri" w:eastAsia="Calibri" w:hAnsi="Calibri" w:cs="Mangal"/>
          <w:kern w:val="2"/>
          <w:sz w:val="24"/>
          <w:szCs w:val="24"/>
          <w:lang w:eastAsia="en-US"/>
          <w14:ligatures w14:val="standardContextual"/>
        </w:rPr>
        <w:t xml:space="preserve"> </w:t>
      </w:r>
    </w:p>
    <w:p w14:paraId="4DA4E9CB" w14:textId="41B958D9" w:rsidR="002B2C5F" w:rsidRPr="00261C59" w:rsidRDefault="002B2C5F" w:rsidP="004728D9">
      <w:pPr>
        <w:widowControl/>
        <w:numPr>
          <w:ilvl w:val="2"/>
          <w:numId w:val="137"/>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Awaiting aged care services in the home – Support at Home</w:t>
      </w:r>
    </w:p>
    <w:p w14:paraId="4AA9E33E" w14:textId="7E924DC0" w:rsidR="006E0759" w:rsidRPr="00261C59" w:rsidRDefault="006E0759" w:rsidP="004728D9">
      <w:pPr>
        <w:widowControl/>
        <w:numPr>
          <w:ilvl w:val="2"/>
          <w:numId w:val="137"/>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Patient/family prefers not to move</w:t>
      </w:r>
    </w:p>
    <w:p w14:paraId="727F9AD6" w14:textId="77777777" w:rsidR="006E0759" w:rsidRPr="00261C59" w:rsidRDefault="006E0759" w:rsidP="004728D9">
      <w:pPr>
        <w:widowControl/>
        <w:numPr>
          <w:ilvl w:val="1"/>
          <w:numId w:val="137"/>
        </w:numPr>
        <w:adjustRightInd/>
        <w:spacing w:after="240" w:line="260" w:lineRule="exact"/>
        <w:jc w:val="left"/>
        <w:textAlignment w:val="auto"/>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demonstrated impact of the initiatives including hospital bed days for the relevant patient cohort and admission rates for participating patients.</w:t>
      </w:r>
    </w:p>
    <w:p w14:paraId="2463F15D" w14:textId="4DBDC58C" w:rsidR="006E0759" w:rsidRPr="00261C59" w:rsidRDefault="006E0759" w:rsidP="004728D9">
      <w:pPr>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Development of the national data collection will align with work under the </w:t>
      </w:r>
      <w:r w:rsidR="00292140" w:rsidRPr="00261C59">
        <w:rPr>
          <w:rFonts w:ascii="Calibri" w:eastAsia="Calibri" w:hAnsi="Calibri" w:cs="Mangal"/>
          <w:kern w:val="2"/>
          <w:sz w:val="24"/>
          <w:szCs w:val="24"/>
          <w:lang w:eastAsia="en-US"/>
          <w14:ligatures w14:val="standardContextual"/>
        </w:rPr>
        <w:t>h</w:t>
      </w:r>
      <w:r w:rsidRPr="00261C59">
        <w:rPr>
          <w:rFonts w:ascii="Calibri" w:eastAsia="Calibri" w:hAnsi="Calibri" w:cs="Mangal"/>
          <w:kern w:val="2"/>
          <w:sz w:val="24"/>
          <w:szCs w:val="24"/>
          <w:lang w:eastAsia="en-US"/>
          <w14:ligatures w14:val="standardContextual"/>
        </w:rPr>
        <w:t xml:space="preserve">ealth </w:t>
      </w:r>
      <w:r w:rsidR="00292140" w:rsidRPr="00261C59">
        <w:rPr>
          <w:rFonts w:ascii="Calibri" w:eastAsia="Calibri" w:hAnsi="Calibri" w:cs="Mangal"/>
          <w:kern w:val="2"/>
          <w:sz w:val="24"/>
          <w:szCs w:val="24"/>
          <w:lang w:eastAsia="en-US"/>
          <w14:ligatures w14:val="standardContextual"/>
        </w:rPr>
        <w:t>s</w:t>
      </w:r>
      <w:r w:rsidRPr="00261C59">
        <w:rPr>
          <w:rFonts w:ascii="Calibri" w:eastAsia="Calibri" w:hAnsi="Calibri" w:cs="Mangal"/>
          <w:kern w:val="2"/>
          <w:sz w:val="24"/>
          <w:szCs w:val="24"/>
          <w:lang w:eastAsia="en-US"/>
          <w14:ligatures w14:val="standardContextual"/>
        </w:rPr>
        <w:t xml:space="preserve">ystem </w:t>
      </w:r>
      <w:r w:rsidR="00292140" w:rsidRPr="00261C59">
        <w:rPr>
          <w:rFonts w:ascii="Calibri" w:eastAsia="Calibri" w:hAnsi="Calibri" w:cs="Mangal"/>
          <w:kern w:val="2"/>
          <w:sz w:val="24"/>
          <w:szCs w:val="24"/>
          <w:lang w:eastAsia="en-US"/>
          <w14:ligatures w14:val="standardContextual"/>
        </w:rPr>
        <w:t>p</w:t>
      </w:r>
      <w:r w:rsidRPr="00261C59">
        <w:rPr>
          <w:rFonts w:ascii="Calibri" w:eastAsia="Calibri" w:hAnsi="Calibri" w:cs="Mangal"/>
          <w:kern w:val="2"/>
          <w:sz w:val="24"/>
          <w:szCs w:val="24"/>
          <w:lang w:eastAsia="en-US"/>
          <w14:ligatures w14:val="standardContextual"/>
        </w:rPr>
        <w:t xml:space="preserve">erformance </w:t>
      </w:r>
      <w:r w:rsidR="00292140" w:rsidRPr="00261C59">
        <w:rPr>
          <w:rFonts w:ascii="Calibri" w:eastAsia="Calibri" w:hAnsi="Calibri" w:cs="Mangal"/>
          <w:kern w:val="2"/>
          <w:sz w:val="24"/>
          <w:szCs w:val="24"/>
          <w:lang w:eastAsia="en-US"/>
          <w14:ligatures w14:val="standardContextual"/>
        </w:rPr>
        <w:t>assessment f</w:t>
      </w:r>
      <w:r w:rsidRPr="00261C59">
        <w:rPr>
          <w:rFonts w:ascii="Calibri" w:eastAsia="Calibri" w:hAnsi="Calibri" w:cs="Mangal"/>
          <w:kern w:val="2"/>
          <w:sz w:val="24"/>
          <w:szCs w:val="24"/>
          <w:lang w:eastAsia="en-US"/>
          <w14:ligatures w14:val="standardContextual"/>
        </w:rPr>
        <w:t xml:space="preserve">ramework to develop meaningful system measures (see </w:t>
      </w:r>
      <w:r w:rsidR="007B7AF4">
        <w:rPr>
          <w:rFonts w:ascii="Calibri" w:eastAsia="Calibri" w:hAnsi="Calibri" w:cs="Mangal"/>
          <w:kern w:val="2"/>
          <w:sz w:val="24"/>
          <w:szCs w:val="24"/>
          <w:lang w:eastAsia="en-US"/>
          <w14:ligatures w14:val="standardContextual"/>
        </w:rPr>
        <w:br/>
      </w:r>
      <w:r w:rsidRPr="00261C59">
        <w:rPr>
          <w:rFonts w:ascii="Calibri" w:eastAsia="Calibri" w:hAnsi="Calibri" w:cs="Mangal"/>
          <w:kern w:val="2"/>
          <w:sz w:val="24"/>
          <w:szCs w:val="24"/>
          <w:lang w:eastAsia="en-US"/>
          <w14:ligatures w14:val="standardContextual"/>
        </w:rPr>
        <w:t>clause H1</w:t>
      </w:r>
      <w:r w:rsidR="002E5F93" w:rsidRPr="00261C59">
        <w:rPr>
          <w:rFonts w:ascii="Calibri" w:eastAsia="Calibri" w:hAnsi="Calibri" w:cs="Mangal"/>
          <w:kern w:val="2"/>
          <w:sz w:val="24"/>
          <w:szCs w:val="24"/>
          <w:lang w:eastAsia="en-US"/>
          <w14:ligatures w14:val="standardContextual"/>
        </w:rPr>
        <w:t>5</w:t>
      </w:r>
      <w:r w:rsidRPr="00261C59">
        <w:rPr>
          <w:rFonts w:ascii="Calibri" w:eastAsia="Calibri" w:hAnsi="Calibri" w:cs="Mangal"/>
          <w:kern w:val="2"/>
          <w:sz w:val="24"/>
          <w:szCs w:val="24"/>
          <w:lang w:eastAsia="en-US"/>
          <w14:ligatures w14:val="standardContextual"/>
        </w:rPr>
        <w:t>). Parties will also have regard to reporting against any relevant quality and safety principles and standards for transitions of care in development.</w:t>
      </w:r>
    </w:p>
    <w:p w14:paraId="292F4CBC" w14:textId="4E5DBB55" w:rsidR="006E0759" w:rsidRPr="00261C59" w:rsidRDefault="006E0759" w:rsidP="004728D9">
      <w:pPr>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The Parties commit to </w:t>
      </w:r>
      <w:r w:rsidRPr="00261C59">
        <w:rPr>
          <w:rFonts w:ascii="Calibri" w:eastAsia="Calibri" w:hAnsi="Calibri" w:cs="Mangal"/>
          <w:sz w:val="24"/>
          <w:szCs w:val="24"/>
          <w:lang w:eastAsia="en-US"/>
        </w:rPr>
        <w:t>monthly reporting of relevant</w:t>
      </w:r>
      <w:r w:rsidRPr="00261C59">
        <w:rPr>
          <w:rFonts w:ascii="Calibri" w:eastAsia="Calibri" w:hAnsi="Calibri" w:cs="Mangal"/>
          <w:kern w:val="2"/>
          <w:sz w:val="24"/>
          <w:szCs w:val="24"/>
          <w:lang w:eastAsia="en-US"/>
          <w14:ligatures w14:val="standardContextual"/>
        </w:rPr>
        <w:t xml:space="preserve"> data and to address barriers to data sharing, including legislative barriers, to support these reforms. This will be done in alignment with </w:t>
      </w:r>
      <w:r w:rsidRPr="00261C59">
        <w:rPr>
          <w:rFonts w:ascii="Calibri" w:eastAsia="Calibri" w:hAnsi="Calibri" w:cs="Mangal"/>
          <w:sz w:val="24"/>
          <w:szCs w:val="24"/>
          <w:lang w:eastAsia="en-US"/>
        </w:rPr>
        <w:t xml:space="preserve">the </w:t>
      </w:r>
      <w:r w:rsidRPr="00261C59">
        <w:rPr>
          <w:rFonts w:ascii="Calibri" w:eastAsia="Calibri" w:hAnsi="Calibri" w:cs="Mangal"/>
          <w:kern w:val="2"/>
          <w:sz w:val="24"/>
          <w:szCs w:val="24"/>
          <w:lang w:eastAsia="en-US"/>
          <w14:ligatures w14:val="standardContextual"/>
        </w:rPr>
        <w:t>national Governance Framework outlined in Schedule H</w:t>
      </w:r>
      <w:r w:rsidR="00B73E68">
        <w:rPr>
          <w:rFonts w:ascii="Calibri" w:eastAsia="Calibri" w:hAnsi="Calibri" w:cs="Mangal"/>
          <w:kern w:val="2"/>
          <w:sz w:val="24"/>
          <w:szCs w:val="24"/>
          <w:lang w:eastAsia="en-US"/>
          <w14:ligatures w14:val="standardContextual"/>
        </w:rPr>
        <w:t xml:space="preserve">, </w:t>
      </w:r>
      <w:r w:rsidRPr="00261C59">
        <w:rPr>
          <w:rFonts w:ascii="Calibri" w:eastAsia="Calibri" w:hAnsi="Calibri" w:cs="Mangal"/>
          <w:kern w:val="2"/>
          <w:sz w:val="24"/>
          <w:szCs w:val="24"/>
          <w:lang w:eastAsia="en-US"/>
          <w14:ligatures w14:val="standardContextual"/>
        </w:rPr>
        <w:t>National Health Data System</w:t>
      </w:r>
      <w:r w:rsidR="00B73E68">
        <w:rPr>
          <w:rFonts w:ascii="Calibri" w:eastAsia="Calibri" w:hAnsi="Calibri" w:cs="Mangal"/>
          <w:kern w:val="2"/>
          <w:sz w:val="24"/>
          <w:szCs w:val="24"/>
          <w:lang w:eastAsia="en-US"/>
          <w14:ligatures w14:val="standardContextual"/>
        </w:rPr>
        <w:t xml:space="preserve"> section</w:t>
      </w:r>
      <w:r w:rsidRPr="00261C59">
        <w:rPr>
          <w:rFonts w:ascii="Calibri" w:eastAsia="Calibri" w:hAnsi="Calibri" w:cs="Mangal"/>
          <w:kern w:val="2"/>
          <w:sz w:val="24"/>
          <w:szCs w:val="24"/>
          <w:lang w:eastAsia="en-US"/>
          <w14:ligatures w14:val="standardContextual"/>
        </w:rPr>
        <w:t xml:space="preserve">. </w:t>
      </w:r>
    </w:p>
    <w:p w14:paraId="169F9ADF" w14:textId="3CCB2C80" w:rsidR="006E0759" w:rsidRPr="00261C59" w:rsidRDefault="006E0759" w:rsidP="004728D9">
      <w:pPr>
        <w:keepLines/>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kern w:val="2"/>
          <w:sz w:val="24"/>
          <w:szCs w:val="24"/>
          <w:lang w:eastAsia="en-US"/>
          <w14:ligatures w14:val="standardContextual"/>
        </w:rPr>
        <w:t xml:space="preserve">The </w:t>
      </w:r>
      <w:r w:rsidR="002B2C5F" w:rsidRPr="00261C59">
        <w:rPr>
          <w:rFonts w:ascii="Calibri" w:eastAsia="Calibri" w:hAnsi="Calibri" w:cs="Mangal"/>
          <w:kern w:val="2"/>
          <w:sz w:val="24"/>
          <w:szCs w:val="24"/>
          <w:lang w:eastAsia="en-US"/>
          <w14:ligatures w14:val="standardContextual"/>
        </w:rPr>
        <w:t>Intergovernmental</w:t>
      </w:r>
      <w:r w:rsidRPr="00261C59">
        <w:rPr>
          <w:rFonts w:ascii="Calibri" w:eastAsia="Calibri" w:hAnsi="Calibri" w:cs="Mangal"/>
          <w:kern w:val="2"/>
          <w:sz w:val="24"/>
          <w:szCs w:val="24"/>
          <w:lang w:eastAsia="en-US"/>
          <w14:ligatures w14:val="standardContextual"/>
        </w:rPr>
        <w:t xml:space="preserve"> Health and Aged Care Senior Officials Group or relevant HCEF nominated forum will be accountable for progress under this Addendum, with parallel reporting to HCEF and </w:t>
      </w:r>
      <w:r w:rsidR="008313E6" w:rsidRPr="00261C59">
        <w:rPr>
          <w:rFonts w:ascii="Calibri" w:eastAsia="Calibri" w:hAnsi="Calibri" w:cs="Mangal"/>
          <w:kern w:val="2"/>
          <w:sz w:val="24"/>
          <w:szCs w:val="24"/>
          <w:lang w:eastAsia="en-US"/>
          <w14:ligatures w14:val="standardContextual"/>
        </w:rPr>
        <w:t>other sub-committees as needed</w:t>
      </w:r>
      <w:r w:rsidRPr="00261C59">
        <w:rPr>
          <w:rFonts w:ascii="Calibri" w:eastAsia="Calibri" w:hAnsi="Calibri" w:cs="Mangal"/>
          <w:kern w:val="2"/>
          <w:sz w:val="24"/>
          <w:szCs w:val="24"/>
          <w:lang w:eastAsia="en-US"/>
          <w14:ligatures w14:val="standardContextual"/>
        </w:rPr>
        <w:t xml:space="preserve">.  </w:t>
      </w:r>
    </w:p>
    <w:p w14:paraId="040516EF" w14:textId="77777777" w:rsidR="006E0759" w:rsidRPr="00261C59" w:rsidRDefault="006E0759" w:rsidP="1476B102">
      <w:pPr>
        <w:pStyle w:val="Heading2"/>
        <w:widowControl/>
        <w:adjustRightInd/>
        <w:spacing w:before="180" w:after="120"/>
        <w:jc w:val="left"/>
        <w:textAlignment w:val="auto"/>
        <w:rPr>
          <w:rFonts w:ascii="Corbel" w:eastAsia="Times New Roman" w:hAnsi="Corbel" w:cs="Arial"/>
          <w:color w:val="3D4B67"/>
          <w:sz w:val="28"/>
          <w:szCs w:val="28"/>
        </w:rPr>
      </w:pPr>
      <w:bookmarkStart w:id="585" w:name="_Toc173837453"/>
      <w:bookmarkStart w:id="586" w:name="_Toc201674014"/>
      <w:bookmarkStart w:id="587" w:name="_Toc210833651"/>
      <w:bookmarkStart w:id="588" w:name="_Toc214456551"/>
      <w:bookmarkStart w:id="589" w:name="_Toc221088031"/>
      <w:r w:rsidRPr="00261C59">
        <w:rPr>
          <w:rFonts w:ascii="Corbel" w:eastAsia="Times New Roman" w:hAnsi="Corbel" w:cs="Arial"/>
          <w:color w:val="3D4B67"/>
          <w:sz w:val="28"/>
          <w:szCs w:val="28"/>
        </w:rPr>
        <w:t>Further work to commence during the Addendum</w:t>
      </w:r>
      <w:bookmarkEnd w:id="585"/>
      <w:bookmarkEnd w:id="586"/>
      <w:bookmarkEnd w:id="587"/>
      <w:bookmarkEnd w:id="588"/>
      <w:bookmarkEnd w:id="589"/>
    </w:p>
    <w:p w14:paraId="5510E85E" w14:textId="5976FC05" w:rsidR="00C43E2E" w:rsidRPr="00261C59" w:rsidRDefault="002B2C5F" w:rsidP="004728D9">
      <w:pPr>
        <w:numPr>
          <w:ilvl w:val="0"/>
          <w:numId w:val="22"/>
        </w:numPr>
        <w:spacing w:after="240" w:line="260" w:lineRule="exact"/>
        <w:jc w:val="left"/>
        <w:rPr>
          <w:rFonts w:ascii="Calibri" w:eastAsia="Calibri" w:hAnsi="Calibri" w:cs="Mangal"/>
          <w:kern w:val="2"/>
          <w:sz w:val="24"/>
          <w:szCs w:val="24"/>
          <w:lang w:eastAsia="en-US"/>
          <w14:ligatures w14:val="standardContextual"/>
        </w:rPr>
      </w:pPr>
      <w:r w:rsidRPr="00261C59">
        <w:rPr>
          <w:rFonts w:ascii="Calibri" w:eastAsia="Calibri" w:hAnsi="Calibri" w:cs="Mangal"/>
          <w:sz w:val="24"/>
          <w:szCs w:val="24"/>
          <w:lang w:eastAsia="en-US"/>
        </w:rPr>
        <w:t xml:space="preserve">The Parties, in collaboration with the NDIA, will develop nationally consistent definitions, data collection and performance reporting on public hospital patients who are NDIS participants or prospective NDIS participants to support safe and timely discharge and seek endorsement from HMM and Disability Reform Ministerial Council by </w:t>
      </w:r>
      <w:r w:rsidR="00241C6E" w:rsidRPr="00261C59">
        <w:rPr>
          <w:rFonts w:ascii="Calibri" w:eastAsia="Calibri" w:hAnsi="Calibri" w:cs="Mangal"/>
          <w:sz w:val="24"/>
          <w:szCs w:val="24"/>
          <w:lang w:eastAsia="en-US"/>
        </w:rPr>
        <w:br/>
      </w:r>
      <w:r w:rsidRPr="00261C59">
        <w:rPr>
          <w:rFonts w:ascii="Calibri" w:eastAsia="Calibri" w:hAnsi="Calibri" w:cs="Mangal"/>
          <w:sz w:val="24"/>
          <w:szCs w:val="24"/>
          <w:lang w:eastAsia="en-US"/>
        </w:rPr>
        <w:t>December 2026.</w:t>
      </w:r>
      <w:r w:rsidRPr="00261C59" w:rsidDel="00F1085A">
        <w:rPr>
          <w:rFonts w:ascii="Calibri" w:eastAsia="Calibri" w:hAnsi="Calibri" w:cs="Mangal"/>
          <w:sz w:val="24"/>
          <w:szCs w:val="24"/>
          <w:lang w:eastAsia="en-US"/>
        </w:rPr>
        <w:t xml:space="preserve"> </w:t>
      </w:r>
    </w:p>
    <w:p w14:paraId="524D91F6" w14:textId="27D943F5" w:rsidR="002B2C5F" w:rsidRPr="00261C59" w:rsidRDefault="002B2C5F" w:rsidP="004728D9">
      <w:pPr>
        <w:numPr>
          <w:ilvl w:val="1"/>
          <w:numId w:val="13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The Parties will provide quarterly reporting to HMM and Disability Reform Ministerial Council at the state and territory, Local Health Network and individual hospital level. The Parties also agree to make quarterly performance reporting publicly available at this level from 1 July 2027. </w:t>
      </w:r>
    </w:p>
    <w:p w14:paraId="706517C2" w14:textId="4257257A" w:rsidR="0092422B" w:rsidRPr="00261C59" w:rsidRDefault="002521B8" w:rsidP="004728D9">
      <w:pPr>
        <w:numPr>
          <w:ilvl w:val="0"/>
          <w:numId w:val="22"/>
        </w:numPr>
        <w:spacing w:after="240" w:line="260" w:lineRule="exact"/>
        <w:jc w:val="left"/>
        <w:rPr>
          <w:rFonts w:ascii="Calibri" w:eastAsia="Calibri" w:hAnsi="Calibri" w:cs="Mangal"/>
          <w:kern w:val="2"/>
          <w:sz w:val="24"/>
          <w:szCs w:val="24"/>
          <w:lang w:eastAsia="en-US"/>
          <w14:ligatures w14:val="standardContextual"/>
        </w:rPr>
        <w:sectPr w:rsidR="0092422B" w:rsidRPr="00261C59" w:rsidSect="00975D83">
          <w:pgSz w:w="11906" w:h="16838"/>
          <w:pgMar w:top="1440" w:right="1274" w:bottom="1440" w:left="1134" w:header="708" w:footer="708" w:gutter="0"/>
          <w:cols w:space="708"/>
          <w:docGrid w:linePitch="360"/>
        </w:sectPr>
      </w:pPr>
      <w:r w:rsidRPr="00261C59">
        <w:rPr>
          <w:rFonts w:ascii="Calibri" w:eastAsia="Calibri" w:hAnsi="Calibri" w:cs="Mangal"/>
          <w:kern w:val="2"/>
          <w:sz w:val="24"/>
          <w:szCs w:val="24"/>
          <w:lang w:eastAsia="en-US"/>
          <w14:ligatures w14:val="standardContextual"/>
        </w:rPr>
        <w:t xml:space="preserve">As part of broader disability reforms, during the life of this Addendum, the </w:t>
      </w:r>
      <w:r w:rsidRPr="00261C59">
        <w:rPr>
          <w:rFonts w:ascii="Calibri" w:eastAsia="Calibri" w:hAnsi="Calibri" w:cs="Mangal"/>
          <w:sz w:val="24"/>
          <w:szCs w:val="24"/>
          <w:lang w:eastAsia="en-US"/>
        </w:rPr>
        <w:t>Commonwealth will collaborate with states</w:t>
      </w:r>
      <w:r w:rsidRPr="00261C59">
        <w:rPr>
          <w:rFonts w:ascii="Calibri" w:eastAsia="Calibri" w:hAnsi="Calibri" w:cs="Mangal"/>
          <w:kern w:val="2"/>
          <w:sz w:val="24"/>
          <w:szCs w:val="24"/>
          <w:lang w:eastAsia="en-US"/>
          <w14:ligatures w14:val="standardContextual"/>
        </w:rPr>
        <w:t xml:space="preserve"> in developing options for a nationally consistent approach to health </w:t>
      </w:r>
      <w:r w:rsidRPr="00261C59">
        <w:rPr>
          <w:rFonts w:ascii="Calibri" w:eastAsia="Calibri" w:hAnsi="Calibri" w:cs="Mangal"/>
          <w:sz w:val="24"/>
          <w:szCs w:val="24"/>
          <w:lang w:eastAsia="en-US"/>
        </w:rPr>
        <w:t>system</w:t>
      </w:r>
      <w:r w:rsidRPr="00261C59">
        <w:rPr>
          <w:rFonts w:ascii="Calibri" w:eastAsia="Calibri" w:hAnsi="Calibri" w:cs="Mangal"/>
          <w:kern w:val="2"/>
          <w:sz w:val="24"/>
          <w:szCs w:val="24"/>
          <w:lang w:eastAsia="en-US"/>
          <w14:ligatures w14:val="standardContextual"/>
        </w:rPr>
        <w:t xml:space="preserve"> navigation for people with disability.</w:t>
      </w:r>
    </w:p>
    <w:p w14:paraId="7DD96AEC" w14:textId="77777777" w:rsidR="00BA3053" w:rsidRPr="00261C59" w:rsidRDefault="00BA3053" w:rsidP="00BA3053">
      <w:pPr>
        <w:pStyle w:val="Heading1"/>
        <w:keepLines w:val="0"/>
        <w:widowControl/>
        <w:tabs>
          <w:tab w:val="clear" w:pos="567"/>
        </w:tabs>
        <w:adjustRightInd/>
        <w:spacing w:before="480" w:after="180"/>
        <w:jc w:val="left"/>
        <w:textAlignment w:val="auto"/>
        <w:rPr>
          <w:rFonts w:ascii="Consolas" w:eastAsia="Times New Roman" w:hAnsi="Consolas" w:cs="Arial"/>
          <w:b w:val="0"/>
          <w:caps/>
          <w:color w:val="980033"/>
          <w:kern w:val="32"/>
          <w:szCs w:val="36"/>
        </w:rPr>
      </w:pPr>
      <w:bookmarkStart w:id="590" w:name="_Toc210833652"/>
      <w:bookmarkStart w:id="591" w:name="_Toc214456552"/>
      <w:bookmarkStart w:id="592" w:name="_Toc221088032"/>
      <w:bookmarkStart w:id="593" w:name="_Hlk23609070"/>
      <w:bookmarkStart w:id="594" w:name="_Hlk23610900"/>
      <w:bookmarkEnd w:id="533"/>
      <w:r w:rsidRPr="00261C59">
        <w:rPr>
          <w:rFonts w:ascii="Consolas" w:eastAsia="Times New Roman" w:hAnsi="Consolas" w:cs="Arial"/>
          <w:b w:val="0"/>
          <w:caps/>
          <w:color w:val="980033"/>
          <w:kern w:val="32"/>
          <w:szCs w:val="36"/>
        </w:rPr>
        <w:t>SCHEDULE D – Transforming service delivery</w:t>
      </w:r>
      <w:bookmarkEnd w:id="590"/>
      <w:bookmarkEnd w:id="591"/>
      <w:bookmarkEnd w:id="592"/>
    </w:p>
    <w:p w14:paraId="108CE2B3" w14:textId="36E8C3C4" w:rsidR="00BA3053" w:rsidRPr="00261C59" w:rsidRDefault="00BA3053" w:rsidP="004728D9">
      <w:pPr>
        <w:keepNext/>
        <w:numPr>
          <w:ilvl w:val="0"/>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Structural health reform is needed to ensure people receive the right care, in the right place, at the right time, from the right provider. Through this Schedule, the Parties agree to work together to progress national system reforms by trialling and scaling optimal models of care, supporting improvements in service delivery, and providing more flexible pricing and funding arrangements. </w:t>
      </w:r>
    </w:p>
    <w:p w14:paraId="07E1A36E" w14:textId="2E3E429C" w:rsidR="00BA3053" w:rsidRPr="00261C59" w:rsidRDefault="00BA3053" w:rsidP="004728D9">
      <w:pPr>
        <w:keepNext/>
        <w:numPr>
          <w:ilvl w:val="0"/>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The Parties agree that more health care can be provided safely outside of hospitals, including through the Addendum. In many instances, this means: timelier access to care, and better health and mental health outcomes and experiences for people and health practitioners; a greater focus on preventive care, which will support all Australians to live healthier lives; a reduction in avoidable hospital admissions; and delivery of care that is less resource intensive, which improves sustainability of health expenditure for all governments, and helps reduce climate impacts. </w:t>
      </w:r>
    </w:p>
    <w:p w14:paraId="7647617D" w14:textId="0A18CAAE" w:rsidR="00BA3053" w:rsidRPr="00261C59" w:rsidRDefault="00BA3053" w:rsidP="00830547">
      <w:pPr>
        <w:keepNext/>
        <w:numPr>
          <w:ilvl w:val="0"/>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sz w:val="24"/>
        </w:rPr>
        <w:t xml:space="preserve">To </w:t>
      </w:r>
      <w:r w:rsidRPr="00261C59">
        <w:rPr>
          <w:rFonts w:asciiTheme="minorHAnsi" w:eastAsia="Calibri" w:hAnsiTheme="minorHAnsi" w:cstheme="minorBidi"/>
          <w:sz w:val="24"/>
          <w:szCs w:val="24"/>
        </w:rPr>
        <w:t xml:space="preserve">ensure </w:t>
      </w:r>
      <w:r w:rsidRPr="00261C59">
        <w:rPr>
          <w:rFonts w:asciiTheme="minorHAnsi" w:eastAsia="Calibri" w:hAnsiTheme="minorHAnsi"/>
          <w:sz w:val="24"/>
        </w:rPr>
        <w:t>the health system can respond to the changing needs of the Australian population</w:t>
      </w:r>
      <w:r w:rsidRPr="00261C59">
        <w:rPr>
          <w:rFonts w:asciiTheme="minorHAnsi" w:eastAsia="Calibri" w:hAnsiTheme="minorHAnsi" w:cstheme="minorBidi"/>
          <w:sz w:val="24"/>
          <w:szCs w:val="24"/>
        </w:rPr>
        <w:t xml:space="preserve"> while ensuring ongoing sustainability,</w:t>
      </w:r>
      <w:r w:rsidRPr="00261C59">
        <w:rPr>
          <w:rFonts w:asciiTheme="minorHAnsi" w:eastAsia="Calibri" w:hAnsiTheme="minorHAnsi"/>
          <w:sz w:val="24"/>
        </w:rPr>
        <w:t xml:space="preserve"> the Parties </w:t>
      </w:r>
      <w:r w:rsidRPr="00261C59">
        <w:rPr>
          <w:rFonts w:asciiTheme="minorHAnsi" w:eastAsia="Calibri" w:hAnsiTheme="minorHAnsi" w:cstheme="minorBidi"/>
          <w:sz w:val="24"/>
          <w:szCs w:val="24"/>
        </w:rPr>
        <w:t>agree that reforms to NHRA financing arrangements are needed to make the system more productive, value-based and focused on individual and community needs.</w:t>
      </w:r>
    </w:p>
    <w:p w14:paraId="2B73F0E5" w14:textId="77777777" w:rsidR="00BA3053" w:rsidRPr="00261C59" w:rsidRDefault="00BA3053" w:rsidP="00830547">
      <w:pPr>
        <w:keepNext/>
        <w:numPr>
          <w:ilvl w:val="0"/>
          <w:numId w:val="258"/>
        </w:numPr>
        <w:spacing w:after="240" w:line="260" w:lineRule="exact"/>
        <w:jc w:val="left"/>
        <w:rPr>
          <w:rFonts w:ascii="Calibri" w:eastAsia="Calibri" w:hAnsi="Calibri" w:cs="Calibri"/>
          <w:color w:val="000000" w:themeColor="text1"/>
          <w:sz w:val="24"/>
          <w:szCs w:val="24"/>
        </w:rPr>
      </w:pPr>
      <w:r w:rsidRPr="00261C59">
        <w:rPr>
          <w:rFonts w:asciiTheme="minorHAnsi" w:eastAsia="Calibri" w:hAnsiTheme="minorHAnsi" w:cstheme="minorBidi"/>
          <w:sz w:val="24"/>
          <w:szCs w:val="24"/>
        </w:rPr>
        <w:t xml:space="preserve">The Parties acknowledge progress was limited on the long-term reform commitments from the 2020-25 Addendum, due to a range of factors identified in the 2023 NHRA Mid-Term Review. A new approach is needed to improve implementation of reforms </w:t>
      </w:r>
      <w:r w:rsidRPr="00261C59">
        <w:rPr>
          <w:rFonts w:ascii="Calibri" w:eastAsia="Calibri" w:hAnsi="Calibri" w:cs="Calibri"/>
          <w:color w:val="000000" w:themeColor="text1"/>
          <w:sz w:val="24"/>
          <w:szCs w:val="24"/>
        </w:rPr>
        <w:t>required to shift the system to more effectively and efficiently meet the current and future needs of patients, populations and the health system. This includes, but is not limited to:</w:t>
      </w:r>
    </w:p>
    <w:p w14:paraId="19ED5E08" w14:textId="374D6636" w:rsidR="00BA3053" w:rsidRPr="00261C59" w:rsidRDefault="00BA3053" w:rsidP="00830547">
      <w:pPr>
        <w:keepNext/>
        <w:numPr>
          <w:ilvl w:val="1"/>
          <w:numId w:val="258"/>
        </w:numPr>
        <w:spacing w:after="240" w:line="260" w:lineRule="exact"/>
        <w:jc w:val="left"/>
        <w:rPr>
          <w:rFonts w:ascii="Calibri" w:eastAsia="Calibri" w:hAnsi="Calibri" w:cs="Calibri"/>
          <w:color w:val="000000" w:themeColor="text1"/>
          <w:sz w:val="24"/>
          <w:szCs w:val="24"/>
        </w:rPr>
      </w:pPr>
      <w:r w:rsidRPr="00261C59">
        <w:rPr>
          <w:rFonts w:ascii="Calibri" w:eastAsia="Calibri" w:hAnsi="Calibri" w:cs="Calibri"/>
          <w:color w:val="000000" w:themeColor="text1"/>
          <w:sz w:val="24"/>
          <w:szCs w:val="24"/>
        </w:rPr>
        <w:t>implementing expanded scope of services and service models that help reduce avoidable hospital admissions</w:t>
      </w:r>
    </w:p>
    <w:p w14:paraId="423D0E68" w14:textId="51E5420C" w:rsidR="00BA3053" w:rsidRPr="00261C59" w:rsidRDefault="00BA3053" w:rsidP="00830547">
      <w:pPr>
        <w:keepNext/>
        <w:numPr>
          <w:ilvl w:val="1"/>
          <w:numId w:val="258"/>
        </w:numPr>
        <w:spacing w:after="240" w:line="260" w:lineRule="exact"/>
        <w:jc w:val="left"/>
        <w:rPr>
          <w:rFonts w:ascii="Calibri" w:eastAsia="Calibri" w:hAnsi="Calibri" w:cs="Calibri"/>
          <w:color w:val="000000" w:themeColor="text1"/>
          <w:sz w:val="24"/>
          <w:szCs w:val="24"/>
        </w:rPr>
      </w:pPr>
      <w:r w:rsidRPr="00261C59">
        <w:rPr>
          <w:rFonts w:ascii="Calibri" w:eastAsia="Calibri" w:hAnsi="Calibri" w:cs="Calibri"/>
          <w:color w:val="000000" w:themeColor="text1"/>
          <w:sz w:val="24"/>
          <w:szCs w:val="24"/>
        </w:rPr>
        <w:t>trialling and introducing alternative funding and payment models for optimal models of care, supported by new governance arrangements</w:t>
      </w:r>
    </w:p>
    <w:p w14:paraId="3B5E79C8" w14:textId="6B306B2C" w:rsidR="00BA3053" w:rsidRPr="00261C59" w:rsidRDefault="00BA3053" w:rsidP="00830547">
      <w:pPr>
        <w:keepNext/>
        <w:numPr>
          <w:ilvl w:val="1"/>
          <w:numId w:val="258"/>
        </w:numPr>
        <w:spacing w:after="240" w:line="260" w:lineRule="exact"/>
        <w:jc w:val="left"/>
        <w:rPr>
          <w:rFonts w:ascii="Calibri" w:eastAsia="Calibri" w:hAnsi="Calibri" w:cs="Calibri"/>
          <w:color w:val="000000" w:themeColor="text1"/>
          <w:sz w:val="24"/>
          <w:szCs w:val="24"/>
        </w:rPr>
      </w:pPr>
      <w:r w:rsidRPr="00261C59">
        <w:rPr>
          <w:rFonts w:ascii="Calibri" w:eastAsia="Calibri" w:hAnsi="Calibri" w:cs="Calibri"/>
          <w:color w:val="000000" w:themeColor="text1"/>
          <w:sz w:val="24"/>
          <w:szCs w:val="24"/>
        </w:rPr>
        <w:t>establishing the Service Model Reform Funding (SMRF) stream.</w:t>
      </w:r>
    </w:p>
    <w:p w14:paraId="3272CADE" w14:textId="77777777" w:rsidR="00BA3053" w:rsidRPr="00261C59" w:rsidRDefault="00BA3053" w:rsidP="004728D9">
      <w:pPr>
        <w:keepNext/>
        <w:numPr>
          <w:ilvl w:val="0"/>
          <w:numId w:val="258"/>
        </w:numPr>
        <w:spacing w:after="240" w:line="260" w:lineRule="exact"/>
        <w:jc w:val="left"/>
        <w:rPr>
          <w:rFonts w:ascii="Calibri" w:eastAsia="Calibri" w:hAnsi="Calibri" w:cs="Calibri"/>
          <w:color w:val="000000" w:themeColor="text1"/>
          <w:sz w:val="24"/>
          <w:szCs w:val="24"/>
        </w:rPr>
      </w:pPr>
      <w:r w:rsidRPr="00261C59">
        <w:rPr>
          <w:rFonts w:ascii="Calibri" w:eastAsia="Calibri" w:hAnsi="Calibri" w:cs="Calibri"/>
          <w:color w:val="000000" w:themeColor="text1"/>
          <w:sz w:val="24"/>
          <w:szCs w:val="24"/>
        </w:rPr>
        <w:t>The Parties agree to work collaboratively and proactively in accordance with the national principles as set out in the Preliminaries to:</w:t>
      </w:r>
    </w:p>
    <w:p w14:paraId="78DD7EFC" w14:textId="66470602" w:rsidR="00BA3053" w:rsidRPr="00261C59" w:rsidRDefault="00BA3053" w:rsidP="004728D9">
      <w:pPr>
        <w:numPr>
          <w:ilvl w:val="1"/>
          <w:numId w:val="258"/>
        </w:numPr>
        <w:spacing w:after="240" w:line="260" w:lineRule="exact"/>
        <w:jc w:val="left"/>
        <w:rPr>
          <w:rFonts w:asciiTheme="minorHAnsi" w:hAnsiTheme="minorHAnsi" w:cstheme="minorBidi"/>
          <w:sz w:val="24"/>
          <w:szCs w:val="24"/>
        </w:rPr>
      </w:pPr>
      <w:r w:rsidRPr="00261C59">
        <w:rPr>
          <w:rFonts w:asciiTheme="minorHAnsi" w:hAnsiTheme="minorHAnsi" w:cstheme="minorBidi"/>
          <w:sz w:val="24"/>
          <w:szCs w:val="24"/>
        </w:rPr>
        <w:t>address the financial, governance, reporting and accountability barriers to reform, and facilitate effective models and modalities of care being embedded into the National Funding Model</w:t>
      </w:r>
    </w:p>
    <w:p w14:paraId="645D8FAB" w14:textId="695A4BB5" w:rsidR="00BA3053" w:rsidRPr="00261C59" w:rsidRDefault="00BA3053" w:rsidP="004728D9">
      <w:pPr>
        <w:numPr>
          <w:ilvl w:val="1"/>
          <w:numId w:val="258"/>
        </w:numPr>
        <w:spacing w:after="240" w:line="260" w:lineRule="exact"/>
        <w:jc w:val="left"/>
        <w:rPr>
          <w:rFonts w:asciiTheme="minorHAnsi" w:hAnsiTheme="minorHAnsi" w:cstheme="minorBidi"/>
          <w:sz w:val="24"/>
          <w:szCs w:val="24"/>
          <w:lang w:val="en-US"/>
        </w:rPr>
      </w:pPr>
      <w:r w:rsidRPr="00261C59">
        <w:rPr>
          <w:rFonts w:asciiTheme="minorHAnsi" w:hAnsiTheme="minorHAnsi" w:cstheme="minorBidi"/>
          <w:sz w:val="24"/>
          <w:szCs w:val="24"/>
          <w:lang w:val="en-US"/>
        </w:rPr>
        <w:t xml:space="preserve">better </w:t>
      </w:r>
      <w:r w:rsidRPr="00261C59">
        <w:rPr>
          <w:rFonts w:asciiTheme="minorHAnsi" w:hAnsiTheme="minorHAnsi" w:cstheme="minorBidi"/>
          <w:sz w:val="24"/>
          <w:szCs w:val="24"/>
        </w:rPr>
        <w:t xml:space="preserve">support identifying, trialling and scaling </w:t>
      </w:r>
      <w:r w:rsidRPr="00261C59">
        <w:rPr>
          <w:rFonts w:asciiTheme="minorHAnsi" w:hAnsiTheme="minorHAnsi" w:cstheme="minorBidi"/>
          <w:sz w:val="24"/>
          <w:szCs w:val="24"/>
          <w:lang w:val="en-US"/>
        </w:rPr>
        <w:t xml:space="preserve">contemporary, safe, high-value and quality care models, including gathering and sharing evidence of critical success factors across jurisdictions and </w:t>
      </w:r>
      <w:r w:rsidRPr="00261C59">
        <w:rPr>
          <w:rFonts w:asciiTheme="minorHAnsi" w:hAnsiTheme="minorHAnsi"/>
          <w:sz w:val="24"/>
          <w:szCs w:val="24"/>
          <w:lang w:val="en-US"/>
        </w:rPr>
        <w:t xml:space="preserve">care </w:t>
      </w:r>
      <w:r w:rsidRPr="00261C59">
        <w:rPr>
          <w:rFonts w:asciiTheme="minorHAnsi" w:hAnsiTheme="minorHAnsi" w:cstheme="minorBidi"/>
          <w:sz w:val="24"/>
          <w:szCs w:val="24"/>
          <w:lang w:val="en-US"/>
        </w:rPr>
        <w:t>sectors to demonstrate proof of concept at a system leve</w:t>
      </w:r>
      <w:r w:rsidR="266770C7" w:rsidRPr="00261C59">
        <w:rPr>
          <w:rFonts w:asciiTheme="minorHAnsi" w:hAnsiTheme="minorHAnsi" w:cstheme="minorBidi"/>
          <w:sz w:val="24"/>
          <w:szCs w:val="24"/>
          <w:lang w:val="en-US"/>
        </w:rPr>
        <w:t>l</w:t>
      </w:r>
    </w:p>
    <w:p w14:paraId="745D725A" w14:textId="52B5CFA1" w:rsidR="00BA3053" w:rsidRPr="00261C59" w:rsidRDefault="00BA3053" w:rsidP="00830547">
      <w:pPr>
        <w:numPr>
          <w:ilvl w:val="1"/>
          <w:numId w:val="258"/>
        </w:numPr>
        <w:spacing w:after="240" w:line="260" w:lineRule="exact"/>
        <w:jc w:val="left"/>
        <w:rPr>
          <w:rFonts w:asciiTheme="minorHAnsi" w:hAnsiTheme="minorHAnsi" w:cstheme="minorBidi"/>
          <w:sz w:val="24"/>
          <w:szCs w:val="24"/>
          <w:lang w:val="en-US"/>
        </w:rPr>
      </w:pPr>
      <w:r w:rsidRPr="00261C59">
        <w:rPr>
          <w:rFonts w:asciiTheme="minorHAnsi" w:hAnsiTheme="minorHAnsi" w:cstheme="minorBidi"/>
          <w:sz w:val="24"/>
          <w:szCs w:val="24"/>
          <w:lang w:val="en-US"/>
        </w:rPr>
        <w:t xml:space="preserve">better support trialling and evaluating new payment and funding arrangements that enable the delivery of optimal care models that </w:t>
      </w:r>
      <w:r w:rsidRPr="00261C59">
        <w:rPr>
          <w:rFonts w:asciiTheme="minorHAnsi" w:eastAsia="Calibri" w:hAnsiTheme="minorHAnsi" w:cstheme="minorBidi"/>
          <w:sz w:val="24"/>
          <w:szCs w:val="24"/>
        </w:rPr>
        <w:t>support better outcomes</w:t>
      </w:r>
      <w:r w:rsidRPr="00261C59">
        <w:rPr>
          <w:rFonts w:asciiTheme="minorHAnsi" w:hAnsiTheme="minorHAnsi" w:cstheme="minorBidi"/>
          <w:sz w:val="24"/>
          <w:szCs w:val="24"/>
          <w:lang w:val="en-US"/>
        </w:rPr>
        <w:t>.</w:t>
      </w:r>
    </w:p>
    <w:p w14:paraId="3FF8E1BA" w14:textId="77777777" w:rsidR="00BA3053" w:rsidRPr="00261C59" w:rsidRDefault="00BA3053" w:rsidP="0052629E">
      <w:pPr>
        <w:keepNext/>
        <w:widowControl/>
        <w:numPr>
          <w:ilvl w:val="0"/>
          <w:numId w:val="258"/>
        </w:numPr>
        <w:spacing w:after="240" w:line="260" w:lineRule="exact"/>
        <w:jc w:val="left"/>
        <w:rPr>
          <w:rFonts w:asciiTheme="minorHAnsi" w:hAnsiTheme="minorHAnsi" w:cstheme="minorBidi"/>
          <w:sz w:val="24"/>
          <w:szCs w:val="24"/>
        </w:rPr>
      </w:pPr>
      <w:r w:rsidRPr="00261C59">
        <w:rPr>
          <w:rFonts w:asciiTheme="minorHAnsi" w:hAnsiTheme="minorHAnsi" w:cstheme="minorBidi"/>
          <w:sz w:val="24"/>
          <w:szCs w:val="24"/>
        </w:rPr>
        <w:t>To deliver the reform objectives of this Schedule and the National Health Reform Strategy at Preliminaries clause 17, the Parties will:</w:t>
      </w:r>
    </w:p>
    <w:p w14:paraId="49F8804D" w14:textId="4B733F80" w:rsidR="00BA3053" w:rsidRPr="00261C59" w:rsidRDefault="04D4BBDE" w:rsidP="00830547">
      <w:pPr>
        <w:keepNext/>
        <w:numPr>
          <w:ilvl w:val="1"/>
          <w:numId w:val="258"/>
        </w:numPr>
        <w:spacing w:after="240" w:line="260" w:lineRule="exact"/>
        <w:jc w:val="left"/>
        <w:rPr>
          <w:rFonts w:asciiTheme="minorHAnsi" w:eastAsiaTheme="minorEastAsia" w:hAnsiTheme="minorHAnsi" w:cstheme="minorBidi"/>
          <w:sz w:val="24"/>
          <w:szCs w:val="24"/>
        </w:rPr>
      </w:pPr>
      <w:r w:rsidRPr="00261C59">
        <w:rPr>
          <w:rFonts w:asciiTheme="minorHAnsi" w:eastAsiaTheme="minorEastAsia" w:hAnsiTheme="minorHAnsi" w:cstheme="minorBidi"/>
          <w:sz w:val="24"/>
          <w:szCs w:val="24"/>
        </w:rPr>
        <w:t>s</w:t>
      </w:r>
      <w:r w:rsidR="00BA3053" w:rsidRPr="00261C59">
        <w:rPr>
          <w:rFonts w:asciiTheme="minorHAnsi" w:eastAsiaTheme="minorEastAsia" w:hAnsiTheme="minorHAnsi" w:cstheme="minorBidi"/>
          <w:sz w:val="24"/>
          <w:szCs w:val="24"/>
        </w:rPr>
        <w:t xml:space="preserve">upport a nationally coordinated approach to prioritising optimal models of care and new payment and funding arrangements that will </w:t>
      </w:r>
      <w:r w:rsidR="00BA3053" w:rsidRPr="00261C59">
        <w:rPr>
          <w:rFonts w:asciiTheme="minorHAnsi" w:eastAsia="Calibri" w:hAnsiTheme="minorHAnsi" w:cstheme="minorBidi"/>
          <w:sz w:val="24"/>
          <w:szCs w:val="24"/>
        </w:rPr>
        <w:t>drive system reform</w:t>
      </w:r>
      <w:r w:rsidR="00BA3053" w:rsidRPr="00261C59">
        <w:rPr>
          <w:rFonts w:asciiTheme="minorHAnsi" w:eastAsiaTheme="minorEastAsia" w:hAnsiTheme="minorHAnsi" w:cstheme="minorBidi"/>
          <w:sz w:val="24"/>
          <w:szCs w:val="24"/>
        </w:rPr>
        <w:t xml:space="preserve"> through the Service Model and Funding Reform Framework (clauses D12 to D2</w:t>
      </w:r>
      <w:r w:rsidR="000B1157" w:rsidRPr="00261C59">
        <w:rPr>
          <w:rFonts w:asciiTheme="minorHAnsi" w:eastAsiaTheme="minorEastAsia" w:hAnsiTheme="minorHAnsi" w:cstheme="minorBidi"/>
          <w:sz w:val="24"/>
          <w:szCs w:val="24"/>
        </w:rPr>
        <w:t>3</w:t>
      </w:r>
      <w:r w:rsidR="00BA3053" w:rsidRPr="00261C59">
        <w:rPr>
          <w:rFonts w:asciiTheme="minorHAnsi" w:eastAsiaTheme="minorEastAsia" w:hAnsiTheme="minorHAnsi" w:cstheme="minorBidi"/>
          <w:sz w:val="24"/>
          <w:szCs w:val="24"/>
        </w:rPr>
        <w:t>)</w:t>
      </w:r>
    </w:p>
    <w:p w14:paraId="5D5EDABE" w14:textId="6930C835" w:rsidR="00BA3053" w:rsidRPr="00261C59" w:rsidRDefault="08FAFD9A" w:rsidP="6F2238EE">
      <w:pPr>
        <w:widowControl/>
        <w:numPr>
          <w:ilvl w:val="1"/>
          <w:numId w:val="258"/>
        </w:numPr>
        <w:spacing w:after="240" w:line="260" w:lineRule="exact"/>
        <w:jc w:val="left"/>
        <w:rPr>
          <w:rFonts w:asciiTheme="minorHAnsi" w:eastAsiaTheme="minorEastAsia" w:hAnsiTheme="minorHAnsi" w:cstheme="minorBidi"/>
          <w:sz w:val="24"/>
          <w:szCs w:val="24"/>
        </w:rPr>
      </w:pPr>
      <w:r w:rsidRPr="00261C59">
        <w:rPr>
          <w:rFonts w:asciiTheme="minorHAnsi" w:eastAsiaTheme="minorEastAsia" w:hAnsiTheme="minorHAnsi" w:cstheme="minorBidi"/>
          <w:sz w:val="24"/>
          <w:szCs w:val="24"/>
        </w:rPr>
        <w:t>i</w:t>
      </w:r>
      <w:r w:rsidR="00BA3053" w:rsidRPr="00261C59">
        <w:rPr>
          <w:rFonts w:asciiTheme="minorHAnsi" w:eastAsiaTheme="minorEastAsia" w:hAnsiTheme="minorHAnsi" w:cstheme="minorBidi"/>
          <w:sz w:val="24"/>
          <w:szCs w:val="24"/>
        </w:rPr>
        <w:t xml:space="preserve">mplement a SMRF stream as a mechanism to foster </w:t>
      </w:r>
      <w:r w:rsidR="00BA3053" w:rsidRPr="00261C59">
        <w:rPr>
          <w:rFonts w:asciiTheme="minorHAnsi" w:eastAsiaTheme="majorEastAsia" w:hAnsiTheme="minorHAnsi" w:cstheme="minorBidi"/>
          <w:sz w:val="24"/>
          <w:szCs w:val="24"/>
        </w:rPr>
        <w:t>system-wide innovation and improved productivity through the Addendum (clauses D2</w:t>
      </w:r>
      <w:r w:rsidR="001F2D1F" w:rsidRPr="00261C59">
        <w:rPr>
          <w:rFonts w:asciiTheme="minorHAnsi" w:eastAsiaTheme="majorEastAsia" w:hAnsiTheme="minorHAnsi" w:cstheme="minorBidi"/>
          <w:sz w:val="24"/>
          <w:szCs w:val="24"/>
        </w:rPr>
        <w:t>4</w:t>
      </w:r>
      <w:r w:rsidR="00BA3053" w:rsidRPr="00261C59">
        <w:rPr>
          <w:rFonts w:asciiTheme="minorHAnsi" w:eastAsiaTheme="majorEastAsia" w:hAnsiTheme="minorHAnsi" w:cstheme="minorBidi"/>
          <w:sz w:val="24"/>
          <w:szCs w:val="24"/>
        </w:rPr>
        <w:t xml:space="preserve"> to D</w:t>
      </w:r>
      <w:r w:rsidR="001F2D1F" w:rsidRPr="00261C59">
        <w:rPr>
          <w:rFonts w:asciiTheme="minorHAnsi" w:eastAsiaTheme="majorEastAsia" w:hAnsiTheme="minorHAnsi" w:cstheme="minorBidi"/>
          <w:sz w:val="24"/>
          <w:szCs w:val="24"/>
        </w:rPr>
        <w:t>30</w:t>
      </w:r>
      <w:r w:rsidR="00BA3053" w:rsidRPr="00261C59">
        <w:rPr>
          <w:rFonts w:asciiTheme="minorHAnsi" w:eastAsiaTheme="majorEastAsia" w:hAnsiTheme="minorHAnsi" w:cstheme="minorBidi"/>
          <w:sz w:val="24"/>
          <w:szCs w:val="24"/>
        </w:rPr>
        <w:t>)</w:t>
      </w:r>
    </w:p>
    <w:p w14:paraId="1AFAA3E3" w14:textId="196E09B0" w:rsidR="00BA3053" w:rsidRPr="00261C59" w:rsidRDefault="4314BB97" w:rsidP="004728D9">
      <w:pPr>
        <w:keepNext/>
        <w:numPr>
          <w:ilvl w:val="1"/>
          <w:numId w:val="258"/>
        </w:numPr>
        <w:spacing w:after="240" w:line="260" w:lineRule="exact"/>
        <w:jc w:val="left"/>
        <w:rPr>
          <w:rFonts w:asciiTheme="minorHAnsi" w:eastAsiaTheme="minorEastAsia" w:hAnsiTheme="minorHAnsi" w:cstheme="minorBidi"/>
          <w:sz w:val="24"/>
          <w:szCs w:val="24"/>
        </w:rPr>
      </w:pPr>
      <w:r w:rsidRPr="00261C59">
        <w:rPr>
          <w:rFonts w:asciiTheme="minorHAnsi" w:eastAsiaTheme="minorEastAsia" w:hAnsiTheme="minorHAnsi" w:cstheme="minorBidi"/>
          <w:sz w:val="24"/>
          <w:szCs w:val="24"/>
        </w:rPr>
        <w:t>i</w:t>
      </w:r>
      <w:r w:rsidR="00BA3053" w:rsidRPr="00261C59">
        <w:rPr>
          <w:rFonts w:asciiTheme="minorHAnsi" w:eastAsiaTheme="minorEastAsia" w:hAnsiTheme="minorHAnsi" w:cstheme="minorBidi"/>
          <w:sz w:val="24"/>
          <w:szCs w:val="24"/>
        </w:rPr>
        <w:t>ntroduce</w:t>
      </w:r>
      <w:r w:rsidR="00BA3053" w:rsidRPr="00261C59">
        <w:rPr>
          <w:rFonts w:asciiTheme="minorHAnsi" w:eastAsiaTheme="minorEastAsia" w:hAnsiTheme="minorHAnsi"/>
          <w:sz w:val="24"/>
          <w:szCs w:val="24"/>
        </w:rPr>
        <w:t xml:space="preserve"> value-based pricing approaches, including </w:t>
      </w:r>
      <w:r w:rsidR="00BA3053" w:rsidRPr="00261C59">
        <w:rPr>
          <w:rFonts w:asciiTheme="minorHAnsi" w:eastAsiaTheme="minorEastAsia" w:hAnsiTheme="minorHAnsi" w:cstheme="minorBidi"/>
          <w:sz w:val="24"/>
          <w:szCs w:val="24"/>
        </w:rPr>
        <w:t xml:space="preserve">for </w:t>
      </w:r>
      <w:r w:rsidR="00BA3053" w:rsidRPr="00261C59">
        <w:rPr>
          <w:rFonts w:asciiTheme="minorHAnsi" w:eastAsiaTheme="minorEastAsia" w:hAnsiTheme="minorHAnsi"/>
          <w:sz w:val="24"/>
          <w:szCs w:val="24"/>
        </w:rPr>
        <w:t xml:space="preserve">high-value care, low-value care, normative pricing, priority care loadings and other </w:t>
      </w:r>
      <w:r w:rsidR="00BA3053" w:rsidRPr="00261C59">
        <w:rPr>
          <w:rFonts w:asciiTheme="minorHAnsi" w:eastAsiaTheme="minorEastAsia" w:hAnsiTheme="minorHAnsi" w:cstheme="minorBidi"/>
          <w:sz w:val="24"/>
          <w:szCs w:val="24"/>
        </w:rPr>
        <w:t xml:space="preserve">payment </w:t>
      </w:r>
      <w:r w:rsidR="00BA3053" w:rsidRPr="00261C59">
        <w:rPr>
          <w:rFonts w:asciiTheme="minorHAnsi" w:eastAsiaTheme="minorEastAsia" w:hAnsiTheme="minorHAnsi"/>
          <w:sz w:val="24"/>
          <w:szCs w:val="24"/>
        </w:rPr>
        <w:t xml:space="preserve">models </w:t>
      </w:r>
      <w:r w:rsidR="004D7214">
        <w:rPr>
          <w:rFonts w:asciiTheme="minorHAnsi" w:eastAsiaTheme="minorEastAsia" w:hAnsiTheme="minorHAnsi"/>
          <w:sz w:val="24"/>
          <w:szCs w:val="24"/>
        </w:rPr>
        <w:br/>
      </w:r>
      <w:r w:rsidR="00BA3053" w:rsidRPr="00261C59">
        <w:rPr>
          <w:rFonts w:asciiTheme="minorHAnsi" w:eastAsiaTheme="minorEastAsia" w:hAnsiTheme="minorHAnsi"/>
          <w:sz w:val="24"/>
          <w:szCs w:val="24"/>
        </w:rPr>
        <w:t xml:space="preserve">(clauses </w:t>
      </w:r>
      <w:r w:rsidR="00BA3053" w:rsidRPr="00261C59">
        <w:rPr>
          <w:rFonts w:asciiTheme="minorHAnsi" w:eastAsiaTheme="minorEastAsia" w:hAnsiTheme="minorHAnsi" w:cstheme="minorBidi"/>
          <w:sz w:val="24"/>
          <w:szCs w:val="24"/>
        </w:rPr>
        <w:t>D3</w:t>
      </w:r>
      <w:r w:rsidR="00CC0CE9" w:rsidRPr="00261C59">
        <w:rPr>
          <w:rFonts w:asciiTheme="minorHAnsi" w:eastAsiaTheme="minorEastAsia" w:hAnsiTheme="minorHAnsi" w:cstheme="minorBidi"/>
          <w:sz w:val="24"/>
          <w:szCs w:val="24"/>
        </w:rPr>
        <w:t>1</w:t>
      </w:r>
      <w:r w:rsidR="00BA3053" w:rsidRPr="00261C59">
        <w:rPr>
          <w:rFonts w:asciiTheme="minorHAnsi" w:eastAsiaTheme="minorEastAsia" w:hAnsiTheme="minorHAnsi" w:cstheme="minorBidi"/>
          <w:sz w:val="24"/>
          <w:szCs w:val="24"/>
        </w:rPr>
        <w:t xml:space="preserve"> to D3</w:t>
      </w:r>
      <w:r w:rsidR="00CC0CE9" w:rsidRPr="00261C59">
        <w:rPr>
          <w:rFonts w:asciiTheme="minorHAnsi" w:eastAsiaTheme="minorEastAsia" w:hAnsiTheme="minorHAnsi" w:cstheme="minorBidi"/>
          <w:sz w:val="24"/>
          <w:szCs w:val="24"/>
        </w:rPr>
        <w:t>9</w:t>
      </w:r>
      <w:r w:rsidR="00BA3053" w:rsidRPr="00261C59">
        <w:rPr>
          <w:rFonts w:asciiTheme="minorHAnsi" w:eastAsiaTheme="minorEastAsia" w:hAnsiTheme="minorHAnsi"/>
          <w:sz w:val="24"/>
          <w:szCs w:val="24"/>
        </w:rPr>
        <w:t>)</w:t>
      </w:r>
    </w:p>
    <w:p w14:paraId="1C6DEE6B" w14:textId="413D86AC" w:rsidR="00BA3053" w:rsidRPr="00261C59" w:rsidRDefault="24A35662" w:rsidP="004728D9">
      <w:pPr>
        <w:keepNext/>
        <w:numPr>
          <w:ilvl w:val="1"/>
          <w:numId w:val="258"/>
        </w:numPr>
        <w:spacing w:after="240" w:line="260" w:lineRule="exact"/>
        <w:jc w:val="left"/>
        <w:rPr>
          <w:rFonts w:asciiTheme="minorHAnsi" w:eastAsiaTheme="minorEastAsia" w:hAnsiTheme="minorHAnsi" w:cstheme="minorBidi"/>
          <w:sz w:val="24"/>
          <w:szCs w:val="24"/>
        </w:rPr>
      </w:pPr>
      <w:r w:rsidRPr="00261C59">
        <w:rPr>
          <w:rFonts w:asciiTheme="minorHAnsi" w:eastAsiaTheme="minorEastAsia" w:hAnsiTheme="minorHAnsi" w:cstheme="minorBidi"/>
          <w:sz w:val="24"/>
          <w:szCs w:val="24"/>
        </w:rPr>
        <w:t>s</w:t>
      </w:r>
      <w:r w:rsidR="00BA3053" w:rsidRPr="00261C59">
        <w:rPr>
          <w:rFonts w:asciiTheme="minorHAnsi" w:eastAsiaTheme="minorEastAsia" w:hAnsiTheme="minorHAnsi" w:cstheme="minorBidi"/>
          <w:sz w:val="24"/>
          <w:szCs w:val="24"/>
        </w:rPr>
        <w:t>trengthen safety and quality pricing mechanisms, including introducing national hospital discharge reporting (clauses D</w:t>
      </w:r>
      <w:r w:rsidR="00CC0CE9" w:rsidRPr="00261C59">
        <w:rPr>
          <w:rFonts w:asciiTheme="minorHAnsi" w:eastAsiaTheme="minorEastAsia" w:hAnsiTheme="minorHAnsi" w:cstheme="minorBidi"/>
          <w:sz w:val="24"/>
          <w:szCs w:val="24"/>
        </w:rPr>
        <w:t>40</w:t>
      </w:r>
      <w:r w:rsidR="00BA3053" w:rsidRPr="00261C59">
        <w:rPr>
          <w:rFonts w:asciiTheme="minorHAnsi" w:eastAsiaTheme="minorEastAsia" w:hAnsiTheme="minorHAnsi" w:cstheme="minorBidi"/>
          <w:sz w:val="24"/>
          <w:szCs w:val="24"/>
        </w:rPr>
        <w:t xml:space="preserve"> to D5</w:t>
      </w:r>
      <w:r w:rsidR="00CC0CE9" w:rsidRPr="00261C59">
        <w:rPr>
          <w:rFonts w:asciiTheme="minorHAnsi" w:eastAsiaTheme="minorEastAsia" w:hAnsiTheme="minorHAnsi" w:cstheme="minorBidi"/>
          <w:sz w:val="24"/>
          <w:szCs w:val="24"/>
        </w:rPr>
        <w:t>5</w:t>
      </w:r>
      <w:r w:rsidR="00BA3053" w:rsidRPr="00261C59">
        <w:rPr>
          <w:rFonts w:asciiTheme="minorHAnsi" w:eastAsiaTheme="minorEastAsia" w:hAnsiTheme="minorHAnsi" w:cstheme="minorBidi"/>
          <w:sz w:val="24"/>
          <w:szCs w:val="24"/>
        </w:rPr>
        <w:t>).</w:t>
      </w:r>
    </w:p>
    <w:p w14:paraId="40604621" w14:textId="77777777" w:rsidR="00BA3053" w:rsidRPr="00261C59" w:rsidRDefault="00BA3053" w:rsidP="00BA3053">
      <w:pPr>
        <w:pStyle w:val="Heading2"/>
        <w:spacing w:before="180" w:after="120"/>
        <w:jc w:val="left"/>
        <w:rPr>
          <w:rFonts w:ascii="Corbel" w:eastAsia="Corbel" w:hAnsi="Corbel" w:cs="Corbel"/>
          <w:color w:val="3D4B67"/>
          <w:sz w:val="28"/>
          <w:szCs w:val="28"/>
        </w:rPr>
      </w:pPr>
      <w:bookmarkStart w:id="595" w:name="_Toc210029703"/>
      <w:bookmarkStart w:id="596" w:name="_Toc214456553"/>
      <w:bookmarkStart w:id="597" w:name="_Toc221088033"/>
      <w:bookmarkStart w:id="598" w:name="_Toc173428298"/>
      <w:bookmarkStart w:id="599" w:name="_Toc173937743"/>
      <w:bookmarkStart w:id="600" w:name="_Toc201674016"/>
      <w:r w:rsidRPr="00261C59">
        <w:rPr>
          <w:rFonts w:ascii="Corbel" w:eastAsia="Corbel" w:hAnsi="Corbel" w:cs="Corbel"/>
          <w:color w:val="3D4B67"/>
          <w:sz w:val="28"/>
          <w:szCs w:val="28"/>
        </w:rPr>
        <w:t>Governance</w:t>
      </w:r>
      <w:bookmarkEnd w:id="595"/>
      <w:bookmarkEnd w:id="596"/>
      <w:bookmarkEnd w:id="597"/>
    </w:p>
    <w:p w14:paraId="486F2FDD" w14:textId="350C92B7" w:rsidR="00BA3053" w:rsidRPr="00261C59" w:rsidRDefault="00BA3053" w:rsidP="004728D9">
      <w:pPr>
        <w:keepNext/>
        <w:numPr>
          <w:ilvl w:val="0"/>
          <w:numId w:val="258"/>
        </w:numPr>
        <w:spacing w:after="240" w:line="260" w:lineRule="exact"/>
        <w:jc w:val="left"/>
        <w:rPr>
          <w:rFonts w:ascii="Calibri" w:eastAsia="Calibri" w:hAnsi="Calibri"/>
          <w:color w:val="000000" w:themeColor="text1"/>
          <w:sz w:val="24"/>
        </w:rPr>
      </w:pPr>
      <w:r w:rsidRPr="00261C59">
        <w:rPr>
          <w:rFonts w:ascii="Calibri" w:eastAsia="Calibri" w:hAnsi="Calibri"/>
          <w:color w:val="000000" w:themeColor="text1"/>
          <w:sz w:val="24"/>
        </w:rPr>
        <w:t xml:space="preserve">To support and drive implementation of activities outlined </w:t>
      </w:r>
      <w:r w:rsidRPr="00261C59">
        <w:rPr>
          <w:rFonts w:ascii="Calibri" w:eastAsia="Calibri" w:hAnsi="Calibri" w:cs="Calibri"/>
          <w:color w:val="000000" w:themeColor="text1"/>
          <w:sz w:val="24"/>
          <w:szCs w:val="24"/>
        </w:rPr>
        <w:t>in this Schedule, the Parties agree</w:t>
      </w:r>
      <w:r w:rsidRPr="00261C59">
        <w:rPr>
          <w:rFonts w:ascii="Calibri" w:eastAsia="Calibri" w:hAnsi="Calibri"/>
          <w:color w:val="000000" w:themeColor="text1"/>
          <w:sz w:val="24"/>
        </w:rPr>
        <w:t xml:space="preserve"> a new </w:t>
      </w:r>
      <w:r w:rsidRPr="00261C59">
        <w:rPr>
          <w:rFonts w:ascii="Calibri" w:eastAsia="Calibri" w:hAnsi="Calibri" w:cs="Calibri"/>
          <w:color w:val="000000" w:themeColor="text1"/>
          <w:sz w:val="24"/>
          <w:szCs w:val="24"/>
        </w:rPr>
        <w:t>participatory</w:t>
      </w:r>
      <w:r w:rsidRPr="00261C59">
        <w:rPr>
          <w:rFonts w:ascii="Calibri" w:eastAsia="Calibri" w:hAnsi="Calibri"/>
          <w:color w:val="000000" w:themeColor="text1"/>
          <w:sz w:val="24"/>
        </w:rPr>
        <w:t xml:space="preserve"> governance group, the </w:t>
      </w:r>
      <w:r w:rsidRPr="00261C59">
        <w:rPr>
          <w:rFonts w:ascii="Calibri" w:eastAsia="Calibri" w:hAnsi="Calibri" w:cs="Calibri"/>
          <w:color w:val="000000" w:themeColor="text1"/>
          <w:sz w:val="24"/>
          <w:szCs w:val="24"/>
        </w:rPr>
        <w:t>Service Model</w:t>
      </w:r>
      <w:r w:rsidRPr="00261C59">
        <w:rPr>
          <w:rFonts w:ascii="Calibri" w:eastAsia="Calibri" w:hAnsi="Calibri"/>
          <w:color w:val="000000" w:themeColor="text1"/>
          <w:sz w:val="24"/>
        </w:rPr>
        <w:t xml:space="preserve"> and Funding Reform Collaboration (</w:t>
      </w:r>
      <w:r w:rsidRPr="00261C59">
        <w:rPr>
          <w:rFonts w:ascii="Calibri" w:eastAsia="Calibri" w:hAnsi="Calibri" w:cs="Calibri"/>
          <w:color w:val="000000" w:themeColor="text1"/>
          <w:sz w:val="24"/>
          <w:szCs w:val="24"/>
        </w:rPr>
        <w:t>the Reform Collaboration</w:t>
      </w:r>
      <w:r w:rsidRPr="00261C59">
        <w:rPr>
          <w:rFonts w:ascii="Calibri" w:eastAsia="Calibri" w:hAnsi="Calibri"/>
          <w:color w:val="000000" w:themeColor="text1"/>
          <w:sz w:val="24"/>
        </w:rPr>
        <w:t>), will be established under the broader NHRA governance arrangements</w:t>
      </w:r>
      <w:r w:rsidRPr="00261C59">
        <w:rPr>
          <w:rFonts w:ascii="Calibri" w:eastAsia="Calibri" w:hAnsi="Calibri" w:cs="Calibri"/>
          <w:color w:val="000000" w:themeColor="text1"/>
          <w:sz w:val="24"/>
          <w:szCs w:val="24"/>
        </w:rPr>
        <w:t xml:space="preserve"> (Preliminaries clause 42) and supported by the Commonwealth</w:t>
      </w:r>
      <w:r w:rsidRPr="00261C59">
        <w:rPr>
          <w:rFonts w:ascii="Calibri" w:eastAsia="Calibri" w:hAnsi="Calibri"/>
          <w:color w:val="000000" w:themeColor="text1"/>
          <w:sz w:val="24"/>
        </w:rPr>
        <w:t>.</w:t>
      </w:r>
    </w:p>
    <w:p w14:paraId="6C8BFCE3" w14:textId="643E959E" w:rsidR="00BA3053" w:rsidRPr="00261C59" w:rsidRDefault="00BA3053" w:rsidP="004728D9">
      <w:pPr>
        <w:keepNext/>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Establishment arrangements and Terms of Reference for the Reform Collaboration will be agreed through HCEF by 30 September 2026. The Terms of Reference should ensure that co-design and shared decision-making with Aboriginal and Torres Strait Islander people and organisations are embedded.   </w:t>
      </w:r>
    </w:p>
    <w:p w14:paraId="517174DE" w14:textId="4784B1F7" w:rsidR="00BA3053" w:rsidRPr="00261C59" w:rsidRDefault="00BA3053" w:rsidP="00830547">
      <w:pPr>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The Reform Collaboration </w:t>
      </w:r>
      <w:r w:rsidRPr="00261C59">
        <w:rPr>
          <w:rFonts w:asciiTheme="minorHAnsi" w:hAnsiTheme="minorHAnsi" w:cstheme="minorBidi"/>
          <w:sz w:val="24"/>
          <w:szCs w:val="24"/>
        </w:rPr>
        <w:t xml:space="preserve">will provide </w:t>
      </w:r>
      <w:r w:rsidRPr="00261C59">
        <w:rPr>
          <w:rFonts w:asciiTheme="minorHAnsi" w:eastAsia="Calibri" w:hAnsiTheme="minorHAnsi" w:cstheme="minorBidi"/>
          <w:sz w:val="24"/>
          <w:szCs w:val="24"/>
        </w:rPr>
        <w:t>advice and technical support as needed to jurisdictions to deliver optimal models of care, including through the SMRF stream, and for developing and refining funding and payment models</w:t>
      </w:r>
      <w:r w:rsidRPr="00261C59">
        <w:rPr>
          <w:rFonts w:asciiTheme="minorHAnsi" w:hAnsiTheme="minorHAnsi" w:cstheme="minorBidi"/>
          <w:sz w:val="24"/>
          <w:szCs w:val="24"/>
        </w:rPr>
        <w:t xml:space="preserve">. The Reform Collaboration will also support shared learning, best-practice exchange and capacity building across jurisdictions. </w:t>
      </w:r>
    </w:p>
    <w:bookmarkEnd w:id="598"/>
    <w:bookmarkEnd w:id="599"/>
    <w:bookmarkEnd w:id="600"/>
    <w:p w14:paraId="089D51C7" w14:textId="77777777" w:rsidR="00BA3053" w:rsidRPr="00261C59" w:rsidRDefault="00BA3053" w:rsidP="00830547">
      <w:pPr>
        <w:widowControl/>
        <w:numPr>
          <w:ilvl w:val="2"/>
          <w:numId w:val="258"/>
        </w:numPr>
        <w:spacing w:after="240" w:line="260" w:lineRule="exact"/>
        <w:jc w:val="left"/>
        <w:rPr>
          <w:rFonts w:asciiTheme="minorHAnsi" w:hAnsiTheme="minorHAnsi" w:cstheme="minorBidi"/>
          <w:sz w:val="24"/>
          <w:szCs w:val="24"/>
          <w:lang w:eastAsia="en-US"/>
        </w:rPr>
      </w:pPr>
      <w:r w:rsidRPr="00261C59">
        <w:rPr>
          <w:rFonts w:asciiTheme="minorHAnsi" w:hAnsiTheme="minorHAnsi" w:cstheme="minorBidi"/>
          <w:sz w:val="24"/>
          <w:szCs w:val="24"/>
        </w:rPr>
        <w:t xml:space="preserve">All Parties agree to participate in the Reform Collaboration, including to share lessons from existing reform activities as well as new activities under this Addendum such as those funded through the SMRF stream. </w:t>
      </w:r>
    </w:p>
    <w:p w14:paraId="1656ECB4" w14:textId="249D6E23" w:rsidR="00BA3053" w:rsidRPr="00261C59" w:rsidRDefault="00BA3053" w:rsidP="00830547">
      <w:pPr>
        <w:widowControl/>
        <w:numPr>
          <w:ilvl w:val="2"/>
          <w:numId w:val="258"/>
        </w:numPr>
        <w:spacing w:after="240" w:line="260" w:lineRule="exact"/>
        <w:jc w:val="left"/>
        <w:rPr>
          <w:rFonts w:asciiTheme="minorHAnsi" w:hAnsiTheme="minorHAnsi" w:cstheme="minorBidi"/>
          <w:sz w:val="24"/>
          <w:szCs w:val="24"/>
          <w:lang w:eastAsia="en-US"/>
        </w:rPr>
      </w:pPr>
      <w:r w:rsidRPr="00261C59">
        <w:rPr>
          <w:rFonts w:asciiTheme="minorHAnsi" w:hAnsiTheme="minorHAnsi" w:cstheme="minorBidi"/>
          <w:sz w:val="24"/>
          <w:szCs w:val="24"/>
        </w:rPr>
        <w:t>Membership should</w:t>
      </w:r>
      <w:bookmarkStart w:id="601" w:name="_Toc172282760"/>
      <w:bookmarkStart w:id="602" w:name="_Toc172633466"/>
      <w:bookmarkStart w:id="603" w:name="_Toc172720979"/>
      <w:r w:rsidRPr="00261C59">
        <w:rPr>
          <w:rFonts w:asciiTheme="minorHAnsi" w:hAnsiTheme="minorHAnsi" w:cstheme="minorBidi"/>
          <w:sz w:val="24"/>
          <w:szCs w:val="24"/>
        </w:rPr>
        <w:t xml:space="preserve"> include Commonwealth and State and Territory representatives with relevant expertise, National Bodies, and the Aboriginal Community Controlled Health sector and other Aboriginal and Torres Strait Islander health organisations, as well as other identified experts.  </w:t>
      </w:r>
    </w:p>
    <w:p w14:paraId="1FC36BB7" w14:textId="77777777" w:rsidR="00BA3053" w:rsidRPr="00261C59" w:rsidRDefault="00BA3053" w:rsidP="00830547">
      <w:pPr>
        <w:widowControl/>
        <w:numPr>
          <w:ilvl w:val="2"/>
          <w:numId w:val="258"/>
        </w:numPr>
        <w:spacing w:after="240" w:line="260" w:lineRule="exact"/>
        <w:jc w:val="left"/>
        <w:rPr>
          <w:rFonts w:asciiTheme="minorHAnsi" w:hAnsiTheme="minorHAnsi" w:cstheme="minorBidi"/>
          <w:sz w:val="24"/>
          <w:szCs w:val="24"/>
        </w:rPr>
      </w:pPr>
      <w:r w:rsidRPr="00261C59">
        <w:rPr>
          <w:rFonts w:asciiTheme="minorHAnsi" w:hAnsiTheme="minorHAnsi" w:cstheme="minorBidi"/>
          <w:sz w:val="24"/>
          <w:szCs w:val="24"/>
        </w:rPr>
        <w:t>The Reform Collaboration will have capacity to access specialised independent expertise as needed, including from State and Territory health innovation units, to support jurisdictions to inform optimal models of care, help develop enabling payment approaches, and assist with spreading and scaling reforms and innovations that demonstrate value across jurisdictions.</w:t>
      </w:r>
    </w:p>
    <w:p w14:paraId="7CC38105" w14:textId="6DEBF9F2" w:rsidR="00BA3053" w:rsidRPr="00261C59" w:rsidRDefault="00BA3053" w:rsidP="000529F1">
      <w:pPr>
        <w:keepLines/>
        <w:numPr>
          <w:ilvl w:val="0"/>
          <w:numId w:val="258"/>
        </w:numPr>
        <w:spacing w:after="240" w:line="260" w:lineRule="exact"/>
        <w:jc w:val="left"/>
        <w:rPr>
          <w:rFonts w:ascii="Calibri" w:eastAsia="Calibri" w:hAnsi="Calibri"/>
          <w:color w:val="000000" w:themeColor="text1"/>
          <w:sz w:val="24"/>
        </w:rPr>
      </w:pPr>
      <w:r w:rsidRPr="00261C59">
        <w:rPr>
          <w:rFonts w:ascii="Calibri" w:eastAsia="Calibri" w:hAnsi="Calibri" w:cs="Calibri"/>
          <w:color w:val="000000" w:themeColor="text1"/>
          <w:sz w:val="24"/>
          <w:szCs w:val="24"/>
        </w:rPr>
        <w:t xml:space="preserve">The Reform Collaboration will develop a </w:t>
      </w:r>
      <w:r w:rsidRPr="00261C59">
        <w:rPr>
          <w:rFonts w:ascii="Calibri" w:eastAsia="Calibri" w:hAnsi="Calibri"/>
          <w:color w:val="000000" w:themeColor="text1"/>
          <w:sz w:val="24"/>
        </w:rPr>
        <w:t xml:space="preserve">limited number of national priorities for structural health system reform </w:t>
      </w:r>
      <w:r w:rsidRPr="00261C59">
        <w:rPr>
          <w:rFonts w:ascii="Calibri" w:eastAsia="Calibri" w:hAnsi="Calibri" w:cs="Calibri"/>
          <w:color w:val="000000" w:themeColor="text1"/>
          <w:sz w:val="24"/>
          <w:szCs w:val="24"/>
        </w:rPr>
        <w:t xml:space="preserve">for HMM to consider and agree </w:t>
      </w:r>
      <w:r w:rsidRPr="00261C59">
        <w:rPr>
          <w:rFonts w:ascii="Calibri" w:eastAsia="Calibri" w:hAnsi="Calibri"/>
          <w:color w:val="000000" w:themeColor="text1"/>
          <w:sz w:val="24"/>
        </w:rPr>
        <w:t>by December 2026</w:t>
      </w:r>
      <w:r w:rsidRPr="00261C59">
        <w:rPr>
          <w:rFonts w:ascii="Calibri" w:eastAsia="Calibri" w:hAnsi="Calibri" w:cs="Calibri"/>
          <w:color w:val="000000" w:themeColor="text1"/>
          <w:sz w:val="24"/>
          <w:szCs w:val="24"/>
        </w:rPr>
        <w:t>. The national</w:t>
      </w:r>
      <w:r w:rsidRPr="00261C59">
        <w:rPr>
          <w:rFonts w:ascii="Calibri" w:eastAsia="Calibri" w:hAnsi="Calibri"/>
          <w:color w:val="000000" w:themeColor="text1"/>
          <w:sz w:val="24"/>
        </w:rPr>
        <w:t xml:space="preserve"> priorities will guide </w:t>
      </w:r>
      <w:r w:rsidRPr="00261C59">
        <w:rPr>
          <w:rFonts w:ascii="Calibri" w:eastAsia="Calibri" w:hAnsi="Calibri" w:cs="Calibri"/>
          <w:color w:val="000000" w:themeColor="text1"/>
          <w:sz w:val="24"/>
          <w:szCs w:val="24"/>
        </w:rPr>
        <w:t xml:space="preserve">decision-making and reform activities set out in this Schedule and give consideration to </w:t>
      </w:r>
      <w:r w:rsidRPr="00261C59">
        <w:rPr>
          <w:rFonts w:ascii="Calibri" w:eastAsia="Calibri" w:hAnsi="Calibri"/>
          <w:color w:val="000000" w:themeColor="text1"/>
          <w:sz w:val="24"/>
        </w:rPr>
        <w:t xml:space="preserve">the </w:t>
      </w:r>
      <w:r w:rsidRPr="00261C59">
        <w:rPr>
          <w:rFonts w:ascii="Calibri" w:eastAsia="Calibri" w:hAnsi="Calibri" w:cs="Calibri"/>
          <w:color w:val="000000" w:themeColor="text1"/>
          <w:sz w:val="24"/>
          <w:szCs w:val="24"/>
        </w:rPr>
        <w:t>following:</w:t>
      </w:r>
    </w:p>
    <w:p w14:paraId="73399FA3" w14:textId="0D85F623" w:rsidR="00BA3053" w:rsidRPr="00261C59" w:rsidRDefault="00BA3053" w:rsidP="004728D9">
      <w:pPr>
        <w:keepNext/>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evidence-based optimal models of care that are nationally implementable and have the potential to reduce the prevalence or slow the progress of avoidable health conditions, reduce avoidable hospitalisations and significantly improve patient outcomes for specific cohorts</w:t>
      </w:r>
    </w:p>
    <w:p w14:paraId="04AE361E" w14:textId="41ADD671" w:rsidR="00BA3053" w:rsidRPr="00261C59" w:rsidRDefault="00BA3053" w:rsidP="004728D9">
      <w:pPr>
        <w:keepNext/>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addressing the barriers preventing providers from delivering optimal integrated care models and balancing the need for local flexibility and solutions with national priorities</w:t>
      </w:r>
    </w:p>
    <w:p w14:paraId="2A5EC0CA" w14:textId="22F6104A" w:rsidR="00BA3053" w:rsidRPr="00261C59" w:rsidRDefault="00BA3053" w:rsidP="004728D9">
      <w:pPr>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system enablers needed to implement improved care models on a national scale (e.g. health data systems; health workforce regulation, policy or practice; funding and payment arrangements; and clinician engagement and support)</w:t>
      </w:r>
    </w:p>
    <w:p w14:paraId="1016DF73" w14:textId="063A0D9A" w:rsidR="00BA3053" w:rsidRPr="00261C59" w:rsidRDefault="00BA3053" w:rsidP="004728D9">
      <w:pPr>
        <w:widowControl/>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addressing and leveraging other reform commitments and priorities in this Addendum and other national agreements (e.g. improving service delivery across interfaces, integration with mental health and suicide prevention systems)</w:t>
      </w:r>
    </w:p>
    <w:p w14:paraId="5886FEFD" w14:textId="5E884BBB" w:rsidR="00BA3053" w:rsidRPr="00261C59" w:rsidRDefault="00BA3053" w:rsidP="004728D9">
      <w:pPr>
        <w:widowControl/>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supporting activities that have potential benefit for all jurisdictions, including the potential to reduce demand for health care services </w:t>
      </w:r>
    </w:p>
    <w:p w14:paraId="4DF1234D" w14:textId="16EBA35C" w:rsidR="00BA3053" w:rsidRPr="00261C59" w:rsidRDefault="00BA3053" w:rsidP="00830547">
      <w:pPr>
        <w:widowControl/>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the impact on health outcomes for Aboriginal and Torres Strait Islander people, with a focus on Closing the Gap  </w:t>
      </w:r>
    </w:p>
    <w:p w14:paraId="36E41053" w14:textId="100BDF23" w:rsidR="00BA3053" w:rsidRPr="00261C59" w:rsidRDefault="00BA3053" w:rsidP="004728D9">
      <w:pPr>
        <w:keepNext/>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the feasibility of implementation and evaluation within the period of the Addendum.</w:t>
      </w:r>
    </w:p>
    <w:bookmarkEnd w:id="601"/>
    <w:bookmarkEnd w:id="602"/>
    <w:bookmarkEnd w:id="603"/>
    <w:p w14:paraId="66530157" w14:textId="5B1ACC36" w:rsidR="00BA3053" w:rsidRPr="00261C59" w:rsidRDefault="00BA3053" w:rsidP="00830547">
      <w:pPr>
        <w:keepNext/>
        <w:numPr>
          <w:ilvl w:val="0"/>
          <w:numId w:val="258"/>
        </w:numPr>
        <w:spacing w:after="240" w:line="260" w:lineRule="exact"/>
        <w:jc w:val="left"/>
        <w:rPr>
          <w:rFonts w:asciiTheme="minorHAnsi" w:eastAsia="Calibri" w:hAnsiTheme="minorHAnsi" w:cstheme="minorBidi"/>
          <w:sz w:val="24"/>
          <w:szCs w:val="24"/>
        </w:rPr>
      </w:pPr>
      <w:r w:rsidRPr="00261C59">
        <w:rPr>
          <w:rFonts w:ascii="Calibri" w:eastAsia="Calibri" w:hAnsi="Calibri" w:cs="Calibri"/>
          <w:color w:val="000000" w:themeColor="text1"/>
          <w:sz w:val="24"/>
          <w:szCs w:val="24"/>
        </w:rPr>
        <w:t>The Reform Collaboration will develop the first version of a Service Model and Funding Reform Framework (the Reform Framework) for HCEF consideration by December 2026 to support prioritising, planning, implementing and evaluating reform activities within this Schedule (clauses D12 to D2</w:t>
      </w:r>
      <w:r w:rsidR="00763492" w:rsidRPr="00261C59">
        <w:rPr>
          <w:rFonts w:ascii="Calibri" w:eastAsia="Calibri" w:hAnsi="Calibri" w:cs="Calibri"/>
          <w:color w:val="000000" w:themeColor="text1"/>
          <w:sz w:val="24"/>
          <w:szCs w:val="24"/>
        </w:rPr>
        <w:t>3</w:t>
      </w:r>
      <w:r w:rsidRPr="00261C59">
        <w:rPr>
          <w:rFonts w:ascii="Calibri" w:eastAsia="Calibri" w:hAnsi="Calibri" w:cs="Calibri"/>
          <w:color w:val="000000" w:themeColor="text1"/>
          <w:sz w:val="24"/>
          <w:szCs w:val="24"/>
        </w:rPr>
        <w:t xml:space="preserve">). </w:t>
      </w:r>
    </w:p>
    <w:p w14:paraId="1967417F" w14:textId="1CD30F0D" w:rsidR="00BA3053" w:rsidRPr="00261C59" w:rsidRDefault="00BA3053" w:rsidP="00830547">
      <w:pPr>
        <w:keepNext/>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The Reform Framework will align with the objectives </w:t>
      </w:r>
      <w:r w:rsidR="00F07997" w:rsidRPr="00261C59">
        <w:rPr>
          <w:rFonts w:asciiTheme="minorHAnsi" w:eastAsia="Calibri" w:hAnsiTheme="minorHAnsi" w:cstheme="minorBidi"/>
          <w:sz w:val="24"/>
          <w:szCs w:val="24"/>
        </w:rPr>
        <w:t>and outcomes</w:t>
      </w:r>
      <w:r w:rsidRPr="00261C59">
        <w:rPr>
          <w:rFonts w:asciiTheme="minorHAnsi" w:eastAsia="Calibri" w:hAnsiTheme="minorHAnsi" w:cstheme="minorBidi"/>
          <w:sz w:val="24"/>
          <w:szCs w:val="24"/>
        </w:rPr>
        <w:t xml:space="preserve"> identified in the Preliminaries (clause</w:t>
      </w:r>
      <w:r w:rsidR="00F07997" w:rsidRPr="00261C59">
        <w:rPr>
          <w:rFonts w:asciiTheme="minorHAnsi" w:eastAsia="Calibri" w:hAnsiTheme="minorHAnsi" w:cstheme="minorBidi"/>
          <w:sz w:val="24"/>
          <w:szCs w:val="24"/>
        </w:rPr>
        <w:t>s</w:t>
      </w:r>
      <w:r w:rsidRPr="00261C59">
        <w:rPr>
          <w:rFonts w:asciiTheme="minorHAnsi" w:eastAsia="Calibri" w:hAnsiTheme="minorHAnsi" w:cstheme="minorBidi"/>
          <w:sz w:val="24"/>
          <w:szCs w:val="24"/>
        </w:rPr>
        <w:t xml:space="preserve"> 11</w:t>
      </w:r>
      <w:r w:rsidR="00F07997" w:rsidRPr="00261C59">
        <w:rPr>
          <w:rFonts w:asciiTheme="minorHAnsi" w:eastAsia="Calibri" w:hAnsiTheme="minorHAnsi" w:cstheme="minorBidi"/>
          <w:sz w:val="24"/>
          <w:szCs w:val="24"/>
        </w:rPr>
        <w:t xml:space="preserve"> and 12</w:t>
      </w:r>
      <w:r w:rsidRPr="00261C59">
        <w:rPr>
          <w:rFonts w:asciiTheme="minorHAnsi" w:eastAsia="Calibri" w:hAnsiTheme="minorHAnsi" w:cstheme="minorBidi"/>
          <w:sz w:val="24"/>
          <w:szCs w:val="24"/>
        </w:rPr>
        <w:t>) and the National Health Reform Strategy (clause 17), including to support action on the Parties’ shared commitment to implement the National Agreement on Closing the Gap.</w:t>
      </w:r>
    </w:p>
    <w:p w14:paraId="29486547" w14:textId="2FE87EA5" w:rsidR="00BA3053" w:rsidRPr="00261C59" w:rsidRDefault="00BA3053" w:rsidP="00830547">
      <w:pPr>
        <w:keepNext/>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The Reform Collaboration will provide advice and technical support as needed in developing and applying the Reform Framework, and broader reform implementation activities.</w:t>
      </w:r>
    </w:p>
    <w:p w14:paraId="59621ADA" w14:textId="77777777" w:rsidR="00BA3053" w:rsidRPr="00261C59" w:rsidRDefault="00BA3053" w:rsidP="0067467F">
      <w:pPr>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The Reform Framework will be appended to the Addendum once agreed. Any subsequent updates to the Framework must be agreed by HCEF.</w:t>
      </w:r>
    </w:p>
    <w:p w14:paraId="23ACF0AB" w14:textId="1AA2A6F3" w:rsidR="00BA3053" w:rsidRPr="00261C59" w:rsidRDefault="00BA3053" w:rsidP="0067467F">
      <w:pPr>
        <w:keepNext/>
        <w:widowControl/>
        <w:numPr>
          <w:ilvl w:val="0"/>
          <w:numId w:val="258"/>
        </w:numPr>
        <w:adjustRightInd/>
        <w:spacing w:after="240" w:line="260" w:lineRule="exact"/>
        <w:jc w:val="left"/>
        <w:textAlignment w:val="auto"/>
        <w:rPr>
          <w:rFonts w:ascii="Calibri" w:eastAsia="Calibri" w:hAnsi="Calibri" w:cs="Calibri"/>
          <w:color w:val="000000" w:themeColor="text1"/>
          <w:sz w:val="24"/>
          <w:szCs w:val="24"/>
        </w:rPr>
      </w:pPr>
      <w:r w:rsidRPr="00261C59">
        <w:rPr>
          <w:rFonts w:asciiTheme="minorHAnsi" w:eastAsia="Calibri" w:hAnsiTheme="minorHAnsi" w:cstheme="minorBidi"/>
          <w:sz w:val="24"/>
          <w:szCs w:val="24"/>
        </w:rPr>
        <w:t xml:space="preserve">The Reform Collaboration will also support the </w:t>
      </w:r>
      <w:r w:rsidRPr="00261C59">
        <w:rPr>
          <w:rFonts w:ascii="Calibri" w:eastAsia="Calibri" w:hAnsi="Calibri"/>
          <w:color w:val="000000" w:themeColor="text1"/>
          <w:sz w:val="24"/>
        </w:rPr>
        <w:t>design</w:t>
      </w:r>
      <w:r w:rsidRPr="00261C59">
        <w:rPr>
          <w:rFonts w:ascii="Calibri" w:eastAsia="Calibri" w:hAnsi="Calibri" w:cs="Calibri"/>
          <w:color w:val="000000" w:themeColor="text1"/>
          <w:sz w:val="24"/>
          <w:szCs w:val="24"/>
        </w:rPr>
        <w:t xml:space="preserve"> and development of operational arrangements for the SMRF stream, for consideration by HCEF by December 2026 </w:t>
      </w:r>
      <w:r w:rsidR="004961F8">
        <w:rPr>
          <w:rFonts w:ascii="Calibri" w:eastAsia="Calibri" w:hAnsi="Calibri" w:cs="Calibri"/>
          <w:color w:val="000000" w:themeColor="text1"/>
          <w:sz w:val="24"/>
          <w:szCs w:val="24"/>
        </w:rPr>
        <w:br/>
      </w:r>
      <w:r w:rsidRPr="00261C59">
        <w:rPr>
          <w:rFonts w:ascii="Calibri" w:eastAsia="Calibri" w:hAnsi="Calibri" w:cs="Calibri"/>
          <w:color w:val="000000" w:themeColor="text1"/>
          <w:sz w:val="24"/>
          <w:szCs w:val="24"/>
        </w:rPr>
        <w:t>(clause D2</w:t>
      </w:r>
      <w:r w:rsidR="00FE479A" w:rsidRPr="00261C59">
        <w:rPr>
          <w:rFonts w:ascii="Calibri" w:eastAsia="Calibri" w:hAnsi="Calibri" w:cs="Calibri"/>
          <w:color w:val="000000" w:themeColor="text1"/>
          <w:sz w:val="24"/>
          <w:szCs w:val="24"/>
        </w:rPr>
        <w:t>6</w:t>
      </w:r>
      <w:r w:rsidRPr="00261C59">
        <w:rPr>
          <w:rFonts w:ascii="Calibri" w:eastAsia="Calibri" w:hAnsi="Calibri" w:cs="Calibri"/>
          <w:color w:val="000000" w:themeColor="text1"/>
          <w:sz w:val="24"/>
          <w:szCs w:val="24"/>
        </w:rPr>
        <w:t>).</w:t>
      </w:r>
    </w:p>
    <w:p w14:paraId="3C9990EF" w14:textId="77777777" w:rsidR="00BA3053" w:rsidRPr="00261C59" w:rsidRDefault="00BA3053" w:rsidP="000529F1">
      <w:pPr>
        <w:keepLines/>
        <w:numPr>
          <w:ilvl w:val="0"/>
          <w:numId w:val="258"/>
        </w:numPr>
        <w:adjustRightInd/>
        <w:spacing w:after="240" w:line="260" w:lineRule="exact"/>
        <w:jc w:val="left"/>
        <w:textAlignment w:val="auto"/>
        <w:rPr>
          <w:rFonts w:asciiTheme="minorHAnsi" w:eastAsia="Calibri" w:hAnsiTheme="minorHAnsi" w:cstheme="minorBidi"/>
        </w:rPr>
      </w:pPr>
      <w:r w:rsidRPr="00261C59">
        <w:rPr>
          <w:rFonts w:asciiTheme="minorHAnsi" w:eastAsiaTheme="minorEastAsia" w:hAnsiTheme="minorHAnsi" w:cstheme="minorBidi"/>
          <w:sz w:val="24"/>
          <w:szCs w:val="24"/>
        </w:rPr>
        <w:t>These governance arrangements and the Reform Framework will be reviewed annually to confirm their suitability and effectiveness, with any change subject to HCEF approval.</w:t>
      </w:r>
    </w:p>
    <w:p w14:paraId="6A59FF3B" w14:textId="77777777" w:rsidR="00BA3053" w:rsidRPr="00261C59" w:rsidRDefault="00BA3053" w:rsidP="00BA3053">
      <w:pPr>
        <w:pStyle w:val="Heading2"/>
        <w:widowControl/>
        <w:adjustRightInd/>
        <w:spacing w:before="180" w:after="120"/>
        <w:jc w:val="left"/>
        <w:textAlignment w:val="auto"/>
        <w:rPr>
          <w:rFonts w:ascii="Corbel" w:eastAsia="Corbel" w:hAnsi="Corbel" w:cs="Corbel"/>
          <w:color w:val="3D4B67"/>
          <w:sz w:val="28"/>
          <w:szCs w:val="28"/>
        </w:rPr>
      </w:pPr>
      <w:bookmarkStart w:id="604" w:name="_Toc210029704"/>
      <w:bookmarkStart w:id="605" w:name="_Toc214456554"/>
      <w:bookmarkStart w:id="606" w:name="_Toc221088034"/>
      <w:r w:rsidRPr="00261C59">
        <w:rPr>
          <w:rFonts w:ascii="Corbel" w:eastAsia="Times New Roman" w:hAnsi="Corbel" w:cs="Arial"/>
          <w:iCs/>
          <w:color w:val="3D4B67"/>
          <w:sz w:val="28"/>
          <w:szCs w:val="28"/>
        </w:rPr>
        <w:t>Developing a Service Model and Funding Reform Framework</w:t>
      </w:r>
      <w:bookmarkEnd w:id="604"/>
      <w:bookmarkEnd w:id="605"/>
      <w:bookmarkEnd w:id="606"/>
    </w:p>
    <w:p w14:paraId="19A1758B" w14:textId="77777777" w:rsidR="00BA3053" w:rsidRPr="00261C59" w:rsidRDefault="00BA3053" w:rsidP="00830547">
      <w:pPr>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The Parties agree that a Service Model and Funding Reform Framework (the Reform Framework) is needed to provide a more structured approach for identifying and implementing optimal models of care and new payment and funding arrangements that will drive system reform in line with agreed HMM priorities.</w:t>
      </w:r>
    </w:p>
    <w:p w14:paraId="622719AE" w14:textId="77777777" w:rsidR="00BA3053" w:rsidRPr="00261C59" w:rsidRDefault="00BA3053" w:rsidP="00830547">
      <w:pPr>
        <w:keepNext/>
        <w:numPr>
          <w:ilvl w:val="0"/>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The Reform Framework will include criteria to assess whether proposed patient cohorts, clinical pathways or service/care models are suitable for payment and/or funding reforms, including bundled and capitation payment models, value-based pricing approaches and alternative payment models. These criteria may include: </w:t>
      </w:r>
    </w:p>
    <w:p w14:paraId="11110D4B" w14:textId="12F3434F" w:rsidR="00BA3053" w:rsidRPr="00261C59" w:rsidRDefault="5EF2FDC1" w:rsidP="00830547">
      <w:pPr>
        <w:keepNext/>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d</w:t>
      </w:r>
      <w:r w:rsidR="00BA3053" w:rsidRPr="00261C59">
        <w:rPr>
          <w:rFonts w:asciiTheme="minorHAnsi" w:eastAsia="Calibri" w:hAnsiTheme="minorHAnsi" w:cstheme="minorBidi"/>
          <w:sz w:val="24"/>
          <w:szCs w:val="24"/>
        </w:rPr>
        <w:t>efined model or process of care – a clinically accepted and evidence-based practice and/or guidelines that define ‘appropriate’ care for the cohort/pathway exists, and/or compelling clinical evidence exists</w:t>
      </w:r>
    </w:p>
    <w:p w14:paraId="5637AAFF" w14:textId="0A2FCA96" w:rsidR="00BA3053" w:rsidRPr="00261C59" w:rsidRDefault="04BCC2E8" w:rsidP="00830547">
      <w:pPr>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a</w:t>
      </w:r>
      <w:r w:rsidR="00BA3053" w:rsidRPr="00261C59">
        <w:rPr>
          <w:rFonts w:asciiTheme="minorHAnsi" w:eastAsia="Calibri" w:hAnsiTheme="minorHAnsi" w:cstheme="minorBidi"/>
          <w:sz w:val="24"/>
          <w:szCs w:val="24"/>
        </w:rPr>
        <w:t>ppropriate for care type – the payment or funding type is appropriate for the proposed care model, patient cohort and/or pathway </w:t>
      </w:r>
    </w:p>
    <w:p w14:paraId="30A7CDAE" w14:textId="4C19F515" w:rsidR="00BA3053" w:rsidRPr="00261C59" w:rsidRDefault="017ECCD6" w:rsidP="00830547">
      <w:pPr>
        <w:widowControl/>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c</w:t>
      </w:r>
      <w:r w:rsidR="00BA3053" w:rsidRPr="00261C59">
        <w:rPr>
          <w:rFonts w:asciiTheme="minorHAnsi" w:eastAsia="Calibri" w:hAnsiTheme="minorHAnsi" w:cstheme="minorBidi"/>
          <w:sz w:val="24"/>
          <w:szCs w:val="24"/>
        </w:rPr>
        <w:t>ulturally safe and appropriate – all models of care are culturally appropriate, safe and where relevant, co-designed with local Aboriginal and Torres Strait Islander communities and organisations, including the ACCHO sector and peak workforce organisations, and where appropriate commissioned or delivered by ACCHOs</w:t>
      </w:r>
    </w:p>
    <w:p w14:paraId="308A6C45" w14:textId="7A28A6F5" w:rsidR="00BA3053" w:rsidRPr="00261C59" w:rsidRDefault="71B46EB6" w:rsidP="00830547">
      <w:pPr>
        <w:keepNext/>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r</w:t>
      </w:r>
      <w:r w:rsidR="00BA3053" w:rsidRPr="00261C59">
        <w:rPr>
          <w:rFonts w:asciiTheme="minorHAnsi" w:eastAsia="Calibri" w:hAnsiTheme="minorHAnsi" w:cstheme="minorBidi"/>
          <w:sz w:val="24"/>
          <w:szCs w:val="24"/>
        </w:rPr>
        <w:t>ationale for reform – the current funding model poses a barrier to implementing an optimal model of care, or the proposed cohort/pathway experiences significant variation or has opportunity for improvement in either one or more of: clinical outcomes, access, equity, safety and quality, health care utilisation, or costs</w:t>
      </w:r>
    </w:p>
    <w:p w14:paraId="496867A9" w14:textId="6071302E" w:rsidR="00BA3053" w:rsidRPr="00261C59" w:rsidRDefault="7C65C1BE" w:rsidP="00830547">
      <w:pPr>
        <w:keepNext/>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e</w:t>
      </w:r>
      <w:r w:rsidR="00BA3053" w:rsidRPr="00261C59">
        <w:rPr>
          <w:rFonts w:asciiTheme="minorHAnsi" w:eastAsia="Calibri" w:hAnsiTheme="minorHAnsi" w:cstheme="minorBidi"/>
          <w:sz w:val="24"/>
          <w:szCs w:val="24"/>
        </w:rPr>
        <w:t>vidence – local or international evidence is available to suggest that improvements could be made by using a different funding, payment or pricing model</w:t>
      </w:r>
    </w:p>
    <w:p w14:paraId="455D9B02" w14:textId="19792FE1" w:rsidR="00BA3053" w:rsidRPr="00261C59" w:rsidRDefault="1AFCE4B1" w:rsidP="004728D9">
      <w:pPr>
        <w:keepNext/>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t</w:t>
      </w:r>
      <w:r w:rsidR="00BA3053" w:rsidRPr="00261C59">
        <w:rPr>
          <w:rFonts w:asciiTheme="minorHAnsi" w:eastAsia="Calibri" w:hAnsiTheme="minorHAnsi" w:cstheme="minorBidi"/>
          <w:sz w:val="24"/>
          <w:szCs w:val="24"/>
        </w:rPr>
        <w:t>raceability – access to relevant data sets makes it possible to accurately monitor patient activity, safety and quality across this pathway/cohort to design, implement and evaluate the model</w:t>
      </w:r>
    </w:p>
    <w:p w14:paraId="331062AF" w14:textId="38AE6202" w:rsidR="00BA3053" w:rsidRPr="00261C59" w:rsidRDefault="17A923F1" w:rsidP="004728D9">
      <w:pPr>
        <w:keepNext/>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o</w:t>
      </w:r>
      <w:r w:rsidR="00BA3053" w:rsidRPr="00261C59">
        <w:rPr>
          <w:rFonts w:asciiTheme="minorHAnsi" w:eastAsia="Calibri" w:hAnsiTheme="minorHAnsi" w:cstheme="minorBidi"/>
          <w:sz w:val="24"/>
          <w:szCs w:val="24"/>
        </w:rPr>
        <w:t>utcome measures – standardised and validated patient-centred and/or reported outcome measures, and population outcome measures including Closing the Gap, are available that can be monitored, evaluated, and benchmarked</w:t>
      </w:r>
    </w:p>
    <w:p w14:paraId="16A6ADF1" w14:textId="76C1BDE3" w:rsidR="00BA3053" w:rsidRPr="00261C59" w:rsidRDefault="69ED7C0D" w:rsidP="00830547">
      <w:pPr>
        <w:keepNext/>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v</w:t>
      </w:r>
      <w:r w:rsidR="00BA3053" w:rsidRPr="00261C59">
        <w:rPr>
          <w:rFonts w:asciiTheme="minorHAnsi" w:eastAsia="Calibri" w:hAnsiTheme="minorHAnsi" w:cstheme="minorBidi"/>
          <w:sz w:val="24"/>
          <w:szCs w:val="24"/>
        </w:rPr>
        <w:t>olume – the proposed cohort/pathway has sufficient volume of services delivered on a national or state level to justify implementation costs, achieve economies of scale, and produce replicable evaluation results during an initial implementation phase</w:t>
      </w:r>
    </w:p>
    <w:p w14:paraId="136BAC47" w14:textId="5176C05D" w:rsidR="00BA3053" w:rsidRPr="00261C59" w:rsidRDefault="3B6B260A" w:rsidP="004647EF">
      <w:pPr>
        <w:keepLines/>
        <w:numPr>
          <w:ilvl w:val="1"/>
          <w:numId w:val="258"/>
        </w:numPr>
        <w:spacing w:after="240" w:line="260" w:lineRule="exact"/>
        <w:ind w:left="1077" w:hanging="357"/>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e</w:t>
      </w:r>
      <w:r w:rsidR="00BA3053" w:rsidRPr="00261C59">
        <w:rPr>
          <w:rFonts w:asciiTheme="minorHAnsi" w:eastAsia="Calibri" w:hAnsiTheme="minorHAnsi" w:cstheme="minorBidi"/>
          <w:sz w:val="24"/>
          <w:szCs w:val="24"/>
        </w:rPr>
        <w:t>ase of implementation – consideration will be given to the relative ease of implementing the reform for a cohort or pathway from the perspective of the Parties, IHACPA and ACSQHC.  </w:t>
      </w:r>
    </w:p>
    <w:p w14:paraId="24BCDC56" w14:textId="10D7B93A" w:rsidR="00BA3053" w:rsidRPr="00261C59" w:rsidRDefault="00BA3053" w:rsidP="00830547">
      <w:pPr>
        <w:keepNext/>
        <w:keepLines/>
        <w:widowControl/>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Theme="minorEastAsia" w:hAnsiTheme="minorHAnsi" w:cstheme="minorBidi"/>
          <w:sz w:val="24"/>
          <w:szCs w:val="24"/>
        </w:rPr>
        <w:t>The Reform Framework will support the Reform Collaboration to develop recommendations via the System Reform Deputies Group (SRDG) to HCEF regarding the most appropriate reform pathway to progress service delivery, funding stream and/or payment and pricing model changes that will contribute to better health ou</w:t>
      </w:r>
      <w:r w:rsidRPr="00261C59">
        <w:rPr>
          <w:rFonts w:asciiTheme="minorHAnsi" w:eastAsia="Calibri" w:hAnsiTheme="minorHAnsi" w:cstheme="minorBidi"/>
          <w:sz w:val="24"/>
          <w:szCs w:val="24"/>
        </w:rPr>
        <w:t>tcomes and experiences for people. This would include:</w:t>
      </w:r>
    </w:p>
    <w:p w14:paraId="7C5DA016" w14:textId="19AA6930" w:rsidR="00BA3053" w:rsidRPr="00261C59" w:rsidRDefault="00BA3053" w:rsidP="00830547">
      <w:pPr>
        <w:keepNext/>
        <w:numPr>
          <w:ilvl w:val="0"/>
          <w:numId w:val="252"/>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identifying best practice and evidence-informed models of care that should be incentivised or delivered at scale through more appropriate pricing and funding arrangements </w:t>
      </w:r>
    </w:p>
    <w:p w14:paraId="2ED36BD2" w14:textId="062AD514" w:rsidR="00BA3053" w:rsidRPr="00261C59" w:rsidRDefault="00BA3053" w:rsidP="00830547">
      <w:pPr>
        <w:keepNext/>
        <w:numPr>
          <w:ilvl w:val="0"/>
          <w:numId w:val="252"/>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identifying and agreeing nationally important models of care and services suitable for inclusion in the national funding model as per Part 3 of Schedule A</w:t>
      </w:r>
    </w:p>
    <w:p w14:paraId="7FDC2CA1" w14:textId="77777777" w:rsidR="00BA3053" w:rsidRPr="00261C59" w:rsidRDefault="00BA3053" w:rsidP="00830547">
      <w:pPr>
        <w:keepNext/>
        <w:numPr>
          <w:ilvl w:val="0"/>
          <w:numId w:val="252"/>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determining the most appropriate funding, payment and/or pricing mechanism to support the reform, in conjunction with the IHACPA Funding Models Framework (clause A9), including options for:</w:t>
      </w:r>
    </w:p>
    <w:p w14:paraId="3CA9186C" w14:textId="729C4EBE" w:rsidR="00BA3053" w:rsidRPr="00261C59" w:rsidRDefault="00BA3053" w:rsidP="00830547">
      <w:pPr>
        <w:widowControl/>
        <w:numPr>
          <w:ilvl w:val="2"/>
          <w:numId w:val="258"/>
        </w:numPr>
        <w:spacing w:after="240" w:line="260" w:lineRule="exact"/>
        <w:jc w:val="left"/>
        <w:rPr>
          <w:rFonts w:asciiTheme="minorHAnsi" w:hAnsiTheme="minorHAnsi" w:cstheme="minorBidi"/>
          <w:sz w:val="24"/>
          <w:szCs w:val="24"/>
        </w:rPr>
      </w:pPr>
      <w:r w:rsidRPr="00261C59">
        <w:rPr>
          <w:rFonts w:asciiTheme="minorHAnsi" w:hAnsiTheme="minorHAnsi" w:cstheme="minorBidi"/>
          <w:sz w:val="24"/>
          <w:szCs w:val="24"/>
        </w:rPr>
        <w:t xml:space="preserve">fast-tracking changes to existing ABF classifications, costings and pricing where appropriate </w:t>
      </w:r>
    </w:p>
    <w:p w14:paraId="3E1AAB7F" w14:textId="19B2A7B2" w:rsidR="00BA3053" w:rsidRPr="00261C59" w:rsidRDefault="00BA3053" w:rsidP="00830547">
      <w:pPr>
        <w:widowControl/>
        <w:numPr>
          <w:ilvl w:val="2"/>
          <w:numId w:val="258"/>
        </w:numPr>
        <w:spacing w:after="240" w:line="260" w:lineRule="exact"/>
        <w:jc w:val="left"/>
        <w:rPr>
          <w:rFonts w:asciiTheme="minorHAnsi" w:hAnsiTheme="minorHAnsi" w:cstheme="minorBidi"/>
          <w:sz w:val="24"/>
          <w:szCs w:val="24"/>
        </w:rPr>
      </w:pPr>
      <w:r w:rsidRPr="00261C59">
        <w:rPr>
          <w:rFonts w:asciiTheme="minorHAnsi" w:hAnsiTheme="minorHAnsi" w:cstheme="minorBidi"/>
          <w:sz w:val="24"/>
          <w:szCs w:val="24"/>
        </w:rPr>
        <w:t xml:space="preserve">progressing high/low value care, priority care loadings, normative pricing, new ABF and non-ABF classifications and/or payment models for specific cohorts </w:t>
      </w:r>
    </w:p>
    <w:p w14:paraId="2031ECD3" w14:textId="20D7C6D3" w:rsidR="00BA3053" w:rsidRPr="00261C59" w:rsidRDefault="00BA3053" w:rsidP="00830547">
      <w:pPr>
        <w:widowControl/>
        <w:numPr>
          <w:ilvl w:val="2"/>
          <w:numId w:val="258"/>
        </w:numPr>
        <w:spacing w:after="240" w:line="260" w:lineRule="exact"/>
        <w:jc w:val="left"/>
        <w:rPr>
          <w:rFonts w:asciiTheme="minorHAnsi" w:hAnsiTheme="minorHAnsi" w:cstheme="minorBidi"/>
          <w:sz w:val="24"/>
          <w:szCs w:val="24"/>
        </w:rPr>
      </w:pPr>
      <w:r w:rsidRPr="00261C59">
        <w:rPr>
          <w:rFonts w:asciiTheme="minorHAnsi" w:hAnsiTheme="minorHAnsi" w:cstheme="minorBidi"/>
          <w:sz w:val="24"/>
          <w:szCs w:val="24"/>
        </w:rPr>
        <w:t>trialling and/or scaling specific bundled payment arrangements, capitation funding models and novel models of care via the SMRF stream</w:t>
      </w:r>
    </w:p>
    <w:p w14:paraId="36570B48" w14:textId="77777777" w:rsidR="00BA3053" w:rsidRPr="00261C59" w:rsidRDefault="00BA3053" w:rsidP="00830547">
      <w:pPr>
        <w:widowControl/>
        <w:numPr>
          <w:ilvl w:val="2"/>
          <w:numId w:val="258"/>
        </w:numPr>
        <w:spacing w:after="240" w:line="260" w:lineRule="exact"/>
        <w:jc w:val="left"/>
        <w:rPr>
          <w:rFonts w:asciiTheme="minorHAnsi" w:hAnsiTheme="minorHAnsi" w:cstheme="minorBidi"/>
          <w:sz w:val="24"/>
          <w:szCs w:val="24"/>
        </w:rPr>
      </w:pPr>
      <w:r w:rsidRPr="00261C59">
        <w:rPr>
          <w:rFonts w:asciiTheme="minorHAnsi" w:hAnsiTheme="minorHAnsi" w:cstheme="minorBidi"/>
          <w:sz w:val="24"/>
          <w:szCs w:val="24"/>
        </w:rPr>
        <w:t>trialling alternative payment models via block funding arrangements where other funding arrangements above are not considered suitable.</w:t>
      </w:r>
    </w:p>
    <w:p w14:paraId="44589E93" w14:textId="77777777" w:rsidR="00BA3053" w:rsidRPr="00261C59" w:rsidRDefault="00BA3053" w:rsidP="00830547">
      <w:pPr>
        <w:keepNext/>
        <w:widowControl/>
        <w:numPr>
          <w:ilvl w:val="0"/>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The Reform Framework will set out the specific roles and functions of National Bodies, leveraging their expertise, to support implementation of reforms under this Schedule. </w:t>
      </w:r>
    </w:p>
    <w:p w14:paraId="16C849F1" w14:textId="3EE9B0C6" w:rsidR="00BA3053" w:rsidRPr="00261C59" w:rsidRDefault="00BA3053" w:rsidP="00830547">
      <w:pPr>
        <w:keepNext/>
        <w:numPr>
          <w:ilvl w:val="1"/>
          <w:numId w:val="258"/>
        </w:numPr>
        <w:spacing w:after="240" w:line="260" w:lineRule="exact"/>
        <w:jc w:val="left"/>
        <w:rPr>
          <w:rFonts w:asciiTheme="minorHAnsi" w:eastAsia="Calibri" w:hAnsiTheme="minorHAnsi" w:cstheme="minorBidi"/>
        </w:rPr>
      </w:pPr>
      <w:r w:rsidRPr="00261C59">
        <w:rPr>
          <w:rFonts w:asciiTheme="minorHAnsi" w:eastAsia="Calibri" w:hAnsiTheme="minorHAnsi" w:cstheme="minorBidi"/>
          <w:sz w:val="24"/>
          <w:szCs w:val="24"/>
        </w:rPr>
        <w:t xml:space="preserve">As part of the Reform Collaboration the ACSQHC will advise on </w:t>
      </w:r>
      <w:r w:rsidRPr="00261C59">
        <w:rPr>
          <w:rFonts w:asciiTheme="minorHAnsi" w:eastAsiaTheme="minorEastAsia" w:hAnsiTheme="minorHAnsi" w:cstheme="minorBidi"/>
          <w:sz w:val="24"/>
          <w:szCs w:val="24"/>
        </w:rPr>
        <w:t>a systematic process to assess current service delivery models and identifying national priority cohorts and conditions according to contemporary best-practice, optimal models of care.</w:t>
      </w:r>
    </w:p>
    <w:p w14:paraId="1CC9628B" w14:textId="262F7971" w:rsidR="00BA3053" w:rsidRPr="00261C59" w:rsidRDefault="00BA3053" w:rsidP="009579FB">
      <w:pPr>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Where the Reform Collaboration </w:t>
      </w:r>
      <w:r w:rsidR="00AB77C1" w:rsidRPr="00261C59">
        <w:rPr>
          <w:rFonts w:asciiTheme="minorHAnsi" w:eastAsia="Calibri" w:hAnsiTheme="minorHAnsi" w:cstheme="minorBidi"/>
          <w:sz w:val="24"/>
          <w:szCs w:val="24"/>
        </w:rPr>
        <w:t xml:space="preserve">considers </w:t>
      </w:r>
      <w:r w:rsidRPr="00261C59">
        <w:rPr>
          <w:rFonts w:asciiTheme="minorHAnsi" w:eastAsia="Calibri" w:hAnsiTheme="minorHAnsi" w:cstheme="minorBidi"/>
          <w:sz w:val="24"/>
          <w:szCs w:val="24"/>
        </w:rPr>
        <w:t>a change in the pricing or funding model</w:t>
      </w:r>
      <w:r w:rsidR="00A1553B" w:rsidRPr="00261C59">
        <w:rPr>
          <w:rFonts w:asciiTheme="minorHAnsi" w:eastAsia="Calibri" w:hAnsiTheme="minorHAnsi" w:cstheme="minorBidi"/>
          <w:sz w:val="24"/>
          <w:szCs w:val="24"/>
        </w:rPr>
        <w:t xml:space="preserve"> would better support optimal models of care</w:t>
      </w:r>
      <w:r w:rsidRPr="00261C59">
        <w:rPr>
          <w:rFonts w:asciiTheme="minorHAnsi" w:eastAsia="Calibri" w:hAnsiTheme="minorHAnsi" w:cstheme="minorBidi"/>
          <w:sz w:val="24"/>
          <w:szCs w:val="24"/>
        </w:rPr>
        <w:t xml:space="preserve">, the Funding Models Framework developed by IHACPA will provide guidance for Parties on how to request pricing, classification, or funding stream changes (clause A9). </w:t>
      </w:r>
    </w:p>
    <w:p w14:paraId="6C3AC2CC" w14:textId="7A1950DF" w:rsidR="00723A03" w:rsidRPr="00261C59" w:rsidRDefault="003477DE" w:rsidP="004647EF">
      <w:pPr>
        <w:keepLines/>
        <w:widowControl/>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The Reform Framework (developed by the Reform Collaboration) and the Funding Models Framework (developed by the IHACPA per clause A9)</w:t>
      </w:r>
      <w:r w:rsidR="002B70C2" w:rsidRPr="00261C59">
        <w:rPr>
          <w:rFonts w:asciiTheme="minorHAnsi" w:eastAsia="Calibri" w:hAnsiTheme="minorHAnsi" w:cstheme="minorBidi"/>
          <w:sz w:val="24"/>
          <w:szCs w:val="24"/>
        </w:rPr>
        <w:t xml:space="preserve"> are complementary documents that together </w:t>
      </w:r>
      <w:r w:rsidR="006041A4" w:rsidRPr="00261C59">
        <w:rPr>
          <w:rFonts w:asciiTheme="minorHAnsi" w:eastAsia="Calibri" w:hAnsiTheme="minorHAnsi" w:cstheme="minorBidi"/>
          <w:sz w:val="24"/>
          <w:szCs w:val="24"/>
        </w:rPr>
        <w:t xml:space="preserve">will </w:t>
      </w:r>
      <w:r w:rsidR="002B70C2" w:rsidRPr="00261C59">
        <w:rPr>
          <w:rFonts w:asciiTheme="minorHAnsi" w:eastAsia="Calibri" w:hAnsiTheme="minorHAnsi" w:cstheme="minorBidi"/>
          <w:sz w:val="24"/>
          <w:szCs w:val="24"/>
        </w:rPr>
        <w:t>guide reform implementation.</w:t>
      </w:r>
    </w:p>
    <w:p w14:paraId="18E5C22E" w14:textId="2F437D24" w:rsidR="00C30D16" w:rsidRPr="00261C59" w:rsidRDefault="00C30D16" w:rsidP="004647EF">
      <w:pPr>
        <w:numPr>
          <w:ilvl w:val="1"/>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The Reform Framework addresses: </w:t>
      </w:r>
    </w:p>
    <w:p w14:paraId="0494C6F3" w14:textId="5D699DB6" w:rsidR="00C30D16" w:rsidRPr="00261C59" w:rsidRDefault="54931407" w:rsidP="004647EF">
      <w:pPr>
        <w:numPr>
          <w:ilvl w:val="2"/>
          <w:numId w:val="258"/>
        </w:numPr>
        <w:adjustRightInd/>
        <w:spacing w:after="240" w:line="260" w:lineRule="exact"/>
        <w:ind w:left="1842" w:hanging="181"/>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r</w:t>
      </w:r>
      <w:r w:rsidR="00C30D16" w:rsidRPr="00261C59">
        <w:rPr>
          <w:rFonts w:asciiTheme="minorHAnsi" w:eastAsia="Calibri" w:hAnsiTheme="minorHAnsi" w:cstheme="minorBidi"/>
          <w:sz w:val="24"/>
          <w:szCs w:val="24"/>
        </w:rPr>
        <w:t>eform priorities and pathways</w:t>
      </w:r>
    </w:p>
    <w:p w14:paraId="41C1FEC4" w14:textId="60DA84B4" w:rsidR="00C30D16" w:rsidRPr="00261C59" w:rsidRDefault="00C30D16" w:rsidP="004647EF">
      <w:pPr>
        <w:numPr>
          <w:ilvl w:val="2"/>
          <w:numId w:val="258"/>
        </w:numPr>
        <w:adjustRightInd/>
        <w:spacing w:after="240" w:line="260" w:lineRule="exact"/>
        <w:ind w:left="1842" w:hanging="181"/>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SMRF operational procedures</w:t>
      </w:r>
    </w:p>
    <w:p w14:paraId="64F9044D" w14:textId="587A37B4" w:rsidR="00C30D16" w:rsidRPr="00261C59" w:rsidRDefault="73F2AF47" w:rsidP="004647EF">
      <w:pPr>
        <w:numPr>
          <w:ilvl w:val="2"/>
          <w:numId w:val="258"/>
        </w:numPr>
        <w:adjustRightInd/>
        <w:spacing w:after="240" w:line="260" w:lineRule="exact"/>
        <w:ind w:left="1842" w:hanging="181"/>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e</w:t>
      </w:r>
      <w:r w:rsidR="00E61C30" w:rsidRPr="00261C59">
        <w:rPr>
          <w:rFonts w:asciiTheme="minorHAnsi" w:eastAsia="Calibri" w:hAnsiTheme="minorHAnsi" w:cstheme="minorBidi"/>
          <w:sz w:val="24"/>
          <w:szCs w:val="24"/>
        </w:rPr>
        <w:t>v</w:t>
      </w:r>
      <w:r w:rsidR="00C30D16" w:rsidRPr="00261C59">
        <w:rPr>
          <w:rFonts w:asciiTheme="minorHAnsi" w:eastAsia="Calibri" w:hAnsiTheme="minorHAnsi" w:cstheme="minorBidi"/>
          <w:sz w:val="24"/>
          <w:szCs w:val="24"/>
        </w:rPr>
        <w:t>aluation and reporting requirements</w:t>
      </w:r>
    </w:p>
    <w:p w14:paraId="29C9F416" w14:textId="6369B2BA" w:rsidR="00C30D16" w:rsidRPr="00261C59" w:rsidRDefault="78A62FEC" w:rsidP="004647EF">
      <w:pPr>
        <w:numPr>
          <w:ilvl w:val="2"/>
          <w:numId w:val="258"/>
        </w:numPr>
        <w:adjustRightInd/>
        <w:spacing w:after="240" w:line="260" w:lineRule="exact"/>
        <w:ind w:left="1842" w:hanging="181"/>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c</w:t>
      </w:r>
      <w:r w:rsidR="00E61C30" w:rsidRPr="00261C59">
        <w:rPr>
          <w:rFonts w:asciiTheme="minorHAnsi" w:eastAsia="Calibri" w:hAnsiTheme="minorHAnsi" w:cstheme="minorBidi"/>
          <w:sz w:val="24"/>
          <w:szCs w:val="24"/>
        </w:rPr>
        <w:t>ross-jurisdictional learning</w:t>
      </w:r>
    </w:p>
    <w:p w14:paraId="6CA3C6F7" w14:textId="2A57CAF1" w:rsidR="00DC1236" w:rsidRPr="00261C59" w:rsidRDefault="00550EC7" w:rsidP="00DC1236">
      <w:pPr>
        <w:keepNext/>
        <w:numPr>
          <w:ilvl w:val="1"/>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The Funding Models Framework addresses:</w:t>
      </w:r>
    </w:p>
    <w:p w14:paraId="3120AA5B" w14:textId="6B1AE3F7" w:rsidR="00830D96" w:rsidRPr="00261C59" w:rsidRDefault="5C5E36DC" w:rsidP="00830D96">
      <w:pPr>
        <w:keepNext/>
        <w:numPr>
          <w:ilvl w:val="2"/>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t</w:t>
      </w:r>
      <w:r w:rsidR="00830D96" w:rsidRPr="00261C59">
        <w:rPr>
          <w:rFonts w:asciiTheme="minorHAnsi" w:eastAsia="Calibri" w:hAnsiTheme="minorHAnsi" w:cstheme="minorBidi"/>
          <w:sz w:val="24"/>
          <w:szCs w:val="24"/>
        </w:rPr>
        <w:t>echnical pricing and classification matters</w:t>
      </w:r>
    </w:p>
    <w:p w14:paraId="0FD290EB" w14:textId="23F848CC" w:rsidR="00830D96" w:rsidRPr="00261C59" w:rsidRDefault="757FDDB5" w:rsidP="00830D96">
      <w:pPr>
        <w:keepNext/>
        <w:numPr>
          <w:ilvl w:val="2"/>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f</w:t>
      </w:r>
      <w:r w:rsidR="00830D96" w:rsidRPr="00261C59">
        <w:rPr>
          <w:rFonts w:asciiTheme="minorHAnsi" w:eastAsia="Calibri" w:hAnsiTheme="minorHAnsi" w:cstheme="minorBidi"/>
          <w:sz w:val="24"/>
          <w:szCs w:val="24"/>
        </w:rPr>
        <w:t>unding stream criteria and transitions</w:t>
      </w:r>
    </w:p>
    <w:p w14:paraId="55501E68" w14:textId="58E7246D" w:rsidR="00830D96" w:rsidRPr="00261C59" w:rsidRDefault="00830D96" w:rsidP="00830D96">
      <w:pPr>
        <w:keepNext/>
        <w:numPr>
          <w:ilvl w:val="2"/>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IHACPA processes and decision-making</w:t>
      </w:r>
    </w:p>
    <w:p w14:paraId="41CFCD29" w14:textId="5B40F035" w:rsidR="00073B97" w:rsidRPr="00261C59" w:rsidRDefault="00073B97" w:rsidP="00073B97">
      <w:pPr>
        <w:keepNext/>
        <w:numPr>
          <w:ilvl w:val="1"/>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The Reform Collaboration and the IHACPA will consult to ensure alignment between the frameworks consistent with clauses I5 to I16</w:t>
      </w:r>
      <w:r w:rsidR="001728E0" w:rsidRPr="00261C59">
        <w:rPr>
          <w:rFonts w:asciiTheme="minorHAnsi" w:eastAsia="Calibri" w:hAnsiTheme="minorHAnsi" w:cstheme="minorBidi"/>
          <w:sz w:val="24"/>
          <w:szCs w:val="24"/>
        </w:rPr>
        <w:t>.</w:t>
      </w:r>
    </w:p>
    <w:p w14:paraId="77D9E799" w14:textId="2BD3D2DF" w:rsidR="001728E0" w:rsidRPr="00261C59" w:rsidRDefault="001728E0" w:rsidP="001728E0">
      <w:pPr>
        <w:keepNext/>
        <w:numPr>
          <w:ilvl w:val="2"/>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The Reform Framework will be updated annually to maintain alignment with Funding Models Framework developments.</w:t>
      </w:r>
    </w:p>
    <w:p w14:paraId="048EAE7D" w14:textId="40A7F1A5" w:rsidR="001728E0" w:rsidRPr="00261C59" w:rsidRDefault="001728E0" w:rsidP="001728E0">
      <w:pPr>
        <w:keepNext/>
        <w:numPr>
          <w:ilvl w:val="1"/>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Both </w:t>
      </w:r>
      <w:r w:rsidR="00194B42" w:rsidRPr="00261C59">
        <w:rPr>
          <w:rFonts w:asciiTheme="minorHAnsi" w:eastAsia="Calibri" w:hAnsiTheme="minorHAnsi" w:cstheme="minorBidi"/>
          <w:sz w:val="24"/>
          <w:szCs w:val="24"/>
        </w:rPr>
        <w:t>frameworks</w:t>
      </w:r>
      <w:r w:rsidRPr="00261C59">
        <w:rPr>
          <w:rFonts w:asciiTheme="minorHAnsi" w:eastAsia="Calibri" w:hAnsiTheme="minorHAnsi" w:cstheme="minorBidi"/>
          <w:sz w:val="24"/>
          <w:szCs w:val="24"/>
        </w:rPr>
        <w:t xml:space="preserve"> will be published together once developed and cross-referenced to support</w:t>
      </w:r>
      <w:r w:rsidR="00967663" w:rsidRPr="00261C59">
        <w:rPr>
          <w:rFonts w:asciiTheme="minorHAnsi" w:eastAsia="Calibri" w:hAnsiTheme="minorHAnsi" w:cstheme="minorBidi"/>
          <w:sz w:val="24"/>
          <w:szCs w:val="24"/>
        </w:rPr>
        <w:t xml:space="preserve"> user navigation.</w:t>
      </w:r>
    </w:p>
    <w:p w14:paraId="74D6269D" w14:textId="77777777" w:rsidR="00BA3053" w:rsidRPr="00261C59" w:rsidRDefault="00BA3053" w:rsidP="00BA3053">
      <w:pPr>
        <w:pStyle w:val="Heading3"/>
        <w:keepNext/>
        <w:widowControl/>
        <w:spacing w:before="0" w:after="120"/>
        <w:ind w:left="0"/>
        <w:jc w:val="left"/>
        <w:rPr>
          <w:rFonts w:ascii="Corbel" w:eastAsia="Times New Roman" w:hAnsi="Corbel"/>
          <w:b w:val="0"/>
          <w:bCs w:val="0"/>
          <w:color w:val="3D4B67"/>
          <w:sz w:val="28"/>
          <w:szCs w:val="28"/>
          <w:lang w:eastAsia="ja-JP"/>
        </w:rPr>
      </w:pPr>
      <w:bookmarkStart w:id="607" w:name="_Toc210029705"/>
      <w:bookmarkStart w:id="608" w:name="_Toc214456555"/>
      <w:bookmarkStart w:id="609" w:name="_Toc221088035"/>
      <w:r w:rsidRPr="00261C59">
        <w:rPr>
          <w:rFonts w:ascii="Corbel" w:eastAsia="Times New Roman" w:hAnsi="Corbel"/>
          <w:b w:val="0"/>
          <w:bCs w:val="0"/>
          <w:color w:val="3D4B67"/>
          <w:sz w:val="28"/>
          <w:szCs w:val="28"/>
          <w:lang w:eastAsia="ja-JP"/>
        </w:rPr>
        <w:t>Data and reporting requirements</w:t>
      </w:r>
      <w:bookmarkEnd w:id="607"/>
      <w:bookmarkEnd w:id="608"/>
      <w:bookmarkEnd w:id="609"/>
    </w:p>
    <w:p w14:paraId="5694571C" w14:textId="3D5EF09C" w:rsidR="00BA3053" w:rsidRPr="00261C59" w:rsidRDefault="00BA3053" w:rsidP="00830547">
      <w:pPr>
        <w:keepNext/>
        <w:numPr>
          <w:ilvl w:val="0"/>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The Parties agree all reform activities will comply with specified reporting requirements. This includes financial reporting, data provision and implementation monitoring on progress and outcomes, and specific reporting requirements for SMRF funding reconciliation and acquittal as outlined in clauses A</w:t>
      </w:r>
      <w:r w:rsidR="002A0935" w:rsidRPr="00261C59">
        <w:rPr>
          <w:rFonts w:asciiTheme="minorHAnsi" w:eastAsia="Calibri" w:hAnsiTheme="minorHAnsi" w:cstheme="minorBidi"/>
          <w:sz w:val="24"/>
          <w:szCs w:val="24"/>
        </w:rPr>
        <w:t>14</w:t>
      </w:r>
      <w:r w:rsidR="00251C17" w:rsidRPr="00261C59">
        <w:rPr>
          <w:rFonts w:asciiTheme="minorHAnsi" w:eastAsia="Calibri" w:hAnsiTheme="minorHAnsi" w:cstheme="minorBidi"/>
          <w:sz w:val="24"/>
          <w:szCs w:val="24"/>
        </w:rPr>
        <w:t>5</w:t>
      </w:r>
      <w:r w:rsidRPr="00261C59">
        <w:rPr>
          <w:rFonts w:asciiTheme="minorHAnsi" w:eastAsia="Calibri" w:hAnsiTheme="minorHAnsi" w:cstheme="minorBidi"/>
          <w:sz w:val="24"/>
          <w:szCs w:val="24"/>
        </w:rPr>
        <w:t xml:space="preserve"> </w:t>
      </w:r>
      <w:r w:rsidR="00251C17" w:rsidRPr="00261C59">
        <w:rPr>
          <w:rFonts w:asciiTheme="minorHAnsi" w:eastAsia="Calibri" w:hAnsiTheme="minorHAnsi" w:cstheme="minorBidi"/>
          <w:sz w:val="24"/>
          <w:szCs w:val="24"/>
        </w:rPr>
        <w:t xml:space="preserve">to </w:t>
      </w:r>
      <w:r w:rsidRPr="00261C59">
        <w:rPr>
          <w:rFonts w:asciiTheme="minorHAnsi" w:eastAsia="Calibri" w:hAnsiTheme="minorHAnsi" w:cstheme="minorBidi"/>
          <w:sz w:val="24"/>
          <w:szCs w:val="24"/>
        </w:rPr>
        <w:t>A</w:t>
      </w:r>
      <w:r w:rsidR="002A0935" w:rsidRPr="00261C59">
        <w:rPr>
          <w:rFonts w:asciiTheme="minorHAnsi" w:eastAsia="Calibri" w:hAnsiTheme="minorHAnsi" w:cstheme="minorBidi"/>
          <w:sz w:val="24"/>
          <w:szCs w:val="24"/>
        </w:rPr>
        <w:t>147</w:t>
      </w:r>
      <w:r w:rsidRPr="00261C59">
        <w:rPr>
          <w:rFonts w:asciiTheme="minorHAnsi" w:eastAsia="Calibri" w:hAnsiTheme="minorHAnsi" w:cstheme="minorBidi"/>
          <w:sz w:val="24"/>
          <w:szCs w:val="24"/>
        </w:rPr>
        <w:t>. These requirements will be developed by the Reform Collaboration and outlined in the Reform Framework.</w:t>
      </w:r>
    </w:p>
    <w:p w14:paraId="13DEB39A" w14:textId="01E7A8B2" w:rsidR="00BA3053" w:rsidRPr="00261C59" w:rsidRDefault="00BA3053" w:rsidP="00830547">
      <w:pPr>
        <w:keepNext/>
        <w:numPr>
          <w:ilvl w:val="1"/>
          <w:numId w:val="258"/>
        </w:numPr>
        <w:adjustRightInd/>
        <w:spacing w:after="240" w:line="260" w:lineRule="exact"/>
        <w:jc w:val="left"/>
        <w:textAlignment w:val="auto"/>
        <w:rPr>
          <w:rFonts w:asciiTheme="minorHAnsi" w:hAnsiTheme="minorHAnsi" w:cstheme="minorBidi"/>
        </w:rPr>
      </w:pPr>
      <w:r w:rsidRPr="00261C59">
        <w:rPr>
          <w:rFonts w:asciiTheme="minorHAnsi" w:hAnsiTheme="minorHAnsi" w:cstheme="minorBidi"/>
          <w:sz w:val="24"/>
          <w:szCs w:val="24"/>
        </w:rPr>
        <w:t>Reporting and accountability requirements should be balanced and commensurate with the size and complexity of the reform or projects, giving decision-makers enough data and evidence to assess outcomes without overburdening service delivery organisations</w:t>
      </w:r>
      <w:r w:rsidR="658F06F6" w:rsidRPr="00261C59">
        <w:rPr>
          <w:rFonts w:asciiTheme="minorHAnsi" w:hAnsiTheme="minorHAnsi" w:cstheme="minorBidi"/>
          <w:sz w:val="24"/>
          <w:szCs w:val="24"/>
        </w:rPr>
        <w:t>.</w:t>
      </w:r>
    </w:p>
    <w:p w14:paraId="619CDA09" w14:textId="77777777" w:rsidR="00BA3053" w:rsidRPr="00261C59" w:rsidRDefault="00BA3053" w:rsidP="00830547">
      <w:pPr>
        <w:keepNext/>
        <w:numPr>
          <w:ilvl w:val="1"/>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hAnsiTheme="minorHAnsi" w:cstheme="minorBidi"/>
          <w:sz w:val="24"/>
          <w:szCs w:val="24"/>
        </w:rPr>
        <w:t>The Funding Models Framework will outline</w:t>
      </w:r>
      <w:r w:rsidRPr="00261C59">
        <w:rPr>
          <w:rFonts w:asciiTheme="minorHAnsi" w:eastAsia="Calibri" w:hAnsiTheme="minorHAnsi" w:cstheme="minorBidi"/>
          <w:sz w:val="24"/>
          <w:szCs w:val="24"/>
        </w:rPr>
        <w:t xml:space="preserve"> data and reporting requirements as well as processes for scaling and embedding successful </w:t>
      </w:r>
      <w:r w:rsidRPr="00261C59">
        <w:rPr>
          <w:rFonts w:asciiTheme="minorHAnsi" w:hAnsiTheme="minorHAnsi" w:cstheme="minorBidi"/>
          <w:sz w:val="24"/>
          <w:szCs w:val="24"/>
        </w:rPr>
        <w:t>reforms into the national funding model.</w:t>
      </w:r>
    </w:p>
    <w:p w14:paraId="596562DC" w14:textId="6EACBAF2" w:rsidR="00BA3053" w:rsidRPr="00261C59" w:rsidRDefault="00BA3053" w:rsidP="00830547">
      <w:pPr>
        <w:keepNext/>
        <w:numPr>
          <w:ilvl w:val="0"/>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The Reform Framework will also outline reporting arrangements to support cross jurisdictional learning by sharing materials and experience in designing, implementing, scaling, and embedding reforms, as well as arrangements for publicly reporting reform outcomes.</w:t>
      </w:r>
    </w:p>
    <w:p w14:paraId="218E78BA" w14:textId="77777777" w:rsidR="00BA3053" w:rsidRPr="00261C59" w:rsidRDefault="00BA3053" w:rsidP="00BA3053">
      <w:pPr>
        <w:pStyle w:val="Heading3"/>
        <w:keepNext/>
        <w:widowControl/>
        <w:adjustRightInd/>
        <w:spacing w:before="0" w:after="240" w:line="260" w:lineRule="exact"/>
        <w:ind w:left="709" w:hanging="709"/>
        <w:jc w:val="left"/>
        <w:textAlignment w:val="auto"/>
        <w:rPr>
          <w:rFonts w:ascii="Corbel" w:hAnsi="Corbel"/>
          <w:color w:val="3D4B67"/>
          <w:sz w:val="28"/>
          <w:szCs w:val="28"/>
          <w:lang w:eastAsia="ja-JP"/>
        </w:rPr>
      </w:pPr>
      <w:bookmarkStart w:id="610" w:name="_Toc210029706"/>
      <w:bookmarkStart w:id="611" w:name="_Toc214456556"/>
      <w:bookmarkStart w:id="612" w:name="_Toc221088036"/>
      <w:r w:rsidRPr="00261C59">
        <w:rPr>
          <w:rFonts w:ascii="Corbel" w:eastAsia="Times New Roman" w:hAnsi="Corbel"/>
          <w:b w:val="0"/>
          <w:bCs w:val="0"/>
          <w:color w:val="3D4B67"/>
          <w:sz w:val="28"/>
          <w:szCs w:val="28"/>
          <w:lang w:eastAsia="ja-JP"/>
        </w:rPr>
        <w:t>Evaluation</w:t>
      </w:r>
      <w:bookmarkEnd w:id="610"/>
      <w:bookmarkEnd w:id="611"/>
      <w:bookmarkEnd w:id="612"/>
    </w:p>
    <w:p w14:paraId="71BA3323" w14:textId="064509FD" w:rsidR="00BA3053" w:rsidRPr="00261C59" w:rsidRDefault="00BA3053" w:rsidP="00830547">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The Parties recognise that a common and robust approach to evaluation is required to assess the impact of new care pathways, optimal models of care and funding and payment reforms, in line with the principle at</w:t>
      </w:r>
      <w:r w:rsidR="00A26F6A" w:rsidRPr="00261C59">
        <w:rPr>
          <w:rFonts w:asciiTheme="minorHAnsi" w:eastAsia="Calibri" w:hAnsiTheme="minorHAnsi" w:cstheme="minorBidi"/>
          <w:sz w:val="24"/>
          <w:szCs w:val="24"/>
        </w:rPr>
        <w:t xml:space="preserve"> clause</w:t>
      </w:r>
      <w:r w:rsidRPr="00261C59">
        <w:rPr>
          <w:rFonts w:asciiTheme="minorHAnsi" w:eastAsia="Calibri" w:hAnsiTheme="minorHAnsi" w:cstheme="minorBidi"/>
          <w:sz w:val="24"/>
          <w:szCs w:val="24"/>
        </w:rPr>
        <w:t xml:space="preserve"> D1</w:t>
      </w:r>
      <w:r w:rsidR="00A26F6A" w:rsidRPr="00261C59">
        <w:rPr>
          <w:rFonts w:asciiTheme="minorHAnsi" w:eastAsia="Calibri" w:hAnsiTheme="minorHAnsi" w:cstheme="minorBidi"/>
          <w:sz w:val="24"/>
          <w:szCs w:val="24"/>
        </w:rPr>
        <w:t>8</w:t>
      </w:r>
      <w:r w:rsidRPr="00261C59">
        <w:rPr>
          <w:rFonts w:asciiTheme="minorHAnsi" w:eastAsia="Calibri" w:hAnsiTheme="minorHAnsi" w:cstheme="minorBidi"/>
          <w:sz w:val="24"/>
          <w:szCs w:val="24"/>
        </w:rPr>
        <w:t>(a).</w:t>
      </w:r>
    </w:p>
    <w:p w14:paraId="0F48AF11" w14:textId="77777777" w:rsidR="00BA3053" w:rsidRPr="00261C59" w:rsidRDefault="00BA3053" w:rsidP="00830547">
      <w:pPr>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The Reform Framework will outline evaluation requirements and processes that will be used to inform recommendations on whether to refine, scale up, expand, or discontinue specific reforms.</w:t>
      </w:r>
    </w:p>
    <w:p w14:paraId="7270E1A2" w14:textId="77777777" w:rsidR="00BA3053" w:rsidRPr="00261C59" w:rsidRDefault="00BA3053" w:rsidP="00BA3053">
      <w:pPr>
        <w:pStyle w:val="Heading3"/>
        <w:keepNext/>
        <w:widowControl/>
        <w:adjustRightInd/>
        <w:spacing w:before="0" w:after="120"/>
        <w:ind w:left="0"/>
        <w:jc w:val="left"/>
        <w:textAlignment w:val="auto"/>
        <w:rPr>
          <w:rFonts w:ascii="Corbel" w:eastAsia="Times New Roman" w:hAnsi="Corbel"/>
          <w:b w:val="0"/>
          <w:bCs w:val="0"/>
          <w:color w:val="3D4B67"/>
          <w:sz w:val="28"/>
          <w:szCs w:val="28"/>
          <w:lang w:eastAsia="ja-JP"/>
        </w:rPr>
      </w:pPr>
      <w:bookmarkStart w:id="613" w:name="_Toc210029707"/>
      <w:bookmarkStart w:id="614" w:name="_Toc214456557"/>
      <w:bookmarkStart w:id="615" w:name="_Toc221088037"/>
      <w:r w:rsidRPr="00261C59">
        <w:rPr>
          <w:rFonts w:ascii="Corbel" w:eastAsia="Times New Roman" w:hAnsi="Corbel"/>
          <w:b w:val="0"/>
          <w:bCs w:val="0"/>
          <w:color w:val="3D4B67"/>
          <w:sz w:val="28"/>
          <w:szCs w:val="28"/>
          <w:lang w:eastAsia="ja-JP"/>
        </w:rPr>
        <w:t>Intellectual property</w:t>
      </w:r>
      <w:bookmarkEnd w:id="613"/>
      <w:bookmarkEnd w:id="614"/>
      <w:bookmarkEnd w:id="615"/>
    </w:p>
    <w:p w14:paraId="6F8D0879" w14:textId="77777777" w:rsidR="00BA3053" w:rsidRPr="00261C59" w:rsidRDefault="00BA3053" w:rsidP="00830547">
      <w:pPr>
        <w:widowControl/>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Theme="minorEastAsia" w:hAnsiTheme="minorHAnsi" w:cstheme="minorBidi"/>
          <w:sz w:val="24"/>
          <w:szCs w:val="24"/>
        </w:rPr>
        <w:t xml:space="preserve">The Parties recognise that acquiring and disseminating knowledge, lessons and skills in health system reform are a public benefit. Further, the Parties agree all intellectual property, including </w:t>
      </w:r>
      <w:r w:rsidRPr="00261C59">
        <w:rPr>
          <w:rFonts w:asciiTheme="minorHAnsi" w:hAnsiTheme="minorHAnsi" w:cstheme="minorBidi"/>
          <w:sz w:val="24"/>
          <w:szCs w:val="24"/>
        </w:rPr>
        <w:t>materials or models</w:t>
      </w:r>
      <w:r w:rsidRPr="00261C59">
        <w:rPr>
          <w:rFonts w:asciiTheme="minorHAnsi" w:eastAsiaTheme="minorEastAsia" w:hAnsiTheme="minorHAnsi" w:cstheme="minorBidi"/>
          <w:sz w:val="24"/>
          <w:szCs w:val="24"/>
        </w:rPr>
        <w:t xml:space="preserve"> developed through any of the reforms under this Schedule, will be freely available.  </w:t>
      </w:r>
    </w:p>
    <w:p w14:paraId="108AF748" w14:textId="77777777" w:rsidR="00BA3053" w:rsidRPr="00261C59" w:rsidRDefault="00BA3053" w:rsidP="00830547">
      <w:pPr>
        <w:keepNext/>
        <w:numPr>
          <w:ilvl w:val="0"/>
          <w:numId w:val="258"/>
        </w:numPr>
        <w:spacing w:after="240" w:line="260" w:lineRule="exact"/>
        <w:jc w:val="left"/>
        <w:rPr>
          <w:rFonts w:asciiTheme="minorHAnsi" w:eastAsia="Calibri" w:hAnsiTheme="minorHAnsi" w:cstheme="minorBidi"/>
          <w:sz w:val="24"/>
          <w:szCs w:val="24"/>
        </w:rPr>
      </w:pPr>
      <w:r w:rsidRPr="00261C59">
        <w:rPr>
          <w:rFonts w:asciiTheme="minorHAnsi" w:eastAsiaTheme="minorEastAsia" w:hAnsiTheme="minorHAnsi" w:cstheme="minorBidi"/>
          <w:sz w:val="24"/>
          <w:szCs w:val="24"/>
        </w:rPr>
        <w:t>The Reform Collaboration will develop an intellectual property policy to be included in the Reform Framework that will:</w:t>
      </w:r>
    </w:p>
    <w:p w14:paraId="3E3D393B" w14:textId="047BB2D2" w:rsidR="00BA3053" w:rsidRPr="00261C59" w:rsidRDefault="00BA3053" w:rsidP="00830547">
      <w:pPr>
        <w:widowControl/>
        <w:numPr>
          <w:ilvl w:val="1"/>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provide guidelines for the use, generation, acquisition and management of intellectual property</w:t>
      </w:r>
    </w:p>
    <w:p w14:paraId="4DC96F7D" w14:textId="16F6D5AA" w:rsidR="00BA3053" w:rsidRPr="00261C59" w:rsidRDefault="00BA3053" w:rsidP="004728D9">
      <w:pPr>
        <w:keepNext/>
        <w:numPr>
          <w:ilvl w:val="1"/>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ensure that intellectual property generated through projects is used to generate public value, knowledge transfer and innovation to the fullest extent possible</w:t>
      </w:r>
    </w:p>
    <w:p w14:paraId="43C6ED32" w14:textId="77777777" w:rsidR="00BA3053" w:rsidRPr="00261C59" w:rsidRDefault="00BA3053" w:rsidP="004728D9">
      <w:pPr>
        <w:keepNext/>
        <w:numPr>
          <w:ilvl w:val="1"/>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manage intellectual property with a potential commercial value in a manner which benefits the entire Australian health system.</w:t>
      </w:r>
    </w:p>
    <w:p w14:paraId="41866863" w14:textId="77777777" w:rsidR="00BA3053" w:rsidRPr="00261C59" w:rsidRDefault="00BA3053" w:rsidP="00BA3053">
      <w:pPr>
        <w:pStyle w:val="Heading2"/>
        <w:widowControl/>
        <w:adjustRightInd/>
        <w:spacing w:before="180" w:after="120"/>
        <w:jc w:val="left"/>
        <w:textAlignment w:val="auto"/>
        <w:rPr>
          <w:rFonts w:ascii="Corbel" w:eastAsia="Times New Roman" w:hAnsi="Corbel" w:cs="Arial"/>
          <w:color w:val="3D4B67"/>
          <w:sz w:val="28"/>
          <w:szCs w:val="28"/>
        </w:rPr>
      </w:pPr>
      <w:bookmarkStart w:id="616" w:name="_Toc173428308"/>
      <w:bookmarkStart w:id="617" w:name="_Toc173937751"/>
      <w:bookmarkStart w:id="618" w:name="_Toc201674018"/>
      <w:bookmarkStart w:id="619" w:name="_Toc214456558"/>
      <w:bookmarkStart w:id="620" w:name="_Toc221088038"/>
      <w:bookmarkStart w:id="621" w:name="_Toc210029708"/>
      <w:bookmarkStart w:id="622" w:name="_Toc173428303"/>
      <w:bookmarkStart w:id="623" w:name="_Toc173937746"/>
      <w:bookmarkStart w:id="624" w:name="_Toc172282768"/>
      <w:bookmarkStart w:id="625" w:name="_Toc172633473"/>
      <w:bookmarkStart w:id="626" w:name="_Toc172720983"/>
      <w:bookmarkStart w:id="627" w:name="_Toc172282776"/>
      <w:bookmarkStart w:id="628" w:name="_Toc172720996"/>
      <w:bookmarkStart w:id="629" w:name="_Toc172720986"/>
      <w:r w:rsidRPr="00261C59">
        <w:rPr>
          <w:rFonts w:ascii="Corbel" w:eastAsia="Times New Roman" w:hAnsi="Corbel" w:cs="Arial"/>
          <w:iCs/>
          <w:color w:val="3D4B67"/>
          <w:sz w:val="28"/>
          <w:szCs w:val="28"/>
        </w:rPr>
        <w:t xml:space="preserve">Implementing the </w:t>
      </w:r>
      <w:bookmarkEnd w:id="616"/>
      <w:bookmarkEnd w:id="617"/>
      <w:bookmarkEnd w:id="618"/>
      <w:r w:rsidRPr="00261C59">
        <w:rPr>
          <w:rFonts w:ascii="Corbel" w:eastAsia="Times New Roman" w:hAnsi="Corbel" w:cs="Arial"/>
          <w:color w:val="3D4B67"/>
          <w:sz w:val="28"/>
          <w:szCs w:val="28"/>
        </w:rPr>
        <w:t>Service Model Reform Funding stream</w:t>
      </w:r>
      <w:bookmarkEnd w:id="619"/>
      <w:bookmarkEnd w:id="620"/>
      <w:r w:rsidRPr="00261C59">
        <w:rPr>
          <w:rFonts w:ascii="Corbel" w:eastAsia="Times New Roman" w:hAnsi="Corbel" w:cs="Arial"/>
          <w:iCs/>
          <w:color w:val="3D4B67"/>
          <w:sz w:val="28"/>
          <w:szCs w:val="28"/>
        </w:rPr>
        <w:t xml:space="preserve"> </w:t>
      </w:r>
      <w:bookmarkEnd w:id="621"/>
    </w:p>
    <w:p w14:paraId="5C5F73E8" w14:textId="77777777" w:rsidR="00BA3053" w:rsidRPr="00261C59" w:rsidRDefault="00BA3053" w:rsidP="00830547">
      <w:pPr>
        <w:keepNext/>
        <w:numPr>
          <w:ilvl w:val="0"/>
          <w:numId w:val="258"/>
        </w:numPr>
        <w:adjustRightInd/>
        <w:spacing w:after="240" w:line="260" w:lineRule="exact"/>
        <w:jc w:val="left"/>
        <w:textAlignment w:val="auto"/>
        <w:rPr>
          <w:rFonts w:asciiTheme="minorHAnsi" w:eastAsiaTheme="minorEastAsia" w:hAnsiTheme="minorHAnsi" w:cstheme="minorBidi"/>
          <w:sz w:val="24"/>
          <w:szCs w:val="24"/>
        </w:rPr>
      </w:pPr>
      <w:r w:rsidRPr="00261C59">
        <w:rPr>
          <w:rFonts w:asciiTheme="minorHAnsi" w:eastAsiaTheme="majorEastAsia" w:hAnsiTheme="minorHAnsi" w:cstheme="minorBidi"/>
          <w:sz w:val="24"/>
          <w:szCs w:val="24"/>
        </w:rPr>
        <w:t xml:space="preserve">The Parties recognise that dedicated funding, incentives, expertise, and national collaboration are required to design, trial, scale up and embed successful service models and deliver system-wide, structural reform. </w:t>
      </w:r>
      <w:r w:rsidRPr="00261C59">
        <w:rPr>
          <w:rFonts w:asciiTheme="minorHAnsi" w:hAnsiTheme="minorHAnsi" w:cstheme="minorBidi"/>
          <w:sz w:val="24"/>
          <w:szCs w:val="24"/>
        </w:rPr>
        <w:t xml:space="preserve">While clinicians and service providers often innovate to improve service delivery and patient outcomes at a local level, there are no mechanisms in place to fully evaluate and scale up proven care models and embed them into the health system at a national level. This is especially challenging when it requires both levels of government to make changes to their respective programs and funding arrangements.  </w:t>
      </w:r>
    </w:p>
    <w:p w14:paraId="54EE723B" w14:textId="77777777" w:rsidR="00BA3053" w:rsidRPr="00261C59" w:rsidRDefault="00BA3053" w:rsidP="00830547">
      <w:pPr>
        <w:keepNext/>
        <w:numPr>
          <w:ilvl w:val="0"/>
          <w:numId w:val="258"/>
        </w:numPr>
        <w:adjustRightInd/>
        <w:spacing w:after="240" w:line="260" w:lineRule="exact"/>
        <w:jc w:val="left"/>
        <w:textAlignment w:val="auto"/>
        <w:rPr>
          <w:rFonts w:asciiTheme="minorHAnsi" w:hAnsiTheme="minorHAnsi" w:cstheme="minorBidi"/>
          <w:sz w:val="24"/>
          <w:szCs w:val="24"/>
        </w:rPr>
      </w:pPr>
      <w:r w:rsidRPr="00261C59">
        <w:rPr>
          <w:rFonts w:asciiTheme="minorHAnsi" w:eastAsia="Calibri" w:hAnsiTheme="minorHAnsi" w:cstheme="minorBidi"/>
          <w:sz w:val="24"/>
          <w:szCs w:val="24"/>
        </w:rPr>
        <w:t xml:space="preserve">A culture of continually </w:t>
      </w:r>
      <w:r w:rsidRPr="00261C59">
        <w:rPr>
          <w:rFonts w:asciiTheme="minorHAnsi" w:eastAsiaTheme="minorEastAsia" w:hAnsiTheme="minorHAnsi" w:cstheme="minorBidi"/>
          <w:sz w:val="24"/>
          <w:szCs w:val="24"/>
        </w:rPr>
        <w:t>demonstrating</w:t>
      </w:r>
      <w:r w:rsidRPr="00261C59">
        <w:rPr>
          <w:rFonts w:asciiTheme="minorHAnsi" w:eastAsia="Calibri" w:hAnsiTheme="minorHAnsi" w:cstheme="minorBidi"/>
          <w:sz w:val="24"/>
          <w:szCs w:val="24"/>
        </w:rPr>
        <w:t xml:space="preserve"> return on investment, cost-effectiveness, system improvement, and outcomes and value for patients within a data driven environment will underpin the new Service Model Reform Funding (SMRF) stream. </w:t>
      </w:r>
    </w:p>
    <w:p w14:paraId="5AA1314D" w14:textId="77777777" w:rsidR="00BA3053" w:rsidRPr="00261C59" w:rsidRDefault="00BA3053" w:rsidP="00830547">
      <w:pPr>
        <w:keepNext/>
        <w:numPr>
          <w:ilvl w:val="1"/>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Decision-making will be guided by a clear process and criteria to be developed and outlined in the Reform Framework to either progress along the SMRF pathway or exit (including into mainstream funding arrangements where agreed). </w:t>
      </w:r>
    </w:p>
    <w:p w14:paraId="74ED3814" w14:textId="04FDEA42" w:rsidR="00BA3053" w:rsidRPr="00261C59" w:rsidRDefault="00BA3053" w:rsidP="00830547">
      <w:pPr>
        <w:keepNext/>
        <w:numPr>
          <w:ilvl w:val="1"/>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Parties receiving funding through the SMRF stream will need to comply with reporting and evaluation requirements as outlined in clauses D1</w:t>
      </w:r>
      <w:r w:rsidR="00805A94" w:rsidRPr="00261C59">
        <w:rPr>
          <w:rFonts w:asciiTheme="minorHAnsi" w:eastAsia="Calibri" w:hAnsiTheme="minorHAnsi" w:cstheme="minorBidi"/>
          <w:sz w:val="24"/>
          <w:szCs w:val="24"/>
        </w:rPr>
        <w:t>8</w:t>
      </w:r>
      <w:r w:rsidRPr="00261C59">
        <w:rPr>
          <w:rFonts w:asciiTheme="minorHAnsi" w:eastAsia="Calibri" w:hAnsiTheme="minorHAnsi" w:cstheme="minorBidi"/>
          <w:sz w:val="24"/>
          <w:szCs w:val="24"/>
        </w:rPr>
        <w:t xml:space="preserve"> to D2</w:t>
      </w:r>
      <w:r w:rsidR="00805A94" w:rsidRPr="00261C59">
        <w:rPr>
          <w:rFonts w:asciiTheme="minorHAnsi" w:eastAsia="Calibri" w:hAnsiTheme="minorHAnsi" w:cstheme="minorBidi"/>
          <w:sz w:val="24"/>
          <w:szCs w:val="24"/>
        </w:rPr>
        <w:t>3</w:t>
      </w:r>
      <w:r w:rsidRPr="00261C59">
        <w:rPr>
          <w:rFonts w:asciiTheme="minorHAnsi" w:eastAsia="Calibri" w:hAnsiTheme="minorHAnsi" w:cstheme="minorBidi"/>
          <w:sz w:val="24"/>
          <w:szCs w:val="24"/>
        </w:rPr>
        <w:t>.</w:t>
      </w:r>
    </w:p>
    <w:p w14:paraId="4B8D40B0" w14:textId="3329BEC1" w:rsidR="00BA3053" w:rsidRPr="00261C59" w:rsidRDefault="00BA3053" w:rsidP="00830547">
      <w:pPr>
        <w:keepNext/>
        <w:numPr>
          <w:ilvl w:val="0"/>
          <w:numId w:val="258"/>
        </w:numPr>
        <w:spacing w:after="240" w:line="260" w:lineRule="exact"/>
        <w:jc w:val="left"/>
        <w:rPr>
          <w:rFonts w:ascii="Calibri" w:eastAsia="Calibri" w:hAnsi="Calibri" w:cs="Calibri"/>
          <w:color w:val="000000" w:themeColor="text1"/>
        </w:rPr>
      </w:pPr>
      <w:r w:rsidRPr="00261C59">
        <w:rPr>
          <w:rFonts w:asciiTheme="minorHAnsi" w:hAnsiTheme="minorHAnsi" w:cstheme="minorBidi"/>
          <w:sz w:val="24"/>
          <w:szCs w:val="24"/>
        </w:rPr>
        <w:t>A</w:t>
      </w:r>
      <w:r w:rsidRPr="00261C59">
        <w:rPr>
          <w:rFonts w:ascii="Calibri" w:eastAsia="Calibri" w:hAnsi="Calibri" w:cs="Calibri"/>
          <w:color w:val="000000" w:themeColor="text1"/>
          <w:sz w:val="24"/>
          <w:szCs w:val="24"/>
        </w:rPr>
        <w:t>dministrative arrangements and operational procedures for the SMRF stream (in line with clauses A</w:t>
      </w:r>
      <w:r w:rsidR="00E25CD8" w:rsidRPr="00261C59">
        <w:rPr>
          <w:rFonts w:ascii="Calibri" w:eastAsia="Calibri" w:hAnsi="Calibri" w:cs="Calibri"/>
          <w:color w:val="000000" w:themeColor="text1"/>
          <w:sz w:val="24"/>
          <w:szCs w:val="24"/>
        </w:rPr>
        <w:t>145</w:t>
      </w:r>
      <w:r w:rsidRPr="00261C59">
        <w:rPr>
          <w:rFonts w:ascii="Calibri" w:eastAsia="Calibri" w:hAnsi="Calibri" w:cs="Calibri"/>
          <w:color w:val="000000" w:themeColor="text1"/>
          <w:sz w:val="24"/>
          <w:szCs w:val="24"/>
        </w:rPr>
        <w:t xml:space="preserve"> to A</w:t>
      </w:r>
      <w:r w:rsidR="00ED4AF7" w:rsidRPr="00261C59">
        <w:rPr>
          <w:rFonts w:ascii="Calibri" w:eastAsia="Calibri" w:hAnsi="Calibri" w:cs="Calibri"/>
          <w:color w:val="000000" w:themeColor="text1"/>
          <w:sz w:val="24"/>
          <w:szCs w:val="24"/>
        </w:rPr>
        <w:t>147 and A182</w:t>
      </w:r>
      <w:r w:rsidRPr="00261C59">
        <w:rPr>
          <w:rFonts w:ascii="Calibri" w:eastAsia="Calibri" w:hAnsi="Calibri" w:cs="Calibri"/>
          <w:color w:val="000000" w:themeColor="text1"/>
          <w:sz w:val="24"/>
          <w:szCs w:val="24"/>
        </w:rPr>
        <w:t xml:space="preserve">) and supporting activities will be developed by the Commonwealth in consultation with the Reform Collaboration, for HCEF consideration and approval by December 2026 and inclusion in the Reform Framework. These will include but not be limited to: </w:t>
      </w:r>
    </w:p>
    <w:p w14:paraId="04F78FA9" w14:textId="233C8232" w:rsidR="00BA3053" w:rsidRPr="00261C59" w:rsidRDefault="00BA3053" w:rsidP="00830547">
      <w:pPr>
        <w:keepNext/>
        <w:numPr>
          <w:ilvl w:val="1"/>
          <w:numId w:val="258"/>
        </w:numPr>
        <w:spacing w:after="240" w:line="260" w:lineRule="exact"/>
        <w:jc w:val="left"/>
        <w:rPr>
          <w:rFonts w:asciiTheme="minorHAnsi" w:hAnsiTheme="minorHAnsi" w:cstheme="minorBidi"/>
          <w:sz w:val="24"/>
          <w:szCs w:val="24"/>
        </w:rPr>
      </w:pPr>
      <w:r w:rsidRPr="00261C59">
        <w:rPr>
          <w:rFonts w:asciiTheme="minorHAnsi" w:hAnsiTheme="minorHAnsi" w:cstheme="minorBidi"/>
          <w:sz w:val="24"/>
          <w:szCs w:val="24"/>
        </w:rPr>
        <w:t>process and timing for States to advise the Reform Collaboration of their intent to opt in for the SMRF stream in each year</w:t>
      </w:r>
    </w:p>
    <w:p w14:paraId="284EF334" w14:textId="65F2DD35" w:rsidR="00BA3053" w:rsidRPr="00261C59" w:rsidRDefault="00BA3053" w:rsidP="00830547">
      <w:pPr>
        <w:keepNext/>
        <w:numPr>
          <w:ilvl w:val="1"/>
          <w:numId w:val="258"/>
        </w:numPr>
        <w:spacing w:after="240" w:line="260" w:lineRule="exact"/>
        <w:jc w:val="left"/>
        <w:rPr>
          <w:rFonts w:asciiTheme="minorHAnsi" w:hAnsiTheme="minorHAnsi" w:cstheme="minorBidi"/>
          <w:sz w:val="24"/>
          <w:szCs w:val="24"/>
        </w:rPr>
      </w:pPr>
      <w:r w:rsidRPr="00261C59">
        <w:rPr>
          <w:rFonts w:asciiTheme="minorHAnsi" w:eastAsia="Calibri" w:hAnsiTheme="minorHAnsi" w:cstheme="minorBidi"/>
          <w:sz w:val="24"/>
          <w:szCs w:val="24"/>
        </w:rPr>
        <w:t>application guidance</w:t>
      </w:r>
    </w:p>
    <w:p w14:paraId="51C52DAA" w14:textId="38557E3A" w:rsidR="00BA3053" w:rsidRPr="00261C59" w:rsidRDefault="00BA3053" w:rsidP="00AF2161">
      <w:pPr>
        <w:widowControl/>
        <w:numPr>
          <w:ilvl w:val="1"/>
          <w:numId w:val="258"/>
        </w:numPr>
        <w:spacing w:after="240" w:line="260" w:lineRule="exact"/>
        <w:jc w:val="left"/>
        <w:rPr>
          <w:rFonts w:asciiTheme="minorHAnsi" w:hAnsiTheme="minorHAnsi" w:cstheme="minorBidi"/>
        </w:rPr>
      </w:pPr>
      <w:r w:rsidRPr="00261C59">
        <w:rPr>
          <w:rFonts w:asciiTheme="minorHAnsi" w:eastAsia="Calibri" w:hAnsiTheme="minorHAnsi" w:cstheme="minorBidi"/>
          <w:sz w:val="24"/>
          <w:szCs w:val="24"/>
        </w:rPr>
        <w:t>clear and transparent criteria to assess States’ proposals under the SMRF stream</w:t>
      </w:r>
      <w:r w:rsidR="52C42F84" w:rsidRPr="00261C59">
        <w:rPr>
          <w:rFonts w:asciiTheme="minorHAnsi" w:eastAsia="Calibri" w:hAnsiTheme="minorHAnsi" w:cstheme="minorBidi"/>
          <w:sz w:val="24"/>
          <w:szCs w:val="24"/>
        </w:rPr>
        <w:t xml:space="preserve"> </w:t>
      </w:r>
      <w:r w:rsidRPr="00261C59">
        <w:rPr>
          <w:rFonts w:asciiTheme="minorHAnsi" w:eastAsia="Calibri" w:hAnsiTheme="minorHAnsi" w:cstheme="minorBidi"/>
          <w:sz w:val="24"/>
          <w:szCs w:val="24"/>
        </w:rPr>
        <w:t xml:space="preserve">guidance, requirements and tools to support States in designing, implementing and evaluating projects; and </w:t>
      </w:r>
      <w:r w:rsidRPr="00261C59">
        <w:rPr>
          <w:rFonts w:asciiTheme="minorHAnsi" w:hAnsiTheme="minorHAnsi" w:cstheme="minorBidi"/>
          <w:sz w:val="24"/>
          <w:szCs w:val="24"/>
        </w:rPr>
        <w:t>mechanisms to share progress, learnings and outcomes about projects across jurisdictions, as well as public reporting.</w:t>
      </w:r>
    </w:p>
    <w:p w14:paraId="027DBEF2" w14:textId="32AFCBA7" w:rsidR="00BA3053" w:rsidRPr="00261C59" w:rsidRDefault="00BA3053" w:rsidP="00BA3053">
      <w:pPr>
        <w:pStyle w:val="Heading3"/>
        <w:keepNext/>
        <w:widowControl/>
        <w:adjustRightInd/>
        <w:spacing w:before="0" w:after="120"/>
        <w:ind w:left="0"/>
        <w:jc w:val="left"/>
        <w:textAlignment w:val="auto"/>
        <w:rPr>
          <w:rFonts w:ascii="Corbel" w:eastAsia="Times New Roman" w:hAnsi="Corbel"/>
          <w:b w:val="0"/>
          <w:bCs w:val="0"/>
          <w:color w:val="3D4B67"/>
          <w:sz w:val="28"/>
          <w:szCs w:val="28"/>
          <w:lang w:eastAsia="ja-JP"/>
        </w:rPr>
      </w:pPr>
      <w:bookmarkStart w:id="630" w:name="_Toc210029709"/>
      <w:bookmarkStart w:id="631" w:name="_Toc214456559"/>
      <w:bookmarkStart w:id="632" w:name="_Toc221088039"/>
      <w:r w:rsidRPr="00261C59">
        <w:rPr>
          <w:rFonts w:ascii="Corbel" w:hAnsi="Corbel"/>
          <w:b w:val="0"/>
          <w:color w:val="3D4B67"/>
          <w:sz w:val="28"/>
        </w:rPr>
        <w:t>Scope</w:t>
      </w:r>
      <w:bookmarkEnd w:id="630"/>
      <w:bookmarkEnd w:id="631"/>
      <w:bookmarkEnd w:id="632"/>
    </w:p>
    <w:p w14:paraId="2D12F67F" w14:textId="1D249193" w:rsidR="00BA3053" w:rsidRPr="00261C59" w:rsidRDefault="00BA3053" w:rsidP="004728D9">
      <w:pPr>
        <w:keepNext/>
        <w:widowControl/>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hAnsiTheme="minorHAnsi" w:cstheme="minorBidi"/>
          <w:sz w:val="24"/>
          <w:szCs w:val="24"/>
        </w:rPr>
        <w:t>The Parties agree that SMRF will be used to support the design, trial or evaluation of projects that align with clauses D8 and D9 and are in one of the following categories:</w:t>
      </w:r>
    </w:p>
    <w:p w14:paraId="4B8742E6" w14:textId="3D6C9D69" w:rsidR="00BA3053" w:rsidRPr="00261C59" w:rsidRDefault="00BA3053" w:rsidP="004728D9">
      <w:pPr>
        <w:keepNext/>
        <w:widowControl/>
        <w:numPr>
          <w:ilvl w:val="1"/>
          <w:numId w:val="253"/>
        </w:numPr>
        <w:adjustRightInd/>
        <w:spacing w:after="240" w:line="260" w:lineRule="exact"/>
        <w:jc w:val="left"/>
        <w:textAlignment w:val="auto"/>
        <w:rPr>
          <w:rFonts w:asciiTheme="minorHAnsi" w:hAnsiTheme="minorHAnsi" w:cstheme="minorBidi"/>
          <w:sz w:val="24"/>
          <w:szCs w:val="24"/>
        </w:rPr>
      </w:pPr>
      <w:r w:rsidRPr="00261C59">
        <w:rPr>
          <w:rFonts w:asciiTheme="minorHAnsi" w:eastAsia="Calibri" w:hAnsiTheme="minorHAnsi"/>
          <w:sz w:val="24"/>
          <w:szCs w:val="24"/>
        </w:rPr>
        <w:t xml:space="preserve">progressing changes to service delivery arrangements that support safety and quality improvements, </w:t>
      </w:r>
      <w:r w:rsidRPr="00261C59">
        <w:rPr>
          <w:rFonts w:asciiTheme="minorHAnsi" w:hAnsiTheme="minorHAnsi" w:cstheme="minorBidi"/>
          <w:sz w:val="24"/>
          <w:szCs w:val="24"/>
        </w:rPr>
        <w:t>scaling up and spread of best-practice and high-value models of care already funded under the Addendum</w:t>
      </w:r>
    </w:p>
    <w:p w14:paraId="1F1E5D74" w14:textId="14C6BD60" w:rsidR="00BA3053" w:rsidRPr="00261C59" w:rsidRDefault="00BA3053" w:rsidP="00830547">
      <w:pPr>
        <w:widowControl/>
        <w:numPr>
          <w:ilvl w:val="1"/>
          <w:numId w:val="253"/>
        </w:numPr>
        <w:adjustRightInd/>
        <w:spacing w:after="240" w:line="260" w:lineRule="exact"/>
        <w:ind w:left="1077" w:hanging="357"/>
        <w:jc w:val="left"/>
        <w:textAlignment w:val="auto"/>
        <w:rPr>
          <w:rFonts w:asciiTheme="minorHAnsi" w:hAnsiTheme="minorHAnsi" w:cstheme="minorBidi"/>
          <w:sz w:val="24"/>
          <w:szCs w:val="24"/>
        </w:rPr>
      </w:pPr>
      <w:r w:rsidRPr="00261C59">
        <w:rPr>
          <w:rFonts w:asciiTheme="minorHAnsi" w:hAnsiTheme="minorHAnsi" w:cstheme="minorBidi"/>
          <w:sz w:val="24"/>
          <w:szCs w:val="24"/>
        </w:rPr>
        <w:t>trialling new, evidence-informed models of care, including bundled and capitation service models, that require funding-related reform within the Addendum, potentially</w:t>
      </w:r>
      <w:r w:rsidRPr="00261C59">
        <w:rPr>
          <w:rFonts w:asciiTheme="minorHAnsi" w:hAnsiTheme="minorHAnsi"/>
          <w:sz w:val="24"/>
        </w:rPr>
        <w:t xml:space="preserve"> through</w:t>
      </w:r>
      <w:r w:rsidRPr="00261C59">
        <w:rPr>
          <w:rFonts w:asciiTheme="minorHAnsi" w:hAnsiTheme="minorHAnsi" w:cstheme="minorBidi"/>
          <w:sz w:val="24"/>
          <w:szCs w:val="24"/>
        </w:rPr>
        <w:t>:</w:t>
      </w:r>
    </w:p>
    <w:p w14:paraId="6AF3F432" w14:textId="1B8679A6" w:rsidR="00BA3053" w:rsidRPr="00261C59" w:rsidRDefault="00BA3053" w:rsidP="00830547">
      <w:pPr>
        <w:widowControl/>
        <w:numPr>
          <w:ilvl w:val="2"/>
          <w:numId w:val="253"/>
        </w:numPr>
        <w:adjustRightInd/>
        <w:spacing w:after="240" w:line="260" w:lineRule="exact"/>
        <w:jc w:val="left"/>
        <w:textAlignment w:val="auto"/>
        <w:rPr>
          <w:rFonts w:asciiTheme="minorHAnsi" w:hAnsiTheme="minorHAnsi" w:cstheme="minorBidi"/>
          <w:sz w:val="24"/>
          <w:szCs w:val="24"/>
        </w:rPr>
      </w:pPr>
      <w:r w:rsidRPr="00261C59" w:rsidDel="00A71EC4">
        <w:rPr>
          <w:rFonts w:asciiTheme="minorHAnsi" w:eastAsia="Calibri" w:hAnsiTheme="minorHAnsi"/>
          <w:sz w:val="24"/>
          <w:szCs w:val="24"/>
        </w:rPr>
        <w:t xml:space="preserve"> </w:t>
      </w:r>
      <w:r w:rsidRPr="00261C59">
        <w:rPr>
          <w:rFonts w:asciiTheme="minorHAnsi" w:eastAsia="Calibri" w:hAnsiTheme="minorHAnsi"/>
          <w:sz w:val="24"/>
          <w:szCs w:val="24"/>
        </w:rPr>
        <w:t>expansion of in-scope services</w:t>
      </w:r>
    </w:p>
    <w:p w14:paraId="2BEBFFD3" w14:textId="5FFFAA11" w:rsidR="00BA3053" w:rsidRPr="00261C59" w:rsidRDefault="00BA3053" w:rsidP="004728D9">
      <w:pPr>
        <w:widowControl/>
        <w:numPr>
          <w:ilvl w:val="2"/>
          <w:numId w:val="253"/>
        </w:numPr>
        <w:adjustRightInd/>
        <w:spacing w:after="240" w:line="260" w:lineRule="exact"/>
        <w:jc w:val="left"/>
        <w:textAlignment w:val="auto"/>
        <w:rPr>
          <w:rFonts w:asciiTheme="minorHAnsi" w:hAnsiTheme="minorHAnsi" w:cstheme="minorBidi"/>
          <w:sz w:val="24"/>
          <w:szCs w:val="24"/>
        </w:rPr>
      </w:pPr>
      <w:r w:rsidRPr="00261C59">
        <w:rPr>
          <w:rFonts w:asciiTheme="minorHAnsi" w:eastAsia="Calibri" w:hAnsiTheme="minorHAnsi" w:cstheme="minorBidi"/>
          <w:sz w:val="24"/>
          <w:szCs w:val="24"/>
        </w:rPr>
        <w:t>inclusion of care models</w:t>
      </w:r>
      <w:r w:rsidRPr="00261C59">
        <w:rPr>
          <w:rFonts w:asciiTheme="minorHAnsi" w:eastAsia="Calibri" w:hAnsiTheme="minorHAnsi"/>
          <w:sz w:val="24"/>
          <w:szCs w:val="24"/>
        </w:rPr>
        <w:t xml:space="preserve"> </w:t>
      </w:r>
      <w:r w:rsidRPr="00261C59">
        <w:rPr>
          <w:rFonts w:asciiTheme="minorHAnsi" w:eastAsia="Calibri" w:hAnsiTheme="minorHAnsi" w:cstheme="minorBidi"/>
          <w:sz w:val="24"/>
          <w:szCs w:val="24"/>
        </w:rPr>
        <w:t xml:space="preserve">and </w:t>
      </w:r>
      <w:r w:rsidRPr="00261C59">
        <w:rPr>
          <w:rFonts w:asciiTheme="minorHAnsi" w:hAnsiTheme="minorHAnsi" w:cstheme="minorBidi"/>
          <w:sz w:val="24"/>
          <w:szCs w:val="24"/>
        </w:rPr>
        <w:t xml:space="preserve">other funding sources </w:t>
      </w:r>
      <w:r w:rsidRPr="00261C59">
        <w:rPr>
          <w:rFonts w:asciiTheme="minorHAnsi" w:eastAsia="Calibri" w:hAnsiTheme="minorHAnsi" w:cstheme="minorBidi"/>
          <w:sz w:val="24"/>
          <w:szCs w:val="24"/>
        </w:rPr>
        <w:t xml:space="preserve">that cross adjacent care sectors </w:t>
      </w:r>
      <w:r w:rsidRPr="00261C59">
        <w:rPr>
          <w:rFonts w:asciiTheme="minorHAnsi" w:hAnsiTheme="minorHAnsi" w:cstheme="minorBidi"/>
          <w:sz w:val="24"/>
          <w:szCs w:val="24"/>
        </w:rPr>
        <w:t>(e.g. public hospitals, aged care, mental health and suicide prevention, primary care)</w:t>
      </w:r>
      <w:r w:rsidRPr="00261C59">
        <w:rPr>
          <w:rFonts w:asciiTheme="minorHAnsi" w:eastAsia="Calibri" w:hAnsiTheme="minorHAnsi" w:cstheme="minorBidi"/>
          <w:sz w:val="24"/>
          <w:szCs w:val="24"/>
        </w:rPr>
        <w:t>, in line with existing roles and responsibilities</w:t>
      </w:r>
    </w:p>
    <w:p w14:paraId="17C21D98" w14:textId="33623C36" w:rsidR="00BA3053" w:rsidRPr="00261C59" w:rsidRDefault="00BA3053" w:rsidP="004728D9">
      <w:pPr>
        <w:widowControl/>
        <w:numPr>
          <w:ilvl w:val="1"/>
          <w:numId w:val="253"/>
        </w:numPr>
        <w:adjustRightInd/>
        <w:spacing w:after="240" w:line="260" w:lineRule="exact"/>
        <w:ind w:left="1077" w:hanging="357"/>
        <w:jc w:val="left"/>
        <w:textAlignment w:val="auto"/>
        <w:rPr>
          <w:rFonts w:asciiTheme="minorHAnsi" w:hAnsiTheme="minorHAnsi" w:cstheme="minorBidi"/>
          <w:sz w:val="24"/>
          <w:szCs w:val="24"/>
        </w:rPr>
      </w:pPr>
      <w:r w:rsidRPr="00261C59">
        <w:rPr>
          <w:rFonts w:asciiTheme="minorHAnsi" w:hAnsiTheme="minorHAnsi" w:cstheme="minorBidi"/>
          <w:sz w:val="24"/>
          <w:szCs w:val="24"/>
        </w:rPr>
        <w:t>trialling novel models of care that do not yet have any identified funding source, including for components of care that are not currently funded under the Addendum but might be considered in future</w:t>
      </w:r>
    </w:p>
    <w:p w14:paraId="0CF5FED4" w14:textId="77777777" w:rsidR="00BA3053" w:rsidRPr="00261C59" w:rsidRDefault="00BA3053" w:rsidP="004728D9">
      <w:pPr>
        <w:widowControl/>
        <w:numPr>
          <w:ilvl w:val="1"/>
          <w:numId w:val="253"/>
        </w:numPr>
        <w:adjustRightInd/>
        <w:spacing w:after="240" w:line="260" w:lineRule="exact"/>
        <w:ind w:left="1077" w:hanging="357"/>
        <w:jc w:val="left"/>
        <w:textAlignment w:val="auto"/>
        <w:rPr>
          <w:rFonts w:asciiTheme="minorHAnsi" w:hAnsiTheme="minorHAnsi" w:cstheme="minorBidi"/>
          <w:sz w:val="24"/>
          <w:szCs w:val="24"/>
        </w:rPr>
      </w:pPr>
      <w:r w:rsidRPr="00261C59">
        <w:rPr>
          <w:rFonts w:asciiTheme="minorHAnsi" w:hAnsiTheme="minorHAnsi" w:cstheme="minorBidi"/>
          <w:sz w:val="24"/>
          <w:szCs w:val="24"/>
        </w:rPr>
        <w:t>supporting implementation of new models of care through enabling activities, such as local level clinical and stakeholder engagement, and nationally agreed workforce, digital and data reforms.</w:t>
      </w:r>
    </w:p>
    <w:p w14:paraId="543DBDBE" w14:textId="58DF7B83" w:rsidR="00BA3053" w:rsidRPr="00261C59" w:rsidRDefault="00BA3053" w:rsidP="004728D9">
      <w:pPr>
        <w:keepNext/>
        <w:widowControl/>
        <w:numPr>
          <w:ilvl w:val="0"/>
          <w:numId w:val="258"/>
        </w:numPr>
        <w:adjustRightInd/>
        <w:spacing w:after="240" w:line="260" w:lineRule="exact"/>
        <w:jc w:val="left"/>
        <w:textAlignment w:val="auto"/>
        <w:rPr>
          <w:rFonts w:asciiTheme="minorHAnsi" w:hAnsiTheme="minorHAnsi" w:cstheme="minorBidi"/>
          <w:sz w:val="24"/>
          <w:szCs w:val="24"/>
        </w:rPr>
      </w:pPr>
      <w:r w:rsidRPr="00261C59">
        <w:rPr>
          <w:rFonts w:asciiTheme="minorHAnsi" w:hAnsiTheme="minorHAnsi" w:cstheme="minorBidi"/>
          <w:sz w:val="24"/>
          <w:szCs w:val="24"/>
        </w:rPr>
        <w:t>The</w:t>
      </w:r>
      <w:r w:rsidR="004770BA" w:rsidRPr="00261C59">
        <w:rPr>
          <w:rFonts w:asciiTheme="minorHAnsi" w:hAnsiTheme="minorHAnsi" w:cstheme="minorBidi"/>
          <w:sz w:val="24"/>
          <w:szCs w:val="24"/>
        </w:rPr>
        <w:t xml:space="preserve"> </w:t>
      </w:r>
      <w:r w:rsidRPr="00261C59">
        <w:rPr>
          <w:rFonts w:asciiTheme="minorHAnsi" w:hAnsiTheme="minorHAnsi" w:cstheme="minorBidi"/>
          <w:sz w:val="24"/>
          <w:szCs w:val="24"/>
        </w:rPr>
        <w:t xml:space="preserve">SMRF stream will not be used to fund any projects or existing services that are already funded through another Commonwealth program as per </w:t>
      </w:r>
      <w:r w:rsidRPr="00261C59">
        <w:rPr>
          <w:rFonts w:asciiTheme="minorHAnsi" w:eastAsia="Calibri" w:hAnsiTheme="minorHAnsi" w:cstheme="minorBidi"/>
          <w:sz w:val="24"/>
          <w:szCs w:val="24"/>
        </w:rPr>
        <w:t>clause A12</w:t>
      </w:r>
      <w:r w:rsidRPr="00261C59">
        <w:rPr>
          <w:rFonts w:asciiTheme="minorHAnsi" w:hAnsiTheme="minorHAnsi" w:cstheme="minorBidi"/>
          <w:sz w:val="24"/>
          <w:szCs w:val="24"/>
        </w:rPr>
        <w:t xml:space="preserve">, or are wholly funded through another NHRA payment mechanism or funding stream (e.g. ABF, Block </w:t>
      </w:r>
      <w:r w:rsidR="168A5DE5" w:rsidRPr="00261C59">
        <w:rPr>
          <w:rFonts w:asciiTheme="minorHAnsi" w:hAnsiTheme="minorHAnsi" w:cstheme="minorBidi"/>
          <w:sz w:val="24"/>
          <w:szCs w:val="24"/>
        </w:rPr>
        <w:t>F</w:t>
      </w:r>
      <w:r w:rsidRPr="00261C59">
        <w:rPr>
          <w:rFonts w:asciiTheme="minorHAnsi" w:hAnsiTheme="minorHAnsi" w:cstheme="minorBidi"/>
          <w:sz w:val="24"/>
          <w:szCs w:val="24"/>
        </w:rPr>
        <w:t>unding).</w:t>
      </w:r>
    </w:p>
    <w:p w14:paraId="5FA4FABD" w14:textId="373659FE" w:rsidR="00BA3053" w:rsidRPr="00261C59" w:rsidRDefault="00BA3053" w:rsidP="004728D9">
      <w:pPr>
        <w:numPr>
          <w:ilvl w:val="1"/>
          <w:numId w:val="254"/>
        </w:numPr>
        <w:adjustRightInd/>
        <w:spacing w:after="240" w:line="260" w:lineRule="exact"/>
        <w:ind w:left="1077" w:hanging="357"/>
        <w:jc w:val="left"/>
        <w:textAlignment w:val="auto"/>
        <w:rPr>
          <w:rFonts w:asciiTheme="minorHAnsi" w:hAnsiTheme="minorHAnsi" w:cstheme="minorBidi"/>
          <w:sz w:val="24"/>
          <w:szCs w:val="24"/>
        </w:rPr>
      </w:pPr>
      <w:r w:rsidRPr="00261C59">
        <w:rPr>
          <w:rFonts w:asciiTheme="minorHAnsi" w:hAnsiTheme="minorHAnsi" w:cstheme="minorBidi"/>
          <w:sz w:val="24"/>
          <w:szCs w:val="24"/>
        </w:rPr>
        <w:t>For the avoidance of doubt, a pathway of care (e.g. bundled payment trial) may be funded by a combination of SMRF (e.g. non-service delivery components, services not already in-scope) and another funding stream within the NHRA (e.g. ABF</w:t>
      </w:r>
      <w:r w:rsidR="65F26CCB" w:rsidRPr="00261C59">
        <w:rPr>
          <w:rFonts w:asciiTheme="minorHAnsi" w:hAnsiTheme="minorHAnsi" w:cstheme="minorBidi"/>
          <w:sz w:val="24"/>
          <w:szCs w:val="24"/>
        </w:rPr>
        <w:t>,</w:t>
      </w:r>
      <w:r w:rsidRPr="00261C59">
        <w:rPr>
          <w:rFonts w:asciiTheme="minorHAnsi" w:hAnsiTheme="minorHAnsi" w:cstheme="minorBidi"/>
          <w:sz w:val="24"/>
          <w:szCs w:val="24"/>
        </w:rPr>
        <w:t xml:space="preserve"> Block</w:t>
      </w:r>
      <w:r w:rsidR="71D78E10" w:rsidRPr="00261C59">
        <w:rPr>
          <w:rFonts w:asciiTheme="minorHAnsi" w:hAnsiTheme="minorHAnsi" w:cstheme="minorBidi"/>
          <w:sz w:val="24"/>
          <w:szCs w:val="24"/>
        </w:rPr>
        <w:t xml:space="preserve"> Funding</w:t>
      </w:r>
      <w:r w:rsidRPr="00261C59">
        <w:rPr>
          <w:rFonts w:asciiTheme="minorHAnsi" w:hAnsiTheme="minorHAnsi" w:cstheme="minorBidi"/>
          <w:sz w:val="24"/>
          <w:szCs w:val="24"/>
        </w:rPr>
        <w:t xml:space="preserve">), provided no part of the pathway of care receives funding from multiple streams as per clause A12. </w:t>
      </w:r>
    </w:p>
    <w:p w14:paraId="573400E5" w14:textId="76530962" w:rsidR="00BA3053" w:rsidRPr="00261C59" w:rsidRDefault="00BA3053" w:rsidP="00830547">
      <w:pPr>
        <w:numPr>
          <w:ilvl w:val="1"/>
          <w:numId w:val="254"/>
        </w:numPr>
        <w:adjustRightInd/>
        <w:spacing w:after="240" w:line="260" w:lineRule="exact"/>
        <w:ind w:left="1077" w:hanging="357"/>
        <w:jc w:val="left"/>
        <w:textAlignment w:val="auto"/>
        <w:rPr>
          <w:rFonts w:asciiTheme="minorHAnsi" w:hAnsiTheme="minorHAnsi" w:cstheme="minorBidi"/>
          <w:sz w:val="24"/>
          <w:szCs w:val="24"/>
        </w:rPr>
      </w:pPr>
      <w:r w:rsidRPr="00261C59">
        <w:rPr>
          <w:rFonts w:asciiTheme="minorHAnsi" w:hAnsiTheme="minorHAnsi" w:cstheme="minorBidi"/>
          <w:sz w:val="24"/>
          <w:szCs w:val="24"/>
        </w:rPr>
        <w:t>SMRF is not intended to fund novel technologies, highly</w:t>
      </w:r>
      <w:r w:rsidR="0082748A">
        <w:rPr>
          <w:rFonts w:asciiTheme="minorHAnsi" w:hAnsiTheme="minorHAnsi" w:cstheme="minorBidi"/>
          <w:sz w:val="24"/>
          <w:szCs w:val="24"/>
        </w:rPr>
        <w:t xml:space="preserve"> </w:t>
      </w:r>
      <w:r w:rsidRPr="00261C59">
        <w:rPr>
          <w:rFonts w:asciiTheme="minorHAnsi" w:hAnsiTheme="minorHAnsi" w:cstheme="minorBidi"/>
          <w:sz w:val="24"/>
          <w:szCs w:val="24"/>
        </w:rPr>
        <w:t>specialised therapies, or major capital or infrastructure costs.</w:t>
      </w:r>
    </w:p>
    <w:p w14:paraId="0113420A" w14:textId="50AC6E06" w:rsidR="00BA3053" w:rsidRPr="00261C59" w:rsidRDefault="00BA3053" w:rsidP="004647EF">
      <w:pPr>
        <w:numPr>
          <w:ilvl w:val="0"/>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Guidance documents will be developed for HCEF consideration and inclusion into the appropriate Framework once sufficient trials of bundled payment and capitation models have been proposed to inform their development. Where relevant, development will occur in consultation with Aboriginal and Torres Strait Islander stakeholders (as set out in Schedule B).</w:t>
      </w:r>
    </w:p>
    <w:p w14:paraId="50E4BAB9" w14:textId="77777777" w:rsidR="00BA3053" w:rsidRPr="00261C59" w:rsidRDefault="00BA3053" w:rsidP="004647EF">
      <w:pPr>
        <w:pStyle w:val="Heading3"/>
        <w:keepNext/>
        <w:keepLines/>
        <w:spacing w:before="0" w:after="120" w:line="260" w:lineRule="exact"/>
        <w:ind w:left="0"/>
        <w:jc w:val="left"/>
        <w:rPr>
          <w:rFonts w:ascii="Corbel" w:eastAsia="Times New Roman" w:hAnsi="Corbel"/>
          <w:b w:val="0"/>
          <w:bCs w:val="0"/>
          <w:color w:val="000000" w:themeColor="text1"/>
          <w:sz w:val="28"/>
          <w:szCs w:val="28"/>
          <w:lang w:eastAsia="ja-JP"/>
        </w:rPr>
      </w:pPr>
      <w:bookmarkStart w:id="633" w:name="_Toc214456560"/>
      <w:bookmarkStart w:id="634" w:name="_Toc221088040"/>
      <w:bookmarkStart w:id="635" w:name="_Toc210029710"/>
      <w:r w:rsidRPr="00261C59">
        <w:rPr>
          <w:rFonts w:ascii="Corbel" w:eastAsia="Times New Roman" w:hAnsi="Corbel"/>
          <w:b w:val="0"/>
          <w:bCs w:val="0"/>
          <w:color w:val="3D4B67"/>
          <w:sz w:val="28"/>
          <w:szCs w:val="28"/>
          <w:lang w:eastAsia="ja-JP"/>
        </w:rPr>
        <w:t>Procedures and operations</w:t>
      </w:r>
      <w:bookmarkEnd w:id="633"/>
      <w:bookmarkEnd w:id="634"/>
      <w:r w:rsidRPr="00261C59">
        <w:rPr>
          <w:rFonts w:ascii="Corbel" w:eastAsia="Times New Roman" w:hAnsi="Corbel"/>
          <w:b w:val="0"/>
          <w:bCs w:val="0"/>
          <w:color w:val="3D4B67"/>
          <w:sz w:val="28"/>
          <w:szCs w:val="28"/>
          <w:lang w:eastAsia="ja-JP"/>
        </w:rPr>
        <w:t xml:space="preserve"> </w:t>
      </w:r>
      <w:bookmarkEnd w:id="635"/>
    </w:p>
    <w:p w14:paraId="71DC30F5" w14:textId="39643073" w:rsidR="00BA3053" w:rsidRPr="00261C59" w:rsidRDefault="00BA3053" w:rsidP="004647EF">
      <w:pPr>
        <w:keepNext/>
        <w:keepLines/>
        <w:numPr>
          <w:ilvl w:val="0"/>
          <w:numId w:val="258"/>
        </w:numPr>
        <w:adjustRightInd/>
        <w:spacing w:after="240" w:line="260" w:lineRule="exact"/>
        <w:jc w:val="left"/>
        <w:textAlignment w:val="auto"/>
        <w:rPr>
          <w:rFonts w:asciiTheme="minorHAnsi" w:hAnsiTheme="minorHAnsi" w:cstheme="minorBidi"/>
          <w:sz w:val="24"/>
          <w:szCs w:val="24"/>
        </w:rPr>
      </w:pPr>
      <w:bookmarkStart w:id="636" w:name="_Toc172720990"/>
      <w:r w:rsidRPr="00261C59">
        <w:rPr>
          <w:rFonts w:asciiTheme="minorHAnsi" w:hAnsiTheme="minorHAnsi" w:cstheme="minorBidi"/>
          <w:sz w:val="24"/>
          <w:szCs w:val="24"/>
        </w:rPr>
        <w:t xml:space="preserve">Funding under the SMRF stream will be available to States from 1 July 2027, with payments made through the Administrator. Funding will be determined through the following process: </w:t>
      </w:r>
    </w:p>
    <w:p w14:paraId="274F1A78" w14:textId="6CF21582" w:rsidR="00BA3053" w:rsidRPr="00261C59" w:rsidRDefault="00433416" w:rsidP="004647EF">
      <w:pPr>
        <w:keepLines/>
        <w:numPr>
          <w:ilvl w:val="1"/>
          <w:numId w:val="257"/>
        </w:numPr>
        <w:adjustRightInd/>
        <w:spacing w:after="240" w:line="260" w:lineRule="exact"/>
        <w:ind w:left="1077" w:hanging="357"/>
        <w:jc w:val="left"/>
        <w:textAlignment w:val="auto"/>
        <w:rPr>
          <w:rFonts w:asciiTheme="minorHAnsi" w:eastAsiaTheme="minorEastAsia" w:hAnsiTheme="minorHAnsi" w:cstheme="minorBidi"/>
          <w:sz w:val="24"/>
          <w:szCs w:val="24"/>
        </w:rPr>
      </w:pPr>
      <w:r>
        <w:rPr>
          <w:rFonts w:asciiTheme="minorHAnsi" w:eastAsiaTheme="minorEastAsia" w:hAnsiTheme="minorHAnsi" w:cstheme="minorBidi"/>
          <w:sz w:val="24"/>
          <w:szCs w:val="24"/>
        </w:rPr>
        <w:t>t</w:t>
      </w:r>
      <w:r w:rsidR="00BA3053" w:rsidRPr="00261C59">
        <w:rPr>
          <w:rFonts w:asciiTheme="minorHAnsi" w:eastAsiaTheme="minorEastAsia" w:hAnsiTheme="minorHAnsi" w:cstheme="minorBidi"/>
          <w:sz w:val="24"/>
          <w:szCs w:val="24"/>
        </w:rPr>
        <w:t>he Reform Collaboration will undertake initial assessment of proposals in line with the Reform Framework and HMM-agreed priorities</w:t>
      </w:r>
      <w:r w:rsidR="00BA3053" w:rsidRPr="00261C59">
        <w:rPr>
          <w:rFonts w:asciiTheme="minorHAnsi" w:hAnsiTheme="minorHAnsi" w:cstheme="minorBidi"/>
          <w:sz w:val="24"/>
          <w:szCs w:val="24"/>
        </w:rPr>
        <w:t xml:space="preserve">, </w:t>
      </w:r>
      <w:r w:rsidR="00BA3053" w:rsidRPr="00261C59">
        <w:rPr>
          <w:rFonts w:asciiTheme="minorHAnsi" w:eastAsiaTheme="minorEastAsia" w:hAnsiTheme="minorHAnsi" w:cstheme="minorBidi"/>
          <w:sz w:val="24"/>
          <w:szCs w:val="24"/>
        </w:rPr>
        <w:t>as required when States bring forward proposals</w:t>
      </w:r>
    </w:p>
    <w:p w14:paraId="20B743FD" w14:textId="328C6A14" w:rsidR="00BA3053" w:rsidRPr="00261C59" w:rsidRDefault="00433416" w:rsidP="00830547">
      <w:pPr>
        <w:numPr>
          <w:ilvl w:val="1"/>
          <w:numId w:val="257"/>
        </w:numPr>
        <w:adjustRightInd/>
        <w:spacing w:after="240" w:line="260" w:lineRule="exact"/>
        <w:jc w:val="left"/>
        <w:textAlignment w:val="auto"/>
        <w:rPr>
          <w:rFonts w:asciiTheme="minorHAnsi" w:eastAsiaTheme="minorEastAsia" w:hAnsiTheme="minorHAnsi" w:cstheme="minorBidi"/>
          <w:sz w:val="24"/>
          <w:szCs w:val="24"/>
        </w:rPr>
      </w:pPr>
      <w:r>
        <w:rPr>
          <w:rFonts w:asciiTheme="minorHAnsi" w:eastAsiaTheme="minorEastAsia" w:hAnsiTheme="minorHAnsi" w:cstheme="minorBidi"/>
          <w:sz w:val="24"/>
          <w:szCs w:val="24"/>
        </w:rPr>
        <w:t>i</w:t>
      </w:r>
      <w:r w:rsidR="00BA3053" w:rsidRPr="00261C59">
        <w:rPr>
          <w:rFonts w:asciiTheme="minorHAnsi" w:eastAsiaTheme="minorEastAsia" w:hAnsiTheme="minorHAnsi" w:cstheme="minorBidi"/>
          <w:sz w:val="24"/>
          <w:szCs w:val="24"/>
        </w:rPr>
        <w:t xml:space="preserve">f agreed suitable for SMRF, </w:t>
      </w:r>
      <w:r w:rsidR="00BA3053" w:rsidRPr="00261C59">
        <w:rPr>
          <w:rFonts w:asciiTheme="minorHAnsi" w:hAnsiTheme="minorHAnsi" w:cstheme="minorBidi"/>
          <w:sz w:val="24"/>
          <w:szCs w:val="24"/>
        </w:rPr>
        <w:t xml:space="preserve">proposals will be provided to </w:t>
      </w:r>
      <w:r w:rsidR="00BA3053" w:rsidRPr="00261C59">
        <w:rPr>
          <w:rFonts w:asciiTheme="minorHAnsi" w:eastAsiaTheme="minorEastAsia" w:hAnsiTheme="minorHAnsi" w:cstheme="minorBidi"/>
          <w:sz w:val="24"/>
          <w:szCs w:val="24"/>
        </w:rPr>
        <w:t>the SRDG for assessment against agreed criteria</w:t>
      </w:r>
      <w:r w:rsidR="00BA3053" w:rsidRPr="00261C59">
        <w:rPr>
          <w:rFonts w:asciiTheme="minorHAnsi" w:hAnsiTheme="minorHAnsi" w:cstheme="minorBidi"/>
          <w:sz w:val="24"/>
          <w:szCs w:val="24"/>
        </w:rPr>
        <w:t xml:space="preserve"> and approval</w:t>
      </w:r>
    </w:p>
    <w:p w14:paraId="7BA28F0D" w14:textId="7FD3AC1F" w:rsidR="00BA3053" w:rsidRPr="00261C59" w:rsidRDefault="00BA3053" w:rsidP="00830547">
      <w:pPr>
        <w:numPr>
          <w:ilvl w:val="2"/>
          <w:numId w:val="257"/>
        </w:numPr>
        <w:spacing w:after="240" w:line="260" w:lineRule="exact"/>
        <w:jc w:val="left"/>
        <w:rPr>
          <w:rFonts w:asciiTheme="minorHAnsi" w:eastAsiaTheme="minorEastAsia" w:hAnsiTheme="minorHAnsi" w:cstheme="minorBidi"/>
          <w:sz w:val="24"/>
          <w:szCs w:val="24"/>
        </w:rPr>
      </w:pPr>
      <w:r w:rsidRPr="00261C59">
        <w:rPr>
          <w:rFonts w:asciiTheme="minorHAnsi" w:eastAsiaTheme="minorEastAsia" w:hAnsiTheme="minorHAnsi" w:cstheme="minorBidi"/>
          <w:sz w:val="24"/>
          <w:szCs w:val="24"/>
        </w:rPr>
        <w:t>Disputes will be resolved through escalation to HCEF and HMM as needed</w:t>
      </w:r>
    </w:p>
    <w:p w14:paraId="2656EF71" w14:textId="36C6F7CE" w:rsidR="00BA3053" w:rsidRPr="00261C59" w:rsidRDefault="00433416" w:rsidP="00830547">
      <w:pPr>
        <w:numPr>
          <w:ilvl w:val="1"/>
          <w:numId w:val="257"/>
        </w:numPr>
        <w:adjustRightInd/>
        <w:spacing w:after="240" w:line="260" w:lineRule="exact"/>
        <w:jc w:val="left"/>
        <w:textAlignment w:val="auto"/>
        <w:rPr>
          <w:rFonts w:asciiTheme="minorHAnsi" w:hAnsiTheme="minorHAnsi" w:cstheme="minorBidi"/>
          <w:sz w:val="24"/>
          <w:szCs w:val="24"/>
        </w:rPr>
      </w:pPr>
      <w:r>
        <w:rPr>
          <w:rFonts w:asciiTheme="minorHAnsi" w:hAnsiTheme="minorHAnsi" w:cstheme="minorBidi"/>
          <w:sz w:val="24"/>
          <w:szCs w:val="24"/>
        </w:rPr>
        <w:t>o</w:t>
      </w:r>
      <w:r w:rsidR="00BA3053" w:rsidRPr="00261C59">
        <w:rPr>
          <w:rFonts w:asciiTheme="minorHAnsi" w:hAnsiTheme="minorHAnsi" w:cstheme="minorBidi"/>
          <w:sz w:val="24"/>
          <w:szCs w:val="24"/>
        </w:rPr>
        <w:t>nce approved by SRDG the Commonwealth will confirm the amount of funding for each State’s approved projects to be paid and provide advice to the Administrator</w:t>
      </w:r>
    </w:p>
    <w:bookmarkEnd w:id="636"/>
    <w:p w14:paraId="799654CF" w14:textId="26C62734" w:rsidR="00BA3053" w:rsidRPr="00261C59" w:rsidRDefault="00433416" w:rsidP="000D720E">
      <w:pPr>
        <w:numPr>
          <w:ilvl w:val="1"/>
          <w:numId w:val="257"/>
        </w:numPr>
        <w:adjustRightInd/>
        <w:spacing w:after="240" w:line="260" w:lineRule="exact"/>
        <w:jc w:val="left"/>
        <w:textAlignment w:val="auto"/>
        <w:rPr>
          <w:rFonts w:asciiTheme="minorHAnsi" w:hAnsiTheme="minorHAnsi" w:cstheme="minorBidi"/>
          <w:sz w:val="24"/>
          <w:szCs w:val="24"/>
        </w:rPr>
      </w:pPr>
      <w:r>
        <w:rPr>
          <w:rFonts w:asciiTheme="minorHAnsi" w:hAnsiTheme="minorHAnsi" w:cstheme="minorBidi"/>
          <w:sz w:val="24"/>
          <w:szCs w:val="24"/>
        </w:rPr>
        <w:t>t</w:t>
      </w:r>
      <w:r w:rsidR="00BA3053" w:rsidRPr="00261C59">
        <w:rPr>
          <w:rFonts w:asciiTheme="minorHAnsi" w:hAnsiTheme="minorHAnsi" w:cstheme="minorBidi"/>
          <w:sz w:val="24"/>
          <w:szCs w:val="24"/>
        </w:rPr>
        <w:t>he Commonwealth will also:</w:t>
      </w:r>
    </w:p>
    <w:p w14:paraId="17407EEA" w14:textId="08614AE4" w:rsidR="00BA3053" w:rsidRPr="00261C59" w:rsidRDefault="00BA3053" w:rsidP="00830547">
      <w:pPr>
        <w:widowControl/>
        <w:numPr>
          <w:ilvl w:val="2"/>
          <w:numId w:val="258"/>
        </w:numPr>
        <w:spacing w:after="240" w:line="260" w:lineRule="exact"/>
        <w:jc w:val="left"/>
        <w:rPr>
          <w:rFonts w:asciiTheme="minorHAnsi" w:hAnsiTheme="minorHAnsi" w:cstheme="minorBidi"/>
          <w:sz w:val="24"/>
          <w:szCs w:val="24"/>
        </w:rPr>
      </w:pPr>
      <w:r w:rsidRPr="00261C59">
        <w:rPr>
          <w:rFonts w:asciiTheme="minorHAnsi" w:hAnsiTheme="minorHAnsi" w:cstheme="minorBidi"/>
          <w:sz w:val="24"/>
          <w:szCs w:val="24"/>
        </w:rPr>
        <w:t xml:space="preserve">provide a report annually to the Administrator by 15 September on compliance with SMRF reporting and evaluation requirements, as per </w:t>
      </w:r>
      <w:r w:rsidR="007C0C58" w:rsidRPr="00261C59">
        <w:rPr>
          <w:rFonts w:asciiTheme="minorHAnsi" w:hAnsiTheme="minorHAnsi" w:cstheme="minorBidi"/>
          <w:sz w:val="24"/>
          <w:szCs w:val="24"/>
        </w:rPr>
        <w:br/>
      </w:r>
      <w:r w:rsidRPr="00261C59">
        <w:rPr>
          <w:rFonts w:asciiTheme="minorHAnsi" w:hAnsiTheme="minorHAnsi" w:cstheme="minorBidi"/>
          <w:sz w:val="24"/>
          <w:szCs w:val="24"/>
        </w:rPr>
        <w:t>clause A</w:t>
      </w:r>
      <w:r w:rsidR="00FF4E42" w:rsidRPr="00261C59">
        <w:rPr>
          <w:rFonts w:asciiTheme="minorHAnsi" w:hAnsiTheme="minorHAnsi" w:cstheme="minorBidi"/>
          <w:sz w:val="24"/>
          <w:szCs w:val="24"/>
        </w:rPr>
        <w:t>147</w:t>
      </w:r>
    </w:p>
    <w:p w14:paraId="20519846" w14:textId="3787B35F" w:rsidR="00BA3053" w:rsidRPr="00261C59" w:rsidRDefault="00BA3053" w:rsidP="00830547">
      <w:pPr>
        <w:widowControl/>
        <w:numPr>
          <w:ilvl w:val="2"/>
          <w:numId w:val="258"/>
        </w:numPr>
        <w:spacing w:after="240" w:line="260" w:lineRule="exact"/>
        <w:jc w:val="left"/>
        <w:rPr>
          <w:rFonts w:asciiTheme="minorHAnsi" w:hAnsiTheme="minorHAnsi" w:cstheme="minorBidi"/>
          <w:sz w:val="24"/>
          <w:szCs w:val="24"/>
        </w:rPr>
      </w:pPr>
      <w:r w:rsidRPr="00261C59">
        <w:rPr>
          <w:rFonts w:asciiTheme="minorHAnsi" w:hAnsiTheme="minorHAnsi" w:cstheme="minorBidi"/>
          <w:sz w:val="24"/>
          <w:szCs w:val="24"/>
        </w:rPr>
        <w:t>provide advice to the Administrator as part of annual reconciliation processes outlined in Part 4 of Schedule A.</w:t>
      </w:r>
    </w:p>
    <w:p w14:paraId="0D8C4ADB" w14:textId="77777777" w:rsidR="00BA3053" w:rsidRPr="00261C59" w:rsidRDefault="00BA3053" w:rsidP="00BA3053">
      <w:pPr>
        <w:pStyle w:val="Heading2"/>
        <w:widowControl/>
        <w:adjustRightInd/>
        <w:spacing w:before="180" w:after="120"/>
        <w:jc w:val="left"/>
        <w:textAlignment w:val="auto"/>
        <w:rPr>
          <w:rFonts w:ascii="Corbel" w:eastAsia="Times New Roman" w:hAnsi="Corbel" w:cs="Arial"/>
          <w:color w:val="3D4B67"/>
          <w:sz w:val="28"/>
          <w:szCs w:val="28"/>
        </w:rPr>
      </w:pPr>
      <w:bookmarkStart w:id="637" w:name="_Toc210029711"/>
      <w:bookmarkStart w:id="638" w:name="_Toc214456561"/>
      <w:bookmarkStart w:id="639" w:name="_Toc221088041"/>
      <w:r w:rsidRPr="00261C59">
        <w:rPr>
          <w:rFonts w:ascii="Corbel" w:eastAsia="Times New Roman" w:hAnsi="Corbel" w:cs="Arial"/>
          <w:color w:val="3D4B67"/>
          <w:sz w:val="28"/>
          <w:szCs w:val="28"/>
        </w:rPr>
        <w:t>Value-based and alternative pricing and funding models</w:t>
      </w:r>
      <w:bookmarkEnd w:id="637"/>
      <w:bookmarkEnd w:id="638"/>
      <w:bookmarkEnd w:id="639"/>
    </w:p>
    <w:p w14:paraId="5A2071C0" w14:textId="77777777" w:rsidR="00BA3053" w:rsidRPr="00261C59" w:rsidRDefault="00BA3053" w:rsidP="00830547">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A range of additional pricing and funding reform models are also essential to help drive structural reform to support improved patient experiences and outcomes, and deliver more productive, efficient and effective care.</w:t>
      </w:r>
    </w:p>
    <w:p w14:paraId="29B8BA74" w14:textId="006A9D8B" w:rsidR="00BA3053" w:rsidRPr="00261C59" w:rsidRDefault="00BA3053" w:rsidP="00BA3053">
      <w:pPr>
        <w:pStyle w:val="Heading3"/>
        <w:spacing w:before="0" w:after="120" w:line="260" w:lineRule="exact"/>
        <w:ind w:left="0"/>
        <w:jc w:val="left"/>
        <w:rPr>
          <w:rFonts w:ascii="Corbel" w:eastAsia="Times New Roman" w:hAnsi="Corbel"/>
          <w:b w:val="0"/>
          <w:bCs w:val="0"/>
          <w:color w:val="3D4B67"/>
          <w:sz w:val="28"/>
          <w:szCs w:val="28"/>
          <w:lang w:eastAsia="ja-JP"/>
        </w:rPr>
      </w:pPr>
      <w:bookmarkStart w:id="640" w:name="_Toc214456562"/>
      <w:bookmarkStart w:id="641" w:name="_Toc221088042"/>
      <w:bookmarkStart w:id="642" w:name="_Toc210029712"/>
      <w:bookmarkEnd w:id="622"/>
      <w:bookmarkEnd w:id="623"/>
      <w:bookmarkEnd w:id="624"/>
      <w:bookmarkEnd w:id="625"/>
      <w:bookmarkEnd w:id="626"/>
      <w:bookmarkEnd w:id="627"/>
      <w:bookmarkEnd w:id="628"/>
      <w:r w:rsidRPr="00261C59">
        <w:rPr>
          <w:rFonts w:ascii="Corbel" w:eastAsia="Times New Roman" w:hAnsi="Corbel"/>
          <w:b w:val="0"/>
          <w:bCs w:val="0"/>
          <w:color w:val="3D4B67"/>
          <w:sz w:val="28"/>
          <w:szCs w:val="28"/>
          <w:lang w:eastAsia="ja-JP"/>
        </w:rPr>
        <w:t>Trialling value-based pricing approaches</w:t>
      </w:r>
      <w:bookmarkEnd w:id="640"/>
      <w:bookmarkEnd w:id="641"/>
      <w:r w:rsidRPr="00261C59">
        <w:rPr>
          <w:rFonts w:ascii="Corbel" w:eastAsia="Times New Roman" w:hAnsi="Corbel"/>
          <w:b w:val="0"/>
          <w:bCs w:val="0"/>
          <w:color w:val="3D4B67"/>
          <w:sz w:val="28"/>
          <w:szCs w:val="28"/>
          <w:lang w:eastAsia="ja-JP"/>
        </w:rPr>
        <w:t xml:space="preserve"> </w:t>
      </w:r>
      <w:bookmarkEnd w:id="642"/>
    </w:p>
    <w:p w14:paraId="2ED5B69A" w14:textId="77777777" w:rsidR="00BA3053" w:rsidRPr="00261C59" w:rsidRDefault="00BA3053" w:rsidP="004728D9">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The Parties agree that safer, higher quality care should be incentivised to deliver value for patients and the system. Value-based pricing approaches included in this Addendum will contribute to improved patient outcomes, by ensuring that resources are allocated to the most clinically beneficial care.</w:t>
      </w:r>
    </w:p>
    <w:p w14:paraId="57CB1034" w14:textId="77777777" w:rsidR="00BA3053" w:rsidRPr="00261C59" w:rsidRDefault="00BA3053" w:rsidP="000D720E">
      <w:pPr>
        <w:numPr>
          <w:ilvl w:val="1"/>
          <w:numId w:val="272"/>
        </w:numPr>
        <w:adjustRightInd/>
        <w:spacing w:after="240" w:line="260" w:lineRule="exact"/>
        <w:jc w:val="left"/>
        <w:textAlignment w:val="auto"/>
        <w:rPr>
          <w:rFonts w:asciiTheme="minorHAnsi" w:eastAsiaTheme="minorEastAsia" w:hAnsiTheme="minorHAnsi" w:cstheme="minorBidi"/>
          <w:sz w:val="24"/>
          <w:szCs w:val="24"/>
        </w:rPr>
      </w:pPr>
      <w:r w:rsidRPr="00261C59">
        <w:rPr>
          <w:rFonts w:asciiTheme="minorHAnsi" w:eastAsiaTheme="minorEastAsia" w:hAnsiTheme="minorHAnsi" w:cstheme="minorBidi"/>
          <w:sz w:val="24"/>
          <w:szCs w:val="24"/>
        </w:rPr>
        <w:t xml:space="preserve">For avoidance of doubt, value-based pricing approaches in this Addendum include: </w:t>
      </w:r>
    </w:p>
    <w:p w14:paraId="24398810" w14:textId="77777777" w:rsidR="00BA3053" w:rsidRPr="00261C59" w:rsidRDefault="00BA3053" w:rsidP="00830547">
      <w:pPr>
        <w:widowControl/>
        <w:numPr>
          <w:ilvl w:val="2"/>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Low-value care disincentives</w:t>
      </w:r>
    </w:p>
    <w:p w14:paraId="4E259A3D" w14:textId="77777777" w:rsidR="00BA3053" w:rsidRPr="00261C59" w:rsidRDefault="00BA3053" w:rsidP="00830547">
      <w:pPr>
        <w:widowControl/>
        <w:numPr>
          <w:ilvl w:val="2"/>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High-value care incentives</w:t>
      </w:r>
    </w:p>
    <w:p w14:paraId="139AFA7E" w14:textId="77777777" w:rsidR="00BA3053" w:rsidRPr="00261C59" w:rsidRDefault="00BA3053" w:rsidP="00830547">
      <w:pPr>
        <w:widowControl/>
        <w:numPr>
          <w:ilvl w:val="2"/>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Normative pricing</w:t>
      </w:r>
    </w:p>
    <w:p w14:paraId="3B886F91" w14:textId="1ADAB821" w:rsidR="00BA3053" w:rsidRPr="00261C59" w:rsidRDefault="00BA3053" w:rsidP="00830547">
      <w:pPr>
        <w:widowControl/>
        <w:numPr>
          <w:ilvl w:val="2"/>
          <w:numId w:val="258"/>
        </w:numPr>
        <w:spacing w:after="240" w:line="260" w:lineRule="exact"/>
        <w:jc w:val="left"/>
        <w:rPr>
          <w:rFonts w:asciiTheme="minorHAnsi" w:hAnsiTheme="minorHAnsi" w:cstheme="minorBidi"/>
          <w:sz w:val="24"/>
          <w:szCs w:val="24"/>
        </w:rPr>
      </w:pPr>
      <w:r w:rsidRPr="00261C59">
        <w:rPr>
          <w:rFonts w:asciiTheme="minorHAnsi" w:eastAsia="Calibri" w:hAnsiTheme="minorHAnsi" w:cstheme="minorBidi"/>
          <w:sz w:val="24"/>
          <w:szCs w:val="24"/>
        </w:rPr>
        <w:t>Priority care loadings</w:t>
      </w:r>
      <w:r w:rsidR="00433416">
        <w:rPr>
          <w:rFonts w:asciiTheme="minorHAnsi" w:eastAsia="Calibri" w:hAnsiTheme="minorHAnsi" w:cstheme="minorBidi"/>
          <w:sz w:val="24"/>
          <w:szCs w:val="24"/>
        </w:rPr>
        <w:t>.</w:t>
      </w:r>
    </w:p>
    <w:p w14:paraId="7C2CE590" w14:textId="77777777" w:rsidR="00BA3053" w:rsidRPr="00261C59" w:rsidRDefault="00BA3053" w:rsidP="004647EF">
      <w:pPr>
        <w:keepLines/>
        <w:numPr>
          <w:ilvl w:val="0"/>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The Parties agree that new approaches to value-based pricing of in-scope services are not limited to those described in this Addendum and that new approaches may be identified by the Parties and/or National Bodies.</w:t>
      </w:r>
    </w:p>
    <w:p w14:paraId="616FC7FC" w14:textId="77777777" w:rsidR="00BA3053" w:rsidRPr="00261C59" w:rsidRDefault="00BA3053" w:rsidP="00AF2161">
      <w:pPr>
        <w:pStyle w:val="Heading3"/>
        <w:keepNext/>
        <w:spacing w:before="0" w:after="120" w:line="260" w:lineRule="exact"/>
        <w:ind w:left="0"/>
        <w:jc w:val="left"/>
        <w:rPr>
          <w:rFonts w:ascii="Corbel" w:eastAsia="Times New Roman" w:hAnsi="Corbel"/>
          <w:b w:val="0"/>
          <w:bCs w:val="0"/>
          <w:color w:val="3D4B67"/>
          <w:sz w:val="28"/>
          <w:szCs w:val="28"/>
          <w:lang w:eastAsia="ja-JP"/>
        </w:rPr>
      </w:pPr>
      <w:bookmarkStart w:id="643" w:name="_Toc210029713"/>
      <w:bookmarkStart w:id="644" w:name="_Toc214456563"/>
      <w:bookmarkStart w:id="645" w:name="_Toc221088043"/>
      <w:r w:rsidRPr="00261C59">
        <w:rPr>
          <w:rFonts w:ascii="Corbel" w:eastAsia="Times New Roman" w:hAnsi="Corbel"/>
          <w:b w:val="0"/>
          <w:bCs w:val="0"/>
          <w:color w:val="3D4B67"/>
          <w:sz w:val="28"/>
          <w:szCs w:val="28"/>
          <w:lang w:eastAsia="ja-JP"/>
        </w:rPr>
        <w:t>Normative pricing</w:t>
      </w:r>
      <w:bookmarkEnd w:id="643"/>
      <w:bookmarkEnd w:id="644"/>
      <w:bookmarkEnd w:id="645"/>
    </w:p>
    <w:p w14:paraId="1858065C" w14:textId="77777777" w:rsidR="00BA3053" w:rsidRPr="00261C59" w:rsidRDefault="00BA3053" w:rsidP="004728D9">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The Parties agree that a normative pricing approach should be investigated and developed by the IHACPA in consultation with the Reform Collaboration and the ACSQHC </w:t>
      </w:r>
      <w:r w:rsidRPr="00261C59">
        <w:rPr>
          <w:rFonts w:asciiTheme="minorHAnsi" w:eastAsia="Calibri" w:hAnsiTheme="minorHAnsi"/>
          <w:sz w:val="24"/>
        </w:rPr>
        <w:t>during this Addendum as a new mechanism to price some procedures, episodes of care, and price loadings, where the weighted national average cost is not the most appropriate (such as when it is too low or too high to incentivise best-practice care, or where there is insufficient data to define an average cost). The Parties agree that the intent of changes is to promote delivering care efficiently and in accordance with current evidence-based clinical guidelines and/or agreed best practice. </w:t>
      </w:r>
    </w:p>
    <w:p w14:paraId="03F8BBE9" w14:textId="77777777" w:rsidR="00BA3053" w:rsidRPr="00261C59" w:rsidRDefault="00BA3053" w:rsidP="00830547">
      <w:pPr>
        <w:widowControl/>
        <w:numPr>
          <w:ilvl w:val="0"/>
          <w:numId w:val="258"/>
        </w:numPr>
        <w:adjustRightInd/>
        <w:spacing w:after="240" w:line="260" w:lineRule="exact"/>
        <w:jc w:val="left"/>
        <w:textAlignment w:val="auto"/>
        <w:rPr>
          <w:rFonts w:asciiTheme="minorHAnsi" w:hAnsiTheme="minorHAnsi" w:cstheme="minorBidi"/>
          <w:sz w:val="24"/>
          <w:szCs w:val="24"/>
        </w:rPr>
      </w:pPr>
      <w:r w:rsidRPr="00261C59">
        <w:rPr>
          <w:rFonts w:asciiTheme="minorHAnsi" w:eastAsia="Calibri" w:hAnsiTheme="minorHAnsi" w:cstheme="minorBidi"/>
          <w:sz w:val="24"/>
          <w:szCs w:val="24"/>
        </w:rPr>
        <w:t xml:space="preserve">The Parties agree normative pricing may be recommended for consideration when using the </w:t>
      </w:r>
      <w:r w:rsidRPr="00261C59">
        <w:rPr>
          <w:rFonts w:asciiTheme="minorHAnsi" w:eastAsiaTheme="minorEastAsia" w:hAnsiTheme="minorHAnsi" w:cstheme="minorBidi"/>
          <w:sz w:val="24"/>
          <w:szCs w:val="24"/>
        </w:rPr>
        <w:t>Reform Framework</w:t>
      </w:r>
      <w:r w:rsidRPr="00261C59" w:rsidDel="00906699">
        <w:rPr>
          <w:rFonts w:asciiTheme="minorHAnsi" w:eastAsia="Calibri" w:hAnsiTheme="minorHAnsi" w:cstheme="minorBidi"/>
          <w:sz w:val="24"/>
          <w:szCs w:val="24"/>
        </w:rPr>
        <w:t xml:space="preserve"> </w:t>
      </w:r>
      <w:r w:rsidRPr="00261C59">
        <w:rPr>
          <w:rFonts w:asciiTheme="minorHAnsi" w:eastAsia="Calibri" w:hAnsiTheme="minorHAnsi" w:cstheme="minorBidi"/>
          <w:sz w:val="24"/>
          <w:szCs w:val="24"/>
        </w:rPr>
        <w:t>and aligned with the Funding Models Framework.</w:t>
      </w:r>
    </w:p>
    <w:p w14:paraId="784D8DDE" w14:textId="77777777" w:rsidR="00BA3053" w:rsidRPr="00261C59" w:rsidRDefault="00BA3053" w:rsidP="00BA3053">
      <w:pPr>
        <w:pStyle w:val="Heading3"/>
        <w:keepNext/>
        <w:widowControl/>
        <w:adjustRightInd/>
        <w:spacing w:before="0" w:after="120"/>
        <w:ind w:left="0"/>
        <w:jc w:val="left"/>
        <w:textAlignment w:val="auto"/>
        <w:rPr>
          <w:rFonts w:ascii="Corbel" w:eastAsia="Times New Roman" w:hAnsi="Corbel"/>
          <w:b w:val="0"/>
          <w:bCs w:val="0"/>
          <w:color w:val="3D4B67"/>
          <w:sz w:val="28"/>
          <w:szCs w:val="28"/>
          <w:lang w:eastAsia="ja-JP"/>
        </w:rPr>
      </w:pPr>
      <w:bookmarkStart w:id="646" w:name="_Toc210029714"/>
      <w:bookmarkStart w:id="647" w:name="_Toc214456564"/>
      <w:bookmarkStart w:id="648" w:name="_Toc221088044"/>
      <w:r w:rsidRPr="00261C59">
        <w:rPr>
          <w:rFonts w:ascii="Corbel" w:eastAsia="Times New Roman" w:hAnsi="Corbel"/>
          <w:b w:val="0"/>
          <w:bCs w:val="0"/>
          <w:color w:val="3D4B67"/>
          <w:sz w:val="28"/>
          <w:szCs w:val="28"/>
          <w:lang w:eastAsia="ja-JP"/>
        </w:rPr>
        <w:t>Priority care loadings</w:t>
      </w:r>
      <w:bookmarkEnd w:id="646"/>
      <w:bookmarkEnd w:id="647"/>
      <w:bookmarkEnd w:id="648"/>
    </w:p>
    <w:p w14:paraId="52486EA4" w14:textId="77777777" w:rsidR="00BA3053" w:rsidRPr="00261C59" w:rsidRDefault="00BA3053" w:rsidP="00830547">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The Parties agree that additional pricing adjustments to incentivise identified priority services or types of care for specific populations and/or delivery in specific settings should be investigated and developed by the IHACPA in consultation with the Reform Collaboration and the ACSQHC during this Addendum. This includes for example, non-admitted care that can prevent or delay hospital readmissions, incentivising day surgery over in-patient admissions, health professionals working to the top of their scope of practice and promoting increased access and better-quality care for Aboriginal and Torres Strait Islander people and communities.   </w:t>
      </w:r>
    </w:p>
    <w:p w14:paraId="3FC9601F" w14:textId="5CA921AB" w:rsidR="00BA3053" w:rsidRPr="00261C59" w:rsidRDefault="00BA3053" w:rsidP="004728D9">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The Parties agree priority care loadings may be recommended for consideration using the </w:t>
      </w:r>
      <w:r w:rsidRPr="00261C59">
        <w:rPr>
          <w:rFonts w:asciiTheme="minorHAnsi" w:eastAsiaTheme="minorEastAsia" w:hAnsiTheme="minorHAnsi" w:cstheme="minorBidi"/>
          <w:sz w:val="24"/>
          <w:szCs w:val="24"/>
        </w:rPr>
        <w:t>Reform Framework</w:t>
      </w:r>
      <w:r w:rsidRPr="00261C59">
        <w:rPr>
          <w:rFonts w:asciiTheme="minorHAnsi" w:eastAsia="Calibri" w:hAnsiTheme="minorHAnsi" w:cstheme="minorBidi"/>
          <w:sz w:val="24"/>
          <w:szCs w:val="24"/>
        </w:rPr>
        <w:t xml:space="preserve">. </w:t>
      </w:r>
    </w:p>
    <w:p w14:paraId="2B79573C" w14:textId="77777777" w:rsidR="00BA3053" w:rsidRPr="00261C59" w:rsidRDefault="00BA3053" w:rsidP="004728D9">
      <w:pPr>
        <w:pStyle w:val="Heading2"/>
        <w:widowControl/>
        <w:adjustRightInd/>
        <w:spacing w:before="180" w:after="120"/>
        <w:jc w:val="left"/>
        <w:textAlignment w:val="auto"/>
        <w:rPr>
          <w:rFonts w:ascii="Corbel" w:hAnsi="Corbel"/>
          <w:color w:val="3D4B67"/>
          <w:sz w:val="28"/>
        </w:rPr>
      </w:pPr>
      <w:bookmarkStart w:id="649" w:name="_Toc172282778"/>
      <w:bookmarkStart w:id="650" w:name="_Toc172721003"/>
      <w:bookmarkStart w:id="651" w:name="_Toc173428306"/>
      <w:bookmarkStart w:id="652" w:name="_Toc210029715"/>
      <w:bookmarkStart w:id="653" w:name="_Toc214456565"/>
      <w:bookmarkStart w:id="654" w:name="_Toc173937749"/>
      <w:bookmarkStart w:id="655" w:name="_Toc201674025"/>
      <w:bookmarkStart w:id="656" w:name="_Toc210833662"/>
      <w:bookmarkStart w:id="657" w:name="_Toc221088045"/>
      <w:r w:rsidRPr="00261C59">
        <w:rPr>
          <w:rFonts w:ascii="Corbel" w:hAnsi="Corbel"/>
          <w:color w:val="3D4B67"/>
          <w:sz w:val="28"/>
        </w:rPr>
        <w:t xml:space="preserve">Alternative payment </w:t>
      </w:r>
      <w:bookmarkEnd w:id="649"/>
      <w:bookmarkEnd w:id="650"/>
      <w:bookmarkEnd w:id="651"/>
      <w:r w:rsidRPr="00261C59">
        <w:rPr>
          <w:rFonts w:ascii="Corbel" w:hAnsi="Corbel"/>
          <w:color w:val="3D4B67"/>
          <w:sz w:val="28"/>
        </w:rPr>
        <w:t>model trials</w:t>
      </w:r>
      <w:bookmarkEnd w:id="652"/>
      <w:bookmarkEnd w:id="653"/>
      <w:bookmarkEnd w:id="654"/>
      <w:bookmarkEnd w:id="655"/>
      <w:bookmarkEnd w:id="656"/>
      <w:bookmarkEnd w:id="657"/>
    </w:p>
    <w:p w14:paraId="691467B2" w14:textId="1E448E7D" w:rsidR="00BA3053" w:rsidRPr="00261C59" w:rsidRDefault="00BA3053" w:rsidP="00830547">
      <w:pPr>
        <w:keepNext/>
        <w:numPr>
          <w:ilvl w:val="0"/>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The Parties agree there may be a need to trial alternative payment models outside the specified funding streams and reform mechanisms outlined at clause A8 and otherwise described in this Schedule. </w:t>
      </w:r>
    </w:p>
    <w:p w14:paraId="4EDAFBC5" w14:textId="0B8ACCB8" w:rsidR="00BA3053" w:rsidRPr="00261C59" w:rsidRDefault="00BA3053" w:rsidP="004728D9">
      <w:pPr>
        <w:numPr>
          <w:ilvl w:val="1"/>
          <w:numId w:val="258"/>
        </w:numPr>
        <w:spacing w:after="240" w:line="260" w:lineRule="exact"/>
        <w:jc w:val="left"/>
        <w:rPr>
          <w:rFonts w:asciiTheme="minorHAnsi" w:hAnsiTheme="minorHAnsi" w:cstheme="minorBidi"/>
          <w:sz w:val="24"/>
          <w:szCs w:val="24"/>
        </w:rPr>
      </w:pPr>
      <w:r w:rsidRPr="00261C59">
        <w:rPr>
          <w:rFonts w:asciiTheme="minorHAnsi" w:eastAsia="Calibri" w:hAnsiTheme="minorHAnsi" w:cstheme="minorBidi"/>
          <w:sz w:val="24"/>
          <w:szCs w:val="24"/>
        </w:rPr>
        <w:t xml:space="preserve">Alternative payment model trials will only be considered where </w:t>
      </w:r>
      <w:r w:rsidRPr="00261C59">
        <w:rPr>
          <w:rFonts w:asciiTheme="minorHAnsi" w:hAnsiTheme="minorHAnsi" w:cstheme="minorBidi"/>
          <w:sz w:val="24"/>
          <w:szCs w:val="24"/>
        </w:rPr>
        <w:t>existing national funding model payment streams (ABF, existing block funding arrangements and SMRF) are not suitable.</w:t>
      </w:r>
    </w:p>
    <w:p w14:paraId="41F981D1" w14:textId="2FB4B576" w:rsidR="00BA3053" w:rsidRPr="00261C59" w:rsidRDefault="00BA3053" w:rsidP="004728D9">
      <w:pPr>
        <w:widowControl/>
        <w:numPr>
          <w:ilvl w:val="0"/>
          <w:numId w:val="258"/>
        </w:numPr>
        <w:spacing w:after="240" w:line="260" w:lineRule="exact"/>
        <w:jc w:val="left"/>
        <w:rPr>
          <w:rFonts w:asciiTheme="minorHAnsi" w:eastAsia="Calibri" w:hAnsiTheme="minorHAnsi" w:cstheme="minorBidi"/>
          <w:sz w:val="24"/>
          <w:szCs w:val="24"/>
        </w:rPr>
      </w:pPr>
      <w:r w:rsidRPr="00261C59">
        <w:rPr>
          <w:rFonts w:asciiTheme="minorHAnsi" w:eastAsia="Calibri" w:hAnsiTheme="minorHAnsi" w:cstheme="minorBidi"/>
          <w:sz w:val="24"/>
          <w:szCs w:val="24"/>
        </w:rPr>
        <w:t>The Commonwealth and a State(s) may agree to trial an alternative payment model through a bilateral agreement, as outlined at clauses A</w:t>
      </w:r>
      <w:r w:rsidR="00E549B8" w:rsidRPr="00261C59">
        <w:rPr>
          <w:rFonts w:asciiTheme="minorHAnsi" w:eastAsia="Calibri" w:hAnsiTheme="minorHAnsi" w:cstheme="minorBidi"/>
          <w:sz w:val="24"/>
          <w:szCs w:val="24"/>
        </w:rPr>
        <w:t>76</w:t>
      </w:r>
      <w:r w:rsidRPr="00261C59">
        <w:rPr>
          <w:rFonts w:asciiTheme="minorHAnsi" w:eastAsia="Calibri" w:hAnsiTheme="minorHAnsi" w:cstheme="minorBidi"/>
          <w:sz w:val="24"/>
          <w:szCs w:val="24"/>
        </w:rPr>
        <w:t xml:space="preserve"> to A</w:t>
      </w:r>
      <w:r w:rsidR="00E549B8" w:rsidRPr="00261C59">
        <w:rPr>
          <w:rFonts w:asciiTheme="minorHAnsi" w:eastAsia="Calibri" w:hAnsiTheme="minorHAnsi" w:cstheme="minorBidi"/>
          <w:sz w:val="24"/>
          <w:szCs w:val="24"/>
        </w:rPr>
        <w:t>79</w:t>
      </w:r>
      <w:r w:rsidRPr="00261C59">
        <w:rPr>
          <w:rFonts w:asciiTheme="minorHAnsi" w:eastAsia="Calibri" w:hAnsiTheme="minorHAnsi" w:cstheme="minorBidi"/>
          <w:sz w:val="24"/>
          <w:szCs w:val="24"/>
        </w:rPr>
        <w:t>.</w:t>
      </w:r>
    </w:p>
    <w:p w14:paraId="1BF6132F" w14:textId="77777777" w:rsidR="00BA3053" w:rsidRPr="00261C59" w:rsidRDefault="00BA3053" w:rsidP="004728D9">
      <w:pPr>
        <w:pStyle w:val="Heading2"/>
        <w:widowControl/>
        <w:adjustRightInd/>
        <w:spacing w:before="180" w:after="120"/>
        <w:jc w:val="left"/>
        <w:textAlignment w:val="auto"/>
        <w:rPr>
          <w:rFonts w:ascii="Corbel" w:hAnsi="Corbel"/>
          <w:color w:val="3D4B67"/>
          <w:sz w:val="28"/>
        </w:rPr>
      </w:pPr>
      <w:bookmarkStart w:id="658" w:name="_Toc173937750"/>
      <w:bookmarkStart w:id="659" w:name="_Toc201674026"/>
      <w:bookmarkStart w:id="660" w:name="_Toc214456566"/>
      <w:bookmarkStart w:id="661" w:name="_Toc210833663"/>
      <w:bookmarkStart w:id="662" w:name="_Toc221088046"/>
      <w:bookmarkStart w:id="663" w:name="_Toc210029716"/>
      <w:bookmarkStart w:id="664" w:name="_Toc173428307"/>
      <w:r w:rsidRPr="00261C59">
        <w:rPr>
          <w:rFonts w:ascii="Corbel" w:hAnsi="Corbel"/>
          <w:color w:val="3D4B67"/>
          <w:sz w:val="28"/>
        </w:rPr>
        <w:t>Strengthening patient safety and improving quality of care</w:t>
      </w:r>
      <w:bookmarkEnd w:id="658"/>
      <w:bookmarkEnd w:id="659"/>
      <w:bookmarkEnd w:id="660"/>
      <w:bookmarkEnd w:id="661"/>
      <w:bookmarkEnd w:id="662"/>
      <w:r w:rsidRPr="00261C59">
        <w:rPr>
          <w:rFonts w:ascii="Corbel" w:hAnsi="Corbel"/>
          <w:color w:val="3D4B67"/>
          <w:sz w:val="28"/>
        </w:rPr>
        <w:t xml:space="preserve"> </w:t>
      </w:r>
      <w:bookmarkEnd w:id="663"/>
    </w:p>
    <w:p w14:paraId="4A4AA6E6" w14:textId="217C8DFD" w:rsidR="00BA3053" w:rsidRPr="00261C59" w:rsidRDefault="00BA3053" w:rsidP="004728D9">
      <w:pPr>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Australia’s public hospitals and health services deliver safe, high-quality care but there are opportunities to improve. Developing standards for national hospital discharge information, continuing to reduce Sentinel Events, Hospital Acquired Complications (HACs), Avoidable Hospital Readmissions (AHRs), and reducing low-value care, while also increasing the amount of high-value care delivered, will improve patient safety, health outcomes and efficiency in the health system.  </w:t>
      </w:r>
      <w:bookmarkEnd w:id="664"/>
    </w:p>
    <w:p w14:paraId="2CF1A191" w14:textId="77777777" w:rsidR="00BA3053" w:rsidRPr="00261C59" w:rsidRDefault="00BA3053" w:rsidP="00830547">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The ACSQHC and the IHACPA are primarily responsible for maintaining and curating safety, quality and value measures implemented under this Addendum (see Schedule I).</w:t>
      </w:r>
    </w:p>
    <w:p w14:paraId="4CD0139D" w14:textId="77777777" w:rsidR="00BA3053" w:rsidRPr="00261C59" w:rsidRDefault="00BA3053" w:rsidP="004647EF">
      <w:pPr>
        <w:keepLines/>
        <w:numPr>
          <w:ilvl w:val="1"/>
          <w:numId w:val="248"/>
        </w:numPr>
        <w:spacing w:after="240" w:line="260" w:lineRule="exact"/>
        <w:ind w:left="1077" w:hanging="357"/>
        <w:jc w:val="left"/>
        <w:rPr>
          <w:rFonts w:asciiTheme="minorHAnsi" w:hAnsiTheme="minorHAnsi" w:cstheme="minorBidi"/>
          <w:sz w:val="24"/>
          <w:szCs w:val="24"/>
        </w:rPr>
      </w:pPr>
      <w:r w:rsidRPr="00261C59">
        <w:rPr>
          <w:rFonts w:asciiTheme="minorHAnsi" w:hAnsiTheme="minorHAnsi" w:cstheme="minorBidi"/>
          <w:sz w:val="24"/>
          <w:szCs w:val="24"/>
        </w:rPr>
        <w:t>Criteria for ongoing measures addressing Sentinel Events, HACs and AHRs established in the 2017-20 and 2020-25 Addenda are specified in Appendix B.</w:t>
      </w:r>
    </w:p>
    <w:p w14:paraId="658D4300" w14:textId="77777777" w:rsidR="00BA3053" w:rsidRPr="00261C59" w:rsidRDefault="00BA3053" w:rsidP="00830547">
      <w:pPr>
        <w:keepNext/>
        <w:numPr>
          <w:ilvl w:val="1"/>
          <w:numId w:val="248"/>
        </w:numPr>
        <w:spacing w:after="240" w:line="260" w:lineRule="exact"/>
        <w:jc w:val="left"/>
        <w:rPr>
          <w:rFonts w:asciiTheme="minorHAnsi" w:hAnsiTheme="minorHAnsi" w:cstheme="minorBidi"/>
          <w:sz w:val="24"/>
          <w:szCs w:val="24"/>
        </w:rPr>
      </w:pPr>
      <w:r w:rsidRPr="00261C59">
        <w:rPr>
          <w:rFonts w:asciiTheme="minorHAnsi" w:hAnsiTheme="minorHAnsi" w:cstheme="minorBidi"/>
          <w:sz w:val="24"/>
          <w:szCs w:val="24"/>
        </w:rPr>
        <w:t>The Parties agree to promptly provide any relevant input and advice, including relevant data if requested by the ACSQHC, to support any safety, quality and value related work under this Addendum. </w:t>
      </w:r>
    </w:p>
    <w:p w14:paraId="77505673" w14:textId="425FE84B" w:rsidR="00BA3053" w:rsidRPr="00261C59" w:rsidRDefault="00BA3053" w:rsidP="004728D9">
      <w:pPr>
        <w:widowControl/>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HMM will oversee the continued development, implementation, and ongoing refinement of reforms to integrate safety, quality and value into the pricing and funding of public hospitals and health services (clauses A</w:t>
      </w:r>
      <w:r w:rsidR="00C80EBB" w:rsidRPr="00261C59">
        <w:rPr>
          <w:rFonts w:asciiTheme="minorHAnsi" w:eastAsia="Calibri" w:hAnsiTheme="minorHAnsi" w:cstheme="minorBidi"/>
          <w:sz w:val="24"/>
          <w:szCs w:val="24"/>
        </w:rPr>
        <w:t>84</w:t>
      </w:r>
      <w:r w:rsidRPr="00261C59">
        <w:rPr>
          <w:rFonts w:asciiTheme="minorHAnsi" w:eastAsia="Calibri" w:hAnsiTheme="minorHAnsi" w:cstheme="minorBidi"/>
          <w:sz w:val="24"/>
          <w:szCs w:val="24"/>
        </w:rPr>
        <w:t xml:space="preserve"> to A</w:t>
      </w:r>
      <w:r w:rsidR="00537E15" w:rsidRPr="00261C59">
        <w:rPr>
          <w:rFonts w:asciiTheme="minorHAnsi" w:eastAsia="Calibri" w:hAnsiTheme="minorHAnsi" w:cstheme="minorBidi"/>
          <w:sz w:val="24"/>
          <w:szCs w:val="24"/>
        </w:rPr>
        <w:t>97</w:t>
      </w:r>
      <w:r w:rsidRPr="00261C59">
        <w:rPr>
          <w:rFonts w:asciiTheme="minorHAnsi" w:eastAsia="Calibri" w:hAnsiTheme="minorHAnsi" w:cstheme="minorBidi"/>
          <w:sz w:val="24"/>
          <w:szCs w:val="24"/>
        </w:rPr>
        <w:t xml:space="preserve"> and Appendix B), including:</w:t>
      </w:r>
    </w:p>
    <w:p w14:paraId="601178DB" w14:textId="47593583" w:rsidR="00BA3053" w:rsidRPr="00261C59" w:rsidRDefault="006C010C" w:rsidP="5FFAE3C0">
      <w:pPr>
        <w:keepNext/>
        <w:numPr>
          <w:ilvl w:val="1"/>
          <w:numId w:val="247"/>
        </w:numPr>
        <w:spacing w:after="240" w:line="260" w:lineRule="exact"/>
        <w:jc w:val="left"/>
        <w:rPr>
          <w:rFonts w:asciiTheme="minorHAnsi" w:hAnsiTheme="minorHAnsi" w:cstheme="minorBidi"/>
          <w:sz w:val="24"/>
          <w:szCs w:val="24"/>
        </w:rPr>
      </w:pPr>
      <w:r>
        <w:rPr>
          <w:rFonts w:asciiTheme="minorHAnsi" w:hAnsiTheme="minorHAnsi" w:cstheme="minorBidi"/>
          <w:sz w:val="24"/>
          <w:szCs w:val="24"/>
        </w:rPr>
        <w:t>r</w:t>
      </w:r>
      <w:r w:rsidR="00BA3053" w:rsidRPr="5FFAE3C0">
        <w:rPr>
          <w:rFonts w:asciiTheme="minorHAnsi" w:hAnsiTheme="minorHAnsi" w:cstheme="minorBidi"/>
          <w:sz w:val="24"/>
          <w:szCs w:val="24"/>
        </w:rPr>
        <w:t>eceiving advice from National Bodies on pricing and funding approaches, including shadow approaches, for value-based pricing adjustments</w:t>
      </w:r>
      <w:r w:rsidR="16AA1169" w:rsidRPr="5FFAE3C0">
        <w:rPr>
          <w:rFonts w:asciiTheme="minorHAnsi" w:hAnsiTheme="minorHAnsi" w:cstheme="minorBidi"/>
          <w:sz w:val="24"/>
          <w:szCs w:val="24"/>
        </w:rPr>
        <w:t>.</w:t>
      </w:r>
    </w:p>
    <w:p w14:paraId="195645CC" w14:textId="366881D6" w:rsidR="00BA3053" w:rsidRPr="00261C59" w:rsidRDefault="006C010C" w:rsidP="004728D9">
      <w:pPr>
        <w:widowControl/>
        <w:numPr>
          <w:ilvl w:val="1"/>
          <w:numId w:val="247"/>
        </w:numPr>
        <w:spacing w:after="240" w:line="260" w:lineRule="exact"/>
        <w:ind w:left="1077" w:hanging="357"/>
        <w:jc w:val="left"/>
        <w:rPr>
          <w:rFonts w:asciiTheme="minorHAnsi" w:hAnsiTheme="minorHAnsi" w:cstheme="minorBidi"/>
          <w:sz w:val="24"/>
          <w:szCs w:val="24"/>
        </w:rPr>
      </w:pPr>
      <w:r>
        <w:rPr>
          <w:rFonts w:asciiTheme="minorHAnsi" w:hAnsiTheme="minorHAnsi" w:cstheme="minorBidi"/>
          <w:sz w:val="24"/>
          <w:szCs w:val="24"/>
        </w:rPr>
        <w:t>f</w:t>
      </w:r>
      <w:r w:rsidR="00BA3053" w:rsidRPr="00261C59">
        <w:rPr>
          <w:rFonts w:asciiTheme="minorHAnsi" w:hAnsiTheme="minorHAnsi" w:cstheme="minorBidi"/>
          <w:sz w:val="24"/>
          <w:szCs w:val="24"/>
        </w:rPr>
        <w:t>inal approval of the Sentinel Events, HACs, AHRs, low-value care and high-value care lists for funding and pricing purposes. </w:t>
      </w:r>
    </w:p>
    <w:p w14:paraId="1DC06D97" w14:textId="0A11A1EE" w:rsidR="00BA3053" w:rsidRPr="00261C59" w:rsidRDefault="00BA3053" w:rsidP="004728D9">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The Parties agree to work with the ACSQHC, the Reform Collaboration, other National Bodies and other stakeholders to progress broader safety and quality reforms. This includes the review of safety and quality measures (clauses D5</w:t>
      </w:r>
      <w:r w:rsidR="00AF2A85" w:rsidRPr="00261C59">
        <w:rPr>
          <w:rFonts w:asciiTheme="minorHAnsi" w:eastAsia="Calibri" w:hAnsiTheme="minorHAnsi" w:cstheme="minorBidi"/>
          <w:sz w:val="24"/>
          <w:szCs w:val="24"/>
        </w:rPr>
        <w:t>1</w:t>
      </w:r>
      <w:r w:rsidRPr="00261C59">
        <w:rPr>
          <w:rFonts w:asciiTheme="minorHAnsi" w:eastAsia="Calibri" w:hAnsiTheme="minorHAnsi" w:cstheme="minorBidi"/>
          <w:sz w:val="24"/>
          <w:szCs w:val="24"/>
        </w:rPr>
        <w:t xml:space="preserve"> to D5</w:t>
      </w:r>
      <w:r w:rsidR="00AF2A85" w:rsidRPr="00261C59">
        <w:rPr>
          <w:rFonts w:asciiTheme="minorHAnsi" w:eastAsia="Calibri" w:hAnsiTheme="minorHAnsi" w:cstheme="minorBidi"/>
          <w:sz w:val="24"/>
          <w:szCs w:val="24"/>
        </w:rPr>
        <w:t>5</w:t>
      </w:r>
      <w:r w:rsidRPr="00261C59">
        <w:rPr>
          <w:rFonts w:asciiTheme="minorHAnsi" w:eastAsia="Calibri" w:hAnsiTheme="minorHAnsi" w:cstheme="minorBidi"/>
          <w:sz w:val="24"/>
          <w:szCs w:val="24"/>
        </w:rPr>
        <w:t>) and using discharge summaries to improve quality (clauses D4</w:t>
      </w:r>
      <w:r w:rsidR="00AF2A85" w:rsidRPr="00261C59">
        <w:rPr>
          <w:rFonts w:asciiTheme="minorHAnsi" w:eastAsia="Calibri" w:hAnsiTheme="minorHAnsi" w:cstheme="minorBidi"/>
          <w:sz w:val="24"/>
          <w:szCs w:val="24"/>
        </w:rPr>
        <w:t>4</w:t>
      </w:r>
      <w:r w:rsidRPr="00261C59">
        <w:rPr>
          <w:rFonts w:asciiTheme="minorHAnsi" w:eastAsia="Calibri" w:hAnsiTheme="minorHAnsi" w:cstheme="minorBidi"/>
          <w:sz w:val="24"/>
          <w:szCs w:val="24"/>
        </w:rPr>
        <w:t xml:space="preserve"> to D4</w:t>
      </w:r>
      <w:r w:rsidR="00AF2A85" w:rsidRPr="00261C59">
        <w:rPr>
          <w:rFonts w:asciiTheme="minorHAnsi" w:eastAsia="Calibri" w:hAnsiTheme="minorHAnsi" w:cstheme="minorBidi"/>
          <w:sz w:val="24"/>
          <w:szCs w:val="24"/>
        </w:rPr>
        <w:t>8</w:t>
      </w:r>
      <w:r w:rsidRPr="00261C59">
        <w:rPr>
          <w:rFonts w:asciiTheme="minorHAnsi" w:eastAsia="Calibri" w:hAnsiTheme="minorHAnsi" w:cstheme="minorBidi"/>
          <w:sz w:val="24"/>
          <w:szCs w:val="24"/>
        </w:rPr>
        <w:t xml:space="preserve">). </w:t>
      </w:r>
    </w:p>
    <w:p w14:paraId="7A390275" w14:textId="77777777" w:rsidR="00BA3053" w:rsidRPr="00261C59" w:rsidRDefault="00BA3053" w:rsidP="004728D9">
      <w:pPr>
        <w:pStyle w:val="Heading3"/>
        <w:keepNext/>
        <w:widowControl/>
        <w:adjustRightInd/>
        <w:spacing w:before="0" w:after="120"/>
        <w:ind w:left="0"/>
        <w:jc w:val="left"/>
        <w:textAlignment w:val="auto"/>
        <w:rPr>
          <w:rFonts w:ascii="Corbel" w:hAnsi="Corbel"/>
          <w:color w:val="3D4B67"/>
          <w:sz w:val="28"/>
        </w:rPr>
      </w:pPr>
      <w:bookmarkStart w:id="665" w:name="_Toc210029717"/>
      <w:bookmarkStart w:id="666" w:name="_Toc214456567"/>
      <w:bookmarkStart w:id="667" w:name="_Toc221088047"/>
      <w:r w:rsidRPr="00261C59">
        <w:rPr>
          <w:rFonts w:ascii="Corbel" w:hAnsi="Corbel"/>
          <w:b w:val="0"/>
          <w:color w:val="3D4B67"/>
          <w:sz w:val="28"/>
        </w:rPr>
        <w:t>Using discharge summaries to improve quality</w:t>
      </w:r>
      <w:bookmarkEnd w:id="665"/>
      <w:bookmarkEnd w:id="666"/>
      <w:bookmarkEnd w:id="667"/>
      <w:r w:rsidRPr="00261C59">
        <w:rPr>
          <w:rFonts w:ascii="Corbel" w:hAnsi="Corbel"/>
          <w:b w:val="0"/>
          <w:color w:val="3D4B67"/>
          <w:sz w:val="28"/>
        </w:rPr>
        <w:t xml:space="preserve"> </w:t>
      </w:r>
    </w:p>
    <w:p w14:paraId="78204314" w14:textId="77777777" w:rsidR="00BA3053" w:rsidRPr="00261C59" w:rsidRDefault="00BA3053" w:rsidP="00830547">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Nationally consistent hospital discharge information is critical to patient safety and continuity of care. </w:t>
      </w:r>
    </w:p>
    <w:p w14:paraId="08BA4AC8" w14:textId="05858105" w:rsidR="00BA3053" w:rsidRPr="00261C59" w:rsidRDefault="00BA3053" w:rsidP="00830547">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All Parties agree to enable the sharing of high-quality hospital discharge information at clinical transfer of care to enhance safety and quality outcomes, reduce medication errors, and reduce preventable hospitals admissions in line with Schedule C and </w:t>
      </w:r>
      <w:r w:rsidR="00AF2A85" w:rsidRPr="00261C59">
        <w:rPr>
          <w:rFonts w:asciiTheme="minorHAnsi" w:eastAsia="Calibri" w:hAnsiTheme="minorHAnsi" w:cstheme="minorBidi"/>
          <w:sz w:val="24"/>
          <w:szCs w:val="24"/>
        </w:rPr>
        <w:br/>
      </w:r>
      <w:r w:rsidRPr="00261C59">
        <w:rPr>
          <w:rFonts w:asciiTheme="minorHAnsi" w:eastAsia="Calibri" w:hAnsiTheme="minorHAnsi" w:cstheme="minorBidi"/>
          <w:sz w:val="24"/>
          <w:szCs w:val="24"/>
        </w:rPr>
        <w:t>Schedule H.</w:t>
      </w:r>
    </w:p>
    <w:p w14:paraId="6DD39F83" w14:textId="34E313BF" w:rsidR="00BA3053" w:rsidRPr="00261C59" w:rsidRDefault="00BA3053" w:rsidP="00830547">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The ACSQHC has identified concerns</w:t>
      </w:r>
      <w:r w:rsidRPr="00261C59">
        <w:rPr>
          <w:rFonts w:asciiTheme="minorHAnsi" w:eastAsia="Calibri" w:hAnsiTheme="minorHAnsi" w:cstheme="minorBidi"/>
          <w:color w:val="000000" w:themeColor="text1"/>
          <w:sz w:val="24"/>
          <w:szCs w:val="24"/>
        </w:rPr>
        <w:t xml:space="preserve"> regarding content, quality, outdated paper-based modes of transmission and the timeliness of sharing discharge information</w:t>
      </w:r>
      <w:r w:rsidRPr="00261C59">
        <w:rPr>
          <w:rStyle w:val="FootnoteReference"/>
          <w:rFonts w:asciiTheme="minorHAnsi" w:eastAsia="Calibri" w:hAnsiTheme="minorHAnsi" w:cstheme="minorBidi"/>
          <w:color w:val="000000" w:themeColor="text1"/>
          <w:sz w:val="24"/>
          <w:szCs w:val="24"/>
        </w:rPr>
        <w:footnoteReference w:id="3"/>
      </w:r>
      <w:r w:rsidRPr="00261C59">
        <w:rPr>
          <w:rFonts w:asciiTheme="minorHAnsi" w:eastAsia="Calibri" w:hAnsiTheme="minorHAnsi" w:cstheme="minorBidi"/>
          <w:color w:val="000000" w:themeColor="text1"/>
          <w:sz w:val="24"/>
          <w:szCs w:val="24"/>
        </w:rPr>
        <w:t>. These concerns include gaps for carers in community</w:t>
      </w:r>
      <w:r w:rsidRPr="00261C59">
        <w:rPr>
          <w:rFonts w:eastAsia="Calibri" w:cs="Calibri"/>
          <w:color w:val="000000" w:themeColor="text1"/>
          <w:sz w:val="22"/>
          <w:szCs w:val="22"/>
        </w:rPr>
        <w:t xml:space="preserve"> </w:t>
      </w:r>
      <w:r w:rsidRPr="00261C59">
        <w:rPr>
          <w:rFonts w:asciiTheme="minorHAnsi" w:eastAsia="Calibri" w:hAnsiTheme="minorHAnsi" w:cstheme="minorBidi"/>
          <w:color w:val="000000" w:themeColor="text1"/>
          <w:sz w:val="24"/>
          <w:szCs w:val="24"/>
        </w:rPr>
        <w:t>settings and other care sectors, which contribute to quality and safety risks for patients.</w:t>
      </w:r>
    </w:p>
    <w:p w14:paraId="6A9B6204" w14:textId="77777777" w:rsidR="00BA3053" w:rsidRPr="00261C59" w:rsidRDefault="00BA3053" w:rsidP="00830547">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The ACSQHC will work with the Parties, National Bodies and related stakeholders, including ACCHOs, to build on existing guidelines and develop standards for hospital discharge information for approval by HCEF by 30 June 2027. These standards should: </w:t>
      </w:r>
    </w:p>
    <w:p w14:paraId="660C365A" w14:textId="27EC2D22" w:rsidR="00BA3053" w:rsidRPr="00261C59" w:rsidRDefault="00BA3053" w:rsidP="5FFAE3C0">
      <w:pPr>
        <w:keepNext/>
        <w:numPr>
          <w:ilvl w:val="1"/>
          <w:numId w:val="258"/>
        </w:numPr>
        <w:adjustRightInd/>
        <w:spacing w:after="240" w:line="260" w:lineRule="exact"/>
        <w:jc w:val="left"/>
        <w:textAlignment w:val="auto"/>
        <w:rPr>
          <w:rFonts w:asciiTheme="minorHAnsi" w:eastAsia="Calibri" w:hAnsiTheme="minorHAnsi" w:cstheme="minorBidi"/>
          <w:sz w:val="24"/>
          <w:szCs w:val="24"/>
        </w:rPr>
      </w:pPr>
      <w:r w:rsidRPr="5FFAE3C0">
        <w:rPr>
          <w:rFonts w:asciiTheme="minorHAnsi" w:eastAsia="Calibri" w:hAnsiTheme="minorHAnsi" w:cstheme="minorBidi"/>
          <w:sz w:val="24"/>
          <w:szCs w:val="24"/>
        </w:rPr>
        <w:t>expand on relevant National Safety and Quality Health Service Standards</w:t>
      </w:r>
    </w:p>
    <w:p w14:paraId="7D8E010B" w14:textId="77777777" w:rsidR="00BA3053" w:rsidRPr="00261C59" w:rsidRDefault="00BA3053" w:rsidP="004728D9">
      <w:pPr>
        <w:numPr>
          <w:ilvl w:val="1"/>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consider, but not be limited to, relevant recommendations from the Royal Commission into Aged Care Quality and Safety, and the Royal Commission into Violence, Abuse, Neglect and Exploitation of People with Disability.  </w:t>
      </w:r>
    </w:p>
    <w:p w14:paraId="4BCB07D8" w14:textId="77777777" w:rsidR="00BA3053" w:rsidRPr="00261C59" w:rsidRDefault="00BA3053" w:rsidP="00830547">
      <w:pPr>
        <w:widowControl/>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Following HCEF approval, Parties will agree a coordinated implementation approach and priorities for all patients by 30 June 2028, for adoption by the end of this Addendum. </w:t>
      </w:r>
    </w:p>
    <w:p w14:paraId="46F8C541" w14:textId="77777777" w:rsidR="00BA3053" w:rsidRPr="00261C59" w:rsidRDefault="00BA3053" w:rsidP="00AE2BC5">
      <w:pPr>
        <w:numPr>
          <w:ilvl w:val="1"/>
          <w:numId w:val="250"/>
        </w:numPr>
        <w:spacing w:after="240" w:line="260" w:lineRule="exact"/>
        <w:ind w:left="1077" w:hanging="357"/>
        <w:jc w:val="left"/>
        <w:rPr>
          <w:rFonts w:asciiTheme="minorHAnsi" w:eastAsiaTheme="majorEastAsia" w:hAnsiTheme="minorHAnsi" w:cstheme="minorBidi"/>
          <w:sz w:val="24"/>
          <w:szCs w:val="24"/>
        </w:rPr>
      </w:pPr>
      <w:r w:rsidRPr="00261C59">
        <w:rPr>
          <w:rFonts w:asciiTheme="minorHAnsi" w:eastAsiaTheme="majorEastAsia" w:hAnsiTheme="minorHAnsi" w:cstheme="minorBidi"/>
          <w:sz w:val="24"/>
          <w:szCs w:val="24"/>
        </w:rPr>
        <w:t>Hospital discharge information should be accessible to GPs, patients, carers and families, residential aged care homes, ACCHOs and relevant health and care providers through digital channels, including via a patient’s My Health Record.</w:t>
      </w:r>
    </w:p>
    <w:p w14:paraId="50B43C02" w14:textId="77777777" w:rsidR="00BA3053" w:rsidRPr="00261C59" w:rsidRDefault="00BA3053" w:rsidP="00BA3053">
      <w:pPr>
        <w:pStyle w:val="Heading3"/>
        <w:keepNext/>
        <w:widowControl/>
        <w:adjustRightInd/>
        <w:spacing w:before="0" w:after="120"/>
        <w:ind w:left="0"/>
        <w:jc w:val="left"/>
        <w:textAlignment w:val="auto"/>
        <w:rPr>
          <w:rFonts w:ascii="Corbel" w:eastAsia="Times New Roman" w:hAnsi="Corbel"/>
          <w:b w:val="0"/>
          <w:bCs w:val="0"/>
          <w:color w:val="3D4B67"/>
          <w:sz w:val="28"/>
          <w:szCs w:val="28"/>
          <w:lang w:eastAsia="ja-JP"/>
        </w:rPr>
      </w:pPr>
      <w:bookmarkStart w:id="668" w:name="_Toc210029718"/>
      <w:bookmarkStart w:id="669" w:name="_Toc214456568"/>
      <w:bookmarkStart w:id="670" w:name="_Toc221088048"/>
      <w:bookmarkStart w:id="671" w:name="_Toc172721006"/>
      <w:r w:rsidRPr="00261C59">
        <w:rPr>
          <w:rFonts w:ascii="Corbel" w:eastAsia="Times New Roman" w:hAnsi="Corbel"/>
          <w:b w:val="0"/>
          <w:bCs w:val="0"/>
          <w:color w:val="3D4B67"/>
          <w:sz w:val="28"/>
          <w:szCs w:val="28"/>
          <w:lang w:eastAsia="ja-JP"/>
        </w:rPr>
        <w:t>Reporting for safety, quality and value</w:t>
      </w:r>
      <w:bookmarkEnd w:id="668"/>
      <w:bookmarkEnd w:id="669"/>
      <w:bookmarkEnd w:id="670"/>
      <w:r w:rsidRPr="00261C59">
        <w:rPr>
          <w:rFonts w:ascii="Corbel" w:eastAsia="Times New Roman" w:hAnsi="Corbel"/>
          <w:b w:val="0"/>
          <w:bCs w:val="0"/>
          <w:color w:val="3D4B67"/>
          <w:sz w:val="28"/>
          <w:szCs w:val="28"/>
          <w:lang w:eastAsia="ja-JP"/>
        </w:rPr>
        <w:t xml:space="preserve"> </w:t>
      </w:r>
    </w:p>
    <w:p w14:paraId="2D6EFA0F" w14:textId="180ABD1F" w:rsidR="00BA3053" w:rsidRPr="00261C59" w:rsidRDefault="00BA3053" w:rsidP="00830547">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States will</w:t>
      </w:r>
      <w:r w:rsidR="004770BA" w:rsidRPr="00261C59">
        <w:rPr>
          <w:rFonts w:asciiTheme="minorHAnsi" w:eastAsia="Calibri" w:hAnsiTheme="minorHAnsi" w:cstheme="minorBidi"/>
          <w:sz w:val="24"/>
          <w:szCs w:val="24"/>
        </w:rPr>
        <w:t xml:space="preserve"> </w:t>
      </w:r>
      <w:r w:rsidRPr="00261C59">
        <w:rPr>
          <w:rFonts w:asciiTheme="minorHAnsi" w:eastAsia="Calibri" w:hAnsiTheme="minorHAnsi" w:cstheme="minorBidi"/>
          <w:sz w:val="24"/>
          <w:szCs w:val="24"/>
        </w:rPr>
        <w:t xml:space="preserve">provide the following data to the ACSQHC and IHACPA, within nine months of the end of each financial year, on the outcomes of implementing safety, quality, and value-based initiatives. ACSQHC will develop a reporting template </w:t>
      </w:r>
      <w:r w:rsidR="006E13EA" w:rsidRPr="00261C59">
        <w:rPr>
          <w:rFonts w:asciiTheme="minorHAnsi" w:eastAsia="Calibri" w:hAnsiTheme="minorHAnsi" w:cstheme="minorBidi"/>
          <w:sz w:val="24"/>
          <w:szCs w:val="24"/>
        </w:rPr>
        <w:t xml:space="preserve">in consultation with </w:t>
      </w:r>
      <w:r w:rsidR="009C0574" w:rsidRPr="00261C59">
        <w:rPr>
          <w:rFonts w:asciiTheme="minorHAnsi" w:eastAsia="Calibri" w:hAnsiTheme="minorHAnsi" w:cstheme="minorBidi"/>
          <w:sz w:val="24"/>
          <w:szCs w:val="24"/>
        </w:rPr>
        <w:t>the Parties</w:t>
      </w:r>
      <w:r w:rsidR="0019484E" w:rsidRPr="00261C59">
        <w:rPr>
          <w:rFonts w:asciiTheme="minorHAnsi" w:eastAsia="Calibri" w:hAnsiTheme="minorHAnsi" w:cstheme="minorBidi"/>
          <w:sz w:val="24"/>
          <w:szCs w:val="24"/>
        </w:rPr>
        <w:t xml:space="preserve"> </w:t>
      </w:r>
      <w:r w:rsidRPr="00261C59">
        <w:rPr>
          <w:rFonts w:asciiTheme="minorHAnsi" w:eastAsia="Calibri" w:hAnsiTheme="minorHAnsi" w:cstheme="minorBidi"/>
          <w:sz w:val="24"/>
          <w:szCs w:val="24"/>
        </w:rPr>
        <w:t>by 30 June 2027 to collate this information and provide reports to HMM annually, including:</w:t>
      </w:r>
    </w:p>
    <w:p w14:paraId="157BE96B" w14:textId="4D587C4B" w:rsidR="00BA3053" w:rsidRPr="00261C59" w:rsidRDefault="45C68F93" w:rsidP="5FFAE3C0">
      <w:pPr>
        <w:keepNext/>
        <w:numPr>
          <w:ilvl w:val="1"/>
          <w:numId w:val="251"/>
        </w:numPr>
        <w:spacing w:after="240" w:line="260" w:lineRule="exact"/>
        <w:jc w:val="left"/>
        <w:rPr>
          <w:rFonts w:asciiTheme="minorHAnsi" w:eastAsia="Calibri" w:hAnsiTheme="minorHAnsi" w:cstheme="minorBidi"/>
          <w:sz w:val="24"/>
          <w:szCs w:val="24"/>
        </w:rPr>
      </w:pPr>
      <w:r w:rsidRPr="5FFAE3C0">
        <w:rPr>
          <w:rFonts w:asciiTheme="minorHAnsi" w:eastAsia="Calibri" w:hAnsiTheme="minorHAnsi" w:cstheme="minorBidi"/>
          <w:sz w:val="24"/>
          <w:szCs w:val="24"/>
        </w:rPr>
        <w:t>r</w:t>
      </w:r>
      <w:r w:rsidR="00BA3053" w:rsidRPr="5FFAE3C0">
        <w:rPr>
          <w:rFonts w:asciiTheme="minorHAnsi" w:eastAsia="Calibri" w:hAnsiTheme="minorHAnsi" w:cstheme="minorBidi"/>
          <w:sz w:val="24"/>
          <w:szCs w:val="24"/>
        </w:rPr>
        <w:t>ates of Sentinel Events, HACs and AHRs</w:t>
      </w:r>
    </w:p>
    <w:p w14:paraId="4DB66ACA" w14:textId="55BF56B2" w:rsidR="00BA3053" w:rsidRPr="00261C59" w:rsidRDefault="33C3E85E" w:rsidP="5FFAE3C0">
      <w:pPr>
        <w:widowControl/>
        <w:numPr>
          <w:ilvl w:val="1"/>
          <w:numId w:val="251"/>
        </w:numPr>
        <w:spacing w:after="240" w:line="260" w:lineRule="exact"/>
        <w:ind w:left="1077" w:hanging="357"/>
        <w:jc w:val="left"/>
        <w:rPr>
          <w:rFonts w:asciiTheme="minorHAnsi" w:eastAsia="Calibri" w:hAnsiTheme="minorHAnsi" w:cstheme="minorBidi"/>
          <w:sz w:val="24"/>
          <w:szCs w:val="24"/>
        </w:rPr>
      </w:pPr>
      <w:r w:rsidRPr="5FFAE3C0">
        <w:rPr>
          <w:rFonts w:asciiTheme="minorHAnsi" w:eastAsia="Calibri" w:hAnsiTheme="minorHAnsi" w:cstheme="minorBidi"/>
          <w:sz w:val="24"/>
          <w:szCs w:val="24"/>
        </w:rPr>
        <w:t>o</w:t>
      </w:r>
      <w:r w:rsidR="00BA3053" w:rsidRPr="5FFAE3C0">
        <w:rPr>
          <w:rFonts w:asciiTheme="minorHAnsi" w:eastAsia="Calibri" w:hAnsiTheme="minorHAnsi" w:cstheme="minorBidi"/>
          <w:sz w:val="24"/>
          <w:szCs w:val="24"/>
        </w:rPr>
        <w:t>nce lists are developed, rates of low-value care and high-value care to support further safety and quality improvements  </w:t>
      </w:r>
    </w:p>
    <w:p w14:paraId="6A2B94B5" w14:textId="325DE634" w:rsidR="00BA3053" w:rsidRPr="00261C59" w:rsidRDefault="544B9071" w:rsidP="5FFAE3C0">
      <w:pPr>
        <w:widowControl/>
        <w:numPr>
          <w:ilvl w:val="1"/>
          <w:numId w:val="251"/>
        </w:numPr>
        <w:spacing w:after="240" w:line="260" w:lineRule="exact"/>
        <w:ind w:left="1077" w:hanging="357"/>
        <w:jc w:val="left"/>
        <w:rPr>
          <w:rFonts w:asciiTheme="minorHAnsi" w:hAnsiTheme="minorHAnsi" w:cstheme="minorBidi"/>
          <w:sz w:val="24"/>
          <w:szCs w:val="24"/>
        </w:rPr>
      </w:pPr>
      <w:r w:rsidRPr="5FFAE3C0">
        <w:rPr>
          <w:rFonts w:asciiTheme="minorHAnsi" w:hAnsiTheme="minorHAnsi" w:cstheme="minorBidi"/>
          <w:sz w:val="24"/>
          <w:szCs w:val="24"/>
        </w:rPr>
        <w:t>i</w:t>
      </w:r>
      <w:r w:rsidR="00BA3053" w:rsidRPr="5FFAE3C0">
        <w:rPr>
          <w:rFonts w:asciiTheme="minorHAnsi" w:hAnsiTheme="minorHAnsi" w:cstheme="minorBidi"/>
          <w:sz w:val="24"/>
          <w:szCs w:val="24"/>
        </w:rPr>
        <w:t xml:space="preserve">nformation on the financial impacts of any safety, quality and value-based pricing adjustments (both those contained in the national funding model, and any implemented by States) at the State level and LHN level </w:t>
      </w:r>
    </w:p>
    <w:p w14:paraId="24F4CEFA" w14:textId="3F5AF082" w:rsidR="00BA3053" w:rsidRPr="00261C59" w:rsidRDefault="3C326733" w:rsidP="5FFAE3C0">
      <w:pPr>
        <w:keepNext/>
        <w:numPr>
          <w:ilvl w:val="1"/>
          <w:numId w:val="251"/>
        </w:numPr>
        <w:spacing w:after="240" w:line="260" w:lineRule="exact"/>
        <w:jc w:val="left"/>
        <w:rPr>
          <w:rFonts w:asciiTheme="minorHAnsi" w:hAnsiTheme="minorHAnsi" w:cstheme="minorBidi"/>
          <w:sz w:val="24"/>
          <w:szCs w:val="24"/>
        </w:rPr>
      </w:pPr>
      <w:r w:rsidRPr="5FFAE3C0">
        <w:rPr>
          <w:rFonts w:asciiTheme="minorHAnsi" w:hAnsiTheme="minorHAnsi" w:cstheme="minorBidi"/>
          <w:sz w:val="24"/>
          <w:szCs w:val="24"/>
        </w:rPr>
        <w:t>a</w:t>
      </w:r>
      <w:r w:rsidR="00BA3053" w:rsidRPr="5FFAE3C0">
        <w:rPr>
          <w:rFonts w:asciiTheme="minorHAnsi" w:hAnsiTheme="minorHAnsi" w:cstheme="minorBidi"/>
          <w:sz w:val="24"/>
          <w:szCs w:val="24"/>
        </w:rPr>
        <w:t>ny other relevant safety, quality, and value-based programs undertaken at state/LHN/hospital level, including any local pricing mechanisms</w:t>
      </w:r>
    </w:p>
    <w:p w14:paraId="5EB523E3" w14:textId="020DFD74" w:rsidR="00BA3053" w:rsidRPr="00261C59" w:rsidRDefault="4748AEC3" w:rsidP="5FFAE3C0">
      <w:pPr>
        <w:keepNext/>
        <w:numPr>
          <w:ilvl w:val="1"/>
          <w:numId w:val="251"/>
        </w:numPr>
        <w:spacing w:after="240" w:line="260" w:lineRule="exact"/>
        <w:jc w:val="left"/>
        <w:rPr>
          <w:rFonts w:asciiTheme="minorHAnsi" w:hAnsiTheme="minorHAnsi" w:cstheme="minorBidi"/>
          <w:sz w:val="24"/>
          <w:szCs w:val="24"/>
        </w:rPr>
      </w:pPr>
      <w:r w:rsidRPr="5FFAE3C0">
        <w:rPr>
          <w:rFonts w:asciiTheme="minorHAnsi" w:hAnsiTheme="minorHAnsi" w:cstheme="minorBidi"/>
          <w:sz w:val="24"/>
          <w:szCs w:val="24"/>
        </w:rPr>
        <w:t>d</w:t>
      </w:r>
      <w:r w:rsidR="00BA3053" w:rsidRPr="5FFAE3C0">
        <w:rPr>
          <w:rFonts w:asciiTheme="minorHAnsi" w:hAnsiTheme="minorHAnsi" w:cstheme="minorBidi"/>
          <w:sz w:val="24"/>
          <w:szCs w:val="24"/>
        </w:rPr>
        <w:t>isaggregated data for Aboriginal and Torres Strait Islander people to enable examination of potential inequities in adverse event rates</w:t>
      </w:r>
    </w:p>
    <w:p w14:paraId="662E97D9" w14:textId="3A9C1F55" w:rsidR="00BA3053" w:rsidRPr="00261C59" w:rsidRDefault="00BA3053" w:rsidP="5FFAE3C0">
      <w:pPr>
        <w:widowControl/>
        <w:numPr>
          <w:ilvl w:val="2"/>
          <w:numId w:val="258"/>
        </w:numPr>
        <w:spacing w:after="240" w:line="260" w:lineRule="exact"/>
        <w:jc w:val="left"/>
        <w:rPr>
          <w:rFonts w:asciiTheme="minorHAnsi" w:hAnsiTheme="minorHAnsi" w:cstheme="minorBidi"/>
          <w:sz w:val="24"/>
          <w:szCs w:val="24"/>
        </w:rPr>
      </w:pPr>
      <w:r w:rsidRPr="5FFAE3C0">
        <w:rPr>
          <w:rFonts w:asciiTheme="minorHAnsi" w:hAnsiTheme="minorHAnsi" w:cstheme="minorBidi"/>
          <w:sz w:val="24"/>
          <w:szCs w:val="24"/>
        </w:rPr>
        <w:t>Aboriginal and Torres Strait Islander data will be reported to the Aboriginal and Torres Strait Islander governance groups as detailed in Schedule B </w:t>
      </w:r>
    </w:p>
    <w:p w14:paraId="24845E9D" w14:textId="1C5F033C" w:rsidR="00BA3053" w:rsidRPr="00261C59" w:rsidRDefault="6A42483F" w:rsidP="5FFAE3C0">
      <w:pPr>
        <w:keepNext/>
        <w:numPr>
          <w:ilvl w:val="1"/>
          <w:numId w:val="251"/>
        </w:numPr>
        <w:spacing w:after="240" w:line="260" w:lineRule="exact"/>
        <w:jc w:val="left"/>
        <w:rPr>
          <w:rFonts w:asciiTheme="minorHAnsi" w:hAnsiTheme="minorHAnsi" w:cstheme="minorBidi"/>
          <w:sz w:val="24"/>
          <w:szCs w:val="24"/>
        </w:rPr>
      </w:pPr>
      <w:r w:rsidRPr="5FFAE3C0">
        <w:rPr>
          <w:rFonts w:asciiTheme="minorHAnsi" w:hAnsiTheme="minorHAnsi" w:cstheme="minorBidi"/>
          <w:sz w:val="24"/>
          <w:szCs w:val="24"/>
        </w:rPr>
        <w:t>s</w:t>
      </w:r>
      <w:r w:rsidR="00BA3053" w:rsidRPr="5FFAE3C0">
        <w:rPr>
          <w:rFonts w:asciiTheme="minorHAnsi" w:hAnsiTheme="minorHAnsi" w:cstheme="minorBidi"/>
          <w:sz w:val="24"/>
          <w:szCs w:val="24"/>
        </w:rPr>
        <w:t>tate compliance with data provision, if necessary.</w:t>
      </w:r>
    </w:p>
    <w:p w14:paraId="052E6D67" w14:textId="77777777" w:rsidR="00BA3053" w:rsidRPr="00261C59" w:rsidRDefault="00BA3053" w:rsidP="004728D9">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 xml:space="preserve">For the purposes of improving transparency of safety and quality in public hospitals and health services, the IHACPA will continue to publish rates of Sentinel Events, HACs, AHRs, and low-value and high-value care on the public National Benchmarking Portal on an annual basis. The ACSQHC will also publish rates by hospital of Sentinel Events, HACs, AHRs and other indicators as developed, in its Safety in Health Care web tool. </w:t>
      </w:r>
    </w:p>
    <w:p w14:paraId="6127BD04" w14:textId="77777777" w:rsidR="00BA3053" w:rsidRPr="00261C59" w:rsidRDefault="00BA3053" w:rsidP="004728D9">
      <w:pPr>
        <w:pStyle w:val="Heading3"/>
        <w:keepNext/>
        <w:widowControl/>
        <w:adjustRightInd/>
        <w:spacing w:before="0" w:after="120"/>
        <w:ind w:left="0"/>
        <w:jc w:val="left"/>
        <w:textAlignment w:val="auto"/>
        <w:rPr>
          <w:rFonts w:ascii="Corbel" w:hAnsi="Corbel"/>
          <w:b w:val="0"/>
          <w:color w:val="3D4B67"/>
          <w:sz w:val="28"/>
        </w:rPr>
      </w:pPr>
      <w:bookmarkStart w:id="672" w:name="_Toc210029719"/>
      <w:bookmarkStart w:id="673" w:name="_Toc214456569"/>
      <w:bookmarkStart w:id="674" w:name="_Toc221088049"/>
      <w:r w:rsidRPr="00261C59">
        <w:rPr>
          <w:rFonts w:ascii="Corbel" w:hAnsi="Corbel"/>
          <w:b w:val="0"/>
          <w:color w:val="3D4B67"/>
          <w:sz w:val="28"/>
        </w:rPr>
        <w:t>Review of safety and quality measures</w:t>
      </w:r>
      <w:bookmarkEnd w:id="672"/>
      <w:bookmarkEnd w:id="673"/>
      <w:bookmarkEnd w:id="674"/>
    </w:p>
    <w:p w14:paraId="4C8B2FEC" w14:textId="77777777" w:rsidR="00BA3053" w:rsidRPr="00261C59" w:rsidRDefault="00BA3053" w:rsidP="004728D9">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The Parties recognise that reviewing and refining existing safety and quality pricing mechanisms are essential to ensuring patients receive safe, high-quality care, in the right place, at the right time.</w:t>
      </w:r>
    </w:p>
    <w:p w14:paraId="12BA590A" w14:textId="77777777" w:rsidR="00BA3053" w:rsidRPr="00261C59" w:rsidRDefault="00BA3053" w:rsidP="004728D9">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The ACSQHC will work with the Parties, other National Bodies and related stakeholders, including Aboriginal and Torres Strait Islander experts (as set out in Schedule B), to review existing safety and quality measures according to the detailed parameters in Appendix B. This review will assess and propose recommendations on: </w:t>
      </w:r>
    </w:p>
    <w:p w14:paraId="11F6821E" w14:textId="79A9F4A6" w:rsidR="00BA3053" w:rsidRPr="00261C59" w:rsidRDefault="00BA3053" w:rsidP="5FFAE3C0">
      <w:pPr>
        <w:keepNext/>
        <w:numPr>
          <w:ilvl w:val="1"/>
          <w:numId w:val="249"/>
        </w:numPr>
        <w:spacing w:after="240" w:line="260" w:lineRule="exact"/>
        <w:jc w:val="left"/>
        <w:rPr>
          <w:rFonts w:asciiTheme="minorHAnsi" w:hAnsiTheme="minorHAnsi" w:cstheme="minorBidi"/>
          <w:sz w:val="24"/>
          <w:szCs w:val="24"/>
        </w:rPr>
      </w:pPr>
      <w:r w:rsidRPr="5FFAE3C0">
        <w:rPr>
          <w:rFonts w:asciiTheme="minorHAnsi" w:hAnsiTheme="minorHAnsi" w:cstheme="minorBidi"/>
          <w:sz w:val="24"/>
          <w:szCs w:val="24"/>
        </w:rPr>
        <w:t>the effectiveness of existing safety and quality indicators and pricing adjustments (Sentinel Events, HACs and AHRs) in driving improvements</w:t>
      </w:r>
    </w:p>
    <w:p w14:paraId="38EA7631" w14:textId="514C79BF" w:rsidR="00BA3053" w:rsidRPr="00261C59" w:rsidRDefault="00BA3053" w:rsidP="5FFAE3C0">
      <w:pPr>
        <w:keepNext/>
        <w:numPr>
          <w:ilvl w:val="1"/>
          <w:numId w:val="249"/>
        </w:numPr>
        <w:spacing w:after="240" w:line="260" w:lineRule="exact"/>
        <w:jc w:val="left"/>
        <w:rPr>
          <w:rFonts w:asciiTheme="minorHAnsi" w:hAnsiTheme="minorHAnsi" w:cstheme="minorBidi"/>
          <w:sz w:val="24"/>
          <w:szCs w:val="24"/>
        </w:rPr>
      </w:pPr>
      <w:r w:rsidRPr="5FFAE3C0">
        <w:rPr>
          <w:rFonts w:asciiTheme="minorHAnsi" w:hAnsiTheme="minorHAnsi" w:cstheme="minorBidi"/>
          <w:sz w:val="24"/>
          <w:szCs w:val="24"/>
        </w:rPr>
        <w:t>how to revise and strengthen existing measures</w:t>
      </w:r>
    </w:p>
    <w:p w14:paraId="15C4FF9C" w14:textId="41FF1F7C" w:rsidR="00BA3053" w:rsidRPr="00261C59" w:rsidRDefault="00BA3053" w:rsidP="5FFAE3C0">
      <w:pPr>
        <w:numPr>
          <w:ilvl w:val="1"/>
          <w:numId w:val="249"/>
        </w:numPr>
        <w:spacing w:after="240" w:line="260" w:lineRule="exact"/>
        <w:ind w:left="1077" w:hanging="357"/>
        <w:jc w:val="left"/>
        <w:rPr>
          <w:rFonts w:asciiTheme="minorHAnsi" w:hAnsiTheme="minorHAnsi" w:cstheme="minorBidi"/>
          <w:sz w:val="24"/>
          <w:szCs w:val="24"/>
        </w:rPr>
      </w:pPr>
      <w:r w:rsidRPr="5FFAE3C0">
        <w:rPr>
          <w:rFonts w:asciiTheme="minorHAnsi" w:hAnsiTheme="minorHAnsi" w:cstheme="minorBidi"/>
          <w:sz w:val="24"/>
          <w:szCs w:val="24"/>
        </w:rPr>
        <w:t>how to introduce safety and quality pricing adjustments for new payment reforms and funding streams</w:t>
      </w:r>
    </w:p>
    <w:p w14:paraId="1D7E3C9E" w14:textId="06CC9913" w:rsidR="00974E90" w:rsidRPr="00261C59" w:rsidRDefault="00AD7470" w:rsidP="5FFAE3C0">
      <w:pPr>
        <w:keepLines/>
        <w:numPr>
          <w:ilvl w:val="1"/>
          <w:numId w:val="249"/>
        </w:numPr>
        <w:spacing w:after="240" w:line="260" w:lineRule="exact"/>
        <w:ind w:left="1077" w:hanging="357"/>
        <w:jc w:val="left"/>
        <w:rPr>
          <w:rFonts w:asciiTheme="minorHAnsi" w:hAnsiTheme="minorHAnsi" w:cstheme="minorBidi"/>
          <w:sz w:val="24"/>
          <w:szCs w:val="24"/>
        </w:rPr>
      </w:pPr>
      <w:r w:rsidRPr="5FFAE3C0">
        <w:rPr>
          <w:rFonts w:asciiTheme="minorHAnsi" w:hAnsiTheme="minorHAnsi" w:cstheme="minorBidi"/>
          <w:sz w:val="24"/>
          <w:szCs w:val="24"/>
        </w:rPr>
        <w:t>driving improved safety and quality for patients through appropriate mechanisms that could support the reinvestment of pricing adjustments towards safety and quality improvement activities, if found to be effective</w:t>
      </w:r>
      <w:r w:rsidR="00E11709" w:rsidRPr="5FFAE3C0">
        <w:rPr>
          <w:rFonts w:asciiTheme="minorHAnsi" w:hAnsiTheme="minorHAnsi" w:cstheme="minorBidi"/>
          <w:sz w:val="24"/>
          <w:szCs w:val="24"/>
        </w:rPr>
        <w:t xml:space="preserve"> </w:t>
      </w:r>
    </w:p>
    <w:p w14:paraId="418EB3ED" w14:textId="7CF48082" w:rsidR="00BA3053" w:rsidRPr="00261C59" w:rsidRDefault="00BA3053" w:rsidP="5FFAE3C0">
      <w:pPr>
        <w:keepNext/>
        <w:numPr>
          <w:ilvl w:val="1"/>
          <w:numId w:val="249"/>
        </w:numPr>
        <w:spacing w:after="240" w:line="260" w:lineRule="exact"/>
        <w:jc w:val="left"/>
        <w:rPr>
          <w:rFonts w:asciiTheme="minorHAnsi" w:hAnsiTheme="minorHAnsi" w:cstheme="minorBidi"/>
          <w:sz w:val="24"/>
          <w:szCs w:val="24"/>
        </w:rPr>
      </w:pPr>
      <w:r w:rsidRPr="5FFAE3C0">
        <w:rPr>
          <w:rFonts w:asciiTheme="minorHAnsi" w:hAnsiTheme="minorHAnsi" w:cstheme="minorBidi"/>
          <w:sz w:val="24"/>
          <w:szCs w:val="24"/>
        </w:rPr>
        <w:t>whether safety, quality and/or value-based pricing mechanisms are appropriate to encourage sharing of hospital discharge summaries</w:t>
      </w:r>
    </w:p>
    <w:p w14:paraId="1A99640A" w14:textId="77777777" w:rsidR="00BA3053" w:rsidRPr="00261C59" w:rsidRDefault="00BA3053" w:rsidP="004728D9">
      <w:pPr>
        <w:numPr>
          <w:ilvl w:val="1"/>
          <w:numId w:val="249"/>
        </w:numPr>
        <w:spacing w:after="240" w:line="260" w:lineRule="exact"/>
        <w:ind w:left="1077" w:hanging="357"/>
        <w:jc w:val="left"/>
        <w:rPr>
          <w:rFonts w:asciiTheme="minorHAnsi" w:hAnsiTheme="minorHAnsi" w:cstheme="minorBidi"/>
          <w:sz w:val="24"/>
          <w:szCs w:val="24"/>
        </w:rPr>
      </w:pPr>
      <w:r w:rsidRPr="00261C59">
        <w:rPr>
          <w:rFonts w:asciiTheme="minorHAnsi" w:hAnsiTheme="minorHAnsi" w:cstheme="minorBidi"/>
          <w:sz w:val="24"/>
          <w:szCs w:val="24"/>
        </w:rPr>
        <w:t xml:space="preserve">whether reforms are driving improvement in access and outcomes for Aboriginal and Torres Strait Islander people. </w:t>
      </w:r>
    </w:p>
    <w:p w14:paraId="099F9E6A" w14:textId="3BC892C4" w:rsidR="00BA3053" w:rsidRPr="00261C59" w:rsidRDefault="00BA3053" w:rsidP="004728D9">
      <w:pPr>
        <w:widowControl/>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The terms of reference for the review will be agreed by HCEF. The ACSQHC will provide an interim progress report to HCEF by December 2026, and a final report by 30 June 2027.</w:t>
      </w:r>
    </w:p>
    <w:p w14:paraId="4B8D069F" w14:textId="699C6678" w:rsidR="00BA3053" w:rsidRPr="00261C59" w:rsidRDefault="00BA3053" w:rsidP="004728D9">
      <w:pPr>
        <w:keepNext/>
        <w:numPr>
          <w:ilvl w:val="0"/>
          <w:numId w:val="258"/>
        </w:numPr>
        <w:adjustRightInd/>
        <w:spacing w:after="240" w:line="260" w:lineRule="exact"/>
        <w:jc w:val="left"/>
        <w:textAlignment w:val="auto"/>
        <w:rPr>
          <w:rFonts w:asciiTheme="minorHAnsi" w:eastAsia="Calibri" w:hAnsiTheme="minorHAnsi" w:cstheme="minorBidi"/>
          <w:sz w:val="24"/>
          <w:szCs w:val="24"/>
        </w:rPr>
      </w:pPr>
      <w:r w:rsidRPr="00261C59">
        <w:rPr>
          <w:rFonts w:asciiTheme="minorHAnsi" w:eastAsia="Calibri" w:hAnsiTheme="minorHAnsi" w:cstheme="minorBidi"/>
          <w:sz w:val="24"/>
          <w:szCs w:val="24"/>
        </w:rPr>
        <w:t>National Bodies will consider the HCEF-agreed recommendations from the review. Subsequent actions by National Bodies may include: </w:t>
      </w:r>
    </w:p>
    <w:p w14:paraId="7C43F1DA" w14:textId="3013F0EC" w:rsidR="00BA3053" w:rsidRPr="00261C59" w:rsidRDefault="00BA3053" w:rsidP="004728D9">
      <w:pPr>
        <w:pStyle w:val="paragraph"/>
        <w:numPr>
          <w:ilvl w:val="1"/>
          <w:numId w:val="246"/>
        </w:numPr>
        <w:spacing w:before="120" w:beforeAutospacing="0" w:after="240" w:afterAutospacing="0" w:line="260" w:lineRule="exact"/>
        <w:ind w:left="1077" w:hanging="357"/>
        <w:textAlignment w:val="baseline"/>
        <w:rPr>
          <w:rFonts w:asciiTheme="minorHAnsi" w:hAnsiTheme="minorHAnsi" w:cstheme="minorHAnsi"/>
        </w:rPr>
      </w:pPr>
      <w:r w:rsidRPr="00261C59">
        <w:rPr>
          <w:rStyle w:val="normaltextrun"/>
          <w:rFonts w:asciiTheme="minorHAnsi" w:eastAsiaTheme="majorEastAsia" w:hAnsiTheme="minorHAnsi" w:cstheme="minorHAnsi"/>
        </w:rPr>
        <w:t>The IHACPA</w:t>
      </w:r>
      <w:r w:rsidRPr="00261C59" w:rsidDel="00F2311B">
        <w:rPr>
          <w:rStyle w:val="normaltextrun"/>
          <w:rFonts w:asciiTheme="minorHAnsi" w:eastAsiaTheme="majorEastAsia" w:hAnsiTheme="minorHAnsi" w:cstheme="minorHAnsi"/>
        </w:rPr>
        <w:t xml:space="preserve"> </w:t>
      </w:r>
      <w:r w:rsidRPr="00261C59">
        <w:rPr>
          <w:rStyle w:val="normaltextrun"/>
          <w:rFonts w:asciiTheme="minorHAnsi" w:eastAsiaTheme="majorEastAsia" w:hAnsiTheme="minorHAnsi" w:cstheme="minorHAnsi"/>
        </w:rPr>
        <w:t>considering any recommended changes to safety, quality and/or value-based pricing adjustment models and advising HCEF on the effects of these changes to the broader funding model.</w:t>
      </w:r>
    </w:p>
    <w:p w14:paraId="55A22E35" w14:textId="28AE8659" w:rsidR="00BA3053" w:rsidRPr="00261C59" w:rsidRDefault="00BA3053" w:rsidP="004728D9">
      <w:pPr>
        <w:pStyle w:val="paragraph"/>
        <w:numPr>
          <w:ilvl w:val="1"/>
          <w:numId w:val="246"/>
        </w:numPr>
        <w:spacing w:before="120" w:beforeAutospacing="0" w:after="240" w:afterAutospacing="0" w:line="260" w:lineRule="exact"/>
        <w:ind w:left="1077" w:hanging="357"/>
        <w:textAlignment w:val="baseline"/>
        <w:rPr>
          <w:rFonts w:asciiTheme="minorHAnsi" w:hAnsiTheme="minorHAnsi" w:cstheme="minorBidi"/>
        </w:rPr>
      </w:pPr>
      <w:r w:rsidRPr="00261C59">
        <w:rPr>
          <w:rStyle w:val="normaltextrun"/>
          <w:rFonts w:asciiTheme="minorHAnsi" w:eastAsiaTheme="majorEastAsia" w:hAnsiTheme="minorHAnsi" w:cstheme="minorBidi"/>
        </w:rPr>
        <w:t>The IHACPA developing and maintaining agreed safety and quality pricing adjustment models for new reforms such as bundled or capitation payments, or any other agreed actions within their scope, and advising HCEF on the effects of these changes to the broader funding model.</w:t>
      </w:r>
    </w:p>
    <w:p w14:paraId="49D38464" w14:textId="77777777" w:rsidR="00BA3053" w:rsidRPr="00261C59" w:rsidRDefault="00BA3053" w:rsidP="004728D9">
      <w:pPr>
        <w:pStyle w:val="paragraph"/>
        <w:numPr>
          <w:ilvl w:val="1"/>
          <w:numId w:val="246"/>
        </w:numPr>
        <w:spacing w:before="120" w:beforeAutospacing="0" w:after="240" w:afterAutospacing="0" w:line="260" w:lineRule="exact"/>
        <w:ind w:left="1077" w:hanging="357"/>
        <w:textAlignment w:val="baseline"/>
        <w:rPr>
          <w:rFonts w:asciiTheme="minorHAnsi" w:hAnsiTheme="minorHAnsi" w:cstheme="minorHAnsi"/>
        </w:rPr>
      </w:pPr>
      <w:r w:rsidRPr="00261C59">
        <w:rPr>
          <w:rStyle w:val="normaltextrun"/>
          <w:rFonts w:asciiTheme="minorHAnsi" w:eastAsiaTheme="majorEastAsia" w:hAnsiTheme="minorHAnsi" w:cstheme="minorHAnsi"/>
        </w:rPr>
        <w:t>The ACSQHC</w:t>
      </w:r>
      <w:r w:rsidRPr="00261C59" w:rsidDel="00F2311B">
        <w:rPr>
          <w:rStyle w:val="normaltextrun"/>
          <w:rFonts w:asciiTheme="minorHAnsi" w:eastAsiaTheme="majorEastAsia" w:hAnsiTheme="minorHAnsi" w:cstheme="minorHAnsi"/>
        </w:rPr>
        <w:t xml:space="preserve"> </w:t>
      </w:r>
      <w:r w:rsidRPr="00261C59">
        <w:rPr>
          <w:rStyle w:val="normaltextrun"/>
          <w:rFonts w:asciiTheme="minorHAnsi" w:eastAsiaTheme="majorEastAsia" w:hAnsiTheme="minorHAnsi" w:cstheme="minorHAnsi"/>
        </w:rPr>
        <w:t>considering any recommended changes in Sentinel Events, AHR or HAC lists, or any other agreed actions within their scope.</w:t>
      </w:r>
    </w:p>
    <w:p w14:paraId="528AC1B3" w14:textId="77777777" w:rsidR="00BA3053" w:rsidRPr="00261C59" w:rsidRDefault="00BA3053" w:rsidP="004728D9">
      <w:pPr>
        <w:pStyle w:val="paragraph"/>
        <w:numPr>
          <w:ilvl w:val="1"/>
          <w:numId w:val="246"/>
        </w:numPr>
        <w:spacing w:before="120" w:beforeAutospacing="0" w:after="240" w:afterAutospacing="0" w:line="260" w:lineRule="exact"/>
        <w:ind w:left="1077" w:hanging="357"/>
        <w:textAlignment w:val="baseline"/>
        <w:rPr>
          <w:rStyle w:val="eop"/>
          <w:rFonts w:asciiTheme="minorHAnsi" w:hAnsiTheme="minorHAnsi" w:cstheme="minorBidi"/>
        </w:rPr>
      </w:pPr>
      <w:r w:rsidRPr="00261C59">
        <w:rPr>
          <w:rStyle w:val="normaltextrun"/>
          <w:rFonts w:asciiTheme="minorHAnsi" w:eastAsiaTheme="majorEastAsia" w:hAnsiTheme="minorHAnsi" w:cstheme="minorBidi"/>
        </w:rPr>
        <w:t>The Administrator adjusting funding reconciliation formulas as appropriate.  </w:t>
      </w:r>
    </w:p>
    <w:p w14:paraId="3035D3E8" w14:textId="3D1EA08D" w:rsidR="00BA3053" w:rsidRPr="00261C59" w:rsidRDefault="00BA3053" w:rsidP="004728D9">
      <w:pPr>
        <w:keepNext/>
        <w:numPr>
          <w:ilvl w:val="0"/>
          <w:numId w:val="258"/>
        </w:numPr>
        <w:adjustRightInd/>
        <w:spacing w:after="240" w:line="260" w:lineRule="exact"/>
        <w:jc w:val="left"/>
        <w:textAlignment w:val="auto"/>
        <w:rPr>
          <w:rFonts w:ascii="Calibri" w:hAnsi="Calibri"/>
          <w:sz w:val="24"/>
        </w:rPr>
      </w:pPr>
      <w:r w:rsidRPr="00261C59">
        <w:rPr>
          <w:rFonts w:asciiTheme="minorHAnsi" w:eastAsia="Calibri" w:hAnsiTheme="minorHAnsi" w:cstheme="minorBidi"/>
          <w:sz w:val="24"/>
          <w:szCs w:val="24"/>
        </w:rPr>
        <w:t>If implemented, review recommendations for changes to one or more of the Sentinel Events, HAC and/or AHR lists</w:t>
      </w:r>
      <w:r w:rsidR="00397FF6">
        <w:rPr>
          <w:rFonts w:asciiTheme="minorHAnsi" w:eastAsia="Calibri" w:hAnsiTheme="minorHAnsi" w:cstheme="minorBidi"/>
          <w:sz w:val="24"/>
          <w:szCs w:val="24"/>
        </w:rPr>
        <w:t>,</w:t>
      </w:r>
      <w:r w:rsidRPr="00261C59">
        <w:rPr>
          <w:rFonts w:asciiTheme="minorHAnsi" w:eastAsia="Calibri" w:hAnsiTheme="minorHAnsi" w:cstheme="minorBidi"/>
          <w:sz w:val="24"/>
          <w:szCs w:val="24"/>
        </w:rPr>
        <w:t xml:space="preserve"> or their pricing adjustment models should ideally start no later than one year after recommendations from the final report are considered by HCEF.</w:t>
      </w:r>
      <w:bookmarkEnd w:id="629"/>
      <w:bookmarkEnd w:id="671"/>
      <w:r w:rsidRPr="00261C59">
        <w:rPr>
          <w:rFonts w:ascii="Calibri" w:hAnsi="Calibri"/>
          <w:sz w:val="24"/>
          <w:szCs w:val="24"/>
        </w:rPr>
        <w:t xml:space="preserve"> </w:t>
      </w:r>
    </w:p>
    <w:p w14:paraId="3624F8DB" w14:textId="4FCB0D43" w:rsidR="00FE045A" w:rsidRPr="00261C59" w:rsidRDefault="00FE045A" w:rsidP="004728D9">
      <w:pPr>
        <w:keepNext/>
        <w:adjustRightInd/>
        <w:spacing w:after="240" w:line="260" w:lineRule="exact"/>
        <w:jc w:val="left"/>
        <w:textAlignment w:val="auto"/>
        <w:rPr>
          <w:rFonts w:ascii="Calibri" w:hAnsi="Calibri"/>
        </w:rPr>
      </w:pPr>
      <w:r w:rsidRPr="00261C59">
        <w:rPr>
          <w:rFonts w:ascii="Calibri" w:hAnsi="Calibri"/>
        </w:rPr>
        <w:t xml:space="preserve"> </w:t>
      </w:r>
    </w:p>
    <w:p w14:paraId="18383FE2" w14:textId="77777777" w:rsidR="00391AFA" w:rsidRPr="00261C59" w:rsidRDefault="00391AFA" w:rsidP="004728D9">
      <w:pPr>
        <w:pStyle w:val="BodyText"/>
        <w:rPr>
          <w:b/>
        </w:rPr>
        <w:sectPr w:rsidR="00391AFA" w:rsidRPr="00261C59" w:rsidSect="00975D83">
          <w:pgSz w:w="11906" w:h="16838"/>
          <w:pgMar w:top="1440" w:right="1274" w:bottom="1440" w:left="1134" w:header="708" w:footer="708" w:gutter="0"/>
          <w:cols w:space="708"/>
          <w:docGrid w:linePitch="360"/>
        </w:sectPr>
      </w:pPr>
    </w:p>
    <w:p w14:paraId="5DE10C6A" w14:textId="0F3FDC09" w:rsidR="00EB5B84" w:rsidRPr="00261C59" w:rsidRDefault="00EB5B84" w:rsidP="00EB5B84">
      <w:pPr>
        <w:pStyle w:val="Heading1"/>
        <w:keepLines w:val="0"/>
        <w:widowControl/>
        <w:tabs>
          <w:tab w:val="clear" w:pos="567"/>
        </w:tabs>
        <w:adjustRightInd/>
        <w:spacing w:before="120" w:after="180"/>
        <w:jc w:val="left"/>
        <w:textAlignment w:val="auto"/>
        <w:rPr>
          <w:rFonts w:ascii="Consolas" w:eastAsia="Times New Roman" w:hAnsi="Consolas" w:cs="Arial"/>
          <w:b w:val="0"/>
          <w:caps/>
          <w:color w:val="980033"/>
          <w:kern w:val="32"/>
        </w:rPr>
      </w:pPr>
      <w:bookmarkStart w:id="675" w:name="_Toc210833665"/>
      <w:bookmarkStart w:id="676" w:name="_Toc214456570"/>
      <w:bookmarkStart w:id="677" w:name="_Toc221088050"/>
      <w:r w:rsidRPr="00261C59">
        <w:rPr>
          <w:rFonts w:ascii="Consolas" w:eastAsia="Times New Roman" w:hAnsi="Consolas" w:cs="Arial"/>
          <w:b w:val="0"/>
          <w:bCs w:val="0"/>
          <w:caps/>
          <w:color w:val="980033"/>
          <w:kern w:val="32"/>
        </w:rPr>
        <w:t xml:space="preserve">SCHEDULE </w:t>
      </w:r>
      <w:r w:rsidR="00871DD1" w:rsidRPr="00261C59">
        <w:rPr>
          <w:rFonts w:ascii="Consolas" w:eastAsia="Times New Roman" w:hAnsi="Consolas" w:cs="Arial"/>
          <w:b w:val="0"/>
          <w:bCs w:val="0"/>
          <w:caps/>
          <w:color w:val="980033"/>
          <w:kern w:val="32"/>
        </w:rPr>
        <w:t>E</w:t>
      </w:r>
      <w:r w:rsidRPr="00261C59">
        <w:rPr>
          <w:rFonts w:ascii="Consolas" w:eastAsia="Times New Roman" w:hAnsi="Consolas" w:cs="Arial"/>
          <w:b w:val="0"/>
          <w:caps/>
          <w:color w:val="980033"/>
          <w:kern w:val="32"/>
        </w:rPr>
        <w:t xml:space="preserve"> – Local governance</w:t>
      </w:r>
      <w:bookmarkEnd w:id="675"/>
      <w:bookmarkEnd w:id="676"/>
      <w:bookmarkEnd w:id="677"/>
    </w:p>
    <w:p w14:paraId="52651F06"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This Schedule sets out the responsibilities of local-level health service planning organisations with key roles in delivering core services and implementing reform under this Addendum, being:</w:t>
      </w:r>
    </w:p>
    <w:p w14:paraId="0C641767" w14:textId="0DC324EB" w:rsidR="002F27E7" w:rsidRPr="00261C59" w:rsidRDefault="002F27E7" w:rsidP="004728D9">
      <w:pPr>
        <w:numPr>
          <w:ilvl w:val="1"/>
          <w:numId w:val="141"/>
        </w:numPr>
        <w:spacing w:after="240" w:line="260" w:lineRule="exact"/>
        <w:jc w:val="left"/>
        <w:rPr>
          <w:rFonts w:ascii="Calibri" w:hAnsi="Calibri"/>
          <w:sz w:val="24"/>
          <w:szCs w:val="24"/>
        </w:rPr>
      </w:pPr>
      <w:r w:rsidRPr="00261C59">
        <w:rPr>
          <w:rFonts w:ascii="Calibri" w:hAnsi="Calibri"/>
          <w:sz w:val="24"/>
          <w:szCs w:val="24"/>
        </w:rPr>
        <w:t>Local Hospital Networks (LHNs, including Local Health Districts, Health and Hospital Services)</w:t>
      </w:r>
    </w:p>
    <w:p w14:paraId="76E2854F" w14:textId="126BF39C" w:rsidR="002F27E7" w:rsidRPr="00261C59" w:rsidRDefault="002F27E7" w:rsidP="004728D9">
      <w:pPr>
        <w:numPr>
          <w:ilvl w:val="1"/>
          <w:numId w:val="141"/>
        </w:numPr>
        <w:spacing w:after="240" w:line="260" w:lineRule="exact"/>
        <w:jc w:val="left"/>
        <w:rPr>
          <w:rFonts w:ascii="Calibri" w:hAnsi="Calibri"/>
          <w:sz w:val="24"/>
          <w:szCs w:val="24"/>
        </w:rPr>
      </w:pPr>
      <w:r w:rsidRPr="00261C59">
        <w:rPr>
          <w:rFonts w:ascii="Calibri" w:hAnsi="Calibri"/>
          <w:sz w:val="24"/>
          <w:szCs w:val="24"/>
        </w:rPr>
        <w:t>Primary Health Networks (PHNs)</w:t>
      </w:r>
    </w:p>
    <w:p w14:paraId="6B211F0F" w14:textId="77777777" w:rsidR="002F27E7" w:rsidRPr="00261C59" w:rsidRDefault="002F27E7" w:rsidP="004728D9">
      <w:pPr>
        <w:numPr>
          <w:ilvl w:val="1"/>
          <w:numId w:val="141"/>
        </w:numPr>
        <w:spacing w:after="240" w:line="260" w:lineRule="exact"/>
        <w:jc w:val="left"/>
        <w:rPr>
          <w:rFonts w:ascii="Calibri" w:hAnsi="Calibri"/>
          <w:sz w:val="24"/>
          <w:szCs w:val="24"/>
        </w:rPr>
      </w:pPr>
      <w:r w:rsidRPr="00261C59">
        <w:rPr>
          <w:rFonts w:ascii="Calibri" w:hAnsi="Calibri"/>
          <w:sz w:val="24"/>
          <w:szCs w:val="24"/>
        </w:rPr>
        <w:t>Aboriginal Community Controlled Health Organisations (ACCHOs).</w:t>
      </w:r>
    </w:p>
    <w:p w14:paraId="70B169EC"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 xml:space="preserve">The Parties recognise: </w:t>
      </w:r>
    </w:p>
    <w:p w14:paraId="61397D17" w14:textId="526D6FE7" w:rsidR="002F27E7" w:rsidRPr="00261C59" w:rsidRDefault="002F27E7" w:rsidP="004728D9">
      <w:pPr>
        <w:numPr>
          <w:ilvl w:val="1"/>
          <w:numId w:val="142"/>
        </w:numPr>
        <w:spacing w:after="240" w:line="260" w:lineRule="exact"/>
        <w:jc w:val="left"/>
        <w:rPr>
          <w:rFonts w:ascii="Calibri" w:hAnsi="Calibri"/>
          <w:sz w:val="24"/>
          <w:szCs w:val="24"/>
        </w:rPr>
      </w:pPr>
      <w:r w:rsidRPr="00261C59">
        <w:rPr>
          <w:rFonts w:ascii="Calibri" w:hAnsi="Calibri"/>
          <w:sz w:val="24"/>
          <w:szCs w:val="24"/>
        </w:rPr>
        <w:t>that acute care, primary care and community health systems, including the ACCHO sector, are part of a whole care and support system and all governments play a collective stewardship role</w:t>
      </w:r>
    </w:p>
    <w:p w14:paraId="7580CD05" w14:textId="4B6ACEA7" w:rsidR="002F27E7" w:rsidRPr="00261C59" w:rsidRDefault="002F27E7" w:rsidP="004728D9">
      <w:pPr>
        <w:numPr>
          <w:ilvl w:val="1"/>
          <w:numId w:val="142"/>
        </w:numPr>
        <w:spacing w:after="240" w:line="260" w:lineRule="exact"/>
        <w:jc w:val="left"/>
        <w:rPr>
          <w:rFonts w:ascii="Calibri" w:hAnsi="Calibri"/>
          <w:sz w:val="24"/>
          <w:szCs w:val="24"/>
        </w:rPr>
      </w:pPr>
      <w:r w:rsidRPr="00261C59">
        <w:rPr>
          <w:rFonts w:ascii="Calibri" w:hAnsi="Calibri"/>
          <w:sz w:val="24"/>
          <w:szCs w:val="24"/>
        </w:rPr>
        <w:t xml:space="preserve">all governments </w:t>
      </w:r>
      <w:r w:rsidRPr="00261C59">
        <w:rPr>
          <w:rFonts w:ascii="Calibri" w:hAnsi="Calibri" w:cs="Calibri"/>
          <w:sz w:val="24"/>
          <w:szCs w:val="24"/>
        </w:rPr>
        <w:t>have a shared responsibility to improve people’s health outcomes by supporting individuals, carers and their families to better navigate the health care system, with the aim of optimising equity, wellbeing and health outcomes, and reducing avoidable hospitalisations</w:t>
      </w:r>
    </w:p>
    <w:p w14:paraId="694627B5" w14:textId="77777777" w:rsidR="002F27E7" w:rsidRPr="00261C59" w:rsidRDefault="002F27E7" w:rsidP="004728D9">
      <w:pPr>
        <w:numPr>
          <w:ilvl w:val="1"/>
          <w:numId w:val="142"/>
        </w:numPr>
        <w:spacing w:after="240" w:line="260" w:lineRule="exact"/>
        <w:jc w:val="left"/>
        <w:rPr>
          <w:rFonts w:ascii="Calibri" w:hAnsi="Calibri"/>
          <w:sz w:val="24"/>
          <w:szCs w:val="24"/>
        </w:rPr>
      </w:pPr>
      <w:r w:rsidRPr="00261C59">
        <w:rPr>
          <w:rFonts w:ascii="Calibri" w:hAnsi="Calibri"/>
          <w:color w:val="000000" w:themeColor="text1"/>
          <w:sz w:val="24"/>
        </w:rPr>
        <w:t>the need to better plan and co-ordinate health services at the local level and agree to work together to strengthen regional planning and commissioning to provide culturally safe, person-centred, and place-based care.</w:t>
      </w:r>
    </w:p>
    <w:p w14:paraId="436E445D" w14:textId="77777777" w:rsidR="002F27E7" w:rsidRPr="00261C59" w:rsidRDefault="002F27E7" w:rsidP="00F61322">
      <w:pPr>
        <w:pStyle w:val="Heading2"/>
        <w:keepLines w:val="0"/>
        <w:widowControl/>
        <w:adjustRightInd/>
        <w:spacing w:before="180" w:after="120"/>
        <w:jc w:val="left"/>
        <w:textAlignment w:val="auto"/>
        <w:rPr>
          <w:rFonts w:ascii="Corbel" w:eastAsia="Times New Roman" w:hAnsi="Corbel" w:cs="Arial"/>
          <w:color w:val="3D4B67"/>
          <w:sz w:val="28"/>
          <w:szCs w:val="28"/>
        </w:rPr>
      </w:pPr>
      <w:bookmarkStart w:id="678" w:name="_Toc173937756"/>
      <w:bookmarkStart w:id="679" w:name="_Toc201674031"/>
      <w:bookmarkStart w:id="680" w:name="_Toc210833666"/>
      <w:bookmarkStart w:id="681" w:name="_Toc214456571"/>
      <w:bookmarkStart w:id="682" w:name="_Toc221088051"/>
      <w:r w:rsidRPr="00261C59">
        <w:rPr>
          <w:rFonts w:ascii="Corbel" w:eastAsia="Times New Roman" w:hAnsi="Corbel" w:cs="Arial"/>
          <w:color w:val="3D4B67"/>
          <w:sz w:val="28"/>
          <w:szCs w:val="28"/>
        </w:rPr>
        <w:t>Local Hospital Networks</w:t>
      </w:r>
      <w:bookmarkEnd w:id="678"/>
      <w:bookmarkEnd w:id="679"/>
      <w:bookmarkEnd w:id="680"/>
      <w:bookmarkEnd w:id="681"/>
      <w:bookmarkEnd w:id="682"/>
      <w:r w:rsidRPr="00261C59">
        <w:rPr>
          <w:rFonts w:ascii="Corbel" w:eastAsia="Times New Roman" w:hAnsi="Corbel" w:cs="Arial"/>
          <w:color w:val="3D4B67"/>
          <w:sz w:val="28"/>
          <w:szCs w:val="28"/>
        </w:rPr>
        <w:t xml:space="preserve">  </w:t>
      </w:r>
    </w:p>
    <w:p w14:paraId="7841760E"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The role of Local Hospital Networks (LHNs) is to decentralise public hospital management and increase local accountability to drive improvements in performance. LHNs are accountable for treatment outcomes and responsive to patients’ needs and make active decisions about the management of their own budget. They have the flexibility to shape local service delivery according to local needs.</w:t>
      </w:r>
    </w:p>
    <w:p w14:paraId="025AE1DD"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LHNs are required to engage with the local community and local clinicians, incorporating their views into the day-to-day operational planning of hospitals, particularly in the areas of safety and quality of patient care.</w:t>
      </w:r>
    </w:p>
    <w:p w14:paraId="7397889D"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LHNs are required to directly manage public hospital services and functions and may, at the discretion of States, also have responsibility for delivery of other health services. LHNs are required to work with PHNs and ACCHOs to integrate services and improve the health of local communities.</w:t>
      </w:r>
    </w:p>
    <w:p w14:paraId="1760EB1F"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 xml:space="preserve">LHNs are responsible for: </w:t>
      </w:r>
    </w:p>
    <w:p w14:paraId="7C28C705" w14:textId="094133E2" w:rsidR="002F27E7" w:rsidRPr="00261C59" w:rsidRDefault="002F27E7" w:rsidP="004728D9">
      <w:pPr>
        <w:numPr>
          <w:ilvl w:val="1"/>
          <w:numId w:val="143"/>
        </w:numPr>
        <w:spacing w:after="240" w:line="260" w:lineRule="exact"/>
        <w:jc w:val="left"/>
        <w:rPr>
          <w:rFonts w:ascii="Calibri" w:hAnsi="Calibri"/>
          <w:sz w:val="24"/>
          <w:szCs w:val="24"/>
        </w:rPr>
      </w:pPr>
      <w:r w:rsidRPr="00261C59">
        <w:rPr>
          <w:rFonts w:ascii="Calibri" w:hAnsi="Calibri"/>
          <w:sz w:val="24"/>
          <w:szCs w:val="24"/>
        </w:rPr>
        <w:t>managing their own budget, in accordance with State financial and audit requirements</w:t>
      </w:r>
    </w:p>
    <w:p w14:paraId="436804F3" w14:textId="2570217F" w:rsidR="002F27E7" w:rsidRPr="00261C59" w:rsidRDefault="002F27E7" w:rsidP="004728D9">
      <w:pPr>
        <w:numPr>
          <w:ilvl w:val="1"/>
          <w:numId w:val="143"/>
        </w:numPr>
        <w:spacing w:after="240" w:line="260" w:lineRule="exact"/>
        <w:jc w:val="left"/>
        <w:rPr>
          <w:rFonts w:ascii="Calibri" w:hAnsi="Calibri"/>
          <w:sz w:val="24"/>
          <w:szCs w:val="24"/>
        </w:rPr>
      </w:pPr>
      <w:r w:rsidRPr="00261C59">
        <w:rPr>
          <w:rFonts w:ascii="Calibri" w:hAnsi="Calibri"/>
          <w:sz w:val="24"/>
          <w:szCs w:val="24"/>
        </w:rPr>
        <w:t>managing performance of functions and activities specified in Service Agreements</w:t>
      </w:r>
    </w:p>
    <w:p w14:paraId="0892BB1E" w14:textId="59C1C80C" w:rsidR="002F27E7" w:rsidRPr="00261C59" w:rsidRDefault="002F27E7" w:rsidP="004728D9">
      <w:pPr>
        <w:numPr>
          <w:ilvl w:val="1"/>
          <w:numId w:val="143"/>
        </w:numPr>
        <w:spacing w:after="240" w:line="260" w:lineRule="exact"/>
        <w:jc w:val="left"/>
        <w:rPr>
          <w:rFonts w:ascii="Calibri" w:hAnsi="Calibri"/>
          <w:sz w:val="24"/>
          <w:szCs w:val="24"/>
        </w:rPr>
      </w:pPr>
      <w:r w:rsidRPr="00261C59">
        <w:rPr>
          <w:rFonts w:ascii="Calibri" w:hAnsi="Calibri"/>
          <w:sz w:val="24"/>
          <w:szCs w:val="24"/>
        </w:rPr>
        <w:t>receiving Commonwealth and State funding contributions for delivery of services as agreed under the Service Agreement entered into with the State government</w:t>
      </w:r>
    </w:p>
    <w:p w14:paraId="00212367" w14:textId="7A245610" w:rsidR="002F27E7" w:rsidRPr="00261C59" w:rsidRDefault="002F27E7" w:rsidP="004728D9">
      <w:pPr>
        <w:numPr>
          <w:ilvl w:val="1"/>
          <w:numId w:val="143"/>
        </w:numPr>
        <w:spacing w:after="240" w:line="260" w:lineRule="exact"/>
        <w:jc w:val="left"/>
        <w:rPr>
          <w:rFonts w:ascii="Calibri" w:hAnsi="Calibri"/>
          <w:sz w:val="24"/>
          <w:szCs w:val="24"/>
        </w:rPr>
      </w:pPr>
      <w:r w:rsidRPr="00261C59">
        <w:rPr>
          <w:rFonts w:ascii="Calibri" w:hAnsi="Calibri"/>
          <w:sz w:val="24"/>
          <w:szCs w:val="24"/>
        </w:rPr>
        <w:t>local implementation of national clinical standards in collaboration with PHNs and other providers where relevant, to be agreed between the Commonwealth and States on the advice of the Australian Commission on Safety and Quality in Health Care (ACSQHC)</w:t>
      </w:r>
    </w:p>
    <w:p w14:paraId="1257CE0F" w14:textId="5F069E9E" w:rsidR="002F27E7" w:rsidRPr="00261C59" w:rsidRDefault="002F27E7" w:rsidP="004728D9">
      <w:pPr>
        <w:numPr>
          <w:ilvl w:val="1"/>
          <w:numId w:val="143"/>
        </w:numPr>
        <w:spacing w:after="240" w:line="260" w:lineRule="exact"/>
        <w:jc w:val="left"/>
        <w:rPr>
          <w:rFonts w:ascii="Calibri" w:hAnsi="Calibri"/>
          <w:sz w:val="24"/>
          <w:szCs w:val="24"/>
        </w:rPr>
      </w:pPr>
      <w:r w:rsidRPr="00261C59">
        <w:rPr>
          <w:rFonts w:ascii="Calibri" w:hAnsi="Calibri"/>
          <w:sz w:val="24"/>
          <w:szCs w:val="24"/>
        </w:rPr>
        <w:t>local clinical governance arrangements</w:t>
      </w:r>
    </w:p>
    <w:p w14:paraId="4D88CC4C" w14:textId="1C000884" w:rsidR="002F27E7" w:rsidRPr="00261C59" w:rsidRDefault="002F27E7" w:rsidP="004728D9">
      <w:pPr>
        <w:numPr>
          <w:ilvl w:val="1"/>
          <w:numId w:val="143"/>
        </w:numPr>
        <w:spacing w:after="240" w:line="260" w:lineRule="exact"/>
        <w:jc w:val="left"/>
        <w:rPr>
          <w:rFonts w:ascii="Calibri" w:hAnsi="Calibri"/>
          <w:sz w:val="24"/>
          <w:szCs w:val="24"/>
        </w:rPr>
      </w:pPr>
      <w:r w:rsidRPr="00261C59">
        <w:rPr>
          <w:rFonts w:ascii="Calibri" w:hAnsi="Calibri"/>
          <w:sz w:val="24"/>
          <w:szCs w:val="24"/>
        </w:rPr>
        <w:t>providing information to States at their request, for the purpose of enabling the relevant State to provide information and data to the national bodies and the Commonwealth</w:t>
      </w:r>
    </w:p>
    <w:p w14:paraId="14126652" w14:textId="48535FC2" w:rsidR="002F27E7" w:rsidRPr="00261C59" w:rsidRDefault="002F27E7" w:rsidP="004728D9">
      <w:pPr>
        <w:numPr>
          <w:ilvl w:val="1"/>
          <w:numId w:val="143"/>
        </w:numPr>
        <w:spacing w:after="240" w:line="260" w:lineRule="exact"/>
        <w:jc w:val="left"/>
        <w:rPr>
          <w:rFonts w:ascii="Calibri" w:hAnsi="Calibri"/>
          <w:sz w:val="24"/>
          <w:szCs w:val="24"/>
        </w:rPr>
      </w:pPr>
      <w:r w:rsidRPr="00261C59">
        <w:rPr>
          <w:rFonts w:ascii="Calibri" w:hAnsi="Calibri"/>
          <w:sz w:val="24"/>
          <w:szCs w:val="24"/>
        </w:rPr>
        <w:t>maintaining accountability under, and subject to, State financial accountability and audit frameworks</w:t>
      </w:r>
    </w:p>
    <w:p w14:paraId="20EC1442" w14:textId="418D6AF8" w:rsidR="002F27E7" w:rsidRPr="00261C59" w:rsidRDefault="002F27E7" w:rsidP="004728D9">
      <w:pPr>
        <w:numPr>
          <w:ilvl w:val="1"/>
          <w:numId w:val="143"/>
        </w:numPr>
        <w:spacing w:after="240" w:line="260" w:lineRule="exact"/>
        <w:jc w:val="left"/>
        <w:rPr>
          <w:rFonts w:ascii="Calibri" w:hAnsi="Calibri"/>
          <w:sz w:val="24"/>
          <w:szCs w:val="24"/>
        </w:rPr>
      </w:pPr>
      <w:r w:rsidRPr="00261C59">
        <w:rPr>
          <w:rFonts w:ascii="Calibri" w:hAnsi="Calibri"/>
          <w:sz w:val="24"/>
          <w:szCs w:val="24"/>
        </w:rPr>
        <w:t xml:space="preserve">collaborating with </w:t>
      </w:r>
      <w:r w:rsidR="00781F99" w:rsidRPr="00261C59">
        <w:rPr>
          <w:rFonts w:ascii="Calibri" w:hAnsi="Calibri"/>
          <w:sz w:val="24"/>
          <w:szCs w:val="24"/>
        </w:rPr>
        <w:t>PHNs</w:t>
      </w:r>
      <w:r w:rsidRPr="00261C59">
        <w:rPr>
          <w:rFonts w:ascii="Calibri" w:hAnsi="Calibri"/>
          <w:sz w:val="24"/>
          <w:szCs w:val="24"/>
        </w:rPr>
        <w:t xml:space="preserve">, ACCHOs, and private and non-government providers to meet the health </w:t>
      </w:r>
      <w:r w:rsidR="00DE7B9E" w:rsidRPr="00261C59">
        <w:rPr>
          <w:rFonts w:ascii="Calibri" w:hAnsi="Calibri"/>
          <w:sz w:val="24"/>
          <w:szCs w:val="24"/>
        </w:rPr>
        <w:t xml:space="preserve">and mental health </w:t>
      </w:r>
      <w:r w:rsidRPr="00261C59">
        <w:rPr>
          <w:rFonts w:ascii="Calibri" w:hAnsi="Calibri"/>
          <w:sz w:val="24"/>
          <w:szCs w:val="24"/>
        </w:rPr>
        <w:t>needs of the community and minimise service duplication and fragmentation</w:t>
      </w:r>
    </w:p>
    <w:p w14:paraId="1BD1F1DC" w14:textId="694D8F99" w:rsidR="002F27E7" w:rsidRPr="00261C59" w:rsidRDefault="002F27E7" w:rsidP="004728D9">
      <w:pPr>
        <w:numPr>
          <w:ilvl w:val="1"/>
          <w:numId w:val="143"/>
        </w:numPr>
        <w:spacing w:after="240" w:line="260" w:lineRule="exact"/>
        <w:jc w:val="left"/>
        <w:rPr>
          <w:rFonts w:ascii="Calibri" w:hAnsi="Calibri"/>
          <w:sz w:val="24"/>
          <w:szCs w:val="24"/>
        </w:rPr>
      </w:pPr>
      <w:r w:rsidRPr="00261C59">
        <w:rPr>
          <w:rFonts w:ascii="Calibri" w:hAnsi="Calibri"/>
          <w:sz w:val="24"/>
          <w:szCs w:val="24"/>
        </w:rPr>
        <w:t xml:space="preserve">Sharing information with PHNs on LHN-delivered primary care services (including associated workforce) to support Commonwealth monitoring of primary care services as per </w:t>
      </w:r>
      <w:r w:rsidR="00DE7B9E" w:rsidRPr="00261C59">
        <w:rPr>
          <w:rFonts w:ascii="Calibri" w:hAnsi="Calibri"/>
          <w:sz w:val="24"/>
          <w:szCs w:val="24"/>
        </w:rPr>
        <w:t xml:space="preserve">clause </w:t>
      </w:r>
      <w:r w:rsidRPr="00261C59">
        <w:rPr>
          <w:rFonts w:ascii="Calibri" w:hAnsi="Calibri"/>
          <w:sz w:val="24"/>
          <w:szCs w:val="24"/>
        </w:rPr>
        <w:t>C19</w:t>
      </w:r>
      <w:r w:rsidR="00DE7B9E" w:rsidRPr="00261C59">
        <w:rPr>
          <w:rFonts w:ascii="Calibri" w:hAnsi="Calibri"/>
          <w:sz w:val="24"/>
          <w:szCs w:val="24"/>
        </w:rPr>
        <w:t>(</w:t>
      </w:r>
      <w:r w:rsidRPr="00261C59">
        <w:rPr>
          <w:rFonts w:ascii="Calibri" w:hAnsi="Calibri"/>
          <w:sz w:val="24"/>
          <w:szCs w:val="24"/>
        </w:rPr>
        <w:t>a</w:t>
      </w:r>
      <w:r w:rsidR="00DE7B9E" w:rsidRPr="00261C59">
        <w:rPr>
          <w:rFonts w:ascii="Calibri" w:hAnsi="Calibri"/>
          <w:sz w:val="24"/>
          <w:szCs w:val="24"/>
        </w:rPr>
        <w:t>)</w:t>
      </w:r>
    </w:p>
    <w:p w14:paraId="60383C24" w14:textId="77777777" w:rsidR="002F27E7" w:rsidRPr="00261C59" w:rsidRDefault="002F27E7" w:rsidP="004728D9">
      <w:pPr>
        <w:numPr>
          <w:ilvl w:val="1"/>
          <w:numId w:val="143"/>
        </w:numPr>
        <w:spacing w:after="240" w:line="260" w:lineRule="exact"/>
        <w:jc w:val="left"/>
        <w:rPr>
          <w:rFonts w:ascii="Calibri" w:hAnsi="Calibri"/>
          <w:sz w:val="24"/>
          <w:szCs w:val="24"/>
        </w:rPr>
      </w:pPr>
      <w:r w:rsidRPr="00261C59">
        <w:rPr>
          <w:rFonts w:ascii="Calibri" w:hAnsi="Calibri"/>
          <w:sz w:val="24"/>
          <w:szCs w:val="24"/>
        </w:rPr>
        <w:t xml:space="preserve">contracting ACCHOs to deliver secondary care services, where appropriate. </w:t>
      </w:r>
    </w:p>
    <w:p w14:paraId="68682C42"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 xml:space="preserve">The LHN Service Agreements are required to include at a minimum: </w:t>
      </w:r>
    </w:p>
    <w:p w14:paraId="7F76D17D" w14:textId="5B86BF6C" w:rsidR="002F27E7" w:rsidRPr="00261C59" w:rsidRDefault="002F27E7" w:rsidP="004728D9">
      <w:pPr>
        <w:numPr>
          <w:ilvl w:val="1"/>
          <w:numId w:val="144"/>
        </w:numPr>
        <w:spacing w:after="240" w:line="260" w:lineRule="exact"/>
        <w:jc w:val="left"/>
        <w:rPr>
          <w:rFonts w:ascii="Calibri" w:hAnsi="Calibri"/>
          <w:sz w:val="24"/>
          <w:szCs w:val="24"/>
        </w:rPr>
      </w:pPr>
      <w:r w:rsidRPr="00261C59">
        <w:rPr>
          <w:rFonts w:ascii="Calibri" w:hAnsi="Calibri"/>
          <w:sz w:val="24"/>
          <w:szCs w:val="24"/>
        </w:rPr>
        <w:t>the number and broad mix of services to be provided by the LHN, to inform the community of expected outputs from the LHN and allow the Administrator to calculate the Commonwealth’s funding contribution</w:t>
      </w:r>
    </w:p>
    <w:p w14:paraId="0C4FAFBC" w14:textId="5B6A7B82" w:rsidR="002F27E7" w:rsidRPr="00261C59" w:rsidRDefault="002F27E7" w:rsidP="004728D9">
      <w:pPr>
        <w:numPr>
          <w:ilvl w:val="1"/>
          <w:numId w:val="144"/>
        </w:numPr>
        <w:spacing w:after="240" w:line="260" w:lineRule="exact"/>
        <w:jc w:val="left"/>
        <w:rPr>
          <w:rFonts w:ascii="Calibri" w:hAnsi="Calibri"/>
          <w:sz w:val="24"/>
          <w:szCs w:val="24"/>
        </w:rPr>
      </w:pPr>
      <w:r w:rsidRPr="00261C59">
        <w:rPr>
          <w:rFonts w:ascii="Calibri" w:hAnsi="Calibri"/>
          <w:sz w:val="24"/>
          <w:szCs w:val="24"/>
        </w:rPr>
        <w:t xml:space="preserve">the quality and service standards that apply to services delivered by the LHN, including the Performance and Accountability Framework (2011 NHRA) and health system performance </w:t>
      </w:r>
      <w:r w:rsidR="002B447B" w:rsidRPr="00261C59">
        <w:rPr>
          <w:rFonts w:ascii="Calibri" w:hAnsi="Calibri"/>
          <w:sz w:val="24"/>
          <w:szCs w:val="24"/>
        </w:rPr>
        <w:t>assessment</w:t>
      </w:r>
      <w:r w:rsidRPr="00261C59">
        <w:rPr>
          <w:rFonts w:ascii="Calibri" w:hAnsi="Calibri"/>
          <w:sz w:val="24"/>
          <w:szCs w:val="24"/>
        </w:rPr>
        <w:t xml:space="preserve"> framework outlined in Schedule H</w:t>
      </w:r>
    </w:p>
    <w:p w14:paraId="68157492" w14:textId="1F110BEF" w:rsidR="002F27E7" w:rsidRPr="00261C59" w:rsidRDefault="002F27E7" w:rsidP="004728D9">
      <w:pPr>
        <w:numPr>
          <w:ilvl w:val="1"/>
          <w:numId w:val="144"/>
        </w:numPr>
        <w:spacing w:after="240" w:line="260" w:lineRule="exact"/>
        <w:jc w:val="left"/>
        <w:rPr>
          <w:rFonts w:ascii="Calibri" w:hAnsi="Calibri"/>
          <w:sz w:val="24"/>
          <w:szCs w:val="24"/>
        </w:rPr>
      </w:pPr>
      <w:r w:rsidRPr="00261C59">
        <w:rPr>
          <w:rFonts w:ascii="Calibri" w:hAnsi="Calibri"/>
          <w:sz w:val="24"/>
          <w:szCs w:val="24"/>
        </w:rPr>
        <w:t xml:space="preserve">the level of funding to be provided to the LHNs under the Service Agreement, through ABF, reported based on the national efficient price, block funding and any other agreed funding arrangements, including </w:t>
      </w:r>
      <w:r w:rsidR="00783B96" w:rsidRPr="00261C59">
        <w:rPr>
          <w:rFonts w:ascii="Calibri" w:hAnsi="Calibri"/>
          <w:sz w:val="24"/>
          <w:szCs w:val="24"/>
        </w:rPr>
        <w:t>Service</w:t>
      </w:r>
      <w:r w:rsidR="00776F12" w:rsidRPr="00261C59">
        <w:rPr>
          <w:rFonts w:ascii="Calibri" w:hAnsi="Calibri"/>
          <w:sz w:val="24"/>
          <w:szCs w:val="24"/>
        </w:rPr>
        <w:t xml:space="preserve"> Model Reform</w:t>
      </w:r>
      <w:r w:rsidRPr="00261C59">
        <w:rPr>
          <w:rFonts w:ascii="Calibri" w:hAnsi="Calibri"/>
          <w:sz w:val="24"/>
          <w:szCs w:val="24"/>
        </w:rPr>
        <w:t xml:space="preserve"> Funding</w:t>
      </w:r>
    </w:p>
    <w:p w14:paraId="1A25E480" w14:textId="77777777" w:rsidR="002F27E7" w:rsidRPr="00261C59" w:rsidRDefault="002F27E7" w:rsidP="004728D9">
      <w:pPr>
        <w:numPr>
          <w:ilvl w:val="1"/>
          <w:numId w:val="144"/>
        </w:numPr>
        <w:spacing w:after="240" w:line="260" w:lineRule="exact"/>
        <w:jc w:val="left"/>
        <w:rPr>
          <w:rFonts w:ascii="Calibri" w:hAnsi="Calibri"/>
          <w:sz w:val="24"/>
          <w:szCs w:val="24"/>
        </w:rPr>
      </w:pPr>
      <w:r w:rsidRPr="00261C59">
        <w:rPr>
          <w:rFonts w:ascii="Calibri" w:hAnsi="Calibri"/>
          <w:sz w:val="24"/>
          <w:szCs w:val="24"/>
        </w:rPr>
        <w:t>the teaching, training and research functions to be undertaken at the LHN level.</w:t>
      </w:r>
    </w:p>
    <w:p w14:paraId="3ABBC5B6"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Service Agreements are required to be publicly released by States and provided to the Administrator and relevant national bodies within fourteen calendar days of finalisation or amendment. States may agree additional matters with LHNs (such as the delivery of additional programs).</w:t>
      </w:r>
    </w:p>
    <w:p w14:paraId="509CAE55"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LHNs are required to have separate bank accounts able to receive funding from the National Health Funding Pool independent of State treasuries or health departments and are required to be audited as separate entities.</w:t>
      </w:r>
    </w:p>
    <w:p w14:paraId="25D8DD34" w14:textId="77777777" w:rsidR="002F27E7" w:rsidRPr="00261C59" w:rsidRDefault="002F27E7" w:rsidP="00750E57">
      <w:pPr>
        <w:keepNext/>
        <w:keepLines/>
        <w:widowControl/>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 xml:space="preserve">LHNs are required to have a professional Governing Council and Chief Executive Officer, unless otherwise agreed by the Health Ministers of the Commonwealth and an individual jurisdiction. The professional Governing Council and Chief Executive Officer are responsible for: </w:t>
      </w:r>
    </w:p>
    <w:p w14:paraId="0BAAE411" w14:textId="33E714A3" w:rsidR="002F27E7" w:rsidRPr="00261C59" w:rsidRDefault="002F27E7" w:rsidP="004728D9">
      <w:pPr>
        <w:numPr>
          <w:ilvl w:val="1"/>
          <w:numId w:val="145"/>
        </w:numPr>
        <w:spacing w:after="240" w:line="260" w:lineRule="exact"/>
        <w:jc w:val="left"/>
        <w:rPr>
          <w:rFonts w:ascii="Calibri" w:hAnsi="Calibri"/>
          <w:sz w:val="24"/>
          <w:szCs w:val="24"/>
        </w:rPr>
      </w:pPr>
      <w:r w:rsidRPr="00261C59">
        <w:rPr>
          <w:rFonts w:ascii="Calibri" w:hAnsi="Calibri"/>
          <w:sz w:val="24"/>
          <w:szCs w:val="24"/>
        </w:rPr>
        <w:t>delivering agreed services and performance standards within an agreed budget, based on annual strategic and operating plans, to give effect to the LHN Service Agreement</w:t>
      </w:r>
    </w:p>
    <w:p w14:paraId="35FC214A" w14:textId="430F77A6" w:rsidR="002F27E7" w:rsidRPr="00261C59" w:rsidRDefault="002F27E7" w:rsidP="004728D9">
      <w:pPr>
        <w:numPr>
          <w:ilvl w:val="1"/>
          <w:numId w:val="145"/>
        </w:numPr>
        <w:spacing w:after="240" w:line="260" w:lineRule="exact"/>
        <w:jc w:val="left"/>
        <w:rPr>
          <w:rFonts w:ascii="Calibri" w:hAnsi="Calibri"/>
          <w:sz w:val="24"/>
          <w:szCs w:val="24"/>
        </w:rPr>
      </w:pPr>
      <w:r w:rsidRPr="00261C59">
        <w:rPr>
          <w:rFonts w:ascii="Calibri" w:hAnsi="Calibri"/>
          <w:sz w:val="24"/>
          <w:szCs w:val="24"/>
        </w:rPr>
        <w:t>ensuring accountable and efficient provision of services and producing annual reports, subject to State financial accountability and audit frameworks</w:t>
      </w:r>
    </w:p>
    <w:p w14:paraId="2495E7CE" w14:textId="436DEB41" w:rsidR="002F27E7" w:rsidRPr="00261C59" w:rsidRDefault="002F27E7" w:rsidP="004728D9">
      <w:pPr>
        <w:numPr>
          <w:ilvl w:val="1"/>
          <w:numId w:val="145"/>
        </w:numPr>
        <w:spacing w:after="240" w:line="260" w:lineRule="exact"/>
        <w:jc w:val="left"/>
        <w:rPr>
          <w:rFonts w:ascii="Calibri" w:hAnsi="Calibri"/>
          <w:sz w:val="24"/>
          <w:szCs w:val="24"/>
        </w:rPr>
      </w:pPr>
      <w:r w:rsidRPr="00261C59">
        <w:rPr>
          <w:rFonts w:ascii="Calibri" w:hAnsi="Calibri"/>
          <w:sz w:val="24"/>
          <w:szCs w:val="24"/>
        </w:rPr>
        <w:t>monitoring LHN performance against the agreed performance monitoring measures in the LHN Service Agreement, as per clause E7</w:t>
      </w:r>
    </w:p>
    <w:p w14:paraId="25EA8E19" w14:textId="6AE6EF2F" w:rsidR="002F27E7" w:rsidRPr="00261C59" w:rsidRDefault="002F27E7" w:rsidP="004728D9">
      <w:pPr>
        <w:numPr>
          <w:ilvl w:val="1"/>
          <w:numId w:val="145"/>
        </w:numPr>
        <w:spacing w:after="240" w:line="260" w:lineRule="exact"/>
        <w:jc w:val="left"/>
        <w:rPr>
          <w:rFonts w:ascii="Calibri" w:hAnsi="Calibri"/>
          <w:sz w:val="24"/>
          <w:szCs w:val="24"/>
        </w:rPr>
      </w:pPr>
      <w:r w:rsidRPr="00261C59">
        <w:rPr>
          <w:rFonts w:ascii="Calibri" w:hAnsi="Calibri"/>
          <w:sz w:val="24"/>
          <w:szCs w:val="24"/>
        </w:rPr>
        <w:t>improving local patient outcomes and responding to system-wide issues</w:t>
      </w:r>
    </w:p>
    <w:p w14:paraId="325A1AC4" w14:textId="3872BE5C" w:rsidR="002F27E7" w:rsidRPr="00261C59" w:rsidRDefault="002F27E7" w:rsidP="004728D9">
      <w:pPr>
        <w:numPr>
          <w:ilvl w:val="1"/>
          <w:numId w:val="145"/>
        </w:numPr>
        <w:spacing w:after="240" w:line="260" w:lineRule="exact"/>
        <w:jc w:val="left"/>
        <w:rPr>
          <w:rFonts w:ascii="Calibri" w:hAnsi="Calibri"/>
          <w:sz w:val="24"/>
          <w:szCs w:val="24"/>
        </w:rPr>
      </w:pPr>
      <w:r w:rsidRPr="00261C59">
        <w:rPr>
          <w:rFonts w:ascii="Calibri" w:hAnsi="Calibri"/>
          <w:sz w:val="24"/>
          <w:szCs w:val="24"/>
        </w:rPr>
        <w:t>maintaining effective communication with the State and relevant local stakeholders, including clinicians and the community</w:t>
      </w:r>
    </w:p>
    <w:p w14:paraId="45C1A832" w14:textId="77777777" w:rsidR="002F27E7" w:rsidRPr="00261C59" w:rsidRDefault="002F27E7" w:rsidP="004728D9">
      <w:pPr>
        <w:numPr>
          <w:ilvl w:val="1"/>
          <w:numId w:val="145"/>
        </w:numPr>
        <w:spacing w:after="240" w:line="260" w:lineRule="exact"/>
        <w:jc w:val="left"/>
        <w:rPr>
          <w:rFonts w:ascii="Calibri" w:hAnsi="Calibri"/>
          <w:sz w:val="24"/>
          <w:szCs w:val="24"/>
        </w:rPr>
      </w:pPr>
      <w:r w:rsidRPr="00261C59">
        <w:rPr>
          <w:rFonts w:ascii="Calibri" w:hAnsi="Calibri"/>
          <w:sz w:val="24"/>
          <w:szCs w:val="24"/>
        </w:rPr>
        <w:t>developing</w:t>
      </w:r>
      <w:r w:rsidRPr="00261C59">
        <w:rPr>
          <w:rFonts w:ascii="Calibri" w:hAnsi="Calibri"/>
          <w:sz w:val="24"/>
        </w:rPr>
        <w:t xml:space="preserve"> partnerships with </w:t>
      </w:r>
      <w:r w:rsidRPr="00261C59">
        <w:rPr>
          <w:rFonts w:ascii="Calibri" w:hAnsi="Calibri"/>
          <w:sz w:val="24"/>
          <w:szCs w:val="24"/>
        </w:rPr>
        <w:t>PHNs, ACCHOs,</w:t>
      </w:r>
      <w:r w:rsidRPr="00261C59">
        <w:rPr>
          <w:rFonts w:ascii="Calibri" w:hAnsi="Calibri"/>
          <w:sz w:val="24"/>
        </w:rPr>
        <w:t xml:space="preserve"> and other providers, to progress work such as joint regional needs assessments and planning.</w:t>
      </w:r>
    </w:p>
    <w:p w14:paraId="315E5B95"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 xml:space="preserve">LHN Governing Councils are required to comprise members with an appropriate mix of skills and expertise to oversee and provide guidance to large and complex organisations, including: </w:t>
      </w:r>
    </w:p>
    <w:p w14:paraId="0BEC3FAB" w14:textId="4A349E10" w:rsidR="002F27E7" w:rsidRPr="00261C59" w:rsidRDefault="002F27E7" w:rsidP="004728D9">
      <w:pPr>
        <w:numPr>
          <w:ilvl w:val="1"/>
          <w:numId w:val="146"/>
        </w:numPr>
        <w:spacing w:after="240" w:line="260" w:lineRule="exact"/>
        <w:jc w:val="left"/>
        <w:rPr>
          <w:rFonts w:ascii="Calibri" w:hAnsi="Calibri"/>
          <w:sz w:val="24"/>
          <w:szCs w:val="24"/>
        </w:rPr>
      </w:pPr>
      <w:r w:rsidRPr="00261C59">
        <w:rPr>
          <w:rFonts w:ascii="Calibri" w:hAnsi="Calibri"/>
          <w:sz w:val="24"/>
          <w:szCs w:val="24"/>
        </w:rPr>
        <w:t>health management, business management and financial management</w:t>
      </w:r>
    </w:p>
    <w:p w14:paraId="0153431D" w14:textId="5FA0A81F" w:rsidR="002F27E7" w:rsidRPr="00261C59" w:rsidRDefault="002F27E7" w:rsidP="004728D9">
      <w:pPr>
        <w:numPr>
          <w:ilvl w:val="1"/>
          <w:numId w:val="146"/>
        </w:numPr>
        <w:spacing w:after="240" w:line="260" w:lineRule="exact"/>
        <w:jc w:val="left"/>
        <w:rPr>
          <w:rFonts w:ascii="Calibri" w:hAnsi="Calibri"/>
          <w:sz w:val="24"/>
          <w:szCs w:val="24"/>
        </w:rPr>
      </w:pPr>
      <w:r w:rsidRPr="00261C59">
        <w:rPr>
          <w:rFonts w:ascii="Calibri" w:hAnsi="Calibri"/>
          <w:sz w:val="24"/>
          <w:szCs w:val="24"/>
        </w:rPr>
        <w:t>clinical expertise, including expertise external to the LHN wherever practicable</w:t>
      </w:r>
    </w:p>
    <w:p w14:paraId="724267A7" w14:textId="315EA513" w:rsidR="002F27E7" w:rsidRPr="00261C59" w:rsidRDefault="002F27E7" w:rsidP="004728D9">
      <w:pPr>
        <w:numPr>
          <w:ilvl w:val="1"/>
          <w:numId w:val="146"/>
        </w:numPr>
        <w:spacing w:after="240" w:line="260" w:lineRule="exact"/>
        <w:jc w:val="left"/>
        <w:rPr>
          <w:rFonts w:ascii="Calibri" w:hAnsi="Calibri"/>
          <w:sz w:val="24"/>
          <w:szCs w:val="24"/>
        </w:rPr>
      </w:pPr>
      <w:r w:rsidRPr="00261C59">
        <w:rPr>
          <w:rFonts w:ascii="Calibri" w:hAnsi="Calibri"/>
          <w:sz w:val="24"/>
          <w:szCs w:val="24"/>
        </w:rPr>
        <w:t>Aboriginal and Torres Strait Islander people with health and cultural expertise</w:t>
      </w:r>
    </w:p>
    <w:p w14:paraId="788F73BE" w14:textId="16EF8E64" w:rsidR="002F27E7" w:rsidRPr="00261C59" w:rsidRDefault="002F27E7" w:rsidP="004728D9">
      <w:pPr>
        <w:numPr>
          <w:ilvl w:val="1"/>
          <w:numId w:val="146"/>
        </w:numPr>
        <w:spacing w:after="240" w:line="260" w:lineRule="exact"/>
        <w:jc w:val="left"/>
        <w:rPr>
          <w:rFonts w:ascii="Calibri" w:hAnsi="Calibri"/>
          <w:sz w:val="24"/>
          <w:szCs w:val="24"/>
        </w:rPr>
      </w:pPr>
      <w:r w:rsidRPr="00261C59">
        <w:rPr>
          <w:rFonts w:ascii="Calibri" w:hAnsi="Calibri"/>
          <w:sz w:val="24"/>
          <w:szCs w:val="24"/>
        </w:rPr>
        <w:t>cross-membership with Primary Health Networks wherever possible</w:t>
      </w:r>
    </w:p>
    <w:p w14:paraId="325831FE" w14:textId="7F36468D" w:rsidR="002F27E7" w:rsidRPr="00261C59" w:rsidRDefault="002F27E7" w:rsidP="004728D9">
      <w:pPr>
        <w:numPr>
          <w:ilvl w:val="1"/>
          <w:numId w:val="146"/>
        </w:numPr>
        <w:spacing w:after="240" w:line="260" w:lineRule="exact"/>
        <w:jc w:val="left"/>
        <w:rPr>
          <w:rFonts w:ascii="Calibri" w:hAnsi="Calibri"/>
          <w:sz w:val="24"/>
          <w:szCs w:val="24"/>
        </w:rPr>
      </w:pPr>
      <w:r w:rsidRPr="00261C59">
        <w:rPr>
          <w:rFonts w:ascii="Calibri" w:hAnsi="Calibri"/>
          <w:sz w:val="24"/>
          <w:szCs w:val="24"/>
        </w:rPr>
        <w:t>where appropriate, people from universities, clinical schools and research centres</w:t>
      </w:r>
    </w:p>
    <w:p w14:paraId="7C829B63" w14:textId="77777777" w:rsidR="002F27E7" w:rsidRPr="00261C59" w:rsidRDefault="002F27E7" w:rsidP="004728D9">
      <w:pPr>
        <w:numPr>
          <w:ilvl w:val="1"/>
          <w:numId w:val="146"/>
        </w:numPr>
        <w:spacing w:after="240" w:line="260" w:lineRule="exact"/>
        <w:jc w:val="left"/>
        <w:rPr>
          <w:rFonts w:ascii="Calibri" w:hAnsi="Calibri"/>
          <w:sz w:val="24"/>
          <w:szCs w:val="24"/>
        </w:rPr>
      </w:pPr>
      <w:r w:rsidRPr="00261C59">
        <w:rPr>
          <w:rFonts w:ascii="Calibri" w:hAnsi="Calibri"/>
          <w:sz w:val="24"/>
          <w:szCs w:val="24"/>
        </w:rPr>
        <w:t>where appropriate or required, people with other skills and experience.</w:t>
      </w:r>
    </w:p>
    <w:p w14:paraId="3990150F"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LHN Governing Council members are required to be appointed under State legislation by State Health Ministers. Each LHN Chief Executive Officer (CEO) is required to be appointed by the Governing Council, with the approval of the State Health Minister or their delegate and are required to be accountable to the Governing Council.</w:t>
      </w:r>
    </w:p>
    <w:p w14:paraId="6784B019" w14:textId="77777777" w:rsidR="002F27E7" w:rsidRPr="00261C59" w:rsidRDefault="002F27E7" w:rsidP="00F61322">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683" w:name="_Toc173937757"/>
      <w:bookmarkStart w:id="684" w:name="_Toc201674032"/>
      <w:bookmarkStart w:id="685" w:name="_Toc210833667"/>
      <w:bookmarkStart w:id="686" w:name="_Toc214456572"/>
      <w:bookmarkStart w:id="687" w:name="_Toc221088052"/>
      <w:r w:rsidRPr="00261C59">
        <w:rPr>
          <w:rFonts w:ascii="Corbel" w:eastAsia="Times New Roman" w:hAnsi="Corbel"/>
          <w:b w:val="0"/>
          <w:bCs w:val="0"/>
          <w:iCs w:val="0"/>
          <w:color w:val="3D4B67"/>
          <w:sz w:val="28"/>
          <w:szCs w:val="48"/>
          <w:lang w:eastAsia="ja-JP"/>
        </w:rPr>
        <w:t>Local Hospital Network Structure</w:t>
      </w:r>
      <w:bookmarkEnd w:id="683"/>
      <w:bookmarkEnd w:id="684"/>
      <w:bookmarkEnd w:id="685"/>
      <w:bookmarkEnd w:id="686"/>
      <w:bookmarkEnd w:id="687"/>
      <w:r w:rsidRPr="00261C59">
        <w:rPr>
          <w:rFonts w:ascii="Corbel" w:eastAsia="Times New Roman" w:hAnsi="Corbel"/>
          <w:b w:val="0"/>
          <w:bCs w:val="0"/>
          <w:iCs w:val="0"/>
          <w:color w:val="3D4B67"/>
          <w:sz w:val="28"/>
          <w:szCs w:val="48"/>
          <w:lang w:eastAsia="ja-JP"/>
        </w:rPr>
        <w:t xml:space="preserve"> </w:t>
      </w:r>
    </w:p>
    <w:p w14:paraId="68648C24"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LHNs are required to comprise single or small groups of public hospitals and health services with a geographic or functional connection, large enough to operate efficiently and to provide a reasonable range of hospital services, and small enough to enable the LHNs to be effectively managed to deliver high quality services.</w:t>
      </w:r>
    </w:p>
    <w:p w14:paraId="746131D8" w14:textId="77777777" w:rsidR="002F27E7" w:rsidRPr="00261C59" w:rsidRDefault="002F27E7" w:rsidP="004728D9">
      <w:pPr>
        <w:keepNext/>
        <w:widowControl/>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 xml:space="preserve">Types of LHNs include: </w:t>
      </w:r>
    </w:p>
    <w:p w14:paraId="4FC21378" w14:textId="34EEF55E" w:rsidR="002F27E7" w:rsidRPr="00261C59" w:rsidRDefault="002F27E7" w:rsidP="00397EDA">
      <w:pPr>
        <w:keepLines/>
        <w:numPr>
          <w:ilvl w:val="1"/>
          <w:numId w:val="147"/>
        </w:numPr>
        <w:spacing w:after="240" w:line="260" w:lineRule="exact"/>
        <w:jc w:val="left"/>
        <w:rPr>
          <w:rFonts w:ascii="Calibri" w:hAnsi="Calibri"/>
          <w:sz w:val="24"/>
          <w:szCs w:val="24"/>
        </w:rPr>
      </w:pPr>
      <w:r w:rsidRPr="00261C59">
        <w:rPr>
          <w:rFonts w:ascii="Calibri" w:hAnsi="Calibri"/>
          <w:sz w:val="24"/>
          <w:szCs w:val="24"/>
        </w:rPr>
        <w:t>metropolitan LHNs, which are required to comprise at least one hospital, but could comprise a small group of hospitals, and should be built around principal referral hospitals or specialist hospitals</w:t>
      </w:r>
    </w:p>
    <w:p w14:paraId="6371C0ED" w14:textId="4E47EE5D" w:rsidR="002F27E7" w:rsidRPr="00261C59" w:rsidRDefault="002F27E7" w:rsidP="004728D9">
      <w:pPr>
        <w:widowControl/>
        <w:numPr>
          <w:ilvl w:val="1"/>
          <w:numId w:val="147"/>
        </w:numPr>
        <w:spacing w:after="240" w:line="260" w:lineRule="exact"/>
        <w:jc w:val="left"/>
        <w:rPr>
          <w:rFonts w:ascii="Calibri" w:hAnsi="Calibri"/>
          <w:sz w:val="24"/>
          <w:szCs w:val="24"/>
        </w:rPr>
      </w:pPr>
      <w:r w:rsidRPr="00261C59">
        <w:rPr>
          <w:rFonts w:ascii="Calibri" w:hAnsi="Calibri"/>
          <w:sz w:val="24"/>
          <w:szCs w:val="24"/>
        </w:rPr>
        <w:t>specialist LHNs, which are required to have a functional focus without any particular geographic focus and are required to operate with whole-of-State coverage, for example specialist hospitals or the largest most complex tertiary hospitals</w:t>
      </w:r>
    </w:p>
    <w:p w14:paraId="1E03383D" w14:textId="77777777" w:rsidR="002F27E7" w:rsidRPr="00261C59" w:rsidRDefault="002F27E7" w:rsidP="004728D9">
      <w:pPr>
        <w:numPr>
          <w:ilvl w:val="1"/>
          <w:numId w:val="147"/>
        </w:numPr>
        <w:spacing w:after="240" w:line="260" w:lineRule="exact"/>
        <w:jc w:val="left"/>
        <w:rPr>
          <w:rFonts w:ascii="Calibri" w:hAnsi="Calibri"/>
          <w:sz w:val="24"/>
          <w:szCs w:val="24"/>
        </w:rPr>
      </w:pPr>
      <w:r w:rsidRPr="00261C59">
        <w:rPr>
          <w:rFonts w:ascii="Calibri" w:hAnsi="Calibri"/>
          <w:sz w:val="24"/>
          <w:szCs w:val="24"/>
        </w:rPr>
        <w:t>other LHNs, bringing together an individual or groups of hospitals operated by third parties as public hospitals, including those operated by religious orders.</w:t>
      </w:r>
    </w:p>
    <w:p w14:paraId="7C914476"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In regional Australia, a flexible approach is required to determine the regional, rural and remote LHN structure that best meets the needs of these communities, including co-governance with Aboriginal and Torres Strait Islander communities where appropriate, and best take into account the challenges of managing multiple small hospitals.</w:t>
      </w:r>
    </w:p>
    <w:p w14:paraId="6BFC6DEF"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If over time States identify that significant changes are needed to roles and structures for LHNs, they are required to work with LHNs to deliver the adjustments necessary to respond to these changes, including the number and location of staff.</w:t>
      </w:r>
    </w:p>
    <w:p w14:paraId="4E124875"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 xml:space="preserve">LHNs are required to co-design through funded partnerships with NACCHO Affiliates and ACCHOs in their regions to comply with their requirements as government entities under the National Agreement on Closing the Gap. This includes to work in partnership with Aboriginal and Torres Strait Islander people to deliver culturally safe and appropriate care to communities. </w:t>
      </w:r>
      <w:r w:rsidR="00781F99" w:rsidRPr="00261C59">
        <w:rPr>
          <w:rFonts w:ascii="Calibri" w:hAnsi="Calibri" w:cs="Calibri"/>
          <w:color w:val="000000" w:themeColor="text1"/>
          <w:sz w:val="24"/>
          <w:szCs w:val="24"/>
        </w:rPr>
        <w:t>Where there are no ACCHOs,</w:t>
      </w:r>
      <w:r w:rsidRPr="00261C59" w:rsidDel="6804B93D">
        <w:rPr>
          <w:rFonts w:ascii="Calibri" w:hAnsi="Calibri" w:cs="Calibri"/>
          <w:color w:val="000000" w:themeColor="text1"/>
          <w:sz w:val="24"/>
          <w:szCs w:val="24"/>
        </w:rPr>
        <w:t xml:space="preserve"> </w:t>
      </w:r>
      <w:r w:rsidRPr="00261C59">
        <w:rPr>
          <w:rFonts w:ascii="Calibri" w:hAnsi="Calibri" w:cs="Calibri"/>
          <w:color w:val="000000" w:themeColor="text1"/>
          <w:sz w:val="24"/>
          <w:szCs w:val="24"/>
        </w:rPr>
        <w:t>LHNs will co-design with other local Aboriginal and/or Torres Strait Islander led organisations.</w:t>
      </w:r>
    </w:p>
    <w:p w14:paraId="2E729A3B" w14:textId="77777777" w:rsidR="002F27E7" w:rsidRPr="00261C59" w:rsidRDefault="002F27E7" w:rsidP="00F61322">
      <w:pPr>
        <w:pStyle w:val="Heading2"/>
        <w:keepLines w:val="0"/>
        <w:widowControl/>
        <w:adjustRightInd/>
        <w:spacing w:before="180" w:after="120"/>
        <w:jc w:val="left"/>
        <w:textAlignment w:val="auto"/>
        <w:rPr>
          <w:rFonts w:ascii="Corbel" w:eastAsia="Times New Roman" w:hAnsi="Corbel" w:cs="Arial"/>
          <w:color w:val="3D4B67"/>
          <w:sz w:val="28"/>
          <w:szCs w:val="28"/>
        </w:rPr>
      </w:pPr>
      <w:bookmarkStart w:id="688" w:name="_Toc173937758"/>
      <w:bookmarkStart w:id="689" w:name="_Toc201674033"/>
      <w:bookmarkStart w:id="690" w:name="_Toc210833668"/>
      <w:bookmarkStart w:id="691" w:name="_Toc214456573"/>
      <w:bookmarkStart w:id="692" w:name="_Toc221088053"/>
      <w:r w:rsidRPr="00261C59">
        <w:rPr>
          <w:rFonts w:ascii="Corbel" w:eastAsia="Times New Roman" w:hAnsi="Corbel" w:cs="Arial"/>
          <w:color w:val="3D4B67"/>
          <w:sz w:val="28"/>
          <w:szCs w:val="28"/>
        </w:rPr>
        <w:t>Primary Health Networks</w:t>
      </w:r>
      <w:bookmarkEnd w:id="688"/>
      <w:bookmarkEnd w:id="689"/>
      <w:bookmarkEnd w:id="690"/>
      <w:bookmarkEnd w:id="691"/>
      <w:bookmarkEnd w:id="692"/>
      <w:r w:rsidRPr="00261C59">
        <w:rPr>
          <w:rFonts w:ascii="Corbel" w:eastAsia="Times New Roman" w:hAnsi="Corbel" w:cs="Arial"/>
          <w:color w:val="3D4B67"/>
          <w:sz w:val="28"/>
          <w:szCs w:val="28"/>
        </w:rPr>
        <w:t xml:space="preserve"> </w:t>
      </w:r>
    </w:p>
    <w:p w14:paraId="7D938838"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Primary Health Networks (PHNs) are a national network of primary health care organisations that take a system-level approach to improving coordination, integration and capacity building across the primary care system within their designated geographic areas.</w:t>
      </w:r>
    </w:p>
    <w:p w14:paraId="1FDDD4CA"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 xml:space="preserve">PHNs are responsible for:  </w:t>
      </w:r>
    </w:p>
    <w:p w14:paraId="1C391A62" w14:textId="3890501C" w:rsidR="002F27E7" w:rsidRPr="00261C59" w:rsidRDefault="002F27E7" w:rsidP="004728D9">
      <w:pPr>
        <w:numPr>
          <w:ilvl w:val="1"/>
          <w:numId w:val="148"/>
        </w:numPr>
        <w:spacing w:after="240" w:line="260" w:lineRule="exact"/>
        <w:jc w:val="left"/>
        <w:rPr>
          <w:rFonts w:ascii="Calibri" w:hAnsi="Calibri"/>
          <w:sz w:val="24"/>
          <w:szCs w:val="24"/>
        </w:rPr>
      </w:pPr>
      <w:r w:rsidRPr="00261C59">
        <w:rPr>
          <w:rFonts w:ascii="Calibri" w:hAnsi="Calibri"/>
          <w:sz w:val="24"/>
          <w:szCs w:val="24"/>
        </w:rPr>
        <w:t>supporting system level planning of primary healthcare delivery</w:t>
      </w:r>
    </w:p>
    <w:p w14:paraId="3DC47A88" w14:textId="23566E91" w:rsidR="002F27E7" w:rsidRPr="00261C59" w:rsidRDefault="002F27E7" w:rsidP="004728D9">
      <w:pPr>
        <w:numPr>
          <w:ilvl w:val="1"/>
          <w:numId w:val="148"/>
        </w:numPr>
        <w:spacing w:after="240" w:line="260" w:lineRule="exact"/>
        <w:jc w:val="left"/>
        <w:rPr>
          <w:rFonts w:ascii="Calibri" w:hAnsi="Calibri"/>
          <w:sz w:val="24"/>
          <w:szCs w:val="24"/>
        </w:rPr>
      </w:pPr>
      <w:r w:rsidRPr="00261C59">
        <w:rPr>
          <w:rFonts w:ascii="Calibri" w:hAnsi="Calibri"/>
          <w:sz w:val="24"/>
          <w:szCs w:val="24"/>
        </w:rPr>
        <w:t>monitoring and reporting, jointly with Rural Workforce Agencies, on the status of the general practice workforce in their designated local area and general practices at risk of closure resulting in no access to primary care. The Commonwealth will consider opportunities to further scale-up and embed this function, where possible, including engaging with other local stakeholders, such as LHNs, as appropriate. identifying the health needs of their local areas, in partnership with LHNs and the ACCHO sector, to monitor and inform the development of relevant and responsive services</w:t>
      </w:r>
    </w:p>
    <w:p w14:paraId="359D7BCA" w14:textId="72B203B6" w:rsidR="00781F99" w:rsidRPr="00261C59" w:rsidRDefault="00C02199" w:rsidP="004728D9">
      <w:pPr>
        <w:numPr>
          <w:ilvl w:val="1"/>
          <w:numId w:val="148"/>
        </w:numPr>
        <w:spacing w:after="240" w:line="260" w:lineRule="exact"/>
        <w:jc w:val="left"/>
        <w:rPr>
          <w:rFonts w:ascii="Calibri" w:hAnsi="Calibri"/>
          <w:sz w:val="24"/>
          <w:szCs w:val="24"/>
        </w:rPr>
      </w:pPr>
      <w:r>
        <w:rPr>
          <w:rFonts w:ascii="Calibri" w:hAnsi="Calibri"/>
          <w:sz w:val="24"/>
          <w:szCs w:val="24"/>
        </w:rPr>
        <w:t>i</w:t>
      </w:r>
      <w:r w:rsidR="00781F99" w:rsidRPr="00261C59">
        <w:rPr>
          <w:rFonts w:ascii="Calibri" w:hAnsi="Calibri"/>
          <w:sz w:val="24"/>
          <w:szCs w:val="24"/>
        </w:rPr>
        <w:t>dentifying the health needs of their local areas, in partnership with LHNs and the ACCHO sector, to monitor and inform the development of relevant and responsive services</w:t>
      </w:r>
    </w:p>
    <w:p w14:paraId="75A2B9B0" w14:textId="0A511135" w:rsidR="002F27E7" w:rsidRPr="00261C59" w:rsidRDefault="002F27E7" w:rsidP="00397EDA">
      <w:pPr>
        <w:keepLines/>
        <w:numPr>
          <w:ilvl w:val="1"/>
          <w:numId w:val="148"/>
        </w:numPr>
        <w:spacing w:after="240" w:line="260" w:lineRule="exact"/>
        <w:jc w:val="left"/>
        <w:rPr>
          <w:rFonts w:ascii="Calibri" w:hAnsi="Calibri"/>
          <w:sz w:val="24"/>
          <w:szCs w:val="24"/>
        </w:rPr>
      </w:pPr>
      <w:r w:rsidRPr="00261C59">
        <w:rPr>
          <w:rFonts w:ascii="Calibri" w:hAnsi="Calibri"/>
          <w:sz w:val="24"/>
          <w:szCs w:val="24"/>
        </w:rPr>
        <w:t>working in partnership with LHNs, Rural Workforce Agencies, ACCHOs and other stakeholders to identify service gaps in GP and primary health care services at the local level and working with service providers and funders to put in place timely strategies to address these gaps</w:t>
      </w:r>
    </w:p>
    <w:p w14:paraId="7EBA95D0" w14:textId="150F62E1" w:rsidR="002F27E7" w:rsidRPr="00261C59" w:rsidRDefault="002F27E7" w:rsidP="004728D9">
      <w:pPr>
        <w:numPr>
          <w:ilvl w:val="1"/>
          <w:numId w:val="148"/>
        </w:numPr>
        <w:spacing w:after="240" w:line="260" w:lineRule="exact"/>
        <w:jc w:val="left"/>
        <w:rPr>
          <w:rFonts w:ascii="Calibri" w:hAnsi="Calibri"/>
          <w:sz w:val="24"/>
          <w:szCs w:val="24"/>
        </w:rPr>
      </w:pPr>
      <w:r w:rsidRPr="00261C59">
        <w:rPr>
          <w:rFonts w:ascii="Calibri" w:hAnsi="Calibri"/>
          <w:sz w:val="24"/>
          <w:szCs w:val="24"/>
        </w:rPr>
        <w:t xml:space="preserve">ensuring funded formal partnerships with the ACCHO sector </w:t>
      </w:r>
    </w:p>
    <w:p w14:paraId="57123696" w14:textId="7D6133DB" w:rsidR="002F27E7" w:rsidRPr="00261C59" w:rsidRDefault="002F27E7" w:rsidP="004728D9">
      <w:pPr>
        <w:numPr>
          <w:ilvl w:val="1"/>
          <w:numId w:val="148"/>
        </w:numPr>
        <w:spacing w:after="240" w:line="260" w:lineRule="exact"/>
        <w:jc w:val="left"/>
        <w:rPr>
          <w:rFonts w:ascii="Calibri" w:hAnsi="Calibri"/>
          <w:sz w:val="24"/>
          <w:szCs w:val="24"/>
        </w:rPr>
      </w:pPr>
      <w:r w:rsidRPr="00261C59">
        <w:rPr>
          <w:rFonts w:ascii="Calibri" w:hAnsi="Calibri"/>
          <w:sz w:val="24"/>
          <w:szCs w:val="24"/>
        </w:rPr>
        <w:t>commissioning services to meet primary health needs in their region, including co-commissioning with LHNs, ACCHOs and other partners wherever relevant, including for mental health services and ensuring culturally appropriate services</w:t>
      </w:r>
    </w:p>
    <w:p w14:paraId="70C4F33A" w14:textId="2DCF1B90" w:rsidR="002F27E7" w:rsidRPr="00261C59" w:rsidRDefault="002F27E7" w:rsidP="008F5C80">
      <w:pPr>
        <w:keepLines/>
        <w:numPr>
          <w:ilvl w:val="1"/>
          <w:numId w:val="148"/>
        </w:numPr>
        <w:spacing w:after="240" w:line="260" w:lineRule="exact"/>
        <w:jc w:val="left"/>
        <w:rPr>
          <w:rFonts w:ascii="Calibri" w:hAnsi="Calibri"/>
          <w:sz w:val="24"/>
          <w:szCs w:val="24"/>
        </w:rPr>
      </w:pPr>
      <w:r w:rsidRPr="00261C59">
        <w:rPr>
          <w:rFonts w:ascii="Calibri" w:hAnsi="Calibri"/>
          <w:sz w:val="24"/>
          <w:szCs w:val="24"/>
        </w:rPr>
        <w:t>improving the patient journey by integrating and coordinating primary care services with services across the care continuum from community to hospital-based care</w:t>
      </w:r>
    </w:p>
    <w:p w14:paraId="4EB3F700" w14:textId="55C97D0C" w:rsidR="002F27E7" w:rsidRPr="00261C59" w:rsidRDefault="002F27E7" w:rsidP="004728D9">
      <w:pPr>
        <w:numPr>
          <w:ilvl w:val="1"/>
          <w:numId w:val="148"/>
        </w:numPr>
        <w:spacing w:after="240" w:line="260" w:lineRule="exact"/>
        <w:jc w:val="left"/>
        <w:rPr>
          <w:rFonts w:ascii="Calibri" w:hAnsi="Calibri"/>
          <w:sz w:val="24"/>
          <w:szCs w:val="24"/>
        </w:rPr>
      </w:pPr>
      <w:r w:rsidRPr="00261C59">
        <w:rPr>
          <w:rFonts w:ascii="Calibri" w:hAnsi="Calibri"/>
          <w:sz w:val="24"/>
          <w:szCs w:val="24"/>
        </w:rPr>
        <w:t>providing support to clinicians and service providers to improve patient care</w:t>
      </w:r>
    </w:p>
    <w:p w14:paraId="69178973" w14:textId="52E5D281" w:rsidR="002F27E7" w:rsidRPr="00261C59" w:rsidRDefault="002F27E7" w:rsidP="004728D9">
      <w:pPr>
        <w:numPr>
          <w:ilvl w:val="1"/>
          <w:numId w:val="148"/>
        </w:numPr>
        <w:spacing w:after="240" w:line="260" w:lineRule="exact"/>
        <w:jc w:val="left"/>
        <w:rPr>
          <w:rFonts w:ascii="Calibri" w:hAnsi="Calibri"/>
          <w:sz w:val="24"/>
          <w:szCs w:val="24"/>
        </w:rPr>
      </w:pPr>
      <w:r w:rsidRPr="00261C59">
        <w:rPr>
          <w:rFonts w:ascii="Calibri" w:hAnsi="Calibri"/>
          <w:sz w:val="24"/>
          <w:szCs w:val="24"/>
        </w:rPr>
        <w:t>implementing primary health care initiatives and programs, including any relevant preventive health and population health activities</w:t>
      </w:r>
    </w:p>
    <w:p w14:paraId="4700E16F" w14:textId="5D16E897" w:rsidR="002F27E7" w:rsidRPr="00261C59" w:rsidRDefault="002F27E7" w:rsidP="004728D9">
      <w:pPr>
        <w:numPr>
          <w:ilvl w:val="1"/>
          <w:numId w:val="148"/>
        </w:numPr>
        <w:spacing w:after="240" w:line="260" w:lineRule="exact"/>
        <w:jc w:val="left"/>
        <w:rPr>
          <w:rFonts w:ascii="Calibri" w:hAnsi="Calibri"/>
          <w:sz w:val="24"/>
          <w:szCs w:val="24"/>
        </w:rPr>
      </w:pPr>
      <w:r w:rsidRPr="00261C59">
        <w:rPr>
          <w:rFonts w:ascii="Calibri" w:hAnsi="Calibri"/>
          <w:sz w:val="24"/>
          <w:szCs w:val="24"/>
        </w:rPr>
        <w:t>being efficient and accountable with strong governance and effective management</w:t>
      </w:r>
    </w:p>
    <w:p w14:paraId="07D5454E" w14:textId="0D89087A" w:rsidR="002F27E7" w:rsidRPr="00261C59" w:rsidRDefault="002F27E7" w:rsidP="004728D9">
      <w:pPr>
        <w:numPr>
          <w:ilvl w:val="1"/>
          <w:numId w:val="148"/>
        </w:numPr>
        <w:spacing w:after="240" w:line="260" w:lineRule="exact"/>
        <w:jc w:val="left"/>
        <w:rPr>
          <w:rFonts w:ascii="Calibri" w:hAnsi="Calibri"/>
          <w:sz w:val="24"/>
          <w:szCs w:val="24"/>
        </w:rPr>
      </w:pPr>
      <w:r w:rsidRPr="00261C59">
        <w:rPr>
          <w:rFonts w:ascii="Calibri" w:hAnsi="Calibri"/>
          <w:sz w:val="24"/>
          <w:szCs w:val="24"/>
        </w:rPr>
        <w:t xml:space="preserve">in rural and remote areas, </w:t>
      </w:r>
      <w:r w:rsidR="00781F99" w:rsidRPr="00261C59">
        <w:rPr>
          <w:rFonts w:ascii="Calibri" w:hAnsi="Calibri"/>
          <w:sz w:val="24"/>
          <w:szCs w:val="24"/>
        </w:rPr>
        <w:t>partnering</w:t>
      </w:r>
      <w:r w:rsidRPr="00261C59">
        <w:rPr>
          <w:rFonts w:ascii="Calibri" w:hAnsi="Calibri"/>
          <w:sz w:val="24"/>
          <w:szCs w:val="24"/>
        </w:rPr>
        <w:t xml:space="preserve"> with Rural Workforce Agencies to ensure collaboration and coordination of recruitment and retention activities for the primary care workforce</w:t>
      </w:r>
    </w:p>
    <w:p w14:paraId="1BD07CFB" w14:textId="77777777" w:rsidR="002F27E7" w:rsidRPr="00261C59" w:rsidRDefault="002F27E7" w:rsidP="004728D9">
      <w:pPr>
        <w:numPr>
          <w:ilvl w:val="1"/>
          <w:numId w:val="148"/>
        </w:numPr>
        <w:spacing w:after="240" w:line="260" w:lineRule="exact"/>
        <w:jc w:val="left"/>
        <w:rPr>
          <w:rFonts w:ascii="Calibri" w:hAnsi="Calibri"/>
          <w:sz w:val="24"/>
          <w:szCs w:val="24"/>
        </w:rPr>
      </w:pPr>
      <w:r w:rsidRPr="00261C59">
        <w:rPr>
          <w:rFonts w:ascii="Calibri" w:hAnsi="Calibri"/>
          <w:sz w:val="24"/>
          <w:szCs w:val="24"/>
        </w:rPr>
        <w:t>partnering with LHNs, ACCHOs and other stakeholders to implement agile responses to support continuity of primary care services in line with the escalation pathway in Schedule C.</w:t>
      </w:r>
    </w:p>
    <w:p w14:paraId="28577324" w14:textId="719EFED7" w:rsidR="002F27E7" w:rsidRPr="00261C59" w:rsidRDefault="002F27E7" w:rsidP="004728D9">
      <w:pPr>
        <w:widowControl/>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sz w:val="24"/>
          <w:szCs w:val="24"/>
        </w:rPr>
        <w:t xml:space="preserve">To achieve this, the Parties acknowledge that PHNs engage with stakeholders across their local community, including LHNs, other health and </w:t>
      </w:r>
      <w:r w:rsidR="00781F99" w:rsidRPr="00261C59">
        <w:rPr>
          <w:rFonts w:ascii="Calibri" w:hAnsi="Calibri"/>
          <w:sz w:val="24"/>
          <w:szCs w:val="24"/>
        </w:rPr>
        <w:t>care providers and government entities to support health system integration.</w:t>
      </w:r>
      <w:r w:rsidRPr="00261C59">
        <w:rPr>
          <w:rFonts w:ascii="Calibri" w:hAnsi="Calibri"/>
          <w:sz w:val="24"/>
          <w:szCs w:val="24"/>
        </w:rPr>
        <w:t xml:space="preserve"> This includes but is not limited to:</w:t>
      </w:r>
    </w:p>
    <w:p w14:paraId="3DE8EA45" w14:textId="22093D2F" w:rsidR="002F27E7" w:rsidRPr="00261C59" w:rsidRDefault="002F27E7" w:rsidP="004728D9">
      <w:pPr>
        <w:numPr>
          <w:ilvl w:val="1"/>
          <w:numId w:val="149"/>
        </w:numPr>
        <w:spacing w:after="240" w:line="260" w:lineRule="exact"/>
        <w:jc w:val="left"/>
        <w:rPr>
          <w:rFonts w:ascii="Calibri" w:hAnsi="Calibri"/>
          <w:sz w:val="24"/>
          <w:szCs w:val="24"/>
        </w:rPr>
      </w:pPr>
      <w:r w:rsidRPr="00261C59">
        <w:rPr>
          <w:rFonts w:ascii="Calibri" w:hAnsi="Calibri"/>
          <w:sz w:val="24"/>
          <w:szCs w:val="24"/>
        </w:rPr>
        <w:t xml:space="preserve">undertaking population health needs assessments (e.g. to understand prevalence of chronic disease, access issues for at risk populations) and service mapping </w:t>
      </w:r>
    </w:p>
    <w:p w14:paraId="2B7029C4" w14:textId="577D0931" w:rsidR="002F27E7" w:rsidRPr="00261C59" w:rsidRDefault="002F27E7" w:rsidP="004728D9">
      <w:pPr>
        <w:numPr>
          <w:ilvl w:val="1"/>
          <w:numId w:val="149"/>
        </w:numPr>
        <w:spacing w:after="240" w:line="260" w:lineRule="exact"/>
        <w:jc w:val="left"/>
        <w:rPr>
          <w:rFonts w:ascii="Calibri" w:hAnsi="Calibri"/>
          <w:sz w:val="24"/>
          <w:szCs w:val="24"/>
        </w:rPr>
      </w:pPr>
      <w:r w:rsidRPr="00261C59">
        <w:rPr>
          <w:rFonts w:ascii="Calibri" w:hAnsi="Calibri"/>
          <w:sz w:val="24"/>
          <w:szCs w:val="24"/>
        </w:rPr>
        <w:t xml:space="preserve">gathering and analysing data on service provider activity and emerging health needs to inform planning for new services, providers and workforce requirements </w:t>
      </w:r>
    </w:p>
    <w:p w14:paraId="08FF0FBC" w14:textId="35B7ED24" w:rsidR="002F27E7" w:rsidRPr="00261C59" w:rsidRDefault="002F27E7" w:rsidP="004728D9">
      <w:pPr>
        <w:numPr>
          <w:ilvl w:val="1"/>
          <w:numId w:val="149"/>
        </w:numPr>
        <w:spacing w:after="240" w:line="260" w:lineRule="exact"/>
        <w:jc w:val="left"/>
        <w:rPr>
          <w:rFonts w:ascii="Calibri" w:hAnsi="Calibri"/>
          <w:sz w:val="24"/>
          <w:szCs w:val="24"/>
        </w:rPr>
      </w:pPr>
      <w:r w:rsidRPr="00261C59">
        <w:rPr>
          <w:rFonts w:ascii="Calibri" w:hAnsi="Calibri"/>
          <w:sz w:val="24"/>
          <w:szCs w:val="24"/>
        </w:rPr>
        <w:t xml:space="preserve">building connections across general practice, allied health, nursing and midwifery, mental health, drug and alcohol treatment, specialist, pharmacy, ACCHOs and other Aboriginal and Torres Strait Islander providers to facilitate multidisciplinary team care </w:t>
      </w:r>
    </w:p>
    <w:p w14:paraId="3C0B565F" w14:textId="6C113E4A" w:rsidR="002F27E7" w:rsidRPr="00261C59" w:rsidRDefault="002F27E7" w:rsidP="004728D9">
      <w:pPr>
        <w:numPr>
          <w:ilvl w:val="1"/>
          <w:numId w:val="149"/>
        </w:numPr>
        <w:spacing w:after="240" w:line="260" w:lineRule="exact"/>
        <w:jc w:val="left"/>
        <w:rPr>
          <w:rFonts w:ascii="Calibri" w:hAnsi="Calibri"/>
          <w:sz w:val="24"/>
          <w:szCs w:val="24"/>
        </w:rPr>
      </w:pPr>
      <w:r w:rsidRPr="00261C59">
        <w:rPr>
          <w:rFonts w:ascii="Calibri" w:hAnsi="Calibri"/>
          <w:sz w:val="24"/>
          <w:szCs w:val="24"/>
        </w:rPr>
        <w:t xml:space="preserve">building connections across public and private sectors, with LHNs, public health and community health services (including ACCHOs), national digital health and triage services (e.g. Healthdirect) to support efficient health system functioning </w:t>
      </w:r>
    </w:p>
    <w:p w14:paraId="19FD4166" w14:textId="77777777" w:rsidR="002F27E7" w:rsidRPr="00261C59" w:rsidRDefault="002F27E7" w:rsidP="004728D9">
      <w:pPr>
        <w:numPr>
          <w:ilvl w:val="1"/>
          <w:numId w:val="149"/>
        </w:numPr>
        <w:spacing w:after="240" w:line="260" w:lineRule="exact"/>
        <w:jc w:val="left"/>
        <w:rPr>
          <w:rFonts w:ascii="Calibri" w:hAnsi="Calibri"/>
          <w:sz w:val="24"/>
          <w:szCs w:val="24"/>
        </w:rPr>
      </w:pPr>
      <w:r w:rsidRPr="00261C59">
        <w:rPr>
          <w:rFonts w:ascii="Calibri" w:hAnsi="Calibri"/>
          <w:sz w:val="24"/>
          <w:szCs w:val="24"/>
        </w:rPr>
        <w:t>strengthening care pathways (including referral and discharge processes) in line with local, regional, State and national needs and priorities.</w:t>
      </w:r>
    </w:p>
    <w:p w14:paraId="23C29317" w14:textId="7F073C7D" w:rsidR="00781F99" w:rsidRPr="00261C59" w:rsidRDefault="00781F99" w:rsidP="004728D9">
      <w:pPr>
        <w:keepLines/>
        <w:widowControl/>
        <w:numPr>
          <w:ilvl w:val="0"/>
          <w:numId w:val="21"/>
        </w:numPr>
        <w:spacing w:after="240" w:line="260" w:lineRule="exact"/>
        <w:jc w:val="left"/>
        <w:rPr>
          <w:rFonts w:ascii="Calibri" w:hAnsi="Calibri"/>
          <w:sz w:val="24"/>
          <w:szCs w:val="24"/>
        </w:rPr>
      </w:pPr>
      <w:r w:rsidRPr="00261C59">
        <w:rPr>
          <w:rFonts w:ascii="Calibri" w:hAnsi="Calibri"/>
          <w:sz w:val="24"/>
          <w:szCs w:val="24"/>
        </w:rPr>
        <w:t xml:space="preserve">The Parties acknowledge that </w:t>
      </w:r>
      <w:r w:rsidR="00552781" w:rsidRPr="00261C59">
        <w:rPr>
          <w:rFonts w:ascii="Calibri" w:hAnsi="Calibri"/>
          <w:sz w:val="24"/>
          <w:szCs w:val="24"/>
        </w:rPr>
        <w:t>changes</w:t>
      </w:r>
      <w:r w:rsidRPr="00261C59">
        <w:rPr>
          <w:rFonts w:ascii="Calibri" w:hAnsi="Calibri"/>
          <w:sz w:val="24"/>
          <w:szCs w:val="24"/>
        </w:rPr>
        <w:t xml:space="preserve"> to improve the PHN Program </w:t>
      </w:r>
      <w:r w:rsidR="00E2420E" w:rsidRPr="00261C59">
        <w:rPr>
          <w:rFonts w:ascii="Calibri" w:hAnsi="Calibri"/>
          <w:sz w:val="24"/>
          <w:szCs w:val="24"/>
        </w:rPr>
        <w:t xml:space="preserve">will be made </w:t>
      </w:r>
      <w:r w:rsidRPr="00261C59">
        <w:rPr>
          <w:rFonts w:ascii="Calibri" w:hAnsi="Calibri"/>
          <w:sz w:val="24"/>
          <w:szCs w:val="24"/>
        </w:rPr>
        <w:t xml:space="preserve">over the life of this Addendum. </w:t>
      </w:r>
      <w:r w:rsidR="00E2420E" w:rsidRPr="00261C59">
        <w:rPr>
          <w:rFonts w:ascii="Calibri" w:hAnsi="Calibri"/>
          <w:sz w:val="24"/>
          <w:szCs w:val="24"/>
        </w:rPr>
        <w:t>Improvements to the PHN Program</w:t>
      </w:r>
      <w:r w:rsidRPr="00261C59">
        <w:rPr>
          <w:rFonts w:ascii="Calibri" w:hAnsi="Calibri"/>
          <w:sz w:val="24"/>
          <w:szCs w:val="24"/>
        </w:rPr>
        <w:t xml:space="preserve"> will</w:t>
      </w:r>
      <w:r w:rsidR="00E2420E" w:rsidRPr="00261C59">
        <w:rPr>
          <w:rFonts w:ascii="Calibri" w:hAnsi="Calibri"/>
          <w:sz w:val="24"/>
          <w:szCs w:val="24"/>
        </w:rPr>
        <w:t xml:space="preserve"> aim to</w:t>
      </w:r>
      <w:r w:rsidRPr="00261C59">
        <w:rPr>
          <w:rFonts w:ascii="Calibri" w:hAnsi="Calibri"/>
          <w:sz w:val="24"/>
          <w:szCs w:val="24"/>
        </w:rPr>
        <w:t xml:space="preserve"> strengthen PHNs’ capability and capacity</w:t>
      </w:r>
      <w:r w:rsidR="00E2420E" w:rsidRPr="00261C59">
        <w:rPr>
          <w:rFonts w:ascii="Calibri" w:hAnsi="Calibri"/>
          <w:sz w:val="24"/>
          <w:szCs w:val="24"/>
        </w:rPr>
        <w:t>, including</w:t>
      </w:r>
      <w:r w:rsidRPr="00261C59">
        <w:rPr>
          <w:rFonts w:ascii="Calibri" w:hAnsi="Calibri"/>
          <w:sz w:val="24"/>
          <w:szCs w:val="24"/>
        </w:rPr>
        <w:t xml:space="preserve"> to deliver on priorities identified in this Agreement. </w:t>
      </w:r>
      <w:r w:rsidR="000C6147" w:rsidRPr="00261C59">
        <w:rPr>
          <w:rFonts w:ascii="Calibri" w:hAnsi="Calibri"/>
          <w:sz w:val="24"/>
          <w:szCs w:val="24"/>
        </w:rPr>
        <w:t xml:space="preserve">The </w:t>
      </w:r>
      <w:r w:rsidR="005B42F7" w:rsidRPr="00261C59">
        <w:rPr>
          <w:rFonts w:ascii="Calibri" w:hAnsi="Calibri"/>
          <w:sz w:val="24"/>
          <w:szCs w:val="24"/>
        </w:rPr>
        <w:t xml:space="preserve">Commonwealth </w:t>
      </w:r>
      <w:r w:rsidR="000C6147" w:rsidRPr="00261C59">
        <w:rPr>
          <w:rFonts w:ascii="Calibri" w:hAnsi="Calibri"/>
          <w:sz w:val="24"/>
          <w:szCs w:val="24"/>
        </w:rPr>
        <w:t xml:space="preserve">will implement actions to strengthen PHN governance and accountability arrangements, uplift PHN performance, promote transparency and improve data intelligence capability. These improvements will support PHNs to work collaboratively with local stakeholders, including LHNs, to identify and flexibly address local needs and deliver national programs. </w:t>
      </w:r>
      <w:r w:rsidRPr="00261C59">
        <w:rPr>
          <w:rFonts w:ascii="Calibri" w:hAnsi="Calibri"/>
          <w:sz w:val="24"/>
          <w:szCs w:val="24"/>
        </w:rPr>
        <w:t>Parties agree to be flexible and adaptive in response.</w:t>
      </w:r>
    </w:p>
    <w:p w14:paraId="7A919332" w14:textId="6ADEC399" w:rsidR="002F27E7" w:rsidRPr="00261C59" w:rsidRDefault="002F27E7" w:rsidP="004728D9">
      <w:pPr>
        <w:widowControl/>
        <w:numPr>
          <w:ilvl w:val="0"/>
          <w:numId w:val="21"/>
        </w:numPr>
        <w:spacing w:after="240" w:line="260" w:lineRule="exact"/>
        <w:jc w:val="left"/>
        <w:rPr>
          <w:rFonts w:asciiTheme="minorHAnsi" w:eastAsiaTheme="minorEastAsia" w:hAnsiTheme="minorHAnsi" w:cstheme="minorBidi"/>
          <w:sz w:val="24"/>
          <w:szCs w:val="24"/>
        </w:rPr>
      </w:pPr>
      <w:r w:rsidRPr="00261C59">
        <w:rPr>
          <w:rFonts w:asciiTheme="minorHAnsi" w:eastAsiaTheme="minorEastAsia" w:hAnsiTheme="minorHAnsi" w:cstheme="minorBidi"/>
          <w:sz w:val="24"/>
          <w:szCs w:val="24"/>
        </w:rPr>
        <w:t>The Commonwealth commits to supplying the annual PHN program performance report to HMM.</w:t>
      </w:r>
      <w:r w:rsidR="00603D62" w:rsidRPr="00261C59">
        <w:rPr>
          <w:rFonts w:asciiTheme="minorHAnsi" w:eastAsiaTheme="minorEastAsia" w:hAnsiTheme="minorHAnsi" w:cstheme="minorBidi"/>
          <w:sz w:val="24"/>
          <w:szCs w:val="24"/>
        </w:rPr>
        <w:t xml:space="preserve"> This report will be publicly available to promote transparency and accountability of PHNs, including against indicators for stakeholder engagement.</w:t>
      </w:r>
    </w:p>
    <w:p w14:paraId="3DC8EE0F" w14:textId="77777777" w:rsidR="002F27E7" w:rsidRPr="00261C59" w:rsidRDefault="002F27E7" w:rsidP="00F61322">
      <w:pPr>
        <w:pStyle w:val="Heading2"/>
        <w:keepLines w:val="0"/>
        <w:widowControl/>
        <w:adjustRightInd/>
        <w:spacing w:before="180" w:after="120"/>
        <w:jc w:val="left"/>
        <w:textAlignment w:val="auto"/>
        <w:rPr>
          <w:rFonts w:ascii="Corbel" w:eastAsia="Times New Roman" w:hAnsi="Corbel" w:cs="Arial"/>
          <w:color w:val="3D4B67"/>
          <w:sz w:val="28"/>
          <w:szCs w:val="28"/>
        </w:rPr>
      </w:pPr>
      <w:bookmarkStart w:id="693" w:name="_Toc173937759"/>
      <w:bookmarkStart w:id="694" w:name="_Toc201674034"/>
      <w:bookmarkStart w:id="695" w:name="_Toc210833669"/>
      <w:bookmarkStart w:id="696" w:name="_Toc214456574"/>
      <w:bookmarkStart w:id="697" w:name="_Toc221088054"/>
      <w:r w:rsidRPr="00261C59">
        <w:rPr>
          <w:rFonts w:ascii="Corbel" w:eastAsia="Times New Roman" w:hAnsi="Corbel" w:cs="Arial"/>
          <w:color w:val="3D4B67"/>
          <w:sz w:val="28"/>
          <w:szCs w:val="28"/>
        </w:rPr>
        <w:t>Aboriginal Community Controlled Health Organisations</w:t>
      </w:r>
      <w:bookmarkEnd w:id="693"/>
      <w:bookmarkEnd w:id="694"/>
      <w:bookmarkEnd w:id="695"/>
      <w:bookmarkEnd w:id="696"/>
      <w:bookmarkEnd w:id="697"/>
    </w:p>
    <w:p w14:paraId="606189E4" w14:textId="5CED2FA5"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 xml:space="preserve">The Aboriginal Community Controlled Health Organisation (ACCHO) sector is made up of individual organisations, state and territory level Affiliates and the National Aboriginal Community Controlled Health Organisation (NACCHO) at the national level. See </w:t>
      </w:r>
      <w:r w:rsidR="00CE7337" w:rsidRPr="00261C59">
        <w:rPr>
          <w:rFonts w:ascii="Calibri" w:hAnsi="Calibri" w:cs="Calibri"/>
          <w:color w:val="000000" w:themeColor="text1"/>
          <w:sz w:val="24"/>
          <w:szCs w:val="24"/>
        </w:rPr>
        <w:br/>
      </w:r>
      <w:r w:rsidRPr="00261C59">
        <w:rPr>
          <w:rFonts w:ascii="Calibri" w:hAnsi="Calibri" w:cs="Calibri"/>
          <w:color w:val="000000" w:themeColor="text1"/>
          <w:sz w:val="24"/>
          <w:szCs w:val="24"/>
        </w:rPr>
        <w:t xml:space="preserve">Schedule B for more information about the ACCHO sector. Each of these organisations play critical roles across different levels of the health system: </w:t>
      </w:r>
    </w:p>
    <w:p w14:paraId="18F3E4DE" w14:textId="550B32B8" w:rsidR="002F27E7" w:rsidRPr="00261C59" w:rsidRDefault="002F27E7" w:rsidP="004728D9">
      <w:pPr>
        <w:numPr>
          <w:ilvl w:val="1"/>
          <w:numId w:val="150"/>
        </w:numPr>
        <w:spacing w:after="240" w:line="260" w:lineRule="exact"/>
        <w:jc w:val="left"/>
        <w:rPr>
          <w:rFonts w:ascii="Calibri" w:hAnsi="Calibri"/>
          <w:sz w:val="24"/>
          <w:szCs w:val="24"/>
        </w:rPr>
      </w:pPr>
      <w:r w:rsidRPr="00261C59">
        <w:rPr>
          <w:rFonts w:ascii="Calibri" w:hAnsi="Calibri"/>
          <w:sz w:val="24"/>
          <w:szCs w:val="24"/>
        </w:rPr>
        <w:t>An ACCHO is a primary health care service initiated and operated by the local Aboriginal and/or Torres Strait Islander community to deliver holistic, comprehensive, and culturally appropriate health care to the community which controls it, through a Board of Management elected by the local community</w:t>
      </w:r>
    </w:p>
    <w:p w14:paraId="5F9FE7D9" w14:textId="44142CE5" w:rsidR="002F27E7" w:rsidRPr="00261C59" w:rsidRDefault="002F27E7" w:rsidP="004728D9">
      <w:pPr>
        <w:numPr>
          <w:ilvl w:val="1"/>
          <w:numId w:val="150"/>
        </w:numPr>
        <w:spacing w:after="240" w:line="260" w:lineRule="exact"/>
        <w:jc w:val="left"/>
        <w:rPr>
          <w:rFonts w:ascii="Calibri" w:hAnsi="Calibri"/>
          <w:sz w:val="24"/>
          <w:szCs w:val="24"/>
        </w:rPr>
      </w:pPr>
      <w:r w:rsidRPr="00261C59">
        <w:rPr>
          <w:rFonts w:ascii="Calibri" w:hAnsi="Calibri"/>
          <w:sz w:val="24"/>
          <w:szCs w:val="24"/>
        </w:rPr>
        <w:t xml:space="preserve">State and territory Affiliates represent ACCHOs and support sector development in their jurisdictions. Affiliates play a pivotal role in health system leadership and partnership across each State and Territory  </w:t>
      </w:r>
    </w:p>
    <w:p w14:paraId="148E4973" w14:textId="35FFE2AB" w:rsidR="002F27E7" w:rsidRPr="00261C59" w:rsidRDefault="002F27E7" w:rsidP="004728D9">
      <w:pPr>
        <w:numPr>
          <w:ilvl w:val="1"/>
          <w:numId w:val="150"/>
        </w:numPr>
        <w:spacing w:after="240" w:line="260" w:lineRule="exact"/>
        <w:jc w:val="left"/>
        <w:rPr>
          <w:rFonts w:ascii="Calibri" w:hAnsi="Calibri"/>
          <w:sz w:val="24"/>
          <w:szCs w:val="24"/>
        </w:rPr>
      </w:pPr>
      <w:r w:rsidRPr="00261C59">
        <w:rPr>
          <w:rFonts w:ascii="Calibri" w:hAnsi="Calibri"/>
          <w:sz w:val="24"/>
          <w:szCs w:val="24"/>
        </w:rPr>
        <w:t>At the national level, NACCHO plays a critical role as the leadership body for its member ACCHOs. NACCHO influences policymaking through strategic partnerships with government and the mainstream health sector</w:t>
      </w:r>
      <w:r w:rsidR="00264B79" w:rsidRPr="00261C59">
        <w:rPr>
          <w:rFonts w:ascii="Calibri" w:hAnsi="Calibri"/>
          <w:sz w:val="24"/>
          <w:szCs w:val="24"/>
        </w:rPr>
        <w:t>.</w:t>
      </w:r>
    </w:p>
    <w:p w14:paraId="31A47D8C" w14:textId="77777777" w:rsidR="002F27E7" w:rsidRPr="00261C59" w:rsidRDefault="002F27E7" w:rsidP="004728D9">
      <w:pPr>
        <w:numPr>
          <w:ilvl w:val="0"/>
          <w:numId w:val="21"/>
        </w:numPr>
        <w:spacing w:after="240" w:line="260" w:lineRule="exact"/>
        <w:jc w:val="left"/>
        <w:rPr>
          <w:rFonts w:ascii="Calibri" w:eastAsia="Calibri" w:hAnsi="Calibri" w:cs="Calibri"/>
          <w:color w:val="000000" w:themeColor="text1"/>
          <w:sz w:val="24"/>
          <w:szCs w:val="24"/>
        </w:rPr>
      </w:pPr>
      <w:r w:rsidRPr="00261C59">
        <w:rPr>
          <w:rFonts w:ascii="Calibri" w:eastAsia="Calibri" w:hAnsi="Calibri" w:cs="Calibri"/>
          <w:color w:val="000000" w:themeColor="text1"/>
          <w:sz w:val="24"/>
          <w:szCs w:val="24"/>
        </w:rPr>
        <w:t>ACCHOs play an important role in supporting improved outcomes for Aboriginal and Torres Strait Islander people by:</w:t>
      </w:r>
    </w:p>
    <w:p w14:paraId="0E712341" w14:textId="066DF9C8" w:rsidR="002F27E7" w:rsidRPr="00261C59" w:rsidRDefault="002F27E7" w:rsidP="004728D9">
      <w:pPr>
        <w:numPr>
          <w:ilvl w:val="1"/>
          <w:numId w:val="21"/>
        </w:numPr>
        <w:spacing w:after="240" w:line="260" w:lineRule="exact"/>
        <w:jc w:val="left"/>
        <w:rPr>
          <w:rFonts w:ascii="Calibri" w:hAnsi="Calibri" w:cs="Calibri"/>
          <w:sz w:val="24"/>
          <w:szCs w:val="24"/>
        </w:rPr>
      </w:pPr>
      <w:r w:rsidRPr="00261C59">
        <w:rPr>
          <w:rFonts w:ascii="Calibri" w:hAnsi="Calibri" w:cs="Calibri"/>
          <w:sz w:val="24"/>
          <w:szCs w:val="24"/>
        </w:rPr>
        <w:t xml:space="preserve">providing a range of complex multi-disciplinary services, including but not limited to, delivering health, mental health, social and emotional wellbeing, early childhood, disability, family, youth and aged care support to Aboriginal and/or Torres Strait Islander people in their communities. The full scope of these services is detailed in the NACCHO Core Services Outcomes Framework </w:t>
      </w:r>
    </w:p>
    <w:p w14:paraId="25621B5A" w14:textId="57C7C981" w:rsidR="002F27E7" w:rsidRPr="00261C59" w:rsidRDefault="002F27E7" w:rsidP="004728D9">
      <w:pPr>
        <w:numPr>
          <w:ilvl w:val="1"/>
          <w:numId w:val="21"/>
        </w:numPr>
        <w:spacing w:after="240" w:line="260" w:lineRule="exact"/>
        <w:jc w:val="left"/>
        <w:rPr>
          <w:rFonts w:ascii="Calibri" w:hAnsi="Calibri" w:cs="Calibri"/>
          <w:sz w:val="24"/>
          <w:szCs w:val="24"/>
        </w:rPr>
      </w:pPr>
      <w:r w:rsidRPr="00261C59">
        <w:rPr>
          <w:rFonts w:ascii="Calibri" w:hAnsi="Calibri" w:cs="Calibri"/>
          <w:sz w:val="24"/>
          <w:szCs w:val="24"/>
        </w:rPr>
        <w:t xml:space="preserve">supporting system level planning of healthcare delivery for Aboriginal and Torres Strait Islander people </w:t>
      </w:r>
    </w:p>
    <w:p w14:paraId="3FC02203" w14:textId="268A4CBB" w:rsidR="002F27E7" w:rsidRPr="00261C59" w:rsidRDefault="002F27E7" w:rsidP="004728D9">
      <w:pPr>
        <w:numPr>
          <w:ilvl w:val="1"/>
          <w:numId w:val="21"/>
        </w:numPr>
        <w:spacing w:after="240" w:line="260" w:lineRule="exact"/>
        <w:jc w:val="left"/>
        <w:rPr>
          <w:rFonts w:ascii="Calibri" w:hAnsi="Calibri" w:cs="Calibri"/>
          <w:sz w:val="24"/>
          <w:szCs w:val="24"/>
        </w:rPr>
      </w:pPr>
      <w:r w:rsidRPr="00261C59">
        <w:rPr>
          <w:rFonts w:ascii="Calibri" w:hAnsi="Calibri" w:cs="Calibri"/>
          <w:sz w:val="24"/>
          <w:szCs w:val="24"/>
        </w:rPr>
        <w:t>identifying the health needs of their local community to inform the development of relevant and responsive services</w:t>
      </w:r>
    </w:p>
    <w:p w14:paraId="48E5B085" w14:textId="080A1901" w:rsidR="002F27E7" w:rsidRPr="00261C59" w:rsidRDefault="002F27E7" w:rsidP="004728D9">
      <w:pPr>
        <w:numPr>
          <w:ilvl w:val="1"/>
          <w:numId w:val="21"/>
        </w:numPr>
        <w:spacing w:after="240" w:line="260" w:lineRule="exact"/>
        <w:jc w:val="left"/>
        <w:rPr>
          <w:rFonts w:ascii="Calibri" w:hAnsi="Calibri" w:cs="Calibri"/>
          <w:sz w:val="24"/>
          <w:szCs w:val="24"/>
        </w:rPr>
      </w:pPr>
      <w:r w:rsidRPr="00261C59">
        <w:rPr>
          <w:rFonts w:ascii="Calibri" w:hAnsi="Calibri" w:cs="Calibri"/>
          <w:sz w:val="24"/>
          <w:szCs w:val="24"/>
        </w:rPr>
        <w:t xml:space="preserve">engaging in formal partnerships with PHNs and LHNs, where appropriate </w:t>
      </w:r>
    </w:p>
    <w:p w14:paraId="2EB1B995" w14:textId="77777777" w:rsidR="002F27E7" w:rsidRPr="00261C59" w:rsidRDefault="002F27E7" w:rsidP="004728D9">
      <w:pPr>
        <w:widowControl/>
        <w:numPr>
          <w:ilvl w:val="1"/>
          <w:numId w:val="21"/>
        </w:numPr>
        <w:spacing w:after="240" w:line="260" w:lineRule="exact"/>
        <w:jc w:val="left"/>
        <w:rPr>
          <w:rFonts w:ascii="Calibri" w:hAnsi="Calibri" w:cs="Calibri"/>
          <w:sz w:val="24"/>
          <w:szCs w:val="24"/>
        </w:rPr>
      </w:pPr>
      <w:r w:rsidRPr="00261C59">
        <w:rPr>
          <w:rFonts w:ascii="Calibri" w:hAnsi="Calibri" w:cs="Calibri"/>
          <w:sz w:val="24"/>
          <w:szCs w:val="24"/>
        </w:rPr>
        <w:t>engaging in opportunities for co-commissioning with LHNs, PHNs and other partners to meet the needs of the local Aboriginal and/or Torres Strait Islander community.</w:t>
      </w:r>
    </w:p>
    <w:p w14:paraId="732945BE" w14:textId="77777777" w:rsidR="002F27E7" w:rsidRPr="00261C59" w:rsidRDefault="002F27E7" w:rsidP="004728D9">
      <w:pPr>
        <w:numPr>
          <w:ilvl w:val="0"/>
          <w:numId w:val="21"/>
        </w:numPr>
        <w:spacing w:after="240" w:line="260" w:lineRule="exact"/>
        <w:jc w:val="left"/>
        <w:rPr>
          <w:rFonts w:ascii="Calibri" w:eastAsia="Calibri" w:hAnsi="Calibri" w:cs="Calibri"/>
          <w:color w:val="000000" w:themeColor="text1"/>
          <w:sz w:val="24"/>
          <w:szCs w:val="24"/>
        </w:rPr>
      </w:pPr>
      <w:r w:rsidRPr="00261C59">
        <w:rPr>
          <w:rFonts w:ascii="Calibri" w:eastAsia="Calibri" w:hAnsi="Calibri" w:cs="Calibri"/>
          <w:color w:val="000000" w:themeColor="text1"/>
          <w:sz w:val="24"/>
          <w:szCs w:val="24"/>
        </w:rPr>
        <w:t>ACCHOs are also key stakeholders that engage across their local community, including health and other care providers and government entities, to support better outcomes for their communities. This includes but is not limited to:</w:t>
      </w:r>
    </w:p>
    <w:p w14:paraId="11658835" w14:textId="709E8B9F" w:rsidR="002F27E7" w:rsidRPr="00261C59" w:rsidRDefault="002F27E7" w:rsidP="004728D9">
      <w:pPr>
        <w:numPr>
          <w:ilvl w:val="1"/>
          <w:numId w:val="21"/>
        </w:numPr>
        <w:spacing w:after="240" w:line="260" w:lineRule="exact"/>
        <w:jc w:val="left"/>
        <w:rPr>
          <w:rFonts w:ascii="Calibri" w:hAnsi="Calibri"/>
          <w:sz w:val="24"/>
          <w:szCs w:val="24"/>
        </w:rPr>
      </w:pPr>
      <w:r w:rsidRPr="00261C59">
        <w:rPr>
          <w:rFonts w:ascii="Calibri" w:hAnsi="Calibri"/>
          <w:sz w:val="24"/>
          <w:szCs w:val="24"/>
        </w:rPr>
        <w:t>improving the patient journey by playing a care coordination role for Aboriginal and Torres Strait Islander people between community and hospital-based care</w:t>
      </w:r>
    </w:p>
    <w:p w14:paraId="7F27083B" w14:textId="0D5F4AF3" w:rsidR="002F27E7" w:rsidRPr="00261C59" w:rsidRDefault="002F27E7" w:rsidP="004728D9">
      <w:pPr>
        <w:numPr>
          <w:ilvl w:val="1"/>
          <w:numId w:val="21"/>
        </w:numPr>
        <w:spacing w:after="240" w:line="260" w:lineRule="exact"/>
        <w:jc w:val="left"/>
        <w:rPr>
          <w:rFonts w:ascii="Calibri" w:hAnsi="Calibri"/>
          <w:sz w:val="24"/>
          <w:szCs w:val="24"/>
        </w:rPr>
      </w:pPr>
      <w:r w:rsidRPr="00261C59">
        <w:rPr>
          <w:rFonts w:ascii="Calibri" w:hAnsi="Calibri"/>
          <w:sz w:val="24"/>
          <w:szCs w:val="24"/>
        </w:rPr>
        <w:t>providing support to mainstream health providers to ensure they are accountable for delivering culturally safe and appropriate care to Aboriginal and Torres Strait Islander people</w:t>
      </w:r>
    </w:p>
    <w:p w14:paraId="1773BB5E" w14:textId="1BCB0D3E" w:rsidR="002F27E7" w:rsidRPr="00261C59" w:rsidRDefault="002F27E7" w:rsidP="00C304C3">
      <w:pPr>
        <w:keepLines/>
        <w:numPr>
          <w:ilvl w:val="1"/>
          <w:numId w:val="21"/>
        </w:numPr>
        <w:spacing w:after="240" w:line="260" w:lineRule="exact"/>
        <w:jc w:val="left"/>
        <w:rPr>
          <w:rFonts w:ascii="Calibri" w:hAnsi="Calibri"/>
          <w:sz w:val="24"/>
          <w:szCs w:val="24"/>
        </w:rPr>
      </w:pPr>
      <w:r w:rsidRPr="00261C59">
        <w:rPr>
          <w:rFonts w:ascii="Calibri" w:hAnsi="Calibri"/>
          <w:sz w:val="24"/>
          <w:szCs w:val="24"/>
        </w:rPr>
        <w:t>advocating for their communities’ right to health and providing a leadership role in holding mainstream services (including hospitals) accountable for providing culturally safe and responsive care to Aboriginal and Torres Strait Islander people</w:t>
      </w:r>
    </w:p>
    <w:p w14:paraId="4DE7C968" w14:textId="77777777" w:rsidR="002F27E7" w:rsidRPr="00261C59" w:rsidRDefault="002F27E7" w:rsidP="004728D9">
      <w:pPr>
        <w:numPr>
          <w:ilvl w:val="1"/>
          <w:numId w:val="21"/>
        </w:numPr>
        <w:spacing w:after="240" w:line="260" w:lineRule="exact"/>
        <w:jc w:val="left"/>
        <w:rPr>
          <w:rFonts w:ascii="Calibri" w:hAnsi="Calibri"/>
          <w:sz w:val="24"/>
          <w:szCs w:val="24"/>
        </w:rPr>
      </w:pPr>
      <w:r w:rsidRPr="00261C59">
        <w:rPr>
          <w:rFonts w:ascii="Calibri" w:hAnsi="Calibri"/>
          <w:sz w:val="24"/>
          <w:szCs w:val="24"/>
        </w:rPr>
        <w:t xml:space="preserve">approving and </w:t>
      </w:r>
      <w:r w:rsidR="00781F99" w:rsidRPr="00261C59">
        <w:rPr>
          <w:rFonts w:ascii="Calibri" w:hAnsi="Calibri"/>
          <w:sz w:val="24"/>
          <w:szCs w:val="24"/>
        </w:rPr>
        <w:t>informing</w:t>
      </w:r>
      <w:r w:rsidRPr="00261C59">
        <w:rPr>
          <w:rFonts w:ascii="Calibri" w:hAnsi="Calibri"/>
          <w:sz w:val="24"/>
          <w:szCs w:val="24"/>
        </w:rPr>
        <w:t xml:space="preserve"> health related policy, initiatives and consultations which involve their communities.</w:t>
      </w:r>
    </w:p>
    <w:p w14:paraId="502686D4" w14:textId="77777777" w:rsidR="002F27E7" w:rsidRPr="00261C59" w:rsidRDefault="002F27E7" w:rsidP="004728D9">
      <w:pPr>
        <w:numPr>
          <w:ilvl w:val="0"/>
          <w:numId w:val="21"/>
        </w:numPr>
        <w:spacing w:after="240" w:line="260" w:lineRule="exact"/>
        <w:jc w:val="left"/>
        <w:rPr>
          <w:rFonts w:ascii="Calibri" w:eastAsia="Calibri" w:hAnsi="Calibri" w:cs="Calibri"/>
          <w:color w:val="000000" w:themeColor="text1"/>
          <w:sz w:val="24"/>
          <w:szCs w:val="24"/>
        </w:rPr>
      </w:pPr>
      <w:r w:rsidRPr="00261C59">
        <w:rPr>
          <w:rFonts w:ascii="Calibri" w:eastAsia="Calibri" w:hAnsi="Calibri" w:cs="Calibri"/>
          <w:color w:val="000000" w:themeColor="text1"/>
          <w:sz w:val="24"/>
          <w:szCs w:val="24"/>
        </w:rPr>
        <w:t>Parties formally acknowledge ACCHOs as an integral part of the health system and recognise the critical role they play in improving health and wellbeing outcomes for Aboriginal and Torres Strait Islander people.</w:t>
      </w:r>
    </w:p>
    <w:p w14:paraId="710F4A01" w14:textId="77777777" w:rsidR="002F27E7" w:rsidRPr="00261C59" w:rsidRDefault="002F27E7" w:rsidP="004728D9">
      <w:pPr>
        <w:numPr>
          <w:ilvl w:val="0"/>
          <w:numId w:val="21"/>
        </w:numPr>
        <w:spacing w:after="240" w:line="260" w:lineRule="exact"/>
        <w:jc w:val="left"/>
        <w:rPr>
          <w:rFonts w:ascii="Calibri" w:eastAsia="Calibri" w:hAnsi="Calibri" w:cs="Calibri"/>
          <w:color w:val="000000" w:themeColor="text1"/>
          <w:sz w:val="24"/>
          <w:szCs w:val="24"/>
        </w:rPr>
      </w:pPr>
      <w:r w:rsidRPr="00261C59">
        <w:rPr>
          <w:rFonts w:ascii="Calibri" w:eastAsia="Calibri" w:hAnsi="Calibri" w:cs="Calibri"/>
          <w:color w:val="000000" w:themeColor="text1"/>
          <w:sz w:val="24"/>
          <w:szCs w:val="24"/>
        </w:rPr>
        <w:t>Parties agree to authorise ACCHOs as legitimate partners in the governance and planning of integrated health services at a regional level.</w:t>
      </w:r>
    </w:p>
    <w:p w14:paraId="72970424" w14:textId="77777777" w:rsidR="002F27E7" w:rsidRPr="00261C59" w:rsidRDefault="002F27E7" w:rsidP="004728D9">
      <w:pPr>
        <w:numPr>
          <w:ilvl w:val="0"/>
          <w:numId w:val="21"/>
        </w:numPr>
        <w:spacing w:after="240" w:line="260" w:lineRule="exact"/>
        <w:jc w:val="left"/>
        <w:rPr>
          <w:rFonts w:ascii="Calibri" w:eastAsia="Calibri" w:hAnsi="Calibri" w:cs="Calibri"/>
          <w:color w:val="000000" w:themeColor="text1"/>
          <w:sz w:val="24"/>
          <w:szCs w:val="24"/>
        </w:rPr>
      </w:pPr>
      <w:r w:rsidRPr="00261C59">
        <w:rPr>
          <w:rFonts w:ascii="Calibri" w:eastAsia="Calibri" w:hAnsi="Calibri" w:cs="Calibri"/>
          <w:color w:val="000000" w:themeColor="text1"/>
          <w:sz w:val="24"/>
          <w:szCs w:val="24"/>
        </w:rPr>
        <w:t>Parties agree to provide funding to ACCHOs to support joint planning and co-commissioning of integrated health services.</w:t>
      </w:r>
    </w:p>
    <w:p w14:paraId="2686DBFB" w14:textId="77777777" w:rsidR="002F27E7" w:rsidRPr="00261C59" w:rsidRDefault="002F27E7" w:rsidP="00AD0358">
      <w:pPr>
        <w:pStyle w:val="Heading2"/>
        <w:keepLines w:val="0"/>
        <w:widowControl/>
        <w:adjustRightInd/>
        <w:spacing w:before="180" w:after="120"/>
        <w:jc w:val="left"/>
        <w:textAlignment w:val="auto"/>
        <w:rPr>
          <w:rFonts w:ascii="Corbel" w:eastAsia="Times New Roman" w:hAnsi="Corbel" w:cs="Arial"/>
          <w:color w:val="3D4B67"/>
          <w:sz w:val="28"/>
          <w:szCs w:val="28"/>
        </w:rPr>
      </w:pPr>
      <w:bookmarkStart w:id="698" w:name="_Toc201674035"/>
      <w:bookmarkStart w:id="699" w:name="_Toc210833670"/>
      <w:bookmarkStart w:id="700" w:name="_Toc214456575"/>
      <w:bookmarkStart w:id="701" w:name="_Toc221088055"/>
      <w:bookmarkStart w:id="702" w:name="_Toc170217715"/>
      <w:bookmarkStart w:id="703" w:name="_Toc167456329"/>
      <w:r w:rsidRPr="00261C59">
        <w:rPr>
          <w:rFonts w:ascii="Corbel" w:eastAsia="Times New Roman" w:hAnsi="Corbel" w:cs="Arial"/>
          <w:color w:val="3D4B67"/>
          <w:sz w:val="28"/>
          <w:szCs w:val="28"/>
        </w:rPr>
        <w:t>Supporting more integrated local care delivery</w:t>
      </w:r>
      <w:bookmarkEnd w:id="698"/>
      <w:bookmarkEnd w:id="699"/>
      <w:bookmarkEnd w:id="700"/>
      <w:bookmarkEnd w:id="701"/>
      <w:r w:rsidRPr="00261C59">
        <w:rPr>
          <w:rFonts w:ascii="Corbel" w:eastAsia="Times New Roman" w:hAnsi="Corbel" w:cs="Arial"/>
          <w:color w:val="3D4B67"/>
          <w:sz w:val="28"/>
          <w:szCs w:val="28"/>
        </w:rPr>
        <w:t xml:space="preserve"> </w:t>
      </w:r>
      <w:bookmarkEnd w:id="702"/>
    </w:p>
    <w:p w14:paraId="1EB1EC40" w14:textId="3AEF0BB3" w:rsidR="00781F99" w:rsidRPr="00261C59" w:rsidRDefault="00781F99"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The Parties agree that optimal service delivery within any community relies on a commitment to collaboratively identify and prioritise health needs, implement plans and monitor and report outcomes to meet these needs.</w:t>
      </w:r>
    </w:p>
    <w:p w14:paraId="2AC11257"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Strong local governance across care systems is integral to creating linkages between local services and addressing identified service gaps. Local governance is essential for supporting shared decision making, which is needed to address service gaps.</w:t>
      </w:r>
    </w:p>
    <w:p w14:paraId="4BE96B32"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 xml:space="preserve">To ensure effective local governance, the Parties agree to work together to support local, regional and State-level planning, decision-making and commissioning of health care services. </w:t>
      </w:r>
    </w:p>
    <w:p w14:paraId="54C243F7"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 xml:space="preserve">The Parties acknowledge the diversity of service delivery in local communities and regions, and that a range of </w:t>
      </w:r>
      <w:r w:rsidR="00781F99" w:rsidRPr="00261C59">
        <w:rPr>
          <w:rFonts w:ascii="Calibri" w:hAnsi="Calibri" w:cs="Calibri"/>
          <w:color w:val="000000" w:themeColor="text1"/>
          <w:sz w:val="24"/>
          <w:szCs w:val="24"/>
        </w:rPr>
        <w:t>stakeholders will be included in regional planning and collaboration to commission services.</w:t>
      </w:r>
      <w:r w:rsidRPr="00261C59">
        <w:rPr>
          <w:rFonts w:ascii="Calibri" w:hAnsi="Calibri" w:cs="Calibri"/>
          <w:color w:val="000000" w:themeColor="text1"/>
          <w:sz w:val="24"/>
          <w:szCs w:val="24"/>
        </w:rPr>
        <w:t xml:space="preserve"> This includes consumer representatives, non-government organisations, ACCHOs, and organisations delivering services that support the social and cultural determinants of health.</w:t>
      </w:r>
    </w:p>
    <w:p w14:paraId="3BB63CAA" w14:textId="77777777" w:rsidR="002F27E7" w:rsidRPr="009D4F6A" w:rsidRDefault="002F27E7" w:rsidP="009D4F6A">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704" w:name="_Toc221088056"/>
      <w:r w:rsidRPr="009D4F6A">
        <w:rPr>
          <w:rFonts w:ascii="Corbel" w:eastAsia="Times New Roman" w:hAnsi="Corbel"/>
          <w:b w:val="0"/>
          <w:bCs w:val="0"/>
          <w:iCs w:val="0"/>
          <w:color w:val="3D4B67"/>
          <w:sz w:val="28"/>
          <w:szCs w:val="48"/>
          <w:lang w:eastAsia="ja-JP"/>
        </w:rPr>
        <w:t>Joint governance, planning, and commissioning</w:t>
      </w:r>
      <w:bookmarkEnd w:id="704"/>
      <w:r w:rsidRPr="009D4F6A">
        <w:rPr>
          <w:rFonts w:ascii="Corbel" w:eastAsia="Times New Roman" w:hAnsi="Corbel"/>
          <w:b w:val="0"/>
          <w:bCs w:val="0"/>
          <w:iCs w:val="0"/>
          <w:color w:val="3D4B67"/>
          <w:sz w:val="28"/>
          <w:szCs w:val="48"/>
          <w:lang w:eastAsia="ja-JP"/>
        </w:rPr>
        <w:t xml:space="preserve"> </w:t>
      </w:r>
    </w:p>
    <w:p w14:paraId="594208BE" w14:textId="57361412"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 xml:space="preserve">Models for commissioning health services should </w:t>
      </w:r>
      <w:r w:rsidR="00781F99" w:rsidRPr="00261C59">
        <w:rPr>
          <w:rFonts w:ascii="Calibri" w:hAnsi="Calibri" w:cs="Calibri"/>
          <w:color w:val="000000" w:themeColor="text1"/>
          <w:sz w:val="24"/>
          <w:szCs w:val="24"/>
        </w:rPr>
        <w:t>support</w:t>
      </w:r>
      <w:r w:rsidRPr="00261C59">
        <w:rPr>
          <w:rFonts w:ascii="Calibri" w:hAnsi="Calibri" w:cs="Calibri"/>
          <w:color w:val="000000" w:themeColor="text1"/>
          <w:sz w:val="24"/>
          <w:szCs w:val="24"/>
        </w:rPr>
        <w:t xml:space="preserve"> providers to engage in shared planning, coordination, and integration of care across a treatment journey or whole life-course. </w:t>
      </w:r>
    </w:p>
    <w:p w14:paraId="555649B3" w14:textId="77777777" w:rsidR="002F27E7" w:rsidRPr="00261C59" w:rsidRDefault="002F27E7" w:rsidP="009D4F6A">
      <w:pPr>
        <w:keepLines/>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The Parties agree to work together to strengthen regional planning and commissioning with the aim of improving system integration and coordination</w:t>
      </w:r>
      <w:r w:rsidRPr="00261C59" w:rsidDel="00AD2AFA">
        <w:rPr>
          <w:rFonts w:ascii="Calibri" w:hAnsi="Calibri" w:cs="Calibri"/>
          <w:color w:val="000000" w:themeColor="text1"/>
          <w:sz w:val="24"/>
          <w:szCs w:val="24"/>
        </w:rPr>
        <w:t xml:space="preserve"> </w:t>
      </w:r>
      <w:r w:rsidRPr="00261C59">
        <w:rPr>
          <w:rFonts w:ascii="Calibri" w:hAnsi="Calibri" w:cs="Calibri"/>
          <w:color w:val="000000" w:themeColor="text1"/>
          <w:sz w:val="24"/>
          <w:szCs w:val="24"/>
        </w:rPr>
        <w:t xml:space="preserve">and achieving better outcomes for communities. </w:t>
      </w:r>
      <w:r w:rsidR="00781F99" w:rsidRPr="00261C59">
        <w:rPr>
          <w:rFonts w:ascii="Calibri" w:hAnsi="Calibri" w:cs="Calibri"/>
          <w:color w:val="000000" w:themeColor="text1"/>
          <w:sz w:val="24"/>
          <w:szCs w:val="24"/>
        </w:rPr>
        <w:t>Parties will consider ways of identifying, prioritising and</w:t>
      </w:r>
      <w:r w:rsidRPr="00261C59">
        <w:rPr>
          <w:rFonts w:ascii="Calibri" w:hAnsi="Calibri" w:cs="Calibri"/>
          <w:color w:val="000000" w:themeColor="text1"/>
          <w:sz w:val="24"/>
          <w:szCs w:val="24"/>
        </w:rPr>
        <w:t xml:space="preserve"> addressing fragmentation, gaps, and duplication in service delivery. </w:t>
      </w:r>
    </w:p>
    <w:p w14:paraId="6A562859" w14:textId="5FC52C60" w:rsidR="00781F99" w:rsidRPr="00261C59" w:rsidRDefault="00781F99" w:rsidP="004728D9">
      <w:pPr>
        <w:widowControl/>
        <w:numPr>
          <w:ilvl w:val="0"/>
          <w:numId w:val="21"/>
        </w:numPr>
        <w:adjustRightInd/>
        <w:spacing w:after="240" w:line="260" w:lineRule="exact"/>
        <w:jc w:val="left"/>
        <w:textAlignment w:val="auto"/>
        <w:rPr>
          <w:rFonts w:ascii="Calibri" w:hAnsi="Calibri" w:cs="Calibri"/>
          <w:color w:val="000000" w:themeColor="text1"/>
          <w:sz w:val="24"/>
          <w:szCs w:val="24"/>
        </w:rPr>
      </w:pPr>
      <w:r w:rsidRPr="00261C59">
        <w:rPr>
          <w:rFonts w:ascii="Calibri" w:hAnsi="Calibri" w:cs="Calibri"/>
          <w:color w:val="000000" w:themeColor="text1"/>
          <w:sz w:val="24"/>
          <w:szCs w:val="24"/>
        </w:rPr>
        <w:t>Parties acknowledge that local service commissioning and planning operates within a state-wide and national environment. The parties agree to embed national approaches with local responses</w:t>
      </w:r>
      <w:r w:rsidR="00666EFC" w:rsidRPr="00261C59">
        <w:rPr>
          <w:rFonts w:ascii="Calibri" w:hAnsi="Calibri" w:cs="Calibri"/>
          <w:color w:val="000000" w:themeColor="text1"/>
          <w:sz w:val="24"/>
          <w:szCs w:val="24"/>
        </w:rPr>
        <w:t>, for example cross-jurisdictional investment in Healthdirect</w:t>
      </w:r>
      <w:r w:rsidRPr="00261C59">
        <w:rPr>
          <w:rFonts w:ascii="Calibri" w:hAnsi="Calibri" w:cs="Calibri"/>
          <w:color w:val="000000" w:themeColor="text1"/>
          <w:sz w:val="24"/>
          <w:szCs w:val="24"/>
        </w:rPr>
        <w:t>. Th</w:t>
      </w:r>
      <w:r w:rsidR="00666EFC" w:rsidRPr="00261C59">
        <w:rPr>
          <w:rFonts w:ascii="Calibri" w:hAnsi="Calibri" w:cs="Calibri"/>
          <w:color w:val="000000" w:themeColor="text1"/>
          <w:sz w:val="24"/>
          <w:szCs w:val="24"/>
        </w:rPr>
        <w:t>ese</w:t>
      </w:r>
      <w:r w:rsidRPr="00261C59">
        <w:rPr>
          <w:rFonts w:ascii="Calibri" w:hAnsi="Calibri" w:cs="Calibri"/>
          <w:color w:val="000000" w:themeColor="text1"/>
          <w:sz w:val="24"/>
          <w:szCs w:val="24"/>
        </w:rPr>
        <w:t xml:space="preserve"> </w:t>
      </w:r>
      <w:r w:rsidR="00666EFC" w:rsidRPr="00261C59">
        <w:rPr>
          <w:rFonts w:ascii="Calibri" w:hAnsi="Calibri" w:cs="Calibri"/>
          <w:color w:val="000000" w:themeColor="text1"/>
          <w:sz w:val="24"/>
          <w:szCs w:val="24"/>
        </w:rPr>
        <w:t>approaches</w:t>
      </w:r>
      <w:r w:rsidRPr="00261C59">
        <w:rPr>
          <w:rFonts w:ascii="Calibri" w:hAnsi="Calibri" w:cs="Calibri"/>
          <w:color w:val="000000" w:themeColor="text1"/>
          <w:sz w:val="24"/>
          <w:szCs w:val="24"/>
        </w:rPr>
        <w:t xml:space="preserve"> reduce cost, duplication and fragmentation. It helps ensure health consumers have continuity of care when moving outside local boundaries, or receiving care from care providers beyond their local areas. </w:t>
      </w:r>
    </w:p>
    <w:p w14:paraId="0656D3C0" w14:textId="77777777" w:rsidR="002F27E7" w:rsidRPr="00261C59" w:rsidRDefault="002F27E7" w:rsidP="004728D9">
      <w:pPr>
        <w:keepNext/>
        <w:widowControl/>
        <w:numPr>
          <w:ilvl w:val="0"/>
          <w:numId w:val="21"/>
        </w:numPr>
        <w:adjustRightInd/>
        <w:spacing w:after="240" w:line="260" w:lineRule="exact"/>
        <w:jc w:val="left"/>
        <w:textAlignment w:val="auto"/>
        <w:rPr>
          <w:rFonts w:ascii="Calibri" w:hAnsi="Calibri" w:cs="Calibri"/>
          <w:color w:val="000000" w:themeColor="text1"/>
          <w:sz w:val="24"/>
          <w:szCs w:val="24"/>
        </w:rPr>
      </w:pPr>
      <w:r w:rsidRPr="00261C59">
        <w:rPr>
          <w:rFonts w:ascii="Calibri" w:hAnsi="Calibri" w:cs="Calibri"/>
          <w:color w:val="000000" w:themeColor="text1"/>
          <w:sz w:val="24"/>
          <w:szCs w:val="24"/>
        </w:rPr>
        <w:t>The Parties recognise that service integration can only be achieved if:</w:t>
      </w:r>
    </w:p>
    <w:p w14:paraId="4C061210" w14:textId="24DFA909" w:rsidR="002F27E7" w:rsidRPr="00261C59" w:rsidRDefault="002F27E7" w:rsidP="004728D9">
      <w:pPr>
        <w:widowControl/>
        <w:numPr>
          <w:ilvl w:val="1"/>
          <w:numId w:val="151"/>
        </w:numPr>
        <w:adjustRightInd/>
        <w:spacing w:after="240" w:line="260" w:lineRule="exact"/>
        <w:jc w:val="left"/>
        <w:textAlignment w:val="auto"/>
        <w:rPr>
          <w:rFonts w:ascii="Calibri" w:hAnsi="Calibri"/>
          <w:sz w:val="24"/>
          <w:szCs w:val="24"/>
        </w:rPr>
      </w:pPr>
      <w:r w:rsidRPr="00261C59">
        <w:rPr>
          <w:rFonts w:ascii="Calibri" w:hAnsi="Calibri"/>
          <w:sz w:val="24"/>
          <w:szCs w:val="24"/>
        </w:rPr>
        <w:t>there is greater collaboration across care settings, including shared decision-making, where appropriate</w:t>
      </w:r>
    </w:p>
    <w:p w14:paraId="1FEFDB30" w14:textId="336473EB" w:rsidR="002F27E7" w:rsidRPr="00261C59" w:rsidRDefault="002F27E7" w:rsidP="004728D9">
      <w:pPr>
        <w:widowControl/>
        <w:numPr>
          <w:ilvl w:val="1"/>
          <w:numId w:val="151"/>
        </w:numPr>
        <w:adjustRightInd/>
        <w:spacing w:after="240" w:line="260" w:lineRule="exact"/>
        <w:jc w:val="left"/>
        <w:textAlignment w:val="auto"/>
        <w:rPr>
          <w:rFonts w:ascii="Calibri" w:hAnsi="Calibri"/>
          <w:sz w:val="24"/>
          <w:szCs w:val="24"/>
        </w:rPr>
      </w:pPr>
      <w:r w:rsidRPr="00261C59">
        <w:rPr>
          <w:rFonts w:ascii="Calibri" w:hAnsi="Calibri"/>
          <w:sz w:val="24"/>
          <w:szCs w:val="24"/>
        </w:rPr>
        <w:t>clinicians are engaged and supported to adopt new practices</w:t>
      </w:r>
    </w:p>
    <w:p w14:paraId="4FB87F14" w14:textId="2FBFDA4F" w:rsidR="00781F99" w:rsidRPr="00261C59" w:rsidRDefault="00781F99" w:rsidP="004728D9">
      <w:pPr>
        <w:widowControl/>
        <w:numPr>
          <w:ilvl w:val="1"/>
          <w:numId w:val="151"/>
        </w:numPr>
        <w:adjustRightInd/>
        <w:spacing w:after="240" w:line="260" w:lineRule="exact"/>
        <w:jc w:val="left"/>
        <w:textAlignment w:val="auto"/>
        <w:rPr>
          <w:rFonts w:ascii="Calibri" w:hAnsi="Calibri" w:cs="Calibri"/>
          <w:sz w:val="24"/>
          <w:szCs w:val="24"/>
        </w:rPr>
      </w:pPr>
      <w:r w:rsidRPr="00261C59">
        <w:rPr>
          <w:rFonts w:ascii="Calibri" w:hAnsi="Calibri" w:cs="Calibri"/>
          <w:sz w:val="24"/>
          <w:szCs w:val="24"/>
        </w:rPr>
        <w:t>patients and carers are empowered, particularly through co-design of services, collaboration with providers and expanded use of new and existing technologies</w:t>
      </w:r>
    </w:p>
    <w:p w14:paraId="73EFF668" w14:textId="6E26DDAA" w:rsidR="00781F99" w:rsidRPr="00261C59" w:rsidRDefault="00781F99" w:rsidP="004728D9">
      <w:pPr>
        <w:widowControl/>
        <w:numPr>
          <w:ilvl w:val="1"/>
          <w:numId w:val="151"/>
        </w:numPr>
        <w:adjustRightInd/>
        <w:spacing w:after="240" w:line="260" w:lineRule="exact"/>
        <w:jc w:val="left"/>
        <w:textAlignment w:val="auto"/>
        <w:rPr>
          <w:rFonts w:ascii="Calibri" w:hAnsi="Calibri" w:cs="Calibri"/>
          <w:sz w:val="24"/>
          <w:szCs w:val="24"/>
        </w:rPr>
      </w:pPr>
      <w:r w:rsidRPr="00261C59">
        <w:rPr>
          <w:rFonts w:ascii="Calibri" w:hAnsi="Calibri" w:cs="Calibri"/>
          <w:sz w:val="24"/>
          <w:szCs w:val="24"/>
        </w:rPr>
        <w:t>solutions are co-designed with ACCHOs and other Aboriginal and Torres Strait Islander organisations and experts. Partnering with ACCHOs should be consistent with the principles set out in the National Agreement on Closing the Gap to ensure relevant needs are appropriately and respectfully assessed and key decisions are shared</w:t>
      </w:r>
    </w:p>
    <w:p w14:paraId="57CCF34F" w14:textId="6412C235" w:rsidR="002F27E7" w:rsidRPr="00261C59" w:rsidRDefault="002F27E7" w:rsidP="004728D9">
      <w:pPr>
        <w:widowControl/>
        <w:numPr>
          <w:ilvl w:val="1"/>
          <w:numId w:val="151"/>
        </w:numPr>
        <w:adjustRightInd/>
        <w:spacing w:after="240" w:line="260" w:lineRule="exact"/>
        <w:jc w:val="left"/>
        <w:textAlignment w:val="auto"/>
        <w:rPr>
          <w:rFonts w:ascii="Calibri" w:hAnsi="Calibri"/>
          <w:sz w:val="24"/>
          <w:szCs w:val="24"/>
        </w:rPr>
      </w:pPr>
      <w:r w:rsidRPr="00261C59">
        <w:rPr>
          <w:rFonts w:ascii="Calibri" w:hAnsi="Calibri" w:cs="Calibri"/>
          <w:sz w:val="24"/>
          <w:szCs w:val="24"/>
        </w:rPr>
        <w:t>accountabilities are clear</w:t>
      </w:r>
    </w:p>
    <w:p w14:paraId="6C9EFD88" w14:textId="77777777" w:rsidR="002F27E7" w:rsidRPr="00261C59" w:rsidRDefault="002F27E7" w:rsidP="004728D9">
      <w:pPr>
        <w:widowControl/>
        <w:numPr>
          <w:ilvl w:val="1"/>
          <w:numId w:val="151"/>
        </w:numPr>
        <w:adjustRightInd/>
        <w:spacing w:after="240" w:line="260" w:lineRule="exact"/>
        <w:jc w:val="left"/>
        <w:textAlignment w:val="auto"/>
        <w:rPr>
          <w:rFonts w:ascii="Calibri" w:hAnsi="Calibri"/>
          <w:sz w:val="24"/>
          <w:szCs w:val="24"/>
        </w:rPr>
      </w:pPr>
      <w:r w:rsidRPr="00261C59">
        <w:rPr>
          <w:rFonts w:ascii="Calibri" w:hAnsi="Calibri"/>
          <w:sz w:val="24"/>
          <w:szCs w:val="24"/>
        </w:rPr>
        <w:t>there is a joint commitment across all organisations and governments that span the continuum of care, and efforts support the sustainability of participating organisations.</w:t>
      </w:r>
    </w:p>
    <w:p w14:paraId="2A713076" w14:textId="5C1EAAC2"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 xml:space="preserve">As part of this shared commitment, the Commonwealth and each State will work together on joint state-wide planning by establishing </w:t>
      </w:r>
      <w:r w:rsidR="00781F99" w:rsidRPr="00261C59">
        <w:rPr>
          <w:rFonts w:ascii="Calibri" w:hAnsi="Calibri" w:cs="Calibri"/>
          <w:color w:val="000000" w:themeColor="text1"/>
          <w:sz w:val="24"/>
          <w:szCs w:val="24"/>
        </w:rPr>
        <w:t>and/or formalising governance and decision-making structures by December 2026</w:t>
      </w:r>
      <w:r w:rsidRPr="00261C59">
        <w:rPr>
          <w:rFonts w:ascii="Calibri" w:hAnsi="Calibri" w:cs="Calibri"/>
          <w:color w:val="000000" w:themeColor="text1"/>
          <w:sz w:val="24"/>
          <w:szCs w:val="24"/>
        </w:rPr>
        <w:t xml:space="preserve"> to:</w:t>
      </w:r>
    </w:p>
    <w:p w14:paraId="535CE1A1" w14:textId="4C7CCFEB" w:rsidR="00781F99" w:rsidRPr="00261C59" w:rsidRDefault="00781F99" w:rsidP="004728D9">
      <w:pPr>
        <w:numPr>
          <w:ilvl w:val="1"/>
          <w:numId w:val="21"/>
        </w:numPr>
        <w:spacing w:after="240" w:line="260" w:lineRule="exact"/>
        <w:jc w:val="left"/>
        <w:rPr>
          <w:rFonts w:ascii="Calibri" w:hAnsi="Calibri"/>
          <w:sz w:val="24"/>
          <w:szCs w:val="24"/>
        </w:rPr>
      </w:pPr>
      <w:r w:rsidRPr="00261C59">
        <w:rPr>
          <w:rFonts w:ascii="Calibri" w:hAnsi="Calibri"/>
          <w:sz w:val="24"/>
          <w:szCs w:val="24"/>
        </w:rPr>
        <w:t>facilitate collaboration between local health organisations, such as PHNs, LHNs, ACCHOs, as well as aged care, disability and primary health care organisations, and health consumer representatives to undertake joint needs assessments, plan and prioritise services and make investment decisions</w:t>
      </w:r>
    </w:p>
    <w:p w14:paraId="2D48B142" w14:textId="6B4136CC" w:rsidR="00781F99" w:rsidRPr="00261C59" w:rsidRDefault="00781F99" w:rsidP="004728D9">
      <w:pPr>
        <w:numPr>
          <w:ilvl w:val="1"/>
          <w:numId w:val="21"/>
        </w:numPr>
        <w:spacing w:after="240" w:line="260" w:lineRule="exact"/>
        <w:jc w:val="left"/>
        <w:rPr>
          <w:rFonts w:ascii="Calibri" w:hAnsi="Calibri"/>
          <w:sz w:val="24"/>
          <w:szCs w:val="24"/>
        </w:rPr>
      </w:pPr>
      <w:r w:rsidRPr="00261C59">
        <w:rPr>
          <w:rFonts w:ascii="Calibri" w:hAnsi="Calibri"/>
          <w:sz w:val="24"/>
          <w:szCs w:val="24"/>
        </w:rPr>
        <w:t>develop commissioning arrangements that provide stronger support for local health organisations to co-ordinate care, test pooled funding with appropriate flexibility to respond to local needs (when agreed by all parties), and integrate health, disability, and aged care services</w:t>
      </w:r>
    </w:p>
    <w:p w14:paraId="58C50DA9" w14:textId="3FE01470" w:rsidR="002F27E7" w:rsidRPr="00261C59" w:rsidRDefault="00781F99" w:rsidP="004728D9">
      <w:pPr>
        <w:numPr>
          <w:ilvl w:val="1"/>
          <w:numId w:val="21"/>
        </w:numPr>
        <w:spacing w:after="240" w:line="260" w:lineRule="exact"/>
        <w:jc w:val="left"/>
        <w:rPr>
          <w:rFonts w:ascii="Calibri" w:hAnsi="Calibri"/>
          <w:sz w:val="24"/>
          <w:szCs w:val="24"/>
        </w:rPr>
      </w:pPr>
      <w:r w:rsidRPr="00261C59">
        <w:rPr>
          <w:rFonts w:ascii="Calibri" w:hAnsi="Calibri"/>
          <w:sz w:val="24"/>
          <w:szCs w:val="24"/>
        </w:rPr>
        <w:t>work</w:t>
      </w:r>
      <w:r w:rsidR="002F27E7" w:rsidRPr="00261C59">
        <w:rPr>
          <w:rFonts w:ascii="Calibri" w:hAnsi="Calibri"/>
          <w:sz w:val="24"/>
          <w:szCs w:val="24"/>
        </w:rPr>
        <w:t xml:space="preserve"> towards equitable access to high quality health care, with a focus on embedding preventive care, and reducing disadvantage for all Australians, including for Aboriginal and Torres Strait Islander people and those living in rural and remote areas</w:t>
      </w:r>
    </w:p>
    <w:p w14:paraId="1AAA00B0" w14:textId="127CEEEC" w:rsidR="002F27E7" w:rsidRPr="00261C59" w:rsidRDefault="002F27E7" w:rsidP="00CE051D">
      <w:pPr>
        <w:keepLines/>
        <w:numPr>
          <w:ilvl w:val="1"/>
          <w:numId w:val="21"/>
        </w:numPr>
        <w:spacing w:after="240" w:line="260" w:lineRule="exact"/>
        <w:jc w:val="left"/>
        <w:rPr>
          <w:rFonts w:ascii="Calibri" w:hAnsi="Calibri"/>
          <w:sz w:val="24"/>
          <w:szCs w:val="24"/>
        </w:rPr>
      </w:pPr>
      <w:r w:rsidRPr="00261C59">
        <w:rPr>
          <w:rFonts w:ascii="Calibri" w:hAnsi="Calibri"/>
          <w:sz w:val="24"/>
          <w:szCs w:val="24"/>
        </w:rPr>
        <w:t xml:space="preserve">establish shared reporting and accountability arrangements to effectively measure, monitor and evaluate the impact on population health outcomes, quality of health services and value at the local level, </w:t>
      </w:r>
      <w:r w:rsidR="008D701B" w:rsidRPr="00261C59">
        <w:rPr>
          <w:rFonts w:ascii="Calibri" w:hAnsi="Calibri"/>
          <w:sz w:val="24"/>
          <w:szCs w:val="24"/>
        </w:rPr>
        <w:t>aligned with</w:t>
      </w:r>
      <w:r w:rsidRPr="00261C59">
        <w:rPr>
          <w:rFonts w:ascii="Calibri" w:hAnsi="Calibri"/>
          <w:sz w:val="24"/>
          <w:szCs w:val="24"/>
        </w:rPr>
        <w:t xml:space="preserve"> the health system performance </w:t>
      </w:r>
      <w:r w:rsidR="008D701B" w:rsidRPr="00261C59">
        <w:rPr>
          <w:rFonts w:ascii="Calibri" w:hAnsi="Calibri"/>
          <w:sz w:val="24"/>
          <w:szCs w:val="24"/>
        </w:rPr>
        <w:t xml:space="preserve">assessment </w:t>
      </w:r>
      <w:r w:rsidRPr="00261C59">
        <w:rPr>
          <w:rFonts w:ascii="Calibri" w:hAnsi="Calibri"/>
          <w:sz w:val="24"/>
          <w:szCs w:val="24"/>
        </w:rPr>
        <w:t>framework in Schedule H</w:t>
      </w:r>
    </w:p>
    <w:p w14:paraId="06E90FD2" w14:textId="5DE68C3B" w:rsidR="00781F99" w:rsidRPr="00261C59" w:rsidRDefault="00781F99" w:rsidP="004728D9">
      <w:pPr>
        <w:numPr>
          <w:ilvl w:val="1"/>
          <w:numId w:val="21"/>
        </w:numPr>
        <w:spacing w:after="240" w:line="260" w:lineRule="exact"/>
        <w:jc w:val="left"/>
        <w:rPr>
          <w:rFonts w:ascii="Calibri" w:hAnsi="Calibri"/>
          <w:sz w:val="24"/>
          <w:szCs w:val="24"/>
        </w:rPr>
      </w:pPr>
      <w:r w:rsidRPr="00261C59">
        <w:rPr>
          <w:rFonts w:ascii="Calibri" w:hAnsi="Calibri"/>
          <w:sz w:val="24"/>
          <w:szCs w:val="24"/>
        </w:rPr>
        <w:t>identify and work to remove barriers to joint governance, joint needs assessment, service integration, evaluation, and funding, and streamlined reporting and data sharing at national and state levels</w:t>
      </w:r>
    </w:p>
    <w:p w14:paraId="3610A163" w14:textId="77777777" w:rsidR="00781F99" w:rsidRPr="00261C59" w:rsidRDefault="00781F99" w:rsidP="00C304C3">
      <w:pPr>
        <w:keepLines/>
        <w:numPr>
          <w:ilvl w:val="1"/>
          <w:numId w:val="21"/>
        </w:numPr>
        <w:spacing w:after="240" w:line="260" w:lineRule="exact"/>
        <w:jc w:val="left"/>
        <w:rPr>
          <w:rFonts w:ascii="Calibri" w:hAnsi="Calibri"/>
          <w:sz w:val="24"/>
          <w:szCs w:val="24"/>
        </w:rPr>
      </w:pPr>
      <w:r w:rsidRPr="00261C59">
        <w:rPr>
          <w:rFonts w:ascii="Calibri" w:hAnsi="Calibri"/>
          <w:sz w:val="24"/>
          <w:szCs w:val="24"/>
        </w:rPr>
        <w:t>support health service access continuity through early identification and action to address workforce matters, including skills and capability gaps for the effective operation of health services, explore innovative workforce models, and support better care integration and coordination by enabling the workforce to operate to their full scope of practice.</w:t>
      </w:r>
    </w:p>
    <w:p w14:paraId="370C3259" w14:textId="0D82D15A" w:rsidR="00781F99" w:rsidRPr="00261C59" w:rsidRDefault="00781F99" w:rsidP="004728D9">
      <w:pPr>
        <w:numPr>
          <w:ilvl w:val="0"/>
          <w:numId w:val="21"/>
        </w:numPr>
        <w:spacing w:after="240" w:line="260" w:lineRule="exact"/>
        <w:jc w:val="left"/>
        <w:rPr>
          <w:rFonts w:ascii="Calibri" w:hAnsi="Calibri"/>
          <w:sz w:val="24"/>
        </w:rPr>
      </w:pPr>
      <w:r w:rsidRPr="00261C59">
        <w:rPr>
          <w:rFonts w:ascii="Calibri" w:hAnsi="Calibri" w:cs="Calibri"/>
          <w:color w:val="000000" w:themeColor="text1"/>
          <w:sz w:val="24"/>
          <w:szCs w:val="24"/>
        </w:rPr>
        <w:t xml:space="preserve">The </w:t>
      </w:r>
      <w:r w:rsidRPr="00261C59">
        <w:rPr>
          <w:rFonts w:ascii="Calibri" w:hAnsi="Calibri"/>
          <w:sz w:val="24"/>
        </w:rPr>
        <w:t>Parties will develop a national framework to guide statewide regional planning and commissioning outlined in E3</w:t>
      </w:r>
      <w:r w:rsidR="00571EE4" w:rsidRPr="00261C59">
        <w:rPr>
          <w:rFonts w:ascii="Calibri" w:hAnsi="Calibri"/>
          <w:sz w:val="24"/>
        </w:rPr>
        <w:t>7</w:t>
      </w:r>
      <w:r w:rsidRPr="00261C59">
        <w:rPr>
          <w:rFonts w:ascii="Calibri" w:hAnsi="Calibri"/>
          <w:sz w:val="24"/>
        </w:rPr>
        <w:t xml:space="preserve"> by December 2026. This advice will need to provide clear direction on national standards, while recognising the unique requirements and needs in each jurisdiction and region including</w:t>
      </w:r>
      <w:r w:rsidR="00571EE4" w:rsidRPr="00261C59">
        <w:rPr>
          <w:rFonts w:ascii="Calibri" w:hAnsi="Calibri"/>
          <w:sz w:val="24"/>
        </w:rPr>
        <w:t>:</w:t>
      </w:r>
    </w:p>
    <w:p w14:paraId="69F462EF" w14:textId="19BC9B91" w:rsidR="00781F99" w:rsidRPr="00261C59" w:rsidRDefault="00781F99" w:rsidP="004728D9">
      <w:pPr>
        <w:numPr>
          <w:ilvl w:val="1"/>
          <w:numId w:val="21"/>
        </w:numPr>
        <w:spacing w:after="240" w:line="260" w:lineRule="exact"/>
        <w:jc w:val="left"/>
        <w:rPr>
          <w:rFonts w:ascii="Calibri" w:hAnsi="Calibri" w:cs="Calibri"/>
          <w:sz w:val="24"/>
          <w:szCs w:val="24"/>
        </w:rPr>
      </w:pPr>
      <w:r w:rsidRPr="00261C59">
        <w:rPr>
          <w:rFonts w:ascii="Calibri" w:hAnsi="Calibri" w:cs="Calibri"/>
          <w:sz w:val="24"/>
          <w:szCs w:val="24"/>
        </w:rPr>
        <w:t>Conduct</w:t>
      </w:r>
      <w:r w:rsidR="00571EE4" w:rsidRPr="00261C59">
        <w:rPr>
          <w:rFonts w:ascii="Calibri" w:hAnsi="Calibri" w:cs="Calibri"/>
          <w:sz w:val="24"/>
          <w:szCs w:val="24"/>
        </w:rPr>
        <w:t>ing</w:t>
      </w:r>
      <w:r w:rsidRPr="00261C59">
        <w:rPr>
          <w:rFonts w:ascii="Calibri" w:hAnsi="Calibri" w:cs="Calibri"/>
          <w:sz w:val="24"/>
          <w:szCs w:val="24"/>
        </w:rPr>
        <w:t xml:space="preserve"> joint needs assessments</w:t>
      </w:r>
    </w:p>
    <w:p w14:paraId="5F846C86" w14:textId="55008B18" w:rsidR="00781F99" w:rsidRPr="00261C59" w:rsidRDefault="00781F99" w:rsidP="004728D9">
      <w:pPr>
        <w:numPr>
          <w:ilvl w:val="1"/>
          <w:numId w:val="21"/>
        </w:numPr>
        <w:spacing w:after="240" w:line="260" w:lineRule="exact"/>
        <w:jc w:val="left"/>
        <w:rPr>
          <w:rFonts w:ascii="Calibri" w:hAnsi="Calibri" w:cs="Calibri"/>
          <w:sz w:val="24"/>
          <w:szCs w:val="24"/>
        </w:rPr>
      </w:pPr>
      <w:r w:rsidRPr="00261C59">
        <w:rPr>
          <w:rFonts w:ascii="Calibri" w:hAnsi="Calibri" w:cs="Calibri"/>
          <w:sz w:val="24"/>
          <w:szCs w:val="24"/>
        </w:rPr>
        <w:t>Develop</w:t>
      </w:r>
      <w:r w:rsidR="00571EE4" w:rsidRPr="00261C59">
        <w:rPr>
          <w:rFonts w:ascii="Calibri" w:hAnsi="Calibri" w:cs="Calibri"/>
          <w:sz w:val="24"/>
          <w:szCs w:val="24"/>
        </w:rPr>
        <w:t>ing</w:t>
      </w:r>
      <w:r w:rsidRPr="00261C59">
        <w:rPr>
          <w:rFonts w:ascii="Calibri" w:hAnsi="Calibri" w:cs="Calibri"/>
          <w:sz w:val="24"/>
          <w:szCs w:val="24"/>
        </w:rPr>
        <w:t xml:space="preserve"> agreed Joint Regional Health Plans</w:t>
      </w:r>
    </w:p>
    <w:p w14:paraId="76443AA0" w14:textId="3AB4FD06" w:rsidR="00781F99" w:rsidRPr="00261C59" w:rsidRDefault="00781F99" w:rsidP="004728D9">
      <w:pPr>
        <w:numPr>
          <w:ilvl w:val="1"/>
          <w:numId w:val="21"/>
        </w:numPr>
        <w:spacing w:after="240" w:line="260" w:lineRule="exact"/>
        <w:jc w:val="left"/>
        <w:rPr>
          <w:rFonts w:ascii="Calibri" w:hAnsi="Calibri" w:cs="Calibri"/>
          <w:sz w:val="24"/>
          <w:szCs w:val="24"/>
        </w:rPr>
      </w:pPr>
      <w:r w:rsidRPr="00261C59">
        <w:rPr>
          <w:rFonts w:ascii="Calibri" w:hAnsi="Calibri" w:cs="Calibri"/>
          <w:sz w:val="24"/>
          <w:szCs w:val="24"/>
        </w:rPr>
        <w:t>Shar</w:t>
      </w:r>
      <w:r w:rsidR="00571EE4" w:rsidRPr="00261C59">
        <w:rPr>
          <w:rFonts w:ascii="Calibri" w:hAnsi="Calibri" w:cs="Calibri"/>
          <w:sz w:val="24"/>
          <w:szCs w:val="24"/>
        </w:rPr>
        <w:t>ing</w:t>
      </w:r>
      <w:r w:rsidRPr="00261C59">
        <w:rPr>
          <w:rFonts w:ascii="Calibri" w:hAnsi="Calibri" w:cs="Calibri"/>
          <w:sz w:val="24"/>
          <w:szCs w:val="24"/>
        </w:rPr>
        <w:t xml:space="preserve"> data and monitor outcomes</w:t>
      </w:r>
    </w:p>
    <w:p w14:paraId="328A062F" w14:textId="10183888" w:rsidR="00781F99" w:rsidRPr="00261C59" w:rsidRDefault="00781F99" w:rsidP="004728D9">
      <w:pPr>
        <w:numPr>
          <w:ilvl w:val="1"/>
          <w:numId w:val="21"/>
        </w:numPr>
        <w:spacing w:after="240" w:line="260" w:lineRule="exact"/>
        <w:jc w:val="left"/>
        <w:rPr>
          <w:rFonts w:ascii="Calibri" w:hAnsi="Calibri" w:cs="Calibri"/>
          <w:sz w:val="24"/>
          <w:szCs w:val="24"/>
        </w:rPr>
      </w:pPr>
      <w:r w:rsidRPr="00261C59">
        <w:rPr>
          <w:rFonts w:ascii="Calibri" w:hAnsi="Calibri" w:cs="Calibri"/>
          <w:sz w:val="24"/>
          <w:szCs w:val="24"/>
        </w:rPr>
        <w:t>Commission</w:t>
      </w:r>
      <w:r w:rsidR="00571EE4" w:rsidRPr="00261C59">
        <w:rPr>
          <w:rFonts w:ascii="Calibri" w:hAnsi="Calibri" w:cs="Calibri"/>
          <w:sz w:val="24"/>
          <w:szCs w:val="24"/>
        </w:rPr>
        <w:t>ing</w:t>
      </w:r>
      <w:r w:rsidRPr="00261C59">
        <w:rPr>
          <w:rFonts w:ascii="Calibri" w:hAnsi="Calibri" w:cs="Calibri"/>
          <w:sz w:val="24"/>
          <w:szCs w:val="24"/>
        </w:rPr>
        <w:t xml:space="preserve"> services collaboratively to address local needs.</w:t>
      </w:r>
    </w:p>
    <w:p w14:paraId="741C0EDD" w14:textId="77777777" w:rsidR="002F27E7" w:rsidRPr="00261C59" w:rsidRDefault="002F27E7" w:rsidP="004728D9">
      <w:pPr>
        <w:numPr>
          <w:ilvl w:val="0"/>
          <w:numId w:val="21"/>
        </w:numPr>
        <w:spacing w:after="240" w:line="260" w:lineRule="exact"/>
        <w:jc w:val="left"/>
        <w:rPr>
          <w:rFonts w:ascii="Calibri" w:hAnsi="Calibri"/>
          <w:sz w:val="24"/>
        </w:rPr>
      </w:pPr>
      <w:r w:rsidRPr="00261C59">
        <w:rPr>
          <w:rFonts w:ascii="Calibri" w:hAnsi="Calibri"/>
          <w:sz w:val="24"/>
        </w:rPr>
        <w:t>The Commonwealth and each State’s shared and agreed governance structure should:</w:t>
      </w:r>
    </w:p>
    <w:p w14:paraId="737333A9" w14:textId="378BA544" w:rsidR="002F27E7" w:rsidRPr="00261C59" w:rsidRDefault="002F27E7" w:rsidP="004728D9">
      <w:pPr>
        <w:widowControl/>
        <w:numPr>
          <w:ilvl w:val="1"/>
          <w:numId w:val="152"/>
        </w:numPr>
        <w:adjustRightInd/>
        <w:spacing w:after="240" w:line="260" w:lineRule="exact"/>
        <w:jc w:val="left"/>
        <w:textAlignment w:val="auto"/>
        <w:rPr>
          <w:rFonts w:ascii="Calibri" w:hAnsi="Calibri" w:cs="Calibri"/>
          <w:sz w:val="24"/>
          <w:szCs w:val="24"/>
        </w:rPr>
      </w:pPr>
      <w:r w:rsidRPr="00261C59">
        <w:rPr>
          <w:rFonts w:ascii="Calibri" w:hAnsi="Calibri" w:cs="Calibri"/>
          <w:sz w:val="24"/>
          <w:szCs w:val="24"/>
        </w:rPr>
        <w:t>include, at a minimum, representatives from Commonwealth, State and Territory agencies, LHNs, PHNs, the ACCHO sector and peak consumer bodies</w:t>
      </w:r>
    </w:p>
    <w:p w14:paraId="2591D282" w14:textId="034FED4F" w:rsidR="002F27E7" w:rsidRPr="00261C59" w:rsidRDefault="002F27E7" w:rsidP="004728D9">
      <w:pPr>
        <w:widowControl/>
        <w:numPr>
          <w:ilvl w:val="1"/>
          <w:numId w:val="152"/>
        </w:numPr>
        <w:adjustRightInd/>
        <w:spacing w:after="240" w:line="260" w:lineRule="exact"/>
        <w:jc w:val="left"/>
        <w:textAlignment w:val="auto"/>
        <w:rPr>
          <w:rFonts w:ascii="Calibri" w:hAnsi="Calibri" w:cs="Calibri"/>
          <w:sz w:val="24"/>
          <w:szCs w:val="24"/>
        </w:rPr>
      </w:pPr>
      <w:r w:rsidRPr="00261C59">
        <w:rPr>
          <w:rFonts w:ascii="Calibri" w:hAnsi="Calibri" w:cs="Calibri"/>
          <w:sz w:val="24"/>
          <w:szCs w:val="24"/>
        </w:rPr>
        <w:t xml:space="preserve">include senior executive and other relevant staff/members to ensure an authorising, enabling and dynamic environment. </w:t>
      </w:r>
      <w:r w:rsidR="00781F99" w:rsidRPr="00261C59">
        <w:rPr>
          <w:rFonts w:ascii="Calibri" w:hAnsi="Calibri" w:cs="Calibri"/>
          <w:sz w:val="24"/>
          <w:szCs w:val="24"/>
        </w:rPr>
        <w:t>Larger jurisdictions should have a tiered governance structure and part of the governance structure should have a decision-making responsibility particularly for collaborative commissioning priorities and investments</w:t>
      </w:r>
      <w:r w:rsidRPr="00261C59">
        <w:rPr>
          <w:rFonts w:ascii="Calibri" w:hAnsi="Calibri" w:cs="Calibri"/>
          <w:sz w:val="24"/>
          <w:szCs w:val="24"/>
        </w:rPr>
        <w:t xml:space="preserve"> </w:t>
      </w:r>
    </w:p>
    <w:p w14:paraId="66457F4B" w14:textId="2C4FADBE" w:rsidR="00781F99" w:rsidRPr="00261C59" w:rsidRDefault="00781F99" w:rsidP="004728D9">
      <w:pPr>
        <w:widowControl/>
        <w:numPr>
          <w:ilvl w:val="1"/>
          <w:numId w:val="152"/>
        </w:numPr>
        <w:adjustRightInd/>
        <w:spacing w:after="240" w:line="260" w:lineRule="exact"/>
        <w:jc w:val="left"/>
        <w:textAlignment w:val="auto"/>
        <w:rPr>
          <w:rFonts w:ascii="Calibri" w:hAnsi="Calibri" w:cs="Calibri"/>
          <w:sz w:val="24"/>
          <w:szCs w:val="24"/>
        </w:rPr>
      </w:pPr>
      <w:r w:rsidRPr="00261C59">
        <w:rPr>
          <w:rFonts w:ascii="Calibri" w:hAnsi="Calibri" w:cs="Calibri"/>
          <w:sz w:val="24"/>
          <w:szCs w:val="24"/>
        </w:rPr>
        <w:t xml:space="preserve">identify and develop foundational elements to support shared responsibility and priorities for the local health care system. These include funding options, linked data arrangements and sets, an environment for sharing and discussing insights, strategic planning and the commissioning of services and projects </w:t>
      </w:r>
    </w:p>
    <w:p w14:paraId="133157AF" w14:textId="07C914CA" w:rsidR="002F27E7" w:rsidRPr="00261C59" w:rsidRDefault="002F27E7" w:rsidP="004728D9">
      <w:pPr>
        <w:keepLines/>
        <w:widowControl/>
        <w:numPr>
          <w:ilvl w:val="1"/>
          <w:numId w:val="152"/>
        </w:numPr>
        <w:adjustRightInd/>
        <w:spacing w:after="240" w:line="260" w:lineRule="exact"/>
        <w:jc w:val="left"/>
        <w:textAlignment w:val="auto"/>
        <w:rPr>
          <w:rFonts w:ascii="Calibri" w:hAnsi="Calibri" w:cs="Calibri"/>
          <w:sz w:val="24"/>
          <w:szCs w:val="24"/>
        </w:rPr>
      </w:pPr>
      <w:r w:rsidRPr="00261C59">
        <w:rPr>
          <w:rFonts w:ascii="Calibri" w:hAnsi="Calibri" w:cs="Calibri"/>
          <w:sz w:val="24"/>
          <w:szCs w:val="24"/>
        </w:rPr>
        <w:t xml:space="preserve">work together to determine the needs of local communities, </w:t>
      </w:r>
      <w:r w:rsidR="00781F99" w:rsidRPr="00261C59">
        <w:rPr>
          <w:rFonts w:ascii="Calibri" w:hAnsi="Calibri" w:cs="Calibri"/>
          <w:sz w:val="24"/>
          <w:szCs w:val="24"/>
        </w:rPr>
        <w:t xml:space="preserve">through joint needs assessments to </w:t>
      </w:r>
      <w:r w:rsidRPr="00261C59">
        <w:rPr>
          <w:rFonts w:ascii="Calibri" w:hAnsi="Calibri" w:cs="Calibri"/>
          <w:sz w:val="24"/>
          <w:szCs w:val="24"/>
        </w:rPr>
        <w:t>identify</w:t>
      </w:r>
      <w:r w:rsidR="00556381" w:rsidRPr="00261C59">
        <w:rPr>
          <w:rFonts w:ascii="Calibri" w:hAnsi="Calibri" w:cs="Calibri"/>
          <w:sz w:val="24"/>
          <w:szCs w:val="24"/>
        </w:rPr>
        <w:t xml:space="preserve"> </w:t>
      </w:r>
      <w:r w:rsidRPr="00261C59">
        <w:rPr>
          <w:rFonts w:ascii="Calibri" w:hAnsi="Calibri" w:cs="Calibri"/>
          <w:sz w:val="24"/>
          <w:szCs w:val="24"/>
        </w:rPr>
        <w:t>gaps, duplication and inefficiency, within their region based on evidence and data and consultation within their communities, including system users and carers with lived experience who are representatives of their local communities</w:t>
      </w:r>
    </w:p>
    <w:p w14:paraId="66FD9C94" w14:textId="482F4DCB" w:rsidR="002F27E7" w:rsidRPr="00261C59" w:rsidRDefault="002F27E7" w:rsidP="004728D9">
      <w:pPr>
        <w:widowControl/>
        <w:numPr>
          <w:ilvl w:val="1"/>
          <w:numId w:val="152"/>
        </w:numPr>
        <w:adjustRightInd/>
        <w:spacing w:after="240" w:line="260" w:lineRule="exact"/>
        <w:jc w:val="left"/>
        <w:textAlignment w:val="auto"/>
        <w:rPr>
          <w:rFonts w:ascii="Calibri" w:hAnsi="Calibri" w:cs="Calibri"/>
          <w:sz w:val="24"/>
          <w:szCs w:val="24"/>
        </w:rPr>
      </w:pPr>
      <w:r w:rsidRPr="00261C59">
        <w:rPr>
          <w:rFonts w:ascii="Calibri" w:hAnsi="Calibri" w:cs="Calibri"/>
          <w:sz w:val="24"/>
          <w:szCs w:val="24"/>
        </w:rPr>
        <w:t>plan, design and evaluate health care to respond to the needs of local communities</w:t>
      </w:r>
    </w:p>
    <w:p w14:paraId="2A6CC8F6" w14:textId="59C8385D" w:rsidR="002F27E7" w:rsidRPr="00261C59" w:rsidRDefault="002F27E7" w:rsidP="004728D9">
      <w:pPr>
        <w:widowControl/>
        <w:numPr>
          <w:ilvl w:val="1"/>
          <w:numId w:val="152"/>
        </w:numPr>
        <w:adjustRightInd/>
        <w:spacing w:after="240" w:line="260" w:lineRule="exact"/>
        <w:jc w:val="left"/>
        <w:textAlignment w:val="auto"/>
        <w:rPr>
          <w:rFonts w:ascii="Calibri" w:hAnsi="Calibri" w:cs="Calibri"/>
          <w:sz w:val="24"/>
          <w:szCs w:val="24"/>
        </w:rPr>
      </w:pPr>
      <w:r w:rsidRPr="00261C59">
        <w:rPr>
          <w:rFonts w:ascii="Calibri" w:hAnsi="Calibri" w:cs="Calibri"/>
          <w:sz w:val="24"/>
          <w:szCs w:val="24"/>
        </w:rPr>
        <w:t xml:space="preserve">coordinate and integrate care across the health care system and support transition between health and non-health services  </w:t>
      </w:r>
    </w:p>
    <w:p w14:paraId="2A664E20" w14:textId="6180F8D7" w:rsidR="00781F99" w:rsidRPr="00261C59" w:rsidRDefault="00781F99" w:rsidP="004728D9">
      <w:pPr>
        <w:widowControl/>
        <w:numPr>
          <w:ilvl w:val="1"/>
          <w:numId w:val="152"/>
        </w:numPr>
        <w:adjustRightInd/>
        <w:spacing w:after="240" w:line="260" w:lineRule="exact"/>
        <w:jc w:val="left"/>
        <w:textAlignment w:val="auto"/>
        <w:rPr>
          <w:rFonts w:ascii="Calibri" w:hAnsi="Calibri" w:cs="Calibri"/>
          <w:sz w:val="24"/>
          <w:szCs w:val="24"/>
        </w:rPr>
      </w:pPr>
      <w:r w:rsidRPr="00261C59">
        <w:rPr>
          <w:rFonts w:ascii="Calibri" w:hAnsi="Calibri" w:cs="Calibri"/>
          <w:sz w:val="24"/>
          <w:szCs w:val="24"/>
        </w:rPr>
        <w:t>bring perspectives from national and statewide policy leaders, and provide a platform for local insights to inform national and statewide policy</w:t>
      </w:r>
      <w:r w:rsidR="00701FDC" w:rsidRPr="00261C59">
        <w:rPr>
          <w:rFonts w:ascii="Calibri" w:hAnsi="Calibri" w:cs="Calibri"/>
          <w:sz w:val="24"/>
          <w:szCs w:val="24"/>
        </w:rPr>
        <w:t>.</w:t>
      </w:r>
    </w:p>
    <w:p w14:paraId="0F541F6B" w14:textId="77777777" w:rsidR="002F27E7" w:rsidRPr="00261C59" w:rsidRDefault="002F27E7" w:rsidP="00C304C3">
      <w:pPr>
        <w:keepNext/>
        <w:keepLines/>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The Parties agree to support PHNs, LHNs, ACCHOs</w:t>
      </w:r>
      <w:r w:rsidR="00781F99" w:rsidRPr="00261C59">
        <w:rPr>
          <w:rFonts w:ascii="Calibri" w:hAnsi="Calibri" w:cs="Calibri"/>
          <w:color w:val="000000" w:themeColor="text1"/>
          <w:sz w:val="24"/>
          <w:szCs w:val="24"/>
        </w:rPr>
        <w:t>, peak consumer bodies</w:t>
      </w:r>
      <w:r w:rsidRPr="00261C59">
        <w:rPr>
          <w:rFonts w:ascii="Calibri" w:hAnsi="Calibri" w:cs="Calibri"/>
          <w:color w:val="000000" w:themeColor="text1"/>
          <w:sz w:val="24"/>
          <w:szCs w:val="24"/>
        </w:rPr>
        <w:t xml:space="preserve"> and other state-based commissioning bodies to engage in regional planning and commissioning activities by improving the transparency of health services spending and outcomes delivered by:</w:t>
      </w:r>
    </w:p>
    <w:p w14:paraId="29461168" w14:textId="71273CE5" w:rsidR="002F27E7" w:rsidRPr="00261C59" w:rsidRDefault="002F27E7" w:rsidP="004728D9">
      <w:pPr>
        <w:widowControl/>
        <w:numPr>
          <w:ilvl w:val="1"/>
          <w:numId w:val="153"/>
        </w:numPr>
        <w:adjustRightInd/>
        <w:spacing w:after="240" w:line="260" w:lineRule="exact"/>
        <w:jc w:val="left"/>
        <w:textAlignment w:val="auto"/>
        <w:rPr>
          <w:rFonts w:ascii="Calibri" w:hAnsi="Calibri" w:cs="Calibri"/>
          <w:sz w:val="24"/>
          <w:szCs w:val="24"/>
        </w:rPr>
      </w:pPr>
      <w:r w:rsidRPr="00261C59">
        <w:rPr>
          <w:rFonts w:ascii="Calibri" w:hAnsi="Calibri" w:cs="Calibri"/>
          <w:sz w:val="24"/>
          <w:szCs w:val="24"/>
        </w:rPr>
        <w:t>establishing shared reporting through development of Joint Regional Health Plans and reported on through regional commissioning arrangements</w:t>
      </w:r>
    </w:p>
    <w:p w14:paraId="00168BD7" w14:textId="095819BA" w:rsidR="002F27E7" w:rsidRPr="00261C59" w:rsidRDefault="002F27E7" w:rsidP="004728D9">
      <w:pPr>
        <w:widowControl/>
        <w:numPr>
          <w:ilvl w:val="1"/>
          <w:numId w:val="153"/>
        </w:numPr>
        <w:adjustRightInd/>
        <w:spacing w:after="240" w:line="260" w:lineRule="exact"/>
        <w:jc w:val="left"/>
        <w:textAlignment w:val="auto"/>
        <w:rPr>
          <w:rFonts w:ascii="Calibri" w:hAnsi="Calibri" w:cs="Calibri"/>
          <w:sz w:val="24"/>
          <w:szCs w:val="24"/>
        </w:rPr>
      </w:pPr>
      <w:r w:rsidRPr="00261C59">
        <w:rPr>
          <w:rFonts w:ascii="Calibri" w:hAnsi="Calibri" w:cs="Calibri"/>
          <w:sz w:val="24"/>
          <w:szCs w:val="24"/>
        </w:rPr>
        <w:t>establishing shared accountability across levels of Government under the governance structures of this Addendum</w:t>
      </w:r>
    </w:p>
    <w:p w14:paraId="7BFF6E66" w14:textId="77777777" w:rsidR="002F27E7" w:rsidRPr="00261C59" w:rsidRDefault="002F27E7" w:rsidP="004728D9">
      <w:pPr>
        <w:widowControl/>
        <w:numPr>
          <w:ilvl w:val="1"/>
          <w:numId w:val="153"/>
        </w:numPr>
        <w:adjustRightInd/>
        <w:spacing w:after="240" w:line="260" w:lineRule="exact"/>
        <w:jc w:val="left"/>
        <w:textAlignment w:val="auto"/>
        <w:rPr>
          <w:rFonts w:ascii="Calibri" w:hAnsi="Calibri" w:cs="Calibri"/>
          <w:sz w:val="24"/>
          <w:szCs w:val="24"/>
        </w:rPr>
      </w:pPr>
      <w:r w:rsidRPr="00261C59">
        <w:rPr>
          <w:rFonts w:ascii="Calibri" w:hAnsi="Calibri" w:cs="Calibri"/>
          <w:sz w:val="24"/>
          <w:szCs w:val="24"/>
        </w:rPr>
        <w:t>working towards streamlining reporting and accountability requirements for service delivery organisations.</w:t>
      </w:r>
    </w:p>
    <w:p w14:paraId="113B4136"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PHNs and LHNs will be expected to share some common membership of their governance bodies and work closely to establish formal engagement protocols. This includes a commitment to multi-way data sharing in alignment with the national governance framework to be developed under Schedule H (National Health Data System), including for hospital services, community and primary care, NDIS and aged care services and workforce.</w:t>
      </w:r>
    </w:p>
    <w:p w14:paraId="29416300" w14:textId="77777777" w:rsidR="002F27E7" w:rsidRPr="00261C59" w:rsidRDefault="002F27E7" w:rsidP="004728D9">
      <w:pPr>
        <w:numPr>
          <w:ilvl w:val="0"/>
          <w:numId w:val="21"/>
        </w:numPr>
        <w:spacing w:after="240" w:line="260" w:lineRule="exact"/>
        <w:jc w:val="left"/>
        <w:rPr>
          <w:rFonts w:ascii="Calibri" w:hAnsi="Calibri" w:cs="Calibri"/>
          <w:color w:val="000000" w:themeColor="text1"/>
          <w:sz w:val="24"/>
          <w:szCs w:val="24"/>
        </w:rPr>
      </w:pPr>
      <w:r w:rsidRPr="00261C59">
        <w:rPr>
          <w:rFonts w:ascii="Calibri" w:hAnsi="Calibri" w:cs="Calibri"/>
          <w:color w:val="000000" w:themeColor="text1"/>
          <w:sz w:val="24"/>
          <w:szCs w:val="24"/>
        </w:rPr>
        <w:t>The Parties will work cooperatively to ensure, wherever possible, there are common geographic boundaries between PHNs and LHNs including where States maintain or introduce arrangements for cross-border LHNs.</w:t>
      </w:r>
      <w:bookmarkEnd w:id="703"/>
    </w:p>
    <w:p w14:paraId="4C7FBB2F" w14:textId="77777777" w:rsidR="002F27E7" w:rsidRPr="00261C59" w:rsidRDefault="002F27E7" w:rsidP="00C204D3">
      <w:pPr>
        <w:widowControl/>
        <w:spacing w:before="0" w:after="240"/>
        <w:jc w:val="left"/>
        <w:rPr>
          <w:rFonts w:ascii="Calibri" w:hAnsi="Calibri"/>
          <w:sz w:val="24"/>
          <w:szCs w:val="24"/>
        </w:rPr>
      </w:pPr>
    </w:p>
    <w:p w14:paraId="5B3CDF27" w14:textId="77777777" w:rsidR="00781F99" w:rsidRPr="00261C59" w:rsidRDefault="00781F99"/>
    <w:p w14:paraId="1C52C823" w14:textId="77777777" w:rsidR="00C204D3" w:rsidRPr="00261C59" w:rsidRDefault="00C204D3" w:rsidP="00C204D3">
      <w:pPr>
        <w:widowControl/>
        <w:spacing w:before="0" w:after="240"/>
        <w:jc w:val="left"/>
        <w:rPr>
          <w:rFonts w:ascii="Calibri" w:hAnsi="Calibri"/>
          <w:sz w:val="24"/>
          <w:szCs w:val="24"/>
        </w:rPr>
      </w:pPr>
    </w:p>
    <w:p w14:paraId="1084D6BF" w14:textId="77777777" w:rsidR="00EB5B84" w:rsidRPr="00261C59" w:rsidRDefault="00EB5B84" w:rsidP="00814D08">
      <w:pPr>
        <w:pStyle w:val="Heading1"/>
        <w:keepLines w:val="0"/>
        <w:widowControl/>
        <w:tabs>
          <w:tab w:val="clear" w:pos="567"/>
        </w:tabs>
        <w:adjustRightInd/>
        <w:spacing w:before="120" w:after="180"/>
        <w:jc w:val="left"/>
        <w:textAlignment w:val="auto"/>
        <w:rPr>
          <w:rFonts w:ascii="Consolas" w:eastAsia="Times New Roman" w:hAnsi="Consolas" w:cs="Arial"/>
          <w:b w:val="0"/>
          <w:caps/>
          <w:color w:val="980033"/>
          <w:kern w:val="32"/>
          <w:szCs w:val="36"/>
        </w:rPr>
        <w:sectPr w:rsidR="00EB5B84" w:rsidRPr="00261C59" w:rsidSect="00975D83">
          <w:pgSz w:w="11906" w:h="16838"/>
          <w:pgMar w:top="1440" w:right="1274" w:bottom="1440" w:left="1134" w:header="708" w:footer="708" w:gutter="0"/>
          <w:cols w:space="708"/>
          <w:docGrid w:linePitch="360"/>
        </w:sectPr>
      </w:pPr>
    </w:p>
    <w:p w14:paraId="2AB2880B" w14:textId="16EF3F78" w:rsidR="00BB21F6" w:rsidRPr="00261C59" w:rsidRDefault="00BB21F6" w:rsidP="000F0CD4">
      <w:pPr>
        <w:pStyle w:val="Heading1"/>
        <w:keepLines w:val="0"/>
        <w:widowControl/>
        <w:tabs>
          <w:tab w:val="clear" w:pos="567"/>
        </w:tabs>
        <w:adjustRightInd/>
        <w:spacing w:before="120" w:after="180"/>
        <w:jc w:val="left"/>
        <w:textAlignment w:val="auto"/>
        <w:rPr>
          <w:rFonts w:ascii="Consolas" w:eastAsia="Times New Roman" w:hAnsi="Consolas" w:cs="Arial"/>
          <w:b w:val="0"/>
          <w:caps/>
          <w:color w:val="980033"/>
          <w:kern w:val="32"/>
          <w:szCs w:val="36"/>
        </w:rPr>
      </w:pPr>
      <w:bookmarkStart w:id="705" w:name="_Toc210833671"/>
      <w:bookmarkStart w:id="706" w:name="_Toc214456576"/>
      <w:bookmarkStart w:id="707" w:name="_Toc221088057"/>
      <w:bookmarkStart w:id="708" w:name="_Hlk178603633"/>
      <w:r w:rsidRPr="00261C59">
        <w:rPr>
          <w:rFonts w:ascii="Consolas" w:eastAsia="Times New Roman" w:hAnsi="Consolas" w:cs="Arial"/>
          <w:b w:val="0"/>
          <w:caps/>
          <w:color w:val="980033"/>
          <w:kern w:val="32"/>
          <w:szCs w:val="36"/>
        </w:rPr>
        <w:t xml:space="preserve">SCHEDULE </w:t>
      </w:r>
      <w:r w:rsidR="00EB5B84" w:rsidRPr="00261C59">
        <w:rPr>
          <w:rFonts w:ascii="Consolas" w:eastAsia="Times New Roman" w:hAnsi="Consolas" w:cs="Arial"/>
          <w:b w:val="0"/>
          <w:caps/>
          <w:color w:val="980033"/>
          <w:kern w:val="32"/>
          <w:szCs w:val="36"/>
        </w:rPr>
        <w:t>F</w:t>
      </w:r>
      <w:r w:rsidRPr="00261C59">
        <w:rPr>
          <w:rFonts w:ascii="Consolas" w:eastAsia="Times New Roman" w:hAnsi="Consolas" w:cs="Arial"/>
          <w:b w:val="0"/>
          <w:caps/>
          <w:color w:val="980033"/>
          <w:kern w:val="32"/>
          <w:szCs w:val="36"/>
        </w:rPr>
        <w:t xml:space="preserve"> – </w:t>
      </w:r>
      <w:r w:rsidR="00694A76" w:rsidRPr="00261C59">
        <w:rPr>
          <w:rFonts w:ascii="Consolas" w:eastAsia="Times New Roman" w:hAnsi="Consolas" w:cs="Arial"/>
          <w:b w:val="0"/>
          <w:caps/>
          <w:color w:val="980033"/>
          <w:kern w:val="32"/>
          <w:szCs w:val="36"/>
        </w:rPr>
        <w:t>Better health equity for rural and remote communities</w:t>
      </w:r>
      <w:bookmarkEnd w:id="705"/>
      <w:bookmarkEnd w:id="706"/>
      <w:bookmarkEnd w:id="707"/>
    </w:p>
    <w:bookmarkEnd w:id="593"/>
    <w:bookmarkEnd w:id="594"/>
    <w:p w14:paraId="02A996C3" w14:textId="77777777"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This schedule outlines reforms that will help achieve equitable health outcomes and access to health services for people living in rural and remote Australia. Rural and remote communities can face unique challenges accessing health care. Service systems can be fragile as they rely on a small number of providers, with well-recognised workforce recruitment and retention issues, and there can be geographic barriers to accessing tertiary and specialist care.</w:t>
      </w:r>
    </w:p>
    <w:p w14:paraId="3F097A6D" w14:textId="77777777"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Roles and responsibilities under this Schedule are in accordance with those set out in the Preliminaries and in Schedules C and E, which also pertain to health services in rural and remote areas.</w:t>
      </w:r>
    </w:p>
    <w:p w14:paraId="69AA7B4B" w14:textId="77777777"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 xml:space="preserve">All Parties recognise: </w:t>
      </w:r>
    </w:p>
    <w:p w14:paraId="4C48D8F7" w14:textId="070E65BA" w:rsidR="00AC16C3" w:rsidRPr="00261C59" w:rsidRDefault="00AC16C3" w:rsidP="004728D9">
      <w:pPr>
        <w:numPr>
          <w:ilvl w:val="1"/>
          <w:numId w:val="155"/>
        </w:numPr>
        <w:spacing w:after="240" w:line="260" w:lineRule="exact"/>
        <w:jc w:val="left"/>
        <w:rPr>
          <w:rFonts w:ascii="Calibri" w:hAnsi="Calibri"/>
          <w:sz w:val="24"/>
          <w:szCs w:val="24"/>
        </w:rPr>
      </w:pPr>
      <w:r w:rsidRPr="00261C59">
        <w:rPr>
          <w:rFonts w:ascii="Calibri" w:hAnsi="Calibri"/>
          <w:sz w:val="24"/>
          <w:szCs w:val="24"/>
        </w:rPr>
        <w:t>ACCHOs and other Aboriginal and Torres Strait Islander community-controlled organisations as legitimate and critical partners in the rural and remote service system</w:t>
      </w:r>
    </w:p>
    <w:p w14:paraId="21B86B13" w14:textId="4E615727" w:rsidR="00AC16C3" w:rsidRPr="00261C59" w:rsidRDefault="00AC16C3" w:rsidP="004728D9">
      <w:pPr>
        <w:numPr>
          <w:ilvl w:val="1"/>
          <w:numId w:val="155"/>
        </w:numPr>
        <w:spacing w:after="240" w:line="260" w:lineRule="exact"/>
        <w:jc w:val="left"/>
        <w:rPr>
          <w:rFonts w:ascii="Calibri" w:hAnsi="Calibri"/>
          <w:sz w:val="24"/>
          <w:szCs w:val="24"/>
        </w:rPr>
      </w:pPr>
      <w:r w:rsidRPr="00261C59">
        <w:rPr>
          <w:rFonts w:ascii="Calibri" w:hAnsi="Calibri"/>
          <w:sz w:val="24"/>
          <w:szCs w:val="24"/>
        </w:rPr>
        <w:t>the importance of culturally appropriate, sustainable healthcare services and the need to deliver on commitments in Schedule B to improve health outcomes for Aboriginal and Torres Strait Islander people</w:t>
      </w:r>
    </w:p>
    <w:p w14:paraId="399B3D21" w14:textId="0759510F" w:rsidR="00AC16C3" w:rsidRPr="00261C59" w:rsidRDefault="00AC16C3" w:rsidP="004728D9">
      <w:pPr>
        <w:numPr>
          <w:ilvl w:val="1"/>
          <w:numId w:val="155"/>
        </w:numPr>
        <w:spacing w:after="240" w:line="260" w:lineRule="exact"/>
        <w:jc w:val="left"/>
        <w:rPr>
          <w:rFonts w:ascii="Calibri" w:hAnsi="Calibri"/>
          <w:sz w:val="24"/>
          <w:szCs w:val="24"/>
        </w:rPr>
      </w:pPr>
      <w:r w:rsidRPr="00261C59">
        <w:rPr>
          <w:rFonts w:ascii="Calibri" w:hAnsi="Calibri"/>
          <w:sz w:val="24"/>
          <w:szCs w:val="24"/>
        </w:rPr>
        <w:t xml:space="preserve">the need for an equitable response to address the more complex needs in rural and remote </w:t>
      </w:r>
      <w:r w:rsidRPr="00261C59" w:rsidDel="67C1CDA4">
        <w:rPr>
          <w:rFonts w:ascii="Calibri" w:hAnsi="Calibri"/>
          <w:sz w:val="24"/>
          <w:szCs w:val="24"/>
        </w:rPr>
        <w:t>communities</w:t>
      </w:r>
    </w:p>
    <w:p w14:paraId="1384E1A6" w14:textId="77777777" w:rsidR="00AC16C3" w:rsidRPr="00261C59" w:rsidRDefault="00AC16C3" w:rsidP="004728D9">
      <w:pPr>
        <w:numPr>
          <w:ilvl w:val="1"/>
          <w:numId w:val="155"/>
        </w:numPr>
        <w:spacing w:after="240" w:line="260" w:lineRule="exact"/>
        <w:jc w:val="left"/>
        <w:rPr>
          <w:rFonts w:ascii="Calibri" w:hAnsi="Calibri"/>
          <w:sz w:val="24"/>
          <w:szCs w:val="24"/>
        </w:rPr>
      </w:pPr>
      <w:r w:rsidRPr="00261C59">
        <w:rPr>
          <w:rFonts w:ascii="Calibri" w:hAnsi="Calibri"/>
          <w:sz w:val="24"/>
          <w:szCs w:val="24"/>
        </w:rPr>
        <w:t xml:space="preserve">the need to provide all patients with access to essential health services as close to their home as is feasible. </w:t>
      </w:r>
    </w:p>
    <w:p w14:paraId="6BD15BCB" w14:textId="77777777"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The Parties acknowledge that cross-agency partnerships and targeted work on the social and environmental determinants of health, such as housing, education, employment, and childcare, are also fundamental to improving outcomes for current and future generations living in rural and remote areas.</w:t>
      </w:r>
    </w:p>
    <w:p w14:paraId="59BB6751" w14:textId="44A4601F" w:rsidR="00AC16C3" w:rsidRPr="00261C59" w:rsidRDefault="00AC16C3" w:rsidP="004728D9">
      <w:pPr>
        <w:numPr>
          <w:ilvl w:val="0"/>
          <w:numId w:val="41"/>
        </w:numPr>
        <w:spacing w:after="240" w:line="260" w:lineRule="exact"/>
        <w:jc w:val="left"/>
        <w:rPr>
          <w:rFonts w:ascii="Calibri" w:hAnsi="Calibri"/>
          <w:sz w:val="24"/>
          <w:szCs w:val="24"/>
        </w:rPr>
      </w:pPr>
      <w:r w:rsidRPr="00261C59">
        <w:rPr>
          <w:rStyle w:val="cf01"/>
          <w:rFonts w:asciiTheme="minorHAnsi" w:eastAsiaTheme="majorEastAsia" w:hAnsiTheme="minorHAnsi" w:cstheme="minorBidi"/>
          <w:sz w:val="24"/>
          <w:szCs w:val="24"/>
          <w:shd w:val="clear" w:color="auto" w:fill="auto"/>
        </w:rPr>
        <w:t xml:space="preserve">This Schedule will prioritise rural towns and remote communities, according to relevant geographical classifications, that have inequities in health outcomes and health service access compared to metropolitan areas. </w:t>
      </w:r>
      <w:r w:rsidRPr="00261C59">
        <w:rPr>
          <w:rFonts w:ascii="Calibri" w:hAnsi="Calibri"/>
          <w:sz w:val="24"/>
          <w:szCs w:val="24"/>
        </w:rPr>
        <w:t xml:space="preserve">This approach acknowledges that existing geographical classifications are used for different purposes, and that reviews and updates to data may change classifications from time to time. </w:t>
      </w:r>
    </w:p>
    <w:p w14:paraId="05776FE9" w14:textId="77777777" w:rsidR="00AC16C3" w:rsidRPr="00261C59" w:rsidRDefault="00AC16C3" w:rsidP="004728D9">
      <w:pPr>
        <w:keepNext/>
        <w:widowControl/>
        <w:numPr>
          <w:ilvl w:val="0"/>
          <w:numId w:val="41"/>
        </w:numPr>
        <w:spacing w:after="240" w:line="260" w:lineRule="exact"/>
        <w:jc w:val="left"/>
        <w:rPr>
          <w:rFonts w:ascii="Calibri" w:hAnsi="Calibri"/>
          <w:sz w:val="24"/>
          <w:szCs w:val="24"/>
        </w:rPr>
      </w:pPr>
      <w:r w:rsidRPr="00261C59">
        <w:rPr>
          <w:rFonts w:ascii="Calibri" w:hAnsi="Calibri"/>
          <w:sz w:val="24"/>
          <w:szCs w:val="24"/>
        </w:rPr>
        <w:t xml:space="preserve">To implement this Schedule, Parties commit to a focus on rural and remote communities and services under the following key reforms outlined in other Schedules: </w:t>
      </w:r>
    </w:p>
    <w:p w14:paraId="520CFD2F" w14:textId="0731305C" w:rsidR="00AC16C3" w:rsidRPr="00261C59" w:rsidRDefault="00AC16C3" w:rsidP="004728D9">
      <w:pPr>
        <w:numPr>
          <w:ilvl w:val="1"/>
          <w:numId w:val="156"/>
        </w:numPr>
        <w:spacing w:after="240" w:line="260" w:lineRule="exact"/>
        <w:jc w:val="left"/>
        <w:rPr>
          <w:rFonts w:ascii="Calibri" w:hAnsi="Calibri"/>
          <w:sz w:val="24"/>
          <w:szCs w:val="24"/>
        </w:rPr>
      </w:pPr>
      <w:r w:rsidRPr="00261C59">
        <w:rPr>
          <w:rFonts w:ascii="Calibri" w:hAnsi="Calibri"/>
          <w:sz w:val="24"/>
          <w:szCs w:val="24"/>
        </w:rPr>
        <w:t>Schedule A – funding reforms, including reviews of pricing adjustments for Indigenous status and rural and remote status, and a review of block-funded services and their categorisation/classification</w:t>
      </w:r>
    </w:p>
    <w:p w14:paraId="5759CF1C" w14:textId="0518F7EA" w:rsidR="00AC16C3" w:rsidRPr="00261C59" w:rsidRDefault="00AC16C3" w:rsidP="004728D9">
      <w:pPr>
        <w:numPr>
          <w:ilvl w:val="1"/>
          <w:numId w:val="156"/>
        </w:numPr>
        <w:spacing w:after="240" w:line="260" w:lineRule="exact"/>
        <w:jc w:val="left"/>
        <w:rPr>
          <w:rFonts w:ascii="Calibri" w:hAnsi="Calibri"/>
          <w:sz w:val="24"/>
          <w:szCs w:val="24"/>
        </w:rPr>
      </w:pPr>
      <w:r w:rsidRPr="00261C59">
        <w:rPr>
          <w:rFonts w:ascii="Calibri" w:hAnsi="Calibri"/>
          <w:sz w:val="24"/>
          <w:szCs w:val="24"/>
        </w:rPr>
        <w:t>Schedule B – operationalising the National Agreement on Closing the Gap</w:t>
      </w:r>
    </w:p>
    <w:p w14:paraId="2B6B599D" w14:textId="29EB9238" w:rsidR="00AC16C3" w:rsidRPr="00261C59" w:rsidRDefault="00AC16C3" w:rsidP="004728D9">
      <w:pPr>
        <w:numPr>
          <w:ilvl w:val="1"/>
          <w:numId w:val="156"/>
        </w:numPr>
        <w:spacing w:after="240" w:line="260" w:lineRule="exact"/>
        <w:jc w:val="left"/>
        <w:rPr>
          <w:rFonts w:ascii="Calibri" w:hAnsi="Calibri"/>
          <w:sz w:val="24"/>
          <w:szCs w:val="24"/>
        </w:rPr>
      </w:pPr>
      <w:r w:rsidRPr="00261C59">
        <w:rPr>
          <w:rFonts w:ascii="Calibri" w:hAnsi="Calibri"/>
          <w:sz w:val="24"/>
          <w:szCs w:val="24"/>
        </w:rPr>
        <w:t>Schedule C – governance and escalation pathways for primary care market performance and interface issues</w:t>
      </w:r>
    </w:p>
    <w:p w14:paraId="505999DA" w14:textId="4D552963" w:rsidR="00AC16C3" w:rsidRPr="00261C59" w:rsidRDefault="00AC16C3" w:rsidP="004728D9">
      <w:pPr>
        <w:widowControl/>
        <w:numPr>
          <w:ilvl w:val="1"/>
          <w:numId w:val="156"/>
        </w:numPr>
        <w:spacing w:after="240" w:line="260" w:lineRule="exact"/>
        <w:jc w:val="left"/>
        <w:rPr>
          <w:rFonts w:ascii="Calibri" w:hAnsi="Calibri"/>
          <w:sz w:val="24"/>
          <w:szCs w:val="24"/>
        </w:rPr>
      </w:pPr>
      <w:r w:rsidRPr="00261C59">
        <w:rPr>
          <w:rFonts w:ascii="Calibri" w:hAnsi="Calibri"/>
          <w:sz w:val="24"/>
          <w:szCs w:val="24"/>
        </w:rPr>
        <w:t>Schedule D – delivering optimal models of care</w:t>
      </w:r>
      <w:r w:rsidR="005C5256" w:rsidRPr="00261C59">
        <w:rPr>
          <w:rFonts w:ascii="Calibri" w:hAnsi="Calibri"/>
          <w:sz w:val="24"/>
          <w:szCs w:val="24"/>
        </w:rPr>
        <w:t xml:space="preserve"> that support improvement in service delivery and provide more flexible pricing and funding arrangements</w:t>
      </w:r>
    </w:p>
    <w:p w14:paraId="1870146B" w14:textId="572199E6" w:rsidR="00AC16C3" w:rsidRPr="00261C59" w:rsidRDefault="00AC16C3" w:rsidP="004728D9">
      <w:pPr>
        <w:numPr>
          <w:ilvl w:val="1"/>
          <w:numId w:val="156"/>
        </w:numPr>
        <w:spacing w:after="240" w:line="260" w:lineRule="exact"/>
        <w:jc w:val="left"/>
        <w:rPr>
          <w:rFonts w:ascii="Calibri" w:hAnsi="Calibri"/>
          <w:sz w:val="24"/>
          <w:szCs w:val="24"/>
        </w:rPr>
      </w:pPr>
      <w:r w:rsidRPr="00261C59">
        <w:rPr>
          <w:rFonts w:ascii="Calibri" w:hAnsi="Calibri"/>
          <w:sz w:val="24"/>
          <w:szCs w:val="24"/>
        </w:rPr>
        <w:t>Schedule E – local governance arrangements, including joint commissioning</w:t>
      </w:r>
    </w:p>
    <w:p w14:paraId="1ECC06A5" w14:textId="3F19EBB7" w:rsidR="00AC16C3" w:rsidRPr="00261C59" w:rsidRDefault="00AC16C3" w:rsidP="004728D9">
      <w:pPr>
        <w:numPr>
          <w:ilvl w:val="1"/>
          <w:numId w:val="156"/>
        </w:numPr>
        <w:spacing w:after="240" w:line="260" w:lineRule="exact"/>
        <w:jc w:val="left"/>
        <w:rPr>
          <w:rFonts w:ascii="Calibri" w:hAnsi="Calibri"/>
          <w:sz w:val="24"/>
          <w:szCs w:val="24"/>
        </w:rPr>
      </w:pPr>
      <w:r w:rsidRPr="00261C59">
        <w:rPr>
          <w:rFonts w:ascii="Calibri" w:hAnsi="Calibri"/>
          <w:sz w:val="24"/>
          <w:szCs w:val="24"/>
        </w:rPr>
        <w:t xml:space="preserve">Schedule G – health workforce reforms, including a commitment to the National Aboriginal and Torres Strait Islander Health Workforce Strategic Framework and Implementation Plan 2021-2031 </w:t>
      </w:r>
    </w:p>
    <w:p w14:paraId="14279D25" w14:textId="77777777" w:rsidR="00AC16C3" w:rsidRPr="00261C59" w:rsidRDefault="00AC16C3" w:rsidP="004728D9">
      <w:pPr>
        <w:numPr>
          <w:ilvl w:val="1"/>
          <w:numId w:val="156"/>
        </w:numPr>
        <w:spacing w:after="240" w:line="260" w:lineRule="exact"/>
        <w:jc w:val="left"/>
        <w:rPr>
          <w:rFonts w:ascii="Calibri" w:hAnsi="Calibri"/>
          <w:sz w:val="24"/>
          <w:szCs w:val="24"/>
        </w:rPr>
      </w:pPr>
      <w:r w:rsidRPr="00261C59">
        <w:rPr>
          <w:rFonts w:ascii="Calibri" w:hAnsi="Calibri"/>
          <w:sz w:val="24"/>
          <w:szCs w:val="24"/>
        </w:rPr>
        <w:t xml:space="preserve">Schedule H – performance reporting including indicators, benchmarks and disaggregated data by geographical area and for priority population groups where appropriate. </w:t>
      </w:r>
    </w:p>
    <w:p w14:paraId="4EC44691" w14:textId="77777777" w:rsidR="00AC16C3" w:rsidRPr="00261C59" w:rsidRDefault="00AC16C3" w:rsidP="000F0CD4">
      <w:pPr>
        <w:pStyle w:val="Heading2"/>
        <w:keepLines w:val="0"/>
        <w:widowControl/>
        <w:spacing w:before="180" w:after="120"/>
        <w:jc w:val="left"/>
        <w:rPr>
          <w:rFonts w:ascii="Corbel" w:eastAsia="Times New Roman" w:hAnsi="Corbel" w:cs="Arial"/>
          <w:color w:val="3D4B67"/>
          <w:sz w:val="28"/>
          <w:szCs w:val="28"/>
        </w:rPr>
      </w:pPr>
      <w:bookmarkStart w:id="709" w:name="_Toc173937761"/>
      <w:bookmarkStart w:id="710" w:name="_Toc210833672"/>
      <w:bookmarkStart w:id="711" w:name="_Toc214456577"/>
      <w:bookmarkStart w:id="712" w:name="_Toc221088058"/>
      <w:r w:rsidRPr="00261C59">
        <w:rPr>
          <w:rFonts w:ascii="Corbel" w:eastAsia="Times New Roman" w:hAnsi="Corbel" w:cs="Arial"/>
          <w:color w:val="3D4B67"/>
          <w:sz w:val="28"/>
          <w:szCs w:val="28"/>
        </w:rPr>
        <w:t>Access to services</w:t>
      </w:r>
      <w:bookmarkEnd w:id="709"/>
      <w:bookmarkEnd w:id="710"/>
      <w:bookmarkEnd w:id="711"/>
      <w:bookmarkEnd w:id="712"/>
    </w:p>
    <w:p w14:paraId="5AD4165F" w14:textId="77777777"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 xml:space="preserve">The Parties recognise the strengths of rural and remote communities and acknowledge areas of excellence in health service delivery. </w:t>
      </w:r>
    </w:p>
    <w:p w14:paraId="156B115B" w14:textId="77777777"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The Parties also recognise that it is not always practicable or efficient to deliver the same range of health services in the same way across rural and remote areas due to factors such as geographic distance, smaller populations, cultural context, and workforce availability.</w:t>
      </w:r>
    </w:p>
    <w:p w14:paraId="6B136DE9" w14:textId="77777777"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 xml:space="preserve">The Parties commit to providing access to quality and affordable health care to all Medicare-eligible persons, regardless of where they live. </w:t>
      </w:r>
    </w:p>
    <w:p w14:paraId="636C693F" w14:textId="4BB775CF"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 xml:space="preserve">For people living in rural and remote communities, where possible, service delivery models should focus on the needs and preferences of the person receiving care. Rural and remote service delivery may include a combination of in-person services, virtual care, and remote monitoring, with the mode determined by clinical indications, patient safety, quality of care, and where practicable, patient preference. </w:t>
      </w:r>
    </w:p>
    <w:p w14:paraId="510E7B6A" w14:textId="582F6CC6"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The Parties acknowledge that in rural and remote areas, services are not always commercially viable or sustainable so alternative models of care may be needed to support access to general practitioner services and multidisciplinary care.</w:t>
      </w:r>
    </w:p>
    <w:p w14:paraId="33A17012" w14:textId="05F25734" w:rsidR="00AC16C3" w:rsidRPr="00261C59" w:rsidRDefault="0094003F" w:rsidP="004728D9">
      <w:pPr>
        <w:numPr>
          <w:ilvl w:val="0"/>
          <w:numId w:val="41"/>
        </w:numPr>
        <w:spacing w:after="240" w:line="260" w:lineRule="exact"/>
        <w:jc w:val="left"/>
        <w:rPr>
          <w:rFonts w:ascii="Calibri" w:hAnsi="Calibri"/>
          <w:sz w:val="24"/>
          <w:szCs w:val="24"/>
        </w:rPr>
      </w:pPr>
      <w:r w:rsidRPr="00261C59">
        <w:rPr>
          <w:rFonts w:ascii="Calibri" w:eastAsia="Calibri" w:hAnsi="Calibri" w:cs="Calibri"/>
          <w:color w:val="000000" w:themeColor="text1"/>
          <w:sz w:val="24"/>
          <w:szCs w:val="24"/>
        </w:rPr>
        <w:t>In line with the principles of market stewardship at Preliminaries clause 20, t</w:t>
      </w:r>
      <w:r w:rsidR="00AC16C3" w:rsidRPr="00261C59">
        <w:rPr>
          <w:rFonts w:ascii="Calibri" w:eastAsia="Calibri" w:hAnsi="Calibri" w:cs="Calibri"/>
          <w:color w:val="000000" w:themeColor="text1"/>
          <w:sz w:val="24"/>
          <w:szCs w:val="24"/>
        </w:rPr>
        <w:t xml:space="preserve">he </w:t>
      </w:r>
      <w:r w:rsidRPr="00261C59">
        <w:rPr>
          <w:rFonts w:ascii="Calibri" w:eastAsia="Calibri" w:hAnsi="Calibri" w:cs="Calibri"/>
          <w:color w:val="000000" w:themeColor="text1"/>
          <w:sz w:val="24"/>
          <w:szCs w:val="24"/>
        </w:rPr>
        <w:t xml:space="preserve">Commonwealth is </w:t>
      </w:r>
      <w:r w:rsidR="00AC16C3" w:rsidRPr="00261C59">
        <w:rPr>
          <w:rFonts w:ascii="Calibri" w:eastAsia="Calibri" w:hAnsi="Calibri" w:cs="Calibri"/>
          <w:color w:val="000000" w:themeColor="text1"/>
          <w:sz w:val="24"/>
          <w:szCs w:val="24"/>
        </w:rPr>
        <w:t>commit</w:t>
      </w:r>
      <w:r w:rsidRPr="00261C59">
        <w:rPr>
          <w:rFonts w:ascii="Calibri" w:eastAsia="Calibri" w:hAnsi="Calibri" w:cs="Calibri"/>
          <w:color w:val="000000" w:themeColor="text1"/>
          <w:sz w:val="24"/>
          <w:szCs w:val="24"/>
        </w:rPr>
        <w:t>ted</w:t>
      </w:r>
      <w:r w:rsidR="00AC16C3" w:rsidRPr="00261C59">
        <w:rPr>
          <w:rFonts w:ascii="Calibri" w:eastAsia="Calibri" w:hAnsi="Calibri" w:cs="Calibri"/>
          <w:color w:val="000000" w:themeColor="text1"/>
          <w:sz w:val="24"/>
          <w:szCs w:val="24"/>
        </w:rPr>
        <w:t xml:space="preserve"> to </w:t>
      </w:r>
      <w:r w:rsidR="00853F0B" w:rsidRPr="00261C59">
        <w:rPr>
          <w:rFonts w:ascii="Calibri" w:eastAsia="Calibri" w:hAnsi="Calibri" w:cs="Calibri"/>
          <w:color w:val="000000" w:themeColor="text1"/>
          <w:sz w:val="24"/>
          <w:szCs w:val="24"/>
        </w:rPr>
        <w:t xml:space="preserve">regular market </w:t>
      </w:r>
      <w:r w:rsidR="00AC16C3" w:rsidRPr="00261C59">
        <w:rPr>
          <w:rFonts w:ascii="Calibri" w:eastAsia="Calibri" w:hAnsi="Calibri" w:cs="Calibri"/>
          <w:color w:val="000000" w:themeColor="text1"/>
          <w:sz w:val="24"/>
          <w:szCs w:val="24"/>
        </w:rPr>
        <w:t>monitoring</w:t>
      </w:r>
      <w:r w:rsidR="00AC16C3" w:rsidRPr="00261C59" w:rsidDel="28C721E0">
        <w:rPr>
          <w:rFonts w:ascii="Calibri" w:eastAsia="Calibri" w:hAnsi="Calibri" w:cs="Calibri"/>
          <w:color w:val="000000" w:themeColor="text1"/>
          <w:sz w:val="24"/>
          <w:szCs w:val="24"/>
        </w:rPr>
        <w:t xml:space="preserve"> </w:t>
      </w:r>
      <w:r w:rsidR="00853F0B" w:rsidRPr="00261C59">
        <w:rPr>
          <w:rFonts w:ascii="Calibri" w:eastAsia="Calibri" w:hAnsi="Calibri" w:cs="Calibri"/>
          <w:color w:val="000000" w:themeColor="text1"/>
          <w:sz w:val="24"/>
          <w:szCs w:val="24"/>
        </w:rPr>
        <w:t xml:space="preserve">of </w:t>
      </w:r>
      <w:r w:rsidR="00AC16C3" w:rsidRPr="00261C59">
        <w:rPr>
          <w:rFonts w:ascii="Calibri" w:eastAsia="Calibri" w:hAnsi="Calibri" w:cs="Calibri"/>
          <w:color w:val="000000" w:themeColor="text1"/>
          <w:sz w:val="24"/>
          <w:szCs w:val="24"/>
        </w:rPr>
        <w:t xml:space="preserve">primary care, aged care and </w:t>
      </w:r>
      <w:r w:rsidR="00D85957" w:rsidRPr="00261C59">
        <w:rPr>
          <w:rFonts w:ascii="Calibri" w:eastAsia="Calibri" w:hAnsi="Calibri" w:cs="Calibri"/>
          <w:color w:val="000000" w:themeColor="text1"/>
          <w:sz w:val="24"/>
          <w:szCs w:val="24"/>
        </w:rPr>
        <w:t xml:space="preserve">NDIS </w:t>
      </w:r>
      <w:r w:rsidR="00AC16C3" w:rsidRPr="00261C59">
        <w:rPr>
          <w:rFonts w:ascii="Calibri" w:eastAsia="Calibri" w:hAnsi="Calibri" w:cs="Calibri"/>
          <w:color w:val="000000" w:themeColor="text1"/>
          <w:sz w:val="24"/>
          <w:szCs w:val="24"/>
        </w:rPr>
        <w:t>services</w:t>
      </w:r>
      <w:r w:rsidR="00853F0B" w:rsidRPr="00261C59">
        <w:rPr>
          <w:rFonts w:ascii="Calibri" w:eastAsia="Calibri" w:hAnsi="Calibri" w:cs="Calibri"/>
          <w:color w:val="000000" w:themeColor="text1"/>
          <w:sz w:val="24"/>
          <w:szCs w:val="24"/>
        </w:rPr>
        <w:t>, in collaboration with LHNs and ACCHOs, and addressing the spectrum of market sustainability that can impact delivery of services in rural and remote regions. The States are committed to regular monitoring of public hospitals</w:t>
      </w:r>
      <w:r w:rsidR="00AC16C3" w:rsidRPr="00261C59">
        <w:rPr>
          <w:rFonts w:ascii="Calibri" w:eastAsia="Calibri" w:hAnsi="Calibri" w:cs="Calibri"/>
          <w:sz w:val="24"/>
          <w:szCs w:val="24"/>
        </w:rPr>
        <w:t>.</w:t>
      </w:r>
    </w:p>
    <w:p w14:paraId="53551EDB" w14:textId="77777777"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Where it is not feasible for services to be delivered locally, Parties will work collaboratively, in line with their roles and responsibilities, to take appropriate actions that may include:</w:t>
      </w:r>
    </w:p>
    <w:p w14:paraId="038D99DE" w14:textId="16ACB6EC" w:rsidR="00AC16C3" w:rsidRPr="00261C59" w:rsidRDefault="00AC16C3" w:rsidP="004728D9">
      <w:pPr>
        <w:numPr>
          <w:ilvl w:val="1"/>
          <w:numId w:val="157"/>
        </w:numPr>
        <w:spacing w:after="240" w:line="260" w:lineRule="exact"/>
        <w:jc w:val="left"/>
        <w:rPr>
          <w:rFonts w:ascii="Calibri" w:hAnsi="Calibri"/>
          <w:sz w:val="24"/>
          <w:szCs w:val="24"/>
        </w:rPr>
      </w:pPr>
      <w:r w:rsidRPr="00261C59">
        <w:rPr>
          <w:rFonts w:ascii="Calibri" w:hAnsi="Calibri"/>
          <w:sz w:val="24"/>
          <w:szCs w:val="24"/>
        </w:rPr>
        <w:t>transporting patients to and from locations (including accommodation) where services are available, giving regard to patient circumstances and the principles of person-centred care</w:t>
      </w:r>
    </w:p>
    <w:p w14:paraId="6A54991C" w14:textId="7AF234FA" w:rsidR="00AC16C3" w:rsidRPr="00261C59" w:rsidRDefault="00AC16C3" w:rsidP="00C304C3">
      <w:pPr>
        <w:keepLines/>
        <w:numPr>
          <w:ilvl w:val="1"/>
          <w:numId w:val="157"/>
        </w:numPr>
        <w:spacing w:after="240" w:line="260" w:lineRule="exact"/>
        <w:jc w:val="left"/>
        <w:rPr>
          <w:rFonts w:ascii="Calibri" w:hAnsi="Calibri"/>
          <w:sz w:val="24"/>
          <w:szCs w:val="24"/>
        </w:rPr>
      </w:pPr>
      <w:r w:rsidRPr="00261C59">
        <w:rPr>
          <w:rFonts w:ascii="Calibri" w:hAnsi="Calibri"/>
          <w:sz w:val="24"/>
          <w:szCs w:val="24"/>
        </w:rPr>
        <w:t>organising regular visits from health practitioners into rural and remote areas, including specialists, allied health and primary care providers</w:t>
      </w:r>
    </w:p>
    <w:p w14:paraId="4A82C19B" w14:textId="38E75255" w:rsidR="00AC16C3" w:rsidRPr="00261C59" w:rsidRDefault="00AC16C3" w:rsidP="00D60AD5">
      <w:pPr>
        <w:keepLines/>
        <w:numPr>
          <w:ilvl w:val="1"/>
          <w:numId w:val="157"/>
        </w:numPr>
        <w:spacing w:after="240" w:line="260" w:lineRule="exact"/>
        <w:jc w:val="left"/>
        <w:rPr>
          <w:rFonts w:ascii="Calibri" w:hAnsi="Calibri"/>
          <w:sz w:val="24"/>
          <w:szCs w:val="24"/>
        </w:rPr>
      </w:pPr>
      <w:r w:rsidRPr="00261C59">
        <w:rPr>
          <w:rFonts w:ascii="Calibri" w:hAnsi="Calibri"/>
          <w:sz w:val="24"/>
          <w:szCs w:val="24"/>
        </w:rPr>
        <w:t>using digital and other technologies so services can be delivered remotely (where reasonable, noting the constraints of telehealth and variance in access to digital infrastructure)</w:t>
      </w:r>
    </w:p>
    <w:p w14:paraId="154A2982" w14:textId="1D4E55EE" w:rsidR="00AC16C3" w:rsidRPr="00261C59" w:rsidRDefault="00AC16C3" w:rsidP="004728D9">
      <w:pPr>
        <w:widowControl/>
        <w:numPr>
          <w:ilvl w:val="1"/>
          <w:numId w:val="157"/>
        </w:numPr>
        <w:spacing w:after="240" w:line="260" w:lineRule="exact"/>
        <w:jc w:val="left"/>
        <w:rPr>
          <w:rFonts w:ascii="Calibri" w:hAnsi="Calibri"/>
          <w:sz w:val="24"/>
          <w:szCs w:val="24"/>
        </w:rPr>
      </w:pPr>
      <w:r w:rsidRPr="00261C59">
        <w:rPr>
          <w:rFonts w:ascii="Calibri" w:hAnsi="Calibri"/>
          <w:sz w:val="24"/>
          <w:szCs w:val="24"/>
        </w:rPr>
        <w:t>supporting local practitioners (such as paramedics, nurse practitioners, registered nurses, general practitioners, allied health professionals, Aboriginal and Torres Strait Islander health workers, Aboriginal Health Practitioners) to work to their full scope of practice by removing impediments and supporting them to upskill</w:t>
      </w:r>
    </w:p>
    <w:p w14:paraId="59271DAB" w14:textId="77777777" w:rsidR="00AC16C3" w:rsidRPr="00261C59" w:rsidRDefault="00AC16C3" w:rsidP="004728D9">
      <w:pPr>
        <w:numPr>
          <w:ilvl w:val="1"/>
          <w:numId w:val="157"/>
        </w:numPr>
        <w:spacing w:after="240" w:line="260" w:lineRule="exact"/>
        <w:jc w:val="left"/>
        <w:rPr>
          <w:rFonts w:ascii="Calibri" w:hAnsi="Calibri"/>
          <w:sz w:val="24"/>
          <w:szCs w:val="24"/>
        </w:rPr>
      </w:pPr>
      <w:r w:rsidRPr="00261C59">
        <w:rPr>
          <w:rFonts w:ascii="Calibri" w:hAnsi="Calibri"/>
          <w:sz w:val="24"/>
          <w:szCs w:val="24"/>
        </w:rPr>
        <w:t xml:space="preserve">funding alternative services or models of care that respond to the health and wellbeing needs of each community, including culturally safe services for Aboriginal and Torres Strait Islander people. </w:t>
      </w:r>
    </w:p>
    <w:p w14:paraId="4CAA00DD" w14:textId="77777777" w:rsidR="00AC16C3" w:rsidRPr="00261C59" w:rsidRDefault="00AC16C3" w:rsidP="000F0CD4">
      <w:pPr>
        <w:pStyle w:val="Heading2"/>
        <w:keepLines w:val="0"/>
        <w:widowControl/>
        <w:adjustRightInd/>
        <w:spacing w:before="180" w:after="120"/>
        <w:jc w:val="left"/>
        <w:textAlignment w:val="auto"/>
        <w:rPr>
          <w:rFonts w:ascii="Corbel" w:eastAsia="Times New Roman" w:hAnsi="Corbel" w:cs="Arial"/>
          <w:color w:val="3D4B67"/>
          <w:sz w:val="28"/>
          <w:szCs w:val="28"/>
        </w:rPr>
      </w:pPr>
      <w:bookmarkStart w:id="713" w:name="_Toc167390119"/>
      <w:bookmarkStart w:id="714" w:name="_Toc173937762"/>
      <w:bookmarkStart w:id="715" w:name="_Toc210833673"/>
      <w:bookmarkStart w:id="716" w:name="_Toc214456578"/>
      <w:bookmarkStart w:id="717" w:name="_Toc221088059"/>
      <w:r w:rsidRPr="00261C59">
        <w:rPr>
          <w:rFonts w:ascii="Corbel" w:eastAsia="Times New Roman" w:hAnsi="Corbel" w:cs="Arial"/>
          <w:color w:val="3D4B67"/>
          <w:sz w:val="28"/>
          <w:szCs w:val="28"/>
        </w:rPr>
        <w:t>Flexible models to support better health equity for rural and remote communities</w:t>
      </w:r>
      <w:bookmarkEnd w:id="713"/>
      <w:bookmarkEnd w:id="714"/>
      <w:bookmarkEnd w:id="715"/>
      <w:bookmarkEnd w:id="716"/>
      <w:bookmarkEnd w:id="717"/>
    </w:p>
    <w:p w14:paraId="4438B4BA" w14:textId="77777777"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 xml:space="preserve">The Parties agree to work cooperatively over the course of this Addendum on reforms to better meet community needs and preferences across rural and remote areas. </w:t>
      </w:r>
    </w:p>
    <w:p w14:paraId="4E7A2534" w14:textId="77777777"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To develop, trial and evaluate reforms that support rural and remote areas, all Parties:</w:t>
      </w:r>
    </w:p>
    <w:p w14:paraId="3EF2095E" w14:textId="3A32E833" w:rsidR="00AC16C3" w:rsidRPr="00261C59" w:rsidRDefault="00AC16C3" w:rsidP="004728D9">
      <w:pPr>
        <w:numPr>
          <w:ilvl w:val="1"/>
          <w:numId w:val="158"/>
        </w:numPr>
        <w:spacing w:after="240" w:line="260" w:lineRule="exact"/>
        <w:jc w:val="left"/>
        <w:rPr>
          <w:rFonts w:ascii="Calibri" w:hAnsi="Calibri"/>
          <w:sz w:val="24"/>
          <w:szCs w:val="24"/>
        </w:rPr>
      </w:pPr>
      <w:r w:rsidRPr="00261C59">
        <w:rPr>
          <w:rFonts w:ascii="Calibri" w:hAnsi="Calibri"/>
          <w:sz w:val="24"/>
          <w:szCs w:val="24"/>
        </w:rPr>
        <w:t xml:space="preserve">recognise and support the need for joint governance, planning and commissioning of health services, as set out in Schedules C and E </w:t>
      </w:r>
    </w:p>
    <w:p w14:paraId="665E2DF1" w14:textId="77777777" w:rsidR="00AC16C3" w:rsidRPr="00261C59" w:rsidRDefault="00AC16C3" w:rsidP="004728D9">
      <w:pPr>
        <w:numPr>
          <w:ilvl w:val="1"/>
          <w:numId w:val="158"/>
        </w:numPr>
        <w:spacing w:after="240" w:line="260" w:lineRule="exact"/>
        <w:jc w:val="left"/>
        <w:rPr>
          <w:rFonts w:ascii="Calibri" w:hAnsi="Calibri"/>
          <w:sz w:val="24"/>
          <w:szCs w:val="24"/>
        </w:rPr>
      </w:pPr>
      <w:r w:rsidRPr="00261C59">
        <w:rPr>
          <w:rFonts w:ascii="Calibri" w:hAnsi="Calibri"/>
          <w:sz w:val="24"/>
          <w:szCs w:val="24"/>
        </w:rPr>
        <w:t>agree to use the processes set out in Schedule D, which outline how the following types of initiatives can be progressed:</w:t>
      </w:r>
    </w:p>
    <w:p w14:paraId="46156BBD" w14:textId="23FC0452" w:rsidR="00AC16C3" w:rsidRPr="00261C59" w:rsidRDefault="0091310B" w:rsidP="004728D9">
      <w:pPr>
        <w:keepNext/>
        <w:numPr>
          <w:ilvl w:val="2"/>
          <w:numId w:val="159"/>
        </w:numPr>
        <w:spacing w:after="240" w:line="260" w:lineRule="exact"/>
        <w:jc w:val="left"/>
        <w:rPr>
          <w:rFonts w:asciiTheme="minorHAnsi" w:hAnsiTheme="minorHAnsi" w:cstheme="minorHAnsi"/>
          <w:sz w:val="24"/>
          <w:szCs w:val="24"/>
        </w:rPr>
      </w:pPr>
      <w:r w:rsidRPr="00261C59">
        <w:rPr>
          <w:rFonts w:asciiTheme="minorHAnsi" w:hAnsiTheme="minorHAnsi" w:cstheme="minorHAnsi"/>
          <w:sz w:val="24"/>
          <w:szCs w:val="24"/>
        </w:rPr>
        <w:t>implementing expanded scope of services and service models that help reduce avoidable hospital admissions</w:t>
      </w:r>
    </w:p>
    <w:p w14:paraId="3ED30ECC" w14:textId="163E7AC9" w:rsidR="00AC16C3" w:rsidRPr="00261C59" w:rsidRDefault="00AC16C3" w:rsidP="004728D9">
      <w:pPr>
        <w:keepNext/>
        <w:numPr>
          <w:ilvl w:val="2"/>
          <w:numId w:val="159"/>
        </w:numPr>
        <w:spacing w:after="240" w:line="260" w:lineRule="exact"/>
        <w:jc w:val="left"/>
        <w:rPr>
          <w:rFonts w:asciiTheme="minorHAnsi" w:hAnsiTheme="minorHAnsi" w:cstheme="minorBidi"/>
          <w:sz w:val="24"/>
          <w:szCs w:val="24"/>
        </w:rPr>
      </w:pPr>
      <w:r w:rsidRPr="00261C59">
        <w:rPr>
          <w:rFonts w:asciiTheme="minorHAnsi" w:hAnsiTheme="minorHAnsi" w:cstheme="minorBidi"/>
          <w:sz w:val="24"/>
          <w:szCs w:val="24"/>
        </w:rPr>
        <w:t>payment reforms to support optimal models of care</w:t>
      </w:r>
    </w:p>
    <w:p w14:paraId="3CE56F9D" w14:textId="12AA5DD3" w:rsidR="00982B52" w:rsidRPr="00261C59" w:rsidRDefault="00982B52" w:rsidP="004728D9">
      <w:pPr>
        <w:keepNext/>
        <w:numPr>
          <w:ilvl w:val="2"/>
          <w:numId w:val="159"/>
        </w:numPr>
        <w:spacing w:after="240" w:line="260" w:lineRule="exact"/>
        <w:jc w:val="left"/>
        <w:rPr>
          <w:rFonts w:asciiTheme="minorHAnsi" w:hAnsiTheme="minorHAnsi" w:cstheme="minorBidi"/>
          <w:sz w:val="24"/>
          <w:szCs w:val="24"/>
        </w:rPr>
      </w:pPr>
      <w:r w:rsidRPr="00261C59">
        <w:rPr>
          <w:rFonts w:asciiTheme="minorHAnsi" w:hAnsiTheme="minorHAnsi" w:cstheme="minorBidi"/>
          <w:sz w:val="24"/>
          <w:szCs w:val="24"/>
        </w:rPr>
        <w:t>embedding prevention and preventive health action</w:t>
      </w:r>
    </w:p>
    <w:p w14:paraId="01A04791" w14:textId="78E4D249" w:rsidR="00AC16C3" w:rsidRPr="00261C59" w:rsidRDefault="00027ADB" w:rsidP="004728D9">
      <w:pPr>
        <w:keepNext/>
        <w:numPr>
          <w:ilvl w:val="2"/>
          <w:numId w:val="159"/>
        </w:numPr>
        <w:spacing w:after="240" w:line="260" w:lineRule="exact"/>
        <w:jc w:val="left"/>
        <w:rPr>
          <w:rFonts w:asciiTheme="minorHAnsi" w:hAnsiTheme="minorHAnsi" w:cstheme="minorHAnsi"/>
          <w:sz w:val="24"/>
          <w:szCs w:val="24"/>
        </w:rPr>
      </w:pPr>
      <w:r w:rsidRPr="00261C59">
        <w:rPr>
          <w:rFonts w:asciiTheme="minorHAnsi" w:hAnsiTheme="minorHAnsi" w:cstheme="minorHAnsi"/>
          <w:sz w:val="24"/>
          <w:szCs w:val="24"/>
        </w:rPr>
        <w:t xml:space="preserve">service model and funding reform </w:t>
      </w:r>
      <w:r w:rsidR="00AC16C3" w:rsidRPr="00261C59">
        <w:rPr>
          <w:rFonts w:asciiTheme="minorHAnsi" w:hAnsiTheme="minorHAnsi" w:cstheme="minorHAnsi"/>
          <w:sz w:val="24"/>
          <w:szCs w:val="24"/>
        </w:rPr>
        <w:t xml:space="preserve">through the </w:t>
      </w:r>
      <w:r w:rsidRPr="00261C59">
        <w:rPr>
          <w:rFonts w:asciiTheme="minorHAnsi" w:hAnsiTheme="minorHAnsi" w:cstheme="minorHAnsi"/>
          <w:sz w:val="24"/>
          <w:szCs w:val="24"/>
        </w:rPr>
        <w:t>Service Model Reform Funding stream</w:t>
      </w:r>
      <w:r w:rsidR="00AC16C3" w:rsidRPr="00261C59">
        <w:rPr>
          <w:rFonts w:asciiTheme="minorHAnsi" w:hAnsiTheme="minorHAnsi" w:cstheme="minorHAnsi"/>
          <w:sz w:val="24"/>
          <w:szCs w:val="24"/>
        </w:rPr>
        <w:t>.</w:t>
      </w:r>
    </w:p>
    <w:p w14:paraId="7CE63E05" w14:textId="77777777"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The Parties commit to key health workforce reforms outlined and further developed in Schedule G and any subsequent actions to build and retain a sustainable health workforce in rural and remote areas.</w:t>
      </w:r>
    </w:p>
    <w:p w14:paraId="27E63670" w14:textId="77777777" w:rsidR="00AC16C3" w:rsidRPr="00261C59" w:rsidRDefault="00AC16C3" w:rsidP="000F0CD4">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718" w:name="_Toc167390120"/>
      <w:bookmarkStart w:id="719" w:name="_Toc173937763"/>
      <w:bookmarkStart w:id="720" w:name="_Toc210833674"/>
      <w:bookmarkStart w:id="721" w:name="_Toc214456579"/>
      <w:bookmarkStart w:id="722" w:name="_Toc221088060"/>
      <w:r w:rsidRPr="00261C59">
        <w:rPr>
          <w:rFonts w:ascii="Corbel" w:eastAsia="Times New Roman" w:hAnsi="Corbel" w:cs="Arial"/>
          <w:iCs/>
          <w:color w:val="3D4B67"/>
          <w:sz w:val="28"/>
          <w:szCs w:val="28"/>
        </w:rPr>
        <w:t>Initiatives to support better health equity for rural and remote communities</w:t>
      </w:r>
      <w:bookmarkEnd w:id="718"/>
      <w:bookmarkEnd w:id="719"/>
      <w:bookmarkEnd w:id="720"/>
      <w:bookmarkEnd w:id="721"/>
      <w:bookmarkEnd w:id="722"/>
    </w:p>
    <w:p w14:paraId="45C32600" w14:textId="77777777"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The Parties agree that:</w:t>
      </w:r>
    </w:p>
    <w:p w14:paraId="6A95BA7E" w14:textId="4E02B0C9" w:rsidR="00AC16C3" w:rsidRPr="00261C59" w:rsidRDefault="00AC16C3" w:rsidP="004728D9">
      <w:pPr>
        <w:numPr>
          <w:ilvl w:val="1"/>
          <w:numId w:val="160"/>
        </w:numPr>
        <w:spacing w:after="240" w:line="260" w:lineRule="exact"/>
        <w:jc w:val="left"/>
        <w:rPr>
          <w:rFonts w:ascii="Calibri" w:hAnsi="Calibri"/>
          <w:sz w:val="24"/>
          <w:szCs w:val="24"/>
        </w:rPr>
      </w:pPr>
      <w:r w:rsidRPr="00261C59">
        <w:rPr>
          <w:rFonts w:ascii="Calibri" w:hAnsi="Calibri"/>
          <w:sz w:val="24"/>
          <w:szCs w:val="24"/>
        </w:rPr>
        <w:t>block funding will continue for relevant services in rural and remote communities, as per Schedule A, with a commitment to greater transparency, which is needed to progress payment reforms and innovative models of care</w:t>
      </w:r>
    </w:p>
    <w:p w14:paraId="75A87D49" w14:textId="685A6051" w:rsidR="00AC16C3" w:rsidRPr="00261C59" w:rsidRDefault="00AC16C3" w:rsidP="00926198">
      <w:pPr>
        <w:keepNext/>
        <w:keepLines/>
        <w:numPr>
          <w:ilvl w:val="1"/>
          <w:numId w:val="160"/>
        </w:numPr>
        <w:spacing w:after="240" w:line="260" w:lineRule="exact"/>
        <w:jc w:val="left"/>
        <w:rPr>
          <w:rFonts w:ascii="Calibri" w:hAnsi="Calibri"/>
          <w:sz w:val="24"/>
          <w:szCs w:val="24"/>
        </w:rPr>
      </w:pPr>
      <w:r w:rsidRPr="00261C59">
        <w:rPr>
          <w:rFonts w:ascii="Calibri" w:hAnsi="Calibri"/>
          <w:sz w:val="24"/>
          <w:szCs w:val="24"/>
        </w:rPr>
        <w:t>the IHACPA will review the</w:t>
      </w:r>
      <w:r w:rsidRPr="00261C59" w:rsidDel="203A2FCB">
        <w:rPr>
          <w:rFonts w:ascii="Calibri" w:hAnsi="Calibri"/>
          <w:sz w:val="24"/>
          <w:szCs w:val="24"/>
        </w:rPr>
        <w:t xml:space="preserve"> </w:t>
      </w:r>
      <w:r w:rsidRPr="00261C59">
        <w:rPr>
          <w:rFonts w:ascii="Calibri" w:hAnsi="Calibri"/>
          <w:sz w:val="24"/>
          <w:szCs w:val="24"/>
        </w:rPr>
        <w:t xml:space="preserve">methodology for determining pricing adjustments as per </w:t>
      </w:r>
      <w:r w:rsidR="00BA07EA" w:rsidRPr="00261C59">
        <w:rPr>
          <w:rFonts w:ascii="Calibri" w:hAnsi="Calibri"/>
          <w:sz w:val="24"/>
          <w:szCs w:val="24"/>
        </w:rPr>
        <w:t>clause</w:t>
      </w:r>
      <w:r w:rsidR="00083E29" w:rsidRPr="00261C59">
        <w:rPr>
          <w:rFonts w:ascii="Calibri" w:hAnsi="Calibri"/>
          <w:sz w:val="24"/>
          <w:szCs w:val="24"/>
        </w:rPr>
        <w:t xml:space="preserve"> A</w:t>
      </w:r>
      <w:r w:rsidR="002D16D6" w:rsidRPr="00261C59">
        <w:rPr>
          <w:rFonts w:ascii="Calibri" w:hAnsi="Calibri"/>
          <w:sz w:val="24"/>
          <w:szCs w:val="24"/>
        </w:rPr>
        <w:t>64</w:t>
      </w:r>
      <w:r w:rsidR="004F3233" w:rsidRPr="00261C59">
        <w:rPr>
          <w:rFonts w:ascii="Calibri" w:hAnsi="Calibri"/>
          <w:sz w:val="24"/>
          <w:szCs w:val="24"/>
        </w:rPr>
        <w:t xml:space="preserve"> </w:t>
      </w:r>
      <w:r w:rsidRPr="00261C59">
        <w:rPr>
          <w:rFonts w:ascii="Calibri" w:hAnsi="Calibri"/>
          <w:sz w:val="24"/>
          <w:szCs w:val="24"/>
        </w:rPr>
        <w:t xml:space="preserve">in relation to: </w:t>
      </w:r>
    </w:p>
    <w:p w14:paraId="07C34EC1" w14:textId="71253760" w:rsidR="00AC16C3" w:rsidRPr="00261C59" w:rsidRDefault="00AC16C3" w:rsidP="00926198">
      <w:pPr>
        <w:keepNext/>
        <w:numPr>
          <w:ilvl w:val="2"/>
          <w:numId w:val="161"/>
        </w:numPr>
        <w:spacing w:after="240" w:line="260" w:lineRule="exact"/>
        <w:ind w:left="1842" w:hanging="181"/>
        <w:jc w:val="left"/>
        <w:rPr>
          <w:rFonts w:asciiTheme="minorHAnsi" w:hAnsiTheme="minorHAnsi" w:cstheme="minorHAnsi"/>
          <w:sz w:val="24"/>
          <w:szCs w:val="24"/>
        </w:rPr>
      </w:pPr>
      <w:r w:rsidRPr="00261C59">
        <w:rPr>
          <w:rFonts w:asciiTheme="minorHAnsi" w:hAnsiTheme="minorHAnsi" w:cstheme="minorHAnsi"/>
          <w:sz w:val="24"/>
          <w:szCs w:val="24"/>
        </w:rPr>
        <w:t>Indigenous and rural and remote status</w:t>
      </w:r>
    </w:p>
    <w:p w14:paraId="6AB102B3" w14:textId="0AC51DCD" w:rsidR="00AC16C3" w:rsidRPr="00261C59" w:rsidRDefault="00AC16C3" w:rsidP="004728D9">
      <w:pPr>
        <w:widowControl/>
        <w:numPr>
          <w:ilvl w:val="2"/>
          <w:numId w:val="161"/>
        </w:numPr>
        <w:spacing w:after="240" w:line="260" w:lineRule="exact"/>
        <w:ind w:left="1842" w:hanging="181"/>
        <w:jc w:val="left"/>
        <w:rPr>
          <w:rFonts w:asciiTheme="minorHAnsi" w:hAnsiTheme="minorHAnsi" w:cstheme="minorHAnsi"/>
          <w:sz w:val="24"/>
          <w:szCs w:val="24"/>
        </w:rPr>
      </w:pPr>
      <w:r w:rsidRPr="00261C59">
        <w:rPr>
          <w:rFonts w:asciiTheme="minorHAnsi" w:hAnsiTheme="minorHAnsi" w:cstheme="minorHAnsi"/>
          <w:sz w:val="24"/>
          <w:szCs w:val="24"/>
        </w:rPr>
        <w:t xml:space="preserve">baseline financial viability of </w:t>
      </w:r>
      <w:r w:rsidR="006C37A7" w:rsidRPr="00261C59">
        <w:rPr>
          <w:rFonts w:asciiTheme="minorHAnsi" w:hAnsiTheme="minorHAnsi" w:cstheme="minorHAnsi"/>
          <w:sz w:val="24"/>
          <w:szCs w:val="24"/>
        </w:rPr>
        <w:t>smaller jurisdictions</w:t>
      </w:r>
      <w:r w:rsidRPr="00261C59">
        <w:rPr>
          <w:rFonts w:asciiTheme="minorHAnsi" w:hAnsiTheme="minorHAnsi" w:cstheme="minorHAnsi"/>
          <w:sz w:val="24"/>
          <w:szCs w:val="24"/>
        </w:rPr>
        <w:t>.</w:t>
      </w:r>
    </w:p>
    <w:p w14:paraId="23C17CE6" w14:textId="2F9035BF" w:rsidR="00AC16C3" w:rsidRPr="00261C59" w:rsidRDefault="00AC16C3" w:rsidP="004728D9">
      <w:pPr>
        <w:keepNext/>
        <w:keepLines/>
        <w:numPr>
          <w:ilvl w:val="0"/>
          <w:numId w:val="41"/>
        </w:numPr>
        <w:spacing w:after="240" w:line="260" w:lineRule="exact"/>
        <w:jc w:val="left"/>
        <w:rPr>
          <w:rFonts w:ascii="Calibri" w:hAnsi="Calibri"/>
          <w:sz w:val="24"/>
          <w:szCs w:val="24"/>
        </w:rPr>
      </w:pPr>
      <w:r w:rsidRPr="00261C59">
        <w:rPr>
          <w:rFonts w:ascii="Calibri" w:hAnsi="Calibri"/>
          <w:sz w:val="24"/>
          <w:szCs w:val="24"/>
        </w:rPr>
        <w:t xml:space="preserve">Parties agree that </w:t>
      </w:r>
      <w:r w:rsidR="00DB23E8" w:rsidRPr="00261C59">
        <w:rPr>
          <w:rFonts w:ascii="Calibri" w:hAnsi="Calibri"/>
          <w:sz w:val="24"/>
          <w:szCs w:val="24"/>
        </w:rPr>
        <w:t xml:space="preserve">the Commonwealth, in consultation with states, </w:t>
      </w:r>
      <w:r w:rsidRPr="00261C59">
        <w:rPr>
          <w:rFonts w:ascii="Calibri" w:hAnsi="Calibri"/>
          <w:sz w:val="24"/>
          <w:szCs w:val="24"/>
        </w:rPr>
        <w:t>will lead development of a paper for HMM consideration by December 2026 that examines options to support better health equity in rural and remote areas. The paper to HMM may include options such as:</w:t>
      </w:r>
    </w:p>
    <w:p w14:paraId="50E13E4C" w14:textId="73AE665E" w:rsidR="00AC16C3" w:rsidRPr="00261C59" w:rsidRDefault="00AC16C3" w:rsidP="004728D9">
      <w:pPr>
        <w:numPr>
          <w:ilvl w:val="1"/>
          <w:numId w:val="162"/>
        </w:numPr>
        <w:spacing w:after="240" w:line="260" w:lineRule="exact"/>
        <w:jc w:val="left"/>
        <w:rPr>
          <w:rFonts w:ascii="Calibri" w:hAnsi="Calibri"/>
          <w:sz w:val="24"/>
          <w:szCs w:val="24"/>
        </w:rPr>
      </w:pPr>
      <w:r w:rsidRPr="00261C59">
        <w:rPr>
          <w:rFonts w:ascii="Calibri" w:hAnsi="Calibri"/>
          <w:sz w:val="24"/>
          <w:szCs w:val="24"/>
        </w:rPr>
        <w:t>pooling funds for care services, particularly in Modified Monash Model areas MM 6 and MM 7, aimed at improving sustainability of services</w:t>
      </w:r>
    </w:p>
    <w:p w14:paraId="6C1FD308" w14:textId="365F1654" w:rsidR="00AC16C3" w:rsidRPr="00261C59" w:rsidRDefault="00C43244" w:rsidP="004728D9">
      <w:pPr>
        <w:numPr>
          <w:ilvl w:val="1"/>
          <w:numId w:val="162"/>
        </w:numPr>
        <w:spacing w:after="240" w:line="260" w:lineRule="exact"/>
        <w:jc w:val="left"/>
        <w:rPr>
          <w:rFonts w:ascii="Calibri" w:hAnsi="Calibri"/>
          <w:sz w:val="24"/>
          <w:szCs w:val="24"/>
        </w:rPr>
      </w:pPr>
      <w:r w:rsidRPr="00261C59">
        <w:rPr>
          <w:rFonts w:ascii="Calibri" w:hAnsi="Calibri"/>
          <w:sz w:val="24"/>
          <w:szCs w:val="24"/>
        </w:rPr>
        <w:t>trialling new payment approaches and innovative service models,</w:t>
      </w:r>
      <w:r w:rsidR="00AC16C3" w:rsidRPr="00261C59">
        <w:rPr>
          <w:rFonts w:ascii="Calibri" w:hAnsi="Calibri"/>
          <w:sz w:val="24"/>
          <w:szCs w:val="24"/>
        </w:rPr>
        <w:t xml:space="preserve"> potentially as a mechanism to address higher rates of potentially preventable hospitalisations in rural and remote areas, as per Schedule D</w:t>
      </w:r>
    </w:p>
    <w:p w14:paraId="1BEFC98D" w14:textId="78E86C54" w:rsidR="00AC16C3" w:rsidRPr="00261C59" w:rsidRDefault="00AC16C3" w:rsidP="004728D9">
      <w:pPr>
        <w:numPr>
          <w:ilvl w:val="1"/>
          <w:numId w:val="162"/>
        </w:numPr>
        <w:spacing w:after="240" w:line="260" w:lineRule="exact"/>
        <w:jc w:val="left"/>
        <w:rPr>
          <w:rFonts w:ascii="Calibri" w:hAnsi="Calibri"/>
          <w:sz w:val="24"/>
          <w:szCs w:val="24"/>
        </w:rPr>
      </w:pPr>
      <w:r w:rsidRPr="00261C59">
        <w:rPr>
          <w:rFonts w:ascii="Calibri" w:hAnsi="Calibri"/>
          <w:sz w:val="24"/>
          <w:szCs w:val="24"/>
        </w:rPr>
        <w:t>mechanisms to support joint commissioning and integrated services across health, aged care and disability in rural and remote areas, as per Schedule E</w:t>
      </w:r>
    </w:p>
    <w:p w14:paraId="5913F293" w14:textId="0790CE3A" w:rsidR="00AC16C3" w:rsidRPr="00261C59" w:rsidRDefault="00AC16C3" w:rsidP="004728D9">
      <w:pPr>
        <w:numPr>
          <w:ilvl w:val="1"/>
          <w:numId w:val="162"/>
        </w:numPr>
        <w:spacing w:after="240" w:line="260" w:lineRule="exact"/>
        <w:jc w:val="left"/>
        <w:rPr>
          <w:rFonts w:ascii="Calibri" w:hAnsi="Calibri"/>
          <w:sz w:val="24"/>
          <w:szCs w:val="24"/>
        </w:rPr>
      </w:pPr>
      <w:r w:rsidRPr="00261C59">
        <w:rPr>
          <w:rFonts w:ascii="Calibri" w:hAnsi="Calibri"/>
          <w:sz w:val="24"/>
          <w:szCs w:val="24"/>
        </w:rPr>
        <w:t xml:space="preserve">flexible provider and employment models for primary care services, including enabling multidisciplinary teams to deliver primary healthcare with appropriate safeguards in place, predominantly in MM 4 </w:t>
      </w:r>
      <w:r w:rsidR="00D31F93" w:rsidRPr="00261C59">
        <w:rPr>
          <w:rFonts w:ascii="Calibri" w:hAnsi="Calibri"/>
          <w:sz w:val="24"/>
          <w:szCs w:val="24"/>
        </w:rPr>
        <w:t>to</w:t>
      </w:r>
      <w:r w:rsidRPr="00261C59">
        <w:rPr>
          <w:rFonts w:ascii="Calibri" w:hAnsi="Calibri"/>
          <w:sz w:val="24"/>
          <w:szCs w:val="24"/>
        </w:rPr>
        <w:t xml:space="preserve"> MM 7 areas</w:t>
      </w:r>
    </w:p>
    <w:p w14:paraId="6D4DCEC3" w14:textId="59443659" w:rsidR="00AC16C3" w:rsidRPr="00261C59" w:rsidRDefault="00AC16C3" w:rsidP="004728D9">
      <w:pPr>
        <w:numPr>
          <w:ilvl w:val="1"/>
          <w:numId w:val="162"/>
        </w:numPr>
        <w:spacing w:after="240" w:line="260" w:lineRule="exact"/>
        <w:jc w:val="left"/>
        <w:rPr>
          <w:rFonts w:ascii="Calibri" w:hAnsi="Calibri"/>
          <w:sz w:val="24"/>
          <w:szCs w:val="24"/>
        </w:rPr>
      </w:pPr>
      <w:r w:rsidRPr="00261C59">
        <w:rPr>
          <w:rFonts w:ascii="Calibri" w:hAnsi="Calibri"/>
          <w:sz w:val="24"/>
          <w:szCs w:val="24"/>
        </w:rPr>
        <w:t>funding primary care services typically delivered within a general practice or equivalent setting, as per Schedule C</w:t>
      </w:r>
    </w:p>
    <w:p w14:paraId="5D01F51E" w14:textId="77777777" w:rsidR="00AC16C3" w:rsidRPr="00261C59" w:rsidRDefault="00AC16C3" w:rsidP="004728D9">
      <w:pPr>
        <w:numPr>
          <w:ilvl w:val="1"/>
          <w:numId w:val="162"/>
        </w:numPr>
        <w:spacing w:after="240" w:line="260" w:lineRule="exact"/>
        <w:jc w:val="left"/>
        <w:rPr>
          <w:rFonts w:ascii="Calibri" w:hAnsi="Calibri"/>
          <w:sz w:val="24"/>
          <w:szCs w:val="24"/>
        </w:rPr>
      </w:pPr>
      <w:r w:rsidRPr="00261C59">
        <w:rPr>
          <w:rFonts w:ascii="Calibri" w:hAnsi="Calibri"/>
          <w:sz w:val="24"/>
          <w:szCs w:val="24"/>
        </w:rPr>
        <w:t>mechanisms aimed at improving access to primary care and specialist services.</w:t>
      </w:r>
    </w:p>
    <w:p w14:paraId="2F25577E" w14:textId="77777777"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The report should include detail on how proposals could be progressed through reforms outlined at F6, or if new reform mechanisms would be needed to implement the proposals.</w:t>
      </w:r>
      <w:r w:rsidRPr="00261C59" w:rsidDel="00536A7D">
        <w:rPr>
          <w:rFonts w:ascii="Calibri" w:hAnsi="Calibri"/>
          <w:sz w:val="24"/>
          <w:szCs w:val="24"/>
        </w:rPr>
        <w:t xml:space="preserve"> </w:t>
      </w:r>
    </w:p>
    <w:p w14:paraId="469A3D36" w14:textId="37894D25"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 xml:space="preserve">The Parties commit to working together to consider the findings of the evaluation of the COAG Section 19(2) Exemptions Initiative as per the </w:t>
      </w:r>
      <w:r w:rsidRPr="00261C59">
        <w:rPr>
          <w:rFonts w:ascii="Calibri" w:hAnsi="Calibri"/>
          <w:i/>
          <w:iCs/>
          <w:sz w:val="24"/>
          <w:szCs w:val="24"/>
        </w:rPr>
        <w:t>Memorandum of Understanding in relation to the cooperative implementation of the Council of Australian Governments improving access to primary care in rural and remote areas initiative</w:t>
      </w:r>
      <w:r w:rsidRPr="00261C59">
        <w:rPr>
          <w:rFonts w:ascii="Calibri" w:hAnsi="Calibri"/>
          <w:sz w:val="24"/>
          <w:szCs w:val="24"/>
        </w:rPr>
        <w:t>. The findings will be used to inform development and delivery of appropriate locally driven, place-based solutions to support improved primary care access in rural and remote areas.</w:t>
      </w:r>
    </w:p>
    <w:p w14:paraId="262B228D" w14:textId="16D268AF" w:rsidR="00AC16C3" w:rsidRPr="00261C59" w:rsidRDefault="00AC16C3" w:rsidP="004728D9">
      <w:pPr>
        <w:numPr>
          <w:ilvl w:val="0"/>
          <w:numId w:val="41"/>
        </w:numPr>
        <w:spacing w:after="240" w:line="260" w:lineRule="exact"/>
        <w:jc w:val="left"/>
        <w:rPr>
          <w:rFonts w:ascii="Calibri" w:hAnsi="Calibri"/>
          <w:sz w:val="24"/>
          <w:szCs w:val="24"/>
        </w:rPr>
      </w:pPr>
      <w:r w:rsidRPr="00261C59">
        <w:rPr>
          <w:rFonts w:ascii="Calibri" w:hAnsi="Calibri"/>
          <w:sz w:val="24"/>
          <w:szCs w:val="24"/>
        </w:rPr>
        <w:t>If indicated by the evaluation findings, the Parties agree to seek opportunities to simplify and streamline the COAG Section 19(2) Exemption Initiative, to ensure it supports policy, legislative and regulatory requirements.</w:t>
      </w:r>
    </w:p>
    <w:p w14:paraId="5FD93E35" w14:textId="77777777" w:rsidR="00AC16C3" w:rsidRPr="00261C59" w:rsidRDefault="00AC16C3"/>
    <w:p w14:paraId="35C7CA8D" w14:textId="77777777" w:rsidR="00D463E0" w:rsidRPr="00261C59" w:rsidRDefault="00D463E0" w:rsidP="00814D08">
      <w:pPr>
        <w:pStyle w:val="Heading1"/>
        <w:keepLines w:val="0"/>
        <w:widowControl/>
        <w:tabs>
          <w:tab w:val="clear" w:pos="567"/>
        </w:tabs>
        <w:adjustRightInd/>
        <w:spacing w:before="480" w:after="180"/>
        <w:jc w:val="left"/>
        <w:textAlignment w:val="auto"/>
        <w:rPr>
          <w:rFonts w:ascii="Consolas" w:eastAsia="Times New Roman" w:hAnsi="Consolas" w:cs="Arial"/>
          <w:b w:val="0"/>
          <w:caps/>
          <w:color w:val="980033"/>
          <w:kern w:val="32"/>
          <w:szCs w:val="36"/>
        </w:rPr>
        <w:sectPr w:rsidR="00D463E0" w:rsidRPr="00261C59" w:rsidSect="00975D83">
          <w:pgSz w:w="11906" w:h="16838"/>
          <w:pgMar w:top="1440" w:right="1274" w:bottom="1440" w:left="1134" w:header="708" w:footer="708" w:gutter="0"/>
          <w:cols w:space="708"/>
          <w:docGrid w:linePitch="360"/>
        </w:sectPr>
      </w:pPr>
    </w:p>
    <w:p w14:paraId="44271EA3" w14:textId="030D6CDB" w:rsidR="006B1A65" w:rsidRPr="00261C59" w:rsidRDefault="006B1A65" w:rsidP="006B1A65">
      <w:pPr>
        <w:pStyle w:val="Heading1"/>
        <w:keepLines w:val="0"/>
        <w:widowControl/>
        <w:tabs>
          <w:tab w:val="clear" w:pos="567"/>
        </w:tabs>
        <w:adjustRightInd/>
        <w:spacing w:before="120" w:after="180"/>
        <w:jc w:val="left"/>
        <w:textAlignment w:val="auto"/>
        <w:rPr>
          <w:rFonts w:ascii="Consolas" w:eastAsia="Times New Roman" w:hAnsi="Consolas" w:cs="Arial"/>
          <w:b w:val="0"/>
          <w:bCs w:val="0"/>
          <w:caps/>
          <w:color w:val="980033"/>
          <w:kern w:val="32"/>
        </w:rPr>
      </w:pPr>
      <w:bookmarkStart w:id="723" w:name="_Toc173837478"/>
      <w:bookmarkStart w:id="724" w:name="_Toc210833675"/>
      <w:bookmarkStart w:id="725" w:name="_Toc214456580"/>
      <w:bookmarkStart w:id="726" w:name="_Toc221088061"/>
      <w:r w:rsidRPr="00261C59">
        <w:rPr>
          <w:rFonts w:ascii="Consolas" w:eastAsia="Times New Roman" w:hAnsi="Consolas" w:cs="Arial"/>
          <w:b w:val="0"/>
          <w:bCs w:val="0"/>
          <w:caps/>
          <w:color w:val="980033"/>
          <w:kern w:val="32"/>
        </w:rPr>
        <w:t xml:space="preserve">SCHEDULE G – </w:t>
      </w:r>
      <w:r w:rsidR="00DD4129" w:rsidRPr="00261C59">
        <w:rPr>
          <w:rFonts w:ascii="Consolas" w:eastAsia="Times New Roman" w:hAnsi="Consolas" w:cs="Arial"/>
          <w:b w:val="0"/>
          <w:bCs w:val="0"/>
          <w:caps/>
          <w:color w:val="980033"/>
          <w:kern w:val="32"/>
        </w:rPr>
        <w:t>H</w:t>
      </w:r>
      <w:r w:rsidRPr="00261C59">
        <w:rPr>
          <w:rFonts w:ascii="Consolas" w:eastAsia="Times New Roman" w:hAnsi="Consolas" w:cs="Arial"/>
          <w:b w:val="0"/>
          <w:bCs w:val="0"/>
          <w:caps/>
          <w:color w:val="980033"/>
          <w:kern w:val="32"/>
        </w:rPr>
        <w:t xml:space="preserve">ealth </w:t>
      </w:r>
      <w:r w:rsidR="00731671">
        <w:rPr>
          <w:rFonts w:ascii="Consolas" w:eastAsia="Times New Roman" w:hAnsi="Consolas" w:cs="Arial"/>
          <w:b w:val="0"/>
          <w:bCs w:val="0"/>
          <w:caps/>
          <w:color w:val="980033"/>
          <w:kern w:val="32"/>
        </w:rPr>
        <w:t>w</w:t>
      </w:r>
      <w:r w:rsidRPr="00261C59">
        <w:rPr>
          <w:rFonts w:ascii="Consolas" w:eastAsia="Times New Roman" w:hAnsi="Consolas" w:cs="Arial"/>
          <w:b w:val="0"/>
          <w:bCs w:val="0"/>
          <w:caps/>
          <w:color w:val="980033"/>
          <w:kern w:val="32"/>
        </w:rPr>
        <w:t>orkforce</w:t>
      </w:r>
      <w:bookmarkEnd w:id="723"/>
      <w:bookmarkEnd w:id="724"/>
      <w:bookmarkEnd w:id="725"/>
      <w:bookmarkEnd w:id="726"/>
    </w:p>
    <w:p w14:paraId="1593225A" w14:textId="4B7E9206" w:rsidR="00F3185A" w:rsidRPr="00261C59" w:rsidRDefault="00F3185A" w:rsidP="00280BA6">
      <w:pPr>
        <w:numPr>
          <w:ilvl w:val="0"/>
          <w:numId w:val="31"/>
        </w:numPr>
        <w:spacing w:after="240" w:line="260" w:lineRule="exact"/>
        <w:jc w:val="left"/>
        <w:rPr>
          <w:rFonts w:ascii="Calibri" w:hAnsi="Calibri"/>
          <w:sz w:val="24"/>
          <w:szCs w:val="24"/>
        </w:rPr>
      </w:pPr>
      <w:r w:rsidRPr="00261C59">
        <w:rPr>
          <w:rFonts w:ascii="Calibri" w:hAnsi="Calibri"/>
          <w:sz w:val="24"/>
          <w:szCs w:val="24"/>
        </w:rPr>
        <w:t>To achieve the goals of this Addendum, it is vital that Australia’s health system has a sufficient and skilled health workforce. The health workforce should be resilient, sustainable, and capable of delivering quality health services that meet the increasingly complex needs of the population. This schedule commits Parties to:</w:t>
      </w:r>
    </w:p>
    <w:p w14:paraId="489991AA" w14:textId="48003559"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working together to deliver high quality, multidisciplinary, connected, culturally safe, and responsive care across all health settings </w:t>
      </w:r>
    </w:p>
    <w:p w14:paraId="4675FEB9" w14:textId="77777777" w:rsidR="00F3185A" w:rsidRPr="00261C59" w:rsidRDefault="00F3185A" w:rsidP="00280BA6">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achieving optimal patient outcomes and experiences by ensuring the right care is provided in the right place, at the right time, regardless of where people live.</w:t>
      </w:r>
    </w:p>
    <w:p w14:paraId="37B9E27D" w14:textId="22CD6FED"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 xml:space="preserve">The Parties acknowledge: </w:t>
      </w:r>
    </w:p>
    <w:p w14:paraId="7132A2BC" w14:textId="4B0B7584"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the importance of national strategic workforce planning, informed by robust data and evidence, to understand and prepare for future health workforce needs and challenges and the importance of translating national strategic planning into local place-based solutions </w:t>
      </w:r>
    </w:p>
    <w:p w14:paraId="3E99F185" w14:textId="6306F289"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the need to maintain a focus on the drivers for workforce demand and workforce maldistribution to understand how and whether these drivers should be addressed through policy and program responses. Key drivers include (but are not limited to):</w:t>
      </w:r>
    </w:p>
    <w:p w14:paraId="32D35276" w14:textId="11A82F29" w:rsidR="00F3185A" w:rsidRPr="00261C59" w:rsidRDefault="00F3185A" w:rsidP="004728D9">
      <w:pPr>
        <w:keepNext/>
        <w:numPr>
          <w:ilvl w:val="2"/>
          <w:numId w:val="259"/>
        </w:numPr>
        <w:spacing w:after="240" w:line="260" w:lineRule="exact"/>
        <w:jc w:val="left"/>
        <w:rPr>
          <w:rFonts w:ascii="Calibri" w:hAnsi="Calibri"/>
          <w:sz w:val="24"/>
        </w:rPr>
      </w:pPr>
      <w:r w:rsidRPr="00261C59">
        <w:rPr>
          <w:rFonts w:ascii="Calibri" w:hAnsi="Calibri"/>
          <w:sz w:val="24"/>
        </w:rPr>
        <w:t>population growth and ageing</w:t>
      </w:r>
    </w:p>
    <w:p w14:paraId="700F35DB" w14:textId="7C25E213" w:rsidR="00F3185A" w:rsidRPr="00261C59" w:rsidRDefault="00F3185A" w:rsidP="00830547">
      <w:pPr>
        <w:keepNext/>
        <w:numPr>
          <w:ilvl w:val="2"/>
          <w:numId w:val="259"/>
        </w:numPr>
        <w:spacing w:after="240" w:line="260" w:lineRule="exact"/>
        <w:jc w:val="left"/>
        <w:rPr>
          <w:rFonts w:ascii="Calibri" w:hAnsi="Calibri"/>
          <w:sz w:val="24"/>
          <w:szCs w:val="24"/>
        </w:rPr>
      </w:pPr>
      <w:r w:rsidRPr="00261C59">
        <w:rPr>
          <w:rFonts w:ascii="Calibri" w:hAnsi="Calibri"/>
          <w:sz w:val="24"/>
          <w:szCs w:val="24"/>
        </w:rPr>
        <w:t>geographical distribution and access</w:t>
      </w:r>
    </w:p>
    <w:p w14:paraId="12920D38" w14:textId="67013248" w:rsidR="00F3185A" w:rsidRPr="00261C59" w:rsidRDefault="00F3185A" w:rsidP="004728D9">
      <w:pPr>
        <w:keepNext/>
        <w:numPr>
          <w:ilvl w:val="2"/>
          <w:numId w:val="259"/>
        </w:numPr>
        <w:spacing w:after="240" w:line="260" w:lineRule="exact"/>
        <w:jc w:val="left"/>
        <w:rPr>
          <w:rFonts w:ascii="Calibri" w:hAnsi="Calibri"/>
          <w:sz w:val="24"/>
        </w:rPr>
      </w:pPr>
      <w:r w:rsidRPr="00261C59">
        <w:rPr>
          <w:rFonts w:ascii="Calibri" w:hAnsi="Calibri"/>
          <w:sz w:val="24"/>
        </w:rPr>
        <w:t>rates of chronic conditions</w:t>
      </w:r>
      <w:r w:rsidRPr="00261C59">
        <w:rPr>
          <w:rFonts w:ascii="Calibri" w:hAnsi="Calibri"/>
          <w:sz w:val="24"/>
          <w:szCs w:val="24"/>
        </w:rPr>
        <w:t xml:space="preserve"> </w:t>
      </w:r>
    </w:p>
    <w:p w14:paraId="0811DE29" w14:textId="6A2417FF" w:rsidR="00F3185A" w:rsidRPr="00261C59" w:rsidRDefault="00F3185A" w:rsidP="004728D9">
      <w:pPr>
        <w:keepNext/>
        <w:numPr>
          <w:ilvl w:val="2"/>
          <w:numId w:val="259"/>
        </w:numPr>
        <w:spacing w:after="240" w:line="260" w:lineRule="exact"/>
        <w:jc w:val="left"/>
        <w:rPr>
          <w:rFonts w:ascii="Calibri" w:hAnsi="Calibri"/>
          <w:sz w:val="24"/>
        </w:rPr>
      </w:pPr>
      <w:r w:rsidRPr="00261C59">
        <w:rPr>
          <w:rFonts w:ascii="Calibri" w:hAnsi="Calibri"/>
          <w:sz w:val="24"/>
        </w:rPr>
        <w:t>changes in health service utilisation trends, including due to emerging technologies</w:t>
      </w:r>
    </w:p>
    <w:p w14:paraId="308482F1" w14:textId="33F2D7F6"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an accessible and sustainable health workforce, that is responsive to change and working to its optimal scope of practice, will lead to better health outcomes for all people appropriate to context and setting</w:t>
      </w:r>
    </w:p>
    <w:p w14:paraId="66A02C4B" w14:textId="0653D01D" w:rsidR="00F3185A" w:rsidRPr="00261C59" w:rsidRDefault="00F3185A" w:rsidP="00280BA6">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the need to augment generalist workforce models in support of effective and sustainable rural and remote healthcare</w:t>
      </w:r>
    </w:p>
    <w:p w14:paraId="29D023CC" w14:textId="5863908C"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the need to ensure regulation, including through legislation, guidelines, standards and the National Law, enable the effective and efficient utilisation of the health workforce to better align with community expectations</w:t>
      </w:r>
    </w:p>
    <w:p w14:paraId="30FA07D3" w14:textId="7EAD248C"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to ensure the health workforce can respond to external shocks and pressures, including pandemics and climate change, there is a need to collaborate and commit to build robust governance and workforce monitoring</w:t>
      </w:r>
    </w:p>
    <w:p w14:paraId="030B04C5" w14:textId="535FF8F5"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the need to grow and sustain a strong domestic health workforce, enabled through a robust system of training, support and employment opportunities across vocational education and training (VET), tertiary, prevocational, vocational, and workplace education in public, private and community settings aligned to service need, place and context </w:t>
      </w:r>
    </w:p>
    <w:p w14:paraId="58C2A83F" w14:textId="23DEB0A3"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facilitating migration for internationally trained health professionals as an important part of sustaining Australia’s health workforce, and Australia’s existing commitment to comply with the WHO Global Code of Practice on the International Recruitment of Health Personnel</w:t>
      </w:r>
    </w:p>
    <w:p w14:paraId="3EBD58F3" w14:textId="014EC49D"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the unique challenges of the rural and remote health workforce such as geographic distance, smaller populations, cultural context, and workforce availability and poorer health outcomes</w:t>
      </w:r>
    </w:p>
    <w:p w14:paraId="010A2784" w14:textId="312B2AB1"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existing initiatives underway must be considered when developing new reforms, including initiatives focusing on different workforce professions (e.g. medical, nursing, midwifery, allied health, Aboriginal and Torres Strait Islander), workforce sectors (e.g. mental health, primary care, aged care and maternity care) and workforce development components (e.g. training, supply, accreditation)</w:t>
      </w:r>
    </w:p>
    <w:p w14:paraId="7D9AA022" w14:textId="636100DE" w:rsidR="00F3185A" w:rsidRPr="00261C59" w:rsidRDefault="00F3185A" w:rsidP="00280BA6">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Aboriginal and Torres Strait Islander people working in the health workforce, including clinical and non-clinical staff, can experience harm from racism and discrimination. Parties will work together to improve cultural safety in the workplace for Aboriginal and Torres Strait Islander people in the health workforce and address racism at the institutional level</w:t>
      </w:r>
    </w:p>
    <w:p w14:paraId="2FFE2680" w14:textId="1E77DCE9" w:rsidR="00F3185A" w:rsidRPr="00261C59" w:rsidRDefault="00F3185A" w:rsidP="00280BA6">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the importance of a culturally safe workforce in supporting improved access to culturally safe health services and better health outcomes for Aboriginal and Torres Strait Islander people</w:t>
      </w:r>
    </w:p>
    <w:p w14:paraId="4417BBF7" w14:textId="77777777" w:rsidR="00F3185A" w:rsidRPr="00261C59" w:rsidRDefault="00F3185A" w:rsidP="00280BA6">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culturally and linguistically diverse (CALD) health professionals can experience harm from discrimination and racism. Parties will work together to support CALD health professionals to feel valued and culturally safe in their workplace through initiatives that improve cultural safety and address racism where it arises in workplaces.</w:t>
      </w:r>
    </w:p>
    <w:p w14:paraId="5D92C6CC" w14:textId="77777777" w:rsidR="00F3185A" w:rsidRPr="00261C59" w:rsidRDefault="00F3185A" w:rsidP="004728D9">
      <w:pPr>
        <w:pStyle w:val="Heading2"/>
        <w:rPr>
          <w:rFonts w:ascii="Corbel" w:hAnsi="Corbel"/>
          <w:color w:val="3D4B67"/>
          <w:sz w:val="28"/>
        </w:rPr>
      </w:pPr>
      <w:bookmarkStart w:id="727" w:name="_Toc173837479"/>
      <w:bookmarkStart w:id="728" w:name="_Toc183183365"/>
      <w:bookmarkStart w:id="729" w:name="_Toc210833676"/>
      <w:bookmarkStart w:id="730" w:name="_Toc221088062"/>
      <w:r w:rsidRPr="00261C59">
        <w:rPr>
          <w:rFonts w:ascii="Corbel" w:hAnsi="Corbel"/>
          <w:color w:val="3D4B67"/>
          <w:sz w:val="28"/>
          <w:szCs w:val="36"/>
        </w:rPr>
        <w:t>Shared responsibilities, stewardship</w:t>
      </w:r>
      <w:bookmarkEnd w:id="727"/>
      <w:bookmarkEnd w:id="728"/>
      <w:r w:rsidRPr="00261C59">
        <w:rPr>
          <w:rFonts w:ascii="Corbel" w:hAnsi="Corbel"/>
          <w:color w:val="3D4B67"/>
          <w:sz w:val="28"/>
          <w:szCs w:val="36"/>
        </w:rPr>
        <w:t xml:space="preserve"> and governance</w:t>
      </w:r>
      <w:bookmarkEnd w:id="729"/>
      <w:bookmarkEnd w:id="730"/>
    </w:p>
    <w:p w14:paraId="62E178AB" w14:textId="10517FF2" w:rsidR="00F3185A" w:rsidRPr="00261C59" w:rsidRDefault="00F3185A" w:rsidP="00280BA6">
      <w:pPr>
        <w:numPr>
          <w:ilvl w:val="0"/>
          <w:numId w:val="31"/>
        </w:numPr>
        <w:spacing w:after="240" w:line="260" w:lineRule="exact"/>
        <w:jc w:val="left"/>
        <w:rPr>
          <w:rFonts w:ascii="Calibri" w:hAnsi="Calibri"/>
          <w:sz w:val="24"/>
          <w:szCs w:val="24"/>
        </w:rPr>
      </w:pPr>
      <w:r w:rsidRPr="00261C59">
        <w:rPr>
          <w:rFonts w:ascii="Calibri" w:hAnsi="Calibri"/>
          <w:sz w:val="24"/>
          <w:szCs w:val="24"/>
        </w:rPr>
        <w:t xml:space="preserve">The Commonwealth is responsible for oversight of national health workforce planning and is a central driver of governance to advance workforce priorities. This role is underpinned by a shared responsibility and commitment from all jurisdictions to meaningfully engage in collaborative reform efforts, as outlined in </w:t>
      </w:r>
      <w:r w:rsidR="006E207D" w:rsidRPr="00261C59">
        <w:rPr>
          <w:rFonts w:ascii="Calibri" w:hAnsi="Calibri"/>
          <w:sz w:val="24"/>
          <w:szCs w:val="24"/>
        </w:rPr>
        <w:t xml:space="preserve">the </w:t>
      </w:r>
      <w:r w:rsidRPr="00261C59">
        <w:rPr>
          <w:rFonts w:ascii="Calibri" w:hAnsi="Calibri"/>
          <w:sz w:val="24"/>
          <w:szCs w:val="24"/>
        </w:rPr>
        <w:t>Preliminaries</w:t>
      </w:r>
      <w:r w:rsidR="006E207D" w:rsidRPr="00261C59">
        <w:rPr>
          <w:rFonts w:ascii="Calibri" w:hAnsi="Calibri"/>
          <w:sz w:val="24"/>
          <w:szCs w:val="24"/>
        </w:rPr>
        <w:t>,</w:t>
      </w:r>
      <w:r w:rsidRPr="00261C59">
        <w:rPr>
          <w:rFonts w:ascii="Calibri" w:hAnsi="Calibri"/>
          <w:sz w:val="24"/>
          <w:szCs w:val="24"/>
        </w:rPr>
        <w:t xml:space="preserve"> </w:t>
      </w:r>
      <w:r w:rsidR="007D1F83" w:rsidRPr="00261C59">
        <w:rPr>
          <w:rFonts w:ascii="Calibri" w:hAnsi="Calibri"/>
          <w:sz w:val="24"/>
          <w:szCs w:val="24"/>
        </w:rPr>
        <w:t xml:space="preserve">clause </w:t>
      </w:r>
      <w:r w:rsidRPr="00261C59">
        <w:rPr>
          <w:rFonts w:ascii="Calibri" w:hAnsi="Calibri"/>
          <w:sz w:val="24"/>
          <w:szCs w:val="24"/>
        </w:rPr>
        <w:t>2</w:t>
      </w:r>
      <w:r w:rsidR="007D1F83" w:rsidRPr="00261C59">
        <w:rPr>
          <w:rFonts w:ascii="Calibri" w:hAnsi="Calibri"/>
          <w:sz w:val="24"/>
          <w:szCs w:val="24"/>
        </w:rPr>
        <w:t>6(</w:t>
      </w:r>
      <w:r w:rsidRPr="00261C59">
        <w:rPr>
          <w:rFonts w:ascii="Calibri" w:hAnsi="Calibri"/>
          <w:sz w:val="24"/>
          <w:szCs w:val="24"/>
        </w:rPr>
        <w:t>c</w:t>
      </w:r>
      <w:r w:rsidR="007D1F83" w:rsidRPr="00261C59">
        <w:rPr>
          <w:rFonts w:ascii="Calibri" w:hAnsi="Calibri"/>
          <w:sz w:val="24"/>
          <w:szCs w:val="24"/>
        </w:rPr>
        <w:t>)</w:t>
      </w:r>
      <w:r w:rsidRPr="00261C59">
        <w:rPr>
          <w:rFonts w:ascii="Calibri" w:hAnsi="Calibri"/>
          <w:sz w:val="24"/>
          <w:szCs w:val="24"/>
        </w:rPr>
        <w:t xml:space="preserve">. The responsibilities of Parties are further outlined in the Preliminaries. </w:t>
      </w:r>
    </w:p>
    <w:p w14:paraId="7EDF1BEC" w14:textId="7E3DC0C1"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All Parties commit to national health workforce planning by collaborating at the regional and local levels with key sector stakeholders, including Local Health Networks, Aboriginal and Torres Strait Islander organisations, universities, the vocational education and training sector, unions, peak bodies and professional colleges and/or associations, regulators, health economists and the private sector.</w:t>
      </w:r>
    </w:p>
    <w:p w14:paraId="503F2AD7" w14:textId="550432DB" w:rsidR="00F3185A" w:rsidRPr="00261C59" w:rsidRDefault="00F3185A" w:rsidP="00280BA6">
      <w:pPr>
        <w:numPr>
          <w:ilvl w:val="0"/>
          <w:numId w:val="31"/>
        </w:numPr>
        <w:spacing w:after="240" w:line="260" w:lineRule="exact"/>
        <w:jc w:val="left"/>
        <w:rPr>
          <w:rFonts w:ascii="Calibri" w:hAnsi="Calibri"/>
          <w:sz w:val="24"/>
          <w:szCs w:val="24"/>
        </w:rPr>
      </w:pPr>
      <w:r w:rsidRPr="00261C59">
        <w:rPr>
          <w:rFonts w:ascii="Calibri" w:hAnsi="Calibri"/>
          <w:sz w:val="24"/>
          <w:szCs w:val="24"/>
        </w:rPr>
        <w:t>The Health Workforce Taskforce (HWT) will provide stewardship and governance of planning objectives, actions and implementation of this schedule, reporting to HCEF and HMM as outlined in Preliminaries clause 4</w:t>
      </w:r>
      <w:r w:rsidR="00C65887" w:rsidRPr="00261C59">
        <w:rPr>
          <w:rFonts w:ascii="Calibri" w:hAnsi="Calibri"/>
          <w:sz w:val="24"/>
          <w:szCs w:val="24"/>
        </w:rPr>
        <w:t>2</w:t>
      </w:r>
      <w:r w:rsidRPr="00261C59">
        <w:rPr>
          <w:rFonts w:ascii="Calibri" w:hAnsi="Calibri"/>
          <w:sz w:val="24"/>
          <w:szCs w:val="24"/>
        </w:rPr>
        <w:t xml:space="preserve">. </w:t>
      </w:r>
    </w:p>
    <w:p w14:paraId="225B488F" w14:textId="1D1FD1CE" w:rsidR="00F3185A" w:rsidRPr="00261C59" w:rsidRDefault="00F3185A" w:rsidP="00280BA6">
      <w:pPr>
        <w:numPr>
          <w:ilvl w:val="0"/>
          <w:numId w:val="31"/>
        </w:numPr>
        <w:spacing w:after="240" w:line="260" w:lineRule="exact"/>
        <w:jc w:val="left"/>
        <w:rPr>
          <w:rFonts w:ascii="Calibri" w:hAnsi="Calibri"/>
          <w:sz w:val="24"/>
          <w:szCs w:val="24"/>
        </w:rPr>
      </w:pPr>
      <w:r w:rsidRPr="00261C59">
        <w:rPr>
          <w:rFonts w:ascii="Calibri" w:hAnsi="Calibri"/>
          <w:sz w:val="24"/>
          <w:szCs w:val="24"/>
        </w:rPr>
        <w:t>In line with its Terms of Reference, HWT will develop an annual workplan which:</w:t>
      </w:r>
    </w:p>
    <w:p w14:paraId="22FB503F" w14:textId="7AF58ED1" w:rsidR="00F3185A" w:rsidRPr="00261C59" w:rsidRDefault="00F3185A" w:rsidP="00280BA6">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sets out the strategic priorities and areas for cross-jurisdictional collaboration, including stewarding implementation of this schedule </w:t>
      </w:r>
    </w:p>
    <w:p w14:paraId="1E424081" w14:textId="3974F16C" w:rsidR="00F3185A" w:rsidRPr="00261C59" w:rsidRDefault="00F3185A" w:rsidP="00926198">
      <w:pPr>
        <w:keepLines/>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supports national modelling of future workforce supply and demand using quantitative projections as well as qualitative methods to support transformation of health services</w:t>
      </w:r>
    </w:p>
    <w:p w14:paraId="6EB15081" w14:textId="565E7BB3" w:rsidR="00F3185A" w:rsidRPr="00261C59" w:rsidRDefault="00F3185A" w:rsidP="00280BA6">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provides workforce insights to inform national and jurisdictional investment decisions on workforce</w:t>
      </w:r>
    </w:p>
    <w:p w14:paraId="236A552F" w14:textId="77777777" w:rsidR="00F3185A" w:rsidRPr="00261C59" w:rsidRDefault="00F3185A" w:rsidP="00280BA6">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develops accountability measures for the delivery of initiatives in response to national strategic workforce planning.</w:t>
      </w:r>
    </w:p>
    <w:p w14:paraId="4152AA57" w14:textId="77777777"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 xml:space="preserve">The workplan will be agreed by HCEF and HMM. HWT will report on the HWT annual workplan to HCEF every May, starting with May 2027. </w:t>
      </w:r>
    </w:p>
    <w:p w14:paraId="1B5DA346" w14:textId="77777777"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Recognising the breadth of work outlined in the schedule, HWT will draw on appropriate expertise in line with its Terms of Reference as needed to implement actions of the schedule. This may include:</w:t>
      </w:r>
    </w:p>
    <w:p w14:paraId="724D7BD5" w14:textId="482013C6"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sub-groups to manage different streams of work </w:t>
      </w:r>
    </w:p>
    <w:p w14:paraId="21949E8E" w14:textId="7D8F3BC9"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working groups or reference groups for coordination and implementation of priority projects</w:t>
      </w:r>
    </w:p>
    <w:p w14:paraId="5D9370F2" w14:textId="77777777"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consulting with other organisations as required in carrying out its functions.</w:t>
      </w:r>
    </w:p>
    <w:p w14:paraId="7C60D910" w14:textId="77777777" w:rsidR="00F3185A" w:rsidRPr="00261C59" w:rsidRDefault="00F3185A" w:rsidP="00F3185A">
      <w:pPr>
        <w:pStyle w:val="Heading2"/>
        <w:keepLines w:val="0"/>
        <w:widowControl/>
        <w:adjustRightInd/>
        <w:spacing w:before="180" w:after="120"/>
        <w:jc w:val="left"/>
        <w:textAlignment w:val="auto"/>
      </w:pPr>
      <w:bookmarkStart w:id="731" w:name="_Toc214456581"/>
      <w:bookmarkStart w:id="732" w:name="_Toc221088063"/>
      <w:r w:rsidRPr="00261C59">
        <w:rPr>
          <w:rFonts w:ascii="Corbel" w:eastAsia="Times New Roman" w:hAnsi="Corbel" w:cs="Arial"/>
          <w:iCs/>
          <w:color w:val="3D4B67"/>
          <w:sz w:val="28"/>
          <w:szCs w:val="28"/>
        </w:rPr>
        <w:t xml:space="preserve">National Strategic </w:t>
      </w:r>
      <w:bookmarkStart w:id="733" w:name="_Toc210833677"/>
      <w:r w:rsidRPr="00261C59">
        <w:rPr>
          <w:rFonts w:ascii="Corbel" w:eastAsia="Times New Roman" w:hAnsi="Corbel" w:cs="Arial"/>
          <w:iCs/>
          <w:color w:val="3D4B67"/>
          <w:sz w:val="28"/>
          <w:szCs w:val="28"/>
        </w:rPr>
        <w:t>Workforce Planning</w:t>
      </w:r>
      <w:bookmarkEnd w:id="731"/>
      <w:bookmarkEnd w:id="732"/>
      <w:bookmarkEnd w:id="733"/>
    </w:p>
    <w:p w14:paraId="2A744342" w14:textId="71D0E6B1" w:rsidR="00F3185A" w:rsidRPr="00261C59" w:rsidRDefault="00F3185A" w:rsidP="00280BA6">
      <w:pPr>
        <w:numPr>
          <w:ilvl w:val="0"/>
          <w:numId w:val="31"/>
        </w:numPr>
        <w:spacing w:after="240" w:line="260" w:lineRule="exact"/>
        <w:jc w:val="left"/>
        <w:rPr>
          <w:rFonts w:ascii="Calibri" w:hAnsi="Calibri"/>
          <w:sz w:val="24"/>
          <w:szCs w:val="24"/>
        </w:rPr>
      </w:pPr>
      <w:r w:rsidRPr="00261C59">
        <w:rPr>
          <w:rFonts w:ascii="Calibri" w:hAnsi="Calibri"/>
          <w:sz w:val="24"/>
          <w:szCs w:val="24"/>
        </w:rPr>
        <w:t>The Parties</w:t>
      </w:r>
      <w:r w:rsidRPr="00261C59">
        <w:rPr>
          <w:rFonts w:ascii="Calibri" w:hAnsi="Calibri" w:cs="Calibri"/>
          <w:sz w:val="24"/>
          <w:szCs w:val="24"/>
        </w:rPr>
        <w:t xml:space="preserve"> </w:t>
      </w:r>
      <w:r w:rsidRPr="00261C59">
        <w:rPr>
          <w:rFonts w:ascii="Calibri" w:hAnsi="Calibri"/>
          <w:sz w:val="24"/>
          <w:szCs w:val="24"/>
        </w:rPr>
        <w:t xml:space="preserve">acknowledge the need for meaningful access to data to inform jurisdictional, local and regional workforce and service planning. The Parties acknowledge that forecasting workforce demand based on current patterns of utilisation is an insufficient basis for determining future health workforce needs and that national strategic workforce planning must also embrace purposeful collaborative design of future healthcare systems based on population need. </w:t>
      </w:r>
    </w:p>
    <w:p w14:paraId="49450BF9" w14:textId="77777777"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The Parties commit to developing a shared evidence base, including exchange of relevant data and the use of nationally consistent data sets that enhances workforce planning. This shared evidence base will underpin collaborative national strategic workforce planning and guide the HWT annual workplan. It will also support the achievement of the following outcomes:</w:t>
      </w:r>
    </w:p>
    <w:p w14:paraId="78E936DB" w14:textId="28726882"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a more integrated approach to addressing workforce maldistribution, especially in rural and remote areas, including how best to deploy workforce across the continuum, to improve access to services for all Australians </w:t>
      </w:r>
    </w:p>
    <w:p w14:paraId="25EA62E0" w14:textId="22580FE4"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increased and better collaboration between governments, education and training providers, post-graduate councils, professional colleges and/or associations and other relevant bodies to inform the coordination, setting and distribution of prevocational and vocational training numbers and capacity building efforts. </w:t>
      </w:r>
    </w:p>
    <w:p w14:paraId="2BDFF3D5" w14:textId="3971C6FD"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 xml:space="preserve">By February 2027 HWT will agree the following parameters that will inform the evidence base and guide work described at </w:t>
      </w:r>
      <w:r w:rsidR="008066BD" w:rsidRPr="00261C59">
        <w:rPr>
          <w:rFonts w:ascii="Calibri" w:hAnsi="Calibri"/>
          <w:sz w:val="24"/>
          <w:szCs w:val="24"/>
        </w:rPr>
        <w:t xml:space="preserve">clause </w:t>
      </w:r>
      <w:r w:rsidRPr="00261C59">
        <w:rPr>
          <w:rFonts w:ascii="Calibri" w:hAnsi="Calibri"/>
          <w:sz w:val="24"/>
          <w:szCs w:val="24"/>
        </w:rPr>
        <w:t xml:space="preserve">G6 over the term of this Addendum. These parameters will be documented in an update to the HWT annual workplan. </w:t>
      </w:r>
    </w:p>
    <w:p w14:paraId="4999FEA8" w14:textId="59F1FA34" w:rsidR="00F3185A" w:rsidRPr="00261C59" w:rsidRDefault="00F3185A" w:rsidP="00280BA6">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The objectives of national strategic workforce planning.</w:t>
      </w:r>
    </w:p>
    <w:p w14:paraId="33CB496D" w14:textId="3AF0E218"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The workforce planning methodology, based on population need, including key indicators that will be used. </w:t>
      </w:r>
    </w:p>
    <w:p w14:paraId="18CC9EA3" w14:textId="461E8943" w:rsidR="00F3185A" w:rsidRPr="00261C59" w:rsidRDefault="00F3185A" w:rsidP="00280BA6">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How this enables cross collaborative workforce planning and reform at a state/territory and Commonwealth level.</w:t>
      </w:r>
    </w:p>
    <w:p w14:paraId="7CEE83FD" w14:textId="77777777"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A plan for data provisions and data sharing requirements.</w:t>
      </w:r>
    </w:p>
    <w:p w14:paraId="654A8AA0" w14:textId="4C995341"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Regular review points to maintain currency with the evolving needs of national strategic workforce planning, with urgent matters reviewed by exception.</w:t>
      </w:r>
    </w:p>
    <w:p w14:paraId="77B516EE" w14:textId="77777777" w:rsidR="00F3185A" w:rsidRPr="00261C59" w:rsidRDefault="00F3185A" w:rsidP="004728D9">
      <w:pPr>
        <w:pStyle w:val="Heading2"/>
        <w:keepLines w:val="0"/>
        <w:widowControl/>
        <w:adjustRightInd/>
        <w:spacing w:before="180" w:after="120"/>
        <w:jc w:val="left"/>
        <w:textAlignment w:val="auto"/>
        <w:rPr>
          <w:rFonts w:ascii="Corbel" w:hAnsi="Corbel"/>
          <w:color w:val="3D4B67"/>
          <w:sz w:val="28"/>
        </w:rPr>
      </w:pPr>
      <w:bookmarkStart w:id="734" w:name="_Toc214456582"/>
      <w:bookmarkStart w:id="735" w:name="_Toc210833678"/>
      <w:bookmarkStart w:id="736" w:name="_Toc221088064"/>
      <w:bookmarkStart w:id="737" w:name="_Toc173837480"/>
      <w:bookmarkStart w:id="738" w:name="_Toc183183366"/>
      <w:r w:rsidRPr="00261C59">
        <w:rPr>
          <w:rFonts w:ascii="Corbel" w:hAnsi="Corbel"/>
          <w:color w:val="3D4B67"/>
          <w:sz w:val="28"/>
        </w:rPr>
        <w:t xml:space="preserve">Strengthening health workforce data to enable </w:t>
      </w:r>
      <w:r w:rsidRPr="00261C59">
        <w:rPr>
          <w:rFonts w:ascii="Corbel" w:eastAsia="Times New Roman" w:hAnsi="Corbel" w:cs="Arial"/>
          <w:color w:val="3D4B67"/>
          <w:sz w:val="28"/>
          <w:szCs w:val="28"/>
        </w:rPr>
        <w:t xml:space="preserve">national strategic </w:t>
      </w:r>
      <w:r w:rsidRPr="00261C59">
        <w:rPr>
          <w:rFonts w:ascii="Corbel" w:hAnsi="Corbel"/>
          <w:color w:val="3D4B67"/>
          <w:sz w:val="28"/>
        </w:rPr>
        <w:t>workforce planning</w:t>
      </w:r>
      <w:bookmarkEnd w:id="734"/>
      <w:bookmarkEnd w:id="735"/>
      <w:bookmarkEnd w:id="736"/>
    </w:p>
    <w:p w14:paraId="793D9D7F" w14:textId="1BFD73EA"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The Parties recognise and commit to best endeavours to support data standardisation and sharing as a key enabler of building the evidence base for national strategic workforce planning and development, noting that some data sets are held by the Commonwealth only. This includes:</w:t>
      </w:r>
    </w:p>
    <w:p w14:paraId="4BD006D9" w14:textId="476405DC"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agreeing the data needed for workforce supply and demand modelling and workforce planning, including working towards and implementing nationally consistent data standards and definitions for the data on health workforce practitioners</w:t>
      </w:r>
    </w:p>
    <w:p w14:paraId="06A39A76" w14:textId="63419F16"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collaboration on and commitment to ongoing data sharing, including required legislative reforms to remove barriers to data collection and sharing</w:t>
      </w:r>
    </w:p>
    <w:p w14:paraId="4D695C5C" w14:textId="67810AD9"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commitment to an improved, nationally consistent data collection system that supports better data modelling, analysis and sharing</w:t>
      </w:r>
    </w:p>
    <w:p w14:paraId="5E0917CD" w14:textId="5C8A0A56"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recognising the principles of Indigenous Data Sovereignty as outlined in Schedule B and prioritising shared access to data in line with Priority Reform Four of the National Agreement on Closing the Gap</w:t>
      </w:r>
      <w:r w:rsidRPr="00261C59" w:rsidDel="006D5FF7">
        <w:rPr>
          <w:rFonts w:ascii="Calibri" w:hAnsi="Calibri" w:cs="Calibri"/>
          <w:sz w:val="24"/>
          <w:szCs w:val="24"/>
        </w:rPr>
        <w:t xml:space="preserve"> </w:t>
      </w:r>
    </w:p>
    <w:p w14:paraId="1DE30045" w14:textId="36BB6779"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agreeing to undertake data modelling that differentiates clearly between sectors in recognition that the demands, models of care, and service delivery characteristics influence modelling outputs. This includes between health (acute and primary care), aged care and disability sectors, rural and regional, as well as between health professions such as doctors, nurses, midwives and allied health professionals. It is noted that states and territories do not have access to aged care and disability data </w:t>
      </w:r>
    </w:p>
    <w:p w14:paraId="288E2704" w14:textId="4E7D6BD1"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ongoing refinement and tuning the methodology to ensure modelling processes and outputs remain useful for developing timely solutions</w:t>
      </w:r>
    </w:p>
    <w:p w14:paraId="707B9705" w14:textId="3C9E091E" w:rsidR="00F3185A" w:rsidRPr="00261C59" w:rsidRDefault="00F3185A" w:rsidP="00280BA6">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support for public transparency through regular publication of workforce trends and forecasts</w:t>
      </w:r>
    </w:p>
    <w:p w14:paraId="505DA176" w14:textId="3AE03995"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workforce data being considered during the development of the </w:t>
      </w:r>
      <w:r w:rsidR="00C80094" w:rsidRPr="00261C59">
        <w:rPr>
          <w:rFonts w:ascii="Calibri" w:hAnsi="Calibri" w:cs="Calibri"/>
          <w:sz w:val="24"/>
          <w:szCs w:val="24"/>
        </w:rPr>
        <w:t>h</w:t>
      </w:r>
      <w:r w:rsidRPr="00261C59">
        <w:rPr>
          <w:rFonts w:ascii="Calibri" w:hAnsi="Calibri" w:cs="Calibri"/>
          <w:sz w:val="24"/>
          <w:szCs w:val="24"/>
        </w:rPr>
        <w:t xml:space="preserve">ealth </w:t>
      </w:r>
      <w:r w:rsidR="00C80094" w:rsidRPr="00261C59">
        <w:rPr>
          <w:rFonts w:ascii="Calibri" w:hAnsi="Calibri" w:cs="Calibri"/>
          <w:sz w:val="24"/>
          <w:szCs w:val="24"/>
        </w:rPr>
        <w:t>s</w:t>
      </w:r>
      <w:r w:rsidRPr="00261C59">
        <w:rPr>
          <w:rFonts w:ascii="Calibri" w:hAnsi="Calibri" w:cs="Calibri"/>
          <w:sz w:val="24"/>
          <w:szCs w:val="24"/>
        </w:rPr>
        <w:t xml:space="preserve">ystem </w:t>
      </w:r>
      <w:r w:rsidR="00C80094" w:rsidRPr="00261C59">
        <w:rPr>
          <w:rFonts w:ascii="Calibri" w:hAnsi="Calibri" w:cs="Calibri"/>
          <w:sz w:val="24"/>
          <w:szCs w:val="24"/>
        </w:rPr>
        <w:t>p</w:t>
      </w:r>
      <w:r w:rsidRPr="00261C59">
        <w:rPr>
          <w:rFonts w:ascii="Calibri" w:hAnsi="Calibri" w:cs="Calibri"/>
          <w:sz w:val="24"/>
          <w:szCs w:val="24"/>
        </w:rPr>
        <w:t xml:space="preserve">erformance </w:t>
      </w:r>
      <w:r w:rsidR="00C80094" w:rsidRPr="00261C59">
        <w:rPr>
          <w:rFonts w:ascii="Calibri" w:hAnsi="Calibri" w:cs="Calibri"/>
          <w:sz w:val="24"/>
          <w:szCs w:val="24"/>
        </w:rPr>
        <w:t>assessment f</w:t>
      </w:r>
      <w:r w:rsidRPr="00261C59">
        <w:rPr>
          <w:rFonts w:ascii="Calibri" w:hAnsi="Calibri" w:cs="Calibri"/>
          <w:sz w:val="24"/>
          <w:szCs w:val="24"/>
        </w:rPr>
        <w:t>ramework in Schedule H.</w:t>
      </w:r>
    </w:p>
    <w:p w14:paraId="33081571" w14:textId="77777777"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 xml:space="preserve">This work will be led by HWT, in consultation with the Parties, Aboriginal and Torres Strait Islander health workforce peak organisations, the Aboriginal and Torres Strait Islander Health Collaboration and other subject matter experts. The work will progress in parallel with performance reporting and system-wide data reforms as outlined in Schedule H. </w:t>
      </w:r>
    </w:p>
    <w:p w14:paraId="582B6744" w14:textId="470DDB66" w:rsidR="00F3185A" w:rsidRPr="00261C59" w:rsidRDefault="00F3185A" w:rsidP="004728D9">
      <w:pPr>
        <w:widowControl/>
        <w:numPr>
          <w:ilvl w:val="0"/>
          <w:numId w:val="31"/>
        </w:numPr>
        <w:spacing w:after="240" w:line="260" w:lineRule="exact"/>
        <w:jc w:val="left"/>
        <w:rPr>
          <w:rFonts w:ascii="Calibri" w:hAnsi="Calibri"/>
          <w:sz w:val="24"/>
          <w:szCs w:val="24"/>
        </w:rPr>
      </w:pPr>
      <w:r w:rsidRPr="00261C59">
        <w:rPr>
          <w:rFonts w:ascii="Calibri" w:hAnsi="Calibri"/>
          <w:sz w:val="24"/>
          <w:szCs w:val="24"/>
        </w:rPr>
        <w:t xml:space="preserve">The Parties will further agree elements of workforce data to be included in the performance </w:t>
      </w:r>
      <w:r w:rsidR="00C80094" w:rsidRPr="00261C59">
        <w:rPr>
          <w:rFonts w:ascii="Calibri" w:hAnsi="Calibri"/>
          <w:sz w:val="24"/>
          <w:szCs w:val="24"/>
        </w:rPr>
        <w:t xml:space="preserve">assessment </w:t>
      </w:r>
      <w:r w:rsidRPr="00261C59">
        <w:rPr>
          <w:rFonts w:ascii="Calibri" w:hAnsi="Calibri"/>
          <w:sz w:val="24"/>
          <w:szCs w:val="24"/>
        </w:rPr>
        <w:t>framework (Schedule H) by June 2028.</w:t>
      </w:r>
    </w:p>
    <w:p w14:paraId="14258608" w14:textId="77777777" w:rsidR="00F3185A" w:rsidRPr="00261C59" w:rsidRDefault="00F3185A" w:rsidP="00F3185A">
      <w:pPr>
        <w:pStyle w:val="Heading2"/>
        <w:keepLines w:val="0"/>
        <w:widowControl/>
        <w:adjustRightInd/>
        <w:spacing w:before="180" w:after="120"/>
        <w:jc w:val="left"/>
        <w:textAlignment w:val="auto"/>
        <w:rPr>
          <w:rFonts w:ascii="Corbel" w:eastAsia="Times New Roman" w:hAnsi="Corbel" w:cs="Arial"/>
          <w:b w:val="0"/>
          <w:bCs w:val="0"/>
          <w:iCs/>
          <w:color w:val="3D4B67"/>
          <w:sz w:val="28"/>
          <w:szCs w:val="28"/>
        </w:rPr>
      </w:pPr>
      <w:bookmarkStart w:id="739" w:name="_Toc214456583"/>
      <w:bookmarkStart w:id="740" w:name="_Toc210833679"/>
      <w:bookmarkStart w:id="741" w:name="_Toc221088065"/>
      <w:r w:rsidRPr="00261C59">
        <w:rPr>
          <w:rFonts w:ascii="Corbel" w:eastAsia="Times New Roman" w:hAnsi="Corbel" w:cs="Arial"/>
          <w:iCs/>
          <w:color w:val="3D4B67"/>
          <w:sz w:val="28"/>
          <w:szCs w:val="28"/>
        </w:rPr>
        <w:t>National workforce strategies and reviews</w:t>
      </w:r>
      <w:bookmarkEnd w:id="737"/>
      <w:bookmarkEnd w:id="738"/>
      <w:bookmarkEnd w:id="739"/>
      <w:bookmarkEnd w:id="740"/>
      <w:bookmarkEnd w:id="741"/>
    </w:p>
    <w:p w14:paraId="7E938AB6" w14:textId="6A7BEE4C"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Implementing health workforce priorities requires a coordinated approach across Commonwealth, State and Territory governments. All Parties commit to working collaboratively, including recognising skills and capabilities across health professions, implementing training and education reforms, and harmonising regulation outcomes including legislation and guidelines.</w:t>
      </w:r>
    </w:p>
    <w:p w14:paraId="7D3D75F4" w14:textId="77777777" w:rsidR="00F3185A" w:rsidRPr="00261C59" w:rsidRDefault="00F3185A" w:rsidP="00280BA6">
      <w:pPr>
        <w:numPr>
          <w:ilvl w:val="0"/>
          <w:numId w:val="31"/>
        </w:numPr>
        <w:spacing w:after="240" w:line="260" w:lineRule="exact"/>
        <w:jc w:val="left"/>
        <w:rPr>
          <w:rFonts w:ascii="Calibri" w:hAnsi="Calibri"/>
          <w:sz w:val="24"/>
          <w:szCs w:val="24"/>
        </w:rPr>
      </w:pPr>
      <w:r w:rsidRPr="00261C59">
        <w:rPr>
          <w:rFonts w:ascii="Calibri" w:hAnsi="Calibri"/>
          <w:sz w:val="24"/>
          <w:szCs w:val="24"/>
        </w:rPr>
        <w:t>In progressing shared national priorities agreed under this Schedule, the Parties will have the flexibility to prioritise health workforce reforms according to local needs and priorities.</w:t>
      </w:r>
    </w:p>
    <w:p w14:paraId="39E30C00" w14:textId="549132BF"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The Parties agree to work together and with key stakeholders, including Aboriginal and Torres Strait Islander organisations, to develop a program of reform in the HWT annual workplan described in clause G6. The program of reform will be informed by the national strategic workforce planning described in clause G11 and from emerging and existing workforce priorities, national workforce strategies and targets including (but not limited to):</w:t>
      </w:r>
    </w:p>
    <w:p w14:paraId="5650274D" w14:textId="0607C8C3"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National Agreement on Closing the Gap</w:t>
      </w:r>
    </w:p>
    <w:p w14:paraId="5C00A3DD" w14:textId="73ADA506"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National Aboriginal and Torres Strait Islander Health Plan 2021–2031 </w:t>
      </w:r>
    </w:p>
    <w:p w14:paraId="1F9B4EE5" w14:textId="67A0BC42"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National Aboriginal and Torres Strait Islander Health Workforce Strategic Framework and Implementation Plan 2021-2031</w:t>
      </w:r>
    </w:p>
    <w:p w14:paraId="242E7977" w14:textId="1C630B2B"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National Nursing Workforce Strategy (once finalised) </w:t>
      </w:r>
    </w:p>
    <w:p w14:paraId="25F68EA4" w14:textId="1EB02646"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Independent review of Australia’s regulatory settings relating to overseas health practitioners Final Report (Ms Robyn Kruk AO)</w:t>
      </w:r>
    </w:p>
    <w:p w14:paraId="7ECAFD32" w14:textId="66B90100"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Nurse Practitioner Workforce Plan</w:t>
      </w:r>
    </w:p>
    <w:p w14:paraId="4C605C47" w14:textId="62685855"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National Maternity Workforce Strategy (once finalised)</w:t>
      </w:r>
    </w:p>
    <w:p w14:paraId="27C0E60A" w14:textId="58118DF8"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National Medical Workforce Strategy 2021-2031</w:t>
      </w:r>
    </w:p>
    <w:p w14:paraId="2E45C3BC" w14:textId="34803BCF"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National Allied Health Workforce Strategy (once finalised)</w:t>
      </w:r>
    </w:p>
    <w:p w14:paraId="4572BC51" w14:textId="36835070"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Unleashing the Potential of our Health Workforce (Scope of Practice) Review</w:t>
      </w:r>
    </w:p>
    <w:p w14:paraId="5DAF5208" w14:textId="66B1A32A"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Working Better for Medicare Review</w:t>
      </w:r>
    </w:p>
    <w:p w14:paraId="29EAD83F" w14:textId="47CD713A"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Stronger Rural Health Strategy</w:t>
      </w:r>
    </w:p>
    <w:p w14:paraId="3176AC79" w14:textId="2F7D9849"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National Registration and Accreditation Scheme Complexity Review and relevant reviews and reports from the National Health Practitioner Ombudsman’s</w:t>
      </w:r>
    </w:p>
    <w:p w14:paraId="30C371A7" w14:textId="0047F6AD" w:rsidR="00F3185A" w:rsidRPr="00261C59" w:rsidRDefault="00F3185A" w:rsidP="00CF0C76">
      <w:pPr>
        <w:keepNext/>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National Health and Climate Strategy </w:t>
      </w:r>
    </w:p>
    <w:p w14:paraId="54EBE963" w14:textId="63CEE944" w:rsidR="00F3185A" w:rsidRPr="00261C59" w:rsidRDefault="00F3185A" w:rsidP="00D60AD5">
      <w:pPr>
        <w:keepNext/>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National Mental Health and Suicide Prevention Agreement </w:t>
      </w:r>
    </w:p>
    <w:p w14:paraId="79654D02" w14:textId="77777777"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National Mental Health Workforce Strategy 2022-32. </w:t>
      </w:r>
    </w:p>
    <w:p w14:paraId="3E4841F5" w14:textId="57E1C62E"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 xml:space="preserve">Parties acknowledge that there are common themes that have emerged across national workforce strategies outlined at </w:t>
      </w:r>
      <w:r w:rsidR="00A63543" w:rsidRPr="00261C59">
        <w:rPr>
          <w:rFonts w:ascii="Calibri" w:hAnsi="Calibri"/>
          <w:sz w:val="24"/>
          <w:szCs w:val="24"/>
        </w:rPr>
        <w:t xml:space="preserve">clause </w:t>
      </w:r>
      <w:r w:rsidRPr="00261C59">
        <w:rPr>
          <w:rFonts w:ascii="Calibri" w:hAnsi="Calibri"/>
          <w:sz w:val="24"/>
          <w:szCs w:val="24"/>
        </w:rPr>
        <w:t>G17 that impact the entire health workforce. There is need for collaborative actions to address these issues. The following themes are a focus for health workforce reform over the term of this Addendum:</w:t>
      </w:r>
    </w:p>
    <w:p w14:paraId="75173422" w14:textId="13D7CC2B" w:rsidR="00F3185A" w:rsidRPr="00261C59" w:rsidRDefault="00F3185A" w:rsidP="00280BA6">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better aligning health workforce distribution to areas of need, particularly in rural and remote areas </w:t>
      </w:r>
    </w:p>
    <w:p w14:paraId="1637FE48" w14:textId="58C05627"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growing and supporting the Aboriginal and Torres Strait Islander health workforce</w:t>
      </w:r>
    </w:p>
    <w:p w14:paraId="7D22C26E" w14:textId="65B5E969"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ensuring cultural safety of Aboriginal and Torres Strait Islander health professionals and consumers</w:t>
      </w:r>
    </w:p>
    <w:p w14:paraId="3989F198" w14:textId="0EC859C8"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improving the wellbeing and culture of the health workforce</w:t>
      </w:r>
    </w:p>
    <w:p w14:paraId="7C0622F7" w14:textId="37291211"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supporting and resourcing health professionals to supervise and train future health professionals </w:t>
      </w:r>
    </w:p>
    <w:p w14:paraId="12785A44" w14:textId="3DA6E9CC" w:rsidR="00F3185A" w:rsidRPr="00261C59" w:rsidRDefault="00F3185A" w:rsidP="00280BA6">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supporting health professionals to work to optimal scope of practice </w:t>
      </w:r>
    </w:p>
    <w:p w14:paraId="2E2B91FC" w14:textId="5E246766"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adapting and supporting new models of care. </w:t>
      </w:r>
    </w:p>
    <w:p w14:paraId="588C3BA0" w14:textId="18146A4E"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 xml:space="preserve">By July 2026 Parties will develop a program of reform to address priority joint actions of the Scope of Practice Review that have been agreed by HMM. This will be incorporated in the HWT annual workplan, as described in </w:t>
      </w:r>
      <w:r w:rsidR="00A63543" w:rsidRPr="00261C59">
        <w:rPr>
          <w:rFonts w:ascii="Calibri" w:hAnsi="Calibri"/>
          <w:sz w:val="24"/>
          <w:szCs w:val="24"/>
        </w:rPr>
        <w:t xml:space="preserve">clause </w:t>
      </w:r>
      <w:r w:rsidRPr="00261C59">
        <w:rPr>
          <w:rFonts w:ascii="Calibri" w:hAnsi="Calibri"/>
          <w:sz w:val="24"/>
          <w:szCs w:val="24"/>
        </w:rPr>
        <w:t xml:space="preserve">G6.  </w:t>
      </w:r>
    </w:p>
    <w:p w14:paraId="16D8431E" w14:textId="623F020F"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 xml:space="preserve">Parties agree an initial focus will be to undertake harmonisation of scope of practice outcomes through changes to regulation including legislation and guidelines to enable a wider range of health professionals to undertake restricted activities consistent with their scope of practice. Parties will: </w:t>
      </w:r>
    </w:p>
    <w:p w14:paraId="01938F26" w14:textId="77628D6A"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Commence with an initial tranche targeting harmonisation outcomes focussed on prescribing and the </w:t>
      </w:r>
      <w:r w:rsidRPr="00261C59">
        <w:rPr>
          <w:rFonts w:ascii="Calibri" w:hAnsi="Calibri"/>
          <w:sz w:val="24"/>
        </w:rPr>
        <w:t>Drugs and Poisons Acts</w:t>
      </w:r>
      <w:r w:rsidRPr="00261C59">
        <w:rPr>
          <w:rFonts w:ascii="Calibri" w:hAnsi="Calibri" w:cs="Calibri"/>
          <w:sz w:val="24"/>
          <w:szCs w:val="24"/>
        </w:rPr>
        <w:t xml:space="preserve"> by December 2026 </w:t>
      </w:r>
    </w:p>
    <w:p w14:paraId="14E74F97" w14:textId="77777777"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Consider further tranches of harmonisation to follow, such as work aligned to the </w:t>
      </w:r>
      <w:r w:rsidRPr="005C054B">
        <w:rPr>
          <w:rFonts w:ascii="Calibri" w:hAnsi="Calibri" w:cs="Calibri"/>
          <w:sz w:val="24"/>
          <w:szCs w:val="24"/>
        </w:rPr>
        <w:t>Radiation Safety Acts and Mental Health Acts</w:t>
      </w:r>
      <w:r w:rsidRPr="00261C59">
        <w:rPr>
          <w:rFonts w:ascii="Calibri" w:hAnsi="Calibri" w:cs="Calibri"/>
          <w:sz w:val="24"/>
          <w:szCs w:val="24"/>
        </w:rPr>
        <w:t xml:space="preserve">. </w:t>
      </w:r>
    </w:p>
    <w:p w14:paraId="08E522D6" w14:textId="77777777" w:rsidR="00F3185A" w:rsidRPr="00261C59" w:rsidRDefault="00F3185A" w:rsidP="004728D9">
      <w:pPr>
        <w:pStyle w:val="Heading2"/>
        <w:rPr>
          <w:rFonts w:ascii="Corbel" w:hAnsi="Corbel"/>
          <w:color w:val="3D4B67"/>
          <w:sz w:val="28"/>
        </w:rPr>
      </w:pPr>
      <w:bookmarkStart w:id="742" w:name="_Toc210833681"/>
      <w:bookmarkStart w:id="743" w:name="_Toc221088066"/>
      <w:r w:rsidRPr="00261C59">
        <w:rPr>
          <w:rFonts w:ascii="Corbel" w:hAnsi="Corbel"/>
          <w:color w:val="3D4B67"/>
          <w:sz w:val="28"/>
        </w:rPr>
        <w:t>Reducing complexity in the National Registration and Accreditation Scheme</w:t>
      </w:r>
      <w:bookmarkEnd w:id="742"/>
      <w:bookmarkEnd w:id="743"/>
    </w:p>
    <w:p w14:paraId="59761597" w14:textId="77777777"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 xml:space="preserve">Parties acknowledge the Intergovernmental Agreement for a National Registration and Accreditation Scheme for the Health Professions (IGA NRAS), signed on 26 March 2008, as the foundational agreement establishing a nationally consistent approach to the registration and accreditation of health professionals in Australia. Parties reaffirm their commitment to arrangements established under the IGA NRAS and ongoing oversight of the NRAS.  </w:t>
      </w:r>
    </w:p>
    <w:p w14:paraId="222719A3" w14:textId="0901C7A0" w:rsidR="00F3185A" w:rsidRPr="00261C59" w:rsidRDefault="00F3185A" w:rsidP="00CF0C76">
      <w:pPr>
        <w:keepLines/>
        <w:numPr>
          <w:ilvl w:val="0"/>
          <w:numId w:val="31"/>
        </w:numPr>
        <w:spacing w:after="240" w:line="260" w:lineRule="exact"/>
        <w:jc w:val="left"/>
        <w:rPr>
          <w:rFonts w:ascii="Calibri" w:hAnsi="Calibri"/>
          <w:sz w:val="24"/>
          <w:szCs w:val="24"/>
        </w:rPr>
      </w:pPr>
      <w:r w:rsidRPr="00261C59">
        <w:rPr>
          <w:rFonts w:ascii="Calibri" w:hAnsi="Calibri"/>
          <w:sz w:val="24"/>
          <w:szCs w:val="24"/>
        </w:rPr>
        <w:t xml:space="preserve">The Review of Regulatory Complexity in the NRAS (Complexity Review) aimed to improve regulatory outcomes and keep Australians safe by removing complex or unnecessary processes of the NRAS. Parties acknowledge that the recommendations in the final report, “Transforming health professions regulation in Australia”, are founded on the principles of regulatory stewardship, evidence-based decision-making, and collaboration across sectors.   </w:t>
      </w:r>
    </w:p>
    <w:p w14:paraId="510F40DB" w14:textId="79F8CA6B"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 xml:space="preserve">The HWT will oversee the implementation of actions endorsed by Health Ministers and will develop a Complexity Review Implementation Plan by March 2026. This will be incorporated in the HWT annual workplan, as described in </w:t>
      </w:r>
      <w:r w:rsidR="00A63543" w:rsidRPr="00261C59">
        <w:rPr>
          <w:rFonts w:ascii="Calibri" w:hAnsi="Calibri"/>
          <w:sz w:val="24"/>
          <w:szCs w:val="24"/>
        </w:rPr>
        <w:t xml:space="preserve">clause </w:t>
      </w:r>
      <w:r w:rsidRPr="00261C59">
        <w:rPr>
          <w:rFonts w:ascii="Calibri" w:hAnsi="Calibri"/>
          <w:sz w:val="24"/>
          <w:szCs w:val="24"/>
        </w:rPr>
        <w:t xml:space="preserve">G6.  </w:t>
      </w:r>
    </w:p>
    <w:p w14:paraId="5137E5B4" w14:textId="328FEF76"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 xml:space="preserve">Parties agree to undertake regular evaluation of the NRAS as stewards through the IGA NRAS. This will be a time limited evaluation every 5 years, resourced through the HCEF cost-shared budget and aligned with the timeframes of the NHRA mid-term review described in </w:t>
      </w:r>
      <w:r w:rsidR="00DD182B" w:rsidRPr="00261C59">
        <w:rPr>
          <w:rFonts w:ascii="Calibri" w:hAnsi="Calibri"/>
          <w:sz w:val="24"/>
          <w:szCs w:val="24"/>
        </w:rPr>
        <w:t>P</w:t>
      </w:r>
      <w:r w:rsidRPr="00261C59">
        <w:rPr>
          <w:rFonts w:ascii="Calibri" w:hAnsi="Calibri"/>
          <w:sz w:val="24"/>
          <w:szCs w:val="24"/>
        </w:rPr>
        <w:t>reliminaries clause 4</w:t>
      </w:r>
      <w:r w:rsidR="00973CC4" w:rsidRPr="00261C59">
        <w:rPr>
          <w:rFonts w:ascii="Calibri" w:hAnsi="Calibri"/>
          <w:sz w:val="24"/>
          <w:szCs w:val="24"/>
        </w:rPr>
        <w:t>7</w:t>
      </w:r>
      <w:r w:rsidRPr="00261C59">
        <w:rPr>
          <w:rFonts w:ascii="Calibri" w:hAnsi="Calibri"/>
          <w:sz w:val="24"/>
          <w:szCs w:val="24"/>
        </w:rPr>
        <w:t xml:space="preserve">. </w:t>
      </w:r>
    </w:p>
    <w:p w14:paraId="6874038E" w14:textId="77777777" w:rsidR="00F3185A" w:rsidRPr="00261C59" w:rsidRDefault="00F3185A" w:rsidP="004728D9">
      <w:pPr>
        <w:pStyle w:val="Heading2"/>
        <w:rPr>
          <w:rFonts w:ascii="Corbel" w:hAnsi="Corbel"/>
          <w:b w:val="0"/>
          <w:color w:val="3D4B67"/>
          <w:sz w:val="28"/>
        </w:rPr>
      </w:pPr>
      <w:bookmarkStart w:id="744" w:name="_Toc210833682"/>
      <w:bookmarkStart w:id="745" w:name="_Toc221088067"/>
      <w:r w:rsidRPr="00261C59">
        <w:rPr>
          <w:rFonts w:ascii="Corbel" w:hAnsi="Corbel"/>
          <w:color w:val="3D4B67"/>
          <w:sz w:val="28"/>
          <w:szCs w:val="36"/>
        </w:rPr>
        <w:t>Growing and supporting the Aboriginal and Torres Strait Islander health workforce</w:t>
      </w:r>
      <w:bookmarkEnd w:id="744"/>
      <w:bookmarkEnd w:id="745"/>
    </w:p>
    <w:p w14:paraId="45B93E45" w14:textId="77777777" w:rsidR="00F3185A" w:rsidRPr="00261C59" w:rsidRDefault="00F3185A" w:rsidP="004728D9">
      <w:pPr>
        <w:numPr>
          <w:ilvl w:val="0"/>
          <w:numId w:val="31"/>
        </w:numPr>
        <w:spacing w:after="240" w:line="260" w:lineRule="exact"/>
        <w:jc w:val="left"/>
        <w:rPr>
          <w:rFonts w:ascii="Calibri" w:hAnsi="Calibri"/>
          <w:sz w:val="24"/>
          <w:szCs w:val="24"/>
        </w:rPr>
      </w:pPr>
      <w:bookmarkStart w:id="746" w:name="_Hlk211848075"/>
      <w:r w:rsidRPr="00261C59">
        <w:rPr>
          <w:rFonts w:ascii="Calibri" w:hAnsi="Calibri"/>
          <w:sz w:val="24"/>
          <w:szCs w:val="24"/>
        </w:rPr>
        <w:t xml:space="preserve">All Parties recognise that systemic and interpersonal discrimination and racism in the health system leads to negative health outcomes that widen the gap in health inequities experienced by Aboriginal and Torres Strait Islander people. </w:t>
      </w:r>
    </w:p>
    <w:p w14:paraId="6E96B52E" w14:textId="1E05809F"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All Parties further recognise that Aboriginal and Torres Strait Islander people working in the health workforce, including clinical and non-clinical staff, can experience the same discrimination in health systems as Aboriginal and Torres Strait Islander patients.</w:t>
      </w:r>
    </w:p>
    <w:bookmarkEnd w:id="746"/>
    <w:p w14:paraId="26B196EE" w14:textId="0A4A338E"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Aboriginal and Torres Strait Islander people in the health workforce have unique skills that deliver culturally safe and responsive care that improves outcomes for Aboriginal and Torres Strait Islander people and communities.</w:t>
      </w:r>
    </w:p>
    <w:p w14:paraId="05F7EDA0" w14:textId="77777777"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All Parties recognise their shared responsibility to ensure a culturally safe, responsive workforce to improve Aboriginal and Torres Strait Islander experiences and outcomes in the health system. This includes:</w:t>
      </w:r>
    </w:p>
    <w:p w14:paraId="1363B957" w14:textId="6246A0F7"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growing the Aboriginal and Torres Strait Islander health workforce across all settings, including clinical, non-clinical and leadership roles</w:t>
      </w:r>
    </w:p>
    <w:p w14:paraId="73CA0A81" w14:textId="6CCE7397"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strengthening the cultural capability of non-Indigenous health workforces</w:t>
      </w:r>
    </w:p>
    <w:p w14:paraId="2901F724" w14:textId="77777777"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increasing cultural safety and addressing racism at the institutional level.</w:t>
      </w:r>
    </w:p>
    <w:p w14:paraId="4B72F8B8" w14:textId="5BA876E5"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All Parties agree to work in partnership with Aboriginal and Torres Strait Islander organisations through the HWT Subcommittee (National Aboriginal and Torres Strait Islander Health Workforce Strategic Framework and Implementation Plan Working Group) to grow and support Aboriginal and Torres Strait Islander health workforces by:</w:t>
      </w:r>
    </w:p>
    <w:p w14:paraId="14BC801D" w14:textId="4735551A"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implementing commitments under the National Agreement on Closing the Gap and the National Aboriginal and Torres Strait Islander Health Plan 2021-2031</w:t>
      </w:r>
    </w:p>
    <w:p w14:paraId="1E8BA723" w14:textId="640E99FD"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implementing the strategic directions and priority strategies of the National Aboriginal and Torres Strait Islander Health Workforce Strategic Framework and Implementation Plan 2021-2031 (see </w:t>
      </w:r>
      <w:r w:rsidR="00411C28" w:rsidRPr="00261C59">
        <w:rPr>
          <w:rFonts w:ascii="Calibri" w:hAnsi="Calibri" w:cs="Calibri"/>
          <w:sz w:val="24"/>
          <w:szCs w:val="24"/>
        </w:rPr>
        <w:t>c</w:t>
      </w:r>
      <w:r w:rsidRPr="00261C59">
        <w:rPr>
          <w:rFonts w:ascii="Calibri" w:hAnsi="Calibri" w:cs="Calibri"/>
          <w:sz w:val="24"/>
          <w:szCs w:val="24"/>
        </w:rPr>
        <w:t>lauses B1</w:t>
      </w:r>
      <w:r w:rsidR="00F23F41" w:rsidRPr="00261C59">
        <w:rPr>
          <w:rFonts w:ascii="Calibri" w:hAnsi="Calibri" w:cs="Calibri"/>
          <w:sz w:val="24"/>
          <w:szCs w:val="24"/>
        </w:rPr>
        <w:t>8</w:t>
      </w:r>
      <w:r w:rsidRPr="00261C59">
        <w:rPr>
          <w:rFonts w:ascii="Calibri" w:hAnsi="Calibri" w:cs="Calibri"/>
          <w:sz w:val="24"/>
          <w:szCs w:val="24"/>
        </w:rPr>
        <w:t xml:space="preserve"> and B8</w:t>
      </w:r>
      <w:r w:rsidR="00CB76B9" w:rsidRPr="00261C59">
        <w:rPr>
          <w:rFonts w:ascii="Calibri" w:hAnsi="Calibri" w:cs="Calibri"/>
          <w:sz w:val="24"/>
          <w:szCs w:val="24"/>
        </w:rPr>
        <w:t>4</w:t>
      </w:r>
      <w:r w:rsidRPr="00261C59">
        <w:rPr>
          <w:rFonts w:ascii="Calibri" w:hAnsi="Calibri" w:cs="Calibri"/>
          <w:sz w:val="24"/>
          <w:szCs w:val="24"/>
        </w:rPr>
        <w:t>)</w:t>
      </w:r>
    </w:p>
    <w:p w14:paraId="6E97B1F1" w14:textId="1F366D0F"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Taking action to embed cultural safety and address racism in healthcare workforce environments in line with </w:t>
      </w:r>
      <w:r w:rsidR="00411C28" w:rsidRPr="00261C59">
        <w:rPr>
          <w:rFonts w:ascii="Calibri" w:hAnsi="Calibri" w:cs="Calibri"/>
          <w:sz w:val="24"/>
          <w:szCs w:val="24"/>
        </w:rPr>
        <w:t>c</w:t>
      </w:r>
      <w:r w:rsidRPr="00261C59">
        <w:rPr>
          <w:rFonts w:ascii="Calibri" w:hAnsi="Calibri" w:cs="Calibri"/>
          <w:sz w:val="24"/>
          <w:szCs w:val="24"/>
        </w:rPr>
        <w:t>lauses B5</w:t>
      </w:r>
      <w:r w:rsidR="00CB76B9" w:rsidRPr="00261C59">
        <w:rPr>
          <w:rFonts w:ascii="Calibri" w:hAnsi="Calibri" w:cs="Calibri"/>
          <w:sz w:val="24"/>
          <w:szCs w:val="24"/>
        </w:rPr>
        <w:t>9</w:t>
      </w:r>
      <w:r w:rsidR="00411C28" w:rsidRPr="00261C59">
        <w:rPr>
          <w:rFonts w:ascii="Calibri" w:hAnsi="Calibri" w:cs="Calibri"/>
          <w:sz w:val="24"/>
          <w:szCs w:val="24"/>
        </w:rPr>
        <w:t xml:space="preserve"> to </w:t>
      </w:r>
      <w:r w:rsidRPr="00261C59">
        <w:rPr>
          <w:rFonts w:ascii="Calibri" w:hAnsi="Calibri" w:cs="Calibri"/>
          <w:sz w:val="24"/>
          <w:szCs w:val="24"/>
        </w:rPr>
        <w:t>B</w:t>
      </w:r>
      <w:r w:rsidR="00CB76B9" w:rsidRPr="00261C59">
        <w:rPr>
          <w:rFonts w:ascii="Calibri" w:hAnsi="Calibri" w:cs="Calibri"/>
          <w:sz w:val="24"/>
          <w:szCs w:val="24"/>
        </w:rPr>
        <w:t>71</w:t>
      </w:r>
    </w:p>
    <w:p w14:paraId="4C926EA6" w14:textId="2AD013FF"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Co-designing nationally consistent workforce cultural safety measures for inclusion in the </w:t>
      </w:r>
      <w:r w:rsidR="00916132" w:rsidRPr="00261C59">
        <w:rPr>
          <w:rFonts w:ascii="Calibri" w:hAnsi="Calibri" w:cs="Calibri"/>
          <w:sz w:val="24"/>
          <w:szCs w:val="24"/>
        </w:rPr>
        <w:t>p</w:t>
      </w:r>
      <w:r w:rsidRPr="00261C59">
        <w:rPr>
          <w:rFonts w:ascii="Calibri" w:hAnsi="Calibri" w:cs="Calibri"/>
          <w:sz w:val="24"/>
          <w:szCs w:val="24"/>
        </w:rPr>
        <w:t xml:space="preserve">erformance </w:t>
      </w:r>
      <w:r w:rsidR="00916132" w:rsidRPr="00261C59">
        <w:rPr>
          <w:rFonts w:ascii="Calibri" w:hAnsi="Calibri" w:cs="Calibri"/>
          <w:sz w:val="24"/>
          <w:szCs w:val="24"/>
        </w:rPr>
        <w:t>assessment f</w:t>
      </w:r>
      <w:r w:rsidRPr="00261C59">
        <w:rPr>
          <w:rFonts w:ascii="Calibri" w:hAnsi="Calibri" w:cs="Calibri"/>
          <w:sz w:val="24"/>
          <w:szCs w:val="24"/>
        </w:rPr>
        <w:t xml:space="preserve">ramework as outlined in </w:t>
      </w:r>
      <w:r w:rsidR="00411C28" w:rsidRPr="00261C59">
        <w:rPr>
          <w:rFonts w:ascii="Calibri" w:hAnsi="Calibri" w:cs="Calibri"/>
          <w:sz w:val="24"/>
          <w:szCs w:val="24"/>
        </w:rPr>
        <w:t xml:space="preserve">clause </w:t>
      </w:r>
      <w:r w:rsidRPr="00261C59">
        <w:rPr>
          <w:rFonts w:ascii="Calibri" w:hAnsi="Calibri" w:cs="Calibri"/>
          <w:sz w:val="24"/>
          <w:szCs w:val="24"/>
        </w:rPr>
        <w:t>H1</w:t>
      </w:r>
      <w:r w:rsidR="00C77A40" w:rsidRPr="00261C59">
        <w:rPr>
          <w:rFonts w:ascii="Calibri" w:hAnsi="Calibri" w:cs="Calibri"/>
          <w:sz w:val="24"/>
          <w:szCs w:val="24"/>
        </w:rPr>
        <w:t>3</w:t>
      </w:r>
      <w:r w:rsidR="00B61C53">
        <w:rPr>
          <w:rFonts w:ascii="Calibri" w:hAnsi="Calibri" w:cs="Calibri"/>
          <w:sz w:val="24"/>
          <w:szCs w:val="24"/>
        </w:rPr>
        <w:t>.</w:t>
      </w:r>
      <w:r w:rsidRPr="00261C59">
        <w:rPr>
          <w:rFonts w:ascii="Calibri" w:hAnsi="Calibri" w:cs="Calibri"/>
          <w:sz w:val="24"/>
          <w:szCs w:val="24"/>
        </w:rPr>
        <w:t xml:space="preserve"> </w:t>
      </w:r>
    </w:p>
    <w:p w14:paraId="28ABB923" w14:textId="77777777" w:rsidR="00F3185A" w:rsidRPr="00261C59" w:rsidRDefault="00F3185A" w:rsidP="00D11D91">
      <w:pPr>
        <w:keepLines/>
        <w:numPr>
          <w:ilvl w:val="0"/>
          <w:numId w:val="31"/>
        </w:numPr>
        <w:spacing w:after="240" w:line="260" w:lineRule="exact"/>
        <w:jc w:val="left"/>
        <w:rPr>
          <w:rFonts w:ascii="Calibri" w:hAnsi="Calibri"/>
          <w:sz w:val="24"/>
          <w:szCs w:val="24"/>
        </w:rPr>
      </w:pPr>
      <w:r w:rsidRPr="00261C59">
        <w:rPr>
          <w:rFonts w:ascii="Calibri" w:hAnsi="Calibri"/>
          <w:sz w:val="24"/>
          <w:szCs w:val="24"/>
        </w:rPr>
        <w:t>All Parties will work in partnership with Aboriginal and Torres Strait Islander organisations in developing actions to grow, monitor and sustain the Aboriginal and Torres Strait Islander Health Workforce, recognising the role of this specialised workforce in improving outcomes for Aboriginal and Torres Strait Islander people.</w:t>
      </w:r>
    </w:p>
    <w:p w14:paraId="5EEA3D98" w14:textId="77777777" w:rsidR="00F3185A" w:rsidRPr="00261C59" w:rsidRDefault="00F3185A" w:rsidP="004728D9">
      <w:pPr>
        <w:pStyle w:val="Heading2"/>
        <w:rPr>
          <w:rFonts w:ascii="Calibri" w:hAnsi="Calibri"/>
          <w:b w:val="0"/>
        </w:rPr>
      </w:pPr>
      <w:bookmarkStart w:id="747" w:name="_Toc210833683"/>
      <w:bookmarkStart w:id="748" w:name="_Toc221088068"/>
      <w:r w:rsidRPr="00261C59">
        <w:rPr>
          <w:rFonts w:ascii="Corbel" w:hAnsi="Corbel"/>
          <w:color w:val="3D4B67"/>
          <w:sz w:val="28"/>
          <w:szCs w:val="36"/>
        </w:rPr>
        <w:t>Sustainability and training of the health workforce</w:t>
      </w:r>
      <w:bookmarkEnd w:id="747"/>
      <w:bookmarkEnd w:id="748"/>
    </w:p>
    <w:p w14:paraId="5B49CDCE" w14:textId="4B3B2CC2"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All Parties recognise the health workforce needs to be suitably trained, innovative, digitally enabled, adequately resourced and distributed, supported to work to its optimal scope of practice, and responsive to change aligned to service need, place, and context.</w:t>
      </w:r>
    </w:p>
    <w:p w14:paraId="39692CA8" w14:textId="77777777"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Parties will support the health workforce to increase capability and deliver early intervention and prevention activities, including innovative and integrated care models, and evaluate their impacts.</w:t>
      </w:r>
    </w:p>
    <w:p w14:paraId="12E2F430" w14:textId="77777777"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Parties will also seek to:</w:t>
      </w:r>
    </w:p>
    <w:p w14:paraId="27BE9009" w14:textId="0B9BDE4E"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 xml:space="preserve">increase the capacity and capability of the health workforce, including ensuring they are prepared for future health system developments such as increased use of artificial intelligence and genomics </w:t>
      </w:r>
    </w:p>
    <w:p w14:paraId="54A85E65" w14:textId="75AC0071"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strengthen the nation’s preparedness and responsiveness to health emergencies, including through partnerships with Aboriginal Community Controlled Health Organisations (e.g. pandemics, climate-related disasters and extreme weather events)</w:t>
      </w:r>
    </w:p>
    <w:p w14:paraId="5A3A1A36" w14:textId="6299F266"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consistent with work health and safety legislative duties, work together to improve and protect the physical and mental health and wellbeing of the health workforce, in particular during health emergencies by developing a workforce wellbeing consensus statement for endorsement by HMM by December 2027</w:t>
      </w:r>
    </w:p>
    <w:p w14:paraId="020C7B70" w14:textId="506153A7" w:rsidR="00F3185A" w:rsidRPr="00261C59" w:rsidRDefault="00F3185A" w:rsidP="004728D9">
      <w:pPr>
        <w:numPr>
          <w:ilvl w:val="1"/>
          <w:numId w:val="31"/>
        </w:numPr>
        <w:spacing w:after="240" w:line="260" w:lineRule="exact"/>
        <w:jc w:val="left"/>
        <w:rPr>
          <w:rFonts w:ascii="Calibri" w:hAnsi="Calibri" w:cs="Calibri"/>
          <w:sz w:val="24"/>
          <w:szCs w:val="24"/>
        </w:rPr>
      </w:pPr>
      <w:r w:rsidRPr="00261C59">
        <w:rPr>
          <w:rFonts w:ascii="Calibri" w:hAnsi="Calibri" w:cs="Calibri"/>
          <w:sz w:val="24"/>
          <w:szCs w:val="24"/>
        </w:rPr>
        <w:t>support a focus on the intersection between hospital-based and primary care training and identifying training opportunities for junior doctors to develop key skills in general practice primary care, such as the rural generalist pathway.</w:t>
      </w:r>
    </w:p>
    <w:p w14:paraId="33E827CB" w14:textId="7A863B63"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Where initiatives of this schedule relate to the work of</w:t>
      </w:r>
      <w:r w:rsidRPr="00261C59">
        <w:rPr>
          <w:rFonts w:ascii="Calibri" w:hAnsi="Calibri" w:cs="Calibri"/>
          <w:sz w:val="24"/>
          <w:szCs w:val="24"/>
        </w:rPr>
        <w:t xml:space="preserve"> the </w:t>
      </w:r>
      <w:r w:rsidRPr="00261C59">
        <w:rPr>
          <w:rFonts w:ascii="Calibri" w:hAnsi="Calibri"/>
          <w:sz w:val="24"/>
          <w:szCs w:val="24"/>
        </w:rPr>
        <w:t xml:space="preserve">Australian Centre for Disease Control (ACDC), Health Workforce Taskforce will engage with the ACDC. </w:t>
      </w:r>
    </w:p>
    <w:p w14:paraId="6C4B61C0" w14:textId="0AA140E6" w:rsidR="00F3185A" w:rsidRPr="00261C59" w:rsidRDefault="00F3185A" w:rsidP="004728D9">
      <w:pPr>
        <w:numPr>
          <w:ilvl w:val="0"/>
          <w:numId w:val="31"/>
        </w:numPr>
        <w:spacing w:after="240" w:line="260" w:lineRule="exact"/>
        <w:jc w:val="left"/>
        <w:rPr>
          <w:rFonts w:ascii="Calibri" w:hAnsi="Calibri"/>
          <w:sz w:val="24"/>
          <w:szCs w:val="24"/>
        </w:rPr>
      </w:pPr>
      <w:r w:rsidRPr="00261C59">
        <w:rPr>
          <w:rFonts w:ascii="Calibri" w:hAnsi="Calibri"/>
          <w:sz w:val="24"/>
          <w:szCs w:val="24"/>
        </w:rPr>
        <w:t xml:space="preserve">Parties acknowledge the sustainability of the health workforce relies on teaching and training activities. Parties agree better transparency of teaching, training and research funding would support the objectives of this schedule. Improvements in transparency of teaching, training and research funding will occur through commitments described at </w:t>
      </w:r>
      <w:r w:rsidR="008B00B9" w:rsidRPr="00261C59">
        <w:rPr>
          <w:rFonts w:ascii="Calibri" w:hAnsi="Calibri"/>
          <w:sz w:val="24"/>
          <w:szCs w:val="24"/>
        </w:rPr>
        <w:t xml:space="preserve">clauses </w:t>
      </w:r>
      <w:r w:rsidRPr="00261C59">
        <w:rPr>
          <w:rFonts w:ascii="Calibri" w:hAnsi="Calibri"/>
          <w:sz w:val="24"/>
          <w:szCs w:val="24"/>
        </w:rPr>
        <w:t>A7</w:t>
      </w:r>
      <w:r w:rsidR="00C77A40" w:rsidRPr="00261C59">
        <w:rPr>
          <w:rFonts w:ascii="Calibri" w:hAnsi="Calibri"/>
          <w:sz w:val="24"/>
          <w:szCs w:val="24"/>
        </w:rPr>
        <w:t>2</w:t>
      </w:r>
      <w:r w:rsidR="008B00B9" w:rsidRPr="00261C59">
        <w:rPr>
          <w:rFonts w:ascii="Calibri" w:hAnsi="Calibri"/>
          <w:sz w:val="24"/>
          <w:szCs w:val="24"/>
        </w:rPr>
        <w:t>(</w:t>
      </w:r>
      <w:r w:rsidRPr="00261C59">
        <w:rPr>
          <w:rFonts w:ascii="Calibri" w:hAnsi="Calibri"/>
          <w:sz w:val="24"/>
          <w:szCs w:val="24"/>
        </w:rPr>
        <w:t>e</w:t>
      </w:r>
      <w:r w:rsidR="008B00B9" w:rsidRPr="00261C59">
        <w:rPr>
          <w:rFonts w:ascii="Calibri" w:hAnsi="Calibri"/>
          <w:sz w:val="24"/>
          <w:szCs w:val="24"/>
        </w:rPr>
        <w:t>)</w:t>
      </w:r>
      <w:r w:rsidRPr="00261C59">
        <w:rPr>
          <w:rFonts w:ascii="Calibri" w:hAnsi="Calibri"/>
          <w:sz w:val="24"/>
          <w:szCs w:val="24"/>
        </w:rPr>
        <w:t>, A1</w:t>
      </w:r>
      <w:r w:rsidR="00C77A40" w:rsidRPr="00261C59">
        <w:rPr>
          <w:rFonts w:ascii="Calibri" w:hAnsi="Calibri"/>
          <w:sz w:val="24"/>
          <w:szCs w:val="24"/>
        </w:rPr>
        <w:t>32</w:t>
      </w:r>
      <w:r w:rsidRPr="00261C59">
        <w:rPr>
          <w:rFonts w:ascii="Calibri" w:hAnsi="Calibri"/>
          <w:sz w:val="24"/>
          <w:szCs w:val="24"/>
        </w:rPr>
        <w:t>, A1</w:t>
      </w:r>
      <w:r w:rsidR="00C77A40" w:rsidRPr="00261C59">
        <w:rPr>
          <w:rFonts w:ascii="Calibri" w:hAnsi="Calibri"/>
          <w:sz w:val="24"/>
          <w:szCs w:val="24"/>
        </w:rPr>
        <w:t>72</w:t>
      </w:r>
      <w:r w:rsidRPr="00261C59">
        <w:rPr>
          <w:rFonts w:ascii="Calibri" w:hAnsi="Calibri"/>
          <w:sz w:val="24"/>
          <w:szCs w:val="24"/>
        </w:rPr>
        <w:t xml:space="preserve"> and A1</w:t>
      </w:r>
      <w:r w:rsidR="00C77A40" w:rsidRPr="00261C59">
        <w:rPr>
          <w:rFonts w:ascii="Calibri" w:hAnsi="Calibri"/>
          <w:sz w:val="24"/>
          <w:szCs w:val="24"/>
        </w:rPr>
        <w:t>78</w:t>
      </w:r>
      <w:r w:rsidRPr="00261C59">
        <w:rPr>
          <w:rFonts w:ascii="Calibri" w:hAnsi="Calibri"/>
          <w:sz w:val="24"/>
          <w:szCs w:val="24"/>
        </w:rPr>
        <w:t xml:space="preserve">. </w:t>
      </w:r>
    </w:p>
    <w:p w14:paraId="0812B4D9" w14:textId="77777777" w:rsidR="00DD4129" w:rsidRPr="00261C59" w:rsidRDefault="00DD4129"/>
    <w:p w14:paraId="50B0AEF7" w14:textId="77777777" w:rsidR="00F05882" w:rsidRPr="00261C59" w:rsidRDefault="00F05882" w:rsidP="00DD4129">
      <w:pPr>
        <w:spacing w:before="0" w:after="240"/>
        <w:jc w:val="left"/>
        <w:rPr>
          <w:rFonts w:ascii="Calibri" w:hAnsi="Calibri" w:cs="Calibri"/>
          <w:sz w:val="24"/>
          <w:szCs w:val="24"/>
        </w:rPr>
      </w:pPr>
    </w:p>
    <w:p w14:paraId="2535142C" w14:textId="77777777" w:rsidR="00DD4129" w:rsidRPr="00261C59" w:rsidRDefault="00DD4129" w:rsidP="00DD4129">
      <w:pPr>
        <w:spacing w:before="0" w:after="240"/>
        <w:jc w:val="left"/>
        <w:rPr>
          <w:rFonts w:ascii="Calibri" w:hAnsi="Calibri" w:cs="Calibri"/>
          <w:sz w:val="24"/>
          <w:szCs w:val="24"/>
        </w:rPr>
      </w:pPr>
    </w:p>
    <w:p w14:paraId="005398AE" w14:textId="77777777" w:rsidR="00DD4129" w:rsidRPr="00261C59" w:rsidRDefault="00DD4129" w:rsidP="00DD4129">
      <w:pPr>
        <w:spacing w:before="0" w:after="240"/>
        <w:jc w:val="left"/>
        <w:rPr>
          <w:rFonts w:ascii="Calibri" w:hAnsi="Calibri" w:cs="Calibri"/>
          <w:sz w:val="24"/>
          <w:szCs w:val="24"/>
        </w:rPr>
        <w:sectPr w:rsidR="00DD4129" w:rsidRPr="00261C59" w:rsidSect="00975D83">
          <w:pgSz w:w="11906" w:h="16838"/>
          <w:pgMar w:top="1440" w:right="1274" w:bottom="1440" w:left="1134" w:header="708" w:footer="708" w:gutter="0"/>
          <w:cols w:space="708"/>
          <w:docGrid w:linePitch="360"/>
        </w:sectPr>
      </w:pPr>
    </w:p>
    <w:p w14:paraId="1C02B1F3" w14:textId="4D7F32F2" w:rsidR="00C14CFC" w:rsidRPr="00261C59" w:rsidRDefault="6EFACF0E" w:rsidP="002672D5">
      <w:pPr>
        <w:pStyle w:val="Heading1"/>
        <w:keepLines w:val="0"/>
        <w:widowControl/>
        <w:tabs>
          <w:tab w:val="clear" w:pos="567"/>
        </w:tabs>
        <w:adjustRightInd/>
        <w:spacing w:before="120" w:after="180"/>
        <w:jc w:val="left"/>
        <w:textAlignment w:val="auto"/>
        <w:rPr>
          <w:rFonts w:ascii="Consolas" w:eastAsia="Times New Roman" w:hAnsi="Consolas" w:cs="Arial"/>
          <w:b w:val="0"/>
          <w:bCs w:val="0"/>
          <w:caps/>
          <w:color w:val="980033"/>
          <w:kern w:val="32"/>
        </w:rPr>
      </w:pPr>
      <w:bookmarkStart w:id="749" w:name="_Toc210833684"/>
      <w:bookmarkStart w:id="750" w:name="_Toc214456584"/>
      <w:bookmarkStart w:id="751" w:name="_Toc221088069"/>
      <w:bookmarkEnd w:id="708"/>
      <w:r w:rsidRPr="00261C59">
        <w:rPr>
          <w:rFonts w:ascii="Consolas" w:eastAsia="Times New Roman" w:hAnsi="Consolas" w:cs="Arial"/>
          <w:b w:val="0"/>
          <w:bCs w:val="0"/>
          <w:caps/>
          <w:color w:val="980033"/>
          <w:kern w:val="32"/>
        </w:rPr>
        <w:t>SCHEDULE</w:t>
      </w:r>
      <w:r w:rsidR="5564D89A" w:rsidRPr="00261C59">
        <w:rPr>
          <w:rFonts w:ascii="Consolas" w:eastAsia="Times New Roman" w:hAnsi="Consolas" w:cs="Arial"/>
          <w:b w:val="0"/>
          <w:bCs w:val="0"/>
          <w:caps/>
          <w:color w:val="980033"/>
          <w:kern w:val="32"/>
        </w:rPr>
        <w:t xml:space="preserve"> </w:t>
      </w:r>
      <w:r w:rsidR="447F343C" w:rsidRPr="00261C59">
        <w:rPr>
          <w:rFonts w:ascii="Consolas" w:eastAsia="Times New Roman" w:hAnsi="Consolas" w:cs="Arial"/>
          <w:b w:val="0"/>
          <w:bCs w:val="0"/>
          <w:caps/>
          <w:color w:val="980033"/>
          <w:kern w:val="32"/>
        </w:rPr>
        <w:t>H</w:t>
      </w:r>
      <w:r w:rsidR="5564D89A" w:rsidRPr="00261C59">
        <w:rPr>
          <w:rFonts w:ascii="Consolas" w:eastAsia="Times New Roman" w:hAnsi="Consolas" w:cs="Arial"/>
          <w:b w:val="0"/>
          <w:bCs w:val="0"/>
          <w:caps/>
          <w:color w:val="980033"/>
          <w:kern w:val="32"/>
        </w:rPr>
        <w:t xml:space="preserve"> – </w:t>
      </w:r>
      <w:r w:rsidR="43C4914A" w:rsidRPr="00261C59">
        <w:rPr>
          <w:rFonts w:ascii="Consolas" w:eastAsia="Times New Roman" w:hAnsi="Consolas" w:cs="Arial"/>
          <w:b w:val="0"/>
          <w:bCs w:val="0"/>
          <w:caps/>
          <w:color w:val="980033"/>
          <w:kern w:val="32"/>
        </w:rPr>
        <w:t>Performanc</w:t>
      </w:r>
      <w:r w:rsidR="19FFB5F6" w:rsidRPr="00261C59">
        <w:rPr>
          <w:rFonts w:ascii="Consolas" w:eastAsia="Times New Roman" w:hAnsi="Consolas" w:cs="Arial"/>
          <w:b w:val="0"/>
          <w:bCs w:val="0"/>
          <w:caps/>
          <w:color w:val="980033"/>
          <w:kern w:val="32"/>
        </w:rPr>
        <w:t>e</w:t>
      </w:r>
      <w:r w:rsidR="43C4914A" w:rsidRPr="00261C59">
        <w:rPr>
          <w:rFonts w:ascii="Consolas" w:eastAsia="Times New Roman" w:hAnsi="Consolas" w:cs="Arial"/>
          <w:b w:val="0"/>
          <w:bCs w:val="0"/>
          <w:caps/>
          <w:color w:val="980033"/>
          <w:kern w:val="32"/>
        </w:rPr>
        <w:t>, data and digital reforms</w:t>
      </w:r>
      <w:bookmarkEnd w:id="749"/>
      <w:bookmarkEnd w:id="750"/>
      <w:bookmarkEnd w:id="751"/>
    </w:p>
    <w:p w14:paraId="5397C55D" w14:textId="77777777" w:rsidR="001C3E33" w:rsidRPr="00261C59" w:rsidRDefault="001C3E33" w:rsidP="004728D9">
      <w:pPr>
        <w:numPr>
          <w:ilvl w:val="0"/>
          <w:numId w:val="18"/>
        </w:numPr>
        <w:spacing w:after="240" w:line="260" w:lineRule="exact"/>
        <w:jc w:val="left"/>
        <w:rPr>
          <w:rFonts w:ascii="Calibri" w:hAnsi="Calibri" w:cs="Calibri"/>
          <w:sz w:val="24"/>
          <w:szCs w:val="24"/>
        </w:rPr>
      </w:pPr>
      <w:bookmarkStart w:id="752" w:name="_Toc172787743"/>
      <w:bookmarkStart w:id="753" w:name="_Toc173428320"/>
      <w:bookmarkStart w:id="754" w:name="_Toc173937770"/>
      <w:r w:rsidRPr="00261C59">
        <w:rPr>
          <w:rFonts w:ascii="Calibri" w:hAnsi="Calibri" w:cs="Calibri"/>
          <w:sz w:val="24"/>
          <w:szCs w:val="24"/>
        </w:rPr>
        <w:t>This Schedule sets out key enabling activities needed to embed stronger, shared system stewardship of national health reforms and deliver the outcomes Parties have committed to, as articulated in the Preliminaries. It contains three elements: Transparency and performance; National Health Data System; and Digitally enabled healthcare.</w:t>
      </w:r>
    </w:p>
    <w:p w14:paraId="439D7805" w14:textId="58F9CF4E" w:rsidR="00170719" w:rsidRPr="00261C59" w:rsidRDefault="00170719" w:rsidP="00280BA6">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The Schedule set outs out an aspirational and </w:t>
      </w:r>
      <w:r w:rsidR="00045A72" w:rsidRPr="00261C59">
        <w:rPr>
          <w:rFonts w:ascii="Calibri" w:hAnsi="Calibri" w:cs="Calibri"/>
          <w:sz w:val="24"/>
          <w:szCs w:val="24"/>
        </w:rPr>
        <w:t>long-term</w:t>
      </w:r>
      <w:r w:rsidRPr="00261C59">
        <w:rPr>
          <w:rFonts w:ascii="Calibri" w:hAnsi="Calibri" w:cs="Calibri"/>
          <w:sz w:val="24"/>
          <w:szCs w:val="24"/>
        </w:rPr>
        <w:t xml:space="preserve"> reform vision that will extend beyond the life of this Addendum. In outlining the key areas for focussed and cooperative efforts, the Parties recognise that the timing and implementation of reforms may be subject to decisions of governments and jurisdictional budget processes.</w:t>
      </w:r>
    </w:p>
    <w:p w14:paraId="007B657E" w14:textId="3FE7726F" w:rsidR="001C3E33" w:rsidRPr="00261C59" w:rsidRDefault="001C3E33"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The Parties recognise that funding, and workforce capability and capacity are critical dependencies in delivering the reforms contained within this Schedule</w:t>
      </w:r>
      <w:r w:rsidR="00B934E4" w:rsidRPr="00261C59">
        <w:rPr>
          <w:rFonts w:ascii="Calibri" w:hAnsi="Calibri" w:cs="Calibri"/>
          <w:sz w:val="24"/>
          <w:szCs w:val="24"/>
        </w:rPr>
        <w:t>.</w:t>
      </w:r>
    </w:p>
    <w:p w14:paraId="39CA0B94" w14:textId="2BA3DD9F" w:rsidR="00942156" w:rsidRPr="00261C59" w:rsidRDefault="00942156" w:rsidP="002E5D9D">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755" w:name="_Toc210833685"/>
      <w:bookmarkStart w:id="756" w:name="_Toc214456585"/>
      <w:bookmarkStart w:id="757" w:name="_Toc221088070"/>
      <w:r w:rsidRPr="00261C59" w:rsidDel="00C70CDF">
        <w:rPr>
          <w:rFonts w:ascii="Corbel" w:eastAsia="Times New Roman" w:hAnsi="Corbel" w:cs="Arial"/>
          <w:color w:val="3D4B67"/>
          <w:sz w:val="28"/>
          <w:szCs w:val="28"/>
        </w:rPr>
        <w:t>Transparency and performance</w:t>
      </w:r>
      <w:bookmarkEnd w:id="752"/>
      <w:bookmarkEnd w:id="753"/>
      <w:bookmarkEnd w:id="754"/>
      <w:bookmarkEnd w:id="755"/>
      <w:bookmarkEnd w:id="756"/>
      <w:bookmarkEnd w:id="757"/>
    </w:p>
    <w:p w14:paraId="172B057C" w14:textId="37832AEE"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The Parties recognise that regular and ongoing performance assessment is necessary for achieving this Addendum’s vision of a person-centred, equitable, responsive, and financially and environmentally sustainable health system. A new health system performance assessment framework will underpin a shared understanding of how the health and adjacent care systems work together to integrate care and improve outcomes for all Australians.</w:t>
      </w:r>
    </w:p>
    <w:p w14:paraId="687E1BEB" w14:textId="7777777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The Parties define a health system performance assessment framework as a structured and organised way to collect, analyse and present information and provide insight on the performance of the health system. The framework will identify areas needing improvement and support decision-making and resource allocation across the health care and adjacent systems. It will also be used to assess progress of the Addendum in achieving its objectives, in accordance with clause 12 (Preliminaries).</w:t>
      </w:r>
    </w:p>
    <w:p w14:paraId="1F9071B5" w14:textId="5CFACF01"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The Australian Institute of Health and Welfare (AIHW) </w:t>
      </w:r>
      <w:r w:rsidRPr="00261C59" w:rsidDel="00286086">
        <w:rPr>
          <w:rFonts w:ascii="Calibri" w:hAnsi="Calibri" w:cs="Calibri"/>
          <w:sz w:val="24"/>
          <w:szCs w:val="24"/>
        </w:rPr>
        <w:t>will work with the Parties and other key stakeholders to develop</w:t>
      </w:r>
      <w:r w:rsidR="005115CD" w:rsidRPr="00261C59">
        <w:rPr>
          <w:rFonts w:ascii="Calibri" w:hAnsi="Calibri" w:cs="Calibri"/>
          <w:sz w:val="24"/>
          <w:szCs w:val="24"/>
        </w:rPr>
        <w:t xml:space="preserve"> </w:t>
      </w:r>
      <w:r w:rsidRPr="00261C59">
        <w:rPr>
          <w:rFonts w:ascii="Calibri" w:hAnsi="Calibri" w:cs="Calibri"/>
          <w:sz w:val="24"/>
          <w:szCs w:val="24"/>
        </w:rPr>
        <w:t>a new health system performance assessment framework which contemporises and replaces the Australian Health Performance Framework and is informed by international best practice relevant to Australian priorities. The new framework will be the foundation for ongoing NHRA performance reporting and broader health performance reporting in Australia.</w:t>
      </w:r>
    </w:p>
    <w:p w14:paraId="0366FAE8" w14:textId="7F327E8A"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The Parties agree that the </w:t>
      </w:r>
      <w:r w:rsidR="00811F29" w:rsidRPr="00261C59">
        <w:rPr>
          <w:rFonts w:ascii="Calibri" w:hAnsi="Calibri" w:cs="Calibri"/>
          <w:sz w:val="24"/>
          <w:szCs w:val="24"/>
        </w:rPr>
        <w:t>p</w:t>
      </w:r>
      <w:r w:rsidRPr="00261C59">
        <w:rPr>
          <w:rFonts w:ascii="Calibri" w:hAnsi="Calibri" w:cs="Calibri"/>
          <w:sz w:val="24"/>
          <w:szCs w:val="24"/>
        </w:rPr>
        <w:t xml:space="preserve">erformance </w:t>
      </w:r>
      <w:r w:rsidR="00545B16" w:rsidRPr="00261C59">
        <w:rPr>
          <w:rFonts w:ascii="Calibri" w:hAnsi="Calibri" w:cs="Calibri"/>
          <w:sz w:val="24"/>
          <w:szCs w:val="24"/>
        </w:rPr>
        <w:t xml:space="preserve">assessment </w:t>
      </w:r>
      <w:r w:rsidR="00811F29" w:rsidRPr="00261C59">
        <w:rPr>
          <w:rFonts w:ascii="Calibri" w:hAnsi="Calibri" w:cs="Calibri"/>
          <w:sz w:val="24"/>
          <w:szCs w:val="24"/>
        </w:rPr>
        <w:t>f</w:t>
      </w:r>
      <w:r w:rsidRPr="00261C59">
        <w:rPr>
          <w:rFonts w:ascii="Calibri" w:hAnsi="Calibri" w:cs="Calibri"/>
          <w:sz w:val="24"/>
          <w:szCs w:val="24"/>
        </w:rPr>
        <w:t>ramework will be delivered in stages and will evolve over time as data access and sharing improves and digital systems mature.</w:t>
      </w:r>
    </w:p>
    <w:p w14:paraId="20B45B11" w14:textId="32D23CB5" w:rsidR="00942156" w:rsidRPr="00261C59" w:rsidRDefault="00942156" w:rsidP="004728D9">
      <w:pPr>
        <w:keepLines/>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Regular monitoring against a contemporary health system performance assessment framework will increase transparency with clear lines of governance, accountability, and reporting. It will provide timely measurement and actionable information to Health Ministers and other </w:t>
      </w:r>
      <w:r w:rsidR="000B7EA3" w:rsidRPr="00261C59">
        <w:rPr>
          <w:rFonts w:ascii="Calibri" w:hAnsi="Calibri" w:cs="Calibri"/>
          <w:sz w:val="24"/>
          <w:szCs w:val="24"/>
        </w:rPr>
        <w:t xml:space="preserve">key stakeholders with </w:t>
      </w:r>
      <w:r w:rsidRPr="00261C59">
        <w:rPr>
          <w:rFonts w:ascii="Calibri" w:hAnsi="Calibri" w:cs="Calibri"/>
          <w:sz w:val="24"/>
          <w:szCs w:val="24"/>
        </w:rPr>
        <w:t xml:space="preserve">responsibility for </w:t>
      </w:r>
      <w:r w:rsidR="00001C49" w:rsidRPr="00261C59">
        <w:rPr>
          <w:rFonts w:ascii="Calibri" w:hAnsi="Calibri" w:cs="Calibri"/>
          <w:sz w:val="24"/>
          <w:szCs w:val="24"/>
        </w:rPr>
        <w:t xml:space="preserve">enacting </w:t>
      </w:r>
      <w:r w:rsidRPr="00261C59">
        <w:rPr>
          <w:rFonts w:ascii="Calibri" w:hAnsi="Calibri" w:cs="Calibri"/>
          <w:sz w:val="24"/>
          <w:szCs w:val="24"/>
        </w:rPr>
        <w:t xml:space="preserve">change </w:t>
      </w:r>
      <w:r w:rsidR="00001C49" w:rsidRPr="00261C59">
        <w:rPr>
          <w:rFonts w:ascii="Calibri" w:hAnsi="Calibri" w:cs="Calibri"/>
          <w:sz w:val="24"/>
          <w:szCs w:val="24"/>
        </w:rPr>
        <w:t>within and across systems</w:t>
      </w:r>
      <w:r w:rsidRPr="00261C59">
        <w:rPr>
          <w:rFonts w:ascii="Calibri" w:hAnsi="Calibri" w:cs="Calibri"/>
          <w:sz w:val="24"/>
          <w:szCs w:val="24"/>
        </w:rPr>
        <w:t>. It will enable governments to take a more active approach to improving services and system management in collaboration with sector leaders. Implementation of the framework will also support broader improvements in access and consistency of health systems performance data.</w:t>
      </w:r>
    </w:p>
    <w:p w14:paraId="42166B46" w14:textId="77777777" w:rsidR="00942156" w:rsidRPr="00261C59" w:rsidRDefault="00942156" w:rsidP="004728D9">
      <w:pPr>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Measures of governments’ progress towards improving access, health outcomes and equity for Aboriginal and Torres Strait Islander people will be co-designed in partnership with Aboriginal and Torres Strait Islander stakeholders outlined in Schedule B.</w:t>
      </w:r>
    </w:p>
    <w:p w14:paraId="711E3CEF" w14:textId="6048F0D9"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The </w:t>
      </w:r>
      <w:r w:rsidR="00060699" w:rsidRPr="00261C59">
        <w:rPr>
          <w:rFonts w:ascii="Calibri" w:hAnsi="Calibri" w:cs="Calibri"/>
          <w:sz w:val="24"/>
          <w:szCs w:val="24"/>
        </w:rPr>
        <w:t xml:space="preserve">health system </w:t>
      </w:r>
      <w:r w:rsidRPr="00261C59">
        <w:rPr>
          <w:rFonts w:ascii="Calibri" w:hAnsi="Calibri" w:cs="Calibri"/>
          <w:sz w:val="24"/>
          <w:szCs w:val="24"/>
        </w:rPr>
        <w:t xml:space="preserve">performance </w:t>
      </w:r>
      <w:r w:rsidR="00060699" w:rsidRPr="00261C59">
        <w:rPr>
          <w:rFonts w:ascii="Calibri" w:hAnsi="Calibri" w:cs="Calibri"/>
          <w:sz w:val="24"/>
          <w:szCs w:val="24"/>
        </w:rPr>
        <w:t xml:space="preserve">assessment </w:t>
      </w:r>
      <w:r w:rsidRPr="00261C59">
        <w:rPr>
          <w:rFonts w:ascii="Calibri" w:hAnsi="Calibri" w:cs="Calibri"/>
          <w:sz w:val="24"/>
          <w:szCs w:val="24"/>
        </w:rPr>
        <w:t>framework will:</w:t>
      </w:r>
      <w:r w:rsidR="00AB5DA8" w:rsidRPr="00261C59">
        <w:rPr>
          <w:rFonts w:ascii="Calibri" w:hAnsi="Calibri" w:cs="Calibri"/>
          <w:sz w:val="24"/>
          <w:szCs w:val="24"/>
        </w:rPr>
        <w:t xml:space="preserve"> </w:t>
      </w:r>
    </w:p>
    <w:p w14:paraId="30149B3B" w14:textId="25B0D1C7" w:rsidR="00942156" w:rsidRPr="00261C59" w:rsidRDefault="00942156" w:rsidP="004728D9">
      <w:pPr>
        <w:numPr>
          <w:ilvl w:val="1"/>
          <w:numId w:val="165"/>
        </w:numPr>
        <w:spacing w:after="240" w:line="260" w:lineRule="exact"/>
        <w:jc w:val="left"/>
        <w:rPr>
          <w:rFonts w:ascii="Calibri" w:hAnsi="Calibri"/>
          <w:sz w:val="24"/>
          <w:szCs w:val="24"/>
        </w:rPr>
      </w:pPr>
      <w:r w:rsidRPr="00261C59">
        <w:rPr>
          <w:rFonts w:ascii="Calibri" w:hAnsi="Calibri"/>
          <w:sz w:val="24"/>
          <w:szCs w:val="24"/>
        </w:rPr>
        <w:t xml:space="preserve">monitor the whole health system </w:t>
      </w:r>
      <w:r w:rsidR="0069549E" w:rsidRPr="00261C59">
        <w:rPr>
          <w:rFonts w:ascii="Calibri" w:hAnsi="Calibri"/>
          <w:sz w:val="24"/>
          <w:szCs w:val="24"/>
        </w:rPr>
        <w:t xml:space="preserve">by providing a common set of domains and a structured process to support systematic assessment of overall performance. This includes </w:t>
      </w:r>
      <w:r w:rsidRPr="00261C59">
        <w:rPr>
          <w:rFonts w:ascii="Calibri" w:hAnsi="Calibri"/>
          <w:sz w:val="24"/>
          <w:szCs w:val="24"/>
        </w:rPr>
        <w:t>prevention, primary, secondary, and tertiary services</w:t>
      </w:r>
      <w:r w:rsidR="001A625D" w:rsidRPr="00261C59">
        <w:rPr>
          <w:rFonts w:ascii="Calibri" w:hAnsi="Calibri"/>
          <w:sz w:val="24"/>
          <w:szCs w:val="24"/>
        </w:rPr>
        <w:t>, programs, strategies and agreements across</w:t>
      </w:r>
      <w:r w:rsidRPr="00261C59">
        <w:rPr>
          <w:rFonts w:ascii="Calibri" w:hAnsi="Calibri"/>
          <w:sz w:val="24"/>
          <w:szCs w:val="24"/>
        </w:rPr>
        <w:t xml:space="preserve"> public, private and community settings </w:t>
      </w:r>
    </w:p>
    <w:p w14:paraId="2193EA65" w14:textId="0B6C9038" w:rsidR="00942156" w:rsidRPr="00261C59" w:rsidRDefault="00942156" w:rsidP="004728D9">
      <w:pPr>
        <w:numPr>
          <w:ilvl w:val="1"/>
          <w:numId w:val="165"/>
        </w:numPr>
        <w:spacing w:after="240" w:line="260" w:lineRule="exact"/>
        <w:jc w:val="left"/>
        <w:rPr>
          <w:rFonts w:ascii="Calibri" w:hAnsi="Calibri"/>
          <w:sz w:val="24"/>
          <w:szCs w:val="24"/>
        </w:rPr>
      </w:pPr>
      <w:r w:rsidRPr="00261C59">
        <w:rPr>
          <w:rFonts w:ascii="Calibri" w:hAnsi="Calibri"/>
          <w:sz w:val="24"/>
          <w:szCs w:val="24"/>
        </w:rPr>
        <w:t>measure how effectively all elements of the health and adjacent care systems work together and inform policy to improve patient outcomes</w:t>
      </w:r>
    </w:p>
    <w:p w14:paraId="4293F4DD" w14:textId="5EE56E69" w:rsidR="00942156" w:rsidRPr="00261C59" w:rsidRDefault="00942156" w:rsidP="004728D9">
      <w:pPr>
        <w:numPr>
          <w:ilvl w:val="1"/>
          <w:numId w:val="165"/>
        </w:numPr>
        <w:spacing w:after="240" w:line="260" w:lineRule="exact"/>
        <w:jc w:val="left"/>
        <w:rPr>
          <w:rFonts w:ascii="Calibri" w:hAnsi="Calibri"/>
          <w:sz w:val="24"/>
          <w:szCs w:val="24"/>
        </w:rPr>
      </w:pPr>
      <w:r w:rsidRPr="00261C59">
        <w:rPr>
          <w:rFonts w:ascii="Calibri" w:hAnsi="Calibri"/>
          <w:sz w:val="24"/>
          <w:szCs w:val="24"/>
        </w:rPr>
        <w:t>support mutual understanding of emerging pressures and the capacity of the system to respond to these pressures</w:t>
      </w:r>
      <w:r w:rsidR="00C013D8" w:rsidRPr="00261C59">
        <w:rPr>
          <w:rFonts w:ascii="Calibri" w:hAnsi="Calibri"/>
          <w:sz w:val="24"/>
          <w:szCs w:val="24"/>
        </w:rPr>
        <w:t>, including to progress towards a net-zero, climate-resilient health system</w:t>
      </w:r>
    </w:p>
    <w:p w14:paraId="5CEE71C2" w14:textId="22C9A995" w:rsidR="00942156" w:rsidRPr="00261C59" w:rsidRDefault="001A625D" w:rsidP="004728D9">
      <w:pPr>
        <w:numPr>
          <w:ilvl w:val="1"/>
          <w:numId w:val="165"/>
        </w:numPr>
        <w:spacing w:after="240" w:line="260" w:lineRule="exact"/>
        <w:jc w:val="left"/>
        <w:rPr>
          <w:rFonts w:ascii="Calibri" w:hAnsi="Calibri"/>
          <w:sz w:val="24"/>
          <w:szCs w:val="24"/>
        </w:rPr>
      </w:pPr>
      <w:r w:rsidRPr="00261C59">
        <w:rPr>
          <w:rFonts w:ascii="Calibri" w:hAnsi="Calibri"/>
          <w:sz w:val="24"/>
          <w:szCs w:val="24"/>
        </w:rPr>
        <w:t xml:space="preserve">specifically </w:t>
      </w:r>
      <w:r w:rsidR="00942156" w:rsidRPr="00261C59">
        <w:rPr>
          <w:rFonts w:ascii="Calibri" w:hAnsi="Calibri"/>
          <w:sz w:val="24"/>
          <w:szCs w:val="24"/>
        </w:rPr>
        <w:t>monitor progress against the objectives of this Addendum including its outcome</w:t>
      </w:r>
      <w:r w:rsidR="002D039D" w:rsidRPr="00261C59">
        <w:rPr>
          <w:rFonts w:ascii="Calibri" w:hAnsi="Calibri"/>
          <w:sz w:val="24"/>
          <w:szCs w:val="24"/>
        </w:rPr>
        <w:t>s</w:t>
      </w:r>
      <w:r w:rsidRPr="00261C59">
        <w:rPr>
          <w:rFonts w:ascii="Calibri" w:hAnsi="Calibri"/>
          <w:sz w:val="24"/>
          <w:szCs w:val="24"/>
        </w:rPr>
        <w:t>,</w:t>
      </w:r>
      <w:r w:rsidR="002D039D" w:rsidRPr="00261C59">
        <w:rPr>
          <w:rFonts w:ascii="Calibri" w:hAnsi="Calibri"/>
          <w:sz w:val="24"/>
          <w:szCs w:val="24"/>
        </w:rPr>
        <w:t xml:space="preserve"> focussed on</w:t>
      </w:r>
      <w:r w:rsidR="00942156" w:rsidRPr="00261C59">
        <w:rPr>
          <w:rFonts w:ascii="Calibri" w:hAnsi="Calibri"/>
          <w:sz w:val="24"/>
          <w:szCs w:val="24"/>
        </w:rPr>
        <w:t xml:space="preserve"> appropriate care, quality care, equitable access and health outcomes, value and governance (refer Preliminaries </w:t>
      </w:r>
      <w:r w:rsidR="002E260F" w:rsidRPr="00261C59">
        <w:rPr>
          <w:rFonts w:ascii="Calibri" w:hAnsi="Calibri"/>
          <w:sz w:val="24"/>
          <w:szCs w:val="24"/>
        </w:rPr>
        <w:t>c</w:t>
      </w:r>
      <w:r w:rsidR="00942156" w:rsidRPr="00261C59">
        <w:rPr>
          <w:rFonts w:ascii="Calibri" w:hAnsi="Calibri"/>
          <w:sz w:val="24"/>
          <w:szCs w:val="24"/>
        </w:rPr>
        <w:t>lause 12),</w:t>
      </w:r>
      <w:r w:rsidR="00942156" w:rsidRPr="00261C59">
        <w:rPr>
          <w:rFonts w:ascii="Calibri" w:hAnsi="Calibri" w:cs="Calibri"/>
        </w:rPr>
        <w:t xml:space="preserve"> </w:t>
      </w:r>
      <w:r w:rsidR="00942156" w:rsidRPr="00261C59">
        <w:rPr>
          <w:rFonts w:ascii="Calibri" w:hAnsi="Calibri"/>
          <w:sz w:val="24"/>
          <w:szCs w:val="24"/>
        </w:rPr>
        <w:t>and have a stronger focus on enabling domains, such as workforce</w:t>
      </w:r>
    </w:p>
    <w:p w14:paraId="428F0A1A" w14:textId="2D7B8123" w:rsidR="00942156" w:rsidRPr="00261C59" w:rsidRDefault="00942156" w:rsidP="004728D9">
      <w:pPr>
        <w:numPr>
          <w:ilvl w:val="1"/>
          <w:numId w:val="165"/>
        </w:numPr>
        <w:spacing w:after="240" w:line="260" w:lineRule="exact"/>
        <w:jc w:val="left"/>
        <w:rPr>
          <w:rFonts w:ascii="Calibri" w:hAnsi="Calibri"/>
          <w:sz w:val="24"/>
          <w:szCs w:val="24"/>
        </w:rPr>
      </w:pPr>
      <w:r w:rsidRPr="00261C59">
        <w:rPr>
          <w:rFonts w:ascii="Calibri" w:hAnsi="Calibri"/>
          <w:sz w:val="24"/>
          <w:szCs w:val="24"/>
        </w:rPr>
        <w:t>disaggregate performance reporting and insights by geographical area and for priority population groups where appropriate, including but not limited to Aboriginal and Torres Strait Islander people,</w:t>
      </w:r>
      <w:r w:rsidR="00E7398C" w:rsidRPr="00261C59">
        <w:rPr>
          <w:rFonts w:ascii="Calibri" w:hAnsi="Calibri"/>
          <w:sz w:val="24"/>
          <w:szCs w:val="24"/>
        </w:rPr>
        <w:t xml:space="preserve"> </w:t>
      </w:r>
      <w:r w:rsidRPr="00261C59">
        <w:rPr>
          <w:rFonts w:ascii="Calibri" w:hAnsi="Calibri"/>
          <w:sz w:val="24"/>
          <w:szCs w:val="24"/>
        </w:rPr>
        <w:t>women</w:t>
      </w:r>
      <w:r w:rsidR="00E7398C" w:rsidRPr="00261C59">
        <w:rPr>
          <w:rFonts w:ascii="Calibri" w:hAnsi="Calibri"/>
          <w:sz w:val="24"/>
          <w:szCs w:val="24"/>
        </w:rPr>
        <w:t xml:space="preserve"> and gender diverse people</w:t>
      </w:r>
      <w:r w:rsidRPr="00261C59">
        <w:rPr>
          <w:rFonts w:ascii="Calibri" w:hAnsi="Calibri"/>
          <w:sz w:val="24"/>
          <w:szCs w:val="24"/>
        </w:rPr>
        <w:t>, people living with disability, and culturally and linguistically diverse communities. Analyses will consider contextual factors, including social and environmental determinants of health</w:t>
      </w:r>
    </w:p>
    <w:p w14:paraId="04834D22" w14:textId="7615E48B" w:rsidR="00942156" w:rsidRPr="00261C59" w:rsidRDefault="00942156" w:rsidP="004728D9">
      <w:pPr>
        <w:numPr>
          <w:ilvl w:val="1"/>
          <w:numId w:val="165"/>
        </w:numPr>
        <w:spacing w:after="240" w:line="260" w:lineRule="exact"/>
        <w:jc w:val="left"/>
        <w:rPr>
          <w:rFonts w:ascii="Calibri" w:hAnsi="Calibri"/>
          <w:sz w:val="24"/>
          <w:szCs w:val="24"/>
        </w:rPr>
      </w:pPr>
      <w:r w:rsidRPr="00261C59">
        <w:rPr>
          <w:rFonts w:ascii="Calibri" w:hAnsi="Calibri"/>
          <w:sz w:val="24"/>
          <w:szCs w:val="24"/>
        </w:rPr>
        <w:t>support navigation to a curated collection of existing health system information, reports, frameworks and indicator data. A quality assurance process as part of the review (clause H15(b)) will support a broad range of users to discover and access these resources more easily and make the information more influential. The review will be informed by the data management and stewardship principles of findability, accessibility, interoperability, reuse of digital assets and governance of Indigenous data</w:t>
      </w:r>
    </w:p>
    <w:p w14:paraId="3C32C1FB" w14:textId="77777777" w:rsidR="00942156" w:rsidRPr="00261C59" w:rsidRDefault="00942156" w:rsidP="004728D9">
      <w:pPr>
        <w:numPr>
          <w:ilvl w:val="1"/>
          <w:numId w:val="165"/>
        </w:numPr>
        <w:spacing w:after="240" w:line="260" w:lineRule="exact"/>
        <w:jc w:val="left"/>
        <w:rPr>
          <w:rFonts w:ascii="Calibri" w:hAnsi="Calibri"/>
          <w:sz w:val="24"/>
          <w:szCs w:val="24"/>
        </w:rPr>
      </w:pPr>
      <w:r w:rsidRPr="00261C59">
        <w:rPr>
          <w:rFonts w:ascii="Calibri" w:hAnsi="Calibri"/>
          <w:sz w:val="24"/>
          <w:szCs w:val="24"/>
        </w:rPr>
        <w:t>support continuous quality improvement through stakeholder input and an ongoing cycle of monitoring, evaluating, and updating arrangements for system performance data development, collection, analysis, interpretation and reporting.</w:t>
      </w:r>
    </w:p>
    <w:p w14:paraId="02488F9B" w14:textId="19839EFE" w:rsidR="00942156" w:rsidRPr="00261C59" w:rsidRDefault="00942156" w:rsidP="004728D9">
      <w:pPr>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In implementing the performance </w:t>
      </w:r>
      <w:r w:rsidR="00B571B2" w:rsidRPr="00261C59">
        <w:rPr>
          <w:rFonts w:ascii="Calibri" w:hAnsi="Calibri" w:cs="Calibri"/>
          <w:sz w:val="24"/>
          <w:szCs w:val="24"/>
        </w:rPr>
        <w:t xml:space="preserve">assessment </w:t>
      </w:r>
      <w:r w:rsidRPr="00261C59">
        <w:rPr>
          <w:rFonts w:ascii="Calibri" w:hAnsi="Calibri" w:cs="Calibri"/>
          <w:sz w:val="24"/>
          <w:szCs w:val="24"/>
        </w:rPr>
        <w:t>framework, the Parties will minimise duplication of effort and burden on data providers by:</w:t>
      </w:r>
    </w:p>
    <w:p w14:paraId="34B9E37C" w14:textId="40ED979D" w:rsidR="00942156" w:rsidRPr="00261C59" w:rsidRDefault="00942156" w:rsidP="004728D9">
      <w:pPr>
        <w:numPr>
          <w:ilvl w:val="1"/>
          <w:numId w:val="166"/>
        </w:numPr>
        <w:spacing w:after="240" w:line="260" w:lineRule="exact"/>
        <w:jc w:val="left"/>
        <w:rPr>
          <w:rFonts w:ascii="Calibri" w:hAnsi="Calibri" w:cs="Calibri"/>
          <w:sz w:val="24"/>
          <w:szCs w:val="24"/>
        </w:rPr>
      </w:pPr>
      <w:r w:rsidRPr="00261C59">
        <w:rPr>
          <w:rFonts w:ascii="Calibri" w:hAnsi="Calibri" w:cs="Calibri"/>
          <w:sz w:val="24"/>
          <w:szCs w:val="24"/>
        </w:rPr>
        <w:t xml:space="preserve">building on Australia’s long history of health system performance reporting and wealth of established data and information </w:t>
      </w:r>
    </w:p>
    <w:p w14:paraId="5A58CC09" w14:textId="75DE4A42" w:rsidR="00942156" w:rsidRPr="00261C59" w:rsidRDefault="00942156" w:rsidP="004728D9">
      <w:pPr>
        <w:numPr>
          <w:ilvl w:val="1"/>
          <w:numId w:val="166"/>
        </w:numPr>
        <w:spacing w:after="240" w:line="260" w:lineRule="exact"/>
        <w:jc w:val="left"/>
        <w:rPr>
          <w:rFonts w:ascii="Calibri" w:hAnsi="Calibri" w:cs="Calibri"/>
          <w:sz w:val="24"/>
          <w:szCs w:val="24"/>
        </w:rPr>
      </w:pPr>
      <w:r w:rsidRPr="00261C59">
        <w:rPr>
          <w:rFonts w:ascii="Calibri" w:hAnsi="Calibri" w:cs="Calibri"/>
          <w:sz w:val="24"/>
          <w:szCs w:val="24"/>
        </w:rPr>
        <w:t>ensuring the national framework complements effective existing performance reporting arrangements where they are fit for purpose</w:t>
      </w:r>
    </w:p>
    <w:p w14:paraId="1B986AC2" w14:textId="6BD3B937" w:rsidR="00942156" w:rsidRPr="00261C59" w:rsidRDefault="00942156" w:rsidP="004728D9">
      <w:pPr>
        <w:numPr>
          <w:ilvl w:val="1"/>
          <w:numId w:val="166"/>
        </w:numPr>
        <w:spacing w:after="240" w:line="260" w:lineRule="exact"/>
        <w:jc w:val="left"/>
        <w:rPr>
          <w:rFonts w:ascii="Calibri" w:hAnsi="Calibri" w:cs="Calibri"/>
          <w:sz w:val="24"/>
          <w:szCs w:val="24"/>
        </w:rPr>
      </w:pPr>
      <w:r w:rsidRPr="00261C59">
        <w:rPr>
          <w:rFonts w:ascii="Calibri" w:hAnsi="Calibri" w:cs="Calibri"/>
          <w:sz w:val="24"/>
          <w:szCs w:val="24"/>
        </w:rPr>
        <w:t xml:space="preserve">rationalising parallel indicator and performance reporting obligations </w:t>
      </w:r>
    </w:p>
    <w:p w14:paraId="4144671F" w14:textId="7CC64C7B" w:rsidR="00942156" w:rsidRPr="00261C59" w:rsidRDefault="00942156" w:rsidP="004728D9">
      <w:pPr>
        <w:numPr>
          <w:ilvl w:val="1"/>
          <w:numId w:val="166"/>
        </w:numPr>
        <w:spacing w:after="240" w:line="260" w:lineRule="exact"/>
        <w:jc w:val="left"/>
        <w:rPr>
          <w:rFonts w:ascii="Calibri" w:hAnsi="Calibri" w:cs="Calibri"/>
          <w:sz w:val="24"/>
          <w:szCs w:val="24"/>
        </w:rPr>
      </w:pPr>
      <w:r w:rsidRPr="00261C59">
        <w:rPr>
          <w:rFonts w:ascii="Calibri" w:hAnsi="Calibri" w:cs="Calibri"/>
          <w:sz w:val="24"/>
          <w:szCs w:val="24"/>
        </w:rPr>
        <w:t>balancing demands for timely data with the costs of collection for each intended use</w:t>
      </w:r>
    </w:p>
    <w:p w14:paraId="7834F783" w14:textId="5E71050A" w:rsidR="00942156" w:rsidRPr="00261C59" w:rsidRDefault="00942156" w:rsidP="004728D9">
      <w:pPr>
        <w:numPr>
          <w:ilvl w:val="1"/>
          <w:numId w:val="166"/>
        </w:numPr>
        <w:spacing w:after="240" w:line="260" w:lineRule="exact"/>
        <w:jc w:val="left"/>
        <w:rPr>
          <w:rFonts w:ascii="Calibri" w:hAnsi="Calibri" w:cs="Calibri"/>
          <w:sz w:val="24"/>
          <w:szCs w:val="24"/>
        </w:rPr>
      </w:pPr>
      <w:r w:rsidRPr="00261C59">
        <w:rPr>
          <w:rFonts w:ascii="Calibri" w:hAnsi="Calibri" w:cs="Calibri"/>
          <w:sz w:val="24"/>
          <w:szCs w:val="24"/>
        </w:rPr>
        <w:t>considering the relative importance of indicators and other ways to gain insights to inform policy action</w:t>
      </w:r>
    </w:p>
    <w:p w14:paraId="230841F8" w14:textId="30DB424D" w:rsidR="00942156" w:rsidRPr="00261C59" w:rsidRDefault="00942156" w:rsidP="004728D9">
      <w:pPr>
        <w:widowControl/>
        <w:numPr>
          <w:ilvl w:val="1"/>
          <w:numId w:val="166"/>
        </w:numPr>
        <w:spacing w:after="240" w:line="260" w:lineRule="exact"/>
        <w:jc w:val="left"/>
        <w:rPr>
          <w:rFonts w:ascii="Calibri" w:hAnsi="Calibri" w:cs="Calibri"/>
          <w:sz w:val="24"/>
          <w:szCs w:val="24"/>
        </w:rPr>
      </w:pPr>
      <w:r w:rsidRPr="00261C59">
        <w:rPr>
          <w:rFonts w:ascii="Calibri" w:hAnsi="Calibri" w:cs="Calibri"/>
          <w:sz w:val="24"/>
          <w:szCs w:val="24"/>
        </w:rPr>
        <w:t>increasing the efficiency, quality, timeliness and accessibility of health system data and performance reporting through the development and use of digital technologies, where appropriate</w:t>
      </w:r>
    </w:p>
    <w:p w14:paraId="0ED797CB" w14:textId="77777777" w:rsidR="00942156" w:rsidRPr="00261C59" w:rsidRDefault="00942156" w:rsidP="004728D9">
      <w:pPr>
        <w:numPr>
          <w:ilvl w:val="1"/>
          <w:numId w:val="166"/>
        </w:numPr>
        <w:spacing w:after="240" w:line="260" w:lineRule="exact"/>
        <w:jc w:val="left"/>
        <w:rPr>
          <w:rFonts w:ascii="Calibri" w:hAnsi="Calibri" w:cs="Calibri"/>
          <w:sz w:val="24"/>
          <w:szCs w:val="24"/>
        </w:rPr>
      </w:pPr>
      <w:r w:rsidRPr="00261C59">
        <w:rPr>
          <w:rFonts w:ascii="Calibri" w:hAnsi="Calibri" w:cs="Calibri"/>
          <w:sz w:val="24"/>
          <w:szCs w:val="24"/>
        </w:rPr>
        <w:t>ensuring outcome domains and performance measures are nationally consistent, able to provide valid comparisons, and are fit for purpose.</w:t>
      </w:r>
    </w:p>
    <w:p w14:paraId="7FE71245" w14:textId="77777777" w:rsidR="00942156" w:rsidRPr="00261C59" w:rsidRDefault="00942156" w:rsidP="004728D9">
      <w:pPr>
        <w:numPr>
          <w:ilvl w:val="0"/>
          <w:numId w:val="18"/>
        </w:numPr>
        <w:spacing w:after="240" w:line="260" w:lineRule="exact"/>
        <w:jc w:val="left"/>
        <w:rPr>
          <w:rFonts w:ascii="Calibri" w:hAnsi="Calibri"/>
          <w:sz w:val="24"/>
          <w:szCs w:val="24"/>
        </w:rPr>
      </w:pPr>
      <w:r w:rsidRPr="00261C59">
        <w:rPr>
          <w:rFonts w:ascii="Calibri" w:hAnsi="Calibri" w:cs="Calibri"/>
          <w:sz w:val="24"/>
          <w:szCs w:val="24"/>
        </w:rPr>
        <w:t xml:space="preserve">The Parties agree to develop indicators and reporting for performance priorities identified by Health Ministers. Parties agree initial priorities should include: </w:t>
      </w:r>
    </w:p>
    <w:p w14:paraId="5EB4E4DD" w14:textId="668B4C80" w:rsidR="00942156" w:rsidRPr="00261C59" w:rsidRDefault="00942156" w:rsidP="004728D9">
      <w:pPr>
        <w:numPr>
          <w:ilvl w:val="1"/>
          <w:numId w:val="167"/>
        </w:numPr>
        <w:spacing w:after="240" w:line="260" w:lineRule="exact"/>
        <w:jc w:val="left"/>
        <w:rPr>
          <w:rFonts w:ascii="Calibri" w:hAnsi="Calibri"/>
          <w:sz w:val="24"/>
          <w:szCs w:val="24"/>
        </w:rPr>
      </w:pPr>
      <w:r w:rsidRPr="00261C59">
        <w:rPr>
          <w:rFonts w:ascii="Calibri" w:hAnsi="Calibri"/>
          <w:sz w:val="24"/>
          <w:szCs w:val="24"/>
        </w:rPr>
        <w:t xml:space="preserve">Aboriginal and Torres Strait Islander people’s experiences, including cultural safety and racism </w:t>
      </w:r>
    </w:p>
    <w:p w14:paraId="5CBCDF9B" w14:textId="0902C41D" w:rsidR="00942156" w:rsidRPr="00261C59" w:rsidRDefault="00942156" w:rsidP="004728D9">
      <w:pPr>
        <w:numPr>
          <w:ilvl w:val="1"/>
          <w:numId w:val="167"/>
        </w:numPr>
        <w:spacing w:after="240" w:line="260" w:lineRule="exact"/>
        <w:jc w:val="left"/>
        <w:rPr>
          <w:rFonts w:ascii="Calibri" w:hAnsi="Calibri"/>
          <w:sz w:val="24"/>
          <w:szCs w:val="24"/>
        </w:rPr>
      </w:pPr>
      <w:r w:rsidRPr="00261C59">
        <w:rPr>
          <w:rFonts w:ascii="Calibri" w:hAnsi="Calibri"/>
          <w:sz w:val="24"/>
          <w:szCs w:val="24"/>
        </w:rPr>
        <w:t>preventive health</w:t>
      </w:r>
    </w:p>
    <w:p w14:paraId="54DB17AC" w14:textId="4A2A3871" w:rsidR="00942156" w:rsidRPr="00261C59" w:rsidRDefault="00942156" w:rsidP="004728D9">
      <w:pPr>
        <w:numPr>
          <w:ilvl w:val="1"/>
          <w:numId w:val="167"/>
        </w:numPr>
        <w:spacing w:after="240" w:line="260" w:lineRule="exact"/>
        <w:jc w:val="left"/>
        <w:rPr>
          <w:rFonts w:ascii="Calibri" w:hAnsi="Calibri"/>
          <w:sz w:val="24"/>
          <w:szCs w:val="24"/>
        </w:rPr>
      </w:pPr>
      <w:r w:rsidRPr="00261C59">
        <w:rPr>
          <w:rFonts w:ascii="Calibri" w:hAnsi="Calibri"/>
          <w:sz w:val="24"/>
          <w:szCs w:val="24"/>
        </w:rPr>
        <w:t>long-stay patients in hospitals</w:t>
      </w:r>
    </w:p>
    <w:p w14:paraId="7427FD92" w14:textId="50C431D3" w:rsidR="00942156" w:rsidRPr="00261C59" w:rsidRDefault="00942156" w:rsidP="004728D9">
      <w:pPr>
        <w:keepNext/>
        <w:numPr>
          <w:ilvl w:val="1"/>
          <w:numId w:val="167"/>
        </w:numPr>
        <w:spacing w:after="240" w:line="260" w:lineRule="exact"/>
        <w:jc w:val="left"/>
        <w:rPr>
          <w:rFonts w:ascii="Calibri" w:hAnsi="Calibri"/>
          <w:sz w:val="24"/>
          <w:szCs w:val="24"/>
        </w:rPr>
      </w:pPr>
      <w:r w:rsidRPr="00261C59">
        <w:rPr>
          <w:rFonts w:ascii="Calibri" w:hAnsi="Calibri"/>
          <w:sz w:val="24"/>
          <w:szCs w:val="24"/>
        </w:rPr>
        <w:t>system performance at the acute, primary, aged and disability care interfaces</w:t>
      </w:r>
    </w:p>
    <w:p w14:paraId="3D37ACF2" w14:textId="11B83F47" w:rsidR="00942156" w:rsidRPr="00261C59" w:rsidRDefault="00942156" w:rsidP="004728D9">
      <w:pPr>
        <w:keepNext/>
        <w:numPr>
          <w:ilvl w:val="1"/>
          <w:numId w:val="167"/>
        </w:numPr>
        <w:spacing w:after="240" w:line="260" w:lineRule="exact"/>
        <w:jc w:val="left"/>
        <w:rPr>
          <w:rFonts w:ascii="Calibri" w:hAnsi="Calibri"/>
          <w:sz w:val="24"/>
          <w:szCs w:val="24"/>
        </w:rPr>
      </w:pPr>
      <w:r w:rsidRPr="00261C59">
        <w:rPr>
          <w:rFonts w:ascii="Calibri" w:hAnsi="Calibri"/>
          <w:sz w:val="24"/>
          <w:szCs w:val="24"/>
        </w:rPr>
        <w:t>patient reported outcomes and experiences</w:t>
      </w:r>
    </w:p>
    <w:p w14:paraId="1BF290C4" w14:textId="77777777" w:rsidR="00942156" w:rsidRPr="00261C59" w:rsidRDefault="00942156" w:rsidP="004728D9">
      <w:pPr>
        <w:keepNext/>
        <w:numPr>
          <w:ilvl w:val="1"/>
          <w:numId w:val="167"/>
        </w:numPr>
        <w:spacing w:after="240" w:line="260" w:lineRule="exact"/>
        <w:jc w:val="left"/>
        <w:rPr>
          <w:rFonts w:ascii="Calibri" w:hAnsi="Calibri"/>
          <w:sz w:val="24"/>
          <w:szCs w:val="24"/>
        </w:rPr>
      </w:pPr>
      <w:r w:rsidRPr="00261C59">
        <w:rPr>
          <w:rFonts w:ascii="Calibri" w:hAnsi="Calibri"/>
          <w:sz w:val="24"/>
          <w:szCs w:val="24"/>
        </w:rPr>
        <w:t>levels of unmet need.</w:t>
      </w:r>
    </w:p>
    <w:p w14:paraId="43A8624E" w14:textId="597322DD" w:rsidR="00942156" w:rsidRPr="00261C59" w:rsidRDefault="00942156" w:rsidP="004728D9">
      <w:pPr>
        <w:numPr>
          <w:ilvl w:val="0"/>
          <w:numId w:val="18"/>
        </w:numPr>
        <w:spacing w:after="240" w:line="260" w:lineRule="exact"/>
        <w:jc w:val="left"/>
        <w:rPr>
          <w:rFonts w:ascii="Calibri" w:hAnsi="Calibri"/>
          <w:sz w:val="24"/>
          <w:szCs w:val="24"/>
        </w:rPr>
      </w:pPr>
      <w:r w:rsidRPr="00261C59">
        <w:rPr>
          <w:rFonts w:ascii="Calibri" w:hAnsi="Calibri"/>
          <w:sz w:val="24"/>
          <w:szCs w:val="24"/>
        </w:rPr>
        <w:t xml:space="preserve">The Parties recognise the need for specific measures for cultural safety and quality care for Aboriginal and Torres Strait Islander people and will work to develop nationally consistent measures for inclusion in the </w:t>
      </w:r>
      <w:r w:rsidR="00B14EF8" w:rsidRPr="00261C59">
        <w:rPr>
          <w:rFonts w:ascii="Calibri" w:hAnsi="Calibri"/>
          <w:sz w:val="24"/>
          <w:szCs w:val="24"/>
        </w:rPr>
        <w:t>p</w:t>
      </w:r>
      <w:r w:rsidRPr="00261C59">
        <w:rPr>
          <w:rFonts w:ascii="Calibri" w:hAnsi="Calibri"/>
          <w:sz w:val="24"/>
          <w:szCs w:val="24"/>
        </w:rPr>
        <w:t xml:space="preserve">erformance </w:t>
      </w:r>
      <w:r w:rsidR="00B14EF8" w:rsidRPr="00261C59">
        <w:rPr>
          <w:rFonts w:ascii="Calibri" w:hAnsi="Calibri"/>
          <w:sz w:val="24"/>
          <w:szCs w:val="24"/>
        </w:rPr>
        <w:t>assessment f</w:t>
      </w:r>
      <w:r w:rsidRPr="00261C59">
        <w:rPr>
          <w:rFonts w:ascii="Calibri" w:hAnsi="Calibri"/>
          <w:sz w:val="24"/>
          <w:szCs w:val="24"/>
        </w:rPr>
        <w:t>ramework. These may include:</w:t>
      </w:r>
    </w:p>
    <w:p w14:paraId="2DD01F88" w14:textId="48F81C2F" w:rsidR="00942156" w:rsidRPr="00261C59" w:rsidRDefault="00942156" w:rsidP="004728D9">
      <w:pPr>
        <w:numPr>
          <w:ilvl w:val="1"/>
          <w:numId w:val="168"/>
        </w:numPr>
        <w:spacing w:after="240" w:line="260" w:lineRule="exact"/>
        <w:jc w:val="left"/>
        <w:rPr>
          <w:rFonts w:ascii="Calibri" w:hAnsi="Calibri"/>
          <w:sz w:val="24"/>
          <w:szCs w:val="24"/>
        </w:rPr>
      </w:pPr>
      <w:r w:rsidRPr="00261C59">
        <w:rPr>
          <w:rFonts w:ascii="Calibri" w:hAnsi="Calibri"/>
          <w:sz w:val="24"/>
          <w:szCs w:val="24"/>
        </w:rPr>
        <w:t>cultural safety and appropriateness of healthcare services for Aboriginal and Torres Strait Islander people</w:t>
      </w:r>
    </w:p>
    <w:p w14:paraId="24566C0A" w14:textId="715E1A94" w:rsidR="00942156" w:rsidRPr="00261C59" w:rsidRDefault="00942156" w:rsidP="004728D9">
      <w:pPr>
        <w:numPr>
          <w:ilvl w:val="1"/>
          <w:numId w:val="168"/>
        </w:numPr>
        <w:spacing w:after="240" w:line="260" w:lineRule="exact"/>
        <w:jc w:val="left"/>
        <w:rPr>
          <w:rFonts w:ascii="Calibri" w:hAnsi="Calibri"/>
          <w:sz w:val="24"/>
          <w:szCs w:val="24"/>
        </w:rPr>
      </w:pPr>
      <w:r w:rsidRPr="00261C59">
        <w:rPr>
          <w:rFonts w:ascii="Calibri" w:hAnsi="Calibri"/>
          <w:sz w:val="24"/>
          <w:szCs w:val="24"/>
        </w:rPr>
        <w:t>Aboriginal and Torres Strait Islander workforce and leadership roles within mainstream organisations</w:t>
      </w:r>
    </w:p>
    <w:p w14:paraId="227B87FD" w14:textId="77777777" w:rsidR="00942156" w:rsidRPr="00261C59" w:rsidRDefault="00942156" w:rsidP="004728D9">
      <w:pPr>
        <w:numPr>
          <w:ilvl w:val="1"/>
          <w:numId w:val="168"/>
        </w:numPr>
        <w:spacing w:after="240" w:line="260" w:lineRule="exact"/>
        <w:jc w:val="left"/>
        <w:rPr>
          <w:rFonts w:ascii="Calibri" w:hAnsi="Calibri"/>
          <w:sz w:val="24"/>
          <w:szCs w:val="24"/>
        </w:rPr>
      </w:pPr>
      <w:r w:rsidRPr="00261C59">
        <w:rPr>
          <w:rFonts w:ascii="Calibri" w:hAnsi="Calibri"/>
          <w:sz w:val="24"/>
          <w:szCs w:val="24"/>
        </w:rPr>
        <w:t>the impact of racism on Aboriginal and Torres Strait Islander people’s health outcomes.</w:t>
      </w:r>
    </w:p>
    <w:p w14:paraId="781CABE8" w14:textId="77777777" w:rsidR="00942156" w:rsidRPr="00261C59" w:rsidRDefault="00942156" w:rsidP="002E5D9D">
      <w:pPr>
        <w:pStyle w:val="Heading3"/>
        <w:keepNext/>
        <w:widowControl/>
        <w:adjustRightInd/>
        <w:spacing w:before="0" w:after="120"/>
        <w:ind w:left="0"/>
        <w:jc w:val="left"/>
        <w:textAlignment w:val="auto"/>
        <w:rPr>
          <w:rFonts w:ascii="Corbel" w:eastAsia="Times New Roman" w:hAnsi="Corbel"/>
          <w:b w:val="0"/>
          <w:color w:val="3D4B67"/>
          <w:sz w:val="28"/>
          <w:szCs w:val="28"/>
          <w:lang w:eastAsia="ja-JP"/>
        </w:rPr>
      </w:pPr>
      <w:bookmarkStart w:id="758" w:name="_Toc172787744"/>
      <w:bookmarkStart w:id="759" w:name="_Toc173428321"/>
      <w:bookmarkStart w:id="760" w:name="_Toc173937771"/>
      <w:bookmarkStart w:id="761" w:name="_Toc210833686"/>
      <w:bookmarkStart w:id="762" w:name="_Toc214456586"/>
      <w:bookmarkStart w:id="763" w:name="_Toc221088071"/>
      <w:r w:rsidRPr="00261C59">
        <w:rPr>
          <w:rFonts w:ascii="Corbel" w:eastAsia="Times New Roman" w:hAnsi="Corbel"/>
          <w:b w:val="0"/>
          <w:color w:val="3D4B67"/>
          <w:sz w:val="28"/>
          <w:szCs w:val="28"/>
          <w:lang w:eastAsia="ja-JP"/>
        </w:rPr>
        <w:t>Principles</w:t>
      </w:r>
      <w:bookmarkEnd w:id="758"/>
      <w:bookmarkEnd w:id="759"/>
      <w:bookmarkEnd w:id="760"/>
      <w:bookmarkEnd w:id="761"/>
      <w:bookmarkEnd w:id="762"/>
      <w:bookmarkEnd w:id="763"/>
    </w:p>
    <w:p w14:paraId="7EFBC98E" w14:textId="77777777" w:rsidR="00942156" w:rsidRPr="00261C59" w:rsidRDefault="00942156" w:rsidP="004728D9">
      <w:pPr>
        <w:numPr>
          <w:ilvl w:val="0"/>
          <w:numId w:val="18"/>
        </w:numPr>
        <w:spacing w:after="240" w:line="260" w:lineRule="exact"/>
        <w:jc w:val="left"/>
        <w:rPr>
          <w:rFonts w:ascii="Calibri" w:hAnsi="Calibri"/>
          <w:sz w:val="24"/>
          <w:szCs w:val="24"/>
        </w:rPr>
      </w:pPr>
      <w:r w:rsidRPr="00261C59">
        <w:rPr>
          <w:rFonts w:ascii="Calibri" w:hAnsi="Calibri"/>
          <w:sz w:val="24"/>
          <w:szCs w:val="24"/>
        </w:rPr>
        <w:t>Australians are entitled to accessible information on the status, quality and performance of the health system.</w:t>
      </w:r>
    </w:p>
    <w:p w14:paraId="1C704A8B" w14:textId="77777777" w:rsidR="00942156" w:rsidRPr="00261C59" w:rsidRDefault="00942156" w:rsidP="004728D9">
      <w:pPr>
        <w:numPr>
          <w:ilvl w:val="0"/>
          <w:numId w:val="18"/>
        </w:numPr>
        <w:spacing w:after="240" w:line="260" w:lineRule="exact"/>
        <w:jc w:val="left"/>
        <w:rPr>
          <w:rFonts w:ascii="Calibri" w:hAnsi="Calibri"/>
          <w:sz w:val="24"/>
          <w:szCs w:val="24"/>
        </w:rPr>
      </w:pPr>
      <w:r w:rsidRPr="00261C59">
        <w:rPr>
          <w:rFonts w:ascii="Calibri" w:hAnsi="Calibri"/>
          <w:sz w:val="24"/>
          <w:szCs w:val="24"/>
        </w:rPr>
        <w:t>Health system performance reporting will be:</w:t>
      </w:r>
    </w:p>
    <w:p w14:paraId="1AE87703" w14:textId="5C6AA38F" w:rsidR="00942156" w:rsidRPr="00261C59" w:rsidRDefault="00942156" w:rsidP="004728D9">
      <w:pPr>
        <w:widowControl/>
        <w:numPr>
          <w:ilvl w:val="1"/>
          <w:numId w:val="169"/>
        </w:numPr>
        <w:spacing w:after="240" w:line="260" w:lineRule="exact"/>
        <w:jc w:val="left"/>
        <w:rPr>
          <w:rFonts w:ascii="Calibri" w:hAnsi="Calibri"/>
          <w:sz w:val="24"/>
          <w:szCs w:val="24"/>
        </w:rPr>
      </w:pPr>
      <w:r w:rsidRPr="00261C59">
        <w:rPr>
          <w:rFonts w:ascii="Calibri" w:hAnsi="Calibri"/>
          <w:sz w:val="24"/>
          <w:szCs w:val="24"/>
        </w:rPr>
        <w:t xml:space="preserve">comprehensive, impactful, and timely – it will prioritise actionable information </w:t>
      </w:r>
      <w:r w:rsidR="00BF7AA4" w:rsidRPr="00261C59">
        <w:rPr>
          <w:rFonts w:ascii="Calibri" w:hAnsi="Calibri"/>
          <w:sz w:val="24"/>
          <w:szCs w:val="24"/>
        </w:rPr>
        <w:t>for</w:t>
      </w:r>
      <w:r w:rsidRPr="00261C59">
        <w:rPr>
          <w:rFonts w:ascii="Calibri" w:hAnsi="Calibri"/>
          <w:sz w:val="24"/>
          <w:szCs w:val="24"/>
        </w:rPr>
        <w:t xml:space="preserve"> health leaders, including Health Ministers, and will include a range of reporting products to meet the needs of these audiences</w:t>
      </w:r>
    </w:p>
    <w:p w14:paraId="632A70A0" w14:textId="02119E56" w:rsidR="00942156" w:rsidRPr="00261C59" w:rsidRDefault="00942156" w:rsidP="00D11D91">
      <w:pPr>
        <w:keepLines/>
        <w:numPr>
          <w:ilvl w:val="1"/>
          <w:numId w:val="169"/>
        </w:numPr>
        <w:spacing w:after="240" w:line="260" w:lineRule="exact"/>
        <w:jc w:val="left"/>
        <w:rPr>
          <w:rFonts w:ascii="Calibri" w:hAnsi="Calibri"/>
          <w:sz w:val="24"/>
          <w:szCs w:val="24"/>
        </w:rPr>
      </w:pPr>
      <w:r w:rsidRPr="00261C59">
        <w:rPr>
          <w:rFonts w:ascii="Calibri" w:hAnsi="Calibri"/>
          <w:sz w:val="24"/>
          <w:szCs w:val="24"/>
        </w:rPr>
        <w:t>regular and responsive – existing stable mature data sets will support long-term trend monitoring and more timely data will provide signals to the system when emerging issues require investigation and intervention. Qualitative information will complement quantitative data to support meaningful insights and inform policy responses</w:t>
      </w:r>
    </w:p>
    <w:p w14:paraId="6E2F8F5A" w14:textId="77777777" w:rsidR="00942156" w:rsidRPr="00261C59" w:rsidRDefault="00942156" w:rsidP="004728D9">
      <w:pPr>
        <w:widowControl/>
        <w:numPr>
          <w:ilvl w:val="1"/>
          <w:numId w:val="169"/>
        </w:numPr>
        <w:spacing w:after="240" w:line="260" w:lineRule="exact"/>
        <w:jc w:val="left"/>
        <w:rPr>
          <w:rFonts w:ascii="Calibri" w:hAnsi="Calibri"/>
          <w:sz w:val="24"/>
          <w:szCs w:val="24"/>
        </w:rPr>
      </w:pPr>
      <w:r w:rsidRPr="00261C59">
        <w:rPr>
          <w:rFonts w:ascii="Calibri" w:hAnsi="Calibri"/>
          <w:sz w:val="24"/>
          <w:szCs w:val="24"/>
        </w:rPr>
        <w:t xml:space="preserve">tiered and fit for purpose – reporting will be provided at the lowest meaningful level of granularity, in line with best practice and subject to any applicable privacy legislation. </w:t>
      </w:r>
    </w:p>
    <w:p w14:paraId="319B58BF" w14:textId="77777777" w:rsidR="00942156" w:rsidRPr="00261C59" w:rsidRDefault="00942156" w:rsidP="002E5D9D">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764" w:name="_Toc172787745"/>
      <w:bookmarkStart w:id="765" w:name="_Toc173428322"/>
      <w:bookmarkStart w:id="766" w:name="_Toc173937772"/>
      <w:bookmarkStart w:id="767" w:name="_Toc210833687"/>
      <w:bookmarkStart w:id="768" w:name="_Toc214456587"/>
      <w:bookmarkStart w:id="769" w:name="_Toc221088072"/>
      <w:r w:rsidRPr="00261C59">
        <w:rPr>
          <w:rFonts w:ascii="Corbel" w:eastAsia="Times New Roman" w:hAnsi="Corbel"/>
          <w:b w:val="0"/>
          <w:bCs w:val="0"/>
          <w:iCs w:val="0"/>
          <w:color w:val="3D4B67"/>
          <w:sz w:val="28"/>
          <w:szCs w:val="48"/>
          <w:lang w:eastAsia="ja-JP"/>
        </w:rPr>
        <w:t>Deliverables</w:t>
      </w:r>
      <w:bookmarkEnd w:id="764"/>
      <w:bookmarkEnd w:id="765"/>
      <w:bookmarkEnd w:id="766"/>
      <w:bookmarkEnd w:id="767"/>
      <w:bookmarkEnd w:id="768"/>
      <w:bookmarkEnd w:id="769"/>
    </w:p>
    <w:p w14:paraId="2FA86457" w14:textId="77777777" w:rsidR="00942156" w:rsidRPr="00261C59" w:rsidRDefault="00942156" w:rsidP="004728D9">
      <w:pPr>
        <w:keepNext/>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The Parties agree that the following products and activities will deliver improved health system performance reporting to support this Addendum in achieving its objectives:</w:t>
      </w:r>
    </w:p>
    <w:p w14:paraId="6A1E25FC" w14:textId="78F4069B" w:rsidR="00942156" w:rsidRPr="00261C59" w:rsidRDefault="00942156" w:rsidP="004728D9">
      <w:pPr>
        <w:keepNext/>
        <w:numPr>
          <w:ilvl w:val="1"/>
          <w:numId w:val="170"/>
        </w:numPr>
        <w:spacing w:after="240" w:line="260" w:lineRule="exact"/>
        <w:jc w:val="left"/>
        <w:rPr>
          <w:rFonts w:ascii="Calibri" w:hAnsi="Calibri"/>
          <w:sz w:val="24"/>
          <w:szCs w:val="24"/>
        </w:rPr>
      </w:pPr>
      <w:r w:rsidRPr="00261C59">
        <w:rPr>
          <w:rFonts w:ascii="Calibri" w:hAnsi="Calibri"/>
          <w:sz w:val="24"/>
          <w:szCs w:val="24"/>
        </w:rPr>
        <w:t xml:space="preserve">the new health system performance </w:t>
      </w:r>
      <w:r w:rsidR="002A2F9C" w:rsidRPr="00261C59">
        <w:rPr>
          <w:rFonts w:ascii="Calibri" w:hAnsi="Calibri"/>
          <w:sz w:val="24"/>
          <w:szCs w:val="24"/>
        </w:rPr>
        <w:t xml:space="preserve">assessment </w:t>
      </w:r>
      <w:r w:rsidRPr="00261C59">
        <w:rPr>
          <w:rFonts w:ascii="Calibri" w:hAnsi="Calibri"/>
          <w:sz w:val="24"/>
          <w:szCs w:val="24"/>
        </w:rPr>
        <w:t>framework provides a contemporary conceptual model to define and shape future performance</w:t>
      </w:r>
      <w:r w:rsidR="00BF7AA4" w:rsidRPr="00261C59">
        <w:rPr>
          <w:rFonts w:ascii="Calibri" w:hAnsi="Calibri"/>
          <w:sz w:val="24"/>
          <w:szCs w:val="24"/>
        </w:rPr>
        <w:t>,</w:t>
      </w:r>
      <w:r w:rsidRPr="00261C59">
        <w:rPr>
          <w:rFonts w:ascii="Calibri" w:hAnsi="Calibri"/>
          <w:sz w:val="24"/>
          <w:szCs w:val="24"/>
        </w:rPr>
        <w:t xml:space="preserve"> assessment and reporting </w:t>
      </w:r>
    </w:p>
    <w:p w14:paraId="3074DEDC" w14:textId="44AE5F72" w:rsidR="00942156" w:rsidRPr="00261C59" w:rsidRDefault="00942156" w:rsidP="004728D9">
      <w:pPr>
        <w:keepNext/>
        <w:numPr>
          <w:ilvl w:val="1"/>
          <w:numId w:val="170"/>
        </w:numPr>
        <w:spacing w:after="240" w:line="260" w:lineRule="exact"/>
        <w:jc w:val="left"/>
        <w:rPr>
          <w:rFonts w:ascii="Calibri" w:hAnsi="Calibri"/>
          <w:sz w:val="24"/>
          <w:szCs w:val="24"/>
        </w:rPr>
      </w:pPr>
      <w:r w:rsidRPr="00261C59">
        <w:rPr>
          <w:rFonts w:ascii="Calibri" w:hAnsi="Calibri"/>
          <w:sz w:val="24"/>
          <w:szCs w:val="24"/>
        </w:rPr>
        <w:t xml:space="preserve">a performance reporting indicator development and review mechanism to harmonise indicator collection and performance reporting obligations and work towards addressing persistent gaps in health system performance monitoring </w:t>
      </w:r>
    </w:p>
    <w:p w14:paraId="0E966196" w14:textId="709081FC" w:rsidR="00942156" w:rsidRPr="00261C59" w:rsidRDefault="00942156" w:rsidP="004728D9">
      <w:pPr>
        <w:keepNext/>
        <w:numPr>
          <w:ilvl w:val="1"/>
          <w:numId w:val="170"/>
        </w:numPr>
        <w:spacing w:after="240" w:line="260" w:lineRule="exact"/>
        <w:jc w:val="left"/>
        <w:rPr>
          <w:rFonts w:ascii="Calibri" w:hAnsi="Calibri"/>
          <w:sz w:val="24"/>
          <w:szCs w:val="24"/>
        </w:rPr>
      </w:pPr>
      <w:r w:rsidRPr="00261C59">
        <w:rPr>
          <w:rFonts w:ascii="Calibri" w:hAnsi="Calibri"/>
          <w:sz w:val="24"/>
          <w:szCs w:val="24"/>
        </w:rPr>
        <w:t xml:space="preserve">an annual report card for Health Ministers, with high-level, impactful reports containing meaningful measures of progress against their shared aspirations for the health system and priority objectives of this Addendum </w:t>
      </w:r>
    </w:p>
    <w:p w14:paraId="3A2A6BCB" w14:textId="72D79E20" w:rsidR="00942156" w:rsidRPr="00261C59" w:rsidRDefault="00942156" w:rsidP="004728D9">
      <w:pPr>
        <w:keepNext/>
        <w:numPr>
          <w:ilvl w:val="1"/>
          <w:numId w:val="170"/>
        </w:numPr>
        <w:spacing w:after="240" w:line="260" w:lineRule="exact"/>
        <w:jc w:val="left"/>
        <w:rPr>
          <w:rFonts w:ascii="Calibri" w:hAnsi="Calibri"/>
          <w:sz w:val="24"/>
          <w:szCs w:val="24"/>
        </w:rPr>
      </w:pPr>
      <w:r w:rsidRPr="00261C59">
        <w:rPr>
          <w:rFonts w:ascii="Calibri" w:hAnsi="Calibri"/>
          <w:sz w:val="24"/>
          <w:szCs w:val="24"/>
        </w:rPr>
        <w:t>an annual Aboriginal and Torres Strait Islander health report card for Health Ministers highlighting health system performance against a set of headline Aboriginal and Torres Strait Islander health indicators specific to the NHRA and the National Agreement on Closing the Gap</w:t>
      </w:r>
    </w:p>
    <w:p w14:paraId="08761C59" w14:textId="3BAE45EA" w:rsidR="00942156" w:rsidRPr="00261C59" w:rsidRDefault="00942156" w:rsidP="004728D9">
      <w:pPr>
        <w:keepNext/>
        <w:numPr>
          <w:ilvl w:val="1"/>
          <w:numId w:val="170"/>
        </w:numPr>
        <w:spacing w:after="240" w:line="260" w:lineRule="exact"/>
        <w:jc w:val="left"/>
        <w:rPr>
          <w:rFonts w:ascii="Calibri" w:hAnsi="Calibri"/>
          <w:sz w:val="24"/>
          <w:szCs w:val="24"/>
        </w:rPr>
      </w:pPr>
      <w:r w:rsidRPr="00261C59">
        <w:rPr>
          <w:rFonts w:ascii="Calibri" w:hAnsi="Calibri"/>
          <w:sz w:val="24"/>
          <w:szCs w:val="24"/>
        </w:rPr>
        <w:t xml:space="preserve">an ‘NHRA Tracker’ to Health Chief Executives, providing comprehensive reports on progress towards NHRA objectives using a combination of </w:t>
      </w:r>
      <w:r w:rsidR="008F79CD" w:rsidRPr="00261C59">
        <w:rPr>
          <w:rFonts w:ascii="Calibri" w:hAnsi="Calibri"/>
          <w:sz w:val="24"/>
          <w:szCs w:val="24"/>
        </w:rPr>
        <w:t xml:space="preserve">agreed </w:t>
      </w:r>
      <w:r w:rsidRPr="00261C59">
        <w:rPr>
          <w:rFonts w:ascii="Calibri" w:hAnsi="Calibri"/>
          <w:sz w:val="24"/>
          <w:szCs w:val="24"/>
        </w:rPr>
        <w:t xml:space="preserve">qualitative information and </w:t>
      </w:r>
      <w:r w:rsidR="008F79CD" w:rsidRPr="00261C59">
        <w:rPr>
          <w:rFonts w:ascii="Calibri" w:hAnsi="Calibri"/>
          <w:sz w:val="24"/>
          <w:szCs w:val="24"/>
        </w:rPr>
        <w:t>metrics</w:t>
      </w:r>
    </w:p>
    <w:p w14:paraId="362A2E64" w14:textId="27BD0331" w:rsidR="00942156" w:rsidRPr="00261C59" w:rsidRDefault="00942156" w:rsidP="004728D9">
      <w:pPr>
        <w:keepLines/>
        <w:widowControl/>
        <w:numPr>
          <w:ilvl w:val="1"/>
          <w:numId w:val="170"/>
        </w:numPr>
        <w:spacing w:after="240" w:line="260" w:lineRule="exact"/>
        <w:jc w:val="left"/>
        <w:rPr>
          <w:rFonts w:ascii="Calibri" w:hAnsi="Calibri"/>
          <w:sz w:val="24"/>
          <w:szCs w:val="24"/>
        </w:rPr>
      </w:pPr>
      <w:r w:rsidRPr="00261C59">
        <w:rPr>
          <w:rFonts w:ascii="Calibri" w:hAnsi="Calibri"/>
          <w:sz w:val="24"/>
          <w:szCs w:val="24"/>
        </w:rPr>
        <w:t>a national health performance portal will provide supported navigation to quality assured government, academic and private sector resources. The portal will include standardised data sets, performance metrics and insight reports that interpret the data</w:t>
      </w:r>
    </w:p>
    <w:p w14:paraId="0B4284AE" w14:textId="1F34FC39" w:rsidR="00942156" w:rsidRPr="00261C59" w:rsidRDefault="00942156" w:rsidP="004728D9">
      <w:pPr>
        <w:numPr>
          <w:ilvl w:val="1"/>
          <w:numId w:val="170"/>
        </w:numPr>
        <w:spacing w:after="240" w:line="260" w:lineRule="exact"/>
        <w:jc w:val="left"/>
        <w:rPr>
          <w:rFonts w:ascii="Calibri" w:hAnsi="Calibri"/>
          <w:sz w:val="24"/>
          <w:szCs w:val="24"/>
        </w:rPr>
      </w:pPr>
      <w:r w:rsidRPr="00261C59">
        <w:rPr>
          <w:rFonts w:ascii="Calibri" w:hAnsi="Calibri"/>
          <w:sz w:val="24"/>
          <w:szCs w:val="24"/>
        </w:rPr>
        <w:t xml:space="preserve">an agreed process will be established for engaging with the community to </w:t>
      </w:r>
      <w:r w:rsidR="00565BB9" w:rsidRPr="00261C59">
        <w:rPr>
          <w:rFonts w:ascii="Calibri" w:hAnsi="Calibri"/>
          <w:sz w:val="24"/>
          <w:szCs w:val="24"/>
        </w:rPr>
        <w:t>identify p</w:t>
      </w:r>
      <w:r w:rsidR="00E03E30" w:rsidRPr="00261C59">
        <w:rPr>
          <w:rFonts w:ascii="Calibri" w:hAnsi="Calibri"/>
          <w:sz w:val="24"/>
          <w:szCs w:val="24"/>
        </w:rPr>
        <w:t>riority</w:t>
      </w:r>
      <w:r w:rsidR="00565BB9" w:rsidRPr="00261C59">
        <w:rPr>
          <w:rFonts w:ascii="Calibri" w:hAnsi="Calibri"/>
          <w:sz w:val="24"/>
          <w:szCs w:val="24"/>
        </w:rPr>
        <w:t xml:space="preserve"> areas for policy development</w:t>
      </w:r>
      <w:r w:rsidR="00E03E30" w:rsidRPr="00261C59">
        <w:rPr>
          <w:rFonts w:ascii="Calibri" w:hAnsi="Calibri"/>
          <w:sz w:val="24"/>
          <w:szCs w:val="24"/>
        </w:rPr>
        <w:t>,</w:t>
      </w:r>
      <w:r w:rsidRPr="00261C59">
        <w:rPr>
          <w:rFonts w:ascii="Calibri" w:hAnsi="Calibri"/>
          <w:sz w:val="24"/>
          <w:szCs w:val="24"/>
        </w:rPr>
        <w:t xml:space="preserve"> regularly test what measures and methods of reporting are meaningful to inform the community about the state of the Australian health system.</w:t>
      </w:r>
    </w:p>
    <w:p w14:paraId="11E8AC3B" w14:textId="77777777" w:rsidR="00942156" w:rsidRPr="00261C59" w:rsidRDefault="00942156" w:rsidP="002E5D9D">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770" w:name="_Toc172787746"/>
      <w:bookmarkStart w:id="771" w:name="_Toc173428323"/>
      <w:bookmarkStart w:id="772" w:name="_Toc173937773"/>
      <w:bookmarkStart w:id="773" w:name="_Toc210833688"/>
      <w:bookmarkStart w:id="774" w:name="_Toc214456588"/>
      <w:bookmarkStart w:id="775" w:name="_Toc221088073"/>
      <w:r w:rsidRPr="00261C59">
        <w:rPr>
          <w:rFonts w:ascii="Corbel" w:eastAsia="Times New Roman" w:hAnsi="Corbel"/>
          <w:b w:val="0"/>
          <w:bCs w:val="0"/>
          <w:iCs w:val="0"/>
          <w:color w:val="3D4B67"/>
          <w:sz w:val="28"/>
          <w:szCs w:val="48"/>
          <w:lang w:eastAsia="ja-JP"/>
        </w:rPr>
        <w:t>Implementation</w:t>
      </w:r>
      <w:bookmarkEnd w:id="770"/>
      <w:bookmarkEnd w:id="771"/>
      <w:bookmarkEnd w:id="772"/>
      <w:bookmarkEnd w:id="773"/>
      <w:bookmarkEnd w:id="774"/>
      <w:bookmarkEnd w:id="775"/>
    </w:p>
    <w:p w14:paraId="2623FC92" w14:textId="4F0D9C88" w:rsidR="00942156" w:rsidRPr="00261C59" w:rsidRDefault="00942156" w:rsidP="004728D9">
      <w:pPr>
        <w:keepLines/>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The AIHW will lead this work in collaboration with all jurisdictions, the Australian Commission on Safety and Quality in Health Care (ACSQHC), the Independent Health and Aged Care Pricing Authority (IHACPA), the National Health Funding Body, other relevant data custodians and health data governance bodies, including Aboriginal and Torres Strait Islander governance arrangements outlined in Schedule B. </w:t>
      </w:r>
    </w:p>
    <w:p w14:paraId="4D9D3C2A" w14:textId="77777777" w:rsidR="00942156" w:rsidRPr="00261C59" w:rsidRDefault="00942156" w:rsidP="00DC74F7">
      <w:pPr>
        <w:keepLines/>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The AIHW will work in partnership with Aboriginal and Torres Strait Islander experts and the Aboriginal and Torres Strait Islander governance groups outlined in Schedule B</w:t>
      </w:r>
      <w:r w:rsidRPr="00261C59">
        <w:rPr>
          <w:rFonts w:ascii="Calibri" w:eastAsia="Calibri" w:hAnsi="Calibri" w:cs="Calibri"/>
          <w:sz w:val="24"/>
          <w:szCs w:val="24"/>
        </w:rPr>
        <w:t xml:space="preserve"> to develop</w:t>
      </w:r>
      <w:r w:rsidRPr="00261C59">
        <w:rPr>
          <w:rFonts w:ascii="Calibri" w:hAnsi="Calibri" w:cs="Calibri"/>
          <w:sz w:val="24"/>
          <w:szCs w:val="24"/>
        </w:rPr>
        <w:t xml:space="preserve"> measures and reporting on </w:t>
      </w:r>
      <w:r w:rsidRPr="00261C59">
        <w:rPr>
          <w:rFonts w:ascii="Calibri" w:eastAsia="Calibri" w:hAnsi="Calibri" w:cs="Calibri"/>
          <w:sz w:val="24"/>
          <w:szCs w:val="24"/>
        </w:rPr>
        <w:t xml:space="preserve">governments’ progress towards improving </w:t>
      </w:r>
      <w:r w:rsidRPr="00261C59">
        <w:rPr>
          <w:rFonts w:ascii="Calibri" w:hAnsi="Calibri" w:cs="Calibri"/>
          <w:sz w:val="24"/>
          <w:szCs w:val="24"/>
        </w:rPr>
        <w:t xml:space="preserve">health system responsiveness to the specific needs of Aboriginal and Torres Strait Islander people.  </w:t>
      </w:r>
    </w:p>
    <w:p w14:paraId="2419E9E8" w14:textId="77777777" w:rsidR="00942156" w:rsidRPr="00261C59" w:rsidRDefault="00942156" w:rsidP="002E5D9D">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776" w:name="_Toc172787747"/>
      <w:bookmarkStart w:id="777" w:name="_Toc173428324"/>
      <w:bookmarkStart w:id="778" w:name="_Toc173937774"/>
      <w:bookmarkStart w:id="779" w:name="_Toc210833689"/>
      <w:bookmarkStart w:id="780" w:name="_Toc214456589"/>
      <w:bookmarkStart w:id="781" w:name="_Toc221088074"/>
      <w:r w:rsidRPr="00261C59">
        <w:rPr>
          <w:rFonts w:ascii="Corbel" w:eastAsia="Times New Roman" w:hAnsi="Corbel"/>
          <w:b w:val="0"/>
          <w:bCs w:val="0"/>
          <w:iCs w:val="0"/>
          <w:color w:val="3D4B67"/>
          <w:sz w:val="28"/>
          <w:szCs w:val="48"/>
          <w:lang w:eastAsia="ja-JP"/>
        </w:rPr>
        <w:t>Milestones</w:t>
      </w:r>
      <w:bookmarkEnd w:id="776"/>
      <w:bookmarkEnd w:id="777"/>
      <w:bookmarkEnd w:id="778"/>
      <w:bookmarkEnd w:id="779"/>
      <w:bookmarkEnd w:id="780"/>
      <w:bookmarkEnd w:id="781"/>
    </w:p>
    <w:p w14:paraId="112F2A2C" w14:textId="583AE3A6" w:rsidR="00942156" w:rsidRPr="00261C59" w:rsidRDefault="00942156" w:rsidP="004728D9">
      <w:pPr>
        <w:keepNext/>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The Parties agree that by </w:t>
      </w:r>
      <w:r w:rsidR="00B24F24" w:rsidRPr="00261C59">
        <w:rPr>
          <w:rFonts w:ascii="Calibri" w:hAnsi="Calibri" w:cs="Calibri"/>
          <w:sz w:val="24"/>
          <w:szCs w:val="24"/>
        </w:rPr>
        <w:t>30 September</w:t>
      </w:r>
      <w:r w:rsidRPr="00261C59">
        <w:rPr>
          <w:rFonts w:ascii="Calibri" w:hAnsi="Calibri" w:cs="Calibri"/>
          <w:sz w:val="24"/>
          <w:szCs w:val="24"/>
        </w:rPr>
        <w:t xml:space="preserve"> 2026, AIHW will have:</w:t>
      </w:r>
    </w:p>
    <w:p w14:paraId="597198FF" w14:textId="77777777" w:rsidR="00942156" w:rsidRPr="00261C59" w:rsidRDefault="00942156" w:rsidP="004728D9">
      <w:pPr>
        <w:keepNext/>
        <w:numPr>
          <w:ilvl w:val="1"/>
          <w:numId w:val="171"/>
        </w:numPr>
        <w:spacing w:after="240" w:line="260" w:lineRule="exact"/>
        <w:jc w:val="left"/>
        <w:rPr>
          <w:rFonts w:ascii="Calibri" w:hAnsi="Calibri"/>
          <w:sz w:val="24"/>
          <w:szCs w:val="24"/>
        </w:rPr>
      </w:pPr>
      <w:r w:rsidRPr="00261C59">
        <w:rPr>
          <w:rFonts w:ascii="Calibri" w:hAnsi="Calibri"/>
          <w:sz w:val="24"/>
          <w:szCs w:val="24"/>
        </w:rPr>
        <w:t xml:space="preserve">reviewed existing frameworks, indicators and reporting commitments. </w:t>
      </w:r>
    </w:p>
    <w:p w14:paraId="7607659F" w14:textId="46F744B4" w:rsidR="00942156" w:rsidRPr="00261C59" w:rsidRDefault="00942156" w:rsidP="004728D9">
      <w:pPr>
        <w:keepNext/>
        <w:numPr>
          <w:ilvl w:val="1"/>
          <w:numId w:val="171"/>
        </w:numPr>
        <w:spacing w:after="240" w:line="260" w:lineRule="exact"/>
        <w:jc w:val="left"/>
        <w:rPr>
          <w:rFonts w:ascii="Calibri" w:hAnsi="Calibri"/>
          <w:sz w:val="24"/>
          <w:szCs w:val="24"/>
        </w:rPr>
      </w:pPr>
      <w:r w:rsidRPr="00261C59">
        <w:rPr>
          <w:rFonts w:ascii="Calibri" w:hAnsi="Calibri"/>
          <w:sz w:val="24"/>
          <w:szCs w:val="24"/>
        </w:rPr>
        <w:t xml:space="preserve">developed a new health system performance </w:t>
      </w:r>
      <w:r w:rsidR="001A434A" w:rsidRPr="00261C59">
        <w:rPr>
          <w:rFonts w:ascii="Calibri" w:hAnsi="Calibri"/>
          <w:sz w:val="24"/>
          <w:szCs w:val="24"/>
        </w:rPr>
        <w:t xml:space="preserve">assessment </w:t>
      </w:r>
      <w:r w:rsidRPr="00261C59">
        <w:rPr>
          <w:rFonts w:ascii="Calibri" w:hAnsi="Calibri"/>
          <w:sz w:val="24"/>
          <w:szCs w:val="24"/>
        </w:rPr>
        <w:t xml:space="preserve">framework to replace the Australian Health Performance Framework. </w:t>
      </w:r>
    </w:p>
    <w:p w14:paraId="14D26FB0" w14:textId="77777777" w:rsidR="00942156" w:rsidRPr="00261C59" w:rsidRDefault="00942156" w:rsidP="004728D9">
      <w:pPr>
        <w:keepNext/>
        <w:numPr>
          <w:ilvl w:val="1"/>
          <w:numId w:val="171"/>
        </w:numPr>
        <w:spacing w:after="240" w:line="260" w:lineRule="exact"/>
        <w:jc w:val="left"/>
        <w:rPr>
          <w:rFonts w:ascii="Calibri" w:hAnsi="Calibri"/>
          <w:sz w:val="24"/>
          <w:szCs w:val="24"/>
        </w:rPr>
      </w:pPr>
      <w:r w:rsidRPr="00261C59">
        <w:rPr>
          <w:rFonts w:ascii="Calibri" w:hAnsi="Calibri"/>
          <w:sz w:val="24"/>
          <w:szCs w:val="24"/>
        </w:rPr>
        <w:t xml:space="preserve">commenced work to address core gaps in health system performance monitoring. </w:t>
      </w:r>
    </w:p>
    <w:p w14:paraId="68136E34" w14:textId="2AF6CB74" w:rsidR="00942156" w:rsidRPr="00261C59" w:rsidRDefault="00942156" w:rsidP="004728D9">
      <w:pPr>
        <w:keepNext/>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By 30 June 2027, the Parties will work with</w:t>
      </w:r>
      <w:r w:rsidR="007B4689" w:rsidRPr="00261C59">
        <w:rPr>
          <w:rFonts w:ascii="Calibri" w:hAnsi="Calibri" w:cs="Calibri"/>
          <w:sz w:val="24"/>
          <w:szCs w:val="24"/>
        </w:rPr>
        <w:t xml:space="preserve"> relevant HCEF sub-committees</w:t>
      </w:r>
      <w:r w:rsidRPr="00261C59">
        <w:rPr>
          <w:rFonts w:ascii="Calibri" w:hAnsi="Calibri"/>
          <w:sz w:val="24"/>
          <w:szCs w:val="24"/>
        </w:rPr>
        <w:t xml:space="preserve"> </w:t>
      </w:r>
      <w:r w:rsidRPr="00261C59">
        <w:rPr>
          <w:rFonts w:ascii="Calibri" w:hAnsi="Calibri" w:cs="Calibri"/>
          <w:sz w:val="24"/>
          <w:szCs w:val="24"/>
        </w:rPr>
        <w:t xml:space="preserve">and the AIHW to develop the 'NHRA Tracker' for </w:t>
      </w:r>
      <w:r w:rsidRPr="00261C59">
        <w:rPr>
          <w:rFonts w:ascii="Calibri" w:hAnsi="Calibri"/>
          <w:sz w:val="24"/>
          <w:szCs w:val="24"/>
        </w:rPr>
        <w:t>Health Chief Executives</w:t>
      </w:r>
      <w:r w:rsidRPr="00261C59">
        <w:rPr>
          <w:rFonts w:ascii="Calibri" w:hAnsi="Calibri" w:cs="Calibri"/>
          <w:sz w:val="24"/>
          <w:szCs w:val="24"/>
        </w:rPr>
        <w:t xml:space="preserve">.  </w:t>
      </w:r>
    </w:p>
    <w:p w14:paraId="4C77B4BB" w14:textId="77777777" w:rsidR="00942156" w:rsidRPr="00261C59" w:rsidRDefault="00942156" w:rsidP="004728D9">
      <w:pPr>
        <w:keepNext/>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The Parties agree that by 30 June 2027, the AIHW will have:</w:t>
      </w:r>
    </w:p>
    <w:p w14:paraId="275D3CBB" w14:textId="77777777" w:rsidR="00942156" w:rsidRPr="00261C59" w:rsidRDefault="00942156" w:rsidP="004728D9">
      <w:pPr>
        <w:widowControl/>
        <w:numPr>
          <w:ilvl w:val="1"/>
          <w:numId w:val="172"/>
        </w:numPr>
        <w:spacing w:after="240" w:line="260" w:lineRule="exact"/>
        <w:jc w:val="left"/>
        <w:rPr>
          <w:rFonts w:ascii="Calibri" w:hAnsi="Calibri"/>
          <w:sz w:val="24"/>
          <w:szCs w:val="24"/>
        </w:rPr>
      </w:pPr>
      <w:r w:rsidRPr="00261C59">
        <w:rPr>
          <w:rFonts w:ascii="Calibri" w:hAnsi="Calibri"/>
          <w:sz w:val="24"/>
          <w:szCs w:val="24"/>
        </w:rPr>
        <w:t>designed and produced the annual report cards</w:t>
      </w:r>
      <w:r w:rsidRPr="00261C59">
        <w:rPr>
          <w:rFonts w:ascii="Calibri" w:eastAsia="Calibri" w:hAnsi="Calibri" w:cs="Calibri"/>
          <w:color w:val="000000" w:themeColor="text1"/>
          <w:sz w:val="24"/>
          <w:szCs w:val="24"/>
        </w:rPr>
        <w:t xml:space="preserve"> </w:t>
      </w:r>
      <w:r w:rsidRPr="00261C59">
        <w:rPr>
          <w:rFonts w:ascii="Calibri" w:hAnsi="Calibri"/>
          <w:sz w:val="24"/>
          <w:szCs w:val="24"/>
        </w:rPr>
        <w:t>for Health Ministers and the Aboriginal and Torres Strait Islander governance groups.</w:t>
      </w:r>
    </w:p>
    <w:p w14:paraId="3EEFA0C2" w14:textId="77777777" w:rsidR="00942156" w:rsidRPr="00261C59" w:rsidRDefault="00942156" w:rsidP="004728D9">
      <w:pPr>
        <w:widowControl/>
        <w:numPr>
          <w:ilvl w:val="1"/>
          <w:numId w:val="172"/>
        </w:numPr>
        <w:spacing w:after="240" w:line="260" w:lineRule="exact"/>
        <w:jc w:val="left"/>
        <w:rPr>
          <w:rFonts w:ascii="Calibri" w:hAnsi="Calibri"/>
          <w:sz w:val="24"/>
          <w:szCs w:val="24"/>
        </w:rPr>
      </w:pPr>
      <w:r w:rsidRPr="00261C59">
        <w:rPr>
          <w:rFonts w:ascii="Calibri" w:hAnsi="Calibri"/>
          <w:sz w:val="24"/>
          <w:szCs w:val="24"/>
        </w:rPr>
        <w:t>launched the national health performance portal.</w:t>
      </w:r>
    </w:p>
    <w:p w14:paraId="09F70F9E" w14:textId="77777777" w:rsidR="00942156" w:rsidRPr="00261C59" w:rsidRDefault="00942156" w:rsidP="004728D9">
      <w:pPr>
        <w:widowControl/>
        <w:numPr>
          <w:ilvl w:val="1"/>
          <w:numId w:val="172"/>
        </w:numPr>
        <w:spacing w:after="240" w:line="260" w:lineRule="exact"/>
        <w:jc w:val="left"/>
        <w:rPr>
          <w:rFonts w:ascii="Calibri" w:eastAsia="Calibri" w:hAnsi="Calibri" w:cs="Calibri"/>
          <w:sz w:val="24"/>
          <w:szCs w:val="24"/>
        </w:rPr>
      </w:pPr>
      <w:r w:rsidRPr="00261C59">
        <w:rPr>
          <w:rFonts w:ascii="Calibri" w:eastAsia="Calibri" w:hAnsi="Calibri" w:cs="Calibri"/>
          <w:color w:val="000000" w:themeColor="text1"/>
          <w:sz w:val="24"/>
          <w:szCs w:val="24"/>
        </w:rPr>
        <w:t>commenced sector and community engagement activities.</w:t>
      </w:r>
    </w:p>
    <w:p w14:paraId="661ECB68" w14:textId="77777777" w:rsidR="00942156" w:rsidRPr="00261C59" w:rsidRDefault="00942156" w:rsidP="004728D9">
      <w:pPr>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Over the life of the agreement, the AIHW will:</w:t>
      </w:r>
    </w:p>
    <w:p w14:paraId="466E38A9" w14:textId="77777777" w:rsidR="00942156" w:rsidRPr="00261C59" w:rsidRDefault="00942156" w:rsidP="004728D9">
      <w:pPr>
        <w:widowControl/>
        <w:numPr>
          <w:ilvl w:val="1"/>
          <w:numId w:val="173"/>
        </w:numPr>
        <w:spacing w:after="240" w:line="260" w:lineRule="exact"/>
        <w:jc w:val="left"/>
        <w:rPr>
          <w:rFonts w:ascii="Calibri" w:hAnsi="Calibri"/>
          <w:sz w:val="24"/>
          <w:szCs w:val="24"/>
        </w:rPr>
      </w:pPr>
      <w:r w:rsidRPr="00261C59">
        <w:rPr>
          <w:rFonts w:ascii="Calibri" w:hAnsi="Calibri"/>
          <w:sz w:val="24"/>
          <w:szCs w:val="24"/>
        </w:rPr>
        <w:t>produce annual reports for Health Ministers, Health Chief Executives and the Aboriginal and Torres Strait Islander governance groups in Schedule B.</w:t>
      </w:r>
    </w:p>
    <w:p w14:paraId="0D808A1B" w14:textId="77777777" w:rsidR="00942156" w:rsidRPr="00261C59" w:rsidRDefault="00942156" w:rsidP="004728D9">
      <w:pPr>
        <w:widowControl/>
        <w:numPr>
          <w:ilvl w:val="1"/>
          <w:numId w:val="173"/>
        </w:numPr>
        <w:spacing w:after="240" w:line="260" w:lineRule="exact"/>
        <w:jc w:val="left"/>
        <w:rPr>
          <w:rFonts w:ascii="Calibri" w:hAnsi="Calibri"/>
          <w:sz w:val="24"/>
          <w:szCs w:val="24"/>
        </w:rPr>
      </w:pPr>
      <w:r w:rsidRPr="00261C59">
        <w:rPr>
          <w:rFonts w:ascii="Calibri" w:hAnsi="Calibri"/>
          <w:sz w:val="24"/>
          <w:szCs w:val="24"/>
        </w:rPr>
        <w:t>maintain the national health performance portal.</w:t>
      </w:r>
    </w:p>
    <w:p w14:paraId="173EF811" w14:textId="7BA5029C" w:rsidR="00942156" w:rsidRPr="00261C59" w:rsidRDefault="00942156" w:rsidP="004728D9">
      <w:pPr>
        <w:widowControl/>
        <w:numPr>
          <w:ilvl w:val="1"/>
          <w:numId w:val="173"/>
        </w:numPr>
        <w:spacing w:after="240" w:line="260" w:lineRule="exact"/>
        <w:jc w:val="left"/>
        <w:rPr>
          <w:rFonts w:ascii="Calibri" w:hAnsi="Calibri"/>
          <w:sz w:val="24"/>
          <w:szCs w:val="24"/>
        </w:rPr>
      </w:pPr>
      <w:r w:rsidRPr="00261C59">
        <w:rPr>
          <w:rFonts w:ascii="Calibri" w:hAnsi="Calibri"/>
          <w:sz w:val="24"/>
          <w:szCs w:val="24"/>
        </w:rPr>
        <w:t>review and evaluate the health system performance</w:t>
      </w:r>
      <w:r w:rsidR="00AE39FB" w:rsidRPr="00261C59">
        <w:rPr>
          <w:rFonts w:ascii="Calibri" w:hAnsi="Calibri"/>
          <w:sz w:val="24"/>
          <w:szCs w:val="24"/>
        </w:rPr>
        <w:t xml:space="preserve"> assessment</w:t>
      </w:r>
      <w:r w:rsidRPr="00261C59">
        <w:rPr>
          <w:rFonts w:ascii="Calibri" w:hAnsi="Calibri"/>
          <w:sz w:val="24"/>
          <w:szCs w:val="24"/>
        </w:rPr>
        <w:t xml:space="preserve"> framework and its conceptual model.</w:t>
      </w:r>
    </w:p>
    <w:p w14:paraId="789B12F3" w14:textId="77777777" w:rsidR="00942156" w:rsidRPr="00261C59" w:rsidRDefault="00942156" w:rsidP="002E5D9D">
      <w:pPr>
        <w:pStyle w:val="Heading3"/>
        <w:keepNext/>
        <w:widowControl/>
        <w:adjustRightInd/>
        <w:spacing w:before="0" w:after="120"/>
        <w:ind w:left="0"/>
        <w:jc w:val="left"/>
        <w:textAlignment w:val="auto"/>
        <w:rPr>
          <w:rFonts w:ascii="Corbel" w:eastAsia="Times New Roman" w:hAnsi="Corbel"/>
          <w:b w:val="0"/>
          <w:bCs w:val="0"/>
          <w:iCs w:val="0"/>
          <w:color w:val="3D4B67"/>
          <w:sz w:val="28"/>
          <w:szCs w:val="48"/>
          <w:lang w:eastAsia="ja-JP"/>
        </w:rPr>
      </w:pPr>
      <w:bookmarkStart w:id="782" w:name="_Toc172787748"/>
      <w:bookmarkStart w:id="783" w:name="_Toc173428325"/>
      <w:bookmarkStart w:id="784" w:name="_Toc173937775"/>
      <w:bookmarkStart w:id="785" w:name="_Toc210833690"/>
      <w:bookmarkStart w:id="786" w:name="_Toc214456590"/>
      <w:bookmarkStart w:id="787" w:name="_Toc221088075"/>
      <w:r w:rsidRPr="00261C59">
        <w:rPr>
          <w:rFonts w:ascii="Corbel" w:eastAsia="Times New Roman" w:hAnsi="Corbel"/>
          <w:b w:val="0"/>
          <w:bCs w:val="0"/>
          <w:iCs w:val="0"/>
          <w:color w:val="3D4B67"/>
          <w:sz w:val="28"/>
          <w:szCs w:val="48"/>
          <w:lang w:eastAsia="ja-JP"/>
        </w:rPr>
        <w:t>Governance</w:t>
      </w:r>
      <w:bookmarkEnd w:id="782"/>
      <w:bookmarkEnd w:id="783"/>
      <w:bookmarkEnd w:id="784"/>
      <w:bookmarkEnd w:id="785"/>
      <w:bookmarkEnd w:id="786"/>
      <w:bookmarkEnd w:id="787"/>
    </w:p>
    <w:p w14:paraId="7032E7AA" w14:textId="3856F1EB" w:rsidR="00942156" w:rsidRPr="00261C59" w:rsidRDefault="009F3C2A" w:rsidP="004728D9">
      <w:pPr>
        <w:keepNext/>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HCEF and its sub-committees</w:t>
      </w:r>
      <w:r w:rsidR="00796EB9" w:rsidRPr="00261C59">
        <w:rPr>
          <w:rFonts w:ascii="Calibri" w:hAnsi="Calibri" w:cs="Calibri"/>
          <w:sz w:val="24"/>
          <w:szCs w:val="24"/>
        </w:rPr>
        <w:t xml:space="preserve"> </w:t>
      </w:r>
      <w:r w:rsidR="00942156" w:rsidRPr="00261C59">
        <w:rPr>
          <w:rFonts w:ascii="Calibri" w:hAnsi="Calibri" w:cs="Calibri"/>
          <w:sz w:val="24"/>
          <w:szCs w:val="24"/>
        </w:rPr>
        <w:t>will ensure these performance reporting arrangements meet Health Ministers’ expectations by:</w:t>
      </w:r>
    </w:p>
    <w:p w14:paraId="6BEE5A78" w14:textId="77777777" w:rsidR="00942156" w:rsidRPr="00261C59" w:rsidRDefault="00942156" w:rsidP="008125AF">
      <w:pPr>
        <w:numPr>
          <w:ilvl w:val="1"/>
          <w:numId w:val="174"/>
        </w:numPr>
        <w:spacing w:after="240" w:line="260" w:lineRule="exact"/>
        <w:jc w:val="left"/>
        <w:rPr>
          <w:rFonts w:ascii="Calibri" w:hAnsi="Calibri"/>
          <w:sz w:val="24"/>
          <w:szCs w:val="24"/>
        </w:rPr>
      </w:pPr>
      <w:r w:rsidRPr="00261C59">
        <w:rPr>
          <w:rFonts w:ascii="Calibri" w:hAnsi="Calibri"/>
          <w:sz w:val="24"/>
          <w:szCs w:val="24"/>
        </w:rPr>
        <w:t>communicating priorities for the AIHW’s work program and reviewing progress at an annual review.</w:t>
      </w:r>
    </w:p>
    <w:p w14:paraId="32119539" w14:textId="77777777" w:rsidR="00942156" w:rsidRPr="00261C59" w:rsidRDefault="00942156" w:rsidP="004728D9">
      <w:pPr>
        <w:keepNext/>
        <w:numPr>
          <w:ilvl w:val="1"/>
          <w:numId w:val="174"/>
        </w:numPr>
        <w:spacing w:after="240" w:line="260" w:lineRule="exact"/>
        <w:jc w:val="left"/>
        <w:rPr>
          <w:rFonts w:ascii="Calibri" w:hAnsi="Calibri"/>
          <w:sz w:val="24"/>
          <w:szCs w:val="24"/>
        </w:rPr>
      </w:pPr>
      <w:r w:rsidRPr="00261C59">
        <w:rPr>
          <w:rFonts w:ascii="Calibri" w:hAnsi="Calibri"/>
          <w:sz w:val="24"/>
          <w:szCs w:val="24"/>
        </w:rPr>
        <w:t>considering the policy implications of health performance data and coordinating the insights and recommendation report as part of the annual performance report to Health Ministers.</w:t>
      </w:r>
    </w:p>
    <w:p w14:paraId="67966746" w14:textId="77777777" w:rsidR="00942156" w:rsidRPr="00261C59" w:rsidRDefault="00942156" w:rsidP="004728D9">
      <w:pPr>
        <w:numPr>
          <w:ilvl w:val="1"/>
          <w:numId w:val="174"/>
        </w:numPr>
        <w:spacing w:after="240" w:line="260" w:lineRule="exact"/>
        <w:jc w:val="left"/>
        <w:rPr>
          <w:rFonts w:ascii="Calibri" w:hAnsi="Calibri"/>
          <w:sz w:val="24"/>
          <w:szCs w:val="24"/>
        </w:rPr>
      </w:pPr>
      <w:r w:rsidRPr="00261C59">
        <w:rPr>
          <w:rFonts w:ascii="Calibri" w:hAnsi="Calibri"/>
          <w:sz w:val="24"/>
          <w:szCs w:val="24"/>
        </w:rPr>
        <w:t>responding to early signals and trends in the performance reporting and directing investigation and response by the accountable parties.</w:t>
      </w:r>
    </w:p>
    <w:p w14:paraId="1004D1C8" w14:textId="77777777" w:rsidR="00942156" w:rsidRPr="00261C59" w:rsidRDefault="00942156" w:rsidP="00DC74F7">
      <w:pPr>
        <w:keepLines/>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The AIHW will work with jurisdictional, academic and private sector subject matter experts, national bodies, Aboriginal and Torres Strait Islander health organisations and experts in the interfacing care systems to:</w:t>
      </w:r>
    </w:p>
    <w:p w14:paraId="23F0A7F8" w14:textId="72142FF0" w:rsidR="00942156" w:rsidRPr="00261C59" w:rsidRDefault="00942156" w:rsidP="00E312D8">
      <w:pPr>
        <w:numPr>
          <w:ilvl w:val="1"/>
          <w:numId w:val="175"/>
        </w:numPr>
        <w:spacing w:after="240" w:line="260" w:lineRule="exact"/>
        <w:jc w:val="left"/>
        <w:rPr>
          <w:rFonts w:ascii="Calibri" w:hAnsi="Calibri"/>
          <w:sz w:val="24"/>
          <w:szCs w:val="24"/>
        </w:rPr>
      </w:pPr>
      <w:r w:rsidRPr="00261C59">
        <w:rPr>
          <w:rFonts w:ascii="Calibri" w:hAnsi="Calibri"/>
          <w:sz w:val="24"/>
          <w:szCs w:val="24"/>
        </w:rPr>
        <w:t>agree a process for identifying early signals and trends</w:t>
      </w:r>
    </w:p>
    <w:p w14:paraId="6268A56A" w14:textId="0B7FF02B" w:rsidR="00942156" w:rsidRPr="00261C59" w:rsidRDefault="00942156" w:rsidP="004728D9">
      <w:pPr>
        <w:keepNext/>
        <w:numPr>
          <w:ilvl w:val="1"/>
          <w:numId w:val="175"/>
        </w:numPr>
        <w:spacing w:after="240" w:line="260" w:lineRule="exact"/>
        <w:jc w:val="left"/>
        <w:rPr>
          <w:rFonts w:ascii="Calibri" w:hAnsi="Calibri"/>
          <w:sz w:val="24"/>
          <w:szCs w:val="24"/>
        </w:rPr>
      </w:pPr>
      <w:r w:rsidRPr="00261C59">
        <w:rPr>
          <w:rFonts w:ascii="Calibri" w:hAnsi="Calibri"/>
          <w:sz w:val="24"/>
          <w:szCs w:val="24"/>
        </w:rPr>
        <w:t>review and advise on the specifications for performance measures</w:t>
      </w:r>
    </w:p>
    <w:p w14:paraId="639EC8EB" w14:textId="462D5D57" w:rsidR="00942156" w:rsidRPr="00261C59" w:rsidRDefault="00942156" w:rsidP="004728D9">
      <w:pPr>
        <w:keepNext/>
        <w:numPr>
          <w:ilvl w:val="1"/>
          <w:numId w:val="175"/>
        </w:numPr>
        <w:spacing w:after="240" w:line="260" w:lineRule="exact"/>
        <w:jc w:val="left"/>
        <w:rPr>
          <w:rFonts w:ascii="Calibri" w:hAnsi="Calibri"/>
          <w:sz w:val="24"/>
          <w:szCs w:val="24"/>
        </w:rPr>
      </w:pPr>
      <w:r w:rsidRPr="00261C59">
        <w:rPr>
          <w:rFonts w:ascii="Calibri" w:hAnsi="Calibri"/>
          <w:sz w:val="24"/>
          <w:szCs w:val="24"/>
        </w:rPr>
        <w:t>agree the provision of data by the Parties to the AIHW for use in performance monitoring and reporting</w:t>
      </w:r>
    </w:p>
    <w:p w14:paraId="5D8ED169" w14:textId="77777777" w:rsidR="00942156" w:rsidRPr="00261C59" w:rsidRDefault="00942156" w:rsidP="004728D9">
      <w:pPr>
        <w:keepNext/>
        <w:numPr>
          <w:ilvl w:val="1"/>
          <w:numId w:val="175"/>
        </w:numPr>
        <w:spacing w:after="240" w:line="260" w:lineRule="exact"/>
        <w:jc w:val="left"/>
        <w:rPr>
          <w:rFonts w:ascii="Calibri" w:hAnsi="Calibri"/>
          <w:sz w:val="24"/>
          <w:szCs w:val="24"/>
        </w:rPr>
      </w:pPr>
      <w:r w:rsidRPr="00261C59">
        <w:rPr>
          <w:rFonts w:ascii="Calibri" w:hAnsi="Calibri"/>
          <w:sz w:val="24"/>
          <w:szCs w:val="24"/>
        </w:rPr>
        <w:t>ensure accurate analysis and interpretation of shared data.</w:t>
      </w:r>
    </w:p>
    <w:p w14:paraId="4B049484" w14:textId="42588FC5" w:rsidR="00942156" w:rsidRPr="00261C59" w:rsidRDefault="00942156" w:rsidP="004728D9">
      <w:pPr>
        <w:keepNext/>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The Parties remain responsible for jurisdictional reporting of performance information outside the scope of NHRA reporting. Where possible, jurisdictional reporting should align with the health system performance</w:t>
      </w:r>
      <w:r w:rsidR="00796EB9" w:rsidRPr="00261C59">
        <w:rPr>
          <w:rFonts w:ascii="Calibri" w:hAnsi="Calibri" w:cs="Calibri"/>
          <w:sz w:val="24"/>
          <w:szCs w:val="24"/>
        </w:rPr>
        <w:t xml:space="preserve"> assessment</w:t>
      </w:r>
      <w:r w:rsidRPr="00261C59">
        <w:rPr>
          <w:rFonts w:ascii="Calibri" w:hAnsi="Calibri" w:cs="Calibri"/>
          <w:sz w:val="24"/>
          <w:szCs w:val="24"/>
        </w:rPr>
        <w:t xml:space="preserve"> framework.</w:t>
      </w:r>
    </w:p>
    <w:p w14:paraId="09C270F6" w14:textId="77777777" w:rsidR="00942156" w:rsidRPr="00261C59" w:rsidRDefault="00942156" w:rsidP="002E5D9D">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788" w:name="_Toc167456358"/>
      <w:bookmarkStart w:id="789" w:name="_Toc173428326"/>
      <w:bookmarkStart w:id="790" w:name="_Toc173937776"/>
      <w:bookmarkStart w:id="791" w:name="_Toc210833691"/>
      <w:bookmarkStart w:id="792" w:name="_Toc214456591"/>
      <w:bookmarkStart w:id="793" w:name="_Toc221088076"/>
      <w:r w:rsidRPr="00261C59">
        <w:rPr>
          <w:rFonts w:ascii="Corbel" w:eastAsia="Times New Roman" w:hAnsi="Corbel" w:cs="Arial"/>
          <w:iCs/>
          <w:color w:val="3D4B67"/>
          <w:sz w:val="28"/>
          <w:szCs w:val="28"/>
        </w:rPr>
        <w:t>National Health Data System</w:t>
      </w:r>
      <w:bookmarkEnd w:id="788"/>
      <w:bookmarkEnd w:id="789"/>
      <w:bookmarkEnd w:id="790"/>
      <w:bookmarkEnd w:id="791"/>
      <w:bookmarkEnd w:id="792"/>
      <w:bookmarkEnd w:id="793"/>
    </w:p>
    <w:p w14:paraId="03743B27" w14:textId="7777777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The Parties agree that safe and secure data sharing and governance is necessary to deliver meaningful health system improvement and health reform objectives of this Addendum.  </w:t>
      </w:r>
    </w:p>
    <w:p w14:paraId="1D0DF9F9" w14:textId="4879DAE1"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Data is required across health and related care sectors, such as acute, primary, disability, and aged care, for evidence-based planning and decision-making. Information must flow between multiple system managers, contingent on their data needs.</w:t>
      </w:r>
    </w:p>
    <w:p w14:paraId="3C3B7EC7" w14:textId="7777777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The Parties agree to reduce information silos and work together to maximise the value of data. Harnessing data allows governments, national bodies, healthcare providers and researchers to develop evidence-based policies and services for Australians.</w:t>
      </w:r>
    </w:p>
    <w:p w14:paraId="517B7068" w14:textId="09975B90"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Safe and secure data sharing and governance is needed to deliver other health reform proposals, including </w:t>
      </w:r>
      <w:r w:rsidR="0002088C" w:rsidRPr="00261C59">
        <w:rPr>
          <w:rFonts w:ascii="Calibri" w:hAnsi="Calibri" w:cs="Calibri"/>
          <w:sz w:val="24"/>
          <w:szCs w:val="24"/>
        </w:rPr>
        <w:t xml:space="preserve">service model </w:t>
      </w:r>
      <w:r w:rsidR="00AE79CF" w:rsidRPr="00261C59">
        <w:rPr>
          <w:rFonts w:ascii="Calibri" w:hAnsi="Calibri" w:cs="Calibri"/>
          <w:sz w:val="24"/>
          <w:szCs w:val="24"/>
        </w:rPr>
        <w:t xml:space="preserve">reform </w:t>
      </w:r>
      <w:r w:rsidR="00630096" w:rsidRPr="00261C59">
        <w:rPr>
          <w:rFonts w:ascii="Calibri" w:hAnsi="Calibri" w:cs="Calibri"/>
          <w:sz w:val="24"/>
          <w:szCs w:val="24"/>
        </w:rPr>
        <w:t xml:space="preserve">(Schedule D) </w:t>
      </w:r>
      <w:r w:rsidRPr="00261C59">
        <w:rPr>
          <w:rFonts w:ascii="Calibri" w:hAnsi="Calibri" w:cs="Calibri"/>
          <w:sz w:val="24"/>
          <w:szCs w:val="24"/>
        </w:rPr>
        <w:t xml:space="preserve">and nationally cohesive health technology assessment (Schedule </w:t>
      </w:r>
      <w:r w:rsidR="00630096" w:rsidRPr="00261C59">
        <w:rPr>
          <w:rFonts w:ascii="Calibri" w:hAnsi="Calibri" w:cs="Calibri"/>
          <w:sz w:val="24"/>
          <w:szCs w:val="24"/>
        </w:rPr>
        <w:t>A</w:t>
      </w:r>
      <w:r w:rsidRPr="00261C59">
        <w:rPr>
          <w:rFonts w:ascii="Calibri" w:hAnsi="Calibri" w:cs="Calibri"/>
          <w:sz w:val="24"/>
          <w:szCs w:val="24"/>
        </w:rPr>
        <w:t xml:space="preserve">), reform priorities for Aboriginal and Torres Strait Islander people (Schedule B), interface reforms, including for older Australians and people with disability (Schedule C), and workforce planning (Schedule </w:t>
      </w:r>
      <w:r w:rsidR="00600AD7" w:rsidRPr="00261C59">
        <w:rPr>
          <w:rFonts w:ascii="Calibri" w:hAnsi="Calibri" w:cs="Calibri"/>
          <w:sz w:val="24"/>
          <w:szCs w:val="24"/>
        </w:rPr>
        <w:t>G</w:t>
      </w:r>
      <w:r w:rsidRPr="00261C59">
        <w:rPr>
          <w:rFonts w:ascii="Calibri" w:hAnsi="Calibri" w:cs="Calibri"/>
          <w:sz w:val="24"/>
          <w:szCs w:val="24"/>
        </w:rPr>
        <w:t xml:space="preserve">). </w:t>
      </w:r>
    </w:p>
    <w:p w14:paraId="07943700" w14:textId="7777777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All Parties commit to: </w:t>
      </w:r>
    </w:p>
    <w:p w14:paraId="5C0EC015" w14:textId="5562A387" w:rsidR="00942156" w:rsidRPr="00261C59" w:rsidRDefault="00942156" w:rsidP="004728D9">
      <w:pPr>
        <w:keepNext/>
        <w:numPr>
          <w:ilvl w:val="1"/>
          <w:numId w:val="176"/>
        </w:numPr>
        <w:spacing w:after="240" w:line="260" w:lineRule="exact"/>
        <w:jc w:val="left"/>
        <w:rPr>
          <w:rFonts w:ascii="Calibri" w:hAnsi="Calibri"/>
          <w:sz w:val="24"/>
          <w:szCs w:val="24"/>
        </w:rPr>
      </w:pPr>
      <w:r w:rsidRPr="00261C59">
        <w:rPr>
          <w:rFonts w:ascii="Calibri" w:hAnsi="Calibri"/>
          <w:sz w:val="24"/>
          <w:szCs w:val="24"/>
        </w:rPr>
        <w:t>normalising multi-way data sharing and access across the health system while maintaining data security and preserving individuals’ privacy</w:t>
      </w:r>
    </w:p>
    <w:p w14:paraId="3CEBD19A" w14:textId="4428527A" w:rsidR="00942156" w:rsidRPr="00261C59" w:rsidRDefault="00942156" w:rsidP="004728D9">
      <w:pPr>
        <w:keepNext/>
        <w:numPr>
          <w:ilvl w:val="1"/>
          <w:numId w:val="176"/>
        </w:numPr>
        <w:spacing w:after="240" w:line="260" w:lineRule="exact"/>
        <w:jc w:val="left"/>
        <w:rPr>
          <w:rFonts w:ascii="Calibri" w:hAnsi="Calibri"/>
          <w:sz w:val="24"/>
          <w:szCs w:val="24"/>
        </w:rPr>
      </w:pPr>
      <w:r w:rsidRPr="00261C59">
        <w:rPr>
          <w:rFonts w:ascii="Calibri" w:hAnsi="Calibri" w:cs="Calibri"/>
          <w:sz w:val="24"/>
          <w:szCs w:val="24"/>
        </w:rPr>
        <w:t>working together to harness data and analytics to drive meaningful improvements in the health system</w:t>
      </w:r>
    </w:p>
    <w:p w14:paraId="3DD4D0F8" w14:textId="59F0E364" w:rsidR="00942156" w:rsidRPr="00261C59" w:rsidRDefault="00942156" w:rsidP="008125AF">
      <w:pPr>
        <w:numPr>
          <w:ilvl w:val="1"/>
          <w:numId w:val="176"/>
        </w:numPr>
        <w:spacing w:after="240" w:line="260" w:lineRule="exact"/>
        <w:jc w:val="left"/>
        <w:rPr>
          <w:rFonts w:ascii="Calibri" w:hAnsi="Calibri"/>
          <w:sz w:val="24"/>
          <w:szCs w:val="24"/>
        </w:rPr>
      </w:pPr>
      <w:r w:rsidRPr="00261C59">
        <w:rPr>
          <w:rFonts w:ascii="Calibri" w:hAnsi="Calibri"/>
          <w:sz w:val="24"/>
          <w:szCs w:val="24"/>
        </w:rPr>
        <w:t>facilitating timely access to data, including for national bodies, for health systems monitoring, planning, policy- and decision-making</w:t>
      </w:r>
    </w:p>
    <w:p w14:paraId="286193A3" w14:textId="77777777" w:rsidR="00942156" w:rsidRPr="00261C59" w:rsidRDefault="00942156" w:rsidP="004728D9">
      <w:pPr>
        <w:numPr>
          <w:ilvl w:val="1"/>
          <w:numId w:val="176"/>
        </w:numPr>
        <w:spacing w:after="240" w:line="260" w:lineRule="exact"/>
        <w:jc w:val="left"/>
        <w:rPr>
          <w:rFonts w:ascii="Calibri" w:hAnsi="Calibri"/>
          <w:sz w:val="24"/>
          <w:szCs w:val="24"/>
        </w:rPr>
      </w:pPr>
      <w:r w:rsidRPr="00261C59">
        <w:rPr>
          <w:rFonts w:ascii="Calibri" w:hAnsi="Calibri"/>
          <w:sz w:val="24"/>
          <w:szCs w:val="24"/>
        </w:rPr>
        <w:t>closing data gaps in patient pathways across the health and care systems.</w:t>
      </w:r>
    </w:p>
    <w:p w14:paraId="42698A03" w14:textId="095061B3" w:rsidR="00942156" w:rsidRPr="00261C59" w:rsidRDefault="00942156" w:rsidP="004728D9">
      <w:pPr>
        <w:widowControl/>
        <w:numPr>
          <w:ilvl w:val="1"/>
          <w:numId w:val="176"/>
        </w:numPr>
        <w:spacing w:after="240" w:line="260" w:lineRule="exact"/>
        <w:jc w:val="left"/>
        <w:rPr>
          <w:rFonts w:ascii="Calibri" w:hAnsi="Calibri"/>
          <w:sz w:val="24"/>
          <w:szCs w:val="24"/>
        </w:rPr>
      </w:pPr>
      <w:r w:rsidRPr="00261C59">
        <w:rPr>
          <w:rFonts w:ascii="Calibri" w:hAnsi="Calibri"/>
          <w:sz w:val="24"/>
          <w:szCs w:val="24"/>
        </w:rPr>
        <w:t>developing a sustainable national approach to data governance, platforms and data linking that limits duplication of effort and ensures all parties can leverage data opportunities</w:t>
      </w:r>
    </w:p>
    <w:p w14:paraId="65E07EF6" w14:textId="77777777" w:rsidR="00942156" w:rsidRPr="00261C59" w:rsidRDefault="00942156" w:rsidP="00DC74F7">
      <w:pPr>
        <w:numPr>
          <w:ilvl w:val="1"/>
          <w:numId w:val="176"/>
        </w:numPr>
        <w:spacing w:after="240" w:line="260" w:lineRule="exact"/>
        <w:jc w:val="left"/>
        <w:rPr>
          <w:rFonts w:ascii="Calibri" w:hAnsi="Calibri"/>
          <w:sz w:val="24"/>
          <w:szCs w:val="24"/>
        </w:rPr>
      </w:pPr>
      <w:r w:rsidRPr="00261C59">
        <w:rPr>
          <w:rFonts w:ascii="Calibri" w:hAnsi="Calibri"/>
          <w:sz w:val="24"/>
          <w:szCs w:val="24"/>
        </w:rPr>
        <w:t>deliver enduring and more timely linkages of high-value health datasets. </w:t>
      </w:r>
    </w:p>
    <w:p w14:paraId="70739674" w14:textId="1863F321" w:rsidR="00942156" w:rsidRPr="00261C59" w:rsidRDefault="00942156" w:rsidP="0036630C">
      <w:pPr>
        <w:keepLines/>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All Parties further commit to implementing Indigenous data governance principles, and facilitating data access and sharing for Aboriginal and Torres Strait Islander-led data outcomes as agreed in Schedule B. In line with </w:t>
      </w:r>
      <w:r w:rsidR="00B722B6" w:rsidRPr="00261C59">
        <w:rPr>
          <w:rFonts w:ascii="Calibri" w:hAnsi="Calibri" w:cs="Calibri"/>
          <w:sz w:val="24"/>
          <w:szCs w:val="24"/>
        </w:rPr>
        <w:t xml:space="preserve">the Priority Reforms </w:t>
      </w:r>
      <w:r w:rsidRPr="00261C59">
        <w:rPr>
          <w:rFonts w:ascii="Calibri" w:hAnsi="Calibri" w:cs="Calibri"/>
          <w:sz w:val="24"/>
          <w:szCs w:val="24"/>
        </w:rPr>
        <w:t xml:space="preserve">under the </w:t>
      </w:r>
      <w:r w:rsidRPr="00261C59">
        <w:rPr>
          <w:rFonts w:ascii="Calibri" w:hAnsi="Calibri"/>
          <w:sz w:val="24"/>
        </w:rPr>
        <w:t>National Agreement on Closing the Gap,</w:t>
      </w:r>
      <w:r w:rsidRPr="00261C59">
        <w:rPr>
          <w:rFonts w:ascii="Calibri" w:hAnsi="Calibri" w:cs="Calibri"/>
          <w:sz w:val="24"/>
          <w:szCs w:val="24"/>
        </w:rPr>
        <w:t xml:space="preserve"> this includes:  </w:t>
      </w:r>
    </w:p>
    <w:p w14:paraId="1D5FE058" w14:textId="5F363999" w:rsidR="00942156" w:rsidRPr="00261C59" w:rsidRDefault="00942156" w:rsidP="004728D9">
      <w:pPr>
        <w:keepNext/>
        <w:numPr>
          <w:ilvl w:val="1"/>
          <w:numId w:val="177"/>
        </w:numPr>
        <w:spacing w:after="240" w:line="260" w:lineRule="exact"/>
        <w:jc w:val="left"/>
        <w:rPr>
          <w:rFonts w:ascii="Calibri" w:hAnsi="Calibri"/>
          <w:sz w:val="24"/>
          <w:szCs w:val="24"/>
        </w:rPr>
      </w:pPr>
      <w:r w:rsidRPr="00261C59">
        <w:rPr>
          <w:rFonts w:ascii="Calibri" w:hAnsi="Calibri"/>
          <w:sz w:val="24"/>
          <w:szCs w:val="24"/>
        </w:rPr>
        <w:t>partnering with Aboriginal and Torres Strait Islander people</w:t>
      </w:r>
    </w:p>
    <w:p w14:paraId="022E61B8" w14:textId="3E4C802B" w:rsidR="00942156" w:rsidRPr="00261C59" w:rsidRDefault="00942156" w:rsidP="004728D9">
      <w:pPr>
        <w:keepNext/>
        <w:numPr>
          <w:ilvl w:val="1"/>
          <w:numId w:val="177"/>
        </w:numPr>
        <w:spacing w:after="240" w:line="260" w:lineRule="exact"/>
        <w:jc w:val="left"/>
        <w:rPr>
          <w:rFonts w:ascii="Calibri" w:hAnsi="Calibri"/>
          <w:sz w:val="24"/>
          <w:szCs w:val="24"/>
        </w:rPr>
      </w:pPr>
      <w:r w:rsidRPr="00261C59">
        <w:rPr>
          <w:rFonts w:ascii="Calibri" w:hAnsi="Calibri"/>
          <w:sz w:val="24"/>
          <w:szCs w:val="24"/>
        </w:rPr>
        <w:t>building data-related capacity and capabilities within governments and across the health sector</w:t>
      </w:r>
    </w:p>
    <w:p w14:paraId="486789D7" w14:textId="17DDC671" w:rsidR="00942156" w:rsidRPr="00261C59" w:rsidRDefault="00942156" w:rsidP="004728D9">
      <w:pPr>
        <w:keepNext/>
        <w:numPr>
          <w:ilvl w:val="1"/>
          <w:numId w:val="177"/>
        </w:numPr>
        <w:spacing w:after="240" w:line="260" w:lineRule="exact"/>
        <w:jc w:val="left"/>
        <w:rPr>
          <w:rFonts w:ascii="Calibri" w:hAnsi="Calibri"/>
          <w:sz w:val="24"/>
          <w:szCs w:val="24"/>
        </w:rPr>
      </w:pPr>
      <w:r w:rsidRPr="00261C59">
        <w:rPr>
          <w:rFonts w:ascii="Calibri" w:hAnsi="Calibri"/>
          <w:sz w:val="24"/>
          <w:szCs w:val="24"/>
        </w:rPr>
        <w:t>maintaining transparency of data holdings</w:t>
      </w:r>
    </w:p>
    <w:p w14:paraId="471FC736" w14:textId="10CBB3DA" w:rsidR="00942156" w:rsidRPr="00261C59" w:rsidRDefault="00942156" w:rsidP="004728D9">
      <w:pPr>
        <w:keepNext/>
        <w:numPr>
          <w:ilvl w:val="1"/>
          <w:numId w:val="177"/>
        </w:numPr>
        <w:spacing w:after="240" w:line="260" w:lineRule="exact"/>
        <w:jc w:val="left"/>
        <w:rPr>
          <w:rFonts w:ascii="Calibri" w:hAnsi="Calibri"/>
          <w:sz w:val="24"/>
          <w:szCs w:val="24"/>
        </w:rPr>
      </w:pPr>
      <w:r w:rsidRPr="00261C59">
        <w:rPr>
          <w:rFonts w:ascii="Calibri" w:hAnsi="Calibri"/>
          <w:sz w:val="24"/>
          <w:szCs w:val="24"/>
        </w:rPr>
        <w:t>building an inclusive data system that reflects Aboriginal and Torres Strait Islander perspectives and facilitates the integration of governance of Indigenous data principles</w:t>
      </w:r>
      <w:r w:rsidR="00E312D8">
        <w:rPr>
          <w:rFonts w:ascii="Calibri" w:hAnsi="Calibri"/>
          <w:sz w:val="24"/>
          <w:szCs w:val="24"/>
        </w:rPr>
        <w:t>.</w:t>
      </w:r>
      <w:r w:rsidRPr="00261C59">
        <w:rPr>
          <w:rFonts w:ascii="Calibri" w:hAnsi="Calibri"/>
          <w:sz w:val="24"/>
          <w:szCs w:val="24"/>
        </w:rPr>
        <w:t xml:space="preserve"> </w:t>
      </w:r>
    </w:p>
    <w:p w14:paraId="292A45C0" w14:textId="7777777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All Parties commit to building data-related capacity and capabilities within governments and across the health sector, including the ACCHOs, to facilitate data outcomes as agreed in this Addendum. </w:t>
      </w:r>
    </w:p>
    <w:p w14:paraId="2506B02E" w14:textId="505160D6"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The following principles will ensure strategic alignment across governments when developing a national system for improved data sharing and linkage</w:t>
      </w:r>
      <w:r w:rsidR="005E4DB6">
        <w:rPr>
          <w:rFonts w:ascii="Calibri" w:hAnsi="Calibri" w:cs="Calibri"/>
          <w:sz w:val="24"/>
          <w:szCs w:val="24"/>
        </w:rPr>
        <w:t>.</w:t>
      </w:r>
      <w:r w:rsidRPr="00261C59">
        <w:rPr>
          <w:rFonts w:ascii="Calibri" w:hAnsi="Calibri" w:cs="Calibri"/>
          <w:sz w:val="24"/>
          <w:szCs w:val="24"/>
        </w:rPr>
        <w:t> </w:t>
      </w:r>
    </w:p>
    <w:p w14:paraId="0CA1AB08" w14:textId="77777777" w:rsidR="00942156" w:rsidRPr="00261C59" w:rsidRDefault="00942156" w:rsidP="004728D9">
      <w:pPr>
        <w:keepNext/>
        <w:numPr>
          <w:ilvl w:val="1"/>
          <w:numId w:val="178"/>
        </w:numPr>
        <w:spacing w:after="240" w:line="260" w:lineRule="exact"/>
        <w:jc w:val="left"/>
        <w:rPr>
          <w:rFonts w:ascii="Calibri" w:hAnsi="Calibri"/>
          <w:sz w:val="24"/>
          <w:szCs w:val="24"/>
        </w:rPr>
      </w:pPr>
      <w:r w:rsidRPr="00261C59">
        <w:rPr>
          <w:rFonts w:ascii="Calibri" w:hAnsi="Calibri"/>
          <w:sz w:val="24"/>
          <w:szCs w:val="24"/>
        </w:rPr>
        <w:t>Single collection-multiple use of data – Maximise efficiency of data provision and linkage, where practical, to on-share or expand the use of data provided in accordance with legislative and privacy requirements.  </w:t>
      </w:r>
    </w:p>
    <w:p w14:paraId="312B0EF9" w14:textId="77777777" w:rsidR="00942156" w:rsidRPr="00261C59" w:rsidRDefault="00942156" w:rsidP="004728D9">
      <w:pPr>
        <w:keepNext/>
        <w:numPr>
          <w:ilvl w:val="1"/>
          <w:numId w:val="178"/>
        </w:numPr>
        <w:spacing w:after="240" w:line="260" w:lineRule="exact"/>
        <w:jc w:val="left"/>
        <w:rPr>
          <w:rFonts w:ascii="Calibri" w:hAnsi="Calibri"/>
          <w:sz w:val="24"/>
          <w:szCs w:val="24"/>
        </w:rPr>
      </w:pPr>
      <w:r w:rsidRPr="00261C59">
        <w:rPr>
          <w:rFonts w:ascii="Calibri" w:hAnsi="Calibri"/>
          <w:sz w:val="24"/>
          <w:szCs w:val="24"/>
        </w:rPr>
        <w:t>Protect privacy and build trust in data sharing – Develop and embed a culture that supports safe and transparent data sharing and linkage, in line with relevant privacy legislation, data sharing principles, Aboriginal and Torres Strait Islander data governance principles, ethical guidelines and safeguards agreed by all parties.  </w:t>
      </w:r>
    </w:p>
    <w:p w14:paraId="5BEA41B8" w14:textId="1A46C108" w:rsidR="00942156" w:rsidRPr="00261C59" w:rsidRDefault="00942156" w:rsidP="004728D9">
      <w:pPr>
        <w:widowControl/>
        <w:numPr>
          <w:ilvl w:val="1"/>
          <w:numId w:val="178"/>
        </w:numPr>
        <w:spacing w:after="240" w:line="260" w:lineRule="exact"/>
        <w:jc w:val="left"/>
        <w:rPr>
          <w:rFonts w:ascii="Calibri" w:hAnsi="Calibri"/>
          <w:sz w:val="24"/>
          <w:szCs w:val="24"/>
        </w:rPr>
      </w:pPr>
      <w:r w:rsidRPr="00261C59">
        <w:rPr>
          <w:rFonts w:ascii="Calibri" w:hAnsi="Calibri"/>
          <w:sz w:val="24"/>
          <w:szCs w:val="24"/>
        </w:rPr>
        <w:t>Sharing by default – All parties agree to share data as a default position, where it can be done in line with subclauses (</w:t>
      </w:r>
      <w:r w:rsidRPr="00261C59">
        <w:rPr>
          <w:rFonts w:ascii="Calibri" w:hAnsi="Calibri"/>
          <w:sz w:val="24"/>
        </w:rPr>
        <w:t>a) and (b</w:t>
      </w:r>
      <w:r w:rsidRPr="00261C59">
        <w:rPr>
          <w:rFonts w:ascii="Calibri" w:hAnsi="Calibri"/>
          <w:sz w:val="24"/>
          <w:szCs w:val="24"/>
        </w:rPr>
        <w:t>). </w:t>
      </w:r>
    </w:p>
    <w:p w14:paraId="44E812D3" w14:textId="77777777" w:rsidR="00942156" w:rsidRPr="00261C59" w:rsidRDefault="00942156" w:rsidP="004728D9">
      <w:pPr>
        <w:keepNext/>
        <w:numPr>
          <w:ilvl w:val="1"/>
          <w:numId w:val="178"/>
        </w:numPr>
        <w:spacing w:after="240" w:line="260" w:lineRule="exact"/>
        <w:jc w:val="left"/>
        <w:rPr>
          <w:rFonts w:ascii="Calibri" w:hAnsi="Calibri"/>
          <w:sz w:val="24"/>
          <w:szCs w:val="24"/>
        </w:rPr>
      </w:pPr>
      <w:r w:rsidRPr="00261C59">
        <w:rPr>
          <w:rFonts w:ascii="Calibri" w:hAnsi="Calibri"/>
          <w:sz w:val="24"/>
          <w:szCs w:val="24"/>
        </w:rPr>
        <w:t>Be collaborative and provide national leadership – Establish a unified approach for all parties to operate within, acknowledging the complexity of a federated health system, and competing priorities.  </w:t>
      </w:r>
    </w:p>
    <w:p w14:paraId="16270079" w14:textId="77777777" w:rsidR="00942156" w:rsidRPr="00261C59" w:rsidRDefault="00942156" w:rsidP="004728D9">
      <w:pPr>
        <w:widowControl/>
        <w:numPr>
          <w:ilvl w:val="1"/>
          <w:numId w:val="178"/>
        </w:numPr>
        <w:spacing w:after="240" w:line="260" w:lineRule="exact"/>
        <w:jc w:val="left"/>
        <w:rPr>
          <w:rFonts w:ascii="Calibri" w:hAnsi="Calibri"/>
          <w:sz w:val="24"/>
          <w:szCs w:val="24"/>
        </w:rPr>
      </w:pPr>
      <w:r w:rsidRPr="00261C59">
        <w:rPr>
          <w:rFonts w:ascii="Calibri" w:hAnsi="Calibri"/>
          <w:sz w:val="24"/>
          <w:szCs w:val="24"/>
        </w:rPr>
        <w:t xml:space="preserve">Leverage existing national and jurisdictional infrastructure – Leverage existing infrastructure and integrated data assets for sharing, linkage and analytics; this includes interoperability between assets. Where feasible, limit duplication of effort and ensure all jurisdictions can access data opportunities for public benefit. </w:t>
      </w:r>
    </w:p>
    <w:p w14:paraId="7149D0EF" w14:textId="77777777" w:rsidR="00942156" w:rsidRPr="00261C59" w:rsidRDefault="00942156" w:rsidP="008125AF">
      <w:pPr>
        <w:keepLines/>
        <w:numPr>
          <w:ilvl w:val="1"/>
          <w:numId w:val="178"/>
        </w:numPr>
        <w:spacing w:after="240" w:line="260" w:lineRule="exact"/>
        <w:jc w:val="left"/>
        <w:rPr>
          <w:rFonts w:ascii="Calibri" w:hAnsi="Calibri"/>
          <w:sz w:val="24"/>
          <w:szCs w:val="24"/>
        </w:rPr>
      </w:pPr>
      <w:r w:rsidRPr="00261C59">
        <w:rPr>
          <w:rFonts w:ascii="Calibri" w:hAnsi="Calibri"/>
          <w:sz w:val="24"/>
          <w:szCs w:val="24"/>
        </w:rPr>
        <w:t>Enhance data access for stakeholder groups where it is safe to do so and for public benefit, including the research community, and enable health experts to appropriately contextualise findings and support innovative delivery.  </w:t>
      </w:r>
    </w:p>
    <w:p w14:paraId="37E15CC2" w14:textId="77777777" w:rsidR="00942156" w:rsidRPr="00261C59" w:rsidRDefault="00942156" w:rsidP="004728D9">
      <w:pPr>
        <w:keepNext/>
        <w:numPr>
          <w:ilvl w:val="1"/>
          <w:numId w:val="178"/>
        </w:numPr>
        <w:spacing w:after="240" w:line="260" w:lineRule="exact"/>
        <w:jc w:val="left"/>
        <w:rPr>
          <w:rFonts w:ascii="Calibri" w:hAnsi="Calibri"/>
          <w:sz w:val="24"/>
          <w:szCs w:val="24"/>
        </w:rPr>
      </w:pPr>
      <w:r w:rsidRPr="00261C59">
        <w:rPr>
          <w:rFonts w:ascii="Calibri" w:hAnsi="Calibri"/>
          <w:sz w:val="24"/>
          <w:szCs w:val="24"/>
        </w:rPr>
        <w:t xml:space="preserve">Keep pace with technology – Continually improve and modernise to keep pace with changing technology, cybersecurity, and digital innovations that expedite data sharing, linkage, and analytics, while maintaining public trust and privacy.  </w:t>
      </w:r>
    </w:p>
    <w:p w14:paraId="5BB042BC" w14:textId="77777777" w:rsidR="00942156" w:rsidRPr="00261C59" w:rsidRDefault="00942156" w:rsidP="00DC74F7">
      <w:pPr>
        <w:keepLines/>
        <w:numPr>
          <w:ilvl w:val="1"/>
          <w:numId w:val="178"/>
        </w:numPr>
        <w:spacing w:after="240" w:line="260" w:lineRule="exact"/>
        <w:jc w:val="left"/>
        <w:rPr>
          <w:rFonts w:ascii="Calibri" w:hAnsi="Calibri"/>
          <w:sz w:val="24"/>
          <w:szCs w:val="24"/>
        </w:rPr>
      </w:pPr>
      <w:r w:rsidRPr="00261C59">
        <w:rPr>
          <w:rFonts w:ascii="Calibri" w:hAnsi="Calibri"/>
          <w:sz w:val="24"/>
          <w:szCs w:val="24"/>
        </w:rPr>
        <w:t xml:space="preserve">Interoperability enables better data - The increased interoperability of our underlying source systems will build better data assets. </w:t>
      </w:r>
    </w:p>
    <w:p w14:paraId="13FD1259" w14:textId="77777777" w:rsidR="00942156" w:rsidRPr="00261C59" w:rsidRDefault="00942156" w:rsidP="0036630C">
      <w:pPr>
        <w:keepLines/>
        <w:numPr>
          <w:ilvl w:val="1"/>
          <w:numId w:val="178"/>
        </w:numPr>
        <w:spacing w:after="240" w:line="260" w:lineRule="exact"/>
        <w:jc w:val="left"/>
        <w:rPr>
          <w:rFonts w:ascii="Calibri" w:hAnsi="Calibri"/>
          <w:sz w:val="24"/>
          <w:szCs w:val="24"/>
        </w:rPr>
      </w:pPr>
      <w:r w:rsidRPr="00261C59">
        <w:rPr>
          <w:rFonts w:ascii="Calibri" w:hAnsi="Calibri"/>
          <w:sz w:val="24"/>
          <w:szCs w:val="24"/>
        </w:rPr>
        <w:t>Invest in transparent and repeatable analytic methods - Analytic approaches to using shared data should be open and repeatable across governments for best-practice interoperability, quality assurance and efficiency.  </w:t>
      </w:r>
    </w:p>
    <w:p w14:paraId="6EB590F5" w14:textId="77777777" w:rsidR="00942156" w:rsidRPr="00261C59" w:rsidRDefault="00942156" w:rsidP="004728D9">
      <w:pPr>
        <w:keepNext/>
        <w:numPr>
          <w:ilvl w:val="1"/>
          <w:numId w:val="178"/>
        </w:numPr>
        <w:spacing w:after="240" w:line="260" w:lineRule="exact"/>
        <w:jc w:val="left"/>
        <w:rPr>
          <w:rFonts w:ascii="Calibri" w:hAnsi="Calibri"/>
          <w:sz w:val="24"/>
          <w:szCs w:val="24"/>
        </w:rPr>
      </w:pPr>
      <w:r w:rsidRPr="00261C59">
        <w:rPr>
          <w:rFonts w:ascii="Calibri" w:hAnsi="Calibri" w:cs="Arial"/>
          <w:sz w:val="24"/>
          <w:szCs w:val="24"/>
        </w:rPr>
        <w:t>Funding for success – The Parties recognise that funding and workforce capability and capacity are critical dependencies in designing and delivering system-wide data reforms and enabling governance and analytic functions under this Addendum.</w:t>
      </w:r>
    </w:p>
    <w:p w14:paraId="468702C9" w14:textId="2F2ADD64"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The Parties agree to design and develop a National Health Data System (NHDS) by 30</w:t>
      </w:r>
      <w:r w:rsidR="00EC381E" w:rsidRPr="00261C59">
        <w:rPr>
          <w:rFonts w:ascii="Calibri" w:hAnsi="Calibri" w:cs="Calibri"/>
          <w:sz w:val="24"/>
          <w:szCs w:val="24"/>
        </w:rPr>
        <w:t> </w:t>
      </w:r>
      <w:r w:rsidRPr="00261C59">
        <w:rPr>
          <w:rFonts w:ascii="Calibri" w:hAnsi="Calibri" w:cs="Calibri"/>
          <w:sz w:val="24"/>
          <w:szCs w:val="24"/>
        </w:rPr>
        <w:t>June</w:t>
      </w:r>
      <w:r w:rsidR="00EC381E" w:rsidRPr="00261C59">
        <w:rPr>
          <w:rFonts w:ascii="Calibri" w:hAnsi="Calibri" w:cs="Calibri"/>
          <w:sz w:val="24"/>
          <w:szCs w:val="24"/>
        </w:rPr>
        <w:t> </w:t>
      </w:r>
      <w:r w:rsidRPr="00261C59">
        <w:rPr>
          <w:rFonts w:ascii="Calibri" w:hAnsi="Calibri" w:cs="Calibri"/>
          <w:sz w:val="24"/>
          <w:szCs w:val="24"/>
        </w:rPr>
        <w:t xml:space="preserve">2031 to accelerate data sharing and linkage across the health system and care sectors. The NHDS will leverage a federated data linkage model and existing national infrastructure, where possible. </w:t>
      </w:r>
      <w:r w:rsidR="00A21CE7" w:rsidRPr="00261C59">
        <w:rPr>
          <w:rFonts w:ascii="Calibri" w:hAnsi="Calibri" w:cs="Calibri"/>
          <w:sz w:val="24"/>
          <w:szCs w:val="24"/>
        </w:rPr>
        <w:t>The timing and implementation of the NHDS will be subject to future decisions of government and jurisdictional budget processes.</w:t>
      </w:r>
      <w:r w:rsidRPr="00261C59">
        <w:rPr>
          <w:rFonts w:ascii="Calibri" w:hAnsi="Calibri" w:cs="Calibri"/>
          <w:sz w:val="24"/>
          <w:szCs w:val="24"/>
        </w:rPr>
        <w:t xml:space="preserve"> </w:t>
      </w:r>
    </w:p>
    <w:p w14:paraId="4482B58E" w14:textId="7777777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In delivering the NHDS, all Parties agree to collaborate on:</w:t>
      </w:r>
    </w:p>
    <w:p w14:paraId="657BEEF0" w14:textId="5CFCD34C" w:rsidR="00942156" w:rsidRPr="00261C59" w:rsidRDefault="00942156" w:rsidP="004728D9">
      <w:pPr>
        <w:keepNext/>
        <w:numPr>
          <w:ilvl w:val="1"/>
          <w:numId w:val="179"/>
        </w:numPr>
        <w:spacing w:after="240" w:line="260" w:lineRule="exact"/>
        <w:jc w:val="left"/>
        <w:rPr>
          <w:rFonts w:ascii="Calibri" w:hAnsi="Calibri"/>
          <w:sz w:val="24"/>
          <w:szCs w:val="24"/>
        </w:rPr>
      </w:pPr>
      <w:r w:rsidRPr="00261C59">
        <w:rPr>
          <w:rFonts w:ascii="Calibri" w:hAnsi="Calibri"/>
          <w:sz w:val="24"/>
          <w:szCs w:val="24"/>
        </w:rPr>
        <w:t>designing a networked data ecosystem to streamline and expedite data access and provision across government and health sector assets, with appropriate governance and risk management </w:t>
      </w:r>
    </w:p>
    <w:p w14:paraId="5E8A4BAC" w14:textId="6A42F77A" w:rsidR="00942156" w:rsidRPr="00261C59" w:rsidRDefault="00942156" w:rsidP="004728D9">
      <w:pPr>
        <w:keepNext/>
        <w:numPr>
          <w:ilvl w:val="1"/>
          <w:numId w:val="179"/>
        </w:numPr>
        <w:spacing w:after="240" w:line="260" w:lineRule="exact"/>
        <w:jc w:val="left"/>
        <w:rPr>
          <w:rFonts w:ascii="Calibri" w:hAnsi="Calibri"/>
          <w:sz w:val="24"/>
          <w:szCs w:val="24"/>
        </w:rPr>
      </w:pPr>
      <w:r w:rsidRPr="00261C59">
        <w:rPr>
          <w:rFonts w:ascii="Calibri" w:hAnsi="Calibri"/>
          <w:sz w:val="24"/>
          <w:szCs w:val="24"/>
        </w:rPr>
        <w:t>resolving conflicting information in datasets for national consistency and linkage readiness</w:t>
      </w:r>
    </w:p>
    <w:p w14:paraId="7A85E131" w14:textId="77777777" w:rsidR="00942156" w:rsidRPr="00261C59" w:rsidRDefault="00942156" w:rsidP="004728D9">
      <w:pPr>
        <w:keepNext/>
        <w:numPr>
          <w:ilvl w:val="1"/>
          <w:numId w:val="179"/>
        </w:numPr>
        <w:spacing w:after="240" w:line="260" w:lineRule="exact"/>
        <w:jc w:val="left"/>
        <w:rPr>
          <w:rFonts w:ascii="Calibri" w:hAnsi="Calibri"/>
          <w:sz w:val="24"/>
          <w:szCs w:val="24"/>
        </w:rPr>
      </w:pPr>
      <w:r w:rsidRPr="00261C59">
        <w:rPr>
          <w:rFonts w:ascii="Calibri" w:hAnsi="Calibri"/>
          <w:sz w:val="24"/>
          <w:szCs w:val="24"/>
        </w:rPr>
        <w:t>identifying data gaps and information missing from whole-of-systems view.</w:t>
      </w:r>
    </w:p>
    <w:p w14:paraId="7D1D2196" w14:textId="7777777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To deliver federated linkage of nationally significant datasets, and improve interoperability, Parties will work with the AIHW and the Australian Bureau of Statistics (ABS) to leverage existing or emerging data integration infrastructure and established integrated data assets. </w:t>
      </w:r>
    </w:p>
    <w:p w14:paraId="619E8362" w14:textId="7CFB0E74"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All Parties agree to provide data for the </w:t>
      </w:r>
      <w:r w:rsidR="009A757A" w:rsidRPr="00261C59">
        <w:rPr>
          <w:rFonts w:ascii="Calibri" w:hAnsi="Calibri" w:cs="Calibri"/>
          <w:sz w:val="24"/>
          <w:szCs w:val="24"/>
        </w:rPr>
        <w:t>National Minimum Data Sets (</w:t>
      </w:r>
      <w:r w:rsidRPr="00261C59">
        <w:rPr>
          <w:rFonts w:ascii="Calibri" w:hAnsi="Calibri" w:cs="Calibri"/>
          <w:sz w:val="24"/>
          <w:szCs w:val="24"/>
        </w:rPr>
        <w:t>NMDS</w:t>
      </w:r>
      <w:r w:rsidR="009A757A" w:rsidRPr="00261C59">
        <w:rPr>
          <w:rFonts w:ascii="Calibri" w:hAnsi="Calibri" w:cs="Calibri"/>
          <w:sz w:val="24"/>
          <w:szCs w:val="24"/>
        </w:rPr>
        <w:t>)</w:t>
      </w:r>
      <w:r w:rsidRPr="00261C59">
        <w:rPr>
          <w:rFonts w:ascii="Calibri" w:hAnsi="Calibri" w:cs="Calibri"/>
          <w:sz w:val="24"/>
          <w:szCs w:val="24"/>
        </w:rPr>
        <w:t xml:space="preserve"> listed in the National Health Data Dictionary, which may be updated periodically with the agreement of the Parties.</w:t>
      </w:r>
    </w:p>
    <w:p w14:paraId="1923253D" w14:textId="77777777" w:rsidR="00942156" w:rsidRPr="00261C59" w:rsidRDefault="00942156" w:rsidP="00F262FD">
      <w:pPr>
        <w:keepNext/>
        <w:keepLines/>
        <w:jc w:val="left"/>
        <w:outlineLvl w:val="2"/>
        <w:rPr>
          <w:rFonts w:ascii="Corbel" w:hAnsi="Corbel"/>
          <w:color w:val="3D4B67"/>
          <w:sz w:val="28"/>
          <w:szCs w:val="48"/>
          <w:lang w:eastAsia="ja-JP"/>
        </w:rPr>
      </w:pPr>
      <w:bookmarkStart w:id="794" w:name="_Toc173428327"/>
      <w:bookmarkStart w:id="795" w:name="_Toc173937777"/>
      <w:bookmarkStart w:id="796" w:name="_Toc210833692"/>
      <w:bookmarkStart w:id="797" w:name="_Toc214456592"/>
      <w:bookmarkStart w:id="798" w:name="_Toc221088077"/>
      <w:r w:rsidRPr="00261C59">
        <w:rPr>
          <w:rFonts w:ascii="Corbel" w:hAnsi="Corbel"/>
          <w:color w:val="3D4B67"/>
          <w:sz w:val="28"/>
          <w:szCs w:val="48"/>
          <w:lang w:eastAsia="ja-JP"/>
        </w:rPr>
        <w:t>Data sharing</w:t>
      </w:r>
      <w:bookmarkEnd w:id="794"/>
      <w:bookmarkEnd w:id="795"/>
      <w:bookmarkEnd w:id="796"/>
      <w:bookmarkEnd w:id="797"/>
      <w:bookmarkEnd w:id="798"/>
    </w:p>
    <w:p w14:paraId="74585871" w14:textId="77777777" w:rsidR="00942156" w:rsidRPr="00261C59" w:rsidRDefault="00942156" w:rsidP="004728D9">
      <w:pPr>
        <w:keepNext/>
        <w:keepLines/>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To ensure that States can effectively fulfil their responsibilities in public hospital management and health planning, the Commonwealth will commit to multi-way sharing, for purposes in the public interest, of its own nationally significant health datasets in line with relevant legislation, including the </w:t>
      </w:r>
      <w:r w:rsidRPr="00261C59">
        <w:rPr>
          <w:rFonts w:ascii="Calibri" w:hAnsi="Calibri" w:cs="Calibri"/>
          <w:i/>
          <w:sz w:val="24"/>
          <w:szCs w:val="24"/>
        </w:rPr>
        <w:t xml:space="preserve">Data </w:t>
      </w:r>
      <w:r w:rsidRPr="00261C59">
        <w:rPr>
          <w:rFonts w:ascii="Calibri" w:hAnsi="Calibri" w:cs="Calibri"/>
          <w:i/>
          <w:iCs/>
          <w:sz w:val="24"/>
          <w:szCs w:val="24"/>
        </w:rPr>
        <w:t>Availability</w:t>
      </w:r>
      <w:r w:rsidRPr="00261C59">
        <w:rPr>
          <w:rFonts w:ascii="Calibri" w:hAnsi="Calibri" w:cs="Calibri"/>
          <w:i/>
          <w:sz w:val="24"/>
          <w:szCs w:val="24"/>
        </w:rPr>
        <w:t xml:space="preserve"> and Transparency </w:t>
      </w:r>
      <w:r w:rsidRPr="00261C59">
        <w:rPr>
          <w:rFonts w:ascii="Calibri" w:hAnsi="Calibri" w:cs="Calibri"/>
          <w:i/>
          <w:iCs/>
          <w:sz w:val="24"/>
          <w:szCs w:val="24"/>
        </w:rPr>
        <w:t xml:space="preserve">Act (DATA) </w:t>
      </w:r>
      <w:r w:rsidRPr="00261C59">
        <w:rPr>
          <w:rFonts w:ascii="Calibri" w:hAnsi="Calibri" w:cs="Calibri"/>
          <w:i/>
          <w:sz w:val="24"/>
          <w:szCs w:val="24"/>
        </w:rPr>
        <w:t>Scheme</w:t>
      </w:r>
      <w:r w:rsidRPr="00261C59">
        <w:rPr>
          <w:rFonts w:ascii="Calibri" w:hAnsi="Calibri" w:cs="Calibri"/>
          <w:sz w:val="24"/>
          <w:szCs w:val="24"/>
        </w:rPr>
        <w:t>. Datasets may include but are not restricted to:</w:t>
      </w:r>
    </w:p>
    <w:p w14:paraId="7C45EB98" w14:textId="261D009A" w:rsidR="00942156" w:rsidRPr="00261C59" w:rsidRDefault="00942156" w:rsidP="004728D9">
      <w:pPr>
        <w:keepNext/>
        <w:numPr>
          <w:ilvl w:val="1"/>
          <w:numId w:val="180"/>
        </w:numPr>
        <w:spacing w:after="240" w:line="260" w:lineRule="exact"/>
        <w:jc w:val="left"/>
        <w:rPr>
          <w:rFonts w:ascii="Calibri" w:hAnsi="Calibri"/>
          <w:sz w:val="24"/>
          <w:szCs w:val="24"/>
        </w:rPr>
      </w:pPr>
      <w:r w:rsidRPr="00261C59">
        <w:rPr>
          <w:rFonts w:ascii="Calibri" w:hAnsi="Calibri"/>
          <w:sz w:val="24"/>
          <w:szCs w:val="24"/>
        </w:rPr>
        <w:t>Medicare Consumer Directory</w:t>
      </w:r>
    </w:p>
    <w:p w14:paraId="216C32DD" w14:textId="41ACE265" w:rsidR="00942156" w:rsidRPr="00261C59" w:rsidRDefault="00942156" w:rsidP="004728D9">
      <w:pPr>
        <w:keepNext/>
        <w:numPr>
          <w:ilvl w:val="1"/>
          <w:numId w:val="180"/>
        </w:numPr>
        <w:spacing w:after="240" w:line="260" w:lineRule="exact"/>
        <w:jc w:val="left"/>
        <w:rPr>
          <w:rFonts w:ascii="Calibri" w:hAnsi="Calibri"/>
          <w:sz w:val="24"/>
          <w:szCs w:val="24"/>
        </w:rPr>
      </w:pPr>
      <w:r w:rsidRPr="00261C59">
        <w:rPr>
          <w:rFonts w:ascii="Calibri" w:hAnsi="Calibri"/>
          <w:sz w:val="24"/>
          <w:szCs w:val="24"/>
        </w:rPr>
        <w:t>Medicare Benefits Schedule</w:t>
      </w:r>
    </w:p>
    <w:p w14:paraId="4EE7F983" w14:textId="20761D5A" w:rsidR="00942156" w:rsidRPr="00261C59" w:rsidRDefault="00942156" w:rsidP="004728D9">
      <w:pPr>
        <w:keepNext/>
        <w:numPr>
          <w:ilvl w:val="1"/>
          <w:numId w:val="180"/>
        </w:numPr>
        <w:spacing w:after="240" w:line="260" w:lineRule="exact"/>
        <w:jc w:val="left"/>
        <w:rPr>
          <w:rFonts w:ascii="Calibri" w:hAnsi="Calibri"/>
          <w:sz w:val="24"/>
          <w:szCs w:val="24"/>
        </w:rPr>
      </w:pPr>
      <w:r w:rsidRPr="00261C59">
        <w:rPr>
          <w:rFonts w:ascii="Calibri" w:hAnsi="Calibri"/>
          <w:sz w:val="24"/>
          <w:szCs w:val="24"/>
        </w:rPr>
        <w:t>Pharmaceutical Benefits Scheme</w:t>
      </w:r>
    </w:p>
    <w:p w14:paraId="345BFD64" w14:textId="6E50C54F" w:rsidR="00942156" w:rsidRPr="00261C59" w:rsidRDefault="00942156" w:rsidP="004728D9">
      <w:pPr>
        <w:keepNext/>
        <w:numPr>
          <w:ilvl w:val="1"/>
          <w:numId w:val="180"/>
        </w:numPr>
        <w:spacing w:after="240" w:line="260" w:lineRule="exact"/>
        <w:jc w:val="left"/>
        <w:rPr>
          <w:rFonts w:ascii="Calibri" w:hAnsi="Calibri"/>
          <w:sz w:val="24"/>
          <w:szCs w:val="24"/>
        </w:rPr>
      </w:pPr>
      <w:r w:rsidRPr="00261C59">
        <w:rPr>
          <w:rFonts w:ascii="Calibri" w:hAnsi="Calibri"/>
          <w:sz w:val="24"/>
          <w:szCs w:val="24"/>
        </w:rPr>
        <w:t>Australian Immunisation Register</w:t>
      </w:r>
    </w:p>
    <w:p w14:paraId="4814C742" w14:textId="2BAE49B5" w:rsidR="00942156" w:rsidRPr="00261C59" w:rsidRDefault="00942156" w:rsidP="00DC74F7">
      <w:pPr>
        <w:numPr>
          <w:ilvl w:val="1"/>
          <w:numId w:val="180"/>
        </w:numPr>
        <w:spacing w:after="240" w:line="260" w:lineRule="exact"/>
        <w:jc w:val="left"/>
        <w:rPr>
          <w:rFonts w:ascii="Calibri" w:hAnsi="Calibri"/>
          <w:sz w:val="24"/>
          <w:szCs w:val="24"/>
        </w:rPr>
      </w:pPr>
      <w:r w:rsidRPr="00261C59">
        <w:rPr>
          <w:rFonts w:ascii="Calibri" w:hAnsi="Calibri"/>
          <w:sz w:val="24"/>
          <w:szCs w:val="24"/>
        </w:rPr>
        <w:t>Aged Care (residential and community-based care extracts from the National Aged Care Data Clearinghouse)</w:t>
      </w:r>
    </w:p>
    <w:p w14:paraId="602D1853" w14:textId="584E6EB5" w:rsidR="00942156" w:rsidRPr="00261C59" w:rsidRDefault="00942156" w:rsidP="004728D9">
      <w:pPr>
        <w:keepNext/>
        <w:numPr>
          <w:ilvl w:val="1"/>
          <w:numId w:val="180"/>
        </w:numPr>
        <w:spacing w:after="240" w:line="260" w:lineRule="exact"/>
        <w:jc w:val="left"/>
        <w:rPr>
          <w:rFonts w:ascii="Calibri" w:hAnsi="Calibri"/>
          <w:sz w:val="24"/>
          <w:szCs w:val="24"/>
        </w:rPr>
      </w:pPr>
      <w:r w:rsidRPr="00261C59">
        <w:rPr>
          <w:rFonts w:ascii="Calibri" w:hAnsi="Calibri"/>
          <w:sz w:val="24"/>
          <w:szCs w:val="24"/>
        </w:rPr>
        <w:t>Primary care information owned by the Commonwealth</w:t>
      </w:r>
    </w:p>
    <w:p w14:paraId="3D0B10D4" w14:textId="77777777" w:rsidR="00942156" w:rsidRPr="00261C59" w:rsidRDefault="00942156" w:rsidP="00C968FE">
      <w:pPr>
        <w:numPr>
          <w:ilvl w:val="1"/>
          <w:numId w:val="180"/>
        </w:numPr>
        <w:spacing w:after="240" w:line="260" w:lineRule="exact"/>
        <w:jc w:val="left"/>
        <w:rPr>
          <w:rFonts w:ascii="Calibri" w:hAnsi="Calibri"/>
          <w:sz w:val="24"/>
          <w:szCs w:val="24"/>
        </w:rPr>
      </w:pPr>
      <w:r w:rsidRPr="00261C59">
        <w:rPr>
          <w:rFonts w:ascii="Calibri" w:hAnsi="Calibri"/>
          <w:sz w:val="24"/>
          <w:szCs w:val="24"/>
        </w:rPr>
        <w:t xml:space="preserve">New or emerging priorities as mutually agreed over the life of this Addendum.  </w:t>
      </w:r>
    </w:p>
    <w:p w14:paraId="6C916556" w14:textId="2E9AC597" w:rsidR="00942156" w:rsidRPr="00261C59" w:rsidRDefault="00942156" w:rsidP="00C968FE">
      <w:pPr>
        <w:keepLines/>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Multi-way data sharing by States will in turn support the Commonwealth to fulfil its stewardship and health system responsibilities. To deliver an end-to-end systems view of diverse patient pathways under the NHDS, all Parties commit to broader sharing and linkage of health-related NMDS and key State data in line with relevant legislation. Datasets may include but are not restricted to:</w:t>
      </w:r>
    </w:p>
    <w:p w14:paraId="20E989A8" w14:textId="53F9FA4F" w:rsidR="00942156" w:rsidRPr="00261C59" w:rsidRDefault="00942156" w:rsidP="004728D9">
      <w:pPr>
        <w:numPr>
          <w:ilvl w:val="1"/>
          <w:numId w:val="181"/>
        </w:numPr>
        <w:spacing w:after="240" w:line="260" w:lineRule="exact"/>
        <w:jc w:val="left"/>
        <w:rPr>
          <w:rFonts w:ascii="Calibri" w:hAnsi="Calibri"/>
          <w:sz w:val="24"/>
          <w:szCs w:val="24"/>
        </w:rPr>
      </w:pPr>
      <w:r w:rsidRPr="00261C59">
        <w:rPr>
          <w:rFonts w:ascii="Calibri" w:hAnsi="Calibri"/>
          <w:sz w:val="24"/>
          <w:szCs w:val="24"/>
        </w:rPr>
        <w:t>Admitted Patient Care (APC) NMDS</w:t>
      </w:r>
    </w:p>
    <w:p w14:paraId="3A52BDC9" w14:textId="38047966" w:rsidR="00942156" w:rsidRPr="00261C59" w:rsidRDefault="00942156" w:rsidP="004728D9">
      <w:pPr>
        <w:numPr>
          <w:ilvl w:val="1"/>
          <w:numId w:val="181"/>
        </w:numPr>
        <w:spacing w:after="240" w:line="260" w:lineRule="exact"/>
        <w:jc w:val="left"/>
        <w:rPr>
          <w:rFonts w:ascii="Calibri" w:hAnsi="Calibri"/>
          <w:sz w:val="24"/>
          <w:szCs w:val="24"/>
        </w:rPr>
      </w:pPr>
      <w:r w:rsidRPr="00261C59">
        <w:rPr>
          <w:rFonts w:ascii="Calibri" w:hAnsi="Calibri"/>
          <w:sz w:val="24"/>
          <w:szCs w:val="24"/>
        </w:rPr>
        <w:t>National Non-admitted Patient Emergency Department Care National Minimum Data Set (NAPEDC NMDS)</w:t>
      </w:r>
    </w:p>
    <w:p w14:paraId="13479400" w14:textId="1EB20996" w:rsidR="00942156" w:rsidRPr="00261C59" w:rsidRDefault="00942156" w:rsidP="004728D9">
      <w:pPr>
        <w:numPr>
          <w:ilvl w:val="1"/>
          <w:numId w:val="181"/>
        </w:numPr>
        <w:spacing w:after="240" w:line="260" w:lineRule="exact"/>
        <w:jc w:val="left"/>
        <w:rPr>
          <w:rFonts w:ascii="Calibri" w:hAnsi="Calibri"/>
          <w:sz w:val="24"/>
          <w:szCs w:val="24"/>
        </w:rPr>
      </w:pPr>
      <w:r w:rsidRPr="00261C59">
        <w:rPr>
          <w:rFonts w:ascii="Calibri" w:hAnsi="Calibri"/>
          <w:sz w:val="24"/>
          <w:szCs w:val="24"/>
        </w:rPr>
        <w:t>Non-admitted patient National Best Endeavours Dataset (NAP NBEDS)</w:t>
      </w:r>
    </w:p>
    <w:p w14:paraId="3C057E85" w14:textId="2F267691" w:rsidR="00942156" w:rsidRPr="00261C59" w:rsidRDefault="00942156" w:rsidP="004728D9">
      <w:pPr>
        <w:numPr>
          <w:ilvl w:val="1"/>
          <w:numId w:val="181"/>
        </w:numPr>
        <w:spacing w:after="240" w:line="260" w:lineRule="exact"/>
        <w:jc w:val="left"/>
        <w:rPr>
          <w:rFonts w:ascii="Calibri" w:hAnsi="Calibri"/>
          <w:sz w:val="24"/>
          <w:szCs w:val="24"/>
        </w:rPr>
      </w:pPr>
      <w:r w:rsidRPr="00261C59">
        <w:rPr>
          <w:rFonts w:ascii="Calibri" w:hAnsi="Calibri"/>
          <w:sz w:val="24"/>
          <w:szCs w:val="24"/>
        </w:rPr>
        <w:t>Community Mental Health Care National Minimum Dataset (CMHC NMDS)</w:t>
      </w:r>
    </w:p>
    <w:p w14:paraId="39D388D6" w14:textId="719F5F8E" w:rsidR="00942156" w:rsidRPr="00261C59" w:rsidRDefault="00942156" w:rsidP="004728D9">
      <w:pPr>
        <w:numPr>
          <w:ilvl w:val="1"/>
          <w:numId w:val="181"/>
        </w:numPr>
        <w:spacing w:after="240" w:line="260" w:lineRule="exact"/>
        <w:jc w:val="left"/>
        <w:rPr>
          <w:rFonts w:ascii="Calibri" w:hAnsi="Calibri"/>
          <w:sz w:val="24"/>
          <w:szCs w:val="24"/>
        </w:rPr>
      </w:pPr>
      <w:r w:rsidRPr="00261C59">
        <w:rPr>
          <w:rFonts w:ascii="Calibri" w:hAnsi="Calibri"/>
          <w:sz w:val="24"/>
          <w:szCs w:val="24"/>
        </w:rPr>
        <w:t>Mental Health Establishments (MHE) NMDS</w:t>
      </w:r>
    </w:p>
    <w:p w14:paraId="03354F64" w14:textId="0A21C459" w:rsidR="00942156" w:rsidRPr="00261C59" w:rsidRDefault="00942156" w:rsidP="004728D9">
      <w:pPr>
        <w:numPr>
          <w:ilvl w:val="1"/>
          <w:numId w:val="181"/>
        </w:numPr>
        <w:spacing w:after="240" w:line="260" w:lineRule="exact"/>
        <w:jc w:val="left"/>
        <w:rPr>
          <w:rFonts w:ascii="Calibri" w:hAnsi="Calibri"/>
          <w:sz w:val="24"/>
          <w:szCs w:val="24"/>
        </w:rPr>
      </w:pPr>
      <w:r w:rsidRPr="00261C59">
        <w:rPr>
          <w:rFonts w:ascii="Calibri" w:hAnsi="Calibri"/>
          <w:sz w:val="24"/>
          <w:szCs w:val="24"/>
        </w:rPr>
        <w:t>Local Hospital Networks/Public Hospital Establishments (LHN/PHE) NMDS</w:t>
      </w:r>
    </w:p>
    <w:p w14:paraId="2F33540B" w14:textId="4C764440" w:rsidR="00942156" w:rsidRPr="00261C59" w:rsidRDefault="00942156" w:rsidP="004728D9">
      <w:pPr>
        <w:numPr>
          <w:ilvl w:val="1"/>
          <w:numId w:val="181"/>
        </w:numPr>
        <w:spacing w:after="240" w:line="260" w:lineRule="exact"/>
        <w:jc w:val="left"/>
        <w:rPr>
          <w:rFonts w:ascii="Calibri" w:hAnsi="Calibri"/>
          <w:sz w:val="24"/>
          <w:szCs w:val="24"/>
        </w:rPr>
      </w:pPr>
      <w:r w:rsidRPr="00261C59">
        <w:rPr>
          <w:rFonts w:ascii="Calibri" w:hAnsi="Calibri"/>
          <w:sz w:val="24"/>
          <w:szCs w:val="24"/>
        </w:rPr>
        <w:t>National Outcomes and Casemix (NOCC) NMDS</w:t>
      </w:r>
    </w:p>
    <w:p w14:paraId="5F2C03FC" w14:textId="702534BF" w:rsidR="00942156" w:rsidRPr="00261C59" w:rsidRDefault="00942156" w:rsidP="004728D9">
      <w:pPr>
        <w:numPr>
          <w:ilvl w:val="1"/>
          <w:numId w:val="181"/>
        </w:numPr>
        <w:spacing w:after="240" w:line="260" w:lineRule="exact"/>
        <w:jc w:val="left"/>
        <w:rPr>
          <w:rFonts w:ascii="Calibri" w:hAnsi="Calibri"/>
          <w:sz w:val="24"/>
          <w:szCs w:val="24"/>
        </w:rPr>
      </w:pPr>
      <w:r w:rsidRPr="00261C59">
        <w:rPr>
          <w:rFonts w:ascii="Calibri" w:hAnsi="Calibri"/>
          <w:sz w:val="24"/>
          <w:szCs w:val="24"/>
        </w:rPr>
        <w:t>Residential Mental Health Care (RMHC) NMDS</w:t>
      </w:r>
    </w:p>
    <w:p w14:paraId="36A1D129" w14:textId="5E6579FF" w:rsidR="00942156" w:rsidRPr="00261C59" w:rsidRDefault="00942156" w:rsidP="004728D9">
      <w:pPr>
        <w:numPr>
          <w:ilvl w:val="1"/>
          <w:numId w:val="181"/>
        </w:numPr>
        <w:spacing w:after="240" w:line="260" w:lineRule="exact"/>
        <w:jc w:val="left"/>
        <w:rPr>
          <w:rFonts w:ascii="Calibri" w:hAnsi="Calibri"/>
          <w:sz w:val="24"/>
          <w:szCs w:val="24"/>
        </w:rPr>
      </w:pPr>
      <w:r w:rsidRPr="00261C59">
        <w:rPr>
          <w:rFonts w:ascii="Calibri" w:hAnsi="Calibri"/>
          <w:sz w:val="24"/>
          <w:szCs w:val="24"/>
        </w:rPr>
        <w:t>Australian Cancer Database (extract)</w:t>
      </w:r>
    </w:p>
    <w:p w14:paraId="78E1D9F9" w14:textId="76061A27" w:rsidR="00942156" w:rsidRPr="00261C59" w:rsidRDefault="00942156" w:rsidP="004728D9">
      <w:pPr>
        <w:numPr>
          <w:ilvl w:val="1"/>
          <w:numId w:val="181"/>
        </w:numPr>
        <w:spacing w:after="240" w:line="260" w:lineRule="exact"/>
        <w:jc w:val="left"/>
        <w:rPr>
          <w:rFonts w:ascii="Calibri" w:hAnsi="Calibri"/>
          <w:sz w:val="24"/>
          <w:szCs w:val="24"/>
        </w:rPr>
      </w:pPr>
      <w:r w:rsidRPr="00261C59">
        <w:rPr>
          <w:rFonts w:ascii="Calibri" w:hAnsi="Calibri"/>
          <w:sz w:val="24"/>
          <w:szCs w:val="24"/>
        </w:rPr>
        <w:t>Primary care information owned by States</w:t>
      </w:r>
    </w:p>
    <w:p w14:paraId="0B741B9F" w14:textId="6326474C" w:rsidR="00942156" w:rsidRPr="00261C59" w:rsidRDefault="00942156" w:rsidP="004728D9">
      <w:pPr>
        <w:numPr>
          <w:ilvl w:val="1"/>
          <w:numId w:val="181"/>
        </w:numPr>
        <w:spacing w:after="240" w:line="260" w:lineRule="exact"/>
        <w:jc w:val="left"/>
        <w:rPr>
          <w:rFonts w:ascii="Calibri" w:hAnsi="Calibri"/>
          <w:sz w:val="24"/>
          <w:szCs w:val="24"/>
        </w:rPr>
      </w:pPr>
      <w:r w:rsidRPr="00261C59">
        <w:rPr>
          <w:rFonts w:ascii="Calibri" w:hAnsi="Calibri"/>
          <w:sz w:val="24"/>
          <w:szCs w:val="24"/>
        </w:rPr>
        <w:t>National Notifiable Disease Surveillance System (NNDSS)</w:t>
      </w:r>
    </w:p>
    <w:p w14:paraId="0054677A" w14:textId="4E8A15A3" w:rsidR="00942156" w:rsidRPr="00261C59" w:rsidRDefault="00942156" w:rsidP="004728D9">
      <w:pPr>
        <w:numPr>
          <w:ilvl w:val="1"/>
          <w:numId w:val="181"/>
        </w:numPr>
        <w:spacing w:after="240" w:line="260" w:lineRule="exact"/>
        <w:jc w:val="left"/>
        <w:rPr>
          <w:rFonts w:ascii="Calibri" w:hAnsi="Calibri"/>
          <w:sz w:val="24"/>
          <w:szCs w:val="24"/>
        </w:rPr>
      </w:pPr>
      <w:r w:rsidRPr="00261C59">
        <w:rPr>
          <w:rFonts w:ascii="Calibri" w:hAnsi="Calibri"/>
          <w:sz w:val="24"/>
          <w:szCs w:val="24"/>
        </w:rPr>
        <w:t>National Perinatal Collection</w:t>
      </w:r>
    </w:p>
    <w:p w14:paraId="41125616" w14:textId="77777777" w:rsidR="00942156" w:rsidRPr="00261C59" w:rsidRDefault="00942156" w:rsidP="004728D9">
      <w:pPr>
        <w:numPr>
          <w:ilvl w:val="1"/>
          <w:numId w:val="181"/>
        </w:numPr>
        <w:spacing w:after="240" w:line="260" w:lineRule="exact"/>
        <w:jc w:val="left"/>
        <w:rPr>
          <w:rFonts w:ascii="Calibri" w:hAnsi="Calibri"/>
          <w:sz w:val="24"/>
          <w:szCs w:val="24"/>
        </w:rPr>
      </w:pPr>
      <w:r w:rsidRPr="00261C59">
        <w:rPr>
          <w:rFonts w:ascii="Calibri" w:hAnsi="Calibri"/>
          <w:sz w:val="24"/>
          <w:szCs w:val="24"/>
        </w:rPr>
        <w:t xml:space="preserve">New or emerging priorities as mutually agreed over the life of this Addendum.   </w:t>
      </w:r>
    </w:p>
    <w:p w14:paraId="777D6E9F" w14:textId="0CAD106C"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Datasets outside the health portfolios may be required to develop comprehensive policy, models of service delivery and research, such as across care interfaces or for priority populations. The Parties agree to engage with relevant State, Commonwealth or other custodians to facilitate reasonable data access or multi-way sharing where possible, in line with parameters agreed in H3</w:t>
      </w:r>
      <w:r w:rsidR="006C43EB" w:rsidRPr="00261C59">
        <w:rPr>
          <w:rFonts w:ascii="Calibri" w:hAnsi="Calibri" w:cs="Calibri"/>
          <w:sz w:val="24"/>
          <w:szCs w:val="24"/>
        </w:rPr>
        <w:t>1</w:t>
      </w:r>
      <w:r w:rsidRPr="00261C59">
        <w:rPr>
          <w:rFonts w:ascii="Calibri" w:hAnsi="Calibri" w:cs="Calibri"/>
          <w:sz w:val="24"/>
          <w:szCs w:val="24"/>
        </w:rPr>
        <w:t xml:space="preserve"> and H3</w:t>
      </w:r>
      <w:r w:rsidR="006C43EB" w:rsidRPr="00261C59">
        <w:rPr>
          <w:rFonts w:ascii="Calibri" w:hAnsi="Calibri" w:cs="Calibri"/>
          <w:sz w:val="24"/>
          <w:szCs w:val="24"/>
        </w:rPr>
        <w:t>3</w:t>
      </w:r>
      <w:r w:rsidRPr="00261C59">
        <w:rPr>
          <w:rFonts w:ascii="Calibri" w:hAnsi="Calibri" w:cs="Calibri"/>
          <w:sz w:val="24"/>
          <w:szCs w:val="24"/>
        </w:rPr>
        <w:t xml:space="preserve">, such that: </w:t>
      </w:r>
    </w:p>
    <w:p w14:paraId="2209AFD1" w14:textId="77777777" w:rsidR="00942156" w:rsidRPr="00261C59" w:rsidRDefault="00942156" w:rsidP="004728D9">
      <w:pPr>
        <w:numPr>
          <w:ilvl w:val="1"/>
          <w:numId w:val="182"/>
        </w:numPr>
        <w:spacing w:after="240" w:line="260" w:lineRule="exact"/>
        <w:jc w:val="left"/>
        <w:rPr>
          <w:rFonts w:ascii="Calibri" w:hAnsi="Calibri"/>
          <w:sz w:val="24"/>
          <w:szCs w:val="24"/>
        </w:rPr>
      </w:pPr>
      <w:r w:rsidRPr="00261C59">
        <w:rPr>
          <w:rFonts w:ascii="Calibri" w:hAnsi="Calibri"/>
          <w:sz w:val="24"/>
          <w:szCs w:val="24"/>
        </w:rPr>
        <w:t>the Australian Government Department of Health, Disability and Ageing will engage with relevant Commonwealth custodians on datasets including but not restricted to:</w:t>
      </w:r>
    </w:p>
    <w:p w14:paraId="68AAA7AF" w14:textId="77777777" w:rsidR="00942156" w:rsidRPr="00261C59" w:rsidRDefault="00942156" w:rsidP="004728D9">
      <w:pPr>
        <w:numPr>
          <w:ilvl w:val="2"/>
          <w:numId w:val="182"/>
        </w:numPr>
        <w:spacing w:after="240" w:line="260" w:lineRule="exact"/>
        <w:jc w:val="left"/>
        <w:rPr>
          <w:rFonts w:ascii="Calibri" w:hAnsi="Calibri" w:cs="Calibri"/>
          <w:sz w:val="24"/>
          <w:szCs w:val="24"/>
        </w:rPr>
      </w:pPr>
      <w:r w:rsidRPr="00261C59">
        <w:rPr>
          <w:rFonts w:ascii="Calibri" w:hAnsi="Calibri" w:cs="Calibri"/>
          <w:sz w:val="24"/>
          <w:szCs w:val="24"/>
        </w:rPr>
        <w:t>National Disability Insurance Scheme.</w:t>
      </w:r>
    </w:p>
    <w:p w14:paraId="75EFDEB4" w14:textId="77777777" w:rsidR="00942156" w:rsidRPr="00261C59" w:rsidRDefault="00942156" w:rsidP="004728D9">
      <w:pPr>
        <w:numPr>
          <w:ilvl w:val="2"/>
          <w:numId w:val="182"/>
        </w:numPr>
        <w:spacing w:after="240" w:line="260" w:lineRule="exact"/>
        <w:jc w:val="left"/>
        <w:rPr>
          <w:rFonts w:ascii="Calibri" w:hAnsi="Calibri" w:cs="Calibri"/>
          <w:sz w:val="24"/>
          <w:szCs w:val="24"/>
        </w:rPr>
      </w:pPr>
      <w:r w:rsidRPr="00261C59">
        <w:rPr>
          <w:rFonts w:ascii="Calibri" w:hAnsi="Calibri" w:cs="Calibri"/>
          <w:sz w:val="24"/>
          <w:szCs w:val="24"/>
        </w:rPr>
        <w:t>Department of Veterans’ Affairs administrative dataset(s).</w:t>
      </w:r>
    </w:p>
    <w:p w14:paraId="0E3FA272" w14:textId="77777777" w:rsidR="00942156" w:rsidRPr="00261C59" w:rsidRDefault="00942156" w:rsidP="004728D9">
      <w:pPr>
        <w:numPr>
          <w:ilvl w:val="2"/>
          <w:numId w:val="182"/>
        </w:numPr>
        <w:spacing w:after="240" w:line="260" w:lineRule="exact"/>
        <w:jc w:val="left"/>
        <w:rPr>
          <w:rFonts w:ascii="Calibri" w:hAnsi="Calibri" w:cs="Calibri"/>
          <w:sz w:val="24"/>
          <w:szCs w:val="24"/>
        </w:rPr>
      </w:pPr>
      <w:r w:rsidRPr="00261C59">
        <w:rPr>
          <w:rFonts w:ascii="Calibri" w:hAnsi="Calibri" w:cs="Calibri"/>
          <w:sz w:val="24"/>
          <w:szCs w:val="24"/>
        </w:rPr>
        <w:t>Data Over Multiple Individual Occurrences (DOMINO).</w:t>
      </w:r>
    </w:p>
    <w:p w14:paraId="3A47970D" w14:textId="77777777" w:rsidR="00942156" w:rsidRPr="00261C59" w:rsidRDefault="00942156" w:rsidP="00DC74F7">
      <w:pPr>
        <w:keepNext/>
        <w:keepLines/>
        <w:numPr>
          <w:ilvl w:val="1"/>
          <w:numId w:val="182"/>
        </w:numPr>
        <w:spacing w:after="240" w:line="260" w:lineRule="exact"/>
        <w:jc w:val="left"/>
        <w:rPr>
          <w:rFonts w:ascii="Calibri" w:hAnsi="Calibri"/>
          <w:sz w:val="24"/>
          <w:szCs w:val="24"/>
        </w:rPr>
      </w:pPr>
      <w:r w:rsidRPr="00261C59">
        <w:rPr>
          <w:rFonts w:ascii="Calibri" w:hAnsi="Calibri"/>
          <w:sz w:val="24"/>
          <w:szCs w:val="24"/>
        </w:rPr>
        <w:t>states will engage within their relevant jurisdictions on datasets including, but not limited to:</w:t>
      </w:r>
    </w:p>
    <w:p w14:paraId="677AAAEE" w14:textId="77777777" w:rsidR="00942156" w:rsidRPr="00261C59" w:rsidRDefault="00942156" w:rsidP="004728D9">
      <w:pPr>
        <w:numPr>
          <w:ilvl w:val="2"/>
          <w:numId w:val="182"/>
        </w:numPr>
        <w:spacing w:after="240" w:line="260" w:lineRule="exact"/>
        <w:jc w:val="left"/>
        <w:rPr>
          <w:rFonts w:ascii="Calibri" w:hAnsi="Calibri" w:cs="Calibri"/>
          <w:sz w:val="24"/>
          <w:szCs w:val="24"/>
        </w:rPr>
      </w:pPr>
      <w:r w:rsidRPr="00261C59">
        <w:rPr>
          <w:rFonts w:ascii="Calibri" w:hAnsi="Calibri" w:cs="Calibri"/>
          <w:sz w:val="24"/>
          <w:szCs w:val="24"/>
        </w:rPr>
        <w:t>Disability Services National Minimum Dataset (DS NMDS).</w:t>
      </w:r>
    </w:p>
    <w:p w14:paraId="67FC6B2A" w14:textId="77777777" w:rsidR="00942156" w:rsidRPr="00261C59" w:rsidRDefault="00942156" w:rsidP="004728D9">
      <w:pPr>
        <w:numPr>
          <w:ilvl w:val="2"/>
          <w:numId w:val="182"/>
        </w:numPr>
        <w:spacing w:after="240" w:line="260" w:lineRule="exact"/>
        <w:jc w:val="left"/>
        <w:rPr>
          <w:rFonts w:ascii="Calibri" w:hAnsi="Calibri" w:cs="Calibri"/>
          <w:sz w:val="24"/>
          <w:szCs w:val="24"/>
        </w:rPr>
      </w:pPr>
      <w:r w:rsidRPr="00261C59">
        <w:rPr>
          <w:rFonts w:ascii="Calibri" w:hAnsi="Calibri" w:cs="Calibri"/>
          <w:sz w:val="24"/>
          <w:szCs w:val="24"/>
        </w:rPr>
        <w:t>Death Registrations.</w:t>
      </w:r>
    </w:p>
    <w:p w14:paraId="59A80A04" w14:textId="77777777" w:rsidR="00942156" w:rsidRPr="00261C59" w:rsidRDefault="00942156" w:rsidP="004728D9">
      <w:pPr>
        <w:numPr>
          <w:ilvl w:val="1"/>
          <w:numId w:val="182"/>
        </w:numPr>
        <w:spacing w:after="240" w:line="260" w:lineRule="exact"/>
        <w:jc w:val="left"/>
        <w:rPr>
          <w:rFonts w:ascii="Calibri" w:hAnsi="Calibri" w:cs="Calibri"/>
          <w:sz w:val="24"/>
          <w:szCs w:val="24"/>
        </w:rPr>
      </w:pPr>
      <w:r w:rsidRPr="00261C59">
        <w:rPr>
          <w:rFonts w:ascii="Calibri" w:hAnsi="Calibri" w:cs="Calibri"/>
          <w:color w:val="000000"/>
          <w:sz w:val="24"/>
          <w:szCs w:val="24"/>
        </w:rPr>
        <w:t>data to support new or emerging priorities as mutually agreed over the term of this Addendum are considered.</w:t>
      </w:r>
    </w:p>
    <w:p w14:paraId="1E951A8A" w14:textId="665BC2D2"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In line with relevant legislation, all Parties will</w:t>
      </w:r>
      <w:r w:rsidR="001D179B" w:rsidRPr="00261C59">
        <w:rPr>
          <w:rFonts w:ascii="Calibri" w:hAnsi="Calibri" w:cs="Calibri"/>
          <w:sz w:val="24"/>
          <w:szCs w:val="24"/>
        </w:rPr>
        <w:t xml:space="preserve"> work towards</w:t>
      </w:r>
      <w:r w:rsidRPr="00261C59">
        <w:rPr>
          <w:rFonts w:ascii="Calibri" w:hAnsi="Calibri" w:cs="Calibri"/>
          <w:sz w:val="24"/>
          <w:szCs w:val="24"/>
        </w:rPr>
        <w:t xml:space="preserve"> streamlined data sharing across governments, including by leveraging existing national data sharing arrangements for key assets and infrastructure such as the Australian National Data Integration Infrastructure (ANDII), National Health Data Hub (NHDH) and</w:t>
      </w:r>
      <w:r w:rsidRPr="00261C59">
        <w:t xml:space="preserve"> the </w:t>
      </w:r>
      <w:r w:rsidRPr="00261C59">
        <w:rPr>
          <w:rFonts w:ascii="Calibri" w:hAnsi="Calibri" w:cs="Calibri"/>
          <w:sz w:val="24"/>
          <w:szCs w:val="24"/>
        </w:rPr>
        <w:t>ABS’ Person Level Integrated Data Asset (PLIDA).</w:t>
      </w:r>
    </w:p>
    <w:p w14:paraId="5E075E8A" w14:textId="77777777" w:rsidR="00942156" w:rsidRPr="00261C59" w:rsidRDefault="00942156" w:rsidP="002E5D9D">
      <w:pPr>
        <w:keepNext/>
        <w:jc w:val="left"/>
        <w:outlineLvl w:val="2"/>
        <w:rPr>
          <w:rFonts w:ascii="Corbel" w:hAnsi="Corbel"/>
          <w:color w:val="3D4B67"/>
          <w:sz w:val="28"/>
          <w:szCs w:val="48"/>
          <w:lang w:eastAsia="ja-JP"/>
        </w:rPr>
      </w:pPr>
      <w:bookmarkStart w:id="799" w:name="_Toc173428328"/>
      <w:bookmarkStart w:id="800" w:name="_Toc173937778"/>
      <w:bookmarkStart w:id="801" w:name="_Toc210833693"/>
      <w:bookmarkStart w:id="802" w:name="_Toc214456593"/>
      <w:bookmarkStart w:id="803" w:name="_Toc221088078"/>
      <w:r w:rsidRPr="00261C59">
        <w:rPr>
          <w:rFonts w:ascii="Corbel" w:hAnsi="Corbel"/>
          <w:color w:val="3D4B67"/>
          <w:sz w:val="28"/>
          <w:szCs w:val="48"/>
          <w:lang w:eastAsia="ja-JP"/>
        </w:rPr>
        <w:t>Data governance</w:t>
      </w:r>
      <w:bookmarkEnd w:id="799"/>
      <w:bookmarkEnd w:id="800"/>
      <w:bookmarkEnd w:id="801"/>
      <w:bookmarkEnd w:id="802"/>
      <w:bookmarkEnd w:id="803"/>
    </w:p>
    <w:p w14:paraId="5BC2B59D" w14:textId="24E47AD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There are differences in legal pathways for data sharing across jurisdictions. To support the principled and trusted use of a NHDS, all Parties agree to develop an authorising National Health Data System Governance Framework for health data by 30</w:t>
      </w:r>
      <w:r w:rsidR="009E2FF4" w:rsidRPr="00261C59">
        <w:rPr>
          <w:rFonts w:ascii="Calibri" w:hAnsi="Calibri" w:cs="Calibri"/>
          <w:sz w:val="24"/>
          <w:szCs w:val="24"/>
        </w:rPr>
        <w:t> </w:t>
      </w:r>
      <w:r w:rsidRPr="00261C59">
        <w:rPr>
          <w:rFonts w:ascii="Calibri" w:hAnsi="Calibri" w:cs="Calibri"/>
          <w:sz w:val="24"/>
          <w:szCs w:val="24"/>
        </w:rPr>
        <w:t>June 202</w:t>
      </w:r>
      <w:r w:rsidR="00AC3D8E" w:rsidRPr="00261C59">
        <w:rPr>
          <w:rFonts w:ascii="Calibri" w:hAnsi="Calibri" w:cs="Calibri"/>
          <w:sz w:val="24"/>
          <w:szCs w:val="24"/>
        </w:rPr>
        <w:t>9</w:t>
      </w:r>
      <w:r w:rsidRPr="00261C59">
        <w:rPr>
          <w:rFonts w:ascii="Calibri" w:hAnsi="Calibri" w:cs="Calibri"/>
          <w:sz w:val="24"/>
          <w:szCs w:val="24"/>
        </w:rPr>
        <w:t>. The Framework will be accessible to governments, healthcare providers and researchers and will reflect guidance for culturally appropriate governance of Aboriginal and Torres Strait Islander data.</w:t>
      </w:r>
    </w:p>
    <w:p w14:paraId="57BE2DF0" w14:textId="6C4943CC"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In developing the Framework, the Parties commit to identifying legislative and regulatory barriers to data sharing with the intent of harmonising legislation, where required. In keeping with clause </w:t>
      </w:r>
      <w:r w:rsidR="00637BA0" w:rsidRPr="00261C59">
        <w:rPr>
          <w:rFonts w:ascii="Calibri" w:hAnsi="Calibri"/>
          <w:sz w:val="24"/>
        </w:rPr>
        <w:t>H33</w:t>
      </w:r>
      <w:r w:rsidRPr="00261C59">
        <w:rPr>
          <w:rFonts w:ascii="Calibri" w:hAnsi="Calibri"/>
          <w:sz w:val="24"/>
        </w:rPr>
        <w:t>(</w:t>
      </w:r>
      <w:r w:rsidR="00637BA0" w:rsidRPr="00261C59">
        <w:rPr>
          <w:rFonts w:ascii="Calibri" w:hAnsi="Calibri"/>
          <w:sz w:val="24"/>
        </w:rPr>
        <w:t>g</w:t>
      </w:r>
      <w:r w:rsidRPr="00261C59">
        <w:rPr>
          <w:rFonts w:ascii="Calibri" w:hAnsi="Calibri" w:cs="Calibri"/>
          <w:sz w:val="24"/>
          <w:szCs w:val="24"/>
        </w:rPr>
        <w:t>), the Governance Framework should consider any relevant digital reforms that enable information sharing across the health system.</w:t>
      </w:r>
    </w:p>
    <w:p w14:paraId="35F52B3A" w14:textId="7777777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Development of the national Governance Framework will include a review of the National Health Information Agreement, consistent with the principles outlined in this Addendum.</w:t>
      </w:r>
    </w:p>
    <w:p w14:paraId="19881E26" w14:textId="77777777" w:rsidR="00942156" w:rsidRPr="00261C59" w:rsidRDefault="00942156" w:rsidP="002E5D9D">
      <w:pPr>
        <w:keepNext/>
        <w:jc w:val="left"/>
        <w:outlineLvl w:val="2"/>
        <w:rPr>
          <w:rFonts w:ascii="Corbel" w:hAnsi="Corbel"/>
          <w:color w:val="3D4B67"/>
          <w:sz w:val="28"/>
          <w:szCs w:val="48"/>
          <w:lang w:eastAsia="ja-JP"/>
        </w:rPr>
      </w:pPr>
      <w:bookmarkStart w:id="804" w:name="_Toc173428329"/>
      <w:bookmarkStart w:id="805" w:name="_Toc173937779"/>
      <w:bookmarkStart w:id="806" w:name="_Toc210833694"/>
      <w:bookmarkStart w:id="807" w:name="_Toc214456594"/>
      <w:bookmarkStart w:id="808" w:name="_Toc221088079"/>
      <w:r w:rsidRPr="00261C59">
        <w:rPr>
          <w:rFonts w:ascii="Corbel" w:hAnsi="Corbel"/>
          <w:color w:val="3D4B67"/>
          <w:sz w:val="28"/>
          <w:szCs w:val="48"/>
          <w:lang w:eastAsia="ja-JP"/>
        </w:rPr>
        <w:t>High-value data linkages</w:t>
      </w:r>
      <w:bookmarkEnd w:id="804"/>
      <w:bookmarkEnd w:id="805"/>
      <w:bookmarkEnd w:id="806"/>
      <w:bookmarkEnd w:id="807"/>
      <w:bookmarkEnd w:id="808"/>
    </w:p>
    <w:p w14:paraId="15F955A0" w14:textId="51BAE411"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All Parties agree to </w:t>
      </w:r>
      <w:r w:rsidR="00C30EB6" w:rsidRPr="00261C59">
        <w:rPr>
          <w:rFonts w:ascii="Calibri" w:hAnsi="Calibri" w:cs="Calibri"/>
          <w:sz w:val="24"/>
          <w:szCs w:val="24"/>
        </w:rPr>
        <w:t>work towards</w:t>
      </w:r>
      <w:r w:rsidRPr="00261C59">
        <w:rPr>
          <w:rFonts w:ascii="Calibri" w:hAnsi="Calibri" w:cs="Calibri"/>
          <w:sz w:val="24"/>
          <w:szCs w:val="24"/>
        </w:rPr>
        <w:t xml:space="preserve"> the sharing and linkage of nationally important health datasets, and those that support the reform outcomes of this Addendum, including:</w:t>
      </w:r>
    </w:p>
    <w:p w14:paraId="195688FC" w14:textId="57BD3107" w:rsidR="00942156" w:rsidRPr="00261C59" w:rsidRDefault="00942156" w:rsidP="004728D9">
      <w:pPr>
        <w:keepNext/>
        <w:numPr>
          <w:ilvl w:val="1"/>
          <w:numId w:val="184"/>
        </w:numPr>
        <w:spacing w:after="240" w:line="260" w:lineRule="exact"/>
        <w:jc w:val="left"/>
        <w:rPr>
          <w:rFonts w:ascii="Calibri" w:hAnsi="Calibri"/>
          <w:sz w:val="24"/>
          <w:szCs w:val="24"/>
        </w:rPr>
      </w:pPr>
      <w:r w:rsidRPr="00261C59">
        <w:rPr>
          <w:rFonts w:ascii="Calibri" w:hAnsi="Calibri"/>
          <w:sz w:val="24"/>
          <w:szCs w:val="24"/>
        </w:rPr>
        <w:t>ongoing standardisation and sharing of workforce data for national planning, modelling, and policy development</w:t>
      </w:r>
    </w:p>
    <w:p w14:paraId="27D1E552" w14:textId="100EB69B" w:rsidR="00942156" w:rsidRPr="00261C59" w:rsidRDefault="00942156" w:rsidP="004728D9">
      <w:pPr>
        <w:keepNext/>
        <w:numPr>
          <w:ilvl w:val="1"/>
          <w:numId w:val="184"/>
        </w:numPr>
        <w:spacing w:after="240" w:line="260" w:lineRule="exact"/>
        <w:jc w:val="left"/>
        <w:rPr>
          <w:rFonts w:ascii="Calibri" w:hAnsi="Calibri"/>
          <w:sz w:val="24"/>
          <w:szCs w:val="24"/>
        </w:rPr>
      </w:pPr>
      <w:r w:rsidRPr="00261C59">
        <w:rPr>
          <w:rFonts w:ascii="Calibri" w:hAnsi="Calibri"/>
          <w:sz w:val="24"/>
          <w:szCs w:val="24"/>
        </w:rPr>
        <w:t xml:space="preserve">data sharing to close gaps in the patient pathway and improve service planning, such as for Local Hospital Networks (LHNs), Primary Health Networks (PHNs), Aboriginal Community Controlled </w:t>
      </w:r>
      <w:r w:rsidR="002850A1" w:rsidRPr="00261C59">
        <w:rPr>
          <w:rFonts w:ascii="Calibri" w:hAnsi="Calibri"/>
          <w:sz w:val="24"/>
          <w:szCs w:val="24"/>
        </w:rPr>
        <w:t xml:space="preserve">Health </w:t>
      </w:r>
      <w:r w:rsidRPr="00261C59">
        <w:rPr>
          <w:rFonts w:ascii="Calibri" w:hAnsi="Calibri"/>
          <w:sz w:val="24"/>
          <w:szCs w:val="24"/>
        </w:rPr>
        <w:t>Organisations (ACCHOs), private hospital data and other interface sectors, including aged and disability care</w:t>
      </w:r>
    </w:p>
    <w:p w14:paraId="3A572FFD" w14:textId="77777777" w:rsidR="00942156" w:rsidRPr="00261C59" w:rsidRDefault="00942156" w:rsidP="004728D9">
      <w:pPr>
        <w:numPr>
          <w:ilvl w:val="1"/>
          <w:numId w:val="184"/>
        </w:numPr>
        <w:spacing w:after="240" w:line="260" w:lineRule="exact"/>
        <w:jc w:val="left"/>
        <w:rPr>
          <w:rFonts w:ascii="Calibri" w:hAnsi="Calibri"/>
          <w:sz w:val="24"/>
          <w:szCs w:val="24"/>
        </w:rPr>
      </w:pPr>
      <w:r w:rsidRPr="00261C59">
        <w:rPr>
          <w:rFonts w:ascii="Calibri" w:hAnsi="Calibri"/>
          <w:sz w:val="24"/>
          <w:szCs w:val="24"/>
        </w:rPr>
        <w:t xml:space="preserve">ongoing and more timely linkages of hospital and other health data with socio-economic determinants of health.  </w:t>
      </w:r>
    </w:p>
    <w:p w14:paraId="3DD8D567" w14:textId="77777777" w:rsidR="00942156" w:rsidRPr="00261C59" w:rsidRDefault="00942156" w:rsidP="002E5D9D">
      <w:pPr>
        <w:keepNext/>
        <w:jc w:val="left"/>
        <w:outlineLvl w:val="2"/>
        <w:rPr>
          <w:rFonts w:ascii="Corbel" w:hAnsi="Corbel"/>
          <w:color w:val="3D4B67"/>
          <w:sz w:val="28"/>
          <w:szCs w:val="48"/>
          <w:lang w:eastAsia="ja-JP"/>
        </w:rPr>
      </w:pPr>
      <w:bookmarkStart w:id="809" w:name="_Toc173428330"/>
      <w:bookmarkStart w:id="810" w:name="_Toc173937780"/>
      <w:bookmarkStart w:id="811" w:name="_Toc210833695"/>
      <w:bookmarkStart w:id="812" w:name="_Toc214456595"/>
      <w:bookmarkStart w:id="813" w:name="_Toc221088080"/>
      <w:r w:rsidRPr="00261C59">
        <w:rPr>
          <w:rFonts w:ascii="Corbel" w:hAnsi="Corbel"/>
          <w:color w:val="3D4B67"/>
          <w:sz w:val="28"/>
          <w:szCs w:val="48"/>
          <w:lang w:eastAsia="ja-JP"/>
        </w:rPr>
        <w:t>Analytic insights for system improvements</w:t>
      </w:r>
      <w:bookmarkEnd w:id="809"/>
      <w:bookmarkEnd w:id="810"/>
      <w:bookmarkEnd w:id="811"/>
      <w:bookmarkEnd w:id="812"/>
      <w:bookmarkEnd w:id="813"/>
    </w:p>
    <w:p w14:paraId="427F97C0" w14:textId="7777777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Making data more available supports more comprehensive analyses of health system performance and outcomes by researchers, local area system managers and governments.  </w:t>
      </w:r>
    </w:p>
    <w:p w14:paraId="33ED7798" w14:textId="1F36B98B"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To build shared analytic capability across all jurisdictions, the Parties agree to develop a shared analytic function that can be harnessed to deliver actionable and meaningful insights for NHRA priority areas. The Parties further agree to transparency in delivering this function by embedding open and repeatable analyses</w:t>
      </w:r>
      <w:r w:rsidR="004A4060" w:rsidRPr="00261C59">
        <w:rPr>
          <w:rFonts w:ascii="Calibri" w:hAnsi="Calibri" w:cs="Calibri"/>
          <w:sz w:val="24"/>
          <w:szCs w:val="24"/>
        </w:rPr>
        <w:t xml:space="preserve"> within legislative conditions of states</w:t>
      </w:r>
      <w:r w:rsidRPr="00261C59">
        <w:rPr>
          <w:rFonts w:ascii="Calibri" w:hAnsi="Calibri" w:cs="Calibri"/>
          <w:sz w:val="24"/>
          <w:szCs w:val="24"/>
        </w:rPr>
        <w:t>.</w:t>
      </w:r>
    </w:p>
    <w:p w14:paraId="3811C9B3" w14:textId="77777777" w:rsidR="00942156" w:rsidRPr="00261C59" w:rsidRDefault="00942156" w:rsidP="00EB08DD">
      <w:pPr>
        <w:keepLines/>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The Parties commit to working toward an interoperable system where analytic code is shared openly, with appropriate technical documentation, to all data users.</w:t>
      </w:r>
    </w:p>
    <w:p w14:paraId="7C1F106F" w14:textId="77777777" w:rsidR="00942156" w:rsidRPr="00261C59" w:rsidRDefault="00942156" w:rsidP="002E5D9D">
      <w:pPr>
        <w:keepNext/>
        <w:jc w:val="left"/>
        <w:outlineLvl w:val="2"/>
        <w:rPr>
          <w:rFonts w:ascii="Corbel" w:hAnsi="Corbel"/>
          <w:color w:val="3D4B67"/>
          <w:sz w:val="28"/>
          <w:szCs w:val="48"/>
          <w:lang w:eastAsia="ja-JP"/>
        </w:rPr>
      </w:pPr>
      <w:bookmarkStart w:id="814" w:name="_Toc173428331"/>
      <w:bookmarkStart w:id="815" w:name="_Toc173937781"/>
      <w:bookmarkStart w:id="816" w:name="_Toc210833696"/>
      <w:bookmarkStart w:id="817" w:name="_Toc214456596"/>
      <w:bookmarkStart w:id="818" w:name="_Toc221088081"/>
      <w:r w:rsidRPr="00261C59">
        <w:rPr>
          <w:rFonts w:ascii="Corbel" w:hAnsi="Corbel"/>
          <w:bCs/>
          <w:iCs/>
          <w:color w:val="3D4B67"/>
          <w:sz w:val="28"/>
          <w:szCs w:val="48"/>
          <w:lang w:eastAsia="ja-JP"/>
        </w:rPr>
        <w:t>Accountability and governance</w:t>
      </w:r>
      <w:bookmarkEnd w:id="814"/>
      <w:bookmarkEnd w:id="815"/>
      <w:bookmarkEnd w:id="816"/>
      <w:bookmarkEnd w:id="817"/>
      <w:bookmarkEnd w:id="818"/>
    </w:p>
    <w:p w14:paraId="4EC67E37" w14:textId="38C9B175" w:rsidR="00942156" w:rsidRPr="00261C59" w:rsidRDefault="00942156" w:rsidP="00811951">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The </w:t>
      </w:r>
      <w:r w:rsidR="0093385B" w:rsidRPr="00261C59">
        <w:rPr>
          <w:rFonts w:ascii="Calibri" w:hAnsi="Calibri" w:cs="Calibri"/>
          <w:sz w:val="24"/>
          <w:szCs w:val="24"/>
        </w:rPr>
        <w:t xml:space="preserve">relevant </w:t>
      </w:r>
      <w:r w:rsidRPr="00261C59">
        <w:rPr>
          <w:rFonts w:ascii="Calibri" w:hAnsi="Calibri" w:cs="Calibri"/>
          <w:sz w:val="24"/>
          <w:szCs w:val="24"/>
        </w:rPr>
        <w:t xml:space="preserve">cross-jurisdictional expert committee </w:t>
      </w:r>
      <w:r w:rsidR="00066782" w:rsidRPr="00261C59">
        <w:rPr>
          <w:rFonts w:ascii="Calibri" w:hAnsi="Calibri" w:cs="Calibri"/>
          <w:sz w:val="24"/>
          <w:szCs w:val="24"/>
        </w:rPr>
        <w:t xml:space="preserve">established </w:t>
      </w:r>
      <w:r w:rsidRPr="00261C59">
        <w:rPr>
          <w:rFonts w:ascii="Calibri" w:hAnsi="Calibri" w:cs="Calibri"/>
          <w:sz w:val="24"/>
          <w:szCs w:val="24"/>
        </w:rPr>
        <w:t xml:space="preserve">under HCEF, will be accountable for </w:t>
      </w:r>
      <w:r w:rsidR="0083438D" w:rsidRPr="00261C59">
        <w:rPr>
          <w:rFonts w:ascii="Calibri" w:hAnsi="Calibri" w:cs="Calibri"/>
          <w:sz w:val="24"/>
          <w:szCs w:val="24"/>
        </w:rPr>
        <w:t>the development of proposed work programs for HCEF and HMM consideration that will consider</w:t>
      </w:r>
      <w:r w:rsidRPr="00261C59">
        <w:rPr>
          <w:rFonts w:ascii="Calibri" w:hAnsi="Calibri" w:cs="Calibri"/>
          <w:sz w:val="24"/>
          <w:szCs w:val="24"/>
        </w:rPr>
        <w:t>:</w:t>
      </w:r>
    </w:p>
    <w:p w14:paraId="352BA342" w14:textId="1B121BF9" w:rsidR="00412273" w:rsidRPr="00261C59" w:rsidRDefault="00412273" w:rsidP="00830547">
      <w:pPr>
        <w:keepNext/>
        <w:numPr>
          <w:ilvl w:val="1"/>
          <w:numId w:val="185"/>
        </w:numPr>
        <w:spacing w:after="240" w:line="260" w:lineRule="exact"/>
        <w:jc w:val="left"/>
        <w:rPr>
          <w:rFonts w:ascii="Calibri" w:hAnsi="Calibri"/>
          <w:sz w:val="24"/>
          <w:szCs w:val="24"/>
        </w:rPr>
      </w:pPr>
      <w:r w:rsidRPr="00261C59">
        <w:rPr>
          <w:rFonts w:ascii="Calibri" w:hAnsi="Calibri"/>
          <w:sz w:val="24"/>
          <w:szCs w:val="24"/>
        </w:rPr>
        <w:t xml:space="preserve">a prioritisation framework for implementation that considers both short term implementation priorities and </w:t>
      </w:r>
      <w:r w:rsidR="00A61B1C" w:rsidRPr="00261C59">
        <w:rPr>
          <w:rFonts w:ascii="Calibri" w:hAnsi="Calibri"/>
          <w:sz w:val="24"/>
          <w:szCs w:val="24"/>
        </w:rPr>
        <w:t>longer-term</w:t>
      </w:r>
      <w:r w:rsidRPr="00261C59">
        <w:rPr>
          <w:rFonts w:ascii="Calibri" w:hAnsi="Calibri"/>
          <w:sz w:val="24"/>
          <w:szCs w:val="24"/>
        </w:rPr>
        <w:t xml:space="preserve"> measures alongside the costs and differing capacities of jurisdictions to support implementation</w:t>
      </w:r>
    </w:p>
    <w:p w14:paraId="2FE4E29E" w14:textId="7036FDC1" w:rsidR="00942156" w:rsidRPr="00261C59" w:rsidRDefault="00412273" w:rsidP="004728D9">
      <w:pPr>
        <w:numPr>
          <w:ilvl w:val="2"/>
          <w:numId w:val="182"/>
        </w:numPr>
        <w:spacing w:after="240" w:line="260" w:lineRule="exact"/>
        <w:jc w:val="left"/>
        <w:rPr>
          <w:rFonts w:ascii="Calibri" w:hAnsi="Calibri" w:cs="Calibri"/>
          <w:sz w:val="24"/>
          <w:szCs w:val="24"/>
        </w:rPr>
      </w:pPr>
      <w:r w:rsidRPr="00261C59">
        <w:rPr>
          <w:rFonts w:ascii="Calibri" w:hAnsi="Calibri" w:cs="Calibri"/>
          <w:sz w:val="24"/>
          <w:szCs w:val="24"/>
        </w:rPr>
        <w:t>This will inform develop</w:t>
      </w:r>
      <w:r w:rsidR="00AD2298" w:rsidRPr="00261C59">
        <w:rPr>
          <w:rFonts w:ascii="Calibri" w:hAnsi="Calibri" w:cs="Calibri"/>
          <w:sz w:val="24"/>
          <w:szCs w:val="24"/>
        </w:rPr>
        <w:t>ment</w:t>
      </w:r>
      <w:r w:rsidRPr="00261C59">
        <w:rPr>
          <w:rFonts w:ascii="Calibri" w:hAnsi="Calibri" w:cs="Calibri"/>
          <w:sz w:val="24"/>
          <w:szCs w:val="24"/>
        </w:rPr>
        <w:t xml:space="preserve"> of </w:t>
      </w:r>
      <w:r w:rsidR="00942156" w:rsidRPr="00261C59">
        <w:rPr>
          <w:rFonts w:ascii="Calibri" w:hAnsi="Calibri" w:cs="Calibri"/>
          <w:sz w:val="24"/>
          <w:szCs w:val="24"/>
        </w:rPr>
        <w:t xml:space="preserve">an implementation plan with milestones, funding requirements and timelines for the work program outlined in this Schedule by </w:t>
      </w:r>
      <w:r w:rsidR="006B475E" w:rsidRPr="00261C59">
        <w:rPr>
          <w:rFonts w:ascii="Calibri" w:hAnsi="Calibri" w:cs="Calibri"/>
          <w:sz w:val="24"/>
          <w:szCs w:val="24"/>
        </w:rPr>
        <w:t>30 September</w:t>
      </w:r>
      <w:r w:rsidR="00942156" w:rsidRPr="00261C59">
        <w:rPr>
          <w:rFonts w:ascii="Calibri" w:hAnsi="Calibri" w:cs="Calibri"/>
          <w:sz w:val="24"/>
          <w:szCs w:val="24"/>
        </w:rPr>
        <w:t xml:space="preserve"> 2026</w:t>
      </w:r>
      <w:r w:rsidR="00942156" w:rsidRPr="00261C59">
        <w:rPr>
          <w:rFonts w:ascii="Calibri" w:hAnsi="Calibri"/>
          <w:sz w:val="24"/>
        </w:rPr>
        <w:t>.</w:t>
      </w:r>
      <w:r w:rsidR="00942156" w:rsidRPr="00261C59">
        <w:rPr>
          <w:rFonts w:ascii="Calibri" w:hAnsi="Calibri" w:cs="Calibri"/>
          <w:sz w:val="24"/>
          <w:szCs w:val="24"/>
        </w:rPr>
        <w:t xml:space="preserve"> </w:t>
      </w:r>
      <w:r w:rsidR="00942156" w:rsidRPr="00261C59">
        <w:rPr>
          <w:rFonts w:ascii="Calibri" w:hAnsi="Calibri"/>
          <w:sz w:val="24"/>
        </w:rPr>
        <w:t>Implementation plans will be reviewed at agreed intervals to ensure they remain accurate and reflect agreed priorities</w:t>
      </w:r>
    </w:p>
    <w:p w14:paraId="7AD68AAE" w14:textId="3E03A168" w:rsidR="00942156" w:rsidRPr="00261C59" w:rsidRDefault="00942156" w:rsidP="004728D9">
      <w:pPr>
        <w:keepNext/>
        <w:numPr>
          <w:ilvl w:val="1"/>
          <w:numId w:val="185"/>
        </w:numPr>
        <w:spacing w:after="240" w:line="260" w:lineRule="exact"/>
        <w:jc w:val="left"/>
        <w:rPr>
          <w:rFonts w:ascii="Calibri" w:hAnsi="Calibri"/>
          <w:sz w:val="24"/>
          <w:szCs w:val="24"/>
        </w:rPr>
      </w:pPr>
      <w:r w:rsidRPr="00261C59">
        <w:rPr>
          <w:rFonts w:ascii="Calibri" w:hAnsi="Calibri"/>
          <w:sz w:val="24"/>
          <w:szCs w:val="24"/>
        </w:rPr>
        <w:t>further task</w:t>
      </w:r>
      <w:r w:rsidR="00CE4A55" w:rsidRPr="00261C59">
        <w:rPr>
          <w:rFonts w:ascii="Calibri" w:hAnsi="Calibri"/>
          <w:sz w:val="24"/>
          <w:szCs w:val="24"/>
        </w:rPr>
        <w:t>ing</w:t>
      </w:r>
      <w:r w:rsidRPr="00261C59">
        <w:rPr>
          <w:rFonts w:ascii="Calibri" w:hAnsi="Calibri"/>
          <w:sz w:val="24"/>
          <w:szCs w:val="24"/>
        </w:rPr>
        <w:t xml:space="preserve"> the design and delivery of the NHDS to one or more expert data organisations or national bodies </w:t>
      </w:r>
    </w:p>
    <w:p w14:paraId="139339C3" w14:textId="526B5745" w:rsidR="00942156" w:rsidRPr="00261C59" w:rsidRDefault="00942156" w:rsidP="004728D9">
      <w:pPr>
        <w:keepNext/>
        <w:numPr>
          <w:ilvl w:val="1"/>
          <w:numId w:val="185"/>
        </w:numPr>
        <w:spacing w:after="240" w:line="260" w:lineRule="exact"/>
        <w:jc w:val="left"/>
        <w:rPr>
          <w:rFonts w:ascii="Calibri" w:hAnsi="Calibri"/>
          <w:sz w:val="24"/>
          <w:szCs w:val="24"/>
        </w:rPr>
      </w:pPr>
      <w:r w:rsidRPr="00261C59">
        <w:rPr>
          <w:rFonts w:ascii="Calibri" w:hAnsi="Calibri"/>
          <w:sz w:val="24"/>
          <w:szCs w:val="24"/>
        </w:rPr>
        <w:t>report</w:t>
      </w:r>
      <w:r w:rsidR="00CE4A55" w:rsidRPr="00261C59">
        <w:rPr>
          <w:rFonts w:ascii="Calibri" w:hAnsi="Calibri"/>
          <w:sz w:val="24"/>
          <w:szCs w:val="24"/>
        </w:rPr>
        <w:t>ing</w:t>
      </w:r>
      <w:r w:rsidRPr="00261C59">
        <w:rPr>
          <w:rFonts w:ascii="Calibri" w:hAnsi="Calibri"/>
          <w:sz w:val="24"/>
          <w:szCs w:val="24"/>
        </w:rPr>
        <w:t xml:space="preserve"> on measurable progress, barriers and risks against the implementation</w:t>
      </w:r>
      <w:r w:rsidRPr="00261C59">
        <w:rPr>
          <w:rFonts w:ascii="Calibri" w:hAnsi="Calibri"/>
          <w:strike/>
          <w:sz w:val="24"/>
          <w:szCs w:val="24"/>
        </w:rPr>
        <w:t xml:space="preserve"> </w:t>
      </w:r>
      <w:r w:rsidRPr="00261C59">
        <w:rPr>
          <w:rFonts w:ascii="Calibri" w:hAnsi="Calibri"/>
          <w:sz w:val="24"/>
          <w:szCs w:val="24"/>
        </w:rPr>
        <w:t xml:space="preserve">plan will be provided to </w:t>
      </w:r>
      <w:r w:rsidR="009464CE" w:rsidRPr="00261C59">
        <w:rPr>
          <w:rFonts w:ascii="Calibri" w:hAnsi="Calibri"/>
          <w:sz w:val="24"/>
          <w:szCs w:val="24"/>
        </w:rPr>
        <w:t>HCEF</w:t>
      </w:r>
      <w:r w:rsidRPr="00261C59">
        <w:rPr>
          <w:rFonts w:ascii="Calibri" w:hAnsi="Calibri"/>
          <w:sz w:val="24"/>
          <w:szCs w:val="24"/>
        </w:rPr>
        <w:t xml:space="preserve"> and </w:t>
      </w:r>
      <w:r w:rsidR="009464CE" w:rsidRPr="00261C59">
        <w:rPr>
          <w:rFonts w:ascii="Calibri" w:hAnsi="Calibri"/>
          <w:sz w:val="24"/>
          <w:szCs w:val="24"/>
        </w:rPr>
        <w:t>relevant sub-committees</w:t>
      </w:r>
      <w:r w:rsidRPr="00261C59">
        <w:rPr>
          <w:rFonts w:ascii="Calibri" w:hAnsi="Calibri"/>
          <w:sz w:val="24"/>
          <w:szCs w:val="24"/>
        </w:rPr>
        <w:t xml:space="preserve">. </w:t>
      </w:r>
    </w:p>
    <w:p w14:paraId="121BADC2" w14:textId="77777777" w:rsidR="00942156" w:rsidRPr="00261C59" w:rsidRDefault="00942156" w:rsidP="004728D9">
      <w:pPr>
        <w:widowControl/>
        <w:tabs>
          <w:tab w:val="num" w:pos="1086"/>
        </w:tabs>
        <w:adjustRightInd/>
        <w:spacing w:before="0" w:after="0"/>
        <w:jc w:val="left"/>
        <w:textAlignment w:val="auto"/>
        <w:rPr>
          <w:b/>
          <w:color w:val="000000"/>
          <w:sz w:val="22"/>
        </w:rPr>
      </w:pPr>
      <w:r w:rsidRPr="00261C59">
        <w:rPr>
          <w:b/>
          <w:color w:val="000000" w:themeColor="text1"/>
          <w:sz w:val="22"/>
        </w:rPr>
        <w:t>Enabling other reforms in the Addendum</w:t>
      </w:r>
    </w:p>
    <w:p w14:paraId="4AE59CA1" w14:textId="7AFFD364"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When designing or implementing other health system reforms as part of this Addendum, the relevant program leads will be responsible for identifying any new or emerging requirements for data in consultation with the </w:t>
      </w:r>
      <w:r w:rsidR="003C75F1" w:rsidRPr="00261C59">
        <w:rPr>
          <w:rFonts w:ascii="Calibri" w:hAnsi="Calibri" w:cs="Calibri"/>
          <w:sz w:val="24"/>
          <w:szCs w:val="24"/>
        </w:rPr>
        <w:t>relevant cross-jurisdictional expert committee</w:t>
      </w:r>
      <w:r w:rsidRPr="00261C59">
        <w:rPr>
          <w:rFonts w:ascii="Calibri" w:hAnsi="Calibri" w:cs="Calibri"/>
          <w:sz w:val="24"/>
          <w:szCs w:val="24"/>
        </w:rPr>
        <w:t xml:space="preserve"> and advising </w:t>
      </w:r>
      <w:r w:rsidR="009464CE" w:rsidRPr="00261C59">
        <w:rPr>
          <w:rFonts w:ascii="Calibri" w:hAnsi="Calibri" w:cs="Calibri"/>
          <w:sz w:val="24"/>
          <w:szCs w:val="24"/>
        </w:rPr>
        <w:t>HCEF and relevant sub-committees</w:t>
      </w:r>
      <w:r w:rsidRPr="00261C59">
        <w:rPr>
          <w:rFonts w:ascii="Calibri" w:hAnsi="Calibri" w:cs="Calibri"/>
          <w:sz w:val="24"/>
          <w:szCs w:val="24"/>
        </w:rPr>
        <w:t>.</w:t>
      </w:r>
    </w:p>
    <w:p w14:paraId="65B6AC52" w14:textId="435D8E8D"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Where existing data funding is insufficient to meet the policy objectives, </w:t>
      </w:r>
      <w:r w:rsidR="009464CE" w:rsidRPr="00261C59">
        <w:rPr>
          <w:rFonts w:ascii="Calibri" w:hAnsi="Calibri" w:cs="Calibri"/>
          <w:sz w:val="24"/>
          <w:szCs w:val="24"/>
        </w:rPr>
        <w:t>HCEF and other relevant sub-committees</w:t>
      </w:r>
      <w:r w:rsidRPr="00261C59">
        <w:rPr>
          <w:rFonts w:ascii="Calibri" w:hAnsi="Calibri" w:cs="Calibri"/>
          <w:sz w:val="24"/>
          <w:szCs w:val="24"/>
        </w:rPr>
        <w:t xml:space="preserve">, the </w:t>
      </w:r>
      <w:r w:rsidR="00024332" w:rsidRPr="00261C59">
        <w:rPr>
          <w:rFonts w:ascii="Calibri" w:hAnsi="Calibri" w:cs="Calibri"/>
          <w:sz w:val="24"/>
          <w:szCs w:val="24"/>
        </w:rPr>
        <w:t xml:space="preserve">relevant cross-jurisdictional expert committee </w:t>
      </w:r>
      <w:r w:rsidRPr="00261C59">
        <w:rPr>
          <w:rFonts w:ascii="Calibri" w:hAnsi="Calibri" w:cs="Calibri"/>
          <w:sz w:val="24"/>
          <w:szCs w:val="24"/>
        </w:rPr>
        <w:t>and the program leads will collaborate to find a pragmatic solution or escalate appropriately.</w:t>
      </w:r>
      <w:r w:rsidR="008D3C14" w:rsidRPr="00261C59">
        <w:rPr>
          <w:rFonts w:ascii="Calibri" w:hAnsi="Calibri" w:cs="Calibri"/>
          <w:sz w:val="24"/>
          <w:szCs w:val="24"/>
        </w:rPr>
        <w:t xml:space="preserve"> Where an appropriate solution is unable to be identified, the relevant implementation plans may require adjustment.</w:t>
      </w:r>
    </w:p>
    <w:p w14:paraId="2BFDABD8" w14:textId="77777777" w:rsidR="00942156" w:rsidRPr="00261C59" w:rsidRDefault="00942156" w:rsidP="002E5D9D">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819" w:name="_Toc167456364"/>
      <w:bookmarkStart w:id="820" w:name="_Toc173428332"/>
      <w:bookmarkStart w:id="821" w:name="_Toc173937782"/>
      <w:bookmarkStart w:id="822" w:name="_Toc210833697"/>
      <w:bookmarkStart w:id="823" w:name="_Toc214456597"/>
      <w:bookmarkStart w:id="824" w:name="_Toc221088082"/>
      <w:r w:rsidRPr="00261C59">
        <w:rPr>
          <w:rFonts w:ascii="Corbel" w:eastAsia="Times New Roman" w:hAnsi="Corbel" w:cs="Arial"/>
          <w:iCs/>
          <w:color w:val="3D4B67"/>
          <w:sz w:val="28"/>
          <w:szCs w:val="28"/>
        </w:rPr>
        <w:t>Digitally enabled health care</w:t>
      </w:r>
      <w:bookmarkEnd w:id="819"/>
      <w:bookmarkEnd w:id="820"/>
      <w:bookmarkEnd w:id="821"/>
      <w:bookmarkEnd w:id="822"/>
      <w:bookmarkEnd w:id="823"/>
      <w:bookmarkEnd w:id="824"/>
    </w:p>
    <w:p w14:paraId="3DB64015" w14:textId="77777777" w:rsidR="00942156" w:rsidRPr="00261C59" w:rsidRDefault="00942156" w:rsidP="002E5D9D">
      <w:pPr>
        <w:keepNext/>
        <w:jc w:val="left"/>
        <w:outlineLvl w:val="2"/>
        <w:rPr>
          <w:rFonts w:ascii="Corbel" w:hAnsi="Corbel"/>
          <w:color w:val="3D4B67"/>
          <w:sz w:val="28"/>
          <w:szCs w:val="28"/>
          <w:lang w:eastAsia="ja-JP"/>
        </w:rPr>
      </w:pPr>
      <w:bookmarkStart w:id="825" w:name="_Toc165490990"/>
      <w:bookmarkStart w:id="826" w:name="_Toc167456365"/>
      <w:bookmarkStart w:id="827" w:name="_Toc173428333"/>
      <w:bookmarkStart w:id="828" w:name="_Toc173937783"/>
      <w:bookmarkStart w:id="829" w:name="_Toc210833698"/>
      <w:bookmarkStart w:id="830" w:name="_Toc214456598"/>
      <w:bookmarkStart w:id="831" w:name="_Toc221088083"/>
      <w:r w:rsidRPr="00261C59">
        <w:rPr>
          <w:rFonts w:ascii="Corbel" w:hAnsi="Corbel"/>
          <w:color w:val="3D4B67"/>
          <w:sz w:val="28"/>
          <w:szCs w:val="28"/>
          <w:lang w:eastAsia="ja-JP"/>
        </w:rPr>
        <w:t>Outcomes</w:t>
      </w:r>
      <w:bookmarkEnd w:id="825"/>
      <w:bookmarkEnd w:id="826"/>
      <w:bookmarkEnd w:id="827"/>
      <w:bookmarkEnd w:id="828"/>
      <w:bookmarkEnd w:id="829"/>
      <w:bookmarkEnd w:id="830"/>
      <w:bookmarkEnd w:id="831"/>
    </w:p>
    <w:p w14:paraId="13C52B77" w14:textId="77777777" w:rsidR="00942156" w:rsidRPr="00261C59" w:rsidRDefault="00942156" w:rsidP="004728D9">
      <w:pPr>
        <w:keepLines/>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This Addendum builds on the commitments of all governments to prioritise digital health through the </w:t>
      </w:r>
      <w:r w:rsidRPr="00261C59">
        <w:rPr>
          <w:rFonts w:ascii="Calibri" w:hAnsi="Calibri" w:cs="Calibri"/>
          <w:i/>
          <w:iCs/>
          <w:sz w:val="24"/>
          <w:szCs w:val="24"/>
        </w:rPr>
        <w:t>Intergovernmental Agreement on National Digital Health 2023-2027</w:t>
      </w:r>
      <w:r w:rsidRPr="00261C59">
        <w:rPr>
          <w:rFonts w:ascii="Calibri" w:hAnsi="Calibri" w:cs="Calibri"/>
          <w:sz w:val="24"/>
          <w:szCs w:val="24"/>
        </w:rPr>
        <w:t xml:space="preserve"> and the </w:t>
      </w:r>
      <w:r w:rsidRPr="00261C59">
        <w:rPr>
          <w:rFonts w:ascii="Calibri" w:hAnsi="Calibri" w:cs="Calibri"/>
          <w:i/>
          <w:iCs/>
          <w:sz w:val="24"/>
          <w:szCs w:val="24"/>
        </w:rPr>
        <w:t>National Digital Health Strategy.</w:t>
      </w:r>
      <w:r w:rsidRPr="00261C59">
        <w:rPr>
          <w:rFonts w:ascii="Calibri" w:hAnsi="Calibri" w:cs="Calibri"/>
          <w:sz w:val="24"/>
          <w:szCs w:val="24"/>
        </w:rPr>
        <w:t xml:space="preserve"> It follows the principles embedded in those instruments, for example people-centred delivery, leveraging existing infrastructure and capabilities, and ensuring security of systems and information. </w:t>
      </w:r>
    </w:p>
    <w:p w14:paraId="0E2132CD" w14:textId="195AB65E" w:rsidR="00942156" w:rsidRPr="00261C59" w:rsidRDefault="00942156" w:rsidP="00DC74F7">
      <w:pPr>
        <w:keepLines/>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Digital capability is critical to a modern and connected health system. It improves the way people engage with their health information and interact with their healthcare providers. Digitally enabled care provides access to flexible health services, such as ePrescribing and virtual care, and enables improved coordination and continuity of care across care settings and jurisdictional borders.</w:t>
      </w:r>
    </w:p>
    <w:p w14:paraId="2AA6894A" w14:textId="7777777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Digital health is also a fundamental enabler for other reforms agreed in this Addendum. This includes improved access to care for Aboriginal and Torres Strait Islander communities (Schedule B) and rural and remote communities (Schedule F); supporting transitions of care across interfaces (Schedule C); enabling more effective funding and payment models (Schedule A); and optimal models of care and care pathways (Schedule D). The digital reforms therefore support critical clinical outcomes.</w:t>
      </w:r>
    </w:p>
    <w:p w14:paraId="51ED92CE" w14:textId="7777777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Parties will work together to support digital health reforms with Aboriginal and Torres Strait Islander health providers and communities, in alignment with Schedule B and the National Agreement on Closing the Gap. </w:t>
      </w:r>
    </w:p>
    <w:p w14:paraId="2225C826" w14:textId="698C6923"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All Parties commit to </w:t>
      </w:r>
      <w:r w:rsidR="00916150" w:rsidRPr="00261C59">
        <w:rPr>
          <w:rFonts w:ascii="Calibri" w:hAnsi="Calibri" w:cs="Calibri"/>
          <w:sz w:val="24"/>
          <w:szCs w:val="24"/>
        </w:rPr>
        <w:t>developing plans under the Addendum to consider</w:t>
      </w:r>
      <w:r w:rsidRPr="00261C59">
        <w:rPr>
          <w:rFonts w:ascii="Calibri" w:hAnsi="Calibri" w:cs="Calibri"/>
          <w:sz w:val="24"/>
          <w:szCs w:val="24"/>
        </w:rPr>
        <w:t xml:space="preserve">: </w:t>
      </w:r>
    </w:p>
    <w:p w14:paraId="1E7C0F15" w14:textId="77777777" w:rsidR="00942156" w:rsidRPr="00261C59" w:rsidRDefault="00942156" w:rsidP="004728D9">
      <w:pPr>
        <w:numPr>
          <w:ilvl w:val="1"/>
          <w:numId w:val="186"/>
        </w:numPr>
        <w:spacing w:after="240" w:line="260" w:lineRule="exact"/>
        <w:jc w:val="left"/>
        <w:rPr>
          <w:rFonts w:ascii="Calibri" w:hAnsi="Calibri"/>
          <w:sz w:val="24"/>
          <w:szCs w:val="24"/>
        </w:rPr>
      </w:pPr>
      <w:r w:rsidRPr="00261C59">
        <w:rPr>
          <w:rFonts w:ascii="Calibri" w:hAnsi="Calibri"/>
          <w:sz w:val="24"/>
          <w:szCs w:val="24"/>
        </w:rPr>
        <w:t>phased adoption of digital health and information and communication technology (ICT) interoperability standards across the health system:</w:t>
      </w:r>
    </w:p>
    <w:p w14:paraId="185B51BA" w14:textId="25C4FF0B" w:rsidR="00942156" w:rsidRPr="00261C59" w:rsidRDefault="00942156" w:rsidP="004728D9">
      <w:pPr>
        <w:numPr>
          <w:ilvl w:val="2"/>
          <w:numId w:val="186"/>
        </w:numPr>
        <w:spacing w:after="240" w:line="260" w:lineRule="exact"/>
        <w:jc w:val="left"/>
        <w:rPr>
          <w:rFonts w:ascii="Calibri" w:hAnsi="Calibri"/>
          <w:sz w:val="24"/>
          <w:szCs w:val="26"/>
        </w:rPr>
      </w:pPr>
      <w:r w:rsidRPr="00261C59">
        <w:rPr>
          <w:rFonts w:ascii="Calibri" w:hAnsi="Calibri"/>
          <w:sz w:val="24"/>
          <w:szCs w:val="26"/>
        </w:rPr>
        <w:t xml:space="preserve">Adoption of consistent national Healthcare Identifiers to enable care coordination </w:t>
      </w:r>
    </w:p>
    <w:p w14:paraId="025B0FC9" w14:textId="08B1BDA4" w:rsidR="00942156" w:rsidRPr="00261C59" w:rsidRDefault="00942156" w:rsidP="004728D9">
      <w:pPr>
        <w:numPr>
          <w:ilvl w:val="2"/>
          <w:numId w:val="186"/>
        </w:numPr>
        <w:spacing w:after="240" w:line="260" w:lineRule="exact"/>
        <w:jc w:val="left"/>
        <w:rPr>
          <w:rFonts w:ascii="Calibri" w:hAnsi="Calibri"/>
          <w:sz w:val="24"/>
          <w:szCs w:val="24"/>
        </w:rPr>
      </w:pPr>
      <w:r w:rsidRPr="00261C59">
        <w:rPr>
          <w:rFonts w:ascii="Calibri" w:hAnsi="Calibri"/>
          <w:sz w:val="24"/>
          <w:szCs w:val="24"/>
        </w:rPr>
        <w:t xml:space="preserve">Adoption of national interoperability standards as they are developed to underpin the consistent capture and exchange of health information </w:t>
      </w:r>
    </w:p>
    <w:p w14:paraId="7A7942DF" w14:textId="5A63B778" w:rsidR="00942156" w:rsidRPr="00261C59" w:rsidRDefault="00942156" w:rsidP="004728D9">
      <w:pPr>
        <w:numPr>
          <w:ilvl w:val="1"/>
          <w:numId w:val="186"/>
        </w:numPr>
        <w:spacing w:after="240" w:line="260" w:lineRule="exact"/>
        <w:jc w:val="left"/>
        <w:rPr>
          <w:rFonts w:ascii="Calibri" w:hAnsi="Calibri"/>
          <w:sz w:val="24"/>
          <w:szCs w:val="24"/>
        </w:rPr>
      </w:pPr>
      <w:r w:rsidRPr="00261C59">
        <w:rPr>
          <w:rFonts w:ascii="Calibri" w:hAnsi="Calibri"/>
          <w:sz w:val="24"/>
          <w:szCs w:val="24"/>
        </w:rPr>
        <w:t xml:space="preserve">phased adoption of national </w:t>
      </w:r>
      <w:r w:rsidRPr="00261C59">
        <w:rPr>
          <w:rFonts w:ascii="Calibri" w:eastAsia="Calibri" w:hAnsi="Calibri" w:cs="Calibri"/>
          <w:color w:val="000000" w:themeColor="text1"/>
          <w:sz w:val="24"/>
          <w:szCs w:val="24"/>
        </w:rPr>
        <w:t>health information exchange,</w:t>
      </w:r>
      <w:r w:rsidRPr="00261C59">
        <w:rPr>
          <w:rFonts w:ascii="Calibri" w:hAnsi="Calibri"/>
          <w:sz w:val="24"/>
          <w:szCs w:val="24"/>
        </w:rPr>
        <w:t xml:space="preserve"> infrastructure and capabilities as they are developed </w:t>
      </w:r>
    </w:p>
    <w:p w14:paraId="19074F57" w14:textId="3E825827" w:rsidR="00942156" w:rsidRPr="00261C59" w:rsidRDefault="00942156" w:rsidP="004728D9">
      <w:pPr>
        <w:numPr>
          <w:ilvl w:val="1"/>
          <w:numId w:val="186"/>
        </w:numPr>
        <w:spacing w:after="240" w:line="260" w:lineRule="exact"/>
        <w:jc w:val="left"/>
        <w:rPr>
          <w:rFonts w:ascii="Calibri" w:hAnsi="Calibri"/>
          <w:sz w:val="24"/>
          <w:szCs w:val="24"/>
        </w:rPr>
      </w:pPr>
      <w:r w:rsidRPr="00261C59">
        <w:rPr>
          <w:rFonts w:ascii="Calibri" w:hAnsi="Calibri"/>
          <w:sz w:val="24"/>
          <w:szCs w:val="24"/>
        </w:rPr>
        <w:t>enabling timely access and reduced manual handing of key health and care information across different care sectors</w:t>
      </w:r>
      <w:r w:rsidR="00A942D4" w:rsidRPr="00261C59">
        <w:rPr>
          <w:rFonts w:ascii="Calibri" w:hAnsi="Calibri"/>
          <w:sz w:val="24"/>
          <w:szCs w:val="24"/>
        </w:rPr>
        <w:t>, including discharge information</w:t>
      </w:r>
    </w:p>
    <w:p w14:paraId="487B7D6B" w14:textId="77777777" w:rsidR="00942156" w:rsidRPr="00261C59" w:rsidRDefault="00942156" w:rsidP="004728D9">
      <w:pPr>
        <w:numPr>
          <w:ilvl w:val="1"/>
          <w:numId w:val="186"/>
        </w:numPr>
        <w:spacing w:after="240" w:line="260" w:lineRule="exact"/>
        <w:jc w:val="left"/>
        <w:rPr>
          <w:rFonts w:ascii="Calibri" w:hAnsi="Calibri"/>
          <w:sz w:val="24"/>
          <w:szCs w:val="24"/>
        </w:rPr>
      </w:pPr>
      <w:r w:rsidRPr="00261C59">
        <w:rPr>
          <w:rFonts w:ascii="Calibri" w:hAnsi="Calibri"/>
          <w:sz w:val="24"/>
          <w:szCs w:val="24"/>
        </w:rPr>
        <w:t>creating an authorising environment for digital health through the development and implementation of national policy and legislative protocols for health and care information sharing at the point of care. Including:</w:t>
      </w:r>
    </w:p>
    <w:p w14:paraId="44875048" w14:textId="46BD6F34" w:rsidR="00942156" w:rsidRPr="00261C59" w:rsidRDefault="00942156" w:rsidP="004728D9">
      <w:pPr>
        <w:numPr>
          <w:ilvl w:val="2"/>
          <w:numId w:val="186"/>
        </w:numPr>
        <w:spacing w:after="240" w:line="260" w:lineRule="exact"/>
        <w:jc w:val="left"/>
        <w:rPr>
          <w:rFonts w:ascii="Calibri" w:hAnsi="Calibri"/>
          <w:sz w:val="24"/>
          <w:szCs w:val="26"/>
        </w:rPr>
      </w:pPr>
      <w:r w:rsidRPr="00261C59">
        <w:rPr>
          <w:rFonts w:ascii="Calibri" w:hAnsi="Calibri"/>
          <w:sz w:val="24"/>
          <w:szCs w:val="26"/>
        </w:rPr>
        <w:t>addressing barriers to exchanging health information across care settings and jurisdictional borders</w:t>
      </w:r>
    </w:p>
    <w:p w14:paraId="161FAEE7" w14:textId="117900E5" w:rsidR="00942156" w:rsidRPr="00261C59" w:rsidRDefault="00942156" w:rsidP="004728D9">
      <w:pPr>
        <w:widowControl/>
        <w:numPr>
          <w:ilvl w:val="2"/>
          <w:numId w:val="186"/>
        </w:numPr>
        <w:spacing w:after="240" w:line="260" w:lineRule="exact"/>
        <w:ind w:left="1842" w:hanging="181"/>
        <w:jc w:val="left"/>
        <w:rPr>
          <w:rFonts w:ascii="Calibri" w:hAnsi="Calibri"/>
          <w:sz w:val="24"/>
          <w:szCs w:val="24"/>
        </w:rPr>
      </w:pPr>
      <w:r w:rsidRPr="00261C59">
        <w:rPr>
          <w:rFonts w:ascii="Calibri" w:hAnsi="Calibri"/>
          <w:sz w:val="24"/>
          <w:szCs w:val="24"/>
        </w:rPr>
        <w:t>supporting the development of national approaches to the timely and safe sharing of health information at the point of care while considering individuals’ expectations and impacts</w:t>
      </w:r>
    </w:p>
    <w:p w14:paraId="604C7A9C" w14:textId="450FABAE" w:rsidR="0060390B" w:rsidRPr="00261C59" w:rsidRDefault="0060390B" w:rsidP="00811951">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Implementation of digital health initiatives will be subject to jurisdictional consideration on local level capacity and resourcing.</w:t>
      </w:r>
    </w:p>
    <w:p w14:paraId="5885981A" w14:textId="77777777" w:rsidR="00942156" w:rsidRPr="00261C59" w:rsidRDefault="00942156" w:rsidP="002E5D9D">
      <w:pPr>
        <w:keepNext/>
        <w:jc w:val="left"/>
        <w:outlineLvl w:val="2"/>
        <w:rPr>
          <w:rFonts w:ascii="Corbel" w:hAnsi="Corbel"/>
          <w:color w:val="3D4B67"/>
          <w:sz w:val="28"/>
          <w:szCs w:val="48"/>
          <w:lang w:eastAsia="ja-JP"/>
        </w:rPr>
      </w:pPr>
      <w:bookmarkStart w:id="832" w:name="_Toc165490992"/>
      <w:bookmarkStart w:id="833" w:name="_Toc167456367"/>
      <w:bookmarkStart w:id="834" w:name="_Toc173428335"/>
      <w:bookmarkStart w:id="835" w:name="_Toc173937784"/>
      <w:bookmarkStart w:id="836" w:name="_Toc210833699"/>
      <w:bookmarkStart w:id="837" w:name="_Toc214456599"/>
      <w:bookmarkStart w:id="838" w:name="_Toc221088084"/>
      <w:r w:rsidRPr="00261C59">
        <w:rPr>
          <w:rFonts w:ascii="Corbel" w:hAnsi="Corbel"/>
          <w:color w:val="3D4B67"/>
          <w:sz w:val="28"/>
          <w:szCs w:val="48"/>
          <w:lang w:eastAsia="ja-JP"/>
        </w:rPr>
        <w:t>Roles and responsibilities</w:t>
      </w:r>
      <w:bookmarkEnd w:id="832"/>
      <w:bookmarkEnd w:id="833"/>
      <w:bookmarkEnd w:id="834"/>
      <w:bookmarkEnd w:id="835"/>
      <w:bookmarkEnd w:id="836"/>
      <w:bookmarkEnd w:id="837"/>
      <w:bookmarkEnd w:id="838"/>
    </w:p>
    <w:p w14:paraId="18290287" w14:textId="77777777" w:rsidR="00942156" w:rsidRPr="00261C59" w:rsidRDefault="00942156" w:rsidP="00EA621E">
      <w:pPr>
        <w:keepNext/>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Parties have a joint responsibility to:</w:t>
      </w:r>
    </w:p>
    <w:p w14:paraId="7852A9CA" w14:textId="5BDC6C24" w:rsidR="00942156" w:rsidRPr="00261C59" w:rsidRDefault="00942156" w:rsidP="00DC74F7">
      <w:pPr>
        <w:keepLines/>
        <w:numPr>
          <w:ilvl w:val="1"/>
          <w:numId w:val="187"/>
        </w:numPr>
        <w:spacing w:after="240" w:line="260" w:lineRule="exact"/>
        <w:jc w:val="left"/>
        <w:rPr>
          <w:rFonts w:ascii="Calibri" w:hAnsi="Calibri"/>
          <w:sz w:val="24"/>
          <w:szCs w:val="24"/>
        </w:rPr>
      </w:pPr>
      <w:r w:rsidRPr="00261C59">
        <w:rPr>
          <w:rFonts w:ascii="Calibri" w:hAnsi="Calibri"/>
          <w:sz w:val="24"/>
          <w:szCs w:val="24"/>
        </w:rPr>
        <w:t xml:space="preserve">drive digital reforms </w:t>
      </w:r>
      <w:r w:rsidR="003450A5" w:rsidRPr="00261C59">
        <w:rPr>
          <w:rFonts w:ascii="Calibri" w:hAnsi="Calibri"/>
          <w:sz w:val="24"/>
          <w:szCs w:val="24"/>
        </w:rPr>
        <w:t xml:space="preserve">and </w:t>
      </w:r>
      <w:r w:rsidRPr="00261C59">
        <w:rPr>
          <w:rFonts w:ascii="Calibri" w:hAnsi="Calibri"/>
          <w:sz w:val="24"/>
          <w:szCs w:val="24"/>
        </w:rPr>
        <w:t xml:space="preserve">deliver effective and equitable health care for consumers, providers, the sector and governments, taking into consideration service maturity and digital capability </w:t>
      </w:r>
    </w:p>
    <w:p w14:paraId="1648A5CB" w14:textId="322D8808" w:rsidR="00942156" w:rsidRPr="00261C59" w:rsidRDefault="00942156" w:rsidP="004728D9">
      <w:pPr>
        <w:numPr>
          <w:ilvl w:val="1"/>
          <w:numId w:val="187"/>
        </w:numPr>
        <w:spacing w:after="240" w:line="260" w:lineRule="exact"/>
        <w:jc w:val="left"/>
        <w:rPr>
          <w:rFonts w:ascii="Calibri" w:hAnsi="Calibri"/>
          <w:sz w:val="24"/>
          <w:szCs w:val="24"/>
        </w:rPr>
      </w:pPr>
      <w:r w:rsidRPr="00261C59">
        <w:rPr>
          <w:rFonts w:ascii="Calibri" w:hAnsi="Calibri"/>
          <w:sz w:val="24"/>
          <w:szCs w:val="24"/>
        </w:rPr>
        <w:t>make shared decisions, including with ACCHOs and other Aboriginal and Torres Strait Islander health organisations, on national health information sharing priorities and minimum standards, and core infrastructure and capability requirements for the sharing of health information through agreed cross-jurisdictional governance</w:t>
      </w:r>
    </w:p>
    <w:p w14:paraId="7C0D1683" w14:textId="17C8646A" w:rsidR="00942156" w:rsidRPr="00261C59" w:rsidRDefault="00942156" w:rsidP="00033843">
      <w:pPr>
        <w:keepLines/>
        <w:numPr>
          <w:ilvl w:val="1"/>
          <w:numId w:val="187"/>
        </w:numPr>
        <w:spacing w:after="240" w:line="260" w:lineRule="exact"/>
        <w:jc w:val="left"/>
        <w:rPr>
          <w:rFonts w:ascii="Calibri" w:hAnsi="Calibri"/>
          <w:sz w:val="24"/>
          <w:szCs w:val="24"/>
        </w:rPr>
      </w:pPr>
      <w:r w:rsidRPr="00261C59">
        <w:rPr>
          <w:rFonts w:ascii="Calibri" w:hAnsi="Calibri"/>
          <w:sz w:val="24"/>
          <w:szCs w:val="24"/>
        </w:rPr>
        <w:t>engage proactively within respective jurisdictions and with key stakeholders, including Aboriginal and Torres Strait Islander people, to support the design, implementation and adoption of digital reforms. Ensure impacted stakeholders and consumers are supported through clearly articulated and aligned change management</w:t>
      </w:r>
    </w:p>
    <w:p w14:paraId="1D25A185" w14:textId="3943373E" w:rsidR="00942156" w:rsidRPr="00261C59" w:rsidRDefault="00942156" w:rsidP="004728D9">
      <w:pPr>
        <w:numPr>
          <w:ilvl w:val="1"/>
          <w:numId w:val="187"/>
        </w:numPr>
        <w:spacing w:after="240" w:line="260" w:lineRule="exact"/>
        <w:jc w:val="left"/>
        <w:rPr>
          <w:rFonts w:ascii="Calibri" w:hAnsi="Calibri"/>
          <w:sz w:val="24"/>
          <w:szCs w:val="24"/>
        </w:rPr>
      </w:pPr>
      <w:r w:rsidRPr="00261C59">
        <w:rPr>
          <w:rFonts w:ascii="Calibri" w:hAnsi="Calibri"/>
          <w:sz w:val="24"/>
          <w:szCs w:val="24"/>
        </w:rPr>
        <w:t>harmonise legislation, where required, to enable sharing of standardised health and care information across care settings and jurisdictional borders, in alignment with data reforms under the National Health Data System (</w:t>
      </w:r>
      <w:r w:rsidRPr="00261C59">
        <w:rPr>
          <w:rFonts w:ascii="Calibri" w:hAnsi="Calibri"/>
          <w:sz w:val="24"/>
        </w:rPr>
        <w:t>see clause H</w:t>
      </w:r>
      <w:r w:rsidR="00872E55" w:rsidRPr="00261C59">
        <w:rPr>
          <w:rFonts w:ascii="Calibri" w:hAnsi="Calibri"/>
          <w:sz w:val="24"/>
        </w:rPr>
        <w:t>43</w:t>
      </w:r>
      <w:r w:rsidRPr="00261C59">
        <w:rPr>
          <w:rFonts w:ascii="Calibri" w:hAnsi="Calibri" w:cs="Calibri"/>
          <w:sz w:val="24"/>
          <w:szCs w:val="24"/>
        </w:rPr>
        <w:t>).</w:t>
      </w:r>
      <w:r w:rsidRPr="00261C59">
        <w:rPr>
          <w:rFonts w:ascii="Calibri" w:hAnsi="Calibri"/>
          <w:sz w:val="24"/>
          <w:szCs w:val="24"/>
        </w:rPr>
        <w:t xml:space="preserve"> </w:t>
      </w:r>
    </w:p>
    <w:p w14:paraId="47B21D98" w14:textId="7777777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The Commonwealth is responsible for:</w:t>
      </w:r>
    </w:p>
    <w:p w14:paraId="1726257D" w14:textId="297C96AD" w:rsidR="00942156" w:rsidRPr="00261C59" w:rsidRDefault="00942156" w:rsidP="004728D9">
      <w:pPr>
        <w:numPr>
          <w:ilvl w:val="1"/>
          <w:numId w:val="188"/>
        </w:numPr>
        <w:spacing w:after="240" w:line="260" w:lineRule="exact"/>
        <w:jc w:val="left"/>
        <w:rPr>
          <w:rFonts w:ascii="Calibri" w:hAnsi="Calibri"/>
          <w:sz w:val="24"/>
          <w:szCs w:val="24"/>
        </w:rPr>
      </w:pPr>
      <w:r w:rsidRPr="00261C59">
        <w:rPr>
          <w:rFonts w:ascii="Calibri" w:hAnsi="Calibri"/>
          <w:sz w:val="24"/>
          <w:szCs w:val="24"/>
        </w:rPr>
        <w:t xml:space="preserve">progressing national legislative change to support sharing of health information across all care settings, as well as requiring the use of national Healthcare Identifiers to support transitions of care </w:t>
      </w:r>
    </w:p>
    <w:p w14:paraId="2D78FB03" w14:textId="2BAD41C4" w:rsidR="00942156" w:rsidRPr="00261C59" w:rsidRDefault="00942156" w:rsidP="004728D9">
      <w:pPr>
        <w:numPr>
          <w:ilvl w:val="1"/>
          <w:numId w:val="188"/>
        </w:numPr>
        <w:spacing w:after="240" w:line="260" w:lineRule="exact"/>
        <w:jc w:val="left"/>
        <w:rPr>
          <w:rFonts w:ascii="Calibri" w:hAnsi="Calibri"/>
          <w:sz w:val="24"/>
          <w:szCs w:val="24"/>
        </w:rPr>
      </w:pPr>
      <w:r w:rsidRPr="00261C59">
        <w:rPr>
          <w:rFonts w:ascii="Calibri" w:hAnsi="Calibri"/>
          <w:sz w:val="24"/>
          <w:szCs w:val="24"/>
        </w:rPr>
        <w:t>progressing improvements to the Healthcare Identifier Service to increase data quality and matching, and the timely allocation of Healthcare Identifiers in partnership with Services Australia and jurisdictions</w:t>
      </w:r>
    </w:p>
    <w:p w14:paraId="15426A53" w14:textId="30C0CAA8" w:rsidR="00942156" w:rsidRPr="00261C59" w:rsidRDefault="00942156" w:rsidP="004728D9">
      <w:pPr>
        <w:numPr>
          <w:ilvl w:val="1"/>
          <w:numId w:val="188"/>
        </w:numPr>
        <w:spacing w:after="240" w:line="260" w:lineRule="exact"/>
        <w:jc w:val="left"/>
        <w:rPr>
          <w:rFonts w:ascii="Calibri" w:hAnsi="Calibri"/>
          <w:sz w:val="24"/>
          <w:szCs w:val="24"/>
        </w:rPr>
      </w:pPr>
      <w:r w:rsidRPr="00261C59">
        <w:rPr>
          <w:rFonts w:ascii="Calibri" w:hAnsi="Calibri"/>
          <w:sz w:val="24"/>
          <w:szCs w:val="24"/>
        </w:rPr>
        <w:t>supporting jurisdictions with their implementation and adoption of Healthcare Identifiers through policy and technical support</w:t>
      </w:r>
    </w:p>
    <w:p w14:paraId="2FF5A987" w14:textId="6F2B4953" w:rsidR="00942156" w:rsidRPr="00261C59" w:rsidRDefault="00942156" w:rsidP="004728D9">
      <w:pPr>
        <w:numPr>
          <w:ilvl w:val="1"/>
          <w:numId w:val="188"/>
        </w:numPr>
        <w:spacing w:after="240" w:line="260" w:lineRule="exact"/>
        <w:jc w:val="left"/>
        <w:rPr>
          <w:rFonts w:ascii="Calibri" w:hAnsi="Calibri"/>
          <w:sz w:val="24"/>
          <w:szCs w:val="24"/>
        </w:rPr>
      </w:pPr>
      <w:r w:rsidRPr="00261C59">
        <w:rPr>
          <w:rFonts w:ascii="Calibri" w:hAnsi="Calibri"/>
          <w:sz w:val="24"/>
          <w:szCs w:val="24"/>
        </w:rPr>
        <w:t>progressing adoption of Healthcare Identifiers across other care settings, for example primary care and aged care, to underpin whole-of-system interoperability</w:t>
      </w:r>
    </w:p>
    <w:p w14:paraId="7E755C6F" w14:textId="77777777" w:rsidR="00942156" w:rsidRPr="00261C59" w:rsidRDefault="00942156" w:rsidP="004728D9">
      <w:pPr>
        <w:numPr>
          <w:ilvl w:val="1"/>
          <w:numId w:val="188"/>
        </w:numPr>
        <w:spacing w:after="240" w:line="260" w:lineRule="exact"/>
        <w:jc w:val="left"/>
        <w:rPr>
          <w:rFonts w:ascii="Calibri" w:hAnsi="Calibri"/>
          <w:sz w:val="24"/>
          <w:szCs w:val="24"/>
        </w:rPr>
      </w:pPr>
      <w:r w:rsidRPr="00261C59">
        <w:rPr>
          <w:rFonts w:ascii="Calibri" w:hAnsi="Calibri"/>
          <w:sz w:val="24"/>
          <w:szCs w:val="24"/>
        </w:rPr>
        <w:t>establishing interoperability protocols, data standards and health and care information exchange capabilities for national adoption and use in partnership with jurisdictions and industry.</w:t>
      </w:r>
    </w:p>
    <w:p w14:paraId="7767F798" w14:textId="7777777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The States are responsible for:</w:t>
      </w:r>
    </w:p>
    <w:p w14:paraId="6A928A5C" w14:textId="4ECB7EC2" w:rsidR="00942156" w:rsidRPr="00261C59" w:rsidRDefault="001B6179" w:rsidP="004728D9">
      <w:pPr>
        <w:numPr>
          <w:ilvl w:val="1"/>
          <w:numId w:val="189"/>
        </w:numPr>
        <w:spacing w:after="240" w:line="260" w:lineRule="exact"/>
        <w:jc w:val="left"/>
        <w:rPr>
          <w:rFonts w:ascii="Calibri" w:hAnsi="Calibri"/>
          <w:sz w:val="24"/>
          <w:szCs w:val="24"/>
        </w:rPr>
      </w:pPr>
      <w:r w:rsidRPr="00261C59">
        <w:rPr>
          <w:rFonts w:ascii="Calibri" w:hAnsi="Calibri"/>
          <w:sz w:val="24"/>
          <w:szCs w:val="24"/>
        </w:rPr>
        <w:t>engaging in the development of national level implementation plans and related local level implementation</w:t>
      </w:r>
      <w:r w:rsidR="00942156" w:rsidRPr="00261C59">
        <w:rPr>
          <w:rFonts w:ascii="Calibri" w:hAnsi="Calibri"/>
          <w:sz w:val="24"/>
          <w:szCs w:val="24"/>
        </w:rPr>
        <w:t xml:space="preserve"> </w:t>
      </w:r>
    </w:p>
    <w:p w14:paraId="12D2ED47" w14:textId="6FCABE14" w:rsidR="00942156" w:rsidRPr="00261C59" w:rsidRDefault="00942156" w:rsidP="004728D9">
      <w:pPr>
        <w:widowControl/>
        <w:numPr>
          <w:ilvl w:val="1"/>
          <w:numId w:val="189"/>
        </w:numPr>
        <w:spacing w:after="240" w:line="260" w:lineRule="exact"/>
        <w:jc w:val="left"/>
        <w:rPr>
          <w:rFonts w:ascii="Calibri" w:hAnsi="Calibri"/>
          <w:sz w:val="24"/>
          <w:szCs w:val="24"/>
        </w:rPr>
      </w:pPr>
      <w:r w:rsidRPr="00261C59">
        <w:rPr>
          <w:rFonts w:ascii="Calibri" w:hAnsi="Calibri"/>
          <w:sz w:val="24"/>
          <w:szCs w:val="24"/>
        </w:rPr>
        <w:t xml:space="preserve">planning and uplift of internal systems to meet digital reform commitments in line with implementation principles </w:t>
      </w:r>
    </w:p>
    <w:p w14:paraId="40E567F4" w14:textId="4FEAEACB" w:rsidR="00942156" w:rsidRPr="00261C59" w:rsidRDefault="00942156" w:rsidP="004728D9">
      <w:pPr>
        <w:numPr>
          <w:ilvl w:val="1"/>
          <w:numId w:val="189"/>
        </w:numPr>
        <w:spacing w:after="240" w:line="260" w:lineRule="exact"/>
        <w:jc w:val="left"/>
        <w:rPr>
          <w:rFonts w:ascii="Calibri" w:hAnsi="Calibri"/>
          <w:sz w:val="24"/>
          <w:szCs w:val="24"/>
        </w:rPr>
      </w:pPr>
      <w:r w:rsidRPr="00261C59">
        <w:rPr>
          <w:rFonts w:ascii="Calibri" w:hAnsi="Calibri"/>
          <w:sz w:val="24"/>
          <w:szCs w:val="24"/>
        </w:rPr>
        <w:t xml:space="preserve">reporting on measurable progress towards digital reform commitments through agreed governance processes </w:t>
      </w:r>
    </w:p>
    <w:p w14:paraId="3BD1C718" w14:textId="77777777" w:rsidR="00942156" w:rsidRPr="00261C59" w:rsidRDefault="00942156" w:rsidP="00EA621E">
      <w:pPr>
        <w:keepLines/>
        <w:numPr>
          <w:ilvl w:val="1"/>
          <w:numId w:val="189"/>
        </w:numPr>
        <w:spacing w:after="240" w:line="260" w:lineRule="exact"/>
        <w:jc w:val="left"/>
        <w:rPr>
          <w:rFonts w:ascii="Calibri" w:hAnsi="Calibri"/>
          <w:sz w:val="24"/>
          <w:szCs w:val="24"/>
        </w:rPr>
      </w:pPr>
      <w:r w:rsidRPr="00261C59">
        <w:rPr>
          <w:rFonts w:ascii="Calibri" w:hAnsi="Calibri"/>
          <w:sz w:val="24"/>
          <w:szCs w:val="24"/>
        </w:rPr>
        <w:t>progressing consultation on and, where applicable, implementing jurisdictional legislative changes alongside national legislative change to enable access to and sharing of health and care information.</w:t>
      </w:r>
    </w:p>
    <w:p w14:paraId="79CFBA2F" w14:textId="77777777" w:rsidR="00942156" w:rsidRPr="00261C59" w:rsidRDefault="00942156" w:rsidP="00F262FD">
      <w:pPr>
        <w:keepNext/>
        <w:keepLines/>
        <w:jc w:val="left"/>
        <w:outlineLvl w:val="2"/>
        <w:rPr>
          <w:rFonts w:ascii="Corbel" w:hAnsi="Corbel"/>
          <w:color w:val="3D4B67"/>
          <w:sz w:val="28"/>
          <w:szCs w:val="48"/>
          <w:lang w:eastAsia="ja-JP"/>
        </w:rPr>
      </w:pPr>
      <w:bookmarkStart w:id="839" w:name="_Toc165490993"/>
      <w:bookmarkStart w:id="840" w:name="_Toc167456368"/>
      <w:bookmarkStart w:id="841" w:name="_Toc173428336"/>
      <w:bookmarkStart w:id="842" w:name="_Toc173937785"/>
      <w:bookmarkStart w:id="843" w:name="_Toc210833700"/>
      <w:bookmarkStart w:id="844" w:name="_Toc214456600"/>
      <w:bookmarkStart w:id="845" w:name="_Toc221088085"/>
      <w:r w:rsidRPr="00261C59">
        <w:rPr>
          <w:rFonts w:ascii="Corbel" w:hAnsi="Corbel"/>
          <w:color w:val="3D4B67"/>
          <w:sz w:val="28"/>
          <w:szCs w:val="48"/>
          <w:lang w:eastAsia="ja-JP"/>
        </w:rPr>
        <w:t>Accountability and governance</w:t>
      </w:r>
      <w:bookmarkEnd w:id="839"/>
      <w:bookmarkEnd w:id="840"/>
      <w:bookmarkEnd w:id="841"/>
      <w:bookmarkEnd w:id="842"/>
      <w:bookmarkEnd w:id="843"/>
      <w:bookmarkEnd w:id="844"/>
      <w:bookmarkEnd w:id="845"/>
    </w:p>
    <w:p w14:paraId="31268E71" w14:textId="5D29BAD1" w:rsidR="00942156" w:rsidRPr="00261C59" w:rsidRDefault="00942156" w:rsidP="005F37B2">
      <w:pPr>
        <w:keepLines/>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The existing cross-jurisdictional Digital Health Oversight Committee (DHOC) </w:t>
      </w:r>
      <w:r w:rsidR="001D0530" w:rsidRPr="00261C59">
        <w:rPr>
          <w:rFonts w:ascii="Calibri" w:hAnsi="Calibri" w:cs="Calibri"/>
          <w:sz w:val="24"/>
          <w:szCs w:val="24"/>
        </w:rPr>
        <w:t>established under the Intergovernmental Agreement on National Digital Health</w:t>
      </w:r>
      <w:r w:rsidR="00300723" w:rsidRPr="00261C59">
        <w:rPr>
          <w:rFonts w:ascii="Calibri" w:hAnsi="Calibri" w:cs="Calibri"/>
          <w:sz w:val="24"/>
          <w:szCs w:val="24"/>
        </w:rPr>
        <w:t xml:space="preserve"> </w:t>
      </w:r>
      <w:r w:rsidR="005B6A02" w:rsidRPr="00261C59">
        <w:rPr>
          <w:rFonts w:ascii="Calibri" w:hAnsi="Calibri" w:cs="Calibri"/>
          <w:sz w:val="24"/>
          <w:szCs w:val="24"/>
        </w:rPr>
        <w:t>2023-27, or relevant cross-jurisdictional expert committee</w:t>
      </w:r>
      <w:r w:rsidRPr="00261C59">
        <w:rPr>
          <w:rFonts w:ascii="Calibri" w:hAnsi="Calibri" w:cs="Calibri"/>
          <w:sz w:val="24"/>
          <w:szCs w:val="24"/>
        </w:rPr>
        <w:t xml:space="preserve"> will</w:t>
      </w:r>
      <w:r w:rsidR="00F85921" w:rsidRPr="00261C59">
        <w:rPr>
          <w:rFonts w:ascii="Calibri" w:hAnsi="Calibri" w:cs="Calibri"/>
          <w:sz w:val="24"/>
          <w:szCs w:val="24"/>
        </w:rPr>
        <w:t xml:space="preserve"> develop a proposed implementation plan for </w:t>
      </w:r>
      <w:r w:rsidR="775759FA" w:rsidRPr="00261C59">
        <w:rPr>
          <w:rFonts w:ascii="Calibri" w:hAnsi="Calibri" w:cs="Calibri"/>
          <w:sz w:val="24"/>
          <w:szCs w:val="24"/>
        </w:rPr>
        <w:t xml:space="preserve">activities </w:t>
      </w:r>
      <w:r w:rsidR="0B07CB18" w:rsidRPr="00261C59">
        <w:rPr>
          <w:rFonts w:ascii="Calibri" w:hAnsi="Calibri" w:cs="Calibri"/>
          <w:sz w:val="24"/>
          <w:szCs w:val="24"/>
        </w:rPr>
        <w:t xml:space="preserve">agreed in this Schedule </w:t>
      </w:r>
      <w:r w:rsidR="32132C26" w:rsidRPr="00261C59">
        <w:rPr>
          <w:rFonts w:ascii="Calibri" w:hAnsi="Calibri" w:cs="Calibri"/>
          <w:sz w:val="24"/>
          <w:szCs w:val="24"/>
        </w:rPr>
        <w:t xml:space="preserve">for </w:t>
      </w:r>
      <w:r w:rsidR="003D2B98" w:rsidRPr="00261C59">
        <w:rPr>
          <w:rFonts w:ascii="Calibri" w:hAnsi="Calibri" w:cs="Calibri"/>
          <w:sz w:val="24"/>
          <w:szCs w:val="24"/>
        </w:rPr>
        <w:t>H</w:t>
      </w:r>
      <w:r w:rsidR="00F85921" w:rsidRPr="00261C59">
        <w:rPr>
          <w:rFonts w:ascii="Calibri" w:hAnsi="Calibri" w:cs="Calibri"/>
          <w:sz w:val="24"/>
          <w:szCs w:val="24"/>
        </w:rPr>
        <w:t>CEF and HMM consideration</w:t>
      </w:r>
      <w:r w:rsidR="00300723" w:rsidRPr="00261C59">
        <w:rPr>
          <w:rFonts w:ascii="Calibri" w:hAnsi="Calibri" w:cs="Calibri"/>
          <w:sz w:val="24"/>
          <w:szCs w:val="24"/>
        </w:rPr>
        <w:t>.</w:t>
      </w:r>
      <w:r w:rsidR="00B63914" w:rsidRPr="00261C59">
        <w:rPr>
          <w:rFonts w:ascii="Calibri" w:hAnsi="Calibri" w:cs="Calibri"/>
          <w:sz w:val="24"/>
          <w:szCs w:val="24"/>
        </w:rPr>
        <w:t xml:space="preserve"> </w:t>
      </w:r>
      <w:r w:rsidR="00300723" w:rsidRPr="00261C59">
        <w:rPr>
          <w:rFonts w:ascii="Calibri" w:hAnsi="Calibri" w:cs="Calibri"/>
          <w:sz w:val="24"/>
          <w:szCs w:val="24"/>
        </w:rPr>
        <w:t>T</w:t>
      </w:r>
      <w:r w:rsidRPr="00261C59">
        <w:rPr>
          <w:rFonts w:ascii="Calibri" w:hAnsi="Calibri" w:cs="Calibri"/>
          <w:sz w:val="24"/>
          <w:szCs w:val="24"/>
        </w:rPr>
        <w:t>he DHOC will:</w:t>
      </w:r>
    </w:p>
    <w:p w14:paraId="2F335826" w14:textId="023E4C62" w:rsidR="00942156" w:rsidRPr="00261C59" w:rsidRDefault="00942156" w:rsidP="005F37B2">
      <w:pPr>
        <w:keepLines/>
        <w:numPr>
          <w:ilvl w:val="1"/>
          <w:numId w:val="190"/>
        </w:numPr>
        <w:spacing w:after="240" w:line="260" w:lineRule="exact"/>
        <w:jc w:val="left"/>
        <w:rPr>
          <w:rFonts w:ascii="Calibri" w:hAnsi="Calibri"/>
          <w:sz w:val="24"/>
          <w:szCs w:val="24"/>
        </w:rPr>
      </w:pPr>
      <w:r w:rsidRPr="00261C59">
        <w:rPr>
          <w:rFonts w:ascii="Calibri" w:hAnsi="Calibri"/>
          <w:sz w:val="24"/>
          <w:szCs w:val="24"/>
        </w:rPr>
        <w:t xml:space="preserve">be responsible for </w:t>
      </w:r>
      <w:r w:rsidR="00633832" w:rsidRPr="00261C59">
        <w:rPr>
          <w:rFonts w:ascii="Calibri" w:hAnsi="Calibri"/>
          <w:sz w:val="24"/>
          <w:szCs w:val="24"/>
        </w:rPr>
        <w:t>providing advice to HCEF and HMM on the</w:t>
      </w:r>
      <w:r w:rsidRPr="00261C59">
        <w:rPr>
          <w:rFonts w:ascii="Calibri" w:hAnsi="Calibri"/>
          <w:sz w:val="24"/>
          <w:szCs w:val="24"/>
        </w:rPr>
        <w:t xml:space="preserve"> scope, tasking and timeframes for progressing the delivery of digital reforms</w:t>
      </w:r>
      <w:r w:rsidR="00633832" w:rsidRPr="00261C59">
        <w:rPr>
          <w:rFonts w:ascii="Calibri" w:hAnsi="Calibri"/>
          <w:sz w:val="24"/>
          <w:szCs w:val="24"/>
        </w:rPr>
        <w:t xml:space="preserve"> with consideration of the costs of reform and relative jurisdictional priorities and capacity</w:t>
      </w:r>
      <w:r w:rsidRPr="00261C59">
        <w:rPr>
          <w:rFonts w:ascii="Calibri" w:hAnsi="Calibri"/>
          <w:sz w:val="24"/>
          <w:szCs w:val="24"/>
        </w:rPr>
        <w:t xml:space="preserve">  </w:t>
      </w:r>
    </w:p>
    <w:p w14:paraId="5FC96E23" w14:textId="2B050EE4" w:rsidR="00942156" w:rsidRPr="00261C59" w:rsidRDefault="00942156" w:rsidP="004728D9">
      <w:pPr>
        <w:numPr>
          <w:ilvl w:val="1"/>
          <w:numId w:val="190"/>
        </w:numPr>
        <w:spacing w:after="240" w:line="260" w:lineRule="exact"/>
        <w:jc w:val="left"/>
        <w:rPr>
          <w:rFonts w:ascii="Calibri" w:hAnsi="Calibri"/>
          <w:sz w:val="24"/>
          <w:szCs w:val="24"/>
        </w:rPr>
      </w:pPr>
      <w:r w:rsidRPr="00261C59">
        <w:rPr>
          <w:rFonts w:ascii="Calibri" w:hAnsi="Calibri"/>
          <w:sz w:val="24"/>
          <w:szCs w:val="24"/>
        </w:rPr>
        <w:t>engage with other national oversight committees as needed to support tasking for national and expert data bodies</w:t>
      </w:r>
    </w:p>
    <w:p w14:paraId="4D9327BB" w14:textId="2A11826E" w:rsidR="00942156" w:rsidRPr="00261C59" w:rsidRDefault="00942156" w:rsidP="004728D9">
      <w:pPr>
        <w:numPr>
          <w:ilvl w:val="1"/>
          <w:numId w:val="190"/>
        </w:numPr>
        <w:spacing w:after="240" w:line="260" w:lineRule="exact"/>
        <w:jc w:val="left"/>
        <w:rPr>
          <w:rFonts w:ascii="Calibri" w:hAnsi="Calibri"/>
          <w:sz w:val="24"/>
          <w:szCs w:val="24"/>
        </w:rPr>
      </w:pPr>
      <w:r w:rsidRPr="00261C59">
        <w:rPr>
          <w:rFonts w:ascii="Calibri" w:hAnsi="Calibri"/>
          <w:sz w:val="24"/>
          <w:szCs w:val="24"/>
        </w:rPr>
        <w:t xml:space="preserve">report on measurable progress, barriers and risks against the implementation plan to </w:t>
      </w:r>
      <w:r w:rsidR="001A7B81" w:rsidRPr="00261C59">
        <w:rPr>
          <w:rFonts w:ascii="Calibri" w:hAnsi="Calibri"/>
          <w:sz w:val="24"/>
          <w:szCs w:val="24"/>
        </w:rPr>
        <w:t>HCEF and other relevant sub-committees</w:t>
      </w:r>
      <w:r w:rsidRPr="00261C59">
        <w:rPr>
          <w:rFonts w:ascii="Calibri" w:hAnsi="Calibri"/>
          <w:sz w:val="24"/>
          <w:szCs w:val="24"/>
        </w:rPr>
        <w:t xml:space="preserve">. </w:t>
      </w:r>
    </w:p>
    <w:p w14:paraId="216803CE" w14:textId="77777777" w:rsidR="00942156" w:rsidRPr="00261C59" w:rsidRDefault="00942156" w:rsidP="002E5D9D">
      <w:pPr>
        <w:keepNext/>
        <w:keepLines/>
        <w:spacing w:before="200"/>
        <w:jc w:val="left"/>
        <w:outlineLvl w:val="3"/>
        <w:rPr>
          <w:rFonts w:eastAsia="Yu Gothic Light"/>
          <w:b/>
          <w:bCs/>
          <w:iCs/>
        </w:rPr>
      </w:pPr>
      <w:r w:rsidRPr="00261C59">
        <w:rPr>
          <w:rFonts w:eastAsia="Yu Gothic Light"/>
          <w:b/>
          <w:bCs/>
          <w:iCs/>
        </w:rPr>
        <w:t xml:space="preserve">Enabling </w:t>
      </w:r>
      <w:r w:rsidRPr="00261C59" w:rsidDel="00B30FA3">
        <w:rPr>
          <w:rFonts w:eastAsia="Yu Gothic Light"/>
          <w:b/>
          <w:bCs/>
          <w:iCs/>
        </w:rPr>
        <w:t xml:space="preserve">other </w:t>
      </w:r>
      <w:r w:rsidRPr="00261C59">
        <w:rPr>
          <w:rFonts w:eastAsia="Yu Gothic Light"/>
          <w:b/>
          <w:bCs/>
          <w:iCs/>
        </w:rPr>
        <w:t>reforms in the Addendum</w:t>
      </w:r>
    </w:p>
    <w:p w14:paraId="2E66CBA1" w14:textId="4B632BF6"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When designing or implementing other health system reforms as part of this Addendum, the relevant program leads will be responsible for identifying any new or emerging requirements for digital enablement in consultation with the DHOC and advising </w:t>
      </w:r>
      <w:r w:rsidR="001A7B81" w:rsidRPr="00261C59">
        <w:rPr>
          <w:rFonts w:ascii="Calibri" w:hAnsi="Calibri" w:cs="Calibri"/>
          <w:sz w:val="24"/>
          <w:szCs w:val="24"/>
        </w:rPr>
        <w:t>HCEF and relevant sub-committees</w:t>
      </w:r>
      <w:r w:rsidRPr="00261C59">
        <w:rPr>
          <w:rFonts w:ascii="Calibri" w:hAnsi="Calibri" w:cs="Calibri"/>
          <w:sz w:val="24"/>
          <w:szCs w:val="24"/>
        </w:rPr>
        <w:t>.</w:t>
      </w:r>
    </w:p>
    <w:p w14:paraId="389EB881" w14:textId="623E3552" w:rsidR="00942156" w:rsidRPr="00261C59" w:rsidRDefault="00942156" w:rsidP="004728D9">
      <w:pPr>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Where existing digital health funding or national digital capability is insufficient to meet the policy objectives, </w:t>
      </w:r>
      <w:r w:rsidR="001A7B81" w:rsidRPr="00261C59">
        <w:rPr>
          <w:rFonts w:ascii="Calibri" w:hAnsi="Calibri" w:cs="Calibri"/>
          <w:sz w:val="24"/>
          <w:szCs w:val="24"/>
        </w:rPr>
        <w:t>HCEF and relevant sub-committees</w:t>
      </w:r>
      <w:r w:rsidRPr="00261C59">
        <w:rPr>
          <w:rFonts w:ascii="Calibri" w:hAnsi="Calibri" w:cs="Calibri"/>
          <w:sz w:val="24"/>
          <w:szCs w:val="24"/>
        </w:rPr>
        <w:t>, the DHOC and the program leads will collaborate to find a pragmatic solution or escalate appropriately.</w:t>
      </w:r>
      <w:r w:rsidR="007A1E5D" w:rsidRPr="00261C59">
        <w:rPr>
          <w:rFonts w:ascii="Calibri" w:hAnsi="Calibri" w:cs="Calibri"/>
          <w:sz w:val="24"/>
          <w:szCs w:val="24"/>
        </w:rPr>
        <w:t xml:space="preserve"> </w:t>
      </w:r>
      <w:r w:rsidR="00BC2209" w:rsidRPr="00261C59">
        <w:rPr>
          <w:rFonts w:ascii="Calibri" w:hAnsi="Calibri" w:cs="Calibri"/>
          <w:sz w:val="24"/>
          <w:szCs w:val="24"/>
        </w:rPr>
        <w:t>Where an appropriate solution is unable to be identified, the relevant implementation plans may require adjustment.</w:t>
      </w:r>
    </w:p>
    <w:p w14:paraId="3C18FE9C" w14:textId="77777777" w:rsidR="00942156" w:rsidRPr="00261C59" w:rsidRDefault="00942156" w:rsidP="002E5D9D">
      <w:pPr>
        <w:keepNext/>
        <w:jc w:val="left"/>
        <w:outlineLvl w:val="2"/>
        <w:rPr>
          <w:rFonts w:ascii="Corbel" w:hAnsi="Corbel"/>
          <w:color w:val="3D4B67"/>
          <w:sz w:val="28"/>
          <w:szCs w:val="48"/>
          <w:lang w:eastAsia="ja-JP"/>
        </w:rPr>
      </w:pPr>
      <w:bookmarkStart w:id="846" w:name="_Toc165490994"/>
      <w:bookmarkStart w:id="847" w:name="_Toc167456369"/>
      <w:bookmarkStart w:id="848" w:name="_Toc173428337"/>
      <w:bookmarkStart w:id="849" w:name="_Toc173937786"/>
      <w:bookmarkStart w:id="850" w:name="_Toc210833701"/>
      <w:bookmarkStart w:id="851" w:name="_Toc214456601"/>
      <w:bookmarkStart w:id="852" w:name="_Toc221088086"/>
      <w:r w:rsidRPr="00261C59">
        <w:rPr>
          <w:rFonts w:ascii="Corbel" w:hAnsi="Corbel"/>
          <w:color w:val="3D4B67"/>
          <w:sz w:val="28"/>
          <w:szCs w:val="48"/>
          <w:lang w:eastAsia="ja-JP"/>
        </w:rPr>
        <w:t>Deliverables</w:t>
      </w:r>
      <w:bookmarkEnd w:id="846"/>
      <w:bookmarkEnd w:id="847"/>
      <w:bookmarkEnd w:id="848"/>
      <w:bookmarkEnd w:id="849"/>
      <w:bookmarkEnd w:id="850"/>
      <w:bookmarkEnd w:id="851"/>
      <w:bookmarkEnd w:id="852"/>
    </w:p>
    <w:p w14:paraId="25EC8708" w14:textId="77777777" w:rsidR="00942156" w:rsidRPr="00261C59" w:rsidRDefault="00942156" w:rsidP="002E5D9D">
      <w:pPr>
        <w:keepNext/>
        <w:keepLines/>
        <w:spacing w:before="200"/>
        <w:jc w:val="left"/>
        <w:outlineLvl w:val="3"/>
        <w:rPr>
          <w:rFonts w:eastAsia="Yu Gothic Light"/>
          <w:b/>
          <w:bCs/>
          <w:iCs/>
        </w:rPr>
      </w:pPr>
      <w:r w:rsidRPr="00261C59">
        <w:rPr>
          <w:rFonts w:eastAsia="Yu Gothic Light"/>
          <w:b/>
          <w:bCs/>
          <w:iCs/>
        </w:rPr>
        <w:t>Consistent Digital Healthcare Identifiers to enable care co-ordination</w:t>
      </w:r>
    </w:p>
    <w:p w14:paraId="7E050802" w14:textId="7777777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Healthcare Identifiers underpin national digital health services and information exchange and sharing across borders and care settings, so that patients’ records can be easily accessed by their healthcare provider. They are a base architecture for a modern, connected healthcare system. At present, there is varied uptake of Healthcare Identifiers across all jurisdictions.</w:t>
      </w:r>
    </w:p>
    <w:p w14:paraId="22112738" w14:textId="48B41893" w:rsidR="00942156" w:rsidRPr="00261C59" w:rsidRDefault="00942156" w:rsidP="004728D9">
      <w:pPr>
        <w:keepNext/>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All Parties agree to </w:t>
      </w:r>
      <w:r w:rsidR="00135D8A" w:rsidRPr="00261C59">
        <w:rPr>
          <w:rFonts w:ascii="Calibri" w:hAnsi="Calibri" w:cs="Calibri"/>
          <w:sz w:val="24"/>
          <w:szCs w:val="24"/>
        </w:rPr>
        <w:t xml:space="preserve">work towards the </w:t>
      </w:r>
      <w:r w:rsidRPr="00261C59">
        <w:rPr>
          <w:rFonts w:ascii="Calibri" w:hAnsi="Calibri" w:cs="Calibri"/>
          <w:sz w:val="24"/>
          <w:szCs w:val="24"/>
        </w:rPr>
        <w:t xml:space="preserve">adoption of nationally consistent Healthcare Identifiers, in alignment with the principles, for: </w:t>
      </w:r>
    </w:p>
    <w:p w14:paraId="071A57CE" w14:textId="7C18F8A6" w:rsidR="00942156" w:rsidRPr="00261C59" w:rsidRDefault="00942156" w:rsidP="004728D9">
      <w:pPr>
        <w:numPr>
          <w:ilvl w:val="1"/>
          <w:numId w:val="191"/>
        </w:numPr>
        <w:spacing w:after="240" w:line="260" w:lineRule="exact"/>
        <w:jc w:val="left"/>
        <w:rPr>
          <w:rFonts w:ascii="Calibri" w:hAnsi="Calibri"/>
          <w:sz w:val="24"/>
          <w:szCs w:val="24"/>
        </w:rPr>
      </w:pPr>
      <w:r w:rsidRPr="00261C59">
        <w:rPr>
          <w:rFonts w:ascii="Calibri" w:hAnsi="Calibri"/>
          <w:sz w:val="24"/>
          <w:szCs w:val="24"/>
        </w:rPr>
        <w:t>Consumers (Individual Healthcare Identifier or IHI)</w:t>
      </w:r>
    </w:p>
    <w:p w14:paraId="18A71FC1" w14:textId="6507F582" w:rsidR="00942156" w:rsidRPr="00261C59" w:rsidRDefault="00942156" w:rsidP="004728D9">
      <w:pPr>
        <w:numPr>
          <w:ilvl w:val="1"/>
          <w:numId w:val="191"/>
        </w:numPr>
        <w:spacing w:after="240" w:line="260" w:lineRule="exact"/>
        <w:jc w:val="left"/>
        <w:rPr>
          <w:rFonts w:ascii="Calibri" w:hAnsi="Calibri"/>
          <w:sz w:val="24"/>
          <w:szCs w:val="24"/>
        </w:rPr>
      </w:pPr>
      <w:r w:rsidRPr="00261C59">
        <w:rPr>
          <w:rFonts w:ascii="Calibri" w:hAnsi="Calibri"/>
          <w:sz w:val="24"/>
          <w:szCs w:val="24"/>
        </w:rPr>
        <w:t>Health Care Providers (Healthcare Provider Identifier – Individual or HPI-I)</w:t>
      </w:r>
    </w:p>
    <w:p w14:paraId="5E79DF24" w14:textId="438EF930" w:rsidR="00942156" w:rsidRPr="00261C59" w:rsidRDefault="00942156" w:rsidP="004728D9">
      <w:pPr>
        <w:numPr>
          <w:ilvl w:val="1"/>
          <w:numId w:val="191"/>
        </w:numPr>
        <w:spacing w:after="240" w:line="260" w:lineRule="exact"/>
        <w:jc w:val="left"/>
        <w:rPr>
          <w:rFonts w:ascii="Calibri" w:hAnsi="Calibri"/>
          <w:sz w:val="24"/>
          <w:szCs w:val="24"/>
        </w:rPr>
      </w:pPr>
      <w:r w:rsidRPr="00261C59">
        <w:rPr>
          <w:rFonts w:ascii="Calibri" w:hAnsi="Calibri"/>
          <w:sz w:val="24"/>
          <w:szCs w:val="24"/>
        </w:rPr>
        <w:t>Health Care Provider Organisations (Healthcare Provider Identifier – Organisation or HPI-Os)</w:t>
      </w:r>
      <w:r w:rsidR="00EA621E">
        <w:rPr>
          <w:rFonts w:ascii="Calibri" w:hAnsi="Calibri"/>
          <w:sz w:val="24"/>
          <w:szCs w:val="24"/>
        </w:rPr>
        <w:t>.</w:t>
      </w:r>
      <w:r w:rsidRPr="00261C59">
        <w:rPr>
          <w:rFonts w:ascii="Calibri" w:hAnsi="Calibri"/>
          <w:sz w:val="24"/>
          <w:szCs w:val="24"/>
        </w:rPr>
        <w:t xml:space="preserve"> </w:t>
      </w:r>
    </w:p>
    <w:p w14:paraId="0472527B" w14:textId="77777777" w:rsidR="00942156" w:rsidRPr="00261C59" w:rsidRDefault="00942156" w:rsidP="00EA621E">
      <w:pPr>
        <w:keepNext/>
        <w:keepLines/>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The Parties agree that nationally consistent Healthcare Identifiers to identify patients, providers and organisations will be used when:</w:t>
      </w:r>
    </w:p>
    <w:p w14:paraId="30D2E977" w14:textId="04425650" w:rsidR="00942156" w:rsidRPr="00261C59" w:rsidRDefault="00942156" w:rsidP="004728D9">
      <w:pPr>
        <w:numPr>
          <w:ilvl w:val="1"/>
          <w:numId w:val="192"/>
        </w:numPr>
        <w:spacing w:after="240" w:line="260" w:lineRule="exact"/>
        <w:jc w:val="left"/>
        <w:rPr>
          <w:rFonts w:ascii="Calibri" w:hAnsi="Calibri"/>
          <w:sz w:val="24"/>
          <w:szCs w:val="24"/>
        </w:rPr>
      </w:pPr>
      <w:r w:rsidRPr="00261C59">
        <w:rPr>
          <w:rFonts w:ascii="Calibri" w:hAnsi="Calibri"/>
          <w:sz w:val="24"/>
          <w:szCs w:val="24"/>
        </w:rPr>
        <w:t>health information is exchanged or shared across healthcare settings, organisations or jurisdictional borders</w:t>
      </w:r>
    </w:p>
    <w:p w14:paraId="26533739" w14:textId="7FF5F7E7" w:rsidR="00942156" w:rsidRPr="00261C59" w:rsidRDefault="00942156" w:rsidP="004728D9">
      <w:pPr>
        <w:numPr>
          <w:ilvl w:val="1"/>
          <w:numId w:val="192"/>
        </w:numPr>
        <w:spacing w:after="240" w:line="260" w:lineRule="exact"/>
        <w:jc w:val="left"/>
        <w:rPr>
          <w:rFonts w:ascii="Calibri" w:hAnsi="Calibri"/>
          <w:sz w:val="24"/>
          <w:szCs w:val="24"/>
        </w:rPr>
      </w:pPr>
      <w:r w:rsidRPr="00261C59">
        <w:rPr>
          <w:rFonts w:ascii="Calibri" w:hAnsi="Calibri"/>
          <w:sz w:val="24"/>
          <w:szCs w:val="24"/>
        </w:rPr>
        <w:t>designing and implementing consumer access to key health information from across all health and care settings for a joined-up view of their information regardless of where care was provided</w:t>
      </w:r>
    </w:p>
    <w:p w14:paraId="617A5A00" w14:textId="005EF943" w:rsidR="00942156" w:rsidRPr="00261C59" w:rsidRDefault="00942156" w:rsidP="005F37B2">
      <w:pPr>
        <w:keepLines/>
        <w:numPr>
          <w:ilvl w:val="1"/>
          <w:numId w:val="192"/>
        </w:numPr>
        <w:spacing w:after="240" w:line="260" w:lineRule="exact"/>
        <w:jc w:val="left"/>
        <w:rPr>
          <w:rFonts w:ascii="Calibri" w:hAnsi="Calibri"/>
          <w:sz w:val="24"/>
          <w:szCs w:val="24"/>
        </w:rPr>
      </w:pPr>
      <w:r w:rsidRPr="00261C59">
        <w:rPr>
          <w:rFonts w:ascii="Calibri" w:hAnsi="Calibri"/>
          <w:sz w:val="24"/>
          <w:szCs w:val="24"/>
        </w:rPr>
        <w:t xml:space="preserve">providing health National Minimum Data Sets (NMDS) to national bodies, subject to implementation of relevant </w:t>
      </w:r>
      <w:r w:rsidRPr="00261C59">
        <w:rPr>
          <w:rFonts w:ascii="Calibri" w:hAnsi="Calibri" w:cs="Calibri"/>
          <w:sz w:val="24"/>
          <w:szCs w:val="24"/>
        </w:rPr>
        <w:t>Commonwealth commitments in clause H5</w:t>
      </w:r>
      <w:r w:rsidR="00272343" w:rsidRPr="00261C59">
        <w:rPr>
          <w:rFonts w:ascii="Calibri" w:hAnsi="Calibri" w:cs="Calibri"/>
          <w:sz w:val="24"/>
          <w:szCs w:val="24"/>
        </w:rPr>
        <w:t>9</w:t>
      </w:r>
      <w:r w:rsidRPr="00261C59">
        <w:rPr>
          <w:rFonts w:ascii="Calibri" w:hAnsi="Calibri" w:cs="Calibri"/>
          <w:sz w:val="24"/>
          <w:szCs w:val="24"/>
        </w:rPr>
        <w:t xml:space="preserve">. </w:t>
      </w:r>
      <w:r w:rsidRPr="00261C59">
        <w:rPr>
          <w:rFonts w:ascii="Calibri" w:hAnsi="Calibri"/>
          <w:sz w:val="24"/>
          <w:szCs w:val="24"/>
        </w:rPr>
        <w:t xml:space="preserve">This will allow for better patient identification and health service mapping across the system in line with data commitments in </w:t>
      </w:r>
      <w:r w:rsidR="00272343" w:rsidRPr="00261C59">
        <w:rPr>
          <w:rFonts w:ascii="Calibri" w:hAnsi="Calibri"/>
          <w:sz w:val="24"/>
          <w:szCs w:val="24"/>
        </w:rPr>
        <w:t>this Schedule</w:t>
      </w:r>
      <w:r w:rsidRPr="00261C59">
        <w:rPr>
          <w:rFonts w:ascii="Calibri" w:hAnsi="Calibri"/>
          <w:sz w:val="24"/>
          <w:szCs w:val="24"/>
        </w:rPr>
        <w:t xml:space="preserve"> and to support payment reforms in </w:t>
      </w:r>
      <w:r w:rsidR="00CE62EF" w:rsidRPr="00261C59">
        <w:rPr>
          <w:rFonts w:ascii="Calibri" w:hAnsi="Calibri"/>
          <w:sz w:val="24"/>
          <w:szCs w:val="24"/>
        </w:rPr>
        <w:t xml:space="preserve">Schedule D and </w:t>
      </w:r>
      <w:r w:rsidRPr="00261C59">
        <w:rPr>
          <w:rFonts w:ascii="Calibri" w:hAnsi="Calibri"/>
          <w:sz w:val="24"/>
          <w:szCs w:val="24"/>
        </w:rPr>
        <w:t xml:space="preserve">clause </w:t>
      </w:r>
      <w:r w:rsidRPr="00261C59">
        <w:rPr>
          <w:rFonts w:ascii="Calibri" w:hAnsi="Calibri"/>
          <w:sz w:val="24"/>
        </w:rPr>
        <w:t>I3</w:t>
      </w:r>
      <w:r w:rsidR="00272343" w:rsidRPr="00261C59">
        <w:rPr>
          <w:rFonts w:ascii="Calibri" w:hAnsi="Calibri"/>
          <w:sz w:val="24"/>
        </w:rPr>
        <w:t>1</w:t>
      </w:r>
      <w:r w:rsidRPr="00261C59">
        <w:rPr>
          <w:rFonts w:ascii="Calibri" w:hAnsi="Calibri"/>
          <w:sz w:val="24"/>
        </w:rPr>
        <w:t>.</w:t>
      </w:r>
      <w:r w:rsidRPr="00261C59">
        <w:rPr>
          <w:rFonts w:ascii="Calibri" w:hAnsi="Calibri"/>
          <w:sz w:val="24"/>
          <w:szCs w:val="24"/>
        </w:rPr>
        <w:t xml:space="preserve"> </w:t>
      </w:r>
    </w:p>
    <w:p w14:paraId="2DDB991A" w14:textId="2D7E031F" w:rsidR="00942156" w:rsidRPr="00261C59" w:rsidRDefault="00411C6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It is recognised </w:t>
      </w:r>
      <w:r w:rsidR="00942156" w:rsidRPr="00261C59">
        <w:rPr>
          <w:rFonts w:ascii="Calibri" w:hAnsi="Calibri" w:cs="Calibri"/>
          <w:sz w:val="24"/>
          <w:szCs w:val="24"/>
        </w:rPr>
        <w:t xml:space="preserve">that each jurisdiction’s approach and timeframes for adopting Healthcare Identifiers (IHI, HPI-I and HPI-O) will </w:t>
      </w:r>
      <w:r w:rsidR="00ED5A57" w:rsidRPr="00261C59">
        <w:rPr>
          <w:rFonts w:ascii="Calibri" w:hAnsi="Calibri" w:cs="Calibri"/>
          <w:sz w:val="24"/>
          <w:szCs w:val="24"/>
        </w:rPr>
        <w:t>be subject to consideration of the resourcing implications and relative jurisdictional capacity noting difference in underlying digital architecture</w:t>
      </w:r>
      <w:r w:rsidR="00942156" w:rsidRPr="00261C59">
        <w:rPr>
          <w:rFonts w:ascii="Calibri" w:hAnsi="Calibri" w:cs="Calibri"/>
          <w:sz w:val="24"/>
          <w:szCs w:val="24"/>
        </w:rPr>
        <w:t xml:space="preserve">. </w:t>
      </w:r>
    </w:p>
    <w:p w14:paraId="5C8D51E3" w14:textId="28217A0A"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The Australian Digital Health Agency will coordinate development of a Healthcare Identifier Implementation Roadmap with each jurisdiction that includes appropriate phasing and milestones, to be </w:t>
      </w:r>
      <w:r w:rsidR="00ED5A57" w:rsidRPr="00261C59">
        <w:rPr>
          <w:rFonts w:ascii="Calibri" w:hAnsi="Calibri" w:cs="Calibri"/>
          <w:sz w:val="24"/>
          <w:szCs w:val="24"/>
        </w:rPr>
        <w:t>developed</w:t>
      </w:r>
      <w:r w:rsidRPr="00261C59">
        <w:rPr>
          <w:rFonts w:ascii="Calibri" w:hAnsi="Calibri" w:cs="Calibri"/>
          <w:sz w:val="24"/>
          <w:szCs w:val="24"/>
        </w:rPr>
        <w:t xml:space="preserve"> under the DHOC</w:t>
      </w:r>
      <w:r w:rsidR="00CB7A9C" w:rsidRPr="00261C59">
        <w:rPr>
          <w:rFonts w:ascii="Calibri" w:hAnsi="Calibri" w:cs="Calibri"/>
          <w:sz w:val="24"/>
          <w:szCs w:val="24"/>
        </w:rPr>
        <w:t xml:space="preserve"> for consideration by HCEF and HMM. An initial high-level </w:t>
      </w:r>
      <w:r w:rsidR="00BB77C6" w:rsidRPr="00261C59">
        <w:rPr>
          <w:rFonts w:ascii="Calibri" w:hAnsi="Calibri" w:cs="Calibri"/>
          <w:sz w:val="24"/>
          <w:szCs w:val="24"/>
        </w:rPr>
        <w:t>R</w:t>
      </w:r>
      <w:r w:rsidR="4C8C0893" w:rsidRPr="00261C59">
        <w:rPr>
          <w:rFonts w:ascii="Calibri" w:hAnsi="Calibri" w:cs="Calibri"/>
          <w:sz w:val="24"/>
          <w:szCs w:val="24"/>
        </w:rPr>
        <w:t>oadmap</w:t>
      </w:r>
      <w:r w:rsidR="00CB7A9C" w:rsidRPr="00261C59">
        <w:rPr>
          <w:rFonts w:ascii="Calibri" w:hAnsi="Calibri" w:cs="Calibri"/>
          <w:sz w:val="24"/>
          <w:szCs w:val="24"/>
        </w:rPr>
        <w:t xml:space="preserve"> or detailed updates</w:t>
      </w:r>
      <w:r w:rsidRPr="00261C59">
        <w:rPr>
          <w:rFonts w:ascii="Calibri" w:hAnsi="Calibri" w:cs="Calibri"/>
          <w:sz w:val="24"/>
          <w:szCs w:val="24"/>
        </w:rPr>
        <w:t xml:space="preserve"> </w:t>
      </w:r>
      <w:r w:rsidR="003435E6" w:rsidRPr="00261C59">
        <w:rPr>
          <w:rFonts w:ascii="Calibri" w:hAnsi="Calibri" w:cs="Calibri"/>
          <w:sz w:val="24"/>
          <w:szCs w:val="24"/>
        </w:rPr>
        <w:t>on progress will be provided to DHOC</w:t>
      </w:r>
      <w:r w:rsidRPr="00261C59">
        <w:rPr>
          <w:rFonts w:ascii="Calibri" w:hAnsi="Calibri" w:cs="Calibri"/>
          <w:sz w:val="24"/>
          <w:szCs w:val="24"/>
        </w:rPr>
        <w:t xml:space="preserve"> </w:t>
      </w:r>
      <w:r w:rsidR="11C56760" w:rsidRPr="00261C59">
        <w:rPr>
          <w:rFonts w:ascii="Calibri" w:hAnsi="Calibri" w:cs="Calibri"/>
          <w:sz w:val="24"/>
          <w:szCs w:val="24"/>
        </w:rPr>
        <w:t>or</w:t>
      </w:r>
      <w:r w:rsidR="3AD362E9" w:rsidRPr="00261C59">
        <w:rPr>
          <w:rFonts w:ascii="Calibri" w:hAnsi="Calibri" w:cs="Calibri"/>
          <w:sz w:val="24"/>
          <w:szCs w:val="24"/>
        </w:rPr>
        <w:t xml:space="preserve"> relevant cross-jurisdictional expert committee,</w:t>
      </w:r>
      <w:r w:rsidR="14B5CA7F" w:rsidRPr="00261C59">
        <w:rPr>
          <w:rFonts w:ascii="Calibri" w:hAnsi="Calibri" w:cs="Calibri"/>
          <w:sz w:val="24"/>
          <w:szCs w:val="24"/>
        </w:rPr>
        <w:t xml:space="preserve"> by </w:t>
      </w:r>
      <w:r w:rsidR="5828C307" w:rsidRPr="00261C59">
        <w:rPr>
          <w:rFonts w:ascii="Calibri" w:hAnsi="Calibri" w:cs="Calibri"/>
          <w:sz w:val="24"/>
          <w:szCs w:val="24"/>
        </w:rPr>
        <w:t>30 June</w:t>
      </w:r>
      <w:r w:rsidRPr="00261C59">
        <w:rPr>
          <w:rFonts w:ascii="Calibri" w:hAnsi="Calibri" w:cs="Calibri"/>
          <w:sz w:val="24"/>
          <w:szCs w:val="24"/>
        </w:rPr>
        <w:t xml:space="preserve"> 2027. </w:t>
      </w:r>
    </w:p>
    <w:p w14:paraId="7D951C11" w14:textId="1F298559" w:rsidR="000B126F" w:rsidRPr="00261C59" w:rsidRDefault="00414D11" w:rsidP="008125AF">
      <w:pPr>
        <w:keepLines/>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Subject to these considerations, a more detailed implementation Roadmap will be developed for HCEF and HMM consideration, including jurisdiction level plans by 30</w:t>
      </w:r>
      <w:r w:rsidR="008349B9" w:rsidRPr="00261C59">
        <w:rPr>
          <w:rFonts w:ascii="Calibri" w:hAnsi="Calibri" w:cs="Calibri"/>
          <w:sz w:val="24"/>
          <w:szCs w:val="24"/>
        </w:rPr>
        <w:t> </w:t>
      </w:r>
      <w:r w:rsidRPr="00261C59">
        <w:rPr>
          <w:rFonts w:ascii="Calibri" w:hAnsi="Calibri" w:cs="Calibri"/>
          <w:sz w:val="24"/>
          <w:szCs w:val="24"/>
        </w:rPr>
        <w:t>June</w:t>
      </w:r>
      <w:r w:rsidR="008349B9" w:rsidRPr="00261C59">
        <w:rPr>
          <w:rFonts w:ascii="Calibri" w:hAnsi="Calibri" w:cs="Calibri"/>
          <w:sz w:val="24"/>
          <w:szCs w:val="24"/>
        </w:rPr>
        <w:t> </w:t>
      </w:r>
      <w:r w:rsidRPr="00261C59">
        <w:rPr>
          <w:rFonts w:ascii="Calibri" w:hAnsi="Calibri" w:cs="Calibri"/>
          <w:sz w:val="24"/>
          <w:szCs w:val="24"/>
        </w:rPr>
        <w:t>2028.</w:t>
      </w:r>
    </w:p>
    <w:p w14:paraId="3E24917D" w14:textId="7777777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The Australian Institute of Health and Welfare, in partnership with the Australian Digital Health Agency, will support all jurisdictions to include Healthcare Identifier fields in health NMDS by 30 June 2031. </w:t>
      </w:r>
    </w:p>
    <w:p w14:paraId="4D891EA9" w14:textId="77777777" w:rsidR="00942156" w:rsidRPr="00261C59" w:rsidRDefault="00942156" w:rsidP="002E5D9D">
      <w:pPr>
        <w:keepNext/>
        <w:keepLines/>
        <w:spacing w:before="200"/>
        <w:jc w:val="left"/>
        <w:outlineLvl w:val="3"/>
        <w:rPr>
          <w:rFonts w:eastAsia="Yu Gothic Light"/>
          <w:b/>
          <w:bCs/>
          <w:iCs/>
        </w:rPr>
      </w:pPr>
      <w:r w:rsidRPr="00261C59">
        <w:rPr>
          <w:rFonts w:eastAsia="Yu Gothic Light"/>
          <w:b/>
          <w:bCs/>
          <w:iCs/>
        </w:rPr>
        <w:t>Digitisation and sharing of hospital discharge summaries</w:t>
      </w:r>
    </w:p>
    <w:p w14:paraId="206A0AEB" w14:textId="68B9F850" w:rsidR="00942156" w:rsidRPr="00261C59" w:rsidRDefault="00942156" w:rsidP="004728D9">
      <w:pPr>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All Parties agree to enable the sharing of high-quality hospital discharge information at clinical transfer of care</w:t>
      </w:r>
      <w:r w:rsidR="00947A20" w:rsidRPr="00261C59">
        <w:rPr>
          <w:rFonts w:ascii="Calibri" w:hAnsi="Calibri" w:cs="Calibri"/>
          <w:sz w:val="24"/>
          <w:szCs w:val="24"/>
        </w:rPr>
        <w:t>,</w:t>
      </w:r>
      <w:r w:rsidRPr="00261C59">
        <w:rPr>
          <w:rFonts w:ascii="Calibri" w:hAnsi="Calibri" w:cs="Calibri"/>
          <w:sz w:val="24"/>
          <w:szCs w:val="24"/>
        </w:rPr>
        <w:t xml:space="preserve"> </w:t>
      </w:r>
      <w:r w:rsidR="00B70C8E" w:rsidRPr="00261C59">
        <w:rPr>
          <w:rFonts w:ascii="Calibri" w:hAnsi="Calibri" w:cs="Calibri"/>
          <w:sz w:val="24"/>
          <w:szCs w:val="24"/>
        </w:rPr>
        <w:t>as</w:t>
      </w:r>
      <w:r w:rsidR="00947A20" w:rsidRPr="00261C59">
        <w:rPr>
          <w:rFonts w:ascii="Calibri" w:hAnsi="Calibri" w:cs="Calibri"/>
          <w:sz w:val="24"/>
          <w:szCs w:val="24"/>
        </w:rPr>
        <w:t xml:space="preserve"> outlined in Schedule C and Schedule D</w:t>
      </w:r>
      <w:r w:rsidRPr="00261C59">
        <w:rPr>
          <w:rFonts w:ascii="Calibri" w:hAnsi="Calibri" w:cs="Calibri"/>
          <w:sz w:val="24"/>
          <w:szCs w:val="24"/>
        </w:rPr>
        <w:t xml:space="preserve">. </w:t>
      </w:r>
    </w:p>
    <w:p w14:paraId="4E8D091E" w14:textId="77777777" w:rsidR="00942156" w:rsidRPr="00261C59" w:rsidRDefault="00942156" w:rsidP="004728D9">
      <w:pPr>
        <w:widowControl/>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Parties agree that through digitisation and by utilising existing or emerging technologies for information sharing, discharge summaries can be completed more frequently with greater accuracy and shared in a more timely manner, while reducing manual effort for the hospital workforce. </w:t>
      </w:r>
    </w:p>
    <w:p w14:paraId="13A3B545" w14:textId="3DC580A1"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All Parties agree to</w:t>
      </w:r>
      <w:r w:rsidR="006C1B87" w:rsidRPr="00261C59">
        <w:rPr>
          <w:rFonts w:ascii="Calibri" w:hAnsi="Calibri" w:cs="Calibri"/>
          <w:sz w:val="24"/>
          <w:szCs w:val="24"/>
        </w:rPr>
        <w:t xml:space="preserve"> automate</w:t>
      </w:r>
      <w:r w:rsidR="009B258E" w:rsidRPr="00261C59">
        <w:rPr>
          <w:rFonts w:ascii="Calibri" w:hAnsi="Calibri" w:cs="Calibri"/>
          <w:sz w:val="24"/>
          <w:szCs w:val="24"/>
        </w:rPr>
        <w:t>, where possible,</w:t>
      </w:r>
      <w:r w:rsidR="006C1B87" w:rsidRPr="00261C59">
        <w:rPr>
          <w:rFonts w:ascii="Calibri" w:hAnsi="Calibri" w:cs="Calibri"/>
          <w:sz w:val="24"/>
          <w:szCs w:val="24"/>
        </w:rPr>
        <w:t xml:space="preserve"> the population of discharge information from internal systems into the draft discharge summary ready for clinical review and sharing.</w:t>
      </w:r>
    </w:p>
    <w:p w14:paraId="6CC74ADC" w14:textId="77777777" w:rsidR="00942156" w:rsidRPr="00261C59" w:rsidRDefault="00942156" w:rsidP="002E5D9D">
      <w:pPr>
        <w:keepNext/>
        <w:keepLines/>
        <w:spacing w:before="200"/>
        <w:jc w:val="left"/>
        <w:outlineLvl w:val="3"/>
        <w:rPr>
          <w:rFonts w:eastAsia="Yu Gothic Light"/>
          <w:b/>
          <w:bCs/>
          <w:iCs/>
        </w:rPr>
      </w:pPr>
      <w:r w:rsidRPr="00261C59">
        <w:rPr>
          <w:rFonts w:eastAsia="Yu Gothic Light"/>
          <w:b/>
          <w:bCs/>
          <w:iCs/>
        </w:rPr>
        <w:t>Sustainability of funding for ICT uplift and maintenance</w:t>
      </w:r>
    </w:p>
    <w:p w14:paraId="348FD9AD" w14:textId="77777777" w:rsidR="00942156" w:rsidRPr="00261C59" w:rsidRDefault="00942156" w:rsidP="00944E71">
      <w:pPr>
        <w:keepLines/>
        <w:numPr>
          <w:ilvl w:val="0"/>
          <w:numId w:val="18"/>
        </w:numPr>
        <w:spacing w:after="240" w:line="260" w:lineRule="exact"/>
        <w:jc w:val="left"/>
        <w:rPr>
          <w:rFonts w:ascii="Calibri" w:hAnsi="Calibri" w:cs="Calibri"/>
          <w:sz w:val="24"/>
          <w:szCs w:val="24"/>
        </w:rPr>
      </w:pPr>
      <w:bookmarkStart w:id="853" w:name="_Hlk170902325"/>
      <w:r w:rsidRPr="00261C59">
        <w:rPr>
          <w:rFonts w:ascii="Calibri" w:hAnsi="Calibri" w:cs="Calibri"/>
          <w:sz w:val="24"/>
          <w:szCs w:val="24"/>
        </w:rPr>
        <w:t>To better understand the costs associated with digital solutions, the IHACPA will define a distinct ledger cost category and any additional business rules required for operational Information and Communications Technology (ICT) in the National Hospital Cost Data Collection (NHCDC). This will better depict ICT cost contribution to the National Efficient Price (NEP) and provide greater transparency for any emerging issues to be addressed.</w:t>
      </w:r>
    </w:p>
    <w:p w14:paraId="0D9E9027" w14:textId="77777777" w:rsidR="00942156" w:rsidRPr="00261C59" w:rsidRDefault="00942156" w:rsidP="004728D9">
      <w:pPr>
        <w:numPr>
          <w:ilvl w:val="0"/>
          <w:numId w:val="18"/>
        </w:numPr>
        <w:spacing w:after="240" w:line="260" w:lineRule="exact"/>
        <w:jc w:val="left"/>
        <w:rPr>
          <w:rFonts w:ascii="Calibri" w:hAnsi="Calibri" w:cs="Calibri"/>
          <w:sz w:val="24"/>
          <w:szCs w:val="24"/>
        </w:rPr>
      </w:pPr>
      <w:r w:rsidRPr="00261C59">
        <w:rPr>
          <w:rFonts w:ascii="Calibri" w:hAnsi="Calibri" w:cs="Calibri"/>
          <w:sz w:val="24"/>
          <w:szCs w:val="24"/>
        </w:rPr>
        <w:t xml:space="preserve">The Parties agree there will be no change to the scope of ICT costs included in the standalone ledger category for Commonwealth funding under the Addendum. </w:t>
      </w:r>
      <w:bookmarkEnd w:id="853"/>
    </w:p>
    <w:p w14:paraId="4592DF2B" w14:textId="5DF497F7" w:rsidR="006D25F1" w:rsidRPr="00261C59" w:rsidRDefault="006D25F1" w:rsidP="002E5D9D">
      <w:pPr>
        <w:spacing w:before="0" w:after="240"/>
        <w:jc w:val="left"/>
        <w:rPr>
          <w:rFonts w:ascii="Calibri" w:hAnsi="Calibri" w:cs="Calibri"/>
          <w:sz w:val="24"/>
          <w:szCs w:val="24"/>
        </w:rPr>
        <w:sectPr w:rsidR="006D25F1" w:rsidRPr="00261C59" w:rsidSect="00975D83">
          <w:pgSz w:w="11906" w:h="16838"/>
          <w:pgMar w:top="1440" w:right="1274" w:bottom="1440" w:left="1134" w:header="708" w:footer="708" w:gutter="0"/>
          <w:cols w:space="708"/>
          <w:docGrid w:linePitch="360"/>
        </w:sectPr>
      </w:pPr>
    </w:p>
    <w:p w14:paraId="138301E2" w14:textId="3FBDD500" w:rsidR="00FF324F" w:rsidRPr="00261C59" w:rsidRDefault="00FF324F" w:rsidP="002E5D9D">
      <w:pPr>
        <w:keepNext/>
        <w:widowControl/>
        <w:adjustRightInd/>
        <w:spacing w:before="480" w:after="180"/>
        <w:jc w:val="left"/>
        <w:textAlignment w:val="auto"/>
        <w:outlineLvl w:val="0"/>
        <w:rPr>
          <w:rFonts w:ascii="Consolas" w:hAnsi="Consolas" w:cs="Arial"/>
          <w:caps/>
          <w:color w:val="980033"/>
          <w:kern w:val="32"/>
          <w:sz w:val="32"/>
          <w:szCs w:val="28"/>
        </w:rPr>
      </w:pPr>
      <w:bookmarkStart w:id="854" w:name="_Toc210833702"/>
      <w:bookmarkStart w:id="855" w:name="_Toc214456602"/>
      <w:bookmarkStart w:id="856" w:name="_Toc221088087"/>
      <w:bookmarkStart w:id="857" w:name="_Hlk167363599"/>
      <w:r w:rsidRPr="00261C59">
        <w:rPr>
          <w:rFonts w:ascii="Consolas" w:hAnsi="Consolas" w:cs="Arial"/>
          <w:caps/>
          <w:color w:val="980033"/>
          <w:kern w:val="32"/>
          <w:sz w:val="32"/>
          <w:szCs w:val="28"/>
        </w:rPr>
        <w:t xml:space="preserve">SCHEDULE </w:t>
      </w:r>
      <w:r w:rsidR="00871DD1" w:rsidRPr="00261C59">
        <w:rPr>
          <w:rFonts w:ascii="Consolas" w:hAnsi="Consolas" w:cs="Arial"/>
          <w:caps/>
          <w:color w:val="980033"/>
          <w:kern w:val="32"/>
          <w:sz w:val="32"/>
          <w:szCs w:val="28"/>
        </w:rPr>
        <w:t>I</w:t>
      </w:r>
      <w:r w:rsidRPr="00261C59">
        <w:rPr>
          <w:rFonts w:ascii="Consolas" w:hAnsi="Consolas" w:cs="Arial"/>
          <w:caps/>
          <w:color w:val="980033"/>
          <w:kern w:val="32"/>
          <w:sz w:val="32"/>
          <w:szCs w:val="28"/>
        </w:rPr>
        <w:t xml:space="preserve"> – N</w:t>
      </w:r>
      <w:r w:rsidR="00731671">
        <w:rPr>
          <w:rFonts w:ascii="Consolas" w:hAnsi="Consolas" w:cs="Arial"/>
          <w:caps/>
          <w:color w:val="980033"/>
          <w:kern w:val="32"/>
          <w:sz w:val="32"/>
          <w:szCs w:val="28"/>
        </w:rPr>
        <w:t>ational bodies</w:t>
      </w:r>
      <w:bookmarkEnd w:id="854"/>
      <w:bookmarkEnd w:id="855"/>
      <w:bookmarkEnd w:id="856"/>
    </w:p>
    <w:p w14:paraId="06FAEA25"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For the purposes of this Addendum, the national bodies are those that have a role in the delivery of this Addendum. These bodies are the:</w:t>
      </w:r>
    </w:p>
    <w:p w14:paraId="62F52F28" w14:textId="3C5A2AD6" w:rsidR="00F62C4A" w:rsidRPr="00261C59" w:rsidRDefault="00F62C4A" w:rsidP="004728D9">
      <w:pPr>
        <w:numPr>
          <w:ilvl w:val="1"/>
          <w:numId w:val="195"/>
        </w:numPr>
        <w:spacing w:after="240" w:line="260" w:lineRule="exact"/>
        <w:jc w:val="left"/>
        <w:rPr>
          <w:rFonts w:ascii="Calibri" w:hAnsi="Calibri"/>
          <w:sz w:val="24"/>
          <w:szCs w:val="24"/>
        </w:rPr>
      </w:pPr>
      <w:r w:rsidRPr="00261C59" w:rsidDel="00E3167F">
        <w:rPr>
          <w:rFonts w:ascii="Calibri" w:hAnsi="Calibri"/>
          <w:sz w:val="24"/>
          <w:szCs w:val="24"/>
        </w:rPr>
        <w:t xml:space="preserve">Independent </w:t>
      </w:r>
      <w:r w:rsidRPr="00261C59">
        <w:rPr>
          <w:rFonts w:ascii="Calibri" w:hAnsi="Calibri"/>
          <w:sz w:val="24"/>
          <w:szCs w:val="24"/>
        </w:rPr>
        <w:t xml:space="preserve">Health and Aged Care </w:t>
      </w:r>
      <w:r w:rsidRPr="00261C59" w:rsidDel="00E3167F">
        <w:rPr>
          <w:rFonts w:ascii="Calibri" w:hAnsi="Calibri"/>
          <w:sz w:val="24"/>
          <w:szCs w:val="24"/>
        </w:rPr>
        <w:t>Pricing Authority</w:t>
      </w:r>
      <w:r w:rsidRPr="00261C59">
        <w:rPr>
          <w:rFonts w:ascii="Calibri" w:hAnsi="Calibri"/>
          <w:sz w:val="24"/>
          <w:szCs w:val="24"/>
        </w:rPr>
        <w:t xml:space="preserve"> (the IHACPA)</w:t>
      </w:r>
    </w:p>
    <w:p w14:paraId="731F07B1" w14:textId="6A2A1ED1" w:rsidR="00F62C4A" w:rsidRPr="00261C59" w:rsidRDefault="00F62C4A" w:rsidP="004728D9">
      <w:pPr>
        <w:numPr>
          <w:ilvl w:val="1"/>
          <w:numId w:val="195"/>
        </w:numPr>
        <w:spacing w:after="240" w:line="260" w:lineRule="exact"/>
        <w:jc w:val="left"/>
        <w:rPr>
          <w:rFonts w:ascii="Calibri" w:hAnsi="Calibri"/>
          <w:sz w:val="24"/>
          <w:szCs w:val="24"/>
        </w:rPr>
      </w:pPr>
      <w:r w:rsidRPr="00261C59" w:rsidDel="00E3167F">
        <w:rPr>
          <w:rFonts w:ascii="Calibri" w:hAnsi="Calibri"/>
          <w:sz w:val="24"/>
          <w:szCs w:val="24"/>
        </w:rPr>
        <w:t>Administrator of the National Health Funding Pool</w:t>
      </w:r>
      <w:r w:rsidRPr="00261C59">
        <w:rPr>
          <w:rFonts w:ascii="Calibri" w:hAnsi="Calibri"/>
          <w:sz w:val="24"/>
          <w:szCs w:val="24"/>
        </w:rPr>
        <w:t xml:space="preserve"> (the Administrator)</w:t>
      </w:r>
      <w:r w:rsidRPr="00261C59" w:rsidDel="00E3167F">
        <w:rPr>
          <w:rFonts w:ascii="Calibri" w:hAnsi="Calibri"/>
          <w:sz w:val="24"/>
          <w:szCs w:val="24"/>
        </w:rPr>
        <w:t xml:space="preserve"> and the National Health Funding Body</w:t>
      </w:r>
      <w:r w:rsidRPr="00261C59">
        <w:rPr>
          <w:rFonts w:ascii="Calibri" w:hAnsi="Calibri"/>
          <w:sz w:val="24"/>
          <w:szCs w:val="24"/>
        </w:rPr>
        <w:t xml:space="preserve"> (the NHFB)</w:t>
      </w:r>
    </w:p>
    <w:p w14:paraId="0876FC4D" w14:textId="6CED3847" w:rsidR="00F62C4A" w:rsidRPr="00261C59" w:rsidRDefault="00F62C4A" w:rsidP="004728D9">
      <w:pPr>
        <w:numPr>
          <w:ilvl w:val="1"/>
          <w:numId w:val="195"/>
        </w:numPr>
        <w:spacing w:after="240" w:line="260" w:lineRule="exact"/>
        <w:jc w:val="left"/>
        <w:rPr>
          <w:rFonts w:ascii="Calibri" w:hAnsi="Calibri"/>
          <w:sz w:val="24"/>
          <w:szCs w:val="24"/>
        </w:rPr>
      </w:pPr>
      <w:r w:rsidRPr="00261C59">
        <w:rPr>
          <w:rFonts w:ascii="Calibri" w:hAnsi="Calibri"/>
          <w:sz w:val="24"/>
          <w:szCs w:val="24"/>
        </w:rPr>
        <w:t>Australian Commission on Safety and Quality in Health Care (the ACSQHC)</w:t>
      </w:r>
    </w:p>
    <w:p w14:paraId="57B9D822" w14:textId="77777777" w:rsidR="00F62C4A" w:rsidRPr="00261C59" w:rsidRDefault="00F62C4A" w:rsidP="004728D9">
      <w:pPr>
        <w:numPr>
          <w:ilvl w:val="1"/>
          <w:numId w:val="195"/>
        </w:numPr>
        <w:spacing w:after="240" w:line="260" w:lineRule="exact"/>
        <w:jc w:val="left"/>
        <w:rPr>
          <w:rFonts w:ascii="Calibri" w:hAnsi="Calibri"/>
          <w:sz w:val="24"/>
          <w:szCs w:val="24"/>
        </w:rPr>
      </w:pPr>
      <w:r w:rsidRPr="00261C59">
        <w:rPr>
          <w:rFonts w:ascii="Calibri" w:hAnsi="Calibri"/>
          <w:sz w:val="24"/>
          <w:szCs w:val="24"/>
        </w:rPr>
        <w:t>Australian Institute of Health and Welfare (the AIHW).</w:t>
      </w:r>
    </w:p>
    <w:p w14:paraId="0FA5791B" w14:textId="77777777" w:rsidR="00F62C4A" w:rsidRPr="00261C59" w:rsidRDefault="00F62C4A" w:rsidP="004728D9">
      <w:pPr>
        <w:numPr>
          <w:ilvl w:val="0"/>
          <w:numId w:val="17"/>
        </w:numPr>
        <w:spacing w:after="240" w:line="260" w:lineRule="exact"/>
        <w:jc w:val="left"/>
        <w:rPr>
          <w:rFonts w:ascii="Calibri" w:hAnsi="Calibri"/>
          <w:sz w:val="24"/>
          <w:szCs w:val="24"/>
        </w:rPr>
      </w:pPr>
      <w:r w:rsidRPr="00261C59">
        <w:rPr>
          <w:rFonts w:ascii="Calibri" w:hAnsi="Calibri"/>
          <w:sz w:val="24"/>
          <w:szCs w:val="24"/>
        </w:rPr>
        <w:t>The national bodies are established by relevant Commonwealth and State legislation to undertake specific functions including under this Addendum. The Parties acknowledge that the clauses in this Schedule relate only to the functions of the national bodies under this Addendum.</w:t>
      </w:r>
    </w:p>
    <w:p w14:paraId="5A23B1BC"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sz w:val="24"/>
          <w:szCs w:val="24"/>
        </w:rPr>
        <w:t>For avoidance of doubt, any jurisdiction that enacts or amends legislation that is inconsistent with the provisions of this Addendum relating to national health reform funding arrangements, including the establishment, appointment, powers and functions of the Administrator, will be in breach of this Addendum.</w:t>
      </w:r>
    </w:p>
    <w:p w14:paraId="26666A97"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The Parties will consult HMM on any proposed amendments to legislation establishing the position and functions of the national bodies and the operation of the National Health Funding Pool.</w:t>
      </w:r>
    </w:p>
    <w:p w14:paraId="4213EEE8" w14:textId="77777777" w:rsidR="00F62C4A" w:rsidRPr="00261C59" w:rsidRDefault="00F62C4A" w:rsidP="002E5D9D">
      <w:pPr>
        <w:pStyle w:val="Heading2"/>
        <w:widowControl/>
        <w:adjustRightInd/>
        <w:spacing w:before="180" w:after="120"/>
        <w:jc w:val="left"/>
        <w:textAlignment w:val="auto"/>
        <w:rPr>
          <w:rFonts w:ascii="Corbel" w:eastAsia="Times New Roman" w:hAnsi="Corbel" w:cs="Arial"/>
          <w:iCs/>
          <w:color w:val="3D4B67"/>
          <w:sz w:val="28"/>
          <w:szCs w:val="28"/>
        </w:rPr>
      </w:pPr>
      <w:bookmarkStart w:id="858" w:name="_Toc173937788"/>
      <w:bookmarkStart w:id="859" w:name="_Toc201674064"/>
      <w:bookmarkStart w:id="860" w:name="_Toc210833703"/>
      <w:bookmarkStart w:id="861" w:name="_Toc214456603"/>
      <w:bookmarkStart w:id="862" w:name="_Toc221088088"/>
      <w:r w:rsidRPr="00261C59">
        <w:rPr>
          <w:rFonts w:ascii="Corbel" w:eastAsia="Times New Roman" w:hAnsi="Corbel" w:cs="Arial"/>
          <w:iCs/>
          <w:color w:val="3D4B67"/>
          <w:sz w:val="28"/>
          <w:szCs w:val="28"/>
        </w:rPr>
        <w:t>Objectives</w:t>
      </w:r>
      <w:bookmarkEnd w:id="858"/>
      <w:bookmarkEnd w:id="859"/>
      <w:bookmarkEnd w:id="860"/>
      <w:bookmarkEnd w:id="861"/>
      <w:bookmarkEnd w:id="862"/>
    </w:p>
    <w:p w14:paraId="11C12223" w14:textId="77777777" w:rsidR="00F62C4A" w:rsidRPr="00261C59" w:rsidRDefault="00F62C4A" w:rsidP="004728D9">
      <w:pPr>
        <w:numPr>
          <w:ilvl w:val="0"/>
          <w:numId w:val="17"/>
        </w:numPr>
        <w:spacing w:after="240" w:line="260" w:lineRule="exact"/>
        <w:jc w:val="left"/>
        <w:rPr>
          <w:rFonts w:ascii="Calibri" w:hAnsi="Calibri"/>
          <w:sz w:val="24"/>
          <w:szCs w:val="24"/>
        </w:rPr>
      </w:pPr>
      <w:r w:rsidRPr="00261C59">
        <w:rPr>
          <w:rFonts w:ascii="Calibri" w:hAnsi="Calibri"/>
          <w:sz w:val="24"/>
          <w:szCs w:val="24"/>
        </w:rPr>
        <w:t xml:space="preserve">This Schedule is intended to enable a collaborative approach between the independent national bodies and the Parties to respond to the evolving needs of the health system. </w:t>
      </w:r>
    </w:p>
    <w:p w14:paraId="394742C0" w14:textId="77777777" w:rsidR="00F62C4A" w:rsidRPr="00261C59" w:rsidRDefault="00F62C4A" w:rsidP="004728D9">
      <w:pPr>
        <w:numPr>
          <w:ilvl w:val="0"/>
          <w:numId w:val="17"/>
        </w:numPr>
        <w:spacing w:after="240" w:line="260" w:lineRule="exact"/>
        <w:jc w:val="left"/>
        <w:rPr>
          <w:rFonts w:ascii="Calibri" w:hAnsi="Calibri"/>
          <w:sz w:val="24"/>
          <w:szCs w:val="24"/>
        </w:rPr>
      </w:pPr>
      <w:r w:rsidRPr="00261C59">
        <w:rPr>
          <w:rFonts w:ascii="Calibri" w:hAnsi="Calibri"/>
          <w:sz w:val="24"/>
          <w:szCs w:val="24"/>
        </w:rPr>
        <w:t>Roles and responsibilities under this Schedule are in accordance with the relevant establishing legislation for national bodies as well as those set out in the Preliminaries and other Schedules, which pertain to the functions and reform activities to be undertaken by national bodies.</w:t>
      </w:r>
    </w:p>
    <w:p w14:paraId="7DD895C4" w14:textId="77777777" w:rsidR="00F62C4A" w:rsidRPr="00261C59" w:rsidRDefault="00F62C4A" w:rsidP="004728D9">
      <w:pPr>
        <w:numPr>
          <w:ilvl w:val="0"/>
          <w:numId w:val="17"/>
        </w:numPr>
        <w:spacing w:after="240" w:line="260" w:lineRule="exact"/>
        <w:jc w:val="left"/>
        <w:rPr>
          <w:rFonts w:ascii="Calibri" w:hAnsi="Calibri"/>
          <w:sz w:val="24"/>
          <w:szCs w:val="24"/>
        </w:rPr>
      </w:pPr>
      <w:r w:rsidRPr="00261C59">
        <w:rPr>
          <w:rFonts w:ascii="Calibri" w:hAnsi="Calibri"/>
          <w:sz w:val="24"/>
          <w:szCs w:val="24"/>
        </w:rPr>
        <w:t xml:space="preserve">National bodies are required to contribute to and progress the system reform objectives and commitments in this Addendum as well as respond to the identified priorities of Health Ministers.  </w:t>
      </w:r>
    </w:p>
    <w:p w14:paraId="78F66E1F" w14:textId="77777777" w:rsidR="00F62C4A" w:rsidRPr="00261C59" w:rsidRDefault="00F62C4A" w:rsidP="004728D9">
      <w:pPr>
        <w:numPr>
          <w:ilvl w:val="0"/>
          <w:numId w:val="17"/>
        </w:numPr>
        <w:spacing w:after="240" w:line="260" w:lineRule="exact"/>
        <w:jc w:val="left"/>
        <w:rPr>
          <w:rFonts w:ascii="Calibri" w:hAnsi="Calibri"/>
          <w:sz w:val="24"/>
          <w:szCs w:val="24"/>
        </w:rPr>
      </w:pPr>
      <w:r w:rsidRPr="00261C59">
        <w:rPr>
          <w:rFonts w:ascii="Calibri" w:hAnsi="Calibri"/>
          <w:sz w:val="24"/>
          <w:szCs w:val="24"/>
        </w:rPr>
        <w:t xml:space="preserve">National bodies may be invited to participate in setting strategic directions and planning activities, including by HMM, and contribute their skills and data into national policy development processes. </w:t>
      </w:r>
      <w:r w:rsidRPr="00261C59">
        <w:rPr>
          <w:rFonts w:ascii="Calibri" w:eastAsia="Calibri" w:hAnsi="Calibri" w:cs="Calibri"/>
          <w:sz w:val="24"/>
          <w:szCs w:val="24"/>
        </w:rPr>
        <w:t xml:space="preserve">Additionally, national bodies may be invited to other HMM, HCEF and sub-committee meetings when needed, to share their expertise and views on national health policy issues, including </w:t>
      </w:r>
      <w:r w:rsidRPr="00261C59">
        <w:rPr>
          <w:rFonts w:asciiTheme="minorHAnsi" w:hAnsiTheme="minorHAnsi" w:cstheme="minorBidi"/>
          <w:sz w:val="24"/>
          <w:szCs w:val="24"/>
        </w:rPr>
        <w:t>areas for system improvement, reform and challenges</w:t>
      </w:r>
      <w:r w:rsidRPr="00261C59">
        <w:rPr>
          <w:rFonts w:ascii="Calibri" w:eastAsia="Calibri" w:hAnsi="Calibri" w:cs="Calibri"/>
          <w:sz w:val="24"/>
          <w:szCs w:val="24"/>
        </w:rPr>
        <w:t>.</w:t>
      </w:r>
    </w:p>
    <w:p w14:paraId="20EB8716" w14:textId="77777777" w:rsidR="00F62C4A" w:rsidRPr="00261C59" w:rsidRDefault="00F62C4A" w:rsidP="004728D9">
      <w:pPr>
        <w:pStyle w:val="ListParagraph"/>
        <w:widowControl/>
        <w:numPr>
          <w:ilvl w:val="0"/>
          <w:numId w:val="17"/>
        </w:numPr>
        <w:tabs>
          <w:tab w:val="clear" w:pos="851"/>
        </w:tabs>
        <w:spacing w:before="120" w:after="240" w:line="260" w:lineRule="exact"/>
        <w:jc w:val="left"/>
        <w:rPr>
          <w:rFonts w:asciiTheme="minorHAnsi" w:hAnsiTheme="minorHAnsi" w:cstheme="minorBidi"/>
          <w:sz w:val="24"/>
          <w:szCs w:val="24"/>
        </w:rPr>
      </w:pPr>
      <w:r w:rsidRPr="00261C59">
        <w:rPr>
          <w:rFonts w:asciiTheme="minorHAnsi" w:hAnsiTheme="minorHAnsi" w:cstheme="minorBidi"/>
          <w:sz w:val="24"/>
          <w:szCs w:val="24"/>
        </w:rPr>
        <w:t xml:space="preserve">As part of ongoing monitoring of the Addendum, national bodies will provide regular updates to HCEF and its relevant sub-committees regarding progress on relevant commitments for which they are responsible, including any risks, delays or new opportunities. </w:t>
      </w:r>
    </w:p>
    <w:p w14:paraId="06AA1928" w14:textId="77777777" w:rsidR="00F62C4A" w:rsidRPr="00261C59" w:rsidRDefault="00F62C4A" w:rsidP="004728D9">
      <w:pPr>
        <w:numPr>
          <w:ilvl w:val="0"/>
          <w:numId w:val="17"/>
        </w:numPr>
        <w:spacing w:after="240" w:line="260" w:lineRule="exact"/>
        <w:jc w:val="left"/>
        <w:rPr>
          <w:rFonts w:ascii="Calibri" w:hAnsi="Calibri"/>
          <w:sz w:val="24"/>
          <w:szCs w:val="24"/>
        </w:rPr>
      </w:pPr>
      <w:r w:rsidRPr="00261C59">
        <w:rPr>
          <w:rFonts w:ascii="Calibri" w:hAnsi="Calibri"/>
          <w:sz w:val="24"/>
          <w:szCs w:val="24"/>
        </w:rPr>
        <w:t>National bodies’ responsiveness to Ministerial priorities should not encroach on their independence in performing their functions.</w:t>
      </w:r>
    </w:p>
    <w:p w14:paraId="4693D5EB" w14:textId="77777777" w:rsidR="00F62C4A" w:rsidRPr="00261C59" w:rsidRDefault="00F62C4A" w:rsidP="00DF11BB">
      <w:pPr>
        <w:pStyle w:val="Heading2"/>
        <w:widowControl/>
        <w:adjustRightInd/>
        <w:spacing w:before="180" w:after="120"/>
        <w:jc w:val="left"/>
        <w:textAlignment w:val="auto"/>
        <w:rPr>
          <w:rFonts w:ascii="Corbel" w:eastAsia="Times New Roman" w:hAnsi="Corbel" w:cs="Arial"/>
          <w:iCs/>
          <w:color w:val="3D4B67"/>
          <w:sz w:val="28"/>
          <w:szCs w:val="28"/>
        </w:rPr>
      </w:pPr>
      <w:bookmarkStart w:id="863" w:name="_Toc201674065"/>
      <w:bookmarkStart w:id="864" w:name="_Toc210833704"/>
      <w:bookmarkStart w:id="865" w:name="_Toc214456604"/>
      <w:bookmarkStart w:id="866" w:name="_Toc221088089"/>
      <w:r w:rsidRPr="00261C59">
        <w:rPr>
          <w:rFonts w:ascii="Corbel" w:eastAsia="Times New Roman" w:hAnsi="Corbel" w:cs="Arial"/>
          <w:iCs/>
          <w:color w:val="3D4B67"/>
          <w:sz w:val="28"/>
          <w:szCs w:val="28"/>
        </w:rPr>
        <w:t>Standard consultation and dispute resolution</w:t>
      </w:r>
      <w:bookmarkEnd w:id="863"/>
      <w:bookmarkEnd w:id="864"/>
      <w:bookmarkEnd w:id="865"/>
      <w:bookmarkEnd w:id="866"/>
    </w:p>
    <w:p w14:paraId="30826FAA" w14:textId="77777777" w:rsidR="00F62C4A" w:rsidRPr="00261C59" w:rsidRDefault="00F62C4A" w:rsidP="004728D9">
      <w:pPr>
        <w:numPr>
          <w:ilvl w:val="0"/>
          <w:numId w:val="17"/>
        </w:numPr>
        <w:spacing w:after="240" w:line="260" w:lineRule="exact"/>
        <w:jc w:val="left"/>
        <w:rPr>
          <w:rFonts w:ascii="Calibri" w:hAnsi="Calibri" w:cs="Calibri"/>
          <w:color w:val="000000" w:themeColor="text1"/>
          <w:sz w:val="24"/>
          <w:szCs w:val="24"/>
        </w:rPr>
      </w:pPr>
      <w:r w:rsidRPr="00261C59">
        <w:rPr>
          <w:rFonts w:ascii="Calibri" w:hAnsi="Calibri" w:cs="Calibri"/>
          <w:sz w:val="24"/>
          <w:szCs w:val="24"/>
        </w:rPr>
        <w:t xml:space="preserve">The Parties expect national bodies to carry out their functions in a timely manner and regularly consult with each other, Parties to this Addendum and other relevant stakeholders. Consultation requirements and operational processes set out in this </w:t>
      </w:r>
      <w:r w:rsidRPr="00261C59">
        <w:rPr>
          <w:rFonts w:ascii="Calibri" w:hAnsi="Calibri"/>
          <w:sz w:val="24"/>
          <w:szCs w:val="24"/>
        </w:rPr>
        <w:t>Addendum</w:t>
      </w:r>
      <w:r w:rsidRPr="00261C59">
        <w:rPr>
          <w:rFonts w:ascii="Calibri" w:hAnsi="Calibri" w:cs="Calibri"/>
          <w:sz w:val="24"/>
          <w:szCs w:val="24"/>
        </w:rPr>
        <w:t xml:space="preserve"> are not intended to be exhaustive. </w:t>
      </w:r>
    </w:p>
    <w:p w14:paraId="170297B0" w14:textId="77777777" w:rsidR="00F62C4A" w:rsidRPr="00261C59" w:rsidRDefault="00F62C4A" w:rsidP="004728D9">
      <w:pPr>
        <w:keepNext/>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Consistent with the principles articulated in this </w:t>
      </w:r>
      <w:r w:rsidRPr="00261C59">
        <w:rPr>
          <w:rFonts w:ascii="Calibri" w:hAnsi="Calibri"/>
          <w:sz w:val="24"/>
          <w:szCs w:val="24"/>
        </w:rPr>
        <w:t>Addendum</w:t>
      </w:r>
      <w:r w:rsidRPr="00261C59">
        <w:rPr>
          <w:rFonts w:ascii="Calibri" w:hAnsi="Calibri" w:cs="Calibri"/>
          <w:sz w:val="24"/>
          <w:szCs w:val="24"/>
        </w:rPr>
        <w:t>:</w:t>
      </w:r>
    </w:p>
    <w:p w14:paraId="598206FD" w14:textId="5E1223F9" w:rsidR="00F62C4A" w:rsidRPr="00261C59" w:rsidRDefault="00557303" w:rsidP="004728D9">
      <w:pPr>
        <w:numPr>
          <w:ilvl w:val="1"/>
          <w:numId w:val="196"/>
        </w:numPr>
        <w:spacing w:after="240" w:line="260" w:lineRule="exact"/>
        <w:jc w:val="left"/>
        <w:rPr>
          <w:rFonts w:ascii="Calibri" w:hAnsi="Calibri"/>
          <w:sz w:val="24"/>
          <w:szCs w:val="24"/>
        </w:rPr>
      </w:pPr>
      <w:r>
        <w:rPr>
          <w:rFonts w:ascii="Calibri" w:hAnsi="Calibri"/>
          <w:sz w:val="24"/>
          <w:szCs w:val="24"/>
        </w:rPr>
        <w:t>n</w:t>
      </w:r>
      <w:r w:rsidR="00F62C4A" w:rsidRPr="00261C59">
        <w:rPr>
          <w:rFonts w:ascii="Calibri" w:hAnsi="Calibri"/>
          <w:sz w:val="24"/>
          <w:szCs w:val="24"/>
        </w:rPr>
        <w:t>ational bodies should work collaboratively and with Parties as appropriate and have regard to advice provided by Parties</w:t>
      </w:r>
    </w:p>
    <w:p w14:paraId="6C52FFC2" w14:textId="77777777" w:rsidR="00F62C4A" w:rsidRPr="00261C59" w:rsidRDefault="00F62C4A" w:rsidP="004728D9">
      <w:pPr>
        <w:numPr>
          <w:ilvl w:val="1"/>
          <w:numId w:val="196"/>
        </w:numPr>
        <w:spacing w:after="240" w:line="260" w:lineRule="exact"/>
        <w:jc w:val="left"/>
        <w:rPr>
          <w:rFonts w:ascii="Calibri" w:hAnsi="Calibri" w:cs="Calibri"/>
          <w:color w:val="000000" w:themeColor="text1"/>
          <w:sz w:val="24"/>
          <w:szCs w:val="24"/>
        </w:rPr>
      </w:pPr>
      <w:r w:rsidRPr="00261C59">
        <w:rPr>
          <w:rFonts w:ascii="Calibri" w:hAnsi="Calibri"/>
          <w:sz w:val="24"/>
          <w:szCs w:val="24"/>
        </w:rPr>
        <w:t>Parties and national bodies should use existing and any new governance mechanisms including Jurisdictional Advisory Committees, relevant working groups and technical advisory groups productively and transparently.</w:t>
      </w:r>
    </w:p>
    <w:p w14:paraId="472AAC3D"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functions and roles of national bodies relating to this </w:t>
      </w:r>
      <w:r w:rsidRPr="00261C59">
        <w:rPr>
          <w:rFonts w:ascii="Calibri" w:hAnsi="Calibri"/>
          <w:sz w:val="24"/>
          <w:szCs w:val="24"/>
        </w:rPr>
        <w:t>Addendum</w:t>
      </w:r>
      <w:r w:rsidRPr="00261C59">
        <w:rPr>
          <w:rFonts w:ascii="Calibri" w:hAnsi="Calibri" w:cs="Calibri"/>
          <w:sz w:val="24"/>
          <w:szCs w:val="24"/>
        </w:rPr>
        <w:t xml:space="preserve"> may overlap from time-to-time. Where the work of one national body affects the work of another, relevant bodies are expected to work collaboratively together and keep Parties informed of their work through their relevant advisory committees.</w:t>
      </w:r>
    </w:p>
    <w:p w14:paraId="4B1E7641"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Commonwealth and State departments of health will be the primary contacts for the national bodies on matters relating to this Addendum and will be responsible for engaging with other government agencies in their jurisdictions (noting the Administrator’s statutory role in providing advice to the Commonwealth Treasurer).</w:t>
      </w:r>
    </w:p>
    <w:p w14:paraId="6AAB6A23"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Prior to raising a matter</w:t>
      </w:r>
      <w:r w:rsidRPr="00261C59">
        <w:rPr>
          <w:rFonts w:ascii="Calibri" w:hAnsi="Calibri"/>
          <w:sz w:val="24"/>
          <w:szCs w:val="24"/>
        </w:rPr>
        <w:t>, Parties should follow the consultation requirements and processes under this Addendum and work together with the relevant national bodies to understand the different perspectives and attempt to resolve the matter.</w:t>
      </w:r>
    </w:p>
    <w:p w14:paraId="4D13A857" w14:textId="420DD305" w:rsidR="00F62C4A" w:rsidRPr="00261C59" w:rsidDel="00E2195A" w:rsidRDefault="00F62C4A" w:rsidP="004728D9">
      <w:pPr>
        <w:numPr>
          <w:ilvl w:val="0"/>
          <w:numId w:val="17"/>
        </w:numPr>
        <w:spacing w:after="240" w:line="260" w:lineRule="exact"/>
        <w:jc w:val="left"/>
        <w:rPr>
          <w:rFonts w:ascii="Calibri" w:hAnsi="Calibri" w:cs="Calibri"/>
          <w:sz w:val="24"/>
          <w:szCs w:val="24"/>
        </w:rPr>
      </w:pPr>
      <w:r w:rsidRPr="00261C59" w:rsidDel="004D498D">
        <w:rPr>
          <w:rFonts w:ascii="Calibri" w:hAnsi="Calibri" w:cs="Calibri"/>
          <w:sz w:val="24"/>
          <w:szCs w:val="24"/>
        </w:rPr>
        <w:t xml:space="preserve">Parties may raise any issues or disputes related to the functions of the national bodies with the </w:t>
      </w:r>
      <w:r w:rsidRPr="00261C59" w:rsidDel="00A41430">
        <w:rPr>
          <w:rFonts w:ascii="Calibri" w:hAnsi="Calibri" w:cs="Calibri"/>
          <w:sz w:val="24"/>
          <w:szCs w:val="24"/>
        </w:rPr>
        <w:t xml:space="preserve">primary contacts </w:t>
      </w:r>
      <w:r w:rsidRPr="00261C59">
        <w:rPr>
          <w:rFonts w:ascii="Calibri" w:hAnsi="Calibri" w:cs="Calibri"/>
          <w:sz w:val="24"/>
          <w:szCs w:val="24"/>
        </w:rPr>
        <w:t xml:space="preserve">in </w:t>
      </w:r>
      <w:r w:rsidR="002310F1" w:rsidRPr="00261C59">
        <w:rPr>
          <w:rFonts w:ascii="Calibri" w:hAnsi="Calibri" w:cs="Calibri"/>
          <w:sz w:val="24"/>
          <w:szCs w:val="24"/>
        </w:rPr>
        <w:t>clause</w:t>
      </w:r>
      <w:r w:rsidRPr="00261C59">
        <w:rPr>
          <w:rFonts w:ascii="Calibri" w:hAnsi="Calibri" w:cs="Calibri"/>
          <w:sz w:val="24"/>
          <w:szCs w:val="24"/>
        </w:rPr>
        <w:t xml:space="preserve"> I14</w:t>
      </w:r>
      <w:r w:rsidRPr="00261C59" w:rsidDel="00A41430">
        <w:rPr>
          <w:rFonts w:ascii="Calibri" w:hAnsi="Calibri" w:cs="Calibri"/>
          <w:sz w:val="24"/>
          <w:szCs w:val="24"/>
        </w:rPr>
        <w:t xml:space="preserve"> and/or </w:t>
      </w:r>
      <w:r w:rsidRPr="00261C59" w:rsidDel="00E2195A">
        <w:rPr>
          <w:rFonts w:ascii="Calibri" w:hAnsi="Calibri" w:cs="Calibri"/>
          <w:sz w:val="24"/>
          <w:szCs w:val="24"/>
        </w:rPr>
        <w:t xml:space="preserve">directly with the relevant national body. </w:t>
      </w:r>
      <w:r w:rsidRPr="00261C59">
        <w:rPr>
          <w:rFonts w:ascii="Calibri" w:hAnsi="Calibri" w:cs="Calibri"/>
          <w:sz w:val="24"/>
          <w:szCs w:val="24"/>
        </w:rPr>
        <w:t>Where processes for addressing issues are not specified in this Schedule, the resolution processes detailed in the Preliminaries (clauses 50 to 52) will apply, noting clause I10.</w:t>
      </w:r>
      <w:r w:rsidRPr="00261C59" w:rsidDel="00E2195A">
        <w:rPr>
          <w:rFonts w:ascii="Calibri" w:hAnsi="Calibri" w:cs="Calibri"/>
          <w:sz w:val="24"/>
          <w:szCs w:val="24"/>
        </w:rPr>
        <w:t xml:space="preserve"> </w:t>
      </w:r>
    </w:p>
    <w:p w14:paraId="062DF377" w14:textId="77777777" w:rsidR="00F62C4A" w:rsidRPr="00261C59" w:rsidRDefault="00F62C4A" w:rsidP="002E5D9D">
      <w:pPr>
        <w:pStyle w:val="Heading2"/>
        <w:widowControl/>
        <w:adjustRightInd/>
        <w:spacing w:before="180" w:after="120"/>
        <w:jc w:val="left"/>
        <w:textAlignment w:val="auto"/>
        <w:rPr>
          <w:rFonts w:ascii="Corbel" w:eastAsia="Times New Roman" w:hAnsi="Corbel" w:cs="Arial"/>
          <w:iCs/>
          <w:color w:val="3D4B67"/>
          <w:sz w:val="28"/>
          <w:szCs w:val="28"/>
        </w:rPr>
      </w:pPr>
      <w:bookmarkStart w:id="867" w:name="_Toc170217705"/>
      <w:bookmarkStart w:id="868" w:name="_Toc173937789"/>
      <w:bookmarkStart w:id="869" w:name="_Toc201674066"/>
      <w:bookmarkStart w:id="870" w:name="_Toc210833705"/>
      <w:bookmarkStart w:id="871" w:name="_Toc214456605"/>
      <w:bookmarkStart w:id="872" w:name="_Toc221088090"/>
      <w:r w:rsidRPr="00261C59">
        <w:rPr>
          <w:rFonts w:ascii="Corbel" w:eastAsia="Times New Roman" w:hAnsi="Corbel" w:cs="Arial"/>
          <w:iCs/>
          <w:color w:val="3D4B67"/>
          <w:sz w:val="28"/>
          <w:szCs w:val="28"/>
        </w:rPr>
        <w:t>National funding bodies</w:t>
      </w:r>
      <w:bookmarkEnd w:id="867"/>
      <w:bookmarkEnd w:id="868"/>
      <w:bookmarkEnd w:id="869"/>
      <w:bookmarkEnd w:id="870"/>
      <w:bookmarkEnd w:id="871"/>
      <w:bookmarkEnd w:id="872"/>
      <w:r w:rsidRPr="00261C59">
        <w:rPr>
          <w:rFonts w:ascii="Corbel" w:eastAsia="Times New Roman" w:hAnsi="Corbel" w:cs="Arial"/>
          <w:iCs/>
          <w:color w:val="3D4B67"/>
          <w:sz w:val="28"/>
          <w:szCs w:val="28"/>
        </w:rPr>
        <w:tab/>
      </w:r>
      <w:r w:rsidRPr="00261C59">
        <w:rPr>
          <w:rFonts w:ascii="Corbel" w:eastAsia="Times New Roman" w:hAnsi="Corbel" w:cs="Arial"/>
          <w:iCs/>
          <w:color w:val="3D4B67"/>
          <w:sz w:val="28"/>
          <w:szCs w:val="28"/>
        </w:rPr>
        <w:tab/>
      </w:r>
    </w:p>
    <w:p w14:paraId="2BE1D840" w14:textId="77777777" w:rsidR="00F62C4A" w:rsidRPr="00261C59" w:rsidRDefault="00F62C4A" w:rsidP="002E5D9D">
      <w:pPr>
        <w:keepNext/>
        <w:jc w:val="left"/>
        <w:outlineLvl w:val="2"/>
        <w:rPr>
          <w:rFonts w:ascii="Corbel" w:hAnsi="Corbel"/>
          <w:color w:val="3D4B67"/>
          <w:sz w:val="28"/>
          <w:szCs w:val="48"/>
          <w:lang w:eastAsia="ja-JP"/>
        </w:rPr>
      </w:pPr>
      <w:bookmarkStart w:id="873" w:name="_Toc173937790"/>
      <w:bookmarkStart w:id="874" w:name="_Toc201674067"/>
      <w:bookmarkStart w:id="875" w:name="_Toc210833706"/>
      <w:bookmarkStart w:id="876" w:name="_Toc214456606"/>
      <w:bookmarkStart w:id="877" w:name="_Toc221088091"/>
      <w:r w:rsidRPr="00261C59">
        <w:rPr>
          <w:rFonts w:ascii="Corbel" w:hAnsi="Corbel"/>
          <w:color w:val="3D4B67"/>
          <w:sz w:val="28"/>
          <w:szCs w:val="48"/>
          <w:lang w:eastAsia="ja-JP"/>
        </w:rPr>
        <w:t>Consultation and transparency</w:t>
      </w:r>
      <w:bookmarkEnd w:id="873"/>
      <w:bookmarkEnd w:id="874"/>
      <w:bookmarkEnd w:id="875"/>
      <w:bookmarkEnd w:id="876"/>
      <w:bookmarkEnd w:id="877"/>
      <w:r w:rsidRPr="00261C59">
        <w:rPr>
          <w:rFonts w:ascii="Corbel" w:hAnsi="Corbel"/>
          <w:color w:val="3D4B67"/>
          <w:sz w:val="28"/>
          <w:szCs w:val="48"/>
          <w:lang w:eastAsia="ja-JP"/>
        </w:rPr>
        <w:t xml:space="preserve"> </w:t>
      </w:r>
    </w:p>
    <w:p w14:paraId="1231D5B0"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For the purposes of this Addendum, the national funding bodies are the IHACPA, the Administrator and the NHFB.</w:t>
      </w:r>
    </w:p>
    <w:p w14:paraId="1CDF6A86" w14:textId="77777777" w:rsidR="00F62C4A" w:rsidRPr="00261C59" w:rsidRDefault="00F62C4A" w:rsidP="003D2F22">
      <w:pPr>
        <w:keepLines/>
        <w:widowControl/>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Commonwealth established the national funding bodies under the </w:t>
      </w:r>
      <w:r w:rsidRPr="00261C59">
        <w:rPr>
          <w:rFonts w:ascii="Calibri" w:hAnsi="Calibri" w:cs="Calibri"/>
          <w:i/>
          <w:iCs/>
          <w:sz w:val="24"/>
          <w:szCs w:val="24"/>
        </w:rPr>
        <w:t>National Health Reform Act 2011</w:t>
      </w:r>
      <w:r w:rsidRPr="00261C59">
        <w:rPr>
          <w:rFonts w:ascii="Calibri" w:hAnsi="Calibri" w:cs="Calibri"/>
          <w:sz w:val="24"/>
          <w:szCs w:val="24"/>
        </w:rPr>
        <w:t xml:space="preserve"> (the Act) on behalf of all Parties to facilitate and administer the public hospital and health service funding arrangements under the Act and this </w:t>
      </w:r>
      <w:r w:rsidRPr="00261C59">
        <w:rPr>
          <w:rFonts w:ascii="Calibri" w:hAnsi="Calibri"/>
          <w:sz w:val="24"/>
          <w:szCs w:val="24"/>
        </w:rPr>
        <w:t>Addendum</w:t>
      </w:r>
      <w:r w:rsidRPr="00261C59">
        <w:rPr>
          <w:rFonts w:ascii="Calibri" w:hAnsi="Calibri" w:cs="Calibri"/>
          <w:sz w:val="24"/>
          <w:szCs w:val="24"/>
        </w:rPr>
        <w:t xml:space="preserve">. The Commonwealth Minister for Health must consult and have regard to the views of Health Ministers (HMM) on any direction to the IHACPA that relate to its functions under this Addendum. </w:t>
      </w:r>
    </w:p>
    <w:p w14:paraId="42066940" w14:textId="77777777" w:rsidR="00F62C4A" w:rsidRPr="00261C59" w:rsidRDefault="00F62C4A" w:rsidP="003D2F22">
      <w:pPr>
        <w:keepLines/>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Given the significance to all Parties of the functions discharged by the national funding bodies, the bodies will consult with HMM on changes that materially impact the application of the national pricing or funding models. </w:t>
      </w:r>
    </w:p>
    <w:p w14:paraId="0B009C89" w14:textId="276531D2"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Pursuant to clause I12, the national funding bodies must consult with Parties and provide relevant analysis and documentation through Statements of Impact as per clause I</w:t>
      </w:r>
      <w:r w:rsidR="004715B7" w:rsidRPr="00261C59">
        <w:rPr>
          <w:rFonts w:ascii="Calibri" w:hAnsi="Calibri" w:cs="Calibri"/>
          <w:sz w:val="24"/>
          <w:szCs w:val="24"/>
        </w:rPr>
        <w:t>48</w:t>
      </w:r>
      <w:r w:rsidRPr="00261C59">
        <w:rPr>
          <w:rFonts w:ascii="Calibri" w:hAnsi="Calibri" w:cs="Calibri"/>
          <w:sz w:val="24"/>
          <w:szCs w:val="24"/>
        </w:rPr>
        <w:t xml:space="preserve"> on decisions that could materially impact Parties.</w:t>
      </w:r>
    </w:p>
    <w:p w14:paraId="3181F6E8" w14:textId="77777777" w:rsidR="00F62C4A" w:rsidRPr="00261C59" w:rsidRDefault="00F62C4A" w:rsidP="004728D9">
      <w:pPr>
        <w:numPr>
          <w:ilvl w:val="1"/>
          <w:numId w:val="197"/>
        </w:numPr>
        <w:spacing w:after="240" w:line="260" w:lineRule="exact"/>
        <w:jc w:val="left"/>
        <w:rPr>
          <w:rFonts w:ascii="Calibri" w:hAnsi="Calibri"/>
          <w:sz w:val="24"/>
          <w:szCs w:val="24"/>
        </w:rPr>
      </w:pPr>
      <w:r w:rsidRPr="00261C59">
        <w:rPr>
          <w:rFonts w:ascii="Calibri" w:hAnsi="Calibri"/>
          <w:sz w:val="24"/>
          <w:szCs w:val="24"/>
        </w:rPr>
        <w:t>In reviewing submissions from Parties, national bodies cannot take action, amend policy or rules or act otherwise in response to a submission that would result in unfair disadvantage to other parties.</w:t>
      </w:r>
    </w:p>
    <w:p w14:paraId="61E9F287"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Where one or more Parties has raised a matter formally in writing outside the standard consultation and issue resolution processes outlined in this and other Schedules, the relevant funding body will provide a timely written response to the matter. </w:t>
      </w:r>
    </w:p>
    <w:p w14:paraId="670A137C" w14:textId="7035184F"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The Commonwealth or two or more States may request that the national funding bodies present for HMM consideration a final or draft business rule, decision or determination that affects the national funding model or the calculation of the Commonwealth funding contribution. Such consultation will take into account existing consultation requirements and processes on funding matters (such as those in clause I12 and I</w:t>
      </w:r>
      <w:r w:rsidR="002B04B5" w:rsidRPr="00261C59">
        <w:rPr>
          <w:rFonts w:ascii="Calibri" w:hAnsi="Calibri" w:cs="Calibri"/>
          <w:sz w:val="24"/>
          <w:szCs w:val="24"/>
        </w:rPr>
        <w:t>48</w:t>
      </w:r>
      <w:r w:rsidRPr="00261C59">
        <w:rPr>
          <w:rFonts w:ascii="Calibri" w:hAnsi="Calibri" w:cs="Calibri"/>
          <w:sz w:val="24"/>
          <w:szCs w:val="24"/>
        </w:rPr>
        <w:t>) to avoid duplication of effort. This process provides no less than 45 days for response by Health Ministers.</w:t>
      </w:r>
    </w:p>
    <w:p w14:paraId="089A7236" w14:textId="77777777" w:rsidR="00F62C4A" w:rsidRPr="00261C59" w:rsidRDefault="00F62C4A" w:rsidP="002E5D9D">
      <w:pPr>
        <w:pStyle w:val="Heading4"/>
        <w:jc w:val="left"/>
        <w:rPr>
          <w:lang w:eastAsia="ja-JP"/>
        </w:rPr>
      </w:pPr>
      <w:r w:rsidRPr="00261C59">
        <w:rPr>
          <w:lang w:eastAsia="ja-JP"/>
        </w:rPr>
        <w:t>Resolving national funding body matters</w:t>
      </w:r>
    </w:p>
    <w:p w14:paraId="281C4641" w14:textId="04350278"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Commonwealth, or a State (with the support of another Party) or national funding body can raise a dispute on funding matters under this section with HMM, noting </w:t>
      </w:r>
      <w:r w:rsidR="00900FB2">
        <w:rPr>
          <w:rFonts w:ascii="Calibri" w:hAnsi="Calibri" w:cs="Calibri"/>
          <w:sz w:val="24"/>
          <w:szCs w:val="24"/>
        </w:rPr>
        <w:br/>
      </w:r>
      <w:r w:rsidRPr="00261C59">
        <w:rPr>
          <w:rFonts w:ascii="Calibri" w:hAnsi="Calibri" w:cs="Calibri"/>
          <w:sz w:val="24"/>
          <w:szCs w:val="24"/>
        </w:rPr>
        <w:t xml:space="preserve">clause I10. </w:t>
      </w:r>
    </w:p>
    <w:p w14:paraId="5FBFEDC6"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Once a dispute is raised, the appropriate national funding body will conduct a 45-day ministerial consultation period seeking submissions from the Parties and other national bodies. Within 45 days of the close of the consultation period, the national body will provide a statement on the dispute to HMM and HCEF ahead of the Administrator providing any advice to the Commonwealth Treasurer. </w:t>
      </w:r>
    </w:p>
    <w:p w14:paraId="6111ADAE" w14:textId="77777777" w:rsidR="00F62C4A" w:rsidRPr="00261C59" w:rsidRDefault="00F62C4A" w:rsidP="004728D9">
      <w:pPr>
        <w:numPr>
          <w:ilvl w:val="1"/>
          <w:numId w:val="198"/>
        </w:numPr>
        <w:spacing w:after="240" w:line="260" w:lineRule="exact"/>
        <w:jc w:val="left"/>
        <w:rPr>
          <w:rFonts w:ascii="Calibri" w:hAnsi="Calibri"/>
          <w:sz w:val="24"/>
          <w:szCs w:val="24"/>
        </w:rPr>
      </w:pPr>
      <w:r w:rsidRPr="00261C59">
        <w:rPr>
          <w:rFonts w:ascii="Calibri" w:hAnsi="Calibri"/>
          <w:sz w:val="24"/>
          <w:szCs w:val="24"/>
        </w:rPr>
        <w:t>The statement is to address submissions received during the consultation period and make recommendations on how the matter can be resolved in the context of the Addendum and based on the submissions from Parties.</w:t>
      </w:r>
    </w:p>
    <w:p w14:paraId="7E40C380" w14:textId="3AF2DAF4"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After receiving the statement on the dispute from the national body, HCEF may provide additional advice to HMM within 45 days. The additional advice will cover the same matters as in </w:t>
      </w:r>
      <w:r w:rsidRPr="00261C59">
        <w:rPr>
          <w:rFonts w:ascii="Calibri" w:hAnsi="Calibri"/>
          <w:sz w:val="24"/>
        </w:rPr>
        <w:t>clause I2</w:t>
      </w:r>
      <w:r w:rsidR="00535130" w:rsidRPr="00261C59">
        <w:rPr>
          <w:rFonts w:ascii="Calibri" w:hAnsi="Calibri"/>
          <w:sz w:val="24"/>
        </w:rPr>
        <w:t>4</w:t>
      </w:r>
      <w:r w:rsidRPr="00261C59">
        <w:rPr>
          <w:rFonts w:ascii="Calibri" w:hAnsi="Calibri"/>
          <w:sz w:val="24"/>
        </w:rPr>
        <w:t>(a</w:t>
      </w:r>
      <w:r w:rsidRPr="00261C59">
        <w:rPr>
          <w:rFonts w:ascii="Calibri" w:hAnsi="Calibri" w:cs="Calibri"/>
          <w:sz w:val="24"/>
          <w:szCs w:val="24"/>
        </w:rPr>
        <w:t>).</w:t>
      </w:r>
    </w:p>
    <w:p w14:paraId="1598F6CB" w14:textId="77777777" w:rsidR="00F62C4A" w:rsidRPr="00261C59" w:rsidRDefault="00F62C4A" w:rsidP="002E5D9D">
      <w:pPr>
        <w:pStyle w:val="Heading2"/>
        <w:keepLines w:val="0"/>
        <w:widowControl/>
        <w:adjustRightInd/>
        <w:spacing w:before="180" w:after="120"/>
        <w:jc w:val="left"/>
        <w:textAlignment w:val="auto"/>
        <w:rPr>
          <w:rFonts w:ascii="Corbel" w:hAnsi="Corbel" w:cs="Arial"/>
          <w:color w:val="3D4B67"/>
          <w:sz w:val="28"/>
          <w:szCs w:val="28"/>
        </w:rPr>
      </w:pPr>
      <w:bookmarkStart w:id="878" w:name="_Toc170217706"/>
      <w:bookmarkStart w:id="879" w:name="_Toc173937791"/>
      <w:bookmarkStart w:id="880" w:name="_Toc201674068"/>
      <w:bookmarkStart w:id="881" w:name="_Toc210833707"/>
      <w:bookmarkStart w:id="882" w:name="_Toc214456607"/>
      <w:bookmarkStart w:id="883" w:name="_Toc221088092"/>
      <w:r w:rsidRPr="00261C59">
        <w:rPr>
          <w:rFonts w:ascii="Corbel" w:hAnsi="Corbel" w:cs="Arial"/>
          <w:color w:val="3D4B67"/>
          <w:sz w:val="28"/>
          <w:szCs w:val="28"/>
        </w:rPr>
        <w:t>Independent Health and Aged Care Pricing Authority</w:t>
      </w:r>
      <w:bookmarkEnd w:id="878"/>
      <w:bookmarkEnd w:id="879"/>
      <w:bookmarkEnd w:id="880"/>
      <w:bookmarkEnd w:id="881"/>
      <w:bookmarkEnd w:id="882"/>
      <w:bookmarkEnd w:id="883"/>
      <w:r w:rsidRPr="00261C59">
        <w:rPr>
          <w:rFonts w:ascii="Corbel" w:hAnsi="Corbel" w:cs="Arial"/>
          <w:color w:val="3D4B67"/>
          <w:sz w:val="28"/>
          <w:szCs w:val="28"/>
        </w:rPr>
        <w:t xml:space="preserve"> </w:t>
      </w:r>
    </w:p>
    <w:p w14:paraId="284095CD" w14:textId="77777777" w:rsidR="00F62C4A" w:rsidRPr="00261C59" w:rsidRDefault="00F62C4A" w:rsidP="002E5D9D">
      <w:pPr>
        <w:pStyle w:val="Heading4"/>
        <w:jc w:val="left"/>
        <w:rPr>
          <w:lang w:eastAsia="ja-JP"/>
        </w:rPr>
      </w:pPr>
      <w:r w:rsidRPr="00261C59">
        <w:rPr>
          <w:lang w:eastAsia="ja-JP"/>
        </w:rPr>
        <w:t>Functions</w:t>
      </w:r>
    </w:p>
    <w:p w14:paraId="50BF9AF6"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Independent Health and Aged Care Pricing Authority (IHACPA) is an independent Commonwealth statutory authority established under the </w:t>
      </w:r>
      <w:r w:rsidRPr="00261C59">
        <w:rPr>
          <w:rFonts w:ascii="Calibri" w:hAnsi="Calibri" w:cs="Calibri"/>
          <w:i/>
          <w:iCs/>
          <w:sz w:val="24"/>
          <w:szCs w:val="24"/>
        </w:rPr>
        <w:t>National Health Reform Act 2011</w:t>
      </w:r>
      <w:r w:rsidRPr="00261C59">
        <w:rPr>
          <w:rFonts w:ascii="Calibri" w:hAnsi="Calibri" w:cs="Calibri"/>
          <w:sz w:val="24"/>
          <w:szCs w:val="24"/>
        </w:rPr>
        <w:t xml:space="preserve"> (the Act) to promote improved efficiency in and access to Australian public hospital</w:t>
      </w:r>
      <w:r w:rsidRPr="00261C59">
        <w:rPr>
          <w:rFonts w:ascii="Calibri" w:hAnsi="Calibri" w:cs="Calibri"/>
          <w:b/>
          <w:bCs/>
          <w:sz w:val="24"/>
          <w:szCs w:val="24"/>
        </w:rPr>
        <w:t xml:space="preserve"> </w:t>
      </w:r>
      <w:r w:rsidRPr="00261C59">
        <w:rPr>
          <w:rFonts w:ascii="Calibri" w:hAnsi="Calibri" w:cs="Calibri"/>
          <w:sz w:val="24"/>
          <w:szCs w:val="24"/>
        </w:rPr>
        <w:t xml:space="preserve">and health services, and aged care services. </w:t>
      </w:r>
    </w:p>
    <w:p w14:paraId="61A89FC3" w14:textId="77777777" w:rsidR="00F62C4A" w:rsidRPr="00261C59" w:rsidRDefault="00F62C4A" w:rsidP="003D2F22">
      <w:pPr>
        <w:keepNext/>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In performing its functions, the IHACPA must:</w:t>
      </w:r>
    </w:p>
    <w:p w14:paraId="1D05F839" w14:textId="4690F85B" w:rsidR="00F62C4A" w:rsidRPr="00261C59" w:rsidRDefault="00F62C4A" w:rsidP="004728D9">
      <w:pPr>
        <w:numPr>
          <w:ilvl w:val="1"/>
          <w:numId w:val="199"/>
        </w:numPr>
        <w:spacing w:after="240" w:line="260" w:lineRule="exact"/>
        <w:jc w:val="left"/>
        <w:rPr>
          <w:rFonts w:ascii="Calibri" w:hAnsi="Calibri"/>
          <w:sz w:val="24"/>
          <w:szCs w:val="24"/>
        </w:rPr>
      </w:pPr>
      <w:r w:rsidRPr="00261C59">
        <w:rPr>
          <w:rFonts w:ascii="Calibri" w:hAnsi="Calibri"/>
          <w:sz w:val="24"/>
          <w:szCs w:val="24"/>
        </w:rPr>
        <w:t>have regard to this Addendum</w:t>
      </w:r>
    </w:p>
    <w:p w14:paraId="09106A44" w14:textId="42949C51" w:rsidR="00F62C4A" w:rsidRPr="00261C59" w:rsidRDefault="00F62C4A" w:rsidP="004728D9">
      <w:pPr>
        <w:numPr>
          <w:ilvl w:val="1"/>
          <w:numId w:val="199"/>
        </w:numPr>
        <w:spacing w:after="240" w:line="260" w:lineRule="exact"/>
        <w:jc w:val="left"/>
        <w:rPr>
          <w:rFonts w:ascii="Calibri" w:hAnsi="Calibri"/>
          <w:sz w:val="24"/>
          <w:szCs w:val="24"/>
        </w:rPr>
      </w:pPr>
      <w:r w:rsidRPr="00261C59">
        <w:rPr>
          <w:rFonts w:ascii="Calibri" w:hAnsi="Calibri"/>
          <w:sz w:val="24"/>
          <w:szCs w:val="24"/>
        </w:rPr>
        <w:t>follow the processes and meet the conditions or requirements set out in this Addendum</w:t>
      </w:r>
    </w:p>
    <w:p w14:paraId="55C97816" w14:textId="5A3DA06C" w:rsidR="00F62C4A" w:rsidRPr="00261C59" w:rsidRDefault="00F62C4A" w:rsidP="004728D9">
      <w:pPr>
        <w:numPr>
          <w:ilvl w:val="1"/>
          <w:numId w:val="199"/>
        </w:numPr>
        <w:spacing w:after="240" w:line="260" w:lineRule="exact"/>
        <w:jc w:val="left"/>
        <w:rPr>
          <w:rFonts w:ascii="Calibri" w:hAnsi="Calibri"/>
          <w:sz w:val="24"/>
          <w:szCs w:val="24"/>
        </w:rPr>
      </w:pPr>
      <w:r w:rsidRPr="00261C59">
        <w:rPr>
          <w:rFonts w:ascii="Calibri" w:hAnsi="Calibri"/>
          <w:sz w:val="24"/>
          <w:szCs w:val="24"/>
        </w:rPr>
        <w:t>publicly call for submissions from interested parties annually</w:t>
      </w:r>
    </w:p>
    <w:p w14:paraId="2D10C57A" w14:textId="737DB200" w:rsidR="00F62C4A" w:rsidRPr="00261C59" w:rsidRDefault="00F62C4A" w:rsidP="004728D9">
      <w:pPr>
        <w:pStyle w:val="ListParagraph"/>
        <w:numPr>
          <w:ilvl w:val="1"/>
          <w:numId w:val="199"/>
        </w:numPr>
        <w:spacing w:before="120" w:after="240" w:line="260" w:lineRule="exact"/>
        <w:contextualSpacing w:val="0"/>
        <w:jc w:val="left"/>
        <w:rPr>
          <w:rFonts w:ascii="Calibri" w:hAnsi="Calibri"/>
          <w:sz w:val="24"/>
          <w:szCs w:val="24"/>
        </w:rPr>
      </w:pPr>
      <w:r w:rsidRPr="00261C59">
        <w:rPr>
          <w:rFonts w:ascii="Calibri" w:hAnsi="Calibri"/>
          <w:sz w:val="24"/>
          <w:szCs w:val="24"/>
        </w:rPr>
        <w:t>have regard to any submissions from Parties to the Addendum regardless of when they are made</w:t>
      </w:r>
    </w:p>
    <w:p w14:paraId="777498DB" w14:textId="77777777" w:rsidR="00F62C4A" w:rsidRPr="00261C59" w:rsidRDefault="00F62C4A" w:rsidP="004728D9">
      <w:pPr>
        <w:numPr>
          <w:ilvl w:val="1"/>
          <w:numId w:val="199"/>
        </w:numPr>
        <w:spacing w:after="240" w:line="260" w:lineRule="exact"/>
        <w:jc w:val="left"/>
        <w:rPr>
          <w:rFonts w:ascii="Calibri" w:hAnsi="Calibri"/>
          <w:sz w:val="24"/>
          <w:szCs w:val="24"/>
        </w:rPr>
      </w:pPr>
      <w:r w:rsidRPr="00261C59">
        <w:rPr>
          <w:rFonts w:ascii="Calibri" w:hAnsi="Calibri"/>
          <w:sz w:val="24"/>
          <w:szCs w:val="24"/>
        </w:rPr>
        <w:t>draw on relevant expertise and best practice within Australia and internationally.</w:t>
      </w:r>
    </w:p>
    <w:p w14:paraId="4F190AF6"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The main functions of the IHACPA in</w:t>
      </w:r>
      <w:r w:rsidRPr="00261C59">
        <w:rPr>
          <w:rFonts w:ascii="Calibri" w:eastAsia="Calibri" w:hAnsi="Calibri" w:cs="Calibri"/>
          <w:sz w:val="24"/>
          <w:szCs w:val="24"/>
        </w:rPr>
        <w:t xml:space="preserve"> relation to public hospitals and health care pricing and costing</w:t>
      </w:r>
      <w:r w:rsidRPr="00261C59">
        <w:rPr>
          <w:sz w:val="16"/>
          <w:szCs w:val="16"/>
        </w:rPr>
        <w:t xml:space="preserve"> </w:t>
      </w:r>
      <w:r w:rsidRPr="00261C59">
        <w:rPr>
          <w:rFonts w:ascii="Calibri" w:hAnsi="Calibri" w:cs="Calibri"/>
          <w:sz w:val="24"/>
          <w:szCs w:val="24"/>
        </w:rPr>
        <w:t>are to:</w:t>
      </w:r>
    </w:p>
    <w:p w14:paraId="0EC64D85" w14:textId="3C00D404" w:rsidR="00F62C4A" w:rsidRPr="00261C59" w:rsidRDefault="00F62C4A" w:rsidP="004728D9">
      <w:pPr>
        <w:numPr>
          <w:ilvl w:val="1"/>
          <w:numId w:val="200"/>
        </w:numPr>
        <w:spacing w:after="240" w:line="260" w:lineRule="exact"/>
        <w:jc w:val="left"/>
        <w:rPr>
          <w:rFonts w:ascii="Calibri" w:hAnsi="Calibri"/>
          <w:sz w:val="24"/>
          <w:szCs w:val="24"/>
        </w:rPr>
      </w:pPr>
      <w:r w:rsidRPr="00261C59">
        <w:rPr>
          <w:rFonts w:ascii="Calibri" w:hAnsi="Calibri"/>
          <w:sz w:val="24"/>
          <w:szCs w:val="24"/>
        </w:rPr>
        <w:t>determine the national efficient price for health care services provided by public hospitals where the services are funded on an activity basis</w:t>
      </w:r>
    </w:p>
    <w:p w14:paraId="6898AC19" w14:textId="06D27832" w:rsidR="00F62C4A" w:rsidRPr="00261C59" w:rsidRDefault="00F62C4A" w:rsidP="004728D9">
      <w:pPr>
        <w:numPr>
          <w:ilvl w:val="1"/>
          <w:numId w:val="200"/>
        </w:numPr>
        <w:spacing w:after="240" w:line="260" w:lineRule="exact"/>
        <w:jc w:val="left"/>
        <w:rPr>
          <w:rFonts w:ascii="Calibri" w:hAnsi="Calibri"/>
          <w:sz w:val="24"/>
          <w:szCs w:val="24"/>
        </w:rPr>
      </w:pPr>
      <w:r w:rsidRPr="00261C59">
        <w:rPr>
          <w:rFonts w:ascii="Calibri" w:hAnsi="Calibri"/>
          <w:sz w:val="24"/>
          <w:szCs w:val="24"/>
        </w:rPr>
        <w:t>determine the national efficient cost for health care services provided by public hospitals where the services are block funded</w:t>
      </w:r>
    </w:p>
    <w:p w14:paraId="440F318B" w14:textId="77777777" w:rsidR="00F62C4A" w:rsidRPr="00261C59" w:rsidRDefault="00F62C4A" w:rsidP="004728D9">
      <w:pPr>
        <w:numPr>
          <w:ilvl w:val="1"/>
          <w:numId w:val="200"/>
        </w:numPr>
        <w:spacing w:after="240" w:line="260" w:lineRule="exact"/>
        <w:jc w:val="left"/>
        <w:rPr>
          <w:rFonts w:ascii="Calibri" w:hAnsi="Calibri"/>
          <w:sz w:val="24"/>
          <w:szCs w:val="24"/>
        </w:rPr>
      </w:pPr>
      <w:r w:rsidRPr="00261C59">
        <w:rPr>
          <w:rFonts w:ascii="Calibri" w:hAnsi="Calibri"/>
          <w:sz w:val="24"/>
          <w:szCs w:val="24"/>
        </w:rPr>
        <w:t>publish this, and other information, for the purpose of informing decision makers in relation to the funding of public hospitals.</w:t>
      </w:r>
    </w:p>
    <w:p w14:paraId="15EC8202" w14:textId="77777777" w:rsidR="00F62C4A" w:rsidRPr="00261C59" w:rsidRDefault="00F62C4A" w:rsidP="004728D9">
      <w:pPr>
        <w:keepNext/>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IHACPA has the following determinative functions: </w:t>
      </w:r>
    </w:p>
    <w:p w14:paraId="2D443868" w14:textId="34F7292E" w:rsidR="00F62C4A" w:rsidRPr="00261C59" w:rsidRDefault="00F62C4A" w:rsidP="004728D9">
      <w:pPr>
        <w:numPr>
          <w:ilvl w:val="1"/>
          <w:numId w:val="201"/>
        </w:numPr>
        <w:spacing w:after="240" w:line="260" w:lineRule="exact"/>
        <w:jc w:val="left"/>
        <w:rPr>
          <w:rFonts w:ascii="Calibri" w:hAnsi="Calibri"/>
          <w:sz w:val="24"/>
          <w:szCs w:val="24"/>
        </w:rPr>
      </w:pPr>
      <w:r w:rsidRPr="00261C59">
        <w:rPr>
          <w:rFonts w:ascii="Calibri" w:hAnsi="Calibri"/>
          <w:sz w:val="24"/>
          <w:szCs w:val="24"/>
        </w:rPr>
        <w:t>developing and specifying the national classifications to be used to classify activity in public hospitals for the purposes of ABF</w:t>
      </w:r>
    </w:p>
    <w:p w14:paraId="2D34B1AB" w14:textId="11C68A46" w:rsidR="00F62C4A" w:rsidRPr="00261C59" w:rsidRDefault="00F62C4A" w:rsidP="004728D9">
      <w:pPr>
        <w:numPr>
          <w:ilvl w:val="1"/>
          <w:numId w:val="201"/>
        </w:numPr>
        <w:spacing w:after="240" w:line="260" w:lineRule="exact"/>
        <w:jc w:val="left"/>
        <w:rPr>
          <w:rFonts w:ascii="Calibri" w:hAnsi="Calibri"/>
          <w:sz w:val="24"/>
          <w:szCs w:val="24"/>
        </w:rPr>
      </w:pPr>
      <w:r w:rsidRPr="00261C59">
        <w:rPr>
          <w:rFonts w:ascii="Calibri" w:hAnsi="Calibri"/>
          <w:sz w:val="24"/>
          <w:szCs w:val="24"/>
        </w:rPr>
        <w:t xml:space="preserve">subject to clause </w:t>
      </w:r>
      <w:r w:rsidRPr="00261C59">
        <w:rPr>
          <w:rFonts w:ascii="Calibri" w:hAnsi="Calibri"/>
          <w:sz w:val="24"/>
        </w:rPr>
        <w:t>I</w:t>
      </w:r>
      <w:r w:rsidR="008559E4" w:rsidRPr="00261C59">
        <w:rPr>
          <w:rFonts w:ascii="Calibri" w:hAnsi="Calibri"/>
          <w:sz w:val="24"/>
        </w:rPr>
        <w:t>7</w:t>
      </w:r>
      <w:r w:rsidR="00582D2E" w:rsidRPr="00261C59">
        <w:rPr>
          <w:rFonts w:ascii="Calibri" w:hAnsi="Calibri"/>
          <w:sz w:val="24"/>
        </w:rPr>
        <w:t>9</w:t>
      </w:r>
      <w:r w:rsidRPr="00261C59">
        <w:rPr>
          <w:rFonts w:ascii="Calibri" w:hAnsi="Calibri"/>
          <w:sz w:val="24"/>
          <w:szCs w:val="24"/>
        </w:rPr>
        <w:t xml:space="preserve">, determining the supporting data requirements and data standards to apply to data to be provided by States, including: </w:t>
      </w:r>
    </w:p>
    <w:p w14:paraId="5990B653" w14:textId="08F39EC2" w:rsidR="00F62C4A" w:rsidRPr="00261C59" w:rsidRDefault="00F62C4A" w:rsidP="004728D9">
      <w:pPr>
        <w:numPr>
          <w:ilvl w:val="2"/>
          <w:numId w:val="201"/>
        </w:numPr>
        <w:spacing w:after="240" w:line="260" w:lineRule="exact"/>
        <w:jc w:val="left"/>
        <w:rPr>
          <w:rFonts w:ascii="Calibri" w:hAnsi="Calibri"/>
          <w:sz w:val="24"/>
          <w:szCs w:val="26"/>
        </w:rPr>
      </w:pPr>
      <w:r w:rsidRPr="00261C59">
        <w:rPr>
          <w:rFonts w:ascii="Calibri" w:hAnsi="Calibri"/>
          <w:sz w:val="24"/>
          <w:szCs w:val="26"/>
        </w:rPr>
        <w:t>data and coding standards to support uniform provision of data</w:t>
      </w:r>
    </w:p>
    <w:p w14:paraId="1FAF79C0" w14:textId="3C6CAC3D" w:rsidR="00F62C4A" w:rsidRPr="00261C59" w:rsidRDefault="00F62C4A" w:rsidP="004728D9">
      <w:pPr>
        <w:numPr>
          <w:ilvl w:val="2"/>
          <w:numId w:val="201"/>
        </w:numPr>
        <w:spacing w:after="240" w:line="260" w:lineRule="exact"/>
        <w:jc w:val="left"/>
        <w:rPr>
          <w:rFonts w:ascii="Calibri" w:hAnsi="Calibri"/>
          <w:sz w:val="24"/>
          <w:szCs w:val="24"/>
        </w:rPr>
      </w:pPr>
      <w:r w:rsidRPr="00261C59">
        <w:rPr>
          <w:rFonts w:ascii="Calibri" w:hAnsi="Calibri"/>
          <w:sz w:val="24"/>
          <w:szCs w:val="24"/>
        </w:rPr>
        <w:t>patient demographic characteristics and other information that is relevant to classifying, costing and paying for public hospital functions</w:t>
      </w:r>
    </w:p>
    <w:p w14:paraId="29DE8E4C" w14:textId="051E322D" w:rsidR="00F62C4A" w:rsidRPr="00261C59" w:rsidRDefault="00F62C4A" w:rsidP="004728D9">
      <w:pPr>
        <w:numPr>
          <w:ilvl w:val="1"/>
          <w:numId w:val="201"/>
        </w:numPr>
        <w:spacing w:after="240" w:line="260" w:lineRule="exact"/>
        <w:jc w:val="left"/>
        <w:rPr>
          <w:rFonts w:ascii="Calibri" w:hAnsi="Calibri"/>
          <w:sz w:val="24"/>
          <w:szCs w:val="24"/>
        </w:rPr>
      </w:pPr>
      <w:r w:rsidRPr="00261C59">
        <w:rPr>
          <w:rFonts w:ascii="Calibri" w:hAnsi="Calibri"/>
          <w:sz w:val="24"/>
          <w:szCs w:val="24"/>
        </w:rPr>
        <w:t xml:space="preserve">subject to clause </w:t>
      </w:r>
      <w:r w:rsidRPr="00261C59">
        <w:rPr>
          <w:rFonts w:ascii="Calibri" w:hAnsi="Calibri"/>
          <w:sz w:val="24"/>
        </w:rPr>
        <w:t>I</w:t>
      </w:r>
      <w:r w:rsidR="00E93BC5" w:rsidRPr="00261C59">
        <w:rPr>
          <w:rFonts w:ascii="Calibri" w:hAnsi="Calibri"/>
          <w:sz w:val="24"/>
        </w:rPr>
        <w:t>7</w:t>
      </w:r>
      <w:r w:rsidR="00582D2E" w:rsidRPr="00261C59">
        <w:rPr>
          <w:rFonts w:ascii="Calibri" w:hAnsi="Calibri"/>
          <w:sz w:val="24"/>
        </w:rPr>
        <w:t>9</w:t>
      </w:r>
      <w:r w:rsidRPr="00261C59">
        <w:rPr>
          <w:rFonts w:ascii="Calibri" w:hAnsi="Calibri"/>
          <w:sz w:val="24"/>
          <w:szCs w:val="24"/>
        </w:rPr>
        <w:t>, specifying costing data, methods and standards to be used in studies of the costs of delivering public hospital services, and to collect such data from Local Hospital Networks, through the States, to enable it to calculate the national efficient price and loadings</w:t>
      </w:r>
    </w:p>
    <w:p w14:paraId="5A05C164" w14:textId="72779693" w:rsidR="00F62C4A" w:rsidRPr="00261C59" w:rsidRDefault="00F62C4A" w:rsidP="004728D9">
      <w:pPr>
        <w:widowControl/>
        <w:numPr>
          <w:ilvl w:val="1"/>
          <w:numId w:val="201"/>
        </w:numPr>
        <w:spacing w:after="240" w:line="260" w:lineRule="exact"/>
        <w:jc w:val="left"/>
        <w:rPr>
          <w:rFonts w:ascii="Calibri" w:hAnsi="Calibri"/>
          <w:sz w:val="24"/>
          <w:szCs w:val="24"/>
        </w:rPr>
      </w:pPr>
      <w:r w:rsidRPr="00261C59">
        <w:rPr>
          <w:rFonts w:ascii="Calibri" w:hAnsi="Calibri"/>
          <w:sz w:val="24"/>
          <w:szCs w:val="24"/>
        </w:rPr>
        <w:t>determining the national efficient price for services provided on an activity basis in public hospitals through empirical analysis of data on actual activity and costs in public hospitals, taking account of any time lag and the cost weights to be applied to specific types of services</w:t>
      </w:r>
    </w:p>
    <w:p w14:paraId="29D8F39E" w14:textId="70D88860" w:rsidR="00F62C4A" w:rsidRPr="00261C59" w:rsidRDefault="00F62C4A" w:rsidP="004728D9">
      <w:pPr>
        <w:numPr>
          <w:ilvl w:val="1"/>
          <w:numId w:val="201"/>
        </w:numPr>
        <w:spacing w:after="240" w:line="260" w:lineRule="exact"/>
        <w:jc w:val="left"/>
        <w:rPr>
          <w:rFonts w:ascii="Calibri" w:hAnsi="Calibri"/>
          <w:sz w:val="24"/>
          <w:szCs w:val="24"/>
        </w:rPr>
      </w:pPr>
      <w:r w:rsidRPr="00261C59">
        <w:rPr>
          <w:rFonts w:ascii="Calibri" w:hAnsi="Calibri"/>
          <w:sz w:val="24"/>
          <w:szCs w:val="24"/>
        </w:rPr>
        <w:t>determining the national efficient cost of services provided on a block funded basis in public hospitals through empirical analysis of data on actual activity and costs in Australian public hospitals, taking account of any time lag</w:t>
      </w:r>
    </w:p>
    <w:p w14:paraId="0306C985" w14:textId="4B4049EF" w:rsidR="00F62C4A" w:rsidRPr="00261C59" w:rsidRDefault="00F62C4A" w:rsidP="003D2F22">
      <w:pPr>
        <w:keepLines/>
        <w:numPr>
          <w:ilvl w:val="1"/>
          <w:numId w:val="201"/>
        </w:numPr>
        <w:spacing w:after="240" w:line="260" w:lineRule="exact"/>
        <w:jc w:val="left"/>
        <w:rPr>
          <w:rFonts w:ascii="Calibri" w:hAnsi="Calibri"/>
          <w:sz w:val="24"/>
          <w:szCs w:val="24"/>
        </w:rPr>
      </w:pPr>
      <w:r w:rsidRPr="00261C59">
        <w:rPr>
          <w:rFonts w:ascii="Calibri" w:hAnsi="Calibri"/>
          <w:sz w:val="24"/>
          <w:szCs w:val="24"/>
        </w:rPr>
        <w:t>developing, refining and maintaining such systems as are necessary to calculate the national efficient price, including determining classifications, costing, data elements and data collections</w:t>
      </w:r>
    </w:p>
    <w:p w14:paraId="366DB3FB" w14:textId="7C6134FB" w:rsidR="00F62C4A" w:rsidRPr="00261C59" w:rsidRDefault="00F62C4A" w:rsidP="004728D9">
      <w:pPr>
        <w:numPr>
          <w:ilvl w:val="1"/>
          <w:numId w:val="201"/>
        </w:numPr>
        <w:spacing w:after="240" w:line="260" w:lineRule="exact"/>
        <w:jc w:val="left"/>
        <w:rPr>
          <w:rFonts w:ascii="Calibri" w:hAnsi="Calibri"/>
          <w:sz w:val="24"/>
          <w:szCs w:val="24"/>
        </w:rPr>
      </w:pPr>
      <w:r w:rsidRPr="00261C59">
        <w:rPr>
          <w:rFonts w:ascii="Calibri" w:hAnsi="Calibri"/>
          <w:sz w:val="24"/>
          <w:szCs w:val="24"/>
        </w:rPr>
        <w:t>determining adjustments (‘loadings’) to the national efficient price required to take account of legitimate and unavoidable variations in the costs of service delivery, including those driven by hospital size, type and location</w:t>
      </w:r>
    </w:p>
    <w:p w14:paraId="299E74A9" w14:textId="383A7540" w:rsidR="00F62C4A" w:rsidRPr="00261C59" w:rsidRDefault="00F62C4A" w:rsidP="004728D9">
      <w:pPr>
        <w:numPr>
          <w:ilvl w:val="1"/>
          <w:numId w:val="201"/>
        </w:numPr>
        <w:spacing w:after="240" w:line="260" w:lineRule="exact"/>
        <w:jc w:val="left"/>
        <w:rPr>
          <w:rFonts w:ascii="Calibri" w:hAnsi="Calibri"/>
          <w:sz w:val="24"/>
          <w:szCs w:val="24"/>
        </w:rPr>
      </w:pPr>
      <w:r w:rsidRPr="00261C59">
        <w:rPr>
          <w:rFonts w:ascii="Calibri" w:hAnsi="Calibri"/>
          <w:sz w:val="24"/>
          <w:szCs w:val="24"/>
        </w:rPr>
        <w:t>developing projections of the national efficient price for a four-year period, updated annually and providing confidential reports on these projections to the Commonwealth and States</w:t>
      </w:r>
    </w:p>
    <w:p w14:paraId="3EEE4505" w14:textId="682CF314" w:rsidR="00F62C4A" w:rsidRPr="00261C59" w:rsidRDefault="00F62C4A" w:rsidP="004728D9">
      <w:pPr>
        <w:numPr>
          <w:ilvl w:val="1"/>
          <w:numId w:val="201"/>
        </w:numPr>
        <w:spacing w:after="240" w:line="260" w:lineRule="exact"/>
        <w:jc w:val="left"/>
        <w:rPr>
          <w:rFonts w:ascii="Calibri" w:hAnsi="Calibri"/>
          <w:sz w:val="24"/>
          <w:szCs w:val="24"/>
        </w:rPr>
      </w:pPr>
      <w:r w:rsidRPr="00261C59">
        <w:rPr>
          <w:rFonts w:ascii="Calibri" w:hAnsi="Calibri"/>
          <w:sz w:val="24"/>
          <w:szCs w:val="24"/>
        </w:rPr>
        <w:t>determining what other services provided by public hospitals are eligible for a Commonwealth funding contribution (see Schedule A, Part 3 – Scope of services)</w:t>
      </w:r>
    </w:p>
    <w:p w14:paraId="55DAB18C" w14:textId="1F763B9B" w:rsidR="00F62C4A" w:rsidRPr="00261C59" w:rsidRDefault="00F62C4A" w:rsidP="004728D9">
      <w:pPr>
        <w:numPr>
          <w:ilvl w:val="1"/>
          <w:numId w:val="201"/>
        </w:numPr>
        <w:spacing w:after="240" w:line="260" w:lineRule="exact"/>
        <w:jc w:val="left"/>
        <w:rPr>
          <w:rFonts w:ascii="Calibri" w:hAnsi="Calibri"/>
          <w:sz w:val="24"/>
          <w:szCs w:val="24"/>
        </w:rPr>
      </w:pPr>
      <w:r w:rsidRPr="00261C59">
        <w:rPr>
          <w:rFonts w:ascii="Calibri" w:hAnsi="Calibri"/>
          <w:sz w:val="24"/>
          <w:szCs w:val="24"/>
        </w:rPr>
        <w:t xml:space="preserve">determining the Block Funded Criteria to be applied to agreed hospitals, functions and services that would be better funded in that way (see clause </w:t>
      </w:r>
      <w:r w:rsidRPr="00261C59">
        <w:rPr>
          <w:rFonts w:ascii="Calibri" w:hAnsi="Calibri"/>
          <w:sz w:val="24"/>
        </w:rPr>
        <w:t>A</w:t>
      </w:r>
      <w:r w:rsidR="00576BCE" w:rsidRPr="00261C59">
        <w:rPr>
          <w:rFonts w:ascii="Calibri" w:hAnsi="Calibri"/>
          <w:sz w:val="24"/>
        </w:rPr>
        <w:t>6</w:t>
      </w:r>
      <w:r w:rsidR="00FC414F" w:rsidRPr="00261C59">
        <w:rPr>
          <w:rFonts w:ascii="Calibri" w:hAnsi="Calibri"/>
          <w:sz w:val="24"/>
        </w:rPr>
        <w:t>8</w:t>
      </w:r>
      <w:r w:rsidRPr="00261C59">
        <w:rPr>
          <w:rFonts w:ascii="Calibri" w:hAnsi="Calibri"/>
          <w:sz w:val="24"/>
          <w:szCs w:val="24"/>
        </w:rPr>
        <w:t>)</w:t>
      </w:r>
    </w:p>
    <w:p w14:paraId="41DA34CE" w14:textId="70242229" w:rsidR="00F62C4A" w:rsidRPr="00261C59" w:rsidRDefault="00F62C4A" w:rsidP="004728D9">
      <w:pPr>
        <w:numPr>
          <w:ilvl w:val="1"/>
          <w:numId w:val="201"/>
        </w:numPr>
        <w:spacing w:after="240" w:line="260" w:lineRule="exact"/>
        <w:jc w:val="left"/>
        <w:rPr>
          <w:rFonts w:ascii="Calibri" w:hAnsi="Calibri"/>
          <w:sz w:val="24"/>
          <w:szCs w:val="24"/>
        </w:rPr>
      </w:pPr>
      <w:r w:rsidRPr="00261C59">
        <w:rPr>
          <w:rFonts w:ascii="Calibri" w:hAnsi="Calibri"/>
          <w:sz w:val="24"/>
          <w:szCs w:val="24"/>
        </w:rPr>
        <w:t>resolving disputes on cross-border issues, where parties are unable to reach bilateral agreement and either party seeks a determination from the IHACPA</w:t>
      </w:r>
    </w:p>
    <w:p w14:paraId="6B28A0B8" w14:textId="77777777" w:rsidR="00F62C4A" w:rsidRPr="00261C59" w:rsidRDefault="00F62C4A" w:rsidP="004728D9">
      <w:pPr>
        <w:numPr>
          <w:ilvl w:val="1"/>
          <w:numId w:val="201"/>
        </w:numPr>
        <w:spacing w:after="240" w:line="260" w:lineRule="exact"/>
        <w:jc w:val="left"/>
        <w:rPr>
          <w:rFonts w:ascii="Calibri" w:hAnsi="Calibri"/>
          <w:sz w:val="24"/>
          <w:szCs w:val="24"/>
        </w:rPr>
      </w:pPr>
      <w:r w:rsidRPr="00261C59">
        <w:rPr>
          <w:rFonts w:ascii="Calibri" w:hAnsi="Calibri"/>
          <w:sz w:val="24"/>
          <w:szCs w:val="24"/>
        </w:rPr>
        <w:t>determining the national efficient price that will apply to eligible private patients receiving public hospital services.</w:t>
      </w:r>
    </w:p>
    <w:p w14:paraId="10AAA38A" w14:textId="77777777" w:rsidR="00F62C4A" w:rsidRPr="00261C59" w:rsidRDefault="00F62C4A" w:rsidP="004728D9">
      <w:pPr>
        <w:keepNext/>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IHACPA has the following advisory functions: </w:t>
      </w:r>
    </w:p>
    <w:p w14:paraId="7D509FCC" w14:textId="77777777" w:rsidR="00F62C4A" w:rsidRPr="00261C59" w:rsidRDefault="00F62C4A" w:rsidP="004728D9">
      <w:pPr>
        <w:numPr>
          <w:ilvl w:val="1"/>
          <w:numId w:val="202"/>
        </w:numPr>
        <w:spacing w:after="240" w:line="260" w:lineRule="exact"/>
        <w:jc w:val="left"/>
        <w:rPr>
          <w:rFonts w:ascii="Calibri" w:hAnsi="Calibri"/>
          <w:sz w:val="24"/>
          <w:szCs w:val="24"/>
        </w:rPr>
      </w:pPr>
      <w:r w:rsidRPr="00261C59">
        <w:rPr>
          <w:rFonts w:ascii="Calibri" w:hAnsi="Calibri"/>
          <w:sz w:val="24"/>
          <w:szCs w:val="24"/>
        </w:rPr>
        <w:t>advising HMM on a nationally consistent definition and typology of public hospitals eligible for:</w:t>
      </w:r>
    </w:p>
    <w:p w14:paraId="190F5DEE" w14:textId="4575FB5F" w:rsidR="00F62C4A" w:rsidRPr="00261C59" w:rsidRDefault="00E04179" w:rsidP="004728D9">
      <w:pPr>
        <w:numPr>
          <w:ilvl w:val="2"/>
          <w:numId w:val="202"/>
        </w:numPr>
        <w:spacing w:after="240" w:line="260" w:lineRule="exact"/>
        <w:jc w:val="left"/>
        <w:rPr>
          <w:rFonts w:ascii="Calibri" w:hAnsi="Calibri" w:cs="Calibri"/>
          <w:sz w:val="24"/>
          <w:szCs w:val="24"/>
        </w:rPr>
      </w:pPr>
      <w:r>
        <w:rPr>
          <w:rFonts w:ascii="Calibri" w:hAnsi="Calibri" w:cs="Calibri"/>
          <w:sz w:val="24"/>
          <w:szCs w:val="24"/>
        </w:rPr>
        <w:t>B</w:t>
      </w:r>
      <w:r w:rsidR="00F62C4A" w:rsidRPr="00261C59">
        <w:rPr>
          <w:rFonts w:ascii="Calibri" w:hAnsi="Calibri" w:cs="Calibri"/>
          <w:sz w:val="24"/>
          <w:szCs w:val="24"/>
        </w:rPr>
        <w:t xml:space="preserve">lock </w:t>
      </w:r>
      <w:r>
        <w:rPr>
          <w:rFonts w:ascii="Calibri" w:hAnsi="Calibri" w:cs="Calibri"/>
          <w:sz w:val="24"/>
          <w:szCs w:val="24"/>
        </w:rPr>
        <w:t>F</w:t>
      </w:r>
      <w:r w:rsidR="00F62C4A" w:rsidRPr="00261C59">
        <w:rPr>
          <w:rFonts w:ascii="Calibri" w:hAnsi="Calibri" w:cs="Calibri"/>
          <w:sz w:val="24"/>
          <w:szCs w:val="24"/>
        </w:rPr>
        <w:t>unding only (including small rural and regional hospitals better funded in that way)</w:t>
      </w:r>
    </w:p>
    <w:p w14:paraId="7D934102" w14:textId="30186A91" w:rsidR="00F62C4A" w:rsidRPr="00261C59" w:rsidRDefault="00F62C4A" w:rsidP="004728D9">
      <w:pPr>
        <w:numPr>
          <w:ilvl w:val="2"/>
          <w:numId w:val="202"/>
        </w:numPr>
        <w:spacing w:after="240" w:line="260" w:lineRule="exact"/>
        <w:jc w:val="left"/>
        <w:rPr>
          <w:rFonts w:ascii="Calibri" w:hAnsi="Calibri" w:cs="Calibri"/>
          <w:sz w:val="24"/>
          <w:szCs w:val="24"/>
        </w:rPr>
      </w:pPr>
      <w:r w:rsidRPr="00261C59">
        <w:rPr>
          <w:rFonts w:ascii="Calibri" w:hAnsi="Calibri" w:cs="Calibri"/>
          <w:sz w:val="24"/>
          <w:szCs w:val="24"/>
        </w:rPr>
        <w:t xml:space="preserve">mixed ABF and </w:t>
      </w:r>
      <w:r w:rsidR="00E04179">
        <w:rPr>
          <w:rFonts w:ascii="Calibri" w:hAnsi="Calibri" w:cs="Calibri"/>
          <w:sz w:val="24"/>
          <w:szCs w:val="24"/>
        </w:rPr>
        <w:t>B</w:t>
      </w:r>
      <w:r w:rsidRPr="00261C59">
        <w:rPr>
          <w:rFonts w:ascii="Calibri" w:hAnsi="Calibri" w:cs="Calibri"/>
          <w:sz w:val="24"/>
          <w:szCs w:val="24"/>
        </w:rPr>
        <w:t xml:space="preserve">lock </w:t>
      </w:r>
      <w:r w:rsidR="00E04179">
        <w:rPr>
          <w:rFonts w:ascii="Calibri" w:hAnsi="Calibri" w:cs="Calibri"/>
          <w:sz w:val="24"/>
          <w:szCs w:val="24"/>
        </w:rPr>
        <w:t>F</w:t>
      </w:r>
      <w:r w:rsidRPr="00261C59">
        <w:rPr>
          <w:rFonts w:ascii="Calibri" w:hAnsi="Calibri" w:cs="Calibri"/>
          <w:sz w:val="24"/>
          <w:szCs w:val="24"/>
        </w:rPr>
        <w:t>unding</w:t>
      </w:r>
    </w:p>
    <w:p w14:paraId="1531E9DB" w14:textId="32926345" w:rsidR="00F62C4A" w:rsidRPr="00261C59" w:rsidRDefault="00F62C4A" w:rsidP="004728D9">
      <w:pPr>
        <w:numPr>
          <w:ilvl w:val="1"/>
          <w:numId w:val="202"/>
        </w:numPr>
        <w:spacing w:after="240" w:line="260" w:lineRule="exact"/>
        <w:jc w:val="left"/>
        <w:rPr>
          <w:rFonts w:ascii="Calibri" w:hAnsi="Calibri"/>
          <w:sz w:val="24"/>
          <w:szCs w:val="24"/>
        </w:rPr>
      </w:pPr>
      <w:r w:rsidRPr="00261C59">
        <w:rPr>
          <w:rFonts w:ascii="Calibri" w:hAnsi="Calibri"/>
          <w:sz w:val="24"/>
          <w:szCs w:val="24"/>
        </w:rPr>
        <w:t xml:space="preserve">making recommendations to the Treasurer to adjust Commonwealth contributions to implement cross-border recommendations under clause </w:t>
      </w:r>
      <w:r w:rsidR="00F84ADE" w:rsidRPr="00261C59">
        <w:rPr>
          <w:rFonts w:ascii="Calibri" w:hAnsi="Calibri"/>
          <w:sz w:val="24"/>
        </w:rPr>
        <w:t>A</w:t>
      </w:r>
      <w:r w:rsidR="00646561" w:rsidRPr="00261C59">
        <w:rPr>
          <w:rFonts w:ascii="Calibri" w:hAnsi="Calibri"/>
          <w:sz w:val="24"/>
        </w:rPr>
        <w:t>195</w:t>
      </w:r>
    </w:p>
    <w:p w14:paraId="36E5416A" w14:textId="0AADA49D" w:rsidR="00F62C4A" w:rsidRPr="00261C59" w:rsidRDefault="00F62C4A" w:rsidP="004728D9">
      <w:pPr>
        <w:numPr>
          <w:ilvl w:val="1"/>
          <w:numId w:val="202"/>
        </w:numPr>
        <w:spacing w:after="240" w:line="260" w:lineRule="exact"/>
        <w:jc w:val="left"/>
        <w:rPr>
          <w:rFonts w:ascii="Calibri" w:hAnsi="Calibri"/>
          <w:sz w:val="24"/>
          <w:szCs w:val="24"/>
        </w:rPr>
      </w:pPr>
      <w:r w:rsidRPr="00261C59">
        <w:rPr>
          <w:rFonts w:ascii="Calibri" w:hAnsi="Calibri"/>
          <w:sz w:val="24"/>
          <w:szCs w:val="24"/>
        </w:rPr>
        <w:t>making an assessment in relation to cost-shifting.</w:t>
      </w:r>
    </w:p>
    <w:p w14:paraId="140B4498" w14:textId="4A23D42E"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sz w:val="24"/>
          <w:szCs w:val="24"/>
        </w:rPr>
        <w:t>Subject to provisions in Schedule H</w:t>
      </w:r>
      <w:r w:rsidRPr="00261C59">
        <w:rPr>
          <w:rFonts w:ascii="Calibri" w:hAnsi="Calibri" w:cs="Calibri"/>
          <w:sz w:val="24"/>
          <w:szCs w:val="24"/>
        </w:rPr>
        <w:t xml:space="preserve">, IHACPA may use Healthcare Identifiers to inform pricing and </w:t>
      </w:r>
      <w:r w:rsidRPr="00261C59">
        <w:rPr>
          <w:rFonts w:ascii="Calibri" w:eastAsia="Calibri" w:hAnsi="Calibri" w:cs="Calibri"/>
          <w:sz w:val="24"/>
          <w:szCs w:val="24"/>
        </w:rPr>
        <w:t>payment reforms</w:t>
      </w:r>
      <w:r w:rsidRPr="00261C59">
        <w:rPr>
          <w:rFonts w:ascii="Calibri" w:hAnsi="Calibri" w:cs="Calibri"/>
          <w:sz w:val="24"/>
          <w:szCs w:val="24"/>
        </w:rPr>
        <w:t xml:space="preserve"> for hospital and health services. </w:t>
      </w:r>
    </w:p>
    <w:p w14:paraId="0F5340D5" w14:textId="77777777" w:rsidR="00F62C4A" w:rsidRPr="00261C59" w:rsidRDefault="00F62C4A" w:rsidP="004728D9">
      <w:pPr>
        <w:numPr>
          <w:ilvl w:val="1"/>
          <w:numId w:val="203"/>
        </w:numPr>
        <w:spacing w:after="240" w:line="260" w:lineRule="exact"/>
        <w:jc w:val="left"/>
        <w:rPr>
          <w:rFonts w:ascii="Calibri" w:hAnsi="Calibri"/>
          <w:sz w:val="24"/>
          <w:szCs w:val="24"/>
        </w:rPr>
      </w:pPr>
      <w:r w:rsidRPr="00261C59">
        <w:rPr>
          <w:rFonts w:ascii="Calibri" w:hAnsi="Calibri"/>
          <w:sz w:val="24"/>
          <w:szCs w:val="24"/>
        </w:rPr>
        <w:t xml:space="preserve">Parties agree that more consistent identification of patients and healthcare providers across borders and care settings will enable improved data matching and linkage and facilitate more accurate pricing and costing determinations.   </w:t>
      </w:r>
    </w:p>
    <w:p w14:paraId="07EAD50B" w14:textId="77777777" w:rsidR="00F62C4A" w:rsidRPr="00261C59" w:rsidRDefault="00F62C4A" w:rsidP="004728D9">
      <w:pPr>
        <w:numPr>
          <w:ilvl w:val="1"/>
          <w:numId w:val="203"/>
        </w:numPr>
        <w:spacing w:after="240" w:line="260" w:lineRule="exact"/>
        <w:jc w:val="left"/>
        <w:rPr>
          <w:rFonts w:ascii="Calibri" w:hAnsi="Calibri"/>
          <w:sz w:val="24"/>
          <w:szCs w:val="24"/>
        </w:rPr>
      </w:pPr>
      <w:r w:rsidRPr="00261C59">
        <w:rPr>
          <w:rFonts w:ascii="Calibri" w:hAnsi="Calibri"/>
          <w:sz w:val="24"/>
          <w:szCs w:val="24"/>
        </w:rPr>
        <w:t xml:space="preserve">Parties agree the consistent use of Healthcare Identifiers is critical for developing pricing of capitation and bundled payments, value-based pricing reforms, and for improving safety and quality pricing adjustments. </w:t>
      </w:r>
    </w:p>
    <w:p w14:paraId="56FBBA2C" w14:textId="0E39F209" w:rsidR="00F62C4A" w:rsidRPr="00261C59" w:rsidRDefault="00F62C4A" w:rsidP="003D2F22">
      <w:pPr>
        <w:keepLines/>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In relation to the safety and quality reforms described in this Addendum the IHACPA will undertake commitments, in consultation with the ACSQHC as appropriate, in line with Schedule A and Schedule D </w:t>
      </w:r>
      <w:r w:rsidR="006A1AA7" w:rsidRPr="00261C59">
        <w:rPr>
          <w:rFonts w:ascii="Calibri" w:hAnsi="Calibri" w:cs="Calibri"/>
          <w:sz w:val="24"/>
          <w:szCs w:val="24"/>
        </w:rPr>
        <w:t>provisions</w:t>
      </w:r>
      <w:r w:rsidRPr="00261C59">
        <w:rPr>
          <w:rFonts w:ascii="Calibri" w:hAnsi="Calibri" w:cs="Calibri"/>
          <w:sz w:val="24"/>
          <w:szCs w:val="24"/>
        </w:rPr>
        <w:t>.</w:t>
      </w:r>
    </w:p>
    <w:p w14:paraId="12220626" w14:textId="6006FC3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Parties may request the IHACPA provide monitoring and support for the development of innovative models of care and funding for inclusion into the national funding model </w:t>
      </w:r>
      <w:r w:rsidRPr="00261C59">
        <w:rPr>
          <w:rFonts w:ascii="Calibri" w:hAnsi="Calibri"/>
          <w:sz w:val="24"/>
        </w:rPr>
        <w:t>under clauses A</w:t>
      </w:r>
      <w:r w:rsidR="00C32C58" w:rsidRPr="00261C59">
        <w:rPr>
          <w:rFonts w:ascii="Calibri" w:hAnsi="Calibri"/>
          <w:sz w:val="24"/>
        </w:rPr>
        <w:t>82</w:t>
      </w:r>
      <w:r w:rsidRPr="00261C59">
        <w:rPr>
          <w:rFonts w:ascii="Calibri" w:hAnsi="Calibri"/>
          <w:sz w:val="24"/>
        </w:rPr>
        <w:t xml:space="preserve"> </w:t>
      </w:r>
      <w:r w:rsidR="00C32C58" w:rsidRPr="00261C59">
        <w:rPr>
          <w:rFonts w:ascii="Calibri" w:hAnsi="Calibri"/>
          <w:sz w:val="24"/>
        </w:rPr>
        <w:t>and</w:t>
      </w:r>
      <w:r w:rsidRPr="00261C59">
        <w:rPr>
          <w:rFonts w:ascii="Calibri" w:hAnsi="Calibri"/>
          <w:sz w:val="24"/>
        </w:rPr>
        <w:t xml:space="preserve"> A</w:t>
      </w:r>
      <w:r w:rsidR="00C32C58" w:rsidRPr="00261C59">
        <w:rPr>
          <w:rFonts w:ascii="Calibri" w:hAnsi="Calibri"/>
          <w:sz w:val="24"/>
        </w:rPr>
        <w:t>83</w:t>
      </w:r>
      <w:r w:rsidRPr="00261C59">
        <w:rPr>
          <w:rFonts w:ascii="Calibri" w:hAnsi="Calibri" w:cs="Calibri"/>
          <w:sz w:val="24"/>
          <w:szCs w:val="24"/>
        </w:rPr>
        <w:t>.</w:t>
      </w:r>
    </w:p>
    <w:p w14:paraId="3E52A351" w14:textId="3AFDBC00" w:rsidR="00F62C4A" w:rsidRPr="00261C59" w:rsidRDefault="00F62C4A" w:rsidP="00E00508">
      <w:pPr>
        <w:keepNext/>
        <w:keepLines/>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In line with clauses </w:t>
      </w:r>
      <w:r w:rsidRPr="00261C59">
        <w:rPr>
          <w:rFonts w:ascii="Calibri" w:hAnsi="Calibri"/>
          <w:sz w:val="24"/>
        </w:rPr>
        <w:t>A</w:t>
      </w:r>
      <w:r w:rsidR="00F65077" w:rsidRPr="00261C59">
        <w:rPr>
          <w:rFonts w:ascii="Calibri" w:hAnsi="Calibri"/>
          <w:sz w:val="24"/>
        </w:rPr>
        <w:t>82</w:t>
      </w:r>
      <w:r w:rsidRPr="00261C59">
        <w:rPr>
          <w:rFonts w:ascii="Calibri" w:hAnsi="Calibri"/>
          <w:sz w:val="24"/>
        </w:rPr>
        <w:t>, A</w:t>
      </w:r>
      <w:r w:rsidR="00F65077" w:rsidRPr="00261C59">
        <w:rPr>
          <w:rFonts w:ascii="Calibri" w:hAnsi="Calibri"/>
          <w:sz w:val="24"/>
        </w:rPr>
        <w:t>83</w:t>
      </w:r>
      <w:r w:rsidRPr="00261C59">
        <w:rPr>
          <w:rFonts w:ascii="Calibri" w:hAnsi="Calibri"/>
          <w:sz w:val="24"/>
        </w:rPr>
        <w:t xml:space="preserve"> and D</w:t>
      </w:r>
      <w:r w:rsidR="00606B60" w:rsidRPr="00261C59">
        <w:rPr>
          <w:rFonts w:ascii="Calibri" w:hAnsi="Calibri"/>
          <w:sz w:val="24"/>
        </w:rPr>
        <w:t>15</w:t>
      </w:r>
      <w:r w:rsidRPr="00261C59">
        <w:rPr>
          <w:rFonts w:ascii="Calibri" w:hAnsi="Calibri" w:cs="Calibri"/>
          <w:sz w:val="24"/>
          <w:szCs w:val="24"/>
        </w:rPr>
        <w:t>, IHACPA will support the Parties, where requested, with the design, implementation and evaluation of projects to be funded through the Service Model Reform Funding (SMRF) stream.</w:t>
      </w:r>
    </w:p>
    <w:p w14:paraId="03502728" w14:textId="3214497F" w:rsidR="00F62C4A" w:rsidRPr="00261C59" w:rsidRDefault="00F62C4A" w:rsidP="004728D9">
      <w:pPr>
        <w:numPr>
          <w:ilvl w:val="1"/>
          <w:numId w:val="204"/>
        </w:numPr>
        <w:spacing w:after="240" w:line="260" w:lineRule="exact"/>
        <w:jc w:val="left"/>
        <w:rPr>
          <w:rFonts w:ascii="Calibri" w:hAnsi="Calibri"/>
          <w:sz w:val="24"/>
          <w:szCs w:val="24"/>
        </w:rPr>
      </w:pPr>
      <w:r w:rsidRPr="00261C59">
        <w:rPr>
          <w:rFonts w:ascii="Calibri" w:hAnsi="Calibri"/>
          <w:sz w:val="24"/>
          <w:szCs w:val="24"/>
        </w:rPr>
        <w:t>IHACPA will work collaboratively with the Service Model and Funding Reform Collaboration and any nominating State that requests IHACPA assistance in providing advice and technical expertise in the development of pricing or costs for a proposed SMRF project.</w:t>
      </w:r>
    </w:p>
    <w:p w14:paraId="34FADD02" w14:textId="23A088C5" w:rsidR="00F62C4A" w:rsidRPr="00261C59" w:rsidRDefault="00F62C4A" w:rsidP="004728D9">
      <w:pPr>
        <w:numPr>
          <w:ilvl w:val="1"/>
          <w:numId w:val="204"/>
        </w:numPr>
        <w:spacing w:after="240" w:line="260" w:lineRule="exact"/>
        <w:jc w:val="left"/>
        <w:rPr>
          <w:rFonts w:ascii="Calibri" w:hAnsi="Calibri"/>
          <w:sz w:val="24"/>
          <w:szCs w:val="24"/>
        </w:rPr>
      </w:pPr>
      <w:r w:rsidRPr="00261C59">
        <w:rPr>
          <w:rFonts w:ascii="Calibri" w:hAnsi="Calibri"/>
          <w:sz w:val="24"/>
          <w:szCs w:val="24"/>
        </w:rPr>
        <w:t xml:space="preserve">In line with clause </w:t>
      </w:r>
      <w:r w:rsidRPr="00261C59">
        <w:rPr>
          <w:rFonts w:ascii="Calibri" w:hAnsi="Calibri"/>
          <w:sz w:val="24"/>
        </w:rPr>
        <w:t>A9,</w:t>
      </w:r>
      <w:r w:rsidRPr="00261C59">
        <w:rPr>
          <w:rFonts w:ascii="Calibri" w:hAnsi="Calibri"/>
          <w:sz w:val="24"/>
          <w:szCs w:val="24"/>
        </w:rPr>
        <w:t xml:space="preserve"> IHACPA will determine a process for scaling and embedding relevant service delivery projects into the National Funding Model as part of developing the Funding Models Framework.</w:t>
      </w:r>
    </w:p>
    <w:p w14:paraId="16FD6767" w14:textId="77777777" w:rsidR="00F62C4A" w:rsidRPr="00261C59" w:rsidRDefault="00F62C4A" w:rsidP="004728D9">
      <w:pPr>
        <w:keepNext/>
        <w:widowControl/>
        <w:numPr>
          <w:ilvl w:val="0"/>
          <w:numId w:val="17"/>
        </w:numPr>
        <w:spacing w:after="240" w:line="260" w:lineRule="exact"/>
        <w:jc w:val="left"/>
        <w:rPr>
          <w:rFonts w:ascii="Calibri" w:hAnsi="Calibri" w:cs="Calibri"/>
          <w:color w:val="000000"/>
          <w:sz w:val="24"/>
          <w:szCs w:val="24"/>
        </w:rPr>
      </w:pPr>
      <w:r w:rsidRPr="00261C59">
        <w:rPr>
          <w:rFonts w:ascii="Calibri" w:hAnsi="Calibri" w:cs="Calibri"/>
          <w:sz w:val="24"/>
          <w:szCs w:val="24"/>
        </w:rPr>
        <w:t xml:space="preserve">The IHACPA will improve transparency by publicly reporting, in an easily accessible format that promotes understanding of the reporting by the public, on: </w:t>
      </w:r>
    </w:p>
    <w:p w14:paraId="1274A473" w14:textId="5911444F" w:rsidR="00F62C4A" w:rsidRPr="00261C59" w:rsidRDefault="00F62C4A" w:rsidP="004728D9">
      <w:pPr>
        <w:numPr>
          <w:ilvl w:val="1"/>
          <w:numId w:val="205"/>
        </w:numPr>
        <w:spacing w:after="240" w:line="260" w:lineRule="exact"/>
        <w:jc w:val="left"/>
        <w:rPr>
          <w:rFonts w:ascii="Calibri" w:hAnsi="Calibri"/>
          <w:sz w:val="24"/>
          <w:szCs w:val="24"/>
        </w:rPr>
      </w:pPr>
      <w:r w:rsidRPr="00261C59">
        <w:rPr>
          <w:rFonts w:ascii="Calibri" w:hAnsi="Calibri"/>
          <w:sz w:val="24"/>
          <w:szCs w:val="24"/>
        </w:rPr>
        <w:t>ABF, including release of nationally consistent classifications, costing methods and data, and efficient prices</w:t>
      </w:r>
    </w:p>
    <w:p w14:paraId="1FD594F0" w14:textId="067660DF" w:rsidR="00F62C4A" w:rsidRPr="00261C59" w:rsidRDefault="00F62C4A" w:rsidP="004728D9">
      <w:pPr>
        <w:numPr>
          <w:ilvl w:val="1"/>
          <w:numId w:val="205"/>
        </w:numPr>
        <w:spacing w:after="240" w:line="260" w:lineRule="exact"/>
        <w:jc w:val="left"/>
        <w:rPr>
          <w:rFonts w:ascii="Calibri" w:hAnsi="Calibri"/>
          <w:sz w:val="24"/>
          <w:szCs w:val="24"/>
        </w:rPr>
      </w:pPr>
      <w:r w:rsidRPr="00261C59">
        <w:rPr>
          <w:rFonts w:ascii="Calibri" w:hAnsi="Calibri"/>
          <w:sz w:val="24"/>
          <w:szCs w:val="24"/>
        </w:rPr>
        <w:t>its advice in respect of block funding and the basis of that advice</w:t>
      </w:r>
    </w:p>
    <w:p w14:paraId="5FBF87C3" w14:textId="77777777" w:rsidR="00F62C4A" w:rsidRPr="00261C59" w:rsidRDefault="00F62C4A" w:rsidP="004728D9">
      <w:pPr>
        <w:numPr>
          <w:ilvl w:val="1"/>
          <w:numId w:val="205"/>
        </w:numPr>
        <w:spacing w:after="240" w:line="260" w:lineRule="exact"/>
        <w:jc w:val="left"/>
        <w:rPr>
          <w:rFonts w:ascii="Calibri" w:hAnsi="Calibri"/>
          <w:sz w:val="24"/>
          <w:szCs w:val="24"/>
        </w:rPr>
      </w:pPr>
      <w:r w:rsidRPr="00261C59">
        <w:rPr>
          <w:rFonts w:ascii="Calibri" w:hAnsi="Calibri"/>
          <w:sz w:val="24"/>
          <w:szCs w:val="24"/>
        </w:rPr>
        <w:t>its findings and supporting analysis on cost-shifting and cross-border issues raised by the Parties, following consultation with the relevant jurisdictions.</w:t>
      </w:r>
    </w:p>
    <w:p w14:paraId="51C8361B"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IHACPA will provide the Parties with draft copies of its reports before they are released publicly. In line with legislation, Parties will have 45 days in which to comment on the reports. </w:t>
      </w:r>
    </w:p>
    <w:p w14:paraId="08D083BA"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IHACPA may undertake data collection and research, including by commissioning others to undertake specified studies and research. </w:t>
      </w:r>
    </w:p>
    <w:p w14:paraId="425A28D9" w14:textId="77777777" w:rsidR="00F62C4A" w:rsidRPr="00261C59" w:rsidRDefault="00F62C4A" w:rsidP="004728D9">
      <w:pPr>
        <w:numPr>
          <w:ilvl w:val="1"/>
          <w:numId w:val="206"/>
        </w:numPr>
        <w:spacing w:after="240" w:line="260" w:lineRule="exact"/>
        <w:jc w:val="left"/>
        <w:rPr>
          <w:rFonts w:ascii="Calibri" w:hAnsi="Calibri"/>
          <w:sz w:val="24"/>
          <w:szCs w:val="24"/>
        </w:rPr>
      </w:pPr>
      <w:r w:rsidRPr="00261C59">
        <w:rPr>
          <w:rFonts w:ascii="Calibri" w:hAnsi="Calibri"/>
          <w:sz w:val="24"/>
          <w:szCs w:val="24"/>
        </w:rPr>
        <w:t>In undertaking data collection and research IHACPA must have regard to privacy and cybersecurity requirements of Parties and take relevant advice pertaining to such requirements from Parties.</w:t>
      </w:r>
    </w:p>
    <w:p w14:paraId="17DDE21A" w14:textId="67F8D663" w:rsidR="00F62C4A" w:rsidRPr="00261C59" w:rsidRDefault="00F62C4A" w:rsidP="003D2F22">
      <w:pPr>
        <w:widowControl/>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Should the IHACPA, in carrying out its functions, identify significant anomalies in service provision or pricing which potentially suggest activity contrary to the intent of this </w:t>
      </w:r>
      <w:r w:rsidRPr="00261C59">
        <w:rPr>
          <w:rFonts w:ascii="Calibri" w:hAnsi="Calibri"/>
          <w:sz w:val="24"/>
          <w:szCs w:val="24"/>
        </w:rPr>
        <w:t>Addendum</w:t>
      </w:r>
      <w:r w:rsidRPr="00261C59">
        <w:rPr>
          <w:rFonts w:ascii="Calibri" w:hAnsi="Calibri" w:cs="Calibri"/>
          <w:sz w:val="24"/>
          <w:szCs w:val="24"/>
        </w:rPr>
        <w:t xml:space="preserve">, the IHACPA may consult with the relevant jurisdiction. If the matter is unresolved following consultation with the relevant jurisdiction, the IHACPA may confidentially provide information to all jurisdictions about the matter. Should a jurisdiction consider this information evidence of cost-shifting, they can make a submission to the IHACPA (as set out in clauses </w:t>
      </w:r>
      <w:r w:rsidR="008202BA">
        <w:rPr>
          <w:rFonts w:ascii="Calibri" w:hAnsi="Calibri" w:cs="Calibri"/>
          <w:sz w:val="24"/>
          <w:szCs w:val="24"/>
        </w:rPr>
        <w:t>I39 to I44)</w:t>
      </w:r>
      <w:r w:rsidRPr="00261C59">
        <w:rPr>
          <w:rFonts w:ascii="Calibri" w:hAnsi="Calibri" w:cs="Calibri"/>
          <w:sz w:val="24"/>
          <w:szCs w:val="24"/>
        </w:rPr>
        <w:t>.</w:t>
      </w:r>
    </w:p>
    <w:p w14:paraId="3637CE0C" w14:textId="77777777" w:rsidR="00F62C4A" w:rsidRPr="00261C59" w:rsidRDefault="00F62C4A" w:rsidP="002E5D9D">
      <w:pPr>
        <w:pStyle w:val="Heading4"/>
        <w:jc w:val="left"/>
        <w:rPr>
          <w:lang w:eastAsia="ja-JP"/>
        </w:rPr>
      </w:pPr>
      <w:bookmarkStart w:id="884" w:name="_Toc172210266"/>
      <w:r w:rsidRPr="00261C59">
        <w:rPr>
          <w:lang w:eastAsia="ja-JP"/>
        </w:rPr>
        <w:t>Cost-shifting</w:t>
      </w:r>
      <w:bookmarkEnd w:id="884"/>
    </w:p>
    <w:p w14:paraId="15E86A98" w14:textId="77777777" w:rsidR="00F62C4A" w:rsidRPr="00261C59" w:rsidRDefault="00F62C4A" w:rsidP="003D2F22">
      <w:pPr>
        <w:keepLines/>
        <w:numPr>
          <w:ilvl w:val="0"/>
          <w:numId w:val="17"/>
        </w:numPr>
        <w:spacing w:after="240" w:line="260" w:lineRule="exact"/>
        <w:jc w:val="left"/>
        <w:rPr>
          <w:rFonts w:ascii="Calibri" w:hAnsi="Calibri" w:cs="Calibri"/>
          <w:sz w:val="24"/>
          <w:szCs w:val="24"/>
        </w:rPr>
      </w:pPr>
      <w:r w:rsidRPr="00261C59">
        <w:rPr>
          <w:rFonts w:ascii="Calibri" w:hAnsi="Calibri"/>
          <w:sz w:val="24"/>
          <w:szCs w:val="24"/>
        </w:rPr>
        <w:t>Any Party to this Addendum may make submissions to the IHACPA requesting it advise whether another Party has transferred costs in a manner which is contrary to the intent of this Addendum.</w:t>
      </w:r>
    </w:p>
    <w:p w14:paraId="104E0098"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sz w:val="24"/>
          <w:szCs w:val="24"/>
        </w:rPr>
        <w:t>The IHACPA will provide the other Party a copy of the submission and request a responding submission to be provided within 60 days. The IHACPA will provide this response to the initiating Party.</w:t>
      </w:r>
    </w:p>
    <w:p w14:paraId="1B79839D"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sz w:val="24"/>
          <w:szCs w:val="24"/>
        </w:rPr>
        <w:t>The IHACPA will then assess the submissions, consult further with affected Parties and publicly release its assessment should it consider that cost-shifting has occurred.</w:t>
      </w:r>
    </w:p>
    <w:p w14:paraId="1FBAE0F3" w14:textId="77777777" w:rsidR="00F62C4A" w:rsidRPr="00261C59" w:rsidRDefault="00F62C4A" w:rsidP="00E00508">
      <w:pPr>
        <w:keepLines/>
        <w:numPr>
          <w:ilvl w:val="0"/>
          <w:numId w:val="17"/>
        </w:numPr>
        <w:spacing w:after="240" w:line="260" w:lineRule="exact"/>
        <w:jc w:val="left"/>
        <w:rPr>
          <w:rFonts w:ascii="Calibri" w:hAnsi="Calibri" w:cs="Calibri"/>
          <w:sz w:val="24"/>
          <w:szCs w:val="24"/>
        </w:rPr>
      </w:pPr>
      <w:r w:rsidRPr="00261C59">
        <w:rPr>
          <w:rFonts w:ascii="Calibri" w:hAnsi="Calibri"/>
          <w:sz w:val="24"/>
          <w:szCs w:val="24"/>
        </w:rPr>
        <w:t>Should the IHACPA identify anomalies in service volumes or other data which suggest that services have been transferred from the community to public hospitals, the IHACPA will analyse those services and provide a report to HMM. In performing the analysis, the IHACPA will consult with the relevant State, LHN, PHN, Aboriginal and Torres Strait Islander stakeholders (as set out in Schedule B), and other stakeholders.</w:t>
      </w:r>
    </w:p>
    <w:p w14:paraId="5F54859E"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sz w:val="24"/>
          <w:szCs w:val="24"/>
        </w:rPr>
        <w:t>Following an appropriate consultation period, the IHACPA may determine that those specific services provided by that hospital have been transferred for the dominant purpose of making that service eligible for Commonwealth funding and those services will not be eligible for Commonwealth funding.</w:t>
      </w:r>
    </w:p>
    <w:p w14:paraId="4896F935" w14:textId="60259651" w:rsidR="00F62C4A" w:rsidRPr="00261C59" w:rsidRDefault="00F62C4A" w:rsidP="004728D9">
      <w:pPr>
        <w:numPr>
          <w:ilvl w:val="0"/>
          <w:numId w:val="17"/>
        </w:numPr>
        <w:spacing w:after="240" w:line="260" w:lineRule="exact"/>
        <w:jc w:val="left"/>
        <w:rPr>
          <w:rFonts w:ascii="Calibri" w:hAnsi="Calibri" w:cs="Calibri"/>
          <w:color w:val="000000"/>
          <w:sz w:val="24"/>
          <w:szCs w:val="24"/>
        </w:rPr>
      </w:pPr>
      <w:r w:rsidRPr="00261C59">
        <w:rPr>
          <w:rFonts w:ascii="Calibri" w:hAnsi="Calibri" w:cs="Calibri"/>
          <w:color w:val="000000" w:themeColor="text1"/>
          <w:sz w:val="24"/>
          <w:szCs w:val="24"/>
        </w:rPr>
        <w:t xml:space="preserve">Any information provided through consultation under clause </w:t>
      </w:r>
      <w:r w:rsidRPr="00261C59">
        <w:rPr>
          <w:rFonts w:ascii="Calibri" w:hAnsi="Calibri"/>
          <w:color w:val="000000" w:themeColor="text1"/>
          <w:sz w:val="24"/>
        </w:rPr>
        <w:t>I</w:t>
      </w:r>
      <w:r w:rsidR="00BC6B57" w:rsidRPr="00261C59">
        <w:rPr>
          <w:rFonts w:ascii="Calibri" w:hAnsi="Calibri"/>
          <w:color w:val="000000" w:themeColor="text1"/>
          <w:sz w:val="24"/>
        </w:rPr>
        <w:t>42</w:t>
      </w:r>
      <w:r w:rsidRPr="00261C59">
        <w:rPr>
          <w:rFonts w:ascii="Calibri" w:hAnsi="Calibri" w:cs="Calibri"/>
          <w:color w:val="000000" w:themeColor="text1"/>
          <w:sz w:val="24"/>
          <w:szCs w:val="24"/>
        </w:rPr>
        <w:t xml:space="preserve"> by a Party to IHACPA can only be used to resolve the matter in relation to which the information was provided. </w:t>
      </w:r>
    </w:p>
    <w:p w14:paraId="62E334ED" w14:textId="77777777" w:rsidR="00F62C4A" w:rsidRPr="00261C59" w:rsidRDefault="00F62C4A" w:rsidP="002E5D9D">
      <w:pPr>
        <w:pStyle w:val="Heading4"/>
        <w:jc w:val="left"/>
        <w:rPr>
          <w:lang w:eastAsia="ja-JP"/>
        </w:rPr>
      </w:pPr>
      <w:r w:rsidRPr="00261C59">
        <w:rPr>
          <w:lang w:eastAsia="ja-JP"/>
        </w:rPr>
        <w:t xml:space="preserve">Governance </w:t>
      </w:r>
    </w:p>
    <w:p w14:paraId="41725DA9"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IHACPA comprises an independent board and chief executive officer. The ongoing costs of the IHACPA will continue to be met by the Commonwealth. </w:t>
      </w:r>
    </w:p>
    <w:p w14:paraId="5B7FF602"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In seeking to make an appointment to the position of the IHACPA CEO, the IHACPA Board will consult with the Parties.</w:t>
      </w:r>
    </w:p>
    <w:p w14:paraId="570D8DDB" w14:textId="77777777" w:rsidR="00F62C4A" w:rsidRPr="00261C59" w:rsidRDefault="00F62C4A" w:rsidP="002E5D9D">
      <w:pPr>
        <w:pStyle w:val="Heading4"/>
        <w:jc w:val="left"/>
        <w:rPr>
          <w:lang w:eastAsia="ja-JP"/>
        </w:rPr>
      </w:pPr>
      <w:r w:rsidRPr="00261C59">
        <w:rPr>
          <w:lang w:eastAsia="ja-JP"/>
        </w:rPr>
        <w:t>Consultation</w:t>
      </w:r>
    </w:p>
    <w:p w14:paraId="3E07F050" w14:textId="479FAB9F"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Pursuant to clauses I12 and I2</w:t>
      </w:r>
      <w:r w:rsidR="00230BCE" w:rsidRPr="00261C59">
        <w:rPr>
          <w:rFonts w:ascii="Calibri" w:hAnsi="Calibri" w:cs="Calibri"/>
          <w:sz w:val="24"/>
          <w:szCs w:val="24"/>
        </w:rPr>
        <w:t>7</w:t>
      </w:r>
      <w:r w:rsidRPr="00261C59">
        <w:rPr>
          <w:rFonts w:ascii="Calibri" w:hAnsi="Calibri" w:cs="Calibri"/>
          <w:sz w:val="24"/>
          <w:szCs w:val="24"/>
        </w:rPr>
        <w:t>, the IHACPA seek guidance and consult in relation to the national funding model. Escalation of issues will be resolved in line with clauses I23</w:t>
      </w:r>
      <w:r w:rsidR="00D2573B">
        <w:rPr>
          <w:rFonts w:ascii="Calibri" w:hAnsi="Calibri" w:cs="Calibri"/>
          <w:sz w:val="24"/>
          <w:szCs w:val="24"/>
        </w:rPr>
        <w:t xml:space="preserve"> to</w:t>
      </w:r>
      <w:r w:rsidR="00E345AA">
        <w:rPr>
          <w:rFonts w:ascii="Calibri" w:hAnsi="Calibri" w:cs="Calibri"/>
          <w:sz w:val="24"/>
          <w:szCs w:val="24"/>
        </w:rPr>
        <w:t xml:space="preserve"> </w:t>
      </w:r>
      <w:r w:rsidRPr="00261C59">
        <w:rPr>
          <w:rFonts w:ascii="Calibri" w:hAnsi="Calibri" w:cs="Calibri"/>
          <w:sz w:val="24"/>
          <w:szCs w:val="24"/>
        </w:rPr>
        <w:t>I25, where a dispute is raised on funding matters, or I15</w:t>
      </w:r>
      <w:r w:rsidR="00E345AA">
        <w:rPr>
          <w:rFonts w:ascii="Calibri" w:hAnsi="Calibri" w:cs="Calibri"/>
          <w:sz w:val="24"/>
          <w:szCs w:val="24"/>
        </w:rPr>
        <w:t xml:space="preserve"> to </w:t>
      </w:r>
      <w:r w:rsidRPr="00261C59">
        <w:rPr>
          <w:rFonts w:ascii="Calibri" w:hAnsi="Calibri" w:cs="Calibri"/>
          <w:sz w:val="24"/>
          <w:szCs w:val="24"/>
        </w:rPr>
        <w:t xml:space="preserve">I16 generally. </w:t>
      </w:r>
    </w:p>
    <w:p w14:paraId="519AFA2A" w14:textId="77777777" w:rsidR="00F62C4A" w:rsidRPr="00261C59" w:rsidRDefault="00F62C4A" w:rsidP="004728D9">
      <w:pPr>
        <w:numPr>
          <w:ilvl w:val="0"/>
          <w:numId w:val="17"/>
        </w:numPr>
        <w:spacing w:after="240" w:line="260" w:lineRule="exact"/>
        <w:jc w:val="left"/>
        <w:rPr>
          <w:rFonts w:ascii="Calibri" w:hAnsi="Calibri"/>
          <w:sz w:val="24"/>
          <w:szCs w:val="24"/>
        </w:rPr>
      </w:pPr>
      <w:r w:rsidRPr="00261C59">
        <w:rPr>
          <w:rFonts w:ascii="Calibri" w:hAnsi="Calibri"/>
          <w:sz w:val="24"/>
          <w:szCs w:val="24"/>
        </w:rPr>
        <w:t xml:space="preserve">In line with clause </w:t>
      </w:r>
      <w:r w:rsidRPr="00261C59">
        <w:rPr>
          <w:rFonts w:ascii="Calibri" w:hAnsi="Calibri"/>
          <w:sz w:val="24"/>
        </w:rPr>
        <w:t>I20</w:t>
      </w:r>
      <w:r w:rsidRPr="00261C59">
        <w:rPr>
          <w:rFonts w:ascii="Calibri" w:hAnsi="Calibri"/>
          <w:sz w:val="24"/>
          <w:szCs w:val="24"/>
        </w:rPr>
        <w:t xml:space="preserve">, the IHACPA must provide a Statement of Impact to Parties when material changes or significant transitions are proposed to the national funding model, including changes that will have a major impact on any one Party or materially redistribute activity between service streams. </w:t>
      </w:r>
    </w:p>
    <w:p w14:paraId="417BF393" w14:textId="77777777" w:rsidR="00F62C4A" w:rsidRPr="00261C59" w:rsidRDefault="00F62C4A" w:rsidP="004728D9">
      <w:pPr>
        <w:numPr>
          <w:ilvl w:val="0"/>
          <w:numId w:val="17"/>
        </w:numPr>
        <w:spacing w:after="240" w:line="260" w:lineRule="exact"/>
        <w:jc w:val="left"/>
        <w:rPr>
          <w:rFonts w:ascii="Calibri" w:hAnsi="Calibri"/>
          <w:sz w:val="24"/>
          <w:szCs w:val="24"/>
        </w:rPr>
      </w:pPr>
      <w:r w:rsidRPr="00261C59">
        <w:rPr>
          <w:rFonts w:ascii="Calibri" w:hAnsi="Calibri"/>
          <w:sz w:val="24"/>
          <w:szCs w:val="24"/>
        </w:rPr>
        <w:t xml:space="preserve">The Statement of Impact must be timely in relation to the matter raised and: </w:t>
      </w:r>
    </w:p>
    <w:p w14:paraId="4B3C31D5" w14:textId="46FA406D" w:rsidR="00F62C4A" w:rsidRPr="00261C59" w:rsidRDefault="00F62C4A" w:rsidP="004728D9">
      <w:pPr>
        <w:numPr>
          <w:ilvl w:val="1"/>
          <w:numId w:val="207"/>
        </w:numPr>
        <w:spacing w:after="240" w:line="260" w:lineRule="exact"/>
        <w:jc w:val="left"/>
        <w:rPr>
          <w:rFonts w:ascii="Calibri" w:hAnsi="Calibri"/>
          <w:sz w:val="24"/>
          <w:szCs w:val="24"/>
        </w:rPr>
      </w:pPr>
      <w:r w:rsidRPr="00261C59">
        <w:rPr>
          <w:rFonts w:ascii="Calibri" w:hAnsi="Calibri"/>
          <w:sz w:val="24"/>
          <w:szCs w:val="24"/>
        </w:rPr>
        <w:t>include a clear set of objectives that identifies why intervention or change is needed and benefits of the changed approach</w:t>
      </w:r>
    </w:p>
    <w:p w14:paraId="5F5093A4" w14:textId="098667DF" w:rsidR="00F62C4A" w:rsidRPr="00261C59" w:rsidRDefault="00F62C4A" w:rsidP="004728D9">
      <w:pPr>
        <w:numPr>
          <w:ilvl w:val="1"/>
          <w:numId w:val="207"/>
        </w:numPr>
        <w:spacing w:after="240" w:line="260" w:lineRule="exact"/>
        <w:jc w:val="left"/>
        <w:rPr>
          <w:rFonts w:ascii="Calibri" w:hAnsi="Calibri"/>
          <w:sz w:val="24"/>
          <w:szCs w:val="24"/>
        </w:rPr>
      </w:pPr>
      <w:r w:rsidRPr="00261C59">
        <w:rPr>
          <w:rFonts w:ascii="Calibri" w:hAnsi="Calibri"/>
          <w:sz w:val="24"/>
          <w:szCs w:val="24"/>
        </w:rPr>
        <w:t>include a risk assessment of the proposed changes or adjustments</w:t>
      </w:r>
    </w:p>
    <w:p w14:paraId="313CDD8F" w14:textId="044B9A6D" w:rsidR="00F62C4A" w:rsidRPr="00261C59" w:rsidRDefault="00F62C4A" w:rsidP="004728D9">
      <w:pPr>
        <w:numPr>
          <w:ilvl w:val="1"/>
          <w:numId w:val="207"/>
        </w:numPr>
        <w:spacing w:after="240" w:line="260" w:lineRule="exact"/>
        <w:jc w:val="left"/>
        <w:rPr>
          <w:rFonts w:ascii="Calibri" w:hAnsi="Calibri"/>
          <w:sz w:val="24"/>
          <w:szCs w:val="24"/>
        </w:rPr>
      </w:pPr>
      <w:r w:rsidRPr="00261C59">
        <w:rPr>
          <w:rFonts w:ascii="Calibri" w:hAnsi="Calibri"/>
          <w:sz w:val="24"/>
          <w:szCs w:val="24"/>
        </w:rPr>
        <w:t>outline appropriate transition arrangements</w:t>
      </w:r>
    </w:p>
    <w:p w14:paraId="070C8EC5" w14:textId="636FF4DA" w:rsidR="00F62C4A" w:rsidRPr="00261C59" w:rsidRDefault="00F62C4A" w:rsidP="004728D9">
      <w:pPr>
        <w:numPr>
          <w:ilvl w:val="1"/>
          <w:numId w:val="207"/>
        </w:numPr>
        <w:spacing w:after="240" w:line="260" w:lineRule="exact"/>
        <w:jc w:val="left"/>
        <w:rPr>
          <w:rFonts w:ascii="Calibri" w:hAnsi="Calibri"/>
          <w:sz w:val="24"/>
          <w:szCs w:val="24"/>
        </w:rPr>
      </w:pPr>
      <w:r w:rsidRPr="00261C59">
        <w:rPr>
          <w:rFonts w:ascii="Calibri" w:hAnsi="Calibri"/>
          <w:sz w:val="24"/>
          <w:szCs w:val="24"/>
        </w:rPr>
        <w:t>be informed by consultation with the Parties</w:t>
      </w:r>
    </w:p>
    <w:p w14:paraId="07CDCA8D" w14:textId="77777777" w:rsidR="00F62C4A" w:rsidRPr="00261C59" w:rsidRDefault="00F62C4A" w:rsidP="004728D9">
      <w:pPr>
        <w:numPr>
          <w:ilvl w:val="1"/>
          <w:numId w:val="207"/>
        </w:numPr>
        <w:spacing w:after="240" w:line="260" w:lineRule="exact"/>
        <w:jc w:val="left"/>
        <w:rPr>
          <w:rFonts w:ascii="Calibri" w:hAnsi="Calibri"/>
          <w:sz w:val="24"/>
          <w:szCs w:val="24"/>
        </w:rPr>
      </w:pPr>
      <w:r w:rsidRPr="00261C59">
        <w:rPr>
          <w:rFonts w:ascii="Calibri" w:hAnsi="Calibri"/>
          <w:sz w:val="24"/>
          <w:szCs w:val="24"/>
        </w:rPr>
        <w:t xml:space="preserve">have input from the Administrator. </w:t>
      </w:r>
    </w:p>
    <w:p w14:paraId="7CE0326D"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color w:val="000000" w:themeColor="text1"/>
          <w:sz w:val="24"/>
          <w:szCs w:val="24"/>
        </w:rPr>
        <w:t>The</w:t>
      </w:r>
      <w:r w:rsidRPr="00261C59">
        <w:rPr>
          <w:rFonts w:ascii="Calibri" w:hAnsi="Calibri" w:cs="Calibri"/>
          <w:sz w:val="24"/>
          <w:szCs w:val="24"/>
        </w:rPr>
        <w:t xml:space="preserve"> IHACPA will provide HCEF with a clear understanding of IHACPA’s processes, governance arrangements and its committees on national funding model matters. </w:t>
      </w:r>
    </w:p>
    <w:p w14:paraId="3FFB6A12" w14:textId="77777777" w:rsidR="00F62C4A" w:rsidRPr="00261C59" w:rsidRDefault="00F62C4A" w:rsidP="002E5D9D">
      <w:pPr>
        <w:pStyle w:val="Heading2"/>
        <w:keepLines w:val="0"/>
        <w:widowControl/>
        <w:adjustRightInd/>
        <w:spacing w:before="180" w:after="120"/>
        <w:jc w:val="left"/>
        <w:textAlignment w:val="auto"/>
        <w:rPr>
          <w:rFonts w:ascii="Corbel" w:hAnsi="Corbel" w:cs="Arial"/>
          <w:color w:val="3D4B67"/>
          <w:sz w:val="28"/>
          <w:szCs w:val="28"/>
        </w:rPr>
      </w:pPr>
      <w:bookmarkStart w:id="885" w:name="_Toc170217707"/>
      <w:bookmarkStart w:id="886" w:name="_Toc173937792"/>
      <w:bookmarkStart w:id="887" w:name="_Toc201674069"/>
      <w:bookmarkStart w:id="888" w:name="_Toc210833708"/>
      <w:bookmarkStart w:id="889" w:name="_Toc214456608"/>
      <w:bookmarkStart w:id="890" w:name="_Toc221088093"/>
      <w:r w:rsidRPr="00261C59">
        <w:rPr>
          <w:rFonts w:ascii="Corbel" w:hAnsi="Corbel" w:cs="Arial"/>
          <w:color w:val="3D4B67"/>
          <w:sz w:val="28"/>
          <w:szCs w:val="28"/>
        </w:rPr>
        <w:t>Administrator of the National Health Funding Pool</w:t>
      </w:r>
      <w:bookmarkEnd w:id="885"/>
      <w:bookmarkEnd w:id="886"/>
      <w:bookmarkEnd w:id="887"/>
      <w:bookmarkEnd w:id="888"/>
      <w:bookmarkEnd w:id="889"/>
      <w:bookmarkEnd w:id="890"/>
    </w:p>
    <w:p w14:paraId="2B2112BA" w14:textId="77777777" w:rsidR="00F62C4A" w:rsidRPr="00261C59" w:rsidRDefault="00F62C4A" w:rsidP="002E5D9D">
      <w:pPr>
        <w:pStyle w:val="Heading4"/>
        <w:jc w:val="left"/>
        <w:rPr>
          <w:lang w:eastAsia="ja-JP"/>
        </w:rPr>
      </w:pPr>
      <w:r w:rsidRPr="00261C59">
        <w:rPr>
          <w:lang w:eastAsia="ja-JP"/>
        </w:rPr>
        <w:t>Functions</w:t>
      </w:r>
    </w:p>
    <w:p w14:paraId="2ED82969" w14:textId="77777777" w:rsidR="00F62C4A" w:rsidRPr="00261C59" w:rsidRDefault="00F62C4A" w:rsidP="004728D9">
      <w:pPr>
        <w:numPr>
          <w:ilvl w:val="0"/>
          <w:numId w:val="17"/>
        </w:numPr>
        <w:spacing w:after="240" w:line="260" w:lineRule="exact"/>
        <w:jc w:val="left"/>
        <w:rPr>
          <w:rFonts w:ascii="Calibri" w:hAnsi="Calibri" w:cs="Calibri"/>
          <w:color w:val="000000"/>
          <w:sz w:val="24"/>
          <w:szCs w:val="24"/>
        </w:rPr>
      </w:pPr>
      <w:r w:rsidRPr="00261C59">
        <w:rPr>
          <w:rFonts w:ascii="Calibri" w:hAnsi="Calibri" w:cs="Calibri"/>
          <w:color w:val="000000" w:themeColor="text1"/>
          <w:sz w:val="24"/>
          <w:szCs w:val="24"/>
        </w:rPr>
        <w:t xml:space="preserve">The Administrator of the National Health Funding Pool (the Administrator) is an independent statutory office holder, distinct from Commonwealth and State and Territory governments and established by the </w:t>
      </w:r>
      <w:r w:rsidRPr="00261C59">
        <w:rPr>
          <w:rFonts w:ascii="Calibri" w:hAnsi="Calibri" w:cs="Calibri"/>
          <w:i/>
          <w:iCs/>
          <w:color w:val="000000" w:themeColor="text1"/>
          <w:sz w:val="24"/>
          <w:szCs w:val="24"/>
        </w:rPr>
        <w:t>National Health Reform Act 2011</w:t>
      </w:r>
      <w:r w:rsidRPr="00261C59">
        <w:rPr>
          <w:rFonts w:ascii="Calibri" w:hAnsi="Calibri" w:cs="Calibri"/>
          <w:color w:val="000000" w:themeColor="text1"/>
          <w:sz w:val="24"/>
          <w:szCs w:val="24"/>
        </w:rPr>
        <w:t xml:space="preserve">. </w:t>
      </w:r>
    </w:p>
    <w:p w14:paraId="35B971B2" w14:textId="77777777" w:rsidR="00F62C4A" w:rsidRPr="00261C59" w:rsidRDefault="00F62C4A" w:rsidP="004728D9">
      <w:pPr>
        <w:numPr>
          <w:ilvl w:val="0"/>
          <w:numId w:val="17"/>
        </w:numPr>
        <w:spacing w:after="240" w:line="260" w:lineRule="exact"/>
        <w:jc w:val="left"/>
        <w:rPr>
          <w:rFonts w:ascii="Calibri" w:hAnsi="Calibri" w:cs="Calibri"/>
          <w:color w:val="000000"/>
          <w:sz w:val="24"/>
          <w:szCs w:val="24"/>
        </w:rPr>
      </w:pPr>
      <w:r w:rsidRPr="00261C59">
        <w:rPr>
          <w:rFonts w:ascii="Calibri" w:hAnsi="Calibri" w:cs="Calibri"/>
          <w:color w:val="000000" w:themeColor="text1"/>
          <w:sz w:val="24"/>
          <w:szCs w:val="24"/>
        </w:rPr>
        <w:t>The functions of the Administrator are to:</w:t>
      </w:r>
    </w:p>
    <w:p w14:paraId="264B7742" w14:textId="56B6905D" w:rsidR="00F62C4A" w:rsidRPr="00261C59" w:rsidRDefault="00F62C4A" w:rsidP="004728D9">
      <w:pPr>
        <w:numPr>
          <w:ilvl w:val="1"/>
          <w:numId w:val="208"/>
        </w:numPr>
        <w:spacing w:after="240" w:line="260" w:lineRule="exact"/>
        <w:jc w:val="left"/>
        <w:rPr>
          <w:rFonts w:ascii="Calibri" w:hAnsi="Calibri"/>
          <w:sz w:val="24"/>
          <w:szCs w:val="24"/>
        </w:rPr>
      </w:pPr>
      <w:r w:rsidRPr="00261C59">
        <w:rPr>
          <w:rFonts w:ascii="Calibri" w:hAnsi="Calibri"/>
          <w:sz w:val="24"/>
          <w:szCs w:val="24"/>
        </w:rPr>
        <w:t>calculate and advise the Commonwealth Treasurer of the Commonwealth contribution to the National Health Funding Pool under this Addendum</w:t>
      </w:r>
    </w:p>
    <w:p w14:paraId="382ADE4B" w14:textId="34CD1CD9" w:rsidR="00F62C4A" w:rsidRPr="00261C59" w:rsidRDefault="00F62C4A" w:rsidP="004728D9">
      <w:pPr>
        <w:numPr>
          <w:ilvl w:val="1"/>
          <w:numId w:val="208"/>
        </w:numPr>
        <w:spacing w:after="240" w:line="260" w:lineRule="exact"/>
        <w:jc w:val="left"/>
        <w:rPr>
          <w:rFonts w:ascii="Calibri" w:hAnsi="Calibri"/>
          <w:sz w:val="24"/>
          <w:szCs w:val="24"/>
        </w:rPr>
      </w:pPr>
      <w:r w:rsidRPr="00261C59">
        <w:rPr>
          <w:rFonts w:ascii="Calibri" w:hAnsi="Calibri"/>
          <w:sz w:val="24"/>
          <w:szCs w:val="24"/>
        </w:rPr>
        <w:t>reconcile estimated and actual volume of service delivery, informed by the results of data checking activities conducted by other bodies on behalf of the Administrator, and incorporate the result of this reconciliation into the calculation of the Commonwealth contribution to the National Health Funding Pool</w:t>
      </w:r>
    </w:p>
    <w:p w14:paraId="5F9EA961" w14:textId="3BD87B3D" w:rsidR="00F62C4A" w:rsidRPr="00261C59" w:rsidRDefault="00F62C4A" w:rsidP="004728D9">
      <w:pPr>
        <w:numPr>
          <w:ilvl w:val="1"/>
          <w:numId w:val="208"/>
        </w:numPr>
        <w:spacing w:after="240" w:line="260" w:lineRule="exact"/>
        <w:jc w:val="left"/>
        <w:rPr>
          <w:rFonts w:ascii="Calibri" w:hAnsi="Calibri"/>
          <w:sz w:val="24"/>
          <w:szCs w:val="24"/>
        </w:rPr>
      </w:pPr>
      <w:r w:rsidRPr="00261C59">
        <w:rPr>
          <w:rFonts w:ascii="Calibri" w:hAnsi="Calibri"/>
          <w:sz w:val="24"/>
          <w:szCs w:val="24"/>
        </w:rPr>
        <w:t>maintain accounts (established by each State) with the Reserve Bank of Australia in the name of each State, collectively known as the National Health Funding Pool</w:t>
      </w:r>
    </w:p>
    <w:p w14:paraId="64D4C8AD" w14:textId="7AFC94CB" w:rsidR="00F62C4A" w:rsidRPr="00261C59" w:rsidRDefault="00F62C4A" w:rsidP="004728D9">
      <w:pPr>
        <w:numPr>
          <w:ilvl w:val="1"/>
          <w:numId w:val="208"/>
        </w:numPr>
        <w:spacing w:after="240" w:line="260" w:lineRule="exact"/>
        <w:jc w:val="left"/>
        <w:rPr>
          <w:rFonts w:ascii="Calibri" w:hAnsi="Calibri"/>
          <w:sz w:val="24"/>
          <w:szCs w:val="24"/>
        </w:rPr>
      </w:pPr>
      <w:r w:rsidRPr="00261C59">
        <w:rPr>
          <w:rFonts w:ascii="Calibri" w:hAnsi="Calibri"/>
          <w:sz w:val="24"/>
          <w:szCs w:val="24"/>
        </w:rPr>
        <w:t>oversee payment of Commonwealth funding determined under this Addendum into State accounts established at the Reserve Bank of Australia under State legislation</w:t>
      </w:r>
    </w:p>
    <w:p w14:paraId="522377E7" w14:textId="46E53472" w:rsidR="00F62C4A" w:rsidRPr="00261C59" w:rsidRDefault="00F62C4A" w:rsidP="004728D9">
      <w:pPr>
        <w:numPr>
          <w:ilvl w:val="1"/>
          <w:numId w:val="208"/>
        </w:numPr>
        <w:spacing w:after="240" w:line="260" w:lineRule="exact"/>
        <w:jc w:val="left"/>
        <w:rPr>
          <w:rFonts w:ascii="Calibri" w:hAnsi="Calibri"/>
          <w:sz w:val="24"/>
          <w:szCs w:val="24"/>
        </w:rPr>
      </w:pPr>
      <w:r w:rsidRPr="00261C59">
        <w:rPr>
          <w:rFonts w:ascii="Calibri" w:hAnsi="Calibri"/>
          <w:sz w:val="24"/>
          <w:szCs w:val="24"/>
        </w:rPr>
        <w:t>oversee payments into Pool accounts of State funding provided under this Addendum</w:t>
      </w:r>
    </w:p>
    <w:p w14:paraId="35BBB7B4" w14:textId="777D9DB6" w:rsidR="00F62C4A" w:rsidRPr="00261C59" w:rsidRDefault="00F62C4A" w:rsidP="004728D9">
      <w:pPr>
        <w:numPr>
          <w:ilvl w:val="1"/>
          <w:numId w:val="208"/>
        </w:numPr>
        <w:spacing w:after="240" w:line="260" w:lineRule="exact"/>
        <w:jc w:val="left"/>
        <w:rPr>
          <w:rFonts w:ascii="Calibri" w:hAnsi="Calibri"/>
          <w:sz w:val="24"/>
          <w:szCs w:val="24"/>
        </w:rPr>
      </w:pPr>
      <w:r w:rsidRPr="00261C59">
        <w:rPr>
          <w:rFonts w:ascii="Calibri" w:hAnsi="Calibri"/>
          <w:sz w:val="24"/>
          <w:szCs w:val="24"/>
        </w:rPr>
        <w:t>pay State funding from Pool accounts to Local Hospital Networks and other recipients in accordance with the direction of the relevant State Health Minister</w:t>
      </w:r>
    </w:p>
    <w:p w14:paraId="7D83459C" w14:textId="77777777" w:rsidR="00F62C4A" w:rsidRPr="00261C59" w:rsidRDefault="00F62C4A" w:rsidP="004728D9">
      <w:pPr>
        <w:numPr>
          <w:ilvl w:val="1"/>
          <w:numId w:val="208"/>
        </w:numPr>
        <w:spacing w:after="240" w:line="260" w:lineRule="exact"/>
        <w:jc w:val="left"/>
        <w:rPr>
          <w:rFonts w:ascii="Calibri" w:hAnsi="Calibri"/>
          <w:sz w:val="24"/>
          <w:szCs w:val="24"/>
        </w:rPr>
      </w:pPr>
      <w:r w:rsidRPr="00261C59">
        <w:rPr>
          <w:rFonts w:ascii="Calibri" w:hAnsi="Calibri"/>
          <w:sz w:val="24"/>
          <w:szCs w:val="24"/>
        </w:rPr>
        <w:t xml:space="preserve">publicly report on: </w:t>
      </w:r>
    </w:p>
    <w:p w14:paraId="30126DFB" w14:textId="29185684" w:rsidR="00F62C4A" w:rsidRPr="00261C59" w:rsidRDefault="00F62C4A" w:rsidP="004728D9">
      <w:pPr>
        <w:numPr>
          <w:ilvl w:val="2"/>
          <w:numId w:val="208"/>
        </w:numPr>
        <w:spacing w:after="240" w:line="260" w:lineRule="exact"/>
        <w:jc w:val="left"/>
        <w:rPr>
          <w:rFonts w:ascii="Calibri" w:hAnsi="Calibri" w:cs="Calibri"/>
          <w:sz w:val="24"/>
          <w:szCs w:val="24"/>
        </w:rPr>
      </w:pPr>
      <w:r w:rsidRPr="00261C59">
        <w:rPr>
          <w:rFonts w:ascii="Calibri" w:hAnsi="Calibri" w:cs="Calibri"/>
          <w:sz w:val="24"/>
          <w:szCs w:val="24"/>
        </w:rPr>
        <w:t>funding received into the National Health Funding Pool from the Commonwealth</w:t>
      </w:r>
    </w:p>
    <w:p w14:paraId="4E11F6D9" w14:textId="25BBC21F" w:rsidR="00F62C4A" w:rsidRPr="00261C59" w:rsidRDefault="00F62C4A" w:rsidP="004728D9">
      <w:pPr>
        <w:numPr>
          <w:ilvl w:val="2"/>
          <w:numId w:val="208"/>
        </w:numPr>
        <w:spacing w:after="240" w:line="260" w:lineRule="exact"/>
        <w:jc w:val="left"/>
        <w:rPr>
          <w:rFonts w:ascii="Calibri" w:hAnsi="Calibri" w:cs="Calibri"/>
          <w:sz w:val="24"/>
          <w:szCs w:val="24"/>
        </w:rPr>
      </w:pPr>
      <w:r w:rsidRPr="00261C59">
        <w:rPr>
          <w:rFonts w:ascii="Calibri" w:hAnsi="Calibri" w:cs="Calibri"/>
          <w:sz w:val="24"/>
          <w:szCs w:val="24"/>
        </w:rPr>
        <w:t>funding received into the National Health Funding Pool from the States</w:t>
      </w:r>
    </w:p>
    <w:p w14:paraId="2237B34F" w14:textId="2F12F3A2" w:rsidR="00F62C4A" w:rsidRPr="00261C59" w:rsidRDefault="00F62C4A" w:rsidP="004728D9">
      <w:pPr>
        <w:numPr>
          <w:ilvl w:val="2"/>
          <w:numId w:val="208"/>
        </w:numPr>
        <w:spacing w:after="240" w:line="260" w:lineRule="exact"/>
        <w:jc w:val="left"/>
        <w:rPr>
          <w:rFonts w:ascii="Calibri" w:hAnsi="Calibri" w:cs="Calibri"/>
          <w:sz w:val="24"/>
          <w:szCs w:val="24"/>
        </w:rPr>
      </w:pPr>
      <w:r w:rsidRPr="00261C59">
        <w:rPr>
          <w:rFonts w:ascii="Calibri" w:hAnsi="Calibri" w:cs="Calibri"/>
          <w:sz w:val="24"/>
          <w:szCs w:val="24"/>
        </w:rPr>
        <w:t>payments made from the National Health Funding Pool to Local Hospital Networks and State managed funds, and the basis on which these payments are made</w:t>
      </w:r>
    </w:p>
    <w:p w14:paraId="4DE69452" w14:textId="05195590" w:rsidR="00F62C4A" w:rsidRPr="00261C59" w:rsidRDefault="00F62C4A" w:rsidP="004728D9">
      <w:pPr>
        <w:numPr>
          <w:ilvl w:val="2"/>
          <w:numId w:val="208"/>
        </w:numPr>
        <w:spacing w:after="240" w:line="260" w:lineRule="exact"/>
        <w:jc w:val="left"/>
        <w:rPr>
          <w:rFonts w:ascii="Calibri" w:hAnsi="Calibri" w:cs="Calibri"/>
          <w:sz w:val="24"/>
          <w:szCs w:val="24"/>
        </w:rPr>
      </w:pPr>
      <w:r w:rsidRPr="00261C59">
        <w:rPr>
          <w:rFonts w:ascii="Calibri" w:hAnsi="Calibri" w:cs="Calibri"/>
          <w:sz w:val="24"/>
          <w:szCs w:val="24"/>
        </w:rPr>
        <w:t>payments made, and the basis on which these payments are made, from the State managed funds to Local Hospital Networks and other providers, based on information provided by States</w:t>
      </w:r>
    </w:p>
    <w:p w14:paraId="21D4F797" w14:textId="37F42245" w:rsidR="00F62C4A" w:rsidRPr="00261C59" w:rsidRDefault="00F62C4A" w:rsidP="004728D9">
      <w:pPr>
        <w:numPr>
          <w:ilvl w:val="2"/>
          <w:numId w:val="208"/>
        </w:numPr>
        <w:spacing w:after="240" w:line="260" w:lineRule="exact"/>
        <w:jc w:val="left"/>
        <w:rPr>
          <w:rFonts w:ascii="Calibri" w:hAnsi="Calibri" w:cs="Calibri"/>
          <w:sz w:val="24"/>
          <w:szCs w:val="24"/>
        </w:rPr>
      </w:pPr>
      <w:r w:rsidRPr="00261C59">
        <w:rPr>
          <w:rFonts w:ascii="Calibri" w:hAnsi="Calibri" w:cs="Calibri"/>
          <w:sz w:val="24"/>
          <w:szCs w:val="24"/>
        </w:rPr>
        <w:t>payments made by the Commonwealth through the National Health Funding Pool to the States for the provision of public health services</w:t>
      </w:r>
    </w:p>
    <w:p w14:paraId="022B219E" w14:textId="2BD38A4F" w:rsidR="00F62C4A" w:rsidRPr="00261C59" w:rsidRDefault="00F62C4A" w:rsidP="004728D9">
      <w:pPr>
        <w:numPr>
          <w:ilvl w:val="2"/>
          <w:numId w:val="208"/>
        </w:numPr>
        <w:spacing w:after="240" w:line="260" w:lineRule="exact"/>
        <w:jc w:val="left"/>
        <w:rPr>
          <w:rFonts w:ascii="Calibri" w:hAnsi="Calibri" w:cs="Calibri"/>
          <w:sz w:val="24"/>
          <w:szCs w:val="24"/>
        </w:rPr>
      </w:pPr>
      <w:r w:rsidRPr="00261C59">
        <w:rPr>
          <w:rFonts w:ascii="Calibri" w:hAnsi="Calibri" w:cs="Calibri"/>
          <w:sz w:val="24"/>
          <w:szCs w:val="24"/>
        </w:rPr>
        <w:t>top-up payments made by the Commonwealth through the National Health Funding Pool to the States</w:t>
      </w:r>
    </w:p>
    <w:p w14:paraId="4BB561FF" w14:textId="6D6DB8FC" w:rsidR="00F62C4A" w:rsidRPr="00261C59" w:rsidRDefault="00F62C4A" w:rsidP="004728D9">
      <w:pPr>
        <w:numPr>
          <w:ilvl w:val="2"/>
          <w:numId w:val="208"/>
        </w:numPr>
        <w:spacing w:after="240" w:line="260" w:lineRule="exact"/>
        <w:jc w:val="left"/>
        <w:rPr>
          <w:rFonts w:ascii="Calibri" w:hAnsi="Calibri" w:cs="Calibri"/>
          <w:sz w:val="24"/>
          <w:szCs w:val="24"/>
        </w:rPr>
      </w:pPr>
      <w:r w:rsidRPr="00261C59">
        <w:rPr>
          <w:rFonts w:ascii="Calibri" w:hAnsi="Calibri" w:cs="Calibri"/>
          <w:sz w:val="24"/>
          <w:szCs w:val="24"/>
        </w:rPr>
        <w:t>the volume of public hospital services provided by Local Hospital Networks</w:t>
      </w:r>
    </w:p>
    <w:p w14:paraId="087D44F1" w14:textId="0BB26711" w:rsidR="00F62C4A" w:rsidRPr="00261C59" w:rsidRDefault="00F62C4A" w:rsidP="004728D9">
      <w:pPr>
        <w:numPr>
          <w:ilvl w:val="2"/>
          <w:numId w:val="208"/>
        </w:numPr>
        <w:spacing w:after="240" w:line="260" w:lineRule="exact"/>
        <w:jc w:val="left"/>
        <w:rPr>
          <w:rFonts w:ascii="Calibri" w:hAnsi="Calibri" w:cs="Calibri"/>
          <w:sz w:val="24"/>
          <w:szCs w:val="24"/>
        </w:rPr>
      </w:pPr>
      <w:r w:rsidRPr="00261C59">
        <w:rPr>
          <w:rFonts w:ascii="Calibri" w:hAnsi="Calibri" w:cs="Calibri"/>
          <w:sz w:val="24"/>
          <w:szCs w:val="24"/>
        </w:rPr>
        <w:t>the delivery of other public hospital functions funded by the National Health Funding Pool and State managed funds</w:t>
      </w:r>
    </w:p>
    <w:p w14:paraId="48CA78BD" w14:textId="255E95E8" w:rsidR="00F62C4A" w:rsidRPr="00261C59" w:rsidRDefault="00F62C4A" w:rsidP="004728D9">
      <w:pPr>
        <w:numPr>
          <w:ilvl w:val="1"/>
          <w:numId w:val="208"/>
        </w:numPr>
        <w:spacing w:after="240" w:line="260" w:lineRule="exact"/>
        <w:jc w:val="left"/>
        <w:rPr>
          <w:rFonts w:ascii="Calibri" w:hAnsi="Calibri"/>
          <w:sz w:val="24"/>
          <w:szCs w:val="24"/>
        </w:rPr>
      </w:pPr>
      <w:r w:rsidRPr="00261C59">
        <w:rPr>
          <w:rFonts w:ascii="Calibri" w:hAnsi="Calibri"/>
          <w:sz w:val="24"/>
          <w:szCs w:val="24"/>
        </w:rPr>
        <w:t>calculate</w:t>
      </w:r>
      <w:r w:rsidRPr="00261C59" w:rsidDel="00242B6D">
        <w:rPr>
          <w:rFonts w:ascii="Calibri" w:hAnsi="Calibri"/>
          <w:sz w:val="24"/>
          <w:szCs w:val="24"/>
        </w:rPr>
        <w:t xml:space="preserve"> </w:t>
      </w:r>
      <w:r w:rsidRPr="00261C59">
        <w:rPr>
          <w:rFonts w:ascii="Calibri" w:hAnsi="Calibri"/>
          <w:sz w:val="24"/>
          <w:szCs w:val="24"/>
        </w:rPr>
        <w:t>Commonwealth Funding Entitlement of States with reported Sentinel Events</w:t>
      </w:r>
    </w:p>
    <w:p w14:paraId="1A86C46D" w14:textId="38A9B096" w:rsidR="00F62C4A" w:rsidRPr="00261C59" w:rsidRDefault="00F62C4A" w:rsidP="004728D9">
      <w:pPr>
        <w:numPr>
          <w:ilvl w:val="1"/>
          <w:numId w:val="208"/>
        </w:numPr>
        <w:spacing w:after="240" w:line="260" w:lineRule="exact"/>
        <w:jc w:val="left"/>
        <w:rPr>
          <w:rFonts w:ascii="Calibri" w:hAnsi="Calibri"/>
          <w:sz w:val="24"/>
          <w:szCs w:val="24"/>
        </w:rPr>
      </w:pPr>
      <w:r w:rsidRPr="00261C59">
        <w:rPr>
          <w:rFonts w:ascii="Calibri" w:hAnsi="Calibri"/>
          <w:sz w:val="24"/>
          <w:szCs w:val="24"/>
        </w:rPr>
        <w:t>calculate Safety and Quality Adjustments to be made using the pricing and funding models nominated for this purpose by the Parties</w:t>
      </w:r>
    </w:p>
    <w:p w14:paraId="55F0EB7B" w14:textId="60E83305" w:rsidR="00F62C4A" w:rsidRPr="00261C59" w:rsidRDefault="00F62C4A" w:rsidP="00E00508">
      <w:pPr>
        <w:keepLines/>
        <w:numPr>
          <w:ilvl w:val="1"/>
          <w:numId w:val="208"/>
        </w:numPr>
        <w:spacing w:after="240" w:line="260" w:lineRule="exact"/>
        <w:jc w:val="left"/>
        <w:rPr>
          <w:rFonts w:ascii="Calibri" w:hAnsi="Calibri"/>
          <w:sz w:val="24"/>
          <w:szCs w:val="24"/>
        </w:rPr>
      </w:pPr>
      <w:r w:rsidRPr="00261C59">
        <w:rPr>
          <w:rFonts w:ascii="Calibri" w:hAnsi="Calibri"/>
          <w:sz w:val="24"/>
          <w:szCs w:val="24"/>
        </w:rPr>
        <w:t>calculate value-based pricing adjustments to be made using the pricing and funding models nominated for this purpose by the Parties, where these pricing adjustments are to be introduced from 1 July 2029</w:t>
      </w:r>
    </w:p>
    <w:p w14:paraId="1686C1E6" w14:textId="77777777" w:rsidR="00F62C4A" w:rsidRPr="00261C59" w:rsidRDefault="00F62C4A" w:rsidP="004728D9">
      <w:pPr>
        <w:numPr>
          <w:ilvl w:val="1"/>
          <w:numId w:val="208"/>
        </w:numPr>
        <w:spacing w:after="240" w:line="260" w:lineRule="exact"/>
        <w:jc w:val="left"/>
        <w:rPr>
          <w:rFonts w:ascii="Calibri" w:hAnsi="Calibri"/>
          <w:sz w:val="24"/>
          <w:szCs w:val="24"/>
        </w:rPr>
      </w:pPr>
      <w:r w:rsidRPr="00261C59">
        <w:rPr>
          <w:rFonts w:ascii="Calibri" w:hAnsi="Calibri"/>
          <w:sz w:val="24"/>
          <w:szCs w:val="24"/>
        </w:rPr>
        <w:t xml:space="preserve">advise the Commonwealth Treasurer of (h), (i) and (j) during annual reconciliation. </w:t>
      </w:r>
    </w:p>
    <w:p w14:paraId="4AC963D4" w14:textId="77777777" w:rsidR="00F62C4A" w:rsidRPr="00261C59" w:rsidRDefault="00F62C4A" w:rsidP="002E5D9D">
      <w:pPr>
        <w:pStyle w:val="Heading4"/>
        <w:jc w:val="left"/>
        <w:rPr>
          <w:lang w:eastAsia="ja-JP"/>
        </w:rPr>
      </w:pPr>
      <w:r w:rsidRPr="00261C59">
        <w:rPr>
          <w:lang w:eastAsia="ja-JP"/>
        </w:rPr>
        <w:t>Governance</w:t>
      </w:r>
    </w:p>
    <w:p w14:paraId="2B079C9A"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As per the </w:t>
      </w:r>
      <w:r w:rsidRPr="00261C59">
        <w:rPr>
          <w:rFonts w:ascii="Calibri" w:hAnsi="Calibri" w:cs="Calibri"/>
          <w:i/>
          <w:iCs/>
          <w:sz w:val="24"/>
          <w:szCs w:val="24"/>
        </w:rPr>
        <w:t>National Health Reform Act 2011</w:t>
      </w:r>
      <w:r w:rsidRPr="00261C59">
        <w:rPr>
          <w:rFonts w:ascii="Calibri" w:hAnsi="Calibri" w:cs="Calibri"/>
          <w:sz w:val="24"/>
          <w:szCs w:val="24"/>
        </w:rPr>
        <w:t>, the Chief Executive Officer of the National Health Funding Body is appointed by the Commonwealth Minister.</w:t>
      </w:r>
    </w:p>
    <w:p w14:paraId="5E0F7897"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In seeking to make an appointment to this position, the Commonwealth Minister will consult with the States.</w:t>
      </w:r>
    </w:p>
    <w:p w14:paraId="12921EFC" w14:textId="77777777" w:rsidR="00F62C4A" w:rsidRPr="00261C59" w:rsidRDefault="00F62C4A" w:rsidP="002E5D9D">
      <w:pPr>
        <w:pStyle w:val="Heading4"/>
        <w:jc w:val="left"/>
        <w:rPr>
          <w:lang w:eastAsia="ja-JP"/>
        </w:rPr>
      </w:pPr>
      <w:r w:rsidRPr="00261C59">
        <w:rPr>
          <w:lang w:eastAsia="ja-JP"/>
        </w:rPr>
        <w:t>Consultation</w:t>
      </w:r>
    </w:p>
    <w:p w14:paraId="0ABB7321"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Administrator must have regard to the intent and objectives of the </w:t>
      </w:r>
      <w:r w:rsidRPr="00261C59">
        <w:rPr>
          <w:rFonts w:ascii="Calibri" w:hAnsi="Calibri"/>
          <w:sz w:val="24"/>
          <w:szCs w:val="24"/>
        </w:rPr>
        <w:t>Addendum</w:t>
      </w:r>
      <w:r w:rsidRPr="00261C59">
        <w:rPr>
          <w:rFonts w:ascii="Calibri" w:hAnsi="Calibri" w:cs="Calibri"/>
          <w:sz w:val="24"/>
          <w:szCs w:val="24"/>
        </w:rPr>
        <w:t xml:space="preserve"> and avoid unnecessary administrative burden for Parties when considering implementation.</w:t>
      </w:r>
    </w:p>
    <w:p w14:paraId="543C7AB3" w14:textId="77777777" w:rsidR="00F62C4A" w:rsidRPr="00261C59" w:rsidRDefault="00F62C4A" w:rsidP="004728D9">
      <w:pPr>
        <w:widowControl/>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The Administrator will provide HCEF with a clear understanding of the Administrator’s processes, governance arrangements, its committees on national health funding matters and changes to these arrangements.</w:t>
      </w:r>
    </w:p>
    <w:p w14:paraId="2F3C0A55" w14:textId="77777777" w:rsidR="00F62C4A" w:rsidRPr="00261C59" w:rsidRDefault="00F62C4A" w:rsidP="002E5D9D">
      <w:pPr>
        <w:pStyle w:val="Heading2"/>
        <w:keepLines w:val="0"/>
        <w:widowControl/>
        <w:adjustRightInd/>
        <w:spacing w:before="180" w:after="120"/>
        <w:jc w:val="left"/>
        <w:textAlignment w:val="auto"/>
        <w:rPr>
          <w:rFonts w:ascii="Corbel" w:hAnsi="Corbel" w:cs="Arial"/>
          <w:color w:val="3D4B67"/>
          <w:sz w:val="28"/>
          <w:szCs w:val="28"/>
        </w:rPr>
      </w:pPr>
      <w:bookmarkStart w:id="891" w:name="_Toc170217708"/>
      <w:bookmarkStart w:id="892" w:name="_Toc173937793"/>
      <w:bookmarkStart w:id="893" w:name="_Toc201674070"/>
      <w:bookmarkStart w:id="894" w:name="_Toc210833709"/>
      <w:bookmarkStart w:id="895" w:name="_Toc214456609"/>
      <w:bookmarkStart w:id="896" w:name="_Toc221088094"/>
      <w:r w:rsidRPr="00261C59">
        <w:rPr>
          <w:rFonts w:ascii="Corbel" w:hAnsi="Corbel" w:cs="Arial"/>
          <w:color w:val="3D4B67"/>
          <w:sz w:val="28"/>
          <w:szCs w:val="28"/>
        </w:rPr>
        <w:t>Australian Commission on Safety and Quality in Health Care</w:t>
      </w:r>
      <w:bookmarkEnd w:id="891"/>
      <w:bookmarkEnd w:id="892"/>
      <w:bookmarkEnd w:id="893"/>
      <w:bookmarkEnd w:id="894"/>
      <w:bookmarkEnd w:id="895"/>
      <w:bookmarkEnd w:id="896"/>
    </w:p>
    <w:p w14:paraId="2D652889" w14:textId="77777777" w:rsidR="00F62C4A" w:rsidRPr="00261C59" w:rsidRDefault="00F62C4A" w:rsidP="002E5D9D">
      <w:pPr>
        <w:pStyle w:val="Heading4"/>
        <w:jc w:val="left"/>
        <w:rPr>
          <w:lang w:eastAsia="ja-JP"/>
        </w:rPr>
      </w:pPr>
      <w:r w:rsidRPr="00261C59">
        <w:rPr>
          <w:lang w:eastAsia="ja-JP"/>
        </w:rPr>
        <w:t>Functions</w:t>
      </w:r>
    </w:p>
    <w:p w14:paraId="1CD0D874"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Australian Commission on Safety and Quality in Health Care (ACSQHC) is a Commonwealth statutory authority established under the </w:t>
      </w:r>
      <w:r w:rsidRPr="00261C59">
        <w:rPr>
          <w:rFonts w:ascii="Calibri" w:hAnsi="Calibri" w:cs="Calibri"/>
          <w:i/>
          <w:iCs/>
          <w:sz w:val="24"/>
          <w:szCs w:val="24"/>
        </w:rPr>
        <w:t>National Health Reform Act 2011</w:t>
      </w:r>
      <w:r w:rsidRPr="00261C59">
        <w:rPr>
          <w:rFonts w:ascii="Calibri" w:hAnsi="Calibri" w:cs="Calibri"/>
          <w:sz w:val="24"/>
          <w:szCs w:val="24"/>
        </w:rPr>
        <w:t xml:space="preserve">.  The ACSQHC is a body corporate subject to the </w:t>
      </w:r>
      <w:r w:rsidRPr="00261C59">
        <w:rPr>
          <w:rFonts w:ascii="Calibri" w:hAnsi="Calibri"/>
          <w:i/>
          <w:sz w:val="24"/>
        </w:rPr>
        <w:t>Public Governance, Performance and Accountability Act 2013</w:t>
      </w:r>
      <w:r w:rsidRPr="00261C59">
        <w:rPr>
          <w:rFonts w:ascii="Calibri" w:hAnsi="Calibri" w:cs="Calibri"/>
          <w:sz w:val="24"/>
          <w:szCs w:val="24"/>
        </w:rPr>
        <w:t xml:space="preserve"> (PGPA Act).</w:t>
      </w:r>
    </w:p>
    <w:p w14:paraId="130C94F6" w14:textId="77777777" w:rsidR="00F62C4A" w:rsidRPr="00261C59" w:rsidRDefault="00F62C4A" w:rsidP="004728D9">
      <w:pPr>
        <w:numPr>
          <w:ilvl w:val="1"/>
          <w:numId w:val="17"/>
        </w:numPr>
        <w:spacing w:after="240" w:line="260" w:lineRule="exact"/>
        <w:jc w:val="left"/>
        <w:rPr>
          <w:rFonts w:ascii="Calibri" w:eastAsia="Calibri" w:hAnsi="Calibri" w:cs="Calibri"/>
          <w:sz w:val="24"/>
          <w:szCs w:val="24"/>
        </w:rPr>
      </w:pPr>
      <w:r w:rsidRPr="00261C59" w:rsidDel="001C361A">
        <w:rPr>
          <w:rFonts w:ascii="Calibri" w:eastAsia="Calibri" w:hAnsi="Calibri" w:cs="Calibri"/>
          <w:sz w:val="24"/>
          <w:szCs w:val="24"/>
        </w:rPr>
        <w:t xml:space="preserve">The ACSQHC is jointly funded by the Parties through a Multi-Party Funding Agreement (MPFA). Activities required of the ACSQHC through this Addendum, and as prescribed under </w:t>
      </w:r>
      <w:r w:rsidRPr="00261C59" w:rsidDel="001C361A">
        <w:rPr>
          <w:rFonts w:ascii="Calibri" w:eastAsia="Calibri" w:hAnsi="Calibri" w:cs="Calibri"/>
          <w:i/>
          <w:iCs/>
          <w:sz w:val="24"/>
          <w:szCs w:val="24"/>
        </w:rPr>
        <w:t>the National Health Reform Act 2011</w:t>
      </w:r>
      <w:r w:rsidRPr="00261C59" w:rsidDel="001C361A">
        <w:rPr>
          <w:rFonts w:ascii="Calibri" w:eastAsia="Calibri" w:hAnsi="Calibri" w:cs="Calibri"/>
          <w:sz w:val="24"/>
          <w:szCs w:val="24"/>
        </w:rPr>
        <w:t>, as set out in the Commission’s Work Plan, will be appropriately funded by the Parties through the MPFA.</w:t>
      </w:r>
    </w:p>
    <w:p w14:paraId="64BB6B65" w14:textId="77777777" w:rsidR="00F62C4A" w:rsidRPr="00261C59" w:rsidRDefault="00F62C4A" w:rsidP="003D2F22">
      <w:pPr>
        <w:keepNext/>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role of the ACSQHC is to: </w:t>
      </w:r>
    </w:p>
    <w:p w14:paraId="0513ED38" w14:textId="45EF136F" w:rsidR="00F62C4A" w:rsidRPr="00261C59" w:rsidRDefault="00F62C4A" w:rsidP="003D2F22">
      <w:pPr>
        <w:keepLines/>
        <w:numPr>
          <w:ilvl w:val="1"/>
          <w:numId w:val="209"/>
        </w:numPr>
        <w:spacing w:after="240" w:line="260" w:lineRule="exact"/>
        <w:jc w:val="left"/>
        <w:rPr>
          <w:rFonts w:ascii="Calibri" w:hAnsi="Calibri"/>
          <w:sz w:val="24"/>
          <w:szCs w:val="24"/>
        </w:rPr>
      </w:pPr>
      <w:r w:rsidRPr="00261C59">
        <w:rPr>
          <w:rFonts w:ascii="Calibri" w:hAnsi="Calibri"/>
          <w:sz w:val="24"/>
          <w:szCs w:val="24"/>
        </w:rPr>
        <w:t>lead and coordinate improvements to the safety and quality of health care in Australia, across care sectors, by identifying issues and policy directions and recommending priorities for action</w:t>
      </w:r>
    </w:p>
    <w:p w14:paraId="6880238E" w14:textId="7FC95659" w:rsidR="00F62C4A" w:rsidRPr="00261C59" w:rsidRDefault="00F62C4A" w:rsidP="004728D9">
      <w:pPr>
        <w:numPr>
          <w:ilvl w:val="1"/>
          <w:numId w:val="209"/>
        </w:numPr>
        <w:spacing w:after="240" w:line="260" w:lineRule="exact"/>
        <w:jc w:val="left"/>
        <w:rPr>
          <w:rFonts w:ascii="Calibri" w:hAnsi="Calibri"/>
          <w:sz w:val="24"/>
          <w:szCs w:val="24"/>
        </w:rPr>
      </w:pPr>
      <w:r w:rsidRPr="00261C59">
        <w:rPr>
          <w:rFonts w:ascii="Calibri" w:hAnsi="Calibri"/>
          <w:sz w:val="24"/>
          <w:szCs w:val="24"/>
        </w:rPr>
        <w:t>recommend, formulate, promote, monitor and report on: standards, guidelines, best practice care, clinical pathways and indicators related to healthcare safety and quality matters, including through the national model accreditation scheme</w:t>
      </w:r>
    </w:p>
    <w:p w14:paraId="16E0F0DB" w14:textId="6A028A0B" w:rsidR="00F62C4A" w:rsidRPr="00261C59" w:rsidRDefault="00F62C4A" w:rsidP="004728D9">
      <w:pPr>
        <w:numPr>
          <w:ilvl w:val="1"/>
          <w:numId w:val="209"/>
        </w:numPr>
        <w:spacing w:after="240" w:line="260" w:lineRule="exact"/>
        <w:jc w:val="left"/>
        <w:rPr>
          <w:rFonts w:ascii="Calibri" w:hAnsi="Calibri"/>
          <w:sz w:val="24"/>
          <w:szCs w:val="24"/>
        </w:rPr>
      </w:pPr>
      <w:r w:rsidRPr="00261C59">
        <w:rPr>
          <w:rFonts w:ascii="Calibri" w:hAnsi="Calibri"/>
          <w:sz w:val="24"/>
          <w:szCs w:val="24"/>
        </w:rPr>
        <w:t>disseminate knowledge and advocate for health system safety and quality</w:t>
      </w:r>
    </w:p>
    <w:p w14:paraId="4E84B51C" w14:textId="7E76AF9E" w:rsidR="00F62C4A" w:rsidRPr="00261C59" w:rsidRDefault="00F62C4A" w:rsidP="004728D9">
      <w:pPr>
        <w:numPr>
          <w:ilvl w:val="1"/>
          <w:numId w:val="209"/>
        </w:numPr>
        <w:spacing w:after="240" w:line="260" w:lineRule="exact"/>
        <w:jc w:val="left"/>
        <w:rPr>
          <w:rFonts w:ascii="Calibri" w:hAnsi="Calibri"/>
          <w:sz w:val="24"/>
          <w:szCs w:val="24"/>
        </w:rPr>
      </w:pPr>
      <w:r w:rsidRPr="00261C59">
        <w:rPr>
          <w:rFonts w:ascii="Calibri" w:hAnsi="Calibri"/>
          <w:sz w:val="24"/>
          <w:szCs w:val="24"/>
        </w:rPr>
        <w:t>report publicly on the safety and quality of the health system including performance against national standards</w:t>
      </w:r>
    </w:p>
    <w:p w14:paraId="5424CBD0" w14:textId="2A3C489F" w:rsidR="00F62C4A" w:rsidRPr="00261C59" w:rsidRDefault="00F62C4A" w:rsidP="004728D9">
      <w:pPr>
        <w:numPr>
          <w:ilvl w:val="1"/>
          <w:numId w:val="209"/>
        </w:numPr>
        <w:spacing w:after="240" w:line="260" w:lineRule="exact"/>
        <w:jc w:val="left"/>
        <w:rPr>
          <w:rFonts w:ascii="Calibri" w:hAnsi="Calibri"/>
          <w:sz w:val="24"/>
          <w:szCs w:val="24"/>
        </w:rPr>
      </w:pPr>
      <w:r w:rsidRPr="00261C59">
        <w:rPr>
          <w:rFonts w:ascii="Calibri" w:hAnsi="Calibri"/>
          <w:sz w:val="24"/>
          <w:szCs w:val="24"/>
        </w:rPr>
        <w:t>recommend national data sets for monitoring, assessing and reporting the safety and quality of the health care system, working within current multilateral governmental arrangements for data development, standards, collection and reporting</w:t>
      </w:r>
    </w:p>
    <w:p w14:paraId="22ABBFD5" w14:textId="65BAB7ED" w:rsidR="00F62C4A" w:rsidRPr="00261C59" w:rsidRDefault="00F62C4A" w:rsidP="004728D9">
      <w:pPr>
        <w:numPr>
          <w:ilvl w:val="1"/>
          <w:numId w:val="209"/>
        </w:numPr>
        <w:spacing w:after="240" w:line="260" w:lineRule="exact"/>
        <w:jc w:val="left"/>
        <w:rPr>
          <w:rFonts w:ascii="Calibri" w:hAnsi="Calibri"/>
          <w:sz w:val="24"/>
          <w:szCs w:val="24"/>
        </w:rPr>
      </w:pPr>
      <w:r w:rsidRPr="00261C59">
        <w:rPr>
          <w:rFonts w:ascii="Calibri" w:hAnsi="Calibri"/>
          <w:sz w:val="24"/>
          <w:szCs w:val="24"/>
        </w:rPr>
        <w:t>provide strategic advice to HMM on best practice thinking to drive improved system quality, including implementation strategies</w:t>
      </w:r>
    </w:p>
    <w:p w14:paraId="31EB1CFB" w14:textId="77777777" w:rsidR="00F62C4A" w:rsidRPr="00261C59" w:rsidRDefault="00F62C4A" w:rsidP="004728D9">
      <w:pPr>
        <w:numPr>
          <w:ilvl w:val="1"/>
          <w:numId w:val="209"/>
        </w:numPr>
        <w:spacing w:after="240" w:line="260" w:lineRule="exact"/>
        <w:jc w:val="left"/>
        <w:rPr>
          <w:rFonts w:ascii="Calibri" w:hAnsi="Calibri"/>
          <w:sz w:val="24"/>
          <w:szCs w:val="24"/>
        </w:rPr>
      </w:pPr>
      <w:r w:rsidRPr="00261C59">
        <w:rPr>
          <w:rFonts w:ascii="Calibri" w:hAnsi="Calibri"/>
          <w:sz w:val="24"/>
          <w:szCs w:val="24"/>
        </w:rPr>
        <w:t>recommend nationally agreed standards for a safe, high performing health system.</w:t>
      </w:r>
    </w:p>
    <w:p w14:paraId="23C3916B" w14:textId="77777777" w:rsidR="00F62C4A" w:rsidRPr="00261C59" w:rsidRDefault="00F62C4A" w:rsidP="004728D9">
      <w:pPr>
        <w:keepNext/>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ACSQHC will: </w:t>
      </w:r>
    </w:p>
    <w:p w14:paraId="20AE6D3F" w14:textId="571A396F" w:rsidR="00F62C4A" w:rsidRPr="00261C59" w:rsidRDefault="00F62C4A" w:rsidP="004728D9">
      <w:pPr>
        <w:numPr>
          <w:ilvl w:val="1"/>
          <w:numId w:val="210"/>
        </w:numPr>
        <w:spacing w:after="240" w:line="260" w:lineRule="exact"/>
        <w:jc w:val="left"/>
        <w:rPr>
          <w:rFonts w:ascii="Calibri" w:hAnsi="Calibri"/>
          <w:sz w:val="24"/>
          <w:szCs w:val="24"/>
        </w:rPr>
      </w:pPr>
      <w:r w:rsidRPr="00261C59">
        <w:rPr>
          <w:rFonts w:ascii="Calibri" w:hAnsi="Calibri"/>
          <w:sz w:val="24"/>
          <w:szCs w:val="24"/>
        </w:rPr>
        <w:t>formulate and monitor national safety and quality standards and work with clinicians to identify best practice clinical care, to ensure the appropriateness of services being delivered in a particular health care setting</w:t>
      </w:r>
    </w:p>
    <w:p w14:paraId="5EA1C647" w14:textId="77777777" w:rsidR="00F62C4A" w:rsidRPr="00261C59" w:rsidRDefault="00F62C4A" w:rsidP="004728D9">
      <w:pPr>
        <w:numPr>
          <w:ilvl w:val="1"/>
          <w:numId w:val="210"/>
        </w:numPr>
        <w:spacing w:after="240" w:line="260" w:lineRule="exact"/>
        <w:jc w:val="left"/>
        <w:rPr>
          <w:rFonts w:ascii="Calibri" w:hAnsi="Calibri"/>
          <w:sz w:val="24"/>
          <w:szCs w:val="24"/>
        </w:rPr>
      </w:pPr>
      <w:r w:rsidRPr="00261C59">
        <w:rPr>
          <w:rFonts w:ascii="Calibri" w:hAnsi="Calibri"/>
          <w:sz w:val="24"/>
          <w:szCs w:val="24"/>
        </w:rPr>
        <w:t xml:space="preserve">provide advice to HMM about which of the standards are suitable for implementation as national clinical standards or clinical pathways. </w:t>
      </w:r>
    </w:p>
    <w:p w14:paraId="7F407B10"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The ACSQHC does not have regulatory functions.</w:t>
      </w:r>
    </w:p>
    <w:p w14:paraId="67BE1CE1" w14:textId="77B3967F" w:rsidR="00F62C4A" w:rsidRPr="00261C59" w:rsidRDefault="00F62C4A" w:rsidP="004728D9">
      <w:pPr>
        <w:widowControl/>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ACSQHC will develop, in consultation with the Parties, the first agreed versions of a low-value and high-value care lists by 30 June 2028, as per the governance structures outlined in </w:t>
      </w:r>
      <w:r w:rsidRPr="00261C59">
        <w:rPr>
          <w:rFonts w:ascii="Calibri" w:hAnsi="Calibri"/>
          <w:sz w:val="24"/>
        </w:rPr>
        <w:t>A</w:t>
      </w:r>
      <w:r w:rsidR="00CC454A" w:rsidRPr="00261C59">
        <w:rPr>
          <w:rFonts w:ascii="Calibri" w:hAnsi="Calibri"/>
          <w:sz w:val="24"/>
        </w:rPr>
        <w:t>94</w:t>
      </w:r>
      <w:r w:rsidRPr="00261C59">
        <w:rPr>
          <w:rFonts w:ascii="Calibri" w:hAnsi="Calibri" w:cs="Calibri"/>
          <w:sz w:val="24"/>
          <w:szCs w:val="24"/>
        </w:rPr>
        <w:t xml:space="preserve"> and </w:t>
      </w:r>
      <w:r w:rsidR="00F67E03" w:rsidRPr="00261C59">
        <w:rPr>
          <w:rFonts w:ascii="Calibri" w:hAnsi="Calibri"/>
          <w:sz w:val="24"/>
        </w:rPr>
        <w:t>I67</w:t>
      </w:r>
      <w:r w:rsidRPr="00261C59">
        <w:rPr>
          <w:rFonts w:ascii="Calibri" w:hAnsi="Calibri"/>
          <w:sz w:val="24"/>
        </w:rPr>
        <w:t>.</w:t>
      </w:r>
      <w:r w:rsidRPr="00261C59">
        <w:rPr>
          <w:rFonts w:ascii="Calibri" w:hAnsi="Calibri" w:cs="Calibri"/>
          <w:sz w:val="24"/>
          <w:szCs w:val="24"/>
        </w:rPr>
        <w:t xml:space="preserve"> Parties agree to promptly provide any relevant input and advice, including relevant data, if requested, to support the ACSQHC to meet these deadlines.</w:t>
      </w:r>
    </w:p>
    <w:p w14:paraId="0366DE8D" w14:textId="77777777" w:rsidR="00F62C4A" w:rsidRPr="00261C59" w:rsidRDefault="00F62C4A" w:rsidP="004728D9">
      <w:pPr>
        <w:widowControl/>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ACSQHC will co-design Aboriginal and Torres Strait Islander safety and quality pricing measures with Aboriginal and Torres Strait Islander stakeholders, taking into consideration the nationally consistent cultural safety measures (as described in </w:t>
      </w:r>
      <w:r w:rsidRPr="00261C59">
        <w:rPr>
          <w:rFonts w:ascii="Calibri" w:hAnsi="Calibri"/>
          <w:sz w:val="24"/>
        </w:rPr>
        <w:t>Schedule B</w:t>
      </w:r>
      <w:r w:rsidRPr="00261C59">
        <w:rPr>
          <w:rFonts w:ascii="Calibri" w:hAnsi="Calibri" w:cs="Calibri"/>
          <w:sz w:val="24"/>
          <w:szCs w:val="24"/>
        </w:rPr>
        <w:t>). This work should occur after cultural safety measures have been in place for one year and be co-evaluated two years post-implementation.</w:t>
      </w:r>
    </w:p>
    <w:p w14:paraId="1C746F89"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In relation to the safety and quality reforms in this </w:t>
      </w:r>
      <w:r w:rsidRPr="00261C59">
        <w:rPr>
          <w:rFonts w:ascii="Calibri" w:hAnsi="Calibri"/>
          <w:sz w:val="24"/>
          <w:szCs w:val="24"/>
        </w:rPr>
        <w:t>Addendum</w:t>
      </w:r>
      <w:r w:rsidRPr="00261C59">
        <w:rPr>
          <w:rFonts w:ascii="Calibri" w:hAnsi="Calibri" w:cs="Calibri"/>
          <w:sz w:val="24"/>
          <w:szCs w:val="24"/>
        </w:rPr>
        <w:t>, the ACSQHC will:</w:t>
      </w:r>
    </w:p>
    <w:p w14:paraId="39E7A9F8" w14:textId="59A0DE14" w:rsidR="00F62C4A" w:rsidRPr="00261C59" w:rsidRDefault="00F62C4A" w:rsidP="004728D9">
      <w:pPr>
        <w:numPr>
          <w:ilvl w:val="1"/>
          <w:numId w:val="211"/>
        </w:numPr>
        <w:spacing w:after="240" w:line="260" w:lineRule="exact"/>
        <w:jc w:val="left"/>
        <w:rPr>
          <w:rFonts w:ascii="Calibri" w:hAnsi="Calibri"/>
          <w:sz w:val="24"/>
          <w:szCs w:val="24"/>
        </w:rPr>
      </w:pPr>
      <w:r w:rsidRPr="00261C59">
        <w:rPr>
          <w:rFonts w:ascii="Calibri" w:hAnsi="Calibri"/>
          <w:sz w:val="24"/>
          <w:szCs w:val="24"/>
        </w:rPr>
        <w:t>curate and maintain the Sentinel Events, HAC and AHR lists for the purposes of ensuring they remain robust and relevant for clinical improvement purposes, within its existing governance arrangements and in conjunction with IHACPA Technical Advisory Committee advice</w:t>
      </w:r>
    </w:p>
    <w:p w14:paraId="077068B6" w14:textId="1C1CCAFA" w:rsidR="00F62C4A" w:rsidRPr="00261C59" w:rsidRDefault="00F62C4A" w:rsidP="004728D9">
      <w:pPr>
        <w:numPr>
          <w:ilvl w:val="1"/>
          <w:numId w:val="211"/>
        </w:numPr>
        <w:spacing w:after="240" w:line="260" w:lineRule="exact"/>
        <w:jc w:val="left"/>
        <w:rPr>
          <w:rFonts w:ascii="Calibri" w:hAnsi="Calibri"/>
          <w:sz w:val="24"/>
          <w:szCs w:val="24"/>
        </w:rPr>
      </w:pPr>
      <w:r w:rsidRPr="00261C59">
        <w:rPr>
          <w:rFonts w:ascii="Calibri" w:hAnsi="Calibri"/>
          <w:sz w:val="24"/>
          <w:szCs w:val="24"/>
        </w:rPr>
        <w:t xml:space="preserve">develop and maintain new safety and quality reforms that arise out of the safety and quality review of clauses </w:t>
      </w:r>
      <w:r w:rsidR="00F61E12" w:rsidRPr="00261C59">
        <w:rPr>
          <w:rFonts w:ascii="Calibri" w:hAnsi="Calibri"/>
          <w:sz w:val="24"/>
          <w:szCs w:val="24"/>
        </w:rPr>
        <w:t>D51 to D55</w:t>
      </w:r>
    </w:p>
    <w:p w14:paraId="7E6DCAE1" w14:textId="36766F31" w:rsidR="00F62C4A" w:rsidRPr="00261C59" w:rsidRDefault="00F62C4A" w:rsidP="004728D9">
      <w:pPr>
        <w:numPr>
          <w:ilvl w:val="1"/>
          <w:numId w:val="211"/>
        </w:numPr>
        <w:spacing w:after="240" w:line="260" w:lineRule="exact"/>
        <w:jc w:val="left"/>
        <w:rPr>
          <w:rFonts w:ascii="Calibri" w:hAnsi="Calibri"/>
          <w:sz w:val="24"/>
          <w:szCs w:val="24"/>
        </w:rPr>
      </w:pPr>
      <w:r w:rsidRPr="00261C59">
        <w:rPr>
          <w:rFonts w:ascii="Calibri" w:hAnsi="Calibri"/>
          <w:sz w:val="24"/>
          <w:szCs w:val="24"/>
        </w:rPr>
        <w:t>maintain a Clinical Advisory Group (or groups, at the discretion of the ACSQHC) to advise on new and existing complications and conditions on the HAC and AHR lists, and new and existing events, procedures and pathways on the low-value care and high-value care lists. The Clinical Advisory Group(s) will have regard to the recommendations of specialty Clinical Panels established by the ACSQHC where necessary</w:t>
      </w:r>
    </w:p>
    <w:p w14:paraId="550D25DA" w14:textId="78946AC9" w:rsidR="00F62C4A" w:rsidRPr="00261C59" w:rsidRDefault="00F62C4A" w:rsidP="004728D9">
      <w:pPr>
        <w:numPr>
          <w:ilvl w:val="1"/>
          <w:numId w:val="211"/>
        </w:numPr>
        <w:spacing w:after="240" w:line="260" w:lineRule="exact"/>
        <w:jc w:val="left"/>
        <w:rPr>
          <w:rFonts w:ascii="Calibri" w:hAnsi="Calibri"/>
          <w:sz w:val="24"/>
          <w:szCs w:val="24"/>
        </w:rPr>
      </w:pPr>
      <w:r w:rsidRPr="00261C59">
        <w:rPr>
          <w:rFonts w:ascii="Calibri" w:hAnsi="Calibri"/>
          <w:sz w:val="24"/>
          <w:szCs w:val="24"/>
        </w:rPr>
        <w:t>consult with ACSQHC committees to ensure proposals forwarded to HCEF and HMM best represent matters that are supported by the relevant committees</w:t>
      </w:r>
    </w:p>
    <w:p w14:paraId="74720FCF" w14:textId="77777777" w:rsidR="00F62C4A" w:rsidRPr="00261C59" w:rsidRDefault="00F62C4A" w:rsidP="004728D9">
      <w:pPr>
        <w:numPr>
          <w:ilvl w:val="1"/>
          <w:numId w:val="211"/>
        </w:numPr>
        <w:spacing w:after="240" w:line="260" w:lineRule="exact"/>
        <w:jc w:val="left"/>
        <w:rPr>
          <w:rFonts w:ascii="Calibri" w:hAnsi="Calibri"/>
          <w:sz w:val="24"/>
          <w:szCs w:val="24"/>
        </w:rPr>
      </w:pPr>
      <w:r w:rsidRPr="00261C59">
        <w:rPr>
          <w:rFonts w:ascii="Calibri" w:hAnsi="Calibri"/>
          <w:sz w:val="24"/>
          <w:szCs w:val="24"/>
        </w:rPr>
        <w:t>advise on clinician engagement.</w:t>
      </w:r>
    </w:p>
    <w:p w14:paraId="5248A97A" w14:textId="615598AF" w:rsidR="00F62C4A" w:rsidRPr="00261C59" w:rsidRDefault="00F62C4A" w:rsidP="004728D9">
      <w:pPr>
        <w:widowControl/>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As required, ACSQHC will assist IHACPA in developing nationally consistent pricing and classification approaches for capitation or bundled services funded under the SMRF stream, by providing advice on:</w:t>
      </w:r>
    </w:p>
    <w:p w14:paraId="489A9745" w14:textId="226896D4" w:rsidR="00F62C4A" w:rsidRPr="00261C59" w:rsidRDefault="00F62C4A" w:rsidP="004728D9">
      <w:pPr>
        <w:numPr>
          <w:ilvl w:val="1"/>
          <w:numId w:val="212"/>
        </w:numPr>
        <w:spacing w:after="240" w:line="260" w:lineRule="exact"/>
        <w:jc w:val="left"/>
        <w:rPr>
          <w:rFonts w:ascii="Calibri" w:hAnsi="Calibri"/>
          <w:sz w:val="24"/>
          <w:szCs w:val="24"/>
        </w:rPr>
      </w:pPr>
      <w:r w:rsidRPr="00261C59">
        <w:rPr>
          <w:rFonts w:ascii="Calibri" w:hAnsi="Calibri"/>
          <w:sz w:val="24"/>
          <w:szCs w:val="24"/>
        </w:rPr>
        <w:t>appropriate risk adjustments</w:t>
      </w:r>
    </w:p>
    <w:p w14:paraId="6DAA05C2" w14:textId="216F06C1" w:rsidR="00F62C4A" w:rsidRPr="00261C59" w:rsidRDefault="00F62C4A" w:rsidP="004728D9">
      <w:pPr>
        <w:numPr>
          <w:ilvl w:val="1"/>
          <w:numId w:val="212"/>
        </w:numPr>
        <w:spacing w:after="240" w:line="260" w:lineRule="exact"/>
        <w:jc w:val="left"/>
        <w:rPr>
          <w:rFonts w:ascii="Calibri" w:hAnsi="Calibri"/>
          <w:sz w:val="24"/>
          <w:szCs w:val="24"/>
        </w:rPr>
      </w:pPr>
      <w:r w:rsidRPr="00261C59">
        <w:rPr>
          <w:rFonts w:ascii="Calibri" w:hAnsi="Calibri"/>
          <w:sz w:val="24"/>
          <w:szCs w:val="24"/>
        </w:rPr>
        <w:t>designing the clinical pathways, cohort eligibility, and models of care to be priced</w:t>
      </w:r>
    </w:p>
    <w:p w14:paraId="2EABDF8F" w14:textId="3B62D562" w:rsidR="00F62C4A" w:rsidRPr="00261C59" w:rsidRDefault="00F62C4A" w:rsidP="004728D9">
      <w:pPr>
        <w:numPr>
          <w:ilvl w:val="1"/>
          <w:numId w:val="212"/>
        </w:numPr>
        <w:spacing w:after="240" w:line="260" w:lineRule="exact"/>
        <w:jc w:val="left"/>
        <w:rPr>
          <w:rFonts w:ascii="Calibri" w:hAnsi="Calibri"/>
          <w:sz w:val="24"/>
          <w:szCs w:val="24"/>
        </w:rPr>
      </w:pPr>
      <w:r w:rsidRPr="00261C59">
        <w:rPr>
          <w:rFonts w:ascii="Calibri" w:hAnsi="Calibri"/>
          <w:sz w:val="24"/>
          <w:szCs w:val="24"/>
        </w:rPr>
        <w:t>designing and specifying interactions with safety and quality measures</w:t>
      </w:r>
    </w:p>
    <w:p w14:paraId="12AC4300" w14:textId="77777777" w:rsidR="00F62C4A" w:rsidRPr="00261C59" w:rsidRDefault="00F62C4A" w:rsidP="004728D9">
      <w:pPr>
        <w:numPr>
          <w:ilvl w:val="1"/>
          <w:numId w:val="212"/>
        </w:numPr>
        <w:spacing w:after="240" w:line="260" w:lineRule="exact"/>
        <w:jc w:val="left"/>
        <w:rPr>
          <w:rFonts w:ascii="Calibri" w:hAnsi="Calibri"/>
          <w:sz w:val="24"/>
          <w:szCs w:val="24"/>
        </w:rPr>
      </w:pPr>
      <w:r w:rsidRPr="00261C59">
        <w:rPr>
          <w:rFonts w:ascii="Calibri" w:hAnsi="Calibri"/>
          <w:sz w:val="24"/>
          <w:szCs w:val="24"/>
        </w:rPr>
        <w:t xml:space="preserve">interactions with outcomes-based payments or design of evidence-based pathways where appropriate.  </w:t>
      </w:r>
    </w:p>
    <w:p w14:paraId="75930680" w14:textId="403F8B3C" w:rsidR="00F62C4A" w:rsidRPr="00261C59" w:rsidRDefault="00F62C4A" w:rsidP="004728D9">
      <w:pPr>
        <w:widowControl/>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In line with clause </w:t>
      </w:r>
      <w:r w:rsidRPr="00261C59">
        <w:rPr>
          <w:rFonts w:ascii="Calibri" w:hAnsi="Calibri"/>
          <w:sz w:val="24"/>
        </w:rPr>
        <w:t>D</w:t>
      </w:r>
      <w:r w:rsidR="00E77384" w:rsidRPr="00261C59">
        <w:rPr>
          <w:rFonts w:ascii="Calibri" w:hAnsi="Calibri"/>
          <w:sz w:val="24"/>
        </w:rPr>
        <w:t>15</w:t>
      </w:r>
      <w:r w:rsidRPr="00261C59">
        <w:rPr>
          <w:rFonts w:ascii="Calibri" w:hAnsi="Calibri" w:cs="Calibri"/>
          <w:sz w:val="24"/>
          <w:szCs w:val="24"/>
        </w:rPr>
        <w:t>, ACSQHC will assist the Parties in providing advice and technical expertise to support designing, implementing, and evaluating projects to be funded through the SMRF stream. In doing this, the ACSQHC will work collaboratively with the Service Model and Funding Reform Collaboration and any nominating State that requests assistance, including providing advice on evidence-based pathways, and interactions of proposed innovations with safety and quality measures, as appropriate.</w:t>
      </w:r>
    </w:p>
    <w:p w14:paraId="246D62D9" w14:textId="60CD4AA5" w:rsidR="00F62C4A" w:rsidRPr="00261C59" w:rsidRDefault="00F62C4A" w:rsidP="004728D9">
      <w:pPr>
        <w:widowControl/>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The ACSQHC will assist in the development of the Performance Framework, particularly the safety and quality indicators (</w:t>
      </w:r>
      <w:r w:rsidRPr="00261C59">
        <w:rPr>
          <w:rFonts w:ascii="Calibri" w:hAnsi="Calibri"/>
          <w:sz w:val="24"/>
        </w:rPr>
        <w:t>see clause H1</w:t>
      </w:r>
      <w:r w:rsidR="00886A46" w:rsidRPr="00261C59">
        <w:rPr>
          <w:rFonts w:ascii="Calibri" w:hAnsi="Calibri"/>
          <w:sz w:val="24"/>
        </w:rPr>
        <w:t>7</w:t>
      </w:r>
      <w:r w:rsidRPr="00261C59">
        <w:rPr>
          <w:rFonts w:ascii="Calibri" w:hAnsi="Calibri" w:cs="Calibri"/>
          <w:sz w:val="24"/>
          <w:szCs w:val="24"/>
        </w:rPr>
        <w:t>). </w:t>
      </w:r>
    </w:p>
    <w:p w14:paraId="1375EC89" w14:textId="77777777" w:rsidR="00F62C4A" w:rsidRPr="00261C59" w:rsidRDefault="00F62C4A" w:rsidP="002E5D9D">
      <w:pPr>
        <w:pStyle w:val="Heading4"/>
        <w:jc w:val="left"/>
        <w:rPr>
          <w:lang w:eastAsia="ja-JP"/>
        </w:rPr>
      </w:pPr>
      <w:r w:rsidRPr="00261C59">
        <w:rPr>
          <w:lang w:eastAsia="ja-JP"/>
        </w:rPr>
        <w:t>Consultation</w:t>
      </w:r>
    </w:p>
    <w:p w14:paraId="2E00051C"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Parties expect that, in performing its functions, the ACSQHC will provide advice to HCEF and HMM on best practice evidence to drive quality improvement, including implementation strategies. In developing this advice, the ACSQHC will collaborate with Parties via its Interjurisdictional Committee(s) and through participation in setting strategic directions and planning (see </w:t>
      </w:r>
      <w:r w:rsidRPr="00261C59">
        <w:rPr>
          <w:rFonts w:ascii="Calibri" w:hAnsi="Calibri"/>
          <w:sz w:val="24"/>
        </w:rPr>
        <w:t>clause I8</w:t>
      </w:r>
      <w:r w:rsidRPr="00261C59">
        <w:rPr>
          <w:rFonts w:ascii="Calibri" w:hAnsi="Calibri" w:cs="Calibri"/>
          <w:sz w:val="24"/>
          <w:szCs w:val="24"/>
        </w:rPr>
        <w:t>).</w:t>
      </w:r>
    </w:p>
    <w:p w14:paraId="51D0C5A2"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The ACSQHC is expected to liaise with HCEF to provide a clear understanding of the ACSQHC’s processes, governance arrangements, its committees on national safety and quality matters and any changes to these arrangements.</w:t>
      </w:r>
    </w:p>
    <w:p w14:paraId="513AB61C" w14:textId="77777777" w:rsidR="00F62C4A" w:rsidRPr="00261C59" w:rsidRDefault="00F62C4A" w:rsidP="002E5D9D">
      <w:pPr>
        <w:pStyle w:val="Heading2"/>
        <w:keepLines w:val="0"/>
        <w:widowControl/>
        <w:adjustRightInd/>
        <w:spacing w:before="180" w:after="120"/>
        <w:jc w:val="left"/>
        <w:textAlignment w:val="auto"/>
        <w:rPr>
          <w:rFonts w:ascii="Corbel" w:hAnsi="Corbel" w:cs="Arial"/>
          <w:color w:val="3D4B67"/>
          <w:sz w:val="28"/>
          <w:szCs w:val="28"/>
        </w:rPr>
      </w:pPr>
      <w:bookmarkStart w:id="897" w:name="_Toc170217709"/>
      <w:bookmarkStart w:id="898" w:name="_Toc173937794"/>
      <w:bookmarkStart w:id="899" w:name="_Toc201674071"/>
      <w:bookmarkStart w:id="900" w:name="_Toc210833710"/>
      <w:bookmarkStart w:id="901" w:name="_Toc214456610"/>
      <w:bookmarkStart w:id="902" w:name="_Toc221088095"/>
      <w:r w:rsidRPr="00261C59">
        <w:rPr>
          <w:rFonts w:ascii="Corbel" w:hAnsi="Corbel" w:cs="Arial"/>
          <w:color w:val="3D4B67"/>
          <w:sz w:val="28"/>
          <w:szCs w:val="28"/>
        </w:rPr>
        <w:t>Australian Institute of Health and Welfare</w:t>
      </w:r>
      <w:bookmarkEnd w:id="897"/>
      <w:bookmarkEnd w:id="898"/>
      <w:bookmarkEnd w:id="899"/>
      <w:bookmarkEnd w:id="900"/>
      <w:bookmarkEnd w:id="901"/>
      <w:bookmarkEnd w:id="902"/>
    </w:p>
    <w:p w14:paraId="54693D57" w14:textId="77777777" w:rsidR="00F62C4A" w:rsidRPr="00261C59" w:rsidRDefault="00F62C4A" w:rsidP="002E5D9D">
      <w:pPr>
        <w:pStyle w:val="Heading4"/>
        <w:jc w:val="left"/>
        <w:rPr>
          <w:lang w:eastAsia="ja-JP"/>
        </w:rPr>
      </w:pPr>
      <w:r w:rsidRPr="00261C59">
        <w:rPr>
          <w:lang w:eastAsia="ja-JP"/>
        </w:rPr>
        <w:t>Functions</w:t>
      </w:r>
    </w:p>
    <w:p w14:paraId="64632565"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Australian Institute of Health and Welfare is a Commonwealth statutory authority established under the </w:t>
      </w:r>
      <w:r w:rsidRPr="00261C59">
        <w:rPr>
          <w:rFonts w:ascii="Calibri" w:eastAsia="Calibri" w:hAnsi="Calibri" w:cs="Calibri"/>
          <w:i/>
          <w:iCs/>
          <w:sz w:val="24"/>
          <w:szCs w:val="24"/>
        </w:rPr>
        <w:t xml:space="preserve">Australian Institute of Health and Welfare Act 1987 </w:t>
      </w:r>
      <w:r w:rsidRPr="00261C59">
        <w:rPr>
          <w:rFonts w:ascii="Calibri" w:eastAsia="Calibri" w:hAnsi="Calibri" w:cs="Calibri"/>
          <w:sz w:val="24"/>
          <w:szCs w:val="24"/>
        </w:rPr>
        <w:t>(the Institute Act)</w:t>
      </w:r>
      <w:r w:rsidRPr="00261C59">
        <w:rPr>
          <w:rFonts w:ascii="Calibri" w:hAnsi="Calibri" w:cs="Calibri"/>
          <w:sz w:val="24"/>
          <w:szCs w:val="24"/>
        </w:rPr>
        <w:t xml:space="preserve">.  The AIHW is a body corporate subject to the </w:t>
      </w:r>
      <w:r w:rsidRPr="00261C59">
        <w:rPr>
          <w:rFonts w:ascii="Calibri" w:eastAsia="Calibri" w:hAnsi="Calibri" w:cs="Calibri"/>
          <w:i/>
          <w:iCs/>
          <w:sz w:val="24"/>
          <w:szCs w:val="24"/>
        </w:rPr>
        <w:t>Public Governance, Performance and Accountability Act 2013</w:t>
      </w:r>
      <w:r w:rsidRPr="00261C59">
        <w:rPr>
          <w:rFonts w:ascii="Calibri" w:hAnsi="Calibri" w:cs="Calibri"/>
          <w:sz w:val="24"/>
          <w:szCs w:val="24"/>
        </w:rPr>
        <w:t xml:space="preserve"> (PGPA Act).</w:t>
      </w:r>
    </w:p>
    <w:p w14:paraId="4A9E7805"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AIHW is an independent agency that provides reliable, regular and relevant information on Australia’s health and welfare. The role of the AIHW is to: </w:t>
      </w:r>
    </w:p>
    <w:p w14:paraId="3C6F39F9" w14:textId="5C92B6D1" w:rsidR="00F62C4A" w:rsidRPr="00261C59" w:rsidRDefault="00F62C4A" w:rsidP="004728D9">
      <w:pPr>
        <w:numPr>
          <w:ilvl w:val="1"/>
          <w:numId w:val="213"/>
        </w:numPr>
        <w:spacing w:after="240" w:line="260" w:lineRule="exact"/>
        <w:jc w:val="left"/>
        <w:rPr>
          <w:rFonts w:ascii="Calibri" w:hAnsi="Calibri"/>
          <w:sz w:val="24"/>
          <w:szCs w:val="24"/>
        </w:rPr>
      </w:pPr>
      <w:r w:rsidRPr="00261C59">
        <w:rPr>
          <w:rFonts w:ascii="Calibri" w:hAnsi="Calibri"/>
          <w:sz w:val="24"/>
          <w:szCs w:val="24"/>
        </w:rPr>
        <w:t>collect, produce, coordinate and assist in the collection and production of health- and welfare-related information and statistics</w:t>
      </w:r>
    </w:p>
    <w:p w14:paraId="120FDD5A" w14:textId="037C47AC" w:rsidR="00F62C4A" w:rsidRPr="00261C59" w:rsidRDefault="00F62C4A" w:rsidP="004728D9">
      <w:pPr>
        <w:numPr>
          <w:ilvl w:val="1"/>
          <w:numId w:val="213"/>
        </w:numPr>
        <w:spacing w:after="240" w:line="260" w:lineRule="exact"/>
        <w:jc w:val="left"/>
        <w:rPr>
          <w:rFonts w:ascii="Calibri" w:hAnsi="Calibri"/>
          <w:sz w:val="24"/>
          <w:szCs w:val="24"/>
        </w:rPr>
      </w:pPr>
      <w:r w:rsidRPr="00261C59">
        <w:rPr>
          <w:rFonts w:ascii="Calibri" w:hAnsi="Calibri"/>
          <w:sz w:val="24"/>
          <w:szCs w:val="24"/>
        </w:rPr>
        <w:t>conduct and promote research into Australians’ health and their health services</w:t>
      </w:r>
    </w:p>
    <w:p w14:paraId="05AB7BA6" w14:textId="51D6397F" w:rsidR="00F62C4A" w:rsidRPr="00261C59" w:rsidRDefault="00F62C4A" w:rsidP="004728D9">
      <w:pPr>
        <w:numPr>
          <w:ilvl w:val="1"/>
          <w:numId w:val="213"/>
        </w:numPr>
        <w:spacing w:after="240" w:line="260" w:lineRule="exact"/>
        <w:jc w:val="left"/>
        <w:rPr>
          <w:rFonts w:ascii="Calibri" w:hAnsi="Calibri"/>
          <w:sz w:val="24"/>
          <w:szCs w:val="24"/>
        </w:rPr>
      </w:pPr>
      <w:r w:rsidRPr="00261C59">
        <w:rPr>
          <w:rFonts w:ascii="Calibri" w:hAnsi="Calibri"/>
          <w:sz w:val="24"/>
          <w:szCs w:val="24"/>
        </w:rPr>
        <w:t>develop specialised standards and classifications for health, and health and welfare services</w:t>
      </w:r>
    </w:p>
    <w:p w14:paraId="1EB33A64" w14:textId="77777777" w:rsidR="00F62C4A" w:rsidRPr="00261C59" w:rsidRDefault="00F62C4A" w:rsidP="004728D9">
      <w:pPr>
        <w:numPr>
          <w:ilvl w:val="1"/>
          <w:numId w:val="213"/>
        </w:numPr>
        <w:spacing w:after="240" w:line="260" w:lineRule="exact"/>
        <w:jc w:val="left"/>
        <w:rPr>
          <w:rFonts w:ascii="Calibri" w:hAnsi="Calibri"/>
          <w:sz w:val="24"/>
          <w:szCs w:val="24"/>
        </w:rPr>
      </w:pPr>
      <w:r w:rsidRPr="00261C59">
        <w:rPr>
          <w:rFonts w:ascii="Calibri" w:hAnsi="Calibri"/>
          <w:sz w:val="24"/>
          <w:szCs w:val="24"/>
        </w:rPr>
        <w:t>provide access to health- and welfare-related information and statistics, subject to confidentiality provisions.</w:t>
      </w:r>
    </w:p>
    <w:p w14:paraId="5CD3D2D0"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The AIHW leads the health system performance assessment framework and reporting for this Addendum, specified in Schedule H.</w:t>
      </w:r>
    </w:p>
    <w:p w14:paraId="454B5027"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The AIHW is an Accredited Data Service Provider (formerly accredited Integration Authority) and will continue to develop linked health, disability and aged care assets.</w:t>
      </w:r>
    </w:p>
    <w:p w14:paraId="754EB2CB"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The AIHW will also contribute to developing the National Health Data System specified in Schedule H.</w:t>
      </w:r>
    </w:p>
    <w:p w14:paraId="672E12A6" w14:textId="77777777" w:rsidR="00F62C4A" w:rsidRPr="00261C59" w:rsidRDefault="00F62C4A" w:rsidP="002E5D9D">
      <w:pPr>
        <w:pStyle w:val="Heading4"/>
        <w:jc w:val="left"/>
        <w:rPr>
          <w:lang w:eastAsia="ja-JP"/>
        </w:rPr>
      </w:pPr>
      <w:r w:rsidRPr="00261C59">
        <w:rPr>
          <w:lang w:eastAsia="ja-JP"/>
        </w:rPr>
        <w:t xml:space="preserve">Consultation </w:t>
      </w:r>
    </w:p>
    <w:p w14:paraId="6D8E62B6"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The Parties expect that, in performing its functions under this Addendum, the AIHW will collaborate with Parties via relevant HCEF governance groups.</w:t>
      </w:r>
    </w:p>
    <w:p w14:paraId="0A6DDC5A" w14:textId="3EB59194"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The AIHW will provide HCEF and its relevant sub-committees with regular reports on its progress against commitments under this Addendum including as outlined in Schedule H.</w:t>
      </w:r>
    </w:p>
    <w:p w14:paraId="33AB2277" w14:textId="77777777" w:rsidR="00F62C4A" w:rsidRPr="00261C59" w:rsidRDefault="00F62C4A" w:rsidP="002E5D9D">
      <w:pPr>
        <w:pStyle w:val="Heading2"/>
        <w:keepLines w:val="0"/>
        <w:widowControl/>
        <w:adjustRightInd/>
        <w:spacing w:before="180" w:after="120"/>
        <w:jc w:val="left"/>
        <w:textAlignment w:val="auto"/>
        <w:rPr>
          <w:rFonts w:ascii="Corbel" w:hAnsi="Corbel" w:cs="Arial"/>
          <w:color w:val="3D4B67"/>
          <w:sz w:val="28"/>
          <w:szCs w:val="28"/>
        </w:rPr>
      </w:pPr>
      <w:bookmarkStart w:id="903" w:name="_Toc170217710"/>
      <w:bookmarkStart w:id="904" w:name="_Toc173937795"/>
      <w:bookmarkStart w:id="905" w:name="_Toc201674072"/>
      <w:bookmarkStart w:id="906" w:name="_Toc210833711"/>
      <w:bookmarkStart w:id="907" w:name="_Toc214456611"/>
      <w:bookmarkStart w:id="908" w:name="_Toc221088096"/>
      <w:r w:rsidRPr="00261C59">
        <w:rPr>
          <w:rFonts w:ascii="Corbel" w:hAnsi="Corbel" w:cs="Arial"/>
          <w:color w:val="3D4B67"/>
          <w:sz w:val="28"/>
          <w:szCs w:val="28"/>
        </w:rPr>
        <w:t>Data requirements for the national bodies</w:t>
      </w:r>
      <w:bookmarkEnd w:id="903"/>
      <w:bookmarkEnd w:id="904"/>
      <w:bookmarkEnd w:id="905"/>
      <w:bookmarkEnd w:id="906"/>
      <w:bookmarkEnd w:id="907"/>
      <w:bookmarkEnd w:id="908"/>
    </w:p>
    <w:p w14:paraId="47560ACB"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Privacy of individual healthcare users is paramount and will be protected at all times. The national bodies will collect, secure and use information in accordance with relevant legislation and Australian Privacy Principles, ethical guidelines and practices in order to protect the privacy of individuals. </w:t>
      </w:r>
      <w:r w:rsidRPr="00261C59">
        <w:rPr>
          <w:rFonts w:ascii="Calibri" w:eastAsia="Calibri" w:hAnsi="Calibri" w:cs="Mangal"/>
          <w:sz w:val="24"/>
          <w:szCs w:val="24"/>
          <w:lang w:eastAsia="en-US"/>
        </w:rPr>
        <w:t>National bodies will be involved in and contribute to developing a national health data system as outlined in Schedule H.</w:t>
      </w:r>
      <w:r w:rsidRPr="00261C59">
        <w:rPr>
          <w:rFonts w:ascii="Calibri" w:hAnsi="Calibri" w:cs="Calibri"/>
          <w:sz w:val="24"/>
          <w:szCs w:val="24"/>
        </w:rPr>
        <w:t xml:space="preserve"> </w:t>
      </w:r>
    </w:p>
    <w:p w14:paraId="4AE8E63C" w14:textId="77777777" w:rsidR="00F62C4A" w:rsidRPr="00261C59" w:rsidRDefault="00F62C4A" w:rsidP="003D2F22">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AIHW will use its national collections for the purpose of performance reporting and other roles under this Addendum. </w:t>
      </w:r>
    </w:p>
    <w:p w14:paraId="63D5797D" w14:textId="77777777" w:rsidR="00F62C4A" w:rsidRPr="00261C59" w:rsidRDefault="00F62C4A" w:rsidP="003D2F22">
      <w:pPr>
        <w:keepNext/>
        <w:keepLines/>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The national bodies established under the </w:t>
      </w:r>
      <w:r w:rsidRPr="00261C59">
        <w:rPr>
          <w:rFonts w:ascii="Calibri" w:hAnsi="Calibri" w:cs="Calibri"/>
          <w:i/>
          <w:iCs/>
          <w:sz w:val="24"/>
          <w:szCs w:val="24"/>
        </w:rPr>
        <w:t>National Health Reform Act 2011</w:t>
      </w:r>
      <w:r w:rsidRPr="00261C59">
        <w:rPr>
          <w:rFonts w:ascii="Calibri" w:hAnsi="Calibri" w:cs="Calibri"/>
          <w:sz w:val="24"/>
          <w:szCs w:val="24"/>
        </w:rPr>
        <w:t xml:space="preserve"> will each develop rolling three-year data plans indicating their future data needs, in line with the following process: </w:t>
      </w:r>
    </w:p>
    <w:p w14:paraId="0FA2AD9E" w14:textId="31692C91" w:rsidR="00F62C4A" w:rsidRPr="00261C59" w:rsidRDefault="00F62C4A" w:rsidP="004728D9">
      <w:pPr>
        <w:numPr>
          <w:ilvl w:val="1"/>
          <w:numId w:val="214"/>
        </w:numPr>
        <w:spacing w:after="240" w:line="260" w:lineRule="exact"/>
        <w:jc w:val="left"/>
        <w:rPr>
          <w:rFonts w:ascii="Calibri" w:hAnsi="Calibri"/>
          <w:sz w:val="24"/>
          <w:szCs w:val="24"/>
        </w:rPr>
      </w:pPr>
      <w:r w:rsidRPr="00261C59">
        <w:rPr>
          <w:rFonts w:ascii="Calibri" w:hAnsi="Calibri"/>
          <w:sz w:val="24"/>
          <w:szCs w:val="24"/>
        </w:rPr>
        <w:t xml:space="preserve">each national body will develop a data plan that aligns with the objectives of this Addendum and the requirements in </w:t>
      </w:r>
      <w:r w:rsidRPr="00261C59">
        <w:rPr>
          <w:rFonts w:ascii="Calibri" w:hAnsi="Calibri"/>
          <w:sz w:val="24"/>
        </w:rPr>
        <w:t>clause I</w:t>
      </w:r>
      <w:r w:rsidR="00A55ED0" w:rsidRPr="00261C59">
        <w:rPr>
          <w:rFonts w:ascii="Calibri" w:hAnsi="Calibri"/>
          <w:sz w:val="24"/>
        </w:rPr>
        <w:t>79</w:t>
      </w:r>
    </w:p>
    <w:p w14:paraId="6EEB4DE1" w14:textId="77777777" w:rsidR="00F62C4A" w:rsidRPr="00261C59" w:rsidRDefault="00F62C4A" w:rsidP="004728D9">
      <w:pPr>
        <w:numPr>
          <w:ilvl w:val="1"/>
          <w:numId w:val="214"/>
        </w:numPr>
        <w:spacing w:after="240" w:line="260" w:lineRule="exact"/>
        <w:jc w:val="left"/>
        <w:rPr>
          <w:rFonts w:ascii="Calibri" w:hAnsi="Calibri"/>
          <w:sz w:val="24"/>
          <w:szCs w:val="24"/>
        </w:rPr>
      </w:pPr>
      <w:r w:rsidRPr="00261C59">
        <w:rPr>
          <w:rFonts w:ascii="Calibri" w:hAnsi="Calibri"/>
          <w:sz w:val="24"/>
          <w:szCs w:val="24"/>
        </w:rPr>
        <w:t>each national body will provide its data plan to the HMM.</w:t>
      </w:r>
    </w:p>
    <w:p w14:paraId="54179584" w14:textId="2ADF88E0" w:rsidR="00F62C4A" w:rsidRPr="00261C59" w:rsidRDefault="00F62C4A" w:rsidP="004728D9">
      <w:pPr>
        <w:numPr>
          <w:ilvl w:val="1"/>
          <w:numId w:val="214"/>
        </w:numPr>
        <w:spacing w:after="240" w:line="260" w:lineRule="exact"/>
        <w:jc w:val="left"/>
        <w:rPr>
          <w:rFonts w:ascii="Calibri" w:hAnsi="Calibri"/>
          <w:sz w:val="24"/>
          <w:szCs w:val="24"/>
        </w:rPr>
      </w:pPr>
      <w:r w:rsidRPr="00261C59">
        <w:rPr>
          <w:rFonts w:ascii="Calibri" w:hAnsi="Calibri"/>
          <w:sz w:val="24"/>
          <w:szCs w:val="24"/>
        </w:rPr>
        <w:t>the plan will be considered final and complete 30 calendar days after release, unless the process referred to in clause I8</w:t>
      </w:r>
      <w:r w:rsidR="00593164" w:rsidRPr="00261C59">
        <w:rPr>
          <w:rFonts w:ascii="Calibri" w:hAnsi="Calibri"/>
          <w:sz w:val="24"/>
          <w:szCs w:val="24"/>
        </w:rPr>
        <w:t>1</w:t>
      </w:r>
      <w:r w:rsidRPr="00261C59">
        <w:rPr>
          <w:rFonts w:ascii="Calibri" w:hAnsi="Calibri"/>
          <w:sz w:val="24"/>
          <w:szCs w:val="24"/>
        </w:rPr>
        <w:t xml:space="preserve"> is invoked</w:t>
      </w:r>
    </w:p>
    <w:p w14:paraId="27CFCEA2" w14:textId="77777777" w:rsidR="00F62C4A" w:rsidRPr="00261C59" w:rsidRDefault="00F62C4A" w:rsidP="004728D9">
      <w:pPr>
        <w:numPr>
          <w:ilvl w:val="1"/>
          <w:numId w:val="214"/>
        </w:numPr>
        <w:spacing w:after="240" w:line="260" w:lineRule="exact"/>
        <w:jc w:val="left"/>
        <w:rPr>
          <w:rFonts w:ascii="Calibri" w:hAnsi="Calibri"/>
          <w:sz w:val="24"/>
          <w:szCs w:val="24"/>
        </w:rPr>
      </w:pPr>
      <w:r w:rsidRPr="00261C59">
        <w:rPr>
          <w:rFonts w:ascii="Calibri" w:hAnsi="Calibri"/>
          <w:sz w:val="24"/>
          <w:szCs w:val="24"/>
        </w:rPr>
        <w:t xml:space="preserve">for this purpose, the Administrator and the NHFB will be considered one national body. </w:t>
      </w:r>
    </w:p>
    <w:p w14:paraId="6A36E2FB" w14:textId="77777777" w:rsidR="00F62C4A" w:rsidRPr="00261C59" w:rsidRDefault="00F62C4A" w:rsidP="004728D9">
      <w:pPr>
        <w:keepNext/>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In determining data requirements, each body must:</w:t>
      </w:r>
    </w:p>
    <w:p w14:paraId="56AEB7FC" w14:textId="7A057777" w:rsidR="00F62C4A" w:rsidRPr="00261C59" w:rsidRDefault="00F62C4A" w:rsidP="004728D9">
      <w:pPr>
        <w:numPr>
          <w:ilvl w:val="1"/>
          <w:numId w:val="215"/>
        </w:numPr>
        <w:spacing w:after="240" w:line="260" w:lineRule="exact"/>
        <w:jc w:val="left"/>
        <w:rPr>
          <w:rFonts w:ascii="Calibri" w:hAnsi="Calibri"/>
          <w:sz w:val="24"/>
          <w:szCs w:val="24"/>
        </w:rPr>
      </w:pPr>
      <w:r w:rsidRPr="00261C59">
        <w:rPr>
          <w:rFonts w:ascii="Calibri" w:hAnsi="Calibri"/>
          <w:sz w:val="24"/>
          <w:szCs w:val="24"/>
        </w:rPr>
        <w:t>seek to meet its data requirements through existing national data collections, where practical</w:t>
      </w:r>
    </w:p>
    <w:p w14:paraId="07D5219B" w14:textId="3EC4F9F4" w:rsidR="00F62C4A" w:rsidRPr="00261C59" w:rsidRDefault="00F62C4A" w:rsidP="004728D9">
      <w:pPr>
        <w:numPr>
          <w:ilvl w:val="1"/>
          <w:numId w:val="215"/>
        </w:numPr>
        <w:spacing w:after="240" w:line="260" w:lineRule="exact"/>
        <w:jc w:val="left"/>
        <w:rPr>
          <w:rFonts w:ascii="Calibri" w:hAnsi="Calibri"/>
          <w:sz w:val="24"/>
          <w:szCs w:val="24"/>
        </w:rPr>
      </w:pPr>
      <w:r w:rsidRPr="00261C59">
        <w:rPr>
          <w:rFonts w:ascii="Calibri" w:hAnsi="Calibri"/>
          <w:sz w:val="24"/>
          <w:szCs w:val="24"/>
        </w:rPr>
        <w:t>conform with national data development principles and wherever practical use existing data development governance processes and structures, except where to do so would compromise the performance of its statutory functions</w:t>
      </w:r>
    </w:p>
    <w:p w14:paraId="1676EFBC" w14:textId="25B5EADF" w:rsidR="00F62C4A" w:rsidRPr="00261C59" w:rsidRDefault="00F62C4A" w:rsidP="004728D9">
      <w:pPr>
        <w:numPr>
          <w:ilvl w:val="1"/>
          <w:numId w:val="215"/>
        </w:numPr>
        <w:spacing w:after="240" w:line="260" w:lineRule="exact"/>
        <w:jc w:val="left"/>
        <w:rPr>
          <w:rFonts w:ascii="Calibri" w:hAnsi="Calibri"/>
          <w:sz w:val="24"/>
          <w:szCs w:val="24"/>
        </w:rPr>
      </w:pPr>
      <w:r w:rsidRPr="00261C59">
        <w:rPr>
          <w:rFonts w:ascii="Calibri" w:hAnsi="Calibri"/>
          <w:sz w:val="24"/>
          <w:szCs w:val="24"/>
        </w:rPr>
        <w:t>allow for a reasonable, clearly defined, timeframe to incorporate standardised data collection methods across all jurisdictions</w:t>
      </w:r>
    </w:p>
    <w:p w14:paraId="6BD7AA27" w14:textId="4F002FB3" w:rsidR="00F62C4A" w:rsidRPr="00261C59" w:rsidRDefault="00F62C4A" w:rsidP="004728D9">
      <w:pPr>
        <w:numPr>
          <w:ilvl w:val="1"/>
          <w:numId w:val="215"/>
        </w:numPr>
        <w:spacing w:after="240" w:line="260" w:lineRule="exact"/>
        <w:jc w:val="left"/>
        <w:rPr>
          <w:rFonts w:ascii="Calibri" w:hAnsi="Calibri"/>
          <w:sz w:val="24"/>
          <w:szCs w:val="24"/>
        </w:rPr>
      </w:pPr>
      <w:r w:rsidRPr="00261C59">
        <w:rPr>
          <w:rFonts w:ascii="Calibri" w:hAnsi="Calibri"/>
          <w:sz w:val="24"/>
          <w:szCs w:val="24"/>
        </w:rPr>
        <w:t>ensure its data requirements will enable data reporting of a sufficient volume and quality, in order to undertake its legislated functions, and those outlined in this Addendum</w:t>
      </w:r>
    </w:p>
    <w:p w14:paraId="4BA79679" w14:textId="5532B2D4" w:rsidR="00F62C4A" w:rsidRPr="00261C59" w:rsidRDefault="00F62C4A" w:rsidP="004728D9">
      <w:pPr>
        <w:widowControl/>
        <w:numPr>
          <w:ilvl w:val="1"/>
          <w:numId w:val="215"/>
        </w:numPr>
        <w:spacing w:after="240" w:line="260" w:lineRule="exact"/>
        <w:jc w:val="left"/>
        <w:rPr>
          <w:rFonts w:ascii="Calibri" w:hAnsi="Calibri"/>
          <w:sz w:val="24"/>
          <w:szCs w:val="24"/>
        </w:rPr>
      </w:pPr>
      <w:r w:rsidRPr="00261C59">
        <w:rPr>
          <w:rFonts w:ascii="Calibri" w:hAnsi="Calibri"/>
          <w:sz w:val="24"/>
          <w:szCs w:val="24"/>
        </w:rPr>
        <w:t>support the concept of ‘single provision, multiple use’ of information to maximise efficiency of data provision and validation where practical, in accordance with privacy requirements</w:t>
      </w:r>
    </w:p>
    <w:p w14:paraId="774486FB" w14:textId="15034FD3" w:rsidR="00F62C4A" w:rsidRPr="00261C59" w:rsidRDefault="00F62C4A" w:rsidP="004728D9">
      <w:pPr>
        <w:numPr>
          <w:ilvl w:val="1"/>
          <w:numId w:val="215"/>
        </w:numPr>
        <w:spacing w:after="240" w:line="260" w:lineRule="exact"/>
        <w:jc w:val="left"/>
        <w:rPr>
          <w:rFonts w:ascii="Calibri" w:hAnsi="Calibri"/>
          <w:sz w:val="24"/>
          <w:szCs w:val="24"/>
        </w:rPr>
      </w:pPr>
      <w:r w:rsidRPr="00261C59">
        <w:rPr>
          <w:rFonts w:ascii="Calibri" w:hAnsi="Calibri"/>
          <w:sz w:val="24"/>
          <w:szCs w:val="24"/>
        </w:rPr>
        <w:t>balance the national benefits of access to the requested data against the impact on jurisdictions providing that data</w:t>
      </w:r>
    </w:p>
    <w:p w14:paraId="1AFB4206" w14:textId="77777777" w:rsidR="00F62C4A" w:rsidRPr="00261C59" w:rsidRDefault="00F62C4A" w:rsidP="004728D9">
      <w:pPr>
        <w:numPr>
          <w:ilvl w:val="1"/>
          <w:numId w:val="215"/>
        </w:numPr>
        <w:spacing w:after="240" w:line="260" w:lineRule="exact"/>
        <w:jc w:val="left"/>
        <w:rPr>
          <w:rFonts w:ascii="Calibri" w:hAnsi="Calibri"/>
          <w:sz w:val="24"/>
          <w:szCs w:val="24"/>
        </w:rPr>
      </w:pPr>
      <w:r w:rsidRPr="00261C59">
        <w:rPr>
          <w:rFonts w:ascii="Calibri" w:hAnsi="Calibri"/>
          <w:sz w:val="24"/>
          <w:szCs w:val="24"/>
        </w:rPr>
        <w:t>consult with the Commonwealth and States when determining its requirements.</w:t>
      </w:r>
    </w:p>
    <w:p w14:paraId="342096F4"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HCEF will periodically review the national bodies’ three-year data plans for the effectiveness and appropriateness of data requested from jurisdictions. The review will consider the administrative burden of non-essential data requests:</w:t>
      </w:r>
    </w:p>
    <w:p w14:paraId="614BE003" w14:textId="053915C9" w:rsidR="00F62C4A" w:rsidRPr="00261C59" w:rsidRDefault="00F62C4A" w:rsidP="004728D9">
      <w:pPr>
        <w:numPr>
          <w:ilvl w:val="1"/>
          <w:numId w:val="216"/>
        </w:numPr>
        <w:spacing w:after="240" w:line="260" w:lineRule="exact"/>
        <w:jc w:val="left"/>
        <w:rPr>
          <w:rFonts w:ascii="Calibri" w:hAnsi="Calibri"/>
          <w:sz w:val="24"/>
          <w:szCs w:val="24"/>
        </w:rPr>
      </w:pPr>
      <w:r w:rsidRPr="00261C59">
        <w:rPr>
          <w:rFonts w:ascii="Calibri" w:hAnsi="Calibri"/>
          <w:sz w:val="24"/>
          <w:szCs w:val="24"/>
        </w:rPr>
        <w:t xml:space="preserve">the review will check the three-year data plans conform with the data requirements of clause </w:t>
      </w:r>
      <w:r w:rsidRPr="00261C59">
        <w:rPr>
          <w:rFonts w:ascii="Calibri" w:hAnsi="Calibri"/>
          <w:sz w:val="24"/>
        </w:rPr>
        <w:t>I</w:t>
      </w:r>
      <w:r w:rsidR="00641C75" w:rsidRPr="00261C59">
        <w:rPr>
          <w:rFonts w:ascii="Calibri" w:hAnsi="Calibri"/>
          <w:sz w:val="24"/>
          <w:szCs w:val="24"/>
        </w:rPr>
        <w:t>79</w:t>
      </w:r>
    </w:p>
    <w:p w14:paraId="36DDB6F8" w14:textId="77777777" w:rsidR="00F62C4A" w:rsidRPr="00261C59" w:rsidRDefault="00F62C4A" w:rsidP="004728D9">
      <w:pPr>
        <w:numPr>
          <w:ilvl w:val="1"/>
          <w:numId w:val="216"/>
        </w:numPr>
        <w:spacing w:after="240" w:line="260" w:lineRule="exact"/>
        <w:jc w:val="left"/>
        <w:rPr>
          <w:rFonts w:ascii="Calibri" w:hAnsi="Calibri"/>
          <w:sz w:val="24"/>
          <w:szCs w:val="24"/>
        </w:rPr>
      </w:pPr>
      <w:r w:rsidRPr="00261C59">
        <w:rPr>
          <w:rFonts w:ascii="Calibri" w:hAnsi="Calibri"/>
          <w:sz w:val="24"/>
          <w:szCs w:val="24"/>
        </w:rPr>
        <w:t>the review of three-year data plans will be conducted at least once every three years.</w:t>
      </w:r>
    </w:p>
    <w:p w14:paraId="72C126CD"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HMM may direct the national bodies in respect of specific elements of their data plans: </w:t>
      </w:r>
    </w:p>
    <w:p w14:paraId="76FA7716" w14:textId="5E6FE1DF" w:rsidR="00F62C4A" w:rsidRPr="00261C59" w:rsidRDefault="00F62C4A" w:rsidP="004728D9">
      <w:pPr>
        <w:numPr>
          <w:ilvl w:val="1"/>
          <w:numId w:val="217"/>
        </w:numPr>
        <w:spacing w:after="240" w:line="260" w:lineRule="exact"/>
        <w:jc w:val="left"/>
        <w:rPr>
          <w:rFonts w:ascii="Calibri" w:hAnsi="Calibri"/>
          <w:sz w:val="24"/>
          <w:szCs w:val="24"/>
        </w:rPr>
      </w:pPr>
      <w:r w:rsidRPr="00261C59">
        <w:rPr>
          <w:rFonts w:ascii="Calibri" w:hAnsi="Calibri"/>
          <w:sz w:val="24"/>
          <w:szCs w:val="24"/>
        </w:rPr>
        <w:t xml:space="preserve">if it determines that a plan does not meet the requirements set out at clause </w:t>
      </w:r>
      <w:r w:rsidRPr="00261C59">
        <w:rPr>
          <w:rFonts w:ascii="Calibri" w:hAnsi="Calibri"/>
          <w:sz w:val="24"/>
        </w:rPr>
        <w:t>I</w:t>
      </w:r>
      <w:r w:rsidR="00641C75" w:rsidRPr="00261C59">
        <w:rPr>
          <w:rFonts w:ascii="Calibri" w:hAnsi="Calibri"/>
          <w:sz w:val="24"/>
          <w:szCs w:val="24"/>
        </w:rPr>
        <w:t>79</w:t>
      </w:r>
    </w:p>
    <w:p w14:paraId="01B78780" w14:textId="77777777" w:rsidR="00F62C4A" w:rsidRPr="00261C59" w:rsidRDefault="00F62C4A" w:rsidP="004728D9">
      <w:pPr>
        <w:numPr>
          <w:ilvl w:val="1"/>
          <w:numId w:val="217"/>
        </w:numPr>
        <w:spacing w:after="240" w:line="260" w:lineRule="exact"/>
        <w:jc w:val="left"/>
        <w:rPr>
          <w:rFonts w:ascii="Calibri" w:hAnsi="Calibri"/>
          <w:sz w:val="24"/>
          <w:szCs w:val="24"/>
        </w:rPr>
      </w:pPr>
      <w:r w:rsidRPr="00261C59">
        <w:rPr>
          <w:rFonts w:ascii="Calibri" w:hAnsi="Calibri"/>
          <w:sz w:val="24"/>
          <w:szCs w:val="24"/>
        </w:rPr>
        <w:t xml:space="preserve">provided that such a direction would not diminish transparency, comparability or other objectives of this Addendum or materially delay implementation. </w:t>
      </w:r>
    </w:p>
    <w:p w14:paraId="78D5DA64" w14:textId="72B39E32" w:rsidR="00F62C4A" w:rsidRPr="00261C59" w:rsidRDefault="00F62C4A" w:rsidP="004728D9">
      <w:pPr>
        <w:widowControl/>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If a Party intends to request HMM to consider changes to the data plan under clause </w:t>
      </w:r>
      <w:r w:rsidRPr="00261C59">
        <w:rPr>
          <w:rFonts w:ascii="Calibri" w:hAnsi="Calibri"/>
          <w:sz w:val="24"/>
        </w:rPr>
        <w:t>I8</w:t>
      </w:r>
      <w:r w:rsidR="00316B5D" w:rsidRPr="00261C59">
        <w:rPr>
          <w:rFonts w:ascii="Calibri" w:hAnsi="Calibri" w:cs="Calibri"/>
          <w:sz w:val="24"/>
          <w:szCs w:val="24"/>
        </w:rPr>
        <w:t>1</w:t>
      </w:r>
      <w:r w:rsidRPr="00261C59">
        <w:rPr>
          <w:rFonts w:ascii="Calibri" w:hAnsi="Calibri" w:cs="Calibri"/>
          <w:sz w:val="24"/>
          <w:szCs w:val="24"/>
        </w:rPr>
        <w:t>, the following procedure will be used:</w:t>
      </w:r>
    </w:p>
    <w:p w14:paraId="3F282491" w14:textId="791A3F32" w:rsidR="00F62C4A" w:rsidRPr="00261C59" w:rsidRDefault="00F62C4A" w:rsidP="004728D9">
      <w:pPr>
        <w:numPr>
          <w:ilvl w:val="1"/>
          <w:numId w:val="218"/>
        </w:numPr>
        <w:spacing w:after="240" w:line="260" w:lineRule="exact"/>
        <w:jc w:val="left"/>
        <w:rPr>
          <w:rFonts w:ascii="Calibri" w:hAnsi="Calibri"/>
          <w:sz w:val="24"/>
          <w:szCs w:val="24"/>
        </w:rPr>
      </w:pPr>
      <w:r w:rsidRPr="00261C59">
        <w:rPr>
          <w:rFonts w:ascii="Calibri" w:hAnsi="Calibri"/>
          <w:sz w:val="24"/>
          <w:szCs w:val="24"/>
        </w:rPr>
        <w:t>within 45 calendar days of the release of the plan, the Party must lodge a submission with HMM, setting out its reasons for seeking the direction</w:t>
      </w:r>
    </w:p>
    <w:p w14:paraId="020FB15C" w14:textId="7EF75D2B" w:rsidR="00F62C4A" w:rsidRPr="00261C59" w:rsidRDefault="00F62C4A" w:rsidP="004728D9">
      <w:pPr>
        <w:numPr>
          <w:ilvl w:val="1"/>
          <w:numId w:val="218"/>
        </w:numPr>
        <w:spacing w:after="240" w:line="260" w:lineRule="exact"/>
        <w:jc w:val="left"/>
        <w:rPr>
          <w:rFonts w:ascii="Calibri" w:hAnsi="Calibri"/>
          <w:sz w:val="24"/>
          <w:szCs w:val="24"/>
        </w:rPr>
      </w:pPr>
      <w:r w:rsidRPr="00261C59">
        <w:rPr>
          <w:rFonts w:ascii="Calibri" w:hAnsi="Calibri"/>
          <w:sz w:val="24"/>
          <w:szCs w:val="24"/>
        </w:rPr>
        <w:t>the Party must provide the body that developed the data plan with a copy of the submission</w:t>
      </w:r>
    </w:p>
    <w:p w14:paraId="2F13D25E" w14:textId="77777777" w:rsidR="00F62C4A" w:rsidRPr="00261C59" w:rsidRDefault="00F62C4A" w:rsidP="004728D9">
      <w:pPr>
        <w:numPr>
          <w:ilvl w:val="1"/>
          <w:numId w:val="218"/>
        </w:numPr>
        <w:spacing w:after="240" w:line="260" w:lineRule="exact"/>
        <w:jc w:val="left"/>
        <w:rPr>
          <w:rFonts w:ascii="Calibri" w:hAnsi="Calibri"/>
          <w:sz w:val="24"/>
          <w:szCs w:val="24"/>
        </w:rPr>
      </w:pPr>
      <w:r w:rsidRPr="00261C59">
        <w:rPr>
          <w:rFonts w:ascii="Calibri" w:hAnsi="Calibri"/>
          <w:sz w:val="24"/>
          <w:szCs w:val="24"/>
        </w:rPr>
        <w:t xml:space="preserve">within 21 calendar days of receiving the submission, HMM will consider the matter out of session and agree its response. </w:t>
      </w:r>
    </w:p>
    <w:p w14:paraId="267A1F9E"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Data requested by a national body from a jurisdiction, additional to the requirements of the published three-year data plans, can only be used to resolve the matter for which the information and/or data was provided, or other purposes agreed by the Parties.</w:t>
      </w:r>
    </w:p>
    <w:p w14:paraId="361BB51C" w14:textId="0A076F3A"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Subject to </w:t>
      </w:r>
      <w:r w:rsidRPr="00261C59">
        <w:rPr>
          <w:rFonts w:ascii="Calibri" w:hAnsi="Calibri"/>
          <w:sz w:val="24"/>
        </w:rPr>
        <w:t>clauses I</w:t>
      </w:r>
      <w:r w:rsidR="007A5EA2" w:rsidRPr="00261C59">
        <w:rPr>
          <w:rFonts w:ascii="Calibri" w:hAnsi="Calibri"/>
          <w:sz w:val="24"/>
        </w:rPr>
        <w:t>7</w:t>
      </w:r>
      <w:r w:rsidR="00576E69" w:rsidRPr="00261C59">
        <w:rPr>
          <w:rFonts w:ascii="Calibri" w:hAnsi="Calibri"/>
          <w:sz w:val="24"/>
        </w:rPr>
        <w:t>6</w:t>
      </w:r>
      <w:r w:rsidRPr="00261C59">
        <w:rPr>
          <w:rFonts w:ascii="Calibri" w:hAnsi="Calibri"/>
          <w:sz w:val="24"/>
        </w:rPr>
        <w:t xml:space="preserve"> and I</w:t>
      </w:r>
      <w:r w:rsidR="007A5EA2" w:rsidRPr="00261C59">
        <w:rPr>
          <w:rFonts w:ascii="Calibri" w:hAnsi="Calibri"/>
          <w:sz w:val="24"/>
        </w:rPr>
        <w:t>7</w:t>
      </w:r>
      <w:r w:rsidR="00576E69" w:rsidRPr="00261C59">
        <w:rPr>
          <w:rFonts w:ascii="Calibri" w:hAnsi="Calibri"/>
          <w:sz w:val="24"/>
        </w:rPr>
        <w:t>9</w:t>
      </w:r>
      <w:r w:rsidRPr="00261C59">
        <w:rPr>
          <w:rFonts w:ascii="Calibri" w:hAnsi="Calibri" w:cs="Calibri"/>
          <w:sz w:val="24"/>
          <w:szCs w:val="24"/>
        </w:rPr>
        <w:t>, the Commonwealth and States will provide data that the national bodies determine is required to carry out their functions in accordance with their data plans.</w:t>
      </w:r>
    </w:p>
    <w:p w14:paraId="5FFFBC4D" w14:textId="5A42A9E8" w:rsidR="00F62C4A" w:rsidRPr="00261C59" w:rsidRDefault="00F62C4A" w:rsidP="004728D9">
      <w:pPr>
        <w:numPr>
          <w:ilvl w:val="1"/>
          <w:numId w:val="219"/>
        </w:numPr>
        <w:spacing w:after="240" w:line="260" w:lineRule="exact"/>
        <w:jc w:val="left"/>
        <w:rPr>
          <w:rFonts w:ascii="Calibri" w:hAnsi="Calibri"/>
          <w:sz w:val="24"/>
          <w:szCs w:val="24"/>
        </w:rPr>
      </w:pPr>
      <w:r w:rsidRPr="00261C59">
        <w:rPr>
          <w:rFonts w:ascii="Calibri" w:eastAsia="Calibri" w:hAnsi="Calibri" w:cs="Calibri"/>
          <w:sz w:val="24"/>
          <w:szCs w:val="24"/>
        </w:rPr>
        <w:t xml:space="preserve">Parties will ensure timely data is made available, either directly, through another national body or through the Commonwealth, in line with clause </w:t>
      </w:r>
      <w:r w:rsidRPr="00261C59">
        <w:rPr>
          <w:rFonts w:ascii="Calibri" w:eastAsia="Calibri" w:hAnsi="Calibri"/>
          <w:sz w:val="24"/>
        </w:rPr>
        <w:t>I</w:t>
      </w:r>
      <w:r w:rsidR="00EC0463" w:rsidRPr="00261C59">
        <w:rPr>
          <w:rFonts w:ascii="Calibri" w:eastAsia="Calibri" w:hAnsi="Calibri"/>
          <w:sz w:val="24"/>
        </w:rPr>
        <w:t>76</w:t>
      </w:r>
      <w:r w:rsidRPr="00261C59">
        <w:rPr>
          <w:rFonts w:ascii="Calibri" w:eastAsia="Calibri" w:hAnsi="Calibri" w:cs="Calibri"/>
          <w:sz w:val="24"/>
          <w:szCs w:val="24"/>
        </w:rPr>
        <w:t>.</w:t>
      </w:r>
    </w:p>
    <w:p w14:paraId="70E7BA99" w14:textId="4A7D1F11" w:rsidR="00F62C4A" w:rsidRPr="00261C59" w:rsidRDefault="00F62C4A" w:rsidP="004728D9">
      <w:pPr>
        <w:numPr>
          <w:ilvl w:val="1"/>
          <w:numId w:val="219"/>
        </w:numPr>
        <w:spacing w:after="240" w:line="260" w:lineRule="exact"/>
        <w:jc w:val="left"/>
        <w:rPr>
          <w:rFonts w:ascii="Calibri" w:hAnsi="Calibri"/>
          <w:sz w:val="24"/>
          <w:szCs w:val="24"/>
        </w:rPr>
      </w:pPr>
      <w:r w:rsidRPr="00261C59">
        <w:rPr>
          <w:rFonts w:ascii="Calibri" w:hAnsi="Calibri"/>
          <w:sz w:val="24"/>
          <w:szCs w:val="24"/>
        </w:rPr>
        <w:t>Each national body in I</w:t>
      </w:r>
      <w:r w:rsidR="009E029B" w:rsidRPr="00261C59">
        <w:rPr>
          <w:rFonts w:ascii="Calibri" w:hAnsi="Calibri"/>
          <w:sz w:val="24"/>
          <w:szCs w:val="24"/>
        </w:rPr>
        <w:t>7</w:t>
      </w:r>
      <w:r w:rsidRPr="00261C59">
        <w:rPr>
          <w:rFonts w:ascii="Calibri" w:hAnsi="Calibri"/>
          <w:sz w:val="24"/>
          <w:szCs w:val="24"/>
        </w:rPr>
        <w:t xml:space="preserve">8 will publish details of Commonwealth and State compliance with their data requirements on a quarterly basis. </w:t>
      </w:r>
    </w:p>
    <w:p w14:paraId="04EE7D9E" w14:textId="77777777" w:rsidR="00F62C4A" w:rsidRPr="00261C59" w:rsidRDefault="00F62C4A" w:rsidP="004728D9">
      <w:pPr>
        <w:keepLines/>
        <w:widowControl/>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Where patient identified data is required for purposes of the compliance function, including calculation of the national efficient price, States will continue to provide that data with patients identified by a Medicare Card Number to Services Australia. Services Australia will then de-identify that data and provide it to the relevant national body. Where patient identified data is required it will be subject to relevant Commonwealth and State statutory protections of individuals’ privacy. </w:t>
      </w:r>
    </w:p>
    <w:p w14:paraId="4C55B797"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The Commonwealth Department of Health, Disability and Ageing will be able to access relevant matched data to allow it to perform Medicare compliance activities and State health departments will be able to access a copy of the matched data relevant to their jurisdiction for verification purposes.</w:t>
      </w:r>
    </w:p>
    <w:p w14:paraId="0F71079B" w14:textId="77777777"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For non-compliance purposes such as payment reforms, data provision and use, including use of personal or government identifiers such as Healthcare Identifiers, will be agreed between Parties and/or national bodies in line with the appropriate legislation. New governance arrangements for data sharing may be established in line with Schedule H.</w:t>
      </w:r>
    </w:p>
    <w:p w14:paraId="7E3D806C" w14:textId="67541075" w:rsidR="00F62C4A" w:rsidRPr="00261C59" w:rsidRDefault="00F62C4A" w:rsidP="004728D9">
      <w:pPr>
        <w:numPr>
          <w:ilvl w:val="0"/>
          <w:numId w:val="17"/>
        </w:numPr>
        <w:spacing w:after="240" w:line="260" w:lineRule="exact"/>
        <w:jc w:val="left"/>
        <w:rPr>
          <w:rFonts w:ascii="Calibri" w:hAnsi="Calibri" w:cs="Calibri"/>
          <w:color w:val="000000"/>
          <w:sz w:val="24"/>
          <w:szCs w:val="24"/>
        </w:rPr>
      </w:pPr>
      <w:r w:rsidRPr="00261C59">
        <w:rPr>
          <w:rFonts w:ascii="Calibri" w:hAnsi="Calibri" w:cs="Calibri"/>
          <w:color w:val="000000" w:themeColor="text1"/>
          <w:sz w:val="24"/>
          <w:szCs w:val="24"/>
        </w:rPr>
        <w:t>To ensure States can effectively fulfil their responsibilities in public hospital and health service management and planning, the Commonwealth will provide reasonable access to LHN-level and PHN-level data about Commonwealth programs</w:t>
      </w:r>
      <w:r w:rsidRPr="00261C59">
        <w:rPr>
          <w:rFonts w:ascii="Calibri" w:hAnsi="Calibri" w:cs="Calibri"/>
          <w:sz w:val="24"/>
          <w:szCs w:val="24"/>
        </w:rPr>
        <w:t xml:space="preserve"> in accordance with arrangements under Schedule C (</w:t>
      </w:r>
      <w:r w:rsidR="00056A26">
        <w:rPr>
          <w:rFonts w:ascii="Calibri" w:hAnsi="Calibri" w:cs="Calibri"/>
          <w:sz w:val="24"/>
          <w:szCs w:val="24"/>
        </w:rPr>
        <w:t>System i</w:t>
      </w:r>
      <w:r w:rsidRPr="00261C59">
        <w:rPr>
          <w:rFonts w:ascii="Calibri" w:hAnsi="Calibri" w:cs="Calibri"/>
          <w:sz w:val="24"/>
          <w:szCs w:val="24"/>
        </w:rPr>
        <w:t>nterface reform), Schedule H (</w:t>
      </w:r>
      <w:r w:rsidR="00AF361A">
        <w:rPr>
          <w:rFonts w:ascii="Calibri" w:hAnsi="Calibri" w:cs="Calibri"/>
          <w:sz w:val="24"/>
          <w:szCs w:val="24"/>
        </w:rPr>
        <w:t>Performance, data and digital reforms</w:t>
      </w:r>
      <w:r w:rsidRPr="00261C59">
        <w:rPr>
          <w:rFonts w:ascii="Calibri" w:hAnsi="Calibri" w:cs="Calibri"/>
          <w:sz w:val="24"/>
          <w:szCs w:val="24"/>
        </w:rPr>
        <w:t>) and Schedule E (Local governance)</w:t>
      </w:r>
      <w:r w:rsidRPr="00261C59">
        <w:rPr>
          <w:rFonts w:ascii="Calibri" w:hAnsi="Calibri" w:cs="Calibri"/>
          <w:color w:val="000000" w:themeColor="text1"/>
          <w:sz w:val="24"/>
          <w:szCs w:val="24"/>
        </w:rPr>
        <w:t>. HMM will agree appropriate protocols and procedures to govern operation of this arrangement, including compliance with Commonwealth legislative obligations.</w:t>
      </w:r>
    </w:p>
    <w:p w14:paraId="1874BB81" w14:textId="3D1DBDB2" w:rsidR="00F62C4A" w:rsidRPr="00261C59" w:rsidRDefault="00F62C4A" w:rsidP="004728D9">
      <w:pPr>
        <w:keepNext/>
        <w:widowControl/>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 xml:space="preserve">As set out in </w:t>
      </w:r>
      <w:r w:rsidRPr="00261C59">
        <w:rPr>
          <w:rFonts w:ascii="Calibri" w:hAnsi="Calibri"/>
          <w:sz w:val="24"/>
        </w:rPr>
        <w:t>clause I12 and I</w:t>
      </w:r>
      <w:r w:rsidR="00A276C5" w:rsidRPr="00261C59">
        <w:rPr>
          <w:rFonts w:ascii="Calibri" w:hAnsi="Calibri"/>
          <w:sz w:val="24"/>
        </w:rPr>
        <w:t>79</w:t>
      </w:r>
      <w:r w:rsidRPr="00261C59">
        <w:rPr>
          <w:rFonts w:ascii="Calibri" w:hAnsi="Calibri"/>
          <w:sz w:val="24"/>
        </w:rPr>
        <w:t>(e),</w:t>
      </w:r>
      <w:r w:rsidRPr="00261C59">
        <w:rPr>
          <w:rFonts w:ascii="Calibri" w:hAnsi="Calibri" w:cs="Calibri"/>
          <w:sz w:val="24"/>
          <w:szCs w:val="24"/>
        </w:rPr>
        <w:t xml:space="preserve"> data provided to the national bodies may be shared between agencies as set out by the following principles: </w:t>
      </w:r>
    </w:p>
    <w:p w14:paraId="5149F88A" w14:textId="3E9ED33D" w:rsidR="00F62C4A" w:rsidRPr="00261C59" w:rsidRDefault="00F62C4A" w:rsidP="004728D9">
      <w:pPr>
        <w:numPr>
          <w:ilvl w:val="1"/>
          <w:numId w:val="220"/>
        </w:numPr>
        <w:spacing w:after="240" w:line="260" w:lineRule="exact"/>
        <w:jc w:val="left"/>
        <w:rPr>
          <w:rFonts w:ascii="Calibri" w:hAnsi="Calibri"/>
          <w:sz w:val="24"/>
          <w:szCs w:val="24"/>
        </w:rPr>
      </w:pPr>
      <w:r w:rsidRPr="00261C59">
        <w:rPr>
          <w:rFonts w:ascii="Calibri" w:hAnsi="Calibri"/>
          <w:sz w:val="24"/>
          <w:szCs w:val="24"/>
        </w:rPr>
        <w:t>the national bodies will be able to access data to allow them to meet their functions as set out by this Addendum and as set required in their data plans</w:t>
      </w:r>
    </w:p>
    <w:p w14:paraId="1DD09436" w14:textId="427932CE" w:rsidR="00F62C4A" w:rsidRPr="00261C59" w:rsidRDefault="00F62C4A" w:rsidP="004728D9">
      <w:pPr>
        <w:numPr>
          <w:ilvl w:val="1"/>
          <w:numId w:val="220"/>
        </w:numPr>
        <w:spacing w:after="240" w:line="260" w:lineRule="exact"/>
        <w:jc w:val="left"/>
        <w:rPr>
          <w:rFonts w:ascii="Calibri" w:hAnsi="Calibri"/>
          <w:sz w:val="24"/>
          <w:szCs w:val="24"/>
        </w:rPr>
      </w:pPr>
      <w:r w:rsidRPr="00261C59">
        <w:rPr>
          <w:rFonts w:ascii="Calibri" w:hAnsi="Calibri"/>
          <w:sz w:val="24"/>
          <w:szCs w:val="24"/>
        </w:rPr>
        <w:t>the Australian Bureau of Statistics will be able to access relevant data required to meet its legislative and contractual reporting requirements</w:t>
      </w:r>
    </w:p>
    <w:p w14:paraId="65D2996E" w14:textId="36B114D6" w:rsidR="00F62C4A" w:rsidRPr="00261C59" w:rsidRDefault="00F62C4A" w:rsidP="004728D9">
      <w:pPr>
        <w:numPr>
          <w:ilvl w:val="1"/>
          <w:numId w:val="220"/>
        </w:numPr>
        <w:spacing w:after="240" w:line="260" w:lineRule="exact"/>
        <w:jc w:val="left"/>
        <w:rPr>
          <w:rFonts w:ascii="Calibri" w:hAnsi="Calibri"/>
          <w:sz w:val="24"/>
          <w:szCs w:val="24"/>
        </w:rPr>
      </w:pPr>
      <w:r w:rsidRPr="00261C59">
        <w:rPr>
          <w:rFonts w:ascii="Calibri" w:hAnsi="Calibri"/>
          <w:sz w:val="24"/>
          <w:szCs w:val="24"/>
        </w:rPr>
        <w:t>the AIHW will be able to access relevant data to allow it to meet its statutory and contractual reporting requirements</w:t>
      </w:r>
    </w:p>
    <w:p w14:paraId="5B550B8B" w14:textId="2320A6F0" w:rsidR="00F62C4A" w:rsidRPr="00261C59" w:rsidRDefault="00F62C4A" w:rsidP="004728D9">
      <w:pPr>
        <w:numPr>
          <w:ilvl w:val="1"/>
          <w:numId w:val="220"/>
        </w:numPr>
        <w:spacing w:after="240" w:line="260" w:lineRule="exact"/>
        <w:jc w:val="left"/>
        <w:rPr>
          <w:rFonts w:ascii="Calibri" w:hAnsi="Calibri"/>
          <w:sz w:val="24"/>
          <w:szCs w:val="24"/>
        </w:rPr>
      </w:pPr>
      <w:r w:rsidRPr="00261C59">
        <w:rPr>
          <w:rFonts w:ascii="Calibri" w:hAnsi="Calibri"/>
          <w:sz w:val="24"/>
          <w:szCs w:val="24"/>
        </w:rPr>
        <w:t>Services Australia will be able to access data to perform its role of de-identifying patient level data to allow the Administrator to perform their functions</w:t>
      </w:r>
    </w:p>
    <w:p w14:paraId="68A8B3A0" w14:textId="77777777" w:rsidR="00F62C4A" w:rsidRPr="00261C59" w:rsidRDefault="00F62C4A" w:rsidP="004728D9">
      <w:pPr>
        <w:numPr>
          <w:ilvl w:val="1"/>
          <w:numId w:val="220"/>
        </w:numPr>
        <w:spacing w:after="240" w:line="260" w:lineRule="exact"/>
        <w:jc w:val="left"/>
        <w:rPr>
          <w:rFonts w:ascii="Calibri" w:hAnsi="Calibri"/>
          <w:sz w:val="24"/>
          <w:szCs w:val="24"/>
        </w:rPr>
      </w:pPr>
      <w:r w:rsidRPr="00261C59">
        <w:rPr>
          <w:rFonts w:ascii="Calibri" w:hAnsi="Calibri"/>
          <w:sz w:val="24"/>
          <w:szCs w:val="24"/>
        </w:rPr>
        <w:t>the Commonwealth Department of Health, Disability and Ageing, the Commonwealth Department of Veterans’ Affairs, the Commonwealth Treasury, State health departments and State treasuries will be able to access all de</w:t>
      </w:r>
      <w:r w:rsidRPr="00261C59">
        <w:rPr>
          <w:rFonts w:ascii="Calibri" w:hAnsi="Calibri"/>
          <w:sz w:val="24"/>
          <w:szCs w:val="24"/>
        </w:rPr>
        <w:noBreakHyphen/>
        <w:t>identified data for the purposes of policy analysis and planning.</w:t>
      </w:r>
    </w:p>
    <w:p w14:paraId="2B00030D" w14:textId="39032C6F" w:rsidR="00F62C4A" w:rsidRPr="00261C59" w:rsidRDefault="00F62C4A" w:rsidP="004728D9">
      <w:pPr>
        <w:widowControl/>
        <w:numPr>
          <w:ilvl w:val="0"/>
          <w:numId w:val="17"/>
        </w:numPr>
        <w:spacing w:after="240" w:line="260" w:lineRule="exact"/>
        <w:jc w:val="left"/>
        <w:rPr>
          <w:rFonts w:ascii="Calibri" w:hAnsi="Calibri" w:cs="Calibri"/>
          <w:color w:val="000000"/>
          <w:sz w:val="24"/>
          <w:szCs w:val="24"/>
        </w:rPr>
      </w:pPr>
      <w:r w:rsidRPr="00261C59">
        <w:rPr>
          <w:rFonts w:ascii="Calibri" w:hAnsi="Calibri" w:cs="Calibri"/>
          <w:sz w:val="24"/>
          <w:szCs w:val="24"/>
        </w:rPr>
        <w:t xml:space="preserve">The agencies in </w:t>
      </w:r>
      <w:r w:rsidRPr="00261C59">
        <w:rPr>
          <w:rFonts w:ascii="Calibri" w:hAnsi="Calibri"/>
          <w:sz w:val="24"/>
        </w:rPr>
        <w:t>clause I</w:t>
      </w:r>
      <w:r w:rsidR="00D36168" w:rsidRPr="00261C59">
        <w:rPr>
          <w:rFonts w:ascii="Calibri" w:hAnsi="Calibri"/>
          <w:sz w:val="24"/>
        </w:rPr>
        <w:t>89</w:t>
      </w:r>
      <w:r w:rsidRPr="00261C59">
        <w:rPr>
          <w:rFonts w:ascii="Calibri" w:hAnsi="Calibri"/>
          <w:sz w:val="24"/>
        </w:rPr>
        <w:t>(e)</w:t>
      </w:r>
      <w:r w:rsidRPr="00261C59">
        <w:rPr>
          <w:rFonts w:ascii="Calibri" w:hAnsi="Calibri" w:cs="Calibri"/>
          <w:sz w:val="24"/>
          <w:szCs w:val="24"/>
        </w:rPr>
        <w:t xml:space="preserve"> will not publish, use in any way publicly, or provide data to a third party without the express written approval of the originating jurisdiction, except where there is a legislative basis to do so.</w:t>
      </w:r>
    </w:p>
    <w:p w14:paraId="3A81E237" w14:textId="49CC5ED6" w:rsidR="00F62C4A" w:rsidRPr="00261C59" w:rsidRDefault="00F62C4A" w:rsidP="004728D9">
      <w:pPr>
        <w:widowControl/>
        <w:numPr>
          <w:ilvl w:val="0"/>
          <w:numId w:val="17"/>
        </w:numPr>
        <w:spacing w:after="240" w:line="260" w:lineRule="exact"/>
        <w:jc w:val="left"/>
        <w:rPr>
          <w:rFonts w:ascii="Calibri" w:hAnsi="Calibri" w:cs="Calibri"/>
          <w:color w:val="000000"/>
          <w:sz w:val="24"/>
          <w:szCs w:val="24"/>
        </w:rPr>
      </w:pPr>
      <w:r w:rsidRPr="00261C59">
        <w:rPr>
          <w:rFonts w:ascii="Calibri" w:hAnsi="Calibri" w:cs="Calibri"/>
          <w:color w:val="000000" w:themeColor="text1"/>
          <w:sz w:val="24"/>
          <w:szCs w:val="24"/>
        </w:rPr>
        <w:t xml:space="preserve">In using the data available, all agencies listed in </w:t>
      </w:r>
      <w:r w:rsidRPr="00261C59">
        <w:rPr>
          <w:rFonts w:ascii="Calibri" w:hAnsi="Calibri"/>
          <w:color w:val="000000" w:themeColor="text1"/>
          <w:sz w:val="24"/>
        </w:rPr>
        <w:t>clause I</w:t>
      </w:r>
      <w:r w:rsidR="00644D05" w:rsidRPr="00261C59">
        <w:rPr>
          <w:rFonts w:ascii="Calibri" w:hAnsi="Calibri"/>
          <w:color w:val="000000" w:themeColor="text1"/>
          <w:sz w:val="24"/>
        </w:rPr>
        <w:t>89</w:t>
      </w:r>
      <w:r w:rsidRPr="00261C59">
        <w:rPr>
          <w:rFonts w:ascii="Calibri" w:hAnsi="Calibri" w:cs="Calibri"/>
          <w:color w:val="000000" w:themeColor="text1"/>
          <w:sz w:val="24"/>
          <w:szCs w:val="24"/>
        </w:rPr>
        <w:t xml:space="preserve"> will have regard to the caveats and limitations of the collected data.  </w:t>
      </w:r>
    </w:p>
    <w:p w14:paraId="23D01F50" w14:textId="405F20A4" w:rsidR="00F62C4A" w:rsidRPr="00261C59" w:rsidRDefault="00F62C4A" w:rsidP="00C66169">
      <w:pPr>
        <w:keepLines/>
        <w:numPr>
          <w:ilvl w:val="0"/>
          <w:numId w:val="17"/>
        </w:numPr>
        <w:spacing w:after="240" w:line="260" w:lineRule="exact"/>
        <w:jc w:val="left"/>
        <w:rPr>
          <w:rFonts w:ascii="Calibri" w:hAnsi="Calibri" w:cs="Calibri"/>
          <w:color w:val="000000"/>
          <w:sz w:val="24"/>
          <w:szCs w:val="24"/>
        </w:rPr>
      </w:pPr>
      <w:r w:rsidRPr="00261C59">
        <w:rPr>
          <w:rFonts w:ascii="Calibri" w:hAnsi="Calibri" w:cs="Calibri"/>
          <w:sz w:val="24"/>
          <w:szCs w:val="24"/>
        </w:rPr>
        <w:t>The Commonwealth and the States will take responsibility for data integrity within their systems and agree to establish appropriate independent oversight mechanisms for data integrity, to provide certainty to the Australian public about the actual performance of health services. Parties will notify the Administrator of established oversight mechanisms related to data provided under I8</w:t>
      </w:r>
      <w:r w:rsidR="00E25B41" w:rsidRPr="00261C59">
        <w:rPr>
          <w:rFonts w:ascii="Calibri" w:hAnsi="Calibri" w:cs="Calibri"/>
          <w:sz w:val="24"/>
          <w:szCs w:val="24"/>
        </w:rPr>
        <w:t>4</w:t>
      </w:r>
      <w:r w:rsidRPr="00261C59">
        <w:rPr>
          <w:rFonts w:ascii="Calibri" w:hAnsi="Calibri" w:cs="Calibri"/>
          <w:sz w:val="24"/>
          <w:szCs w:val="24"/>
        </w:rPr>
        <w:t xml:space="preserve"> by 30 June 2027 and will then provide annual updates.</w:t>
      </w:r>
    </w:p>
    <w:p w14:paraId="024E16E9" w14:textId="77777777" w:rsidR="00F62C4A" w:rsidRPr="00261C59" w:rsidRDefault="00F62C4A" w:rsidP="002E5D9D">
      <w:pPr>
        <w:pStyle w:val="Heading4"/>
        <w:jc w:val="left"/>
        <w:rPr>
          <w:lang w:eastAsia="ja-JP"/>
        </w:rPr>
      </w:pPr>
      <w:r w:rsidRPr="00261C59">
        <w:rPr>
          <w:lang w:eastAsia="ja-JP"/>
        </w:rPr>
        <w:t>Statement of Assurance</w:t>
      </w:r>
    </w:p>
    <w:p w14:paraId="08D189C4" w14:textId="00C6235A" w:rsidR="00F62C4A" w:rsidRPr="00261C59" w:rsidRDefault="00F62C4A" w:rsidP="004728D9">
      <w:pPr>
        <w:numPr>
          <w:ilvl w:val="0"/>
          <w:numId w:val="17"/>
        </w:numPr>
        <w:spacing w:after="240" w:line="260" w:lineRule="exact"/>
        <w:jc w:val="left"/>
        <w:rPr>
          <w:rFonts w:ascii="Calibri" w:hAnsi="Calibri" w:cs="Calibri"/>
          <w:sz w:val="24"/>
          <w:szCs w:val="24"/>
        </w:rPr>
      </w:pPr>
      <w:r w:rsidRPr="00261C59">
        <w:rPr>
          <w:rFonts w:ascii="Calibri" w:hAnsi="Calibri" w:cs="Calibri"/>
          <w:sz w:val="24"/>
          <w:szCs w:val="24"/>
        </w:rPr>
        <w:t>States will provide the IHACPA with a Statement of Assurance from a senior health department official on the completeness and accuracy of approved data submissions provided under clauses</w:t>
      </w:r>
      <w:r w:rsidRPr="00261C59">
        <w:rPr>
          <w:rFonts w:ascii="Calibri" w:hAnsi="Calibri"/>
          <w:sz w:val="24"/>
        </w:rPr>
        <w:t xml:space="preserve"> A</w:t>
      </w:r>
      <w:r w:rsidR="009A3E40" w:rsidRPr="00261C59">
        <w:rPr>
          <w:rFonts w:ascii="Calibri" w:hAnsi="Calibri"/>
          <w:sz w:val="24"/>
        </w:rPr>
        <w:t>134</w:t>
      </w:r>
      <w:r w:rsidRPr="00261C59">
        <w:rPr>
          <w:rFonts w:ascii="Calibri" w:hAnsi="Calibri"/>
          <w:sz w:val="24"/>
        </w:rPr>
        <w:t>, I</w:t>
      </w:r>
      <w:r w:rsidR="00777E3D">
        <w:rPr>
          <w:rFonts w:ascii="Calibri" w:hAnsi="Calibri"/>
          <w:sz w:val="24"/>
        </w:rPr>
        <w:t>89</w:t>
      </w:r>
      <w:r w:rsidRPr="00261C59">
        <w:rPr>
          <w:rFonts w:ascii="Calibri" w:hAnsi="Calibri"/>
          <w:sz w:val="24"/>
        </w:rPr>
        <w:t xml:space="preserve"> and I9</w:t>
      </w:r>
      <w:r w:rsidR="00777E3D">
        <w:rPr>
          <w:rFonts w:ascii="Calibri" w:hAnsi="Calibri"/>
          <w:sz w:val="24"/>
        </w:rPr>
        <w:t>2</w:t>
      </w:r>
      <w:r w:rsidRPr="00261C59">
        <w:rPr>
          <w:rFonts w:ascii="Calibri" w:hAnsi="Calibri" w:cs="Calibri"/>
          <w:sz w:val="24"/>
          <w:szCs w:val="24"/>
        </w:rPr>
        <w:t xml:space="preserve"> of this Addendum: </w:t>
      </w:r>
    </w:p>
    <w:p w14:paraId="699EE29E" w14:textId="16029157" w:rsidR="00F62C4A" w:rsidRPr="00261C59" w:rsidRDefault="00F62C4A" w:rsidP="004728D9">
      <w:pPr>
        <w:numPr>
          <w:ilvl w:val="1"/>
          <w:numId w:val="221"/>
        </w:numPr>
        <w:spacing w:after="240" w:line="260" w:lineRule="exact"/>
        <w:jc w:val="left"/>
        <w:rPr>
          <w:rFonts w:ascii="Calibri" w:hAnsi="Calibri" w:cs="Calibri"/>
          <w:sz w:val="24"/>
          <w:szCs w:val="24"/>
        </w:rPr>
      </w:pPr>
      <w:r w:rsidRPr="00261C59">
        <w:rPr>
          <w:rFonts w:ascii="Calibri" w:hAnsi="Calibri" w:cs="Calibri"/>
          <w:sz w:val="24"/>
          <w:szCs w:val="24"/>
        </w:rPr>
        <w:t xml:space="preserve">consistent with </w:t>
      </w:r>
      <w:r w:rsidRPr="00261C59">
        <w:rPr>
          <w:rFonts w:ascii="Calibri" w:hAnsi="Calibri"/>
          <w:sz w:val="24"/>
        </w:rPr>
        <w:t>clause I</w:t>
      </w:r>
      <w:r w:rsidR="00194625" w:rsidRPr="00261C59">
        <w:rPr>
          <w:rFonts w:ascii="Calibri" w:hAnsi="Calibri"/>
          <w:sz w:val="24"/>
        </w:rPr>
        <w:t>8</w:t>
      </w:r>
      <w:r w:rsidRPr="00261C59">
        <w:rPr>
          <w:rFonts w:ascii="Calibri" w:hAnsi="Calibri"/>
          <w:sz w:val="24"/>
        </w:rPr>
        <w:t>9</w:t>
      </w:r>
      <w:r w:rsidRPr="00261C59">
        <w:rPr>
          <w:rFonts w:ascii="Calibri" w:hAnsi="Calibri" w:cs="Calibri"/>
          <w:sz w:val="24"/>
          <w:szCs w:val="24"/>
        </w:rPr>
        <w:t>, the IHACPA will provide statements of assurance to the Administrator</w:t>
      </w:r>
    </w:p>
    <w:p w14:paraId="0F68C400" w14:textId="7B8E74B8" w:rsidR="00F62C4A" w:rsidRPr="00261C59" w:rsidRDefault="00F62C4A" w:rsidP="004728D9">
      <w:pPr>
        <w:numPr>
          <w:ilvl w:val="1"/>
          <w:numId w:val="221"/>
        </w:numPr>
        <w:spacing w:after="240" w:line="260" w:lineRule="exact"/>
        <w:jc w:val="left"/>
        <w:rPr>
          <w:rFonts w:ascii="Calibri" w:hAnsi="Calibri" w:cs="Calibri"/>
          <w:sz w:val="24"/>
          <w:szCs w:val="24"/>
        </w:rPr>
      </w:pPr>
      <w:r w:rsidRPr="00261C59">
        <w:rPr>
          <w:rFonts w:ascii="Calibri" w:hAnsi="Calibri" w:cs="Calibri"/>
          <w:sz w:val="24"/>
          <w:szCs w:val="24"/>
        </w:rPr>
        <w:t>States will use the Statement of Assurance template agreed by HCEF</w:t>
      </w:r>
    </w:p>
    <w:p w14:paraId="4133DAD0" w14:textId="77777777" w:rsidR="00F62C4A" w:rsidRPr="00261C59" w:rsidRDefault="00F62C4A" w:rsidP="004728D9">
      <w:pPr>
        <w:numPr>
          <w:ilvl w:val="1"/>
          <w:numId w:val="221"/>
        </w:numPr>
        <w:spacing w:after="240" w:line="260" w:lineRule="exact"/>
        <w:jc w:val="left"/>
        <w:rPr>
          <w:rFonts w:ascii="Calibri" w:hAnsi="Calibri" w:cs="Calibri"/>
          <w:sz w:val="24"/>
          <w:szCs w:val="24"/>
        </w:rPr>
      </w:pPr>
      <w:r w:rsidRPr="00261C59">
        <w:rPr>
          <w:rFonts w:ascii="Calibri" w:hAnsi="Calibri" w:cs="Calibri"/>
          <w:sz w:val="24"/>
          <w:szCs w:val="24"/>
        </w:rPr>
        <w:t xml:space="preserve">provision of the Statement of Assurance does not prevent a State from resubmitting data to improve previous submissions, subject to the requirements in </w:t>
      </w:r>
      <w:r w:rsidRPr="00261C59">
        <w:rPr>
          <w:rFonts w:ascii="Calibri" w:hAnsi="Calibri"/>
          <w:sz w:val="24"/>
        </w:rPr>
        <w:t>clause A78</w:t>
      </w:r>
      <w:r w:rsidRPr="00261C59">
        <w:rPr>
          <w:rFonts w:ascii="Calibri" w:hAnsi="Calibri" w:cs="Calibri"/>
          <w:sz w:val="24"/>
          <w:szCs w:val="24"/>
        </w:rPr>
        <w:t xml:space="preserve">. Each approved submission or resubmission of data will be accompanied by a Statement of Assurance. </w:t>
      </w:r>
    </w:p>
    <w:p w14:paraId="0E73D040" w14:textId="397839A7" w:rsidR="00841915" w:rsidRPr="00261C59" w:rsidRDefault="00F62C4A" w:rsidP="004728D9">
      <w:pPr>
        <w:numPr>
          <w:ilvl w:val="0"/>
          <w:numId w:val="17"/>
        </w:numPr>
        <w:spacing w:before="0" w:after="240" w:line="260" w:lineRule="exact"/>
        <w:jc w:val="left"/>
        <w:rPr>
          <w:rFonts w:ascii="Calibri" w:hAnsi="Calibri" w:cs="Calibri"/>
          <w:sz w:val="24"/>
          <w:szCs w:val="24"/>
        </w:rPr>
      </w:pPr>
      <w:r w:rsidRPr="00261C59">
        <w:rPr>
          <w:rFonts w:ascii="Calibri" w:hAnsi="Calibri" w:cs="Calibri"/>
          <w:sz w:val="24"/>
          <w:szCs w:val="24"/>
        </w:rPr>
        <w:t xml:space="preserve">Data provided to the Administrator by the Commonwealth under </w:t>
      </w:r>
      <w:r w:rsidRPr="00261C59">
        <w:rPr>
          <w:rFonts w:ascii="Calibri" w:hAnsi="Calibri"/>
          <w:sz w:val="24"/>
        </w:rPr>
        <w:t>clauses A8 and A9</w:t>
      </w:r>
      <w:r w:rsidRPr="00261C59">
        <w:rPr>
          <w:rFonts w:ascii="Calibri" w:hAnsi="Calibri" w:cs="Calibri"/>
          <w:sz w:val="24"/>
          <w:szCs w:val="24"/>
        </w:rPr>
        <w:t xml:space="preserve"> will also require a Statement of Assurance on data completeness and accuracy submitted by the relevant Divisional Data Steward in the Department of Health, Disability and Ageing.</w:t>
      </w:r>
    </w:p>
    <w:bookmarkEnd w:id="857"/>
    <w:p w14:paraId="7F9B771F" w14:textId="77777777" w:rsidR="0074734D" w:rsidRPr="00261C59" w:rsidRDefault="0074734D" w:rsidP="00814D08">
      <w:pPr>
        <w:pStyle w:val="Heading1"/>
        <w:keepLines w:val="0"/>
        <w:widowControl/>
        <w:tabs>
          <w:tab w:val="clear" w:pos="567"/>
        </w:tabs>
        <w:adjustRightInd/>
        <w:spacing w:before="120" w:after="180"/>
        <w:jc w:val="left"/>
        <w:textAlignment w:val="auto"/>
        <w:rPr>
          <w:rFonts w:ascii="Consolas" w:eastAsia="Times New Roman" w:hAnsi="Consolas" w:cs="Arial"/>
          <w:b w:val="0"/>
          <w:caps/>
          <w:color w:val="980033"/>
          <w:kern w:val="32"/>
          <w:szCs w:val="36"/>
        </w:rPr>
        <w:sectPr w:rsidR="0074734D" w:rsidRPr="00261C59" w:rsidSect="00975D83">
          <w:headerReference w:type="even" r:id="rId20"/>
          <w:headerReference w:type="first" r:id="rId21"/>
          <w:pgSz w:w="11906" w:h="16838"/>
          <w:pgMar w:top="1440" w:right="1274" w:bottom="1440" w:left="1134" w:header="708" w:footer="708" w:gutter="0"/>
          <w:cols w:space="708"/>
          <w:docGrid w:linePitch="360"/>
        </w:sectPr>
      </w:pPr>
    </w:p>
    <w:p w14:paraId="4FB367DF" w14:textId="61BE6674" w:rsidR="000F1379" w:rsidRPr="00261C59" w:rsidRDefault="000F1379" w:rsidP="00814D08">
      <w:pPr>
        <w:pStyle w:val="Heading1"/>
        <w:keepLines w:val="0"/>
        <w:widowControl/>
        <w:tabs>
          <w:tab w:val="clear" w:pos="567"/>
        </w:tabs>
        <w:adjustRightInd/>
        <w:spacing w:before="120" w:after="180"/>
        <w:jc w:val="left"/>
        <w:textAlignment w:val="auto"/>
        <w:rPr>
          <w:rFonts w:ascii="Consolas" w:eastAsia="Times New Roman" w:hAnsi="Consolas" w:cs="Arial"/>
          <w:b w:val="0"/>
          <w:caps/>
          <w:color w:val="980033"/>
          <w:kern w:val="32"/>
          <w:szCs w:val="36"/>
        </w:rPr>
      </w:pPr>
      <w:bookmarkStart w:id="909" w:name="_Toc210833712"/>
      <w:bookmarkStart w:id="910" w:name="_Toc214456612"/>
      <w:bookmarkStart w:id="911" w:name="_Toc221088097"/>
      <w:r w:rsidRPr="00261C59">
        <w:rPr>
          <w:rFonts w:ascii="Consolas" w:eastAsia="Times New Roman" w:hAnsi="Consolas" w:cs="Arial"/>
          <w:b w:val="0"/>
          <w:caps/>
          <w:color w:val="980033"/>
          <w:kern w:val="32"/>
          <w:szCs w:val="36"/>
        </w:rPr>
        <w:t xml:space="preserve">SCHEDULE </w:t>
      </w:r>
      <w:r w:rsidR="00263871" w:rsidRPr="00261C59">
        <w:rPr>
          <w:rFonts w:ascii="Consolas" w:eastAsia="Times New Roman" w:hAnsi="Consolas" w:cs="Arial"/>
          <w:b w:val="0"/>
          <w:caps/>
          <w:color w:val="980033"/>
          <w:kern w:val="32"/>
          <w:szCs w:val="36"/>
        </w:rPr>
        <w:t>J</w:t>
      </w:r>
      <w:r w:rsidRPr="00261C59">
        <w:rPr>
          <w:rFonts w:ascii="Consolas" w:eastAsia="Times New Roman" w:hAnsi="Consolas" w:cs="Arial"/>
          <w:b w:val="0"/>
          <w:caps/>
          <w:color w:val="980033"/>
          <w:kern w:val="32"/>
          <w:szCs w:val="36"/>
        </w:rPr>
        <w:t xml:space="preserve"> – B</w:t>
      </w:r>
      <w:r w:rsidR="00731671">
        <w:rPr>
          <w:rFonts w:ascii="Consolas" w:eastAsia="Times New Roman" w:hAnsi="Consolas" w:cs="Arial"/>
          <w:b w:val="0"/>
          <w:caps/>
          <w:color w:val="980033"/>
          <w:kern w:val="32"/>
          <w:szCs w:val="36"/>
        </w:rPr>
        <w:t>usiness rules</w:t>
      </w:r>
      <w:bookmarkEnd w:id="909"/>
      <w:bookmarkEnd w:id="910"/>
      <w:bookmarkEnd w:id="911"/>
      <w:r w:rsidRPr="00261C59">
        <w:rPr>
          <w:rFonts w:ascii="Consolas" w:eastAsia="Times New Roman" w:hAnsi="Consolas" w:cs="Arial"/>
          <w:b w:val="0"/>
          <w:caps/>
          <w:color w:val="980033"/>
          <w:kern w:val="32"/>
          <w:szCs w:val="36"/>
        </w:rPr>
        <w:t xml:space="preserve"> </w:t>
      </w:r>
    </w:p>
    <w:p w14:paraId="548E5E7E" w14:textId="77777777" w:rsidR="008E4671" w:rsidRPr="00261C59" w:rsidRDefault="008E4671" w:rsidP="004728D9">
      <w:pPr>
        <w:numPr>
          <w:ilvl w:val="0"/>
          <w:numId w:val="3"/>
        </w:numPr>
        <w:spacing w:after="240" w:line="260" w:lineRule="exact"/>
        <w:jc w:val="left"/>
        <w:rPr>
          <w:rFonts w:ascii="Calibri" w:hAnsi="Calibri"/>
          <w:sz w:val="24"/>
          <w:szCs w:val="24"/>
        </w:rPr>
      </w:pPr>
      <w:bookmarkStart w:id="912" w:name="_Toc297973842"/>
      <w:bookmarkStart w:id="913" w:name="_Toc521666920"/>
      <w:bookmarkStart w:id="914" w:name="_Toc173937797"/>
      <w:r w:rsidRPr="00261C59">
        <w:rPr>
          <w:rFonts w:ascii="Calibri" w:hAnsi="Calibri"/>
          <w:sz w:val="24"/>
          <w:szCs w:val="24"/>
        </w:rPr>
        <w:t>The following Business Rules are for service providers required to operate under the National Health Reform Agreement. These rules may be amended at any time with agreement in writing by all the Parties or on behalf of the Parties by the Commonwealth, State and Territory Health Ministers.</w:t>
      </w:r>
    </w:p>
    <w:p w14:paraId="74CBEB33" w14:textId="77777777" w:rsidR="008E4671" w:rsidRPr="00261C59" w:rsidRDefault="008E4671" w:rsidP="00EC22A3">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915" w:name="_Toc201674074"/>
      <w:bookmarkStart w:id="916" w:name="_Toc210833713"/>
      <w:bookmarkStart w:id="917" w:name="_Toc214456613"/>
      <w:bookmarkStart w:id="918" w:name="_Toc221088098"/>
      <w:r w:rsidRPr="00261C59">
        <w:rPr>
          <w:rFonts w:ascii="Corbel" w:eastAsia="Times New Roman" w:hAnsi="Corbel" w:cs="Arial"/>
          <w:iCs/>
          <w:color w:val="3D4B67"/>
          <w:sz w:val="28"/>
          <w:szCs w:val="28"/>
        </w:rPr>
        <w:t>Public patient charges</w:t>
      </w:r>
      <w:bookmarkEnd w:id="912"/>
      <w:bookmarkEnd w:id="913"/>
      <w:bookmarkEnd w:id="914"/>
      <w:bookmarkEnd w:id="915"/>
      <w:bookmarkEnd w:id="916"/>
      <w:bookmarkEnd w:id="917"/>
      <w:bookmarkEnd w:id="918"/>
    </w:p>
    <w:p w14:paraId="4E0B0527"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Where an eligible person receives public hospital services as a public patient no charges will be raised, except for the following services provided to non-admitted patients and, in relation to (f) only, to admitted patients upon separation:</w:t>
      </w:r>
    </w:p>
    <w:p w14:paraId="17D18C4D" w14:textId="77777777" w:rsidR="008E4671" w:rsidRPr="00261C59" w:rsidRDefault="008E4671" w:rsidP="004728D9">
      <w:pPr>
        <w:numPr>
          <w:ilvl w:val="1"/>
          <w:numId w:val="223"/>
        </w:numPr>
        <w:spacing w:after="240" w:line="260" w:lineRule="exact"/>
        <w:jc w:val="left"/>
        <w:rPr>
          <w:rFonts w:ascii="Calibri" w:hAnsi="Calibri"/>
          <w:sz w:val="24"/>
          <w:szCs w:val="24"/>
        </w:rPr>
      </w:pPr>
      <w:r w:rsidRPr="00261C59">
        <w:rPr>
          <w:rFonts w:ascii="Calibri" w:hAnsi="Calibri"/>
          <w:sz w:val="24"/>
          <w:szCs w:val="24"/>
        </w:rPr>
        <w:t>dental services</w:t>
      </w:r>
    </w:p>
    <w:p w14:paraId="5D00255C" w14:textId="77777777" w:rsidR="008E4671" w:rsidRPr="00261C59" w:rsidRDefault="008E4671" w:rsidP="004728D9">
      <w:pPr>
        <w:numPr>
          <w:ilvl w:val="1"/>
          <w:numId w:val="223"/>
        </w:numPr>
        <w:spacing w:after="240" w:line="260" w:lineRule="exact"/>
        <w:jc w:val="left"/>
        <w:rPr>
          <w:rFonts w:ascii="Calibri" w:hAnsi="Calibri"/>
          <w:sz w:val="24"/>
          <w:szCs w:val="24"/>
        </w:rPr>
      </w:pPr>
      <w:r w:rsidRPr="00261C59">
        <w:rPr>
          <w:rFonts w:ascii="Calibri" w:hAnsi="Calibri"/>
          <w:sz w:val="24"/>
          <w:szCs w:val="24"/>
        </w:rPr>
        <w:t>spectacles and hearing aids</w:t>
      </w:r>
    </w:p>
    <w:p w14:paraId="69A62DE2" w14:textId="77777777" w:rsidR="008E4671" w:rsidRPr="00261C59" w:rsidRDefault="008E4671" w:rsidP="004728D9">
      <w:pPr>
        <w:numPr>
          <w:ilvl w:val="1"/>
          <w:numId w:val="223"/>
        </w:numPr>
        <w:spacing w:after="240" w:line="260" w:lineRule="exact"/>
        <w:jc w:val="left"/>
        <w:rPr>
          <w:rFonts w:ascii="Calibri" w:hAnsi="Calibri"/>
          <w:sz w:val="24"/>
          <w:szCs w:val="24"/>
        </w:rPr>
      </w:pPr>
      <w:r w:rsidRPr="00261C59">
        <w:rPr>
          <w:rFonts w:ascii="Calibri" w:hAnsi="Calibri"/>
          <w:sz w:val="24"/>
          <w:szCs w:val="24"/>
        </w:rPr>
        <w:t>surgical supplies</w:t>
      </w:r>
    </w:p>
    <w:p w14:paraId="273B33C9" w14:textId="77777777" w:rsidR="008E4671" w:rsidRPr="00261C59" w:rsidRDefault="008E4671" w:rsidP="004728D9">
      <w:pPr>
        <w:numPr>
          <w:ilvl w:val="1"/>
          <w:numId w:val="223"/>
        </w:numPr>
        <w:spacing w:after="240" w:line="260" w:lineRule="exact"/>
        <w:jc w:val="left"/>
        <w:rPr>
          <w:rFonts w:ascii="Calibri" w:hAnsi="Calibri"/>
          <w:sz w:val="24"/>
          <w:szCs w:val="24"/>
        </w:rPr>
      </w:pPr>
      <w:r w:rsidRPr="00261C59">
        <w:rPr>
          <w:rFonts w:ascii="Calibri" w:hAnsi="Calibri"/>
          <w:sz w:val="24"/>
          <w:szCs w:val="24"/>
        </w:rPr>
        <w:t>prostheses – however, this does not include the following classes of prostheses, which must be provided free of charge:</w:t>
      </w:r>
    </w:p>
    <w:p w14:paraId="253E6317" w14:textId="77777777" w:rsidR="008E4671" w:rsidRPr="00261C59" w:rsidRDefault="008E4671" w:rsidP="004728D9">
      <w:pPr>
        <w:numPr>
          <w:ilvl w:val="2"/>
          <w:numId w:val="223"/>
        </w:numPr>
        <w:spacing w:after="240" w:line="260" w:lineRule="exact"/>
        <w:jc w:val="left"/>
        <w:rPr>
          <w:rFonts w:ascii="Calibri" w:hAnsi="Calibri" w:cs="Calibri"/>
          <w:sz w:val="24"/>
          <w:szCs w:val="24"/>
        </w:rPr>
      </w:pPr>
      <w:r w:rsidRPr="00261C59">
        <w:rPr>
          <w:rFonts w:ascii="Calibri" w:hAnsi="Calibri" w:cs="Calibri"/>
          <w:sz w:val="24"/>
          <w:szCs w:val="24"/>
        </w:rPr>
        <w:t>artificial limbs</w:t>
      </w:r>
    </w:p>
    <w:p w14:paraId="656C1E41" w14:textId="4B49B339" w:rsidR="008E4671" w:rsidRPr="00261C59" w:rsidRDefault="008E4671" w:rsidP="004728D9">
      <w:pPr>
        <w:numPr>
          <w:ilvl w:val="2"/>
          <w:numId w:val="223"/>
        </w:numPr>
        <w:spacing w:after="240" w:line="260" w:lineRule="exact"/>
        <w:jc w:val="left"/>
        <w:rPr>
          <w:rFonts w:ascii="Calibri" w:hAnsi="Calibri" w:cs="Calibri"/>
          <w:sz w:val="24"/>
          <w:szCs w:val="24"/>
        </w:rPr>
      </w:pPr>
      <w:r w:rsidRPr="00261C59">
        <w:rPr>
          <w:rFonts w:ascii="Calibri" w:hAnsi="Calibri" w:cs="Calibri"/>
          <w:sz w:val="24"/>
          <w:szCs w:val="24"/>
        </w:rPr>
        <w:t>prostheses which are surgically implanted, either permanently or temporarily or are directly related to a clinically necessary surgical procedure</w:t>
      </w:r>
    </w:p>
    <w:p w14:paraId="7FD18697" w14:textId="77777777" w:rsidR="008E4671" w:rsidRPr="00261C59" w:rsidRDefault="008E4671" w:rsidP="004728D9">
      <w:pPr>
        <w:numPr>
          <w:ilvl w:val="1"/>
          <w:numId w:val="223"/>
        </w:numPr>
        <w:spacing w:after="240" w:line="260" w:lineRule="exact"/>
        <w:jc w:val="left"/>
        <w:rPr>
          <w:rFonts w:ascii="Calibri" w:hAnsi="Calibri"/>
          <w:sz w:val="24"/>
          <w:szCs w:val="24"/>
        </w:rPr>
      </w:pPr>
      <w:r w:rsidRPr="00261C59">
        <w:rPr>
          <w:rFonts w:ascii="Calibri" w:hAnsi="Calibri"/>
          <w:sz w:val="24"/>
          <w:szCs w:val="24"/>
        </w:rPr>
        <w:t>external breast prostheses funded by the National External Breast Prostheses Reimbursement Program</w:t>
      </w:r>
    </w:p>
    <w:p w14:paraId="24254D09" w14:textId="77777777" w:rsidR="008E4671" w:rsidRPr="00261C59" w:rsidRDefault="008E4671" w:rsidP="004728D9">
      <w:pPr>
        <w:numPr>
          <w:ilvl w:val="1"/>
          <w:numId w:val="223"/>
        </w:numPr>
        <w:spacing w:after="240" w:line="260" w:lineRule="exact"/>
        <w:jc w:val="left"/>
        <w:rPr>
          <w:rFonts w:ascii="Calibri" w:hAnsi="Calibri"/>
          <w:sz w:val="24"/>
          <w:szCs w:val="24"/>
        </w:rPr>
      </w:pPr>
      <w:r w:rsidRPr="00261C59">
        <w:rPr>
          <w:rFonts w:ascii="Calibri" w:hAnsi="Calibri"/>
          <w:sz w:val="24"/>
          <w:szCs w:val="24"/>
        </w:rPr>
        <w:t>pharmaceuticals at a level consistent with the Pharmaceutical Benefits Scheme (PBS) statutory co</w:t>
      </w:r>
      <w:r w:rsidRPr="00261C59">
        <w:rPr>
          <w:rFonts w:ascii="Calibri" w:hAnsi="Calibri"/>
          <w:sz w:val="24"/>
          <w:szCs w:val="24"/>
        </w:rPr>
        <w:noBreakHyphen/>
        <w:t>payments</w:t>
      </w:r>
    </w:p>
    <w:p w14:paraId="4609279D" w14:textId="77777777" w:rsidR="008E4671" w:rsidRPr="00261C59" w:rsidRDefault="008E4671" w:rsidP="004728D9">
      <w:pPr>
        <w:numPr>
          <w:ilvl w:val="1"/>
          <w:numId w:val="223"/>
        </w:numPr>
        <w:spacing w:after="240" w:line="260" w:lineRule="exact"/>
        <w:jc w:val="left"/>
        <w:rPr>
          <w:rFonts w:ascii="Calibri" w:hAnsi="Calibri"/>
          <w:sz w:val="24"/>
          <w:szCs w:val="24"/>
        </w:rPr>
      </w:pPr>
      <w:r w:rsidRPr="00261C59">
        <w:rPr>
          <w:rFonts w:ascii="Calibri" w:hAnsi="Calibri"/>
          <w:sz w:val="24"/>
          <w:szCs w:val="24"/>
        </w:rPr>
        <w:t>aids, appliances and home modifications</w:t>
      </w:r>
    </w:p>
    <w:p w14:paraId="6841879A" w14:textId="77777777" w:rsidR="008E4671" w:rsidRPr="00261C59" w:rsidRDefault="008E4671" w:rsidP="004728D9">
      <w:pPr>
        <w:numPr>
          <w:ilvl w:val="1"/>
          <w:numId w:val="223"/>
        </w:numPr>
        <w:spacing w:after="240" w:line="260" w:lineRule="exact"/>
        <w:jc w:val="left"/>
        <w:rPr>
          <w:rFonts w:ascii="Calibri" w:hAnsi="Calibri"/>
          <w:sz w:val="24"/>
          <w:szCs w:val="24"/>
        </w:rPr>
      </w:pPr>
      <w:r w:rsidRPr="00261C59">
        <w:rPr>
          <w:rFonts w:ascii="Calibri" w:hAnsi="Calibri"/>
          <w:sz w:val="24"/>
          <w:szCs w:val="24"/>
        </w:rPr>
        <w:t>other services as agreed between the Commonwealth and States.</w:t>
      </w:r>
    </w:p>
    <w:p w14:paraId="34FC096B"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 xml:space="preserve">States can charge public patients requiring nursing care and accommodation as an end in itself after the 35th day of stay in hospital providing they no longer need hospital level treatment, with the total daily amount charged being no more than 87.5 per cent of the current daily rate of the single aged pension and the maximum daily rate of rental assistance. </w:t>
      </w:r>
    </w:p>
    <w:p w14:paraId="44022BFB" w14:textId="77777777" w:rsidR="008E4671" w:rsidRPr="00261C59" w:rsidRDefault="008E4671" w:rsidP="00EC22A3">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919" w:name="_Toc297973843"/>
      <w:bookmarkStart w:id="920" w:name="_Toc521666921"/>
      <w:bookmarkStart w:id="921" w:name="_Toc173937798"/>
      <w:bookmarkStart w:id="922" w:name="_Toc201674075"/>
      <w:bookmarkStart w:id="923" w:name="_Toc210833714"/>
      <w:bookmarkStart w:id="924" w:name="_Toc214456614"/>
      <w:bookmarkStart w:id="925" w:name="_Toc221088099"/>
      <w:r w:rsidRPr="00261C59">
        <w:rPr>
          <w:rFonts w:ascii="Corbel" w:eastAsia="Times New Roman" w:hAnsi="Corbel" w:cs="Arial"/>
          <w:iCs/>
          <w:color w:val="3D4B67"/>
          <w:sz w:val="28"/>
          <w:szCs w:val="28"/>
        </w:rPr>
        <w:t>Charges for patients other than public patients</w:t>
      </w:r>
      <w:bookmarkEnd w:id="919"/>
      <w:bookmarkEnd w:id="920"/>
      <w:bookmarkEnd w:id="921"/>
      <w:bookmarkEnd w:id="922"/>
      <w:bookmarkEnd w:id="923"/>
      <w:bookmarkEnd w:id="924"/>
      <w:bookmarkEnd w:id="925"/>
    </w:p>
    <w:p w14:paraId="225E1B6B"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 xml:space="preserve">Private patients, compensable patients and ineligible persons may be charged an amount for public hospital services as determined by the State. </w:t>
      </w:r>
    </w:p>
    <w:p w14:paraId="0F4EAC8B"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Notwithstanding clause J4, pharmaceutical services to private patients, while they receive services as admitted patients, will be provided free of charge and cannot be claimed against the PBS.</w:t>
      </w:r>
    </w:p>
    <w:p w14:paraId="583E0DB6" w14:textId="77777777" w:rsidR="008E4671" w:rsidRPr="00261C59" w:rsidRDefault="008E4671" w:rsidP="003D2F22">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926" w:name="_Toc297973845"/>
      <w:bookmarkStart w:id="927" w:name="_Toc521666923"/>
      <w:bookmarkStart w:id="928" w:name="_Toc173937800"/>
      <w:bookmarkStart w:id="929" w:name="_Toc201674076"/>
      <w:bookmarkStart w:id="930" w:name="_Toc210833715"/>
      <w:bookmarkStart w:id="931" w:name="_Toc214456615"/>
      <w:bookmarkStart w:id="932" w:name="_Toc221088100"/>
      <w:r w:rsidRPr="00261C59">
        <w:rPr>
          <w:rFonts w:ascii="Corbel" w:eastAsia="Times New Roman" w:hAnsi="Corbel" w:cs="Arial"/>
          <w:iCs/>
          <w:color w:val="3D4B67"/>
          <w:sz w:val="28"/>
          <w:szCs w:val="28"/>
        </w:rPr>
        <w:t>Public health services</w:t>
      </w:r>
      <w:bookmarkEnd w:id="926"/>
      <w:bookmarkEnd w:id="927"/>
      <w:bookmarkEnd w:id="928"/>
      <w:bookmarkEnd w:id="929"/>
      <w:bookmarkEnd w:id="930"/>
      <w:bookmarkEnd w:id="931"/>
      <w:bookmarkEnd w:id="932"/>
    </w:p>
    <w:p w14:paraId="5FA0E851" w14:textId="77777777" w:rsidR="008E4671" w:rsidRPr="00261C59" w:rsidRDefault="008E4671" w:rsidP="003D2F22">
      <w:pPr>
        <w:keepLines/>
        <w:numPr>
          <w:ilvl w:val="0"/>
          <w:numId w:val="3"/>
        </w:numPr>
        <w:spacing w:after="240" w:line="260" w:lineRule="exact"/>
        <w:jc w:val="left"/>
        <w:rPr>
          <w:rFonts w:ascii="Calibri" w:hAnsi="Calibri"/>
          <w:sz w:val="24"/>
          <w:szCs w:val="24"/>
        </w:rPr>
      </w:pPr>
      <w:r w:rsidRPr="00261C59">
        <w:rPr>
          <w:rFonts w:ascii="Calibri" w:hAnsi="Calibri"/>
          <w:sz w:val="24"/>
          <w:szCs w:val="24"/>
        </w:rPr>
        <w:t>States and the Commonwealth will deliver public health services in accordance with the objectives, principles, roles and responsibilities, and any applicable standards, agreed in relevant national strategies, programs or initiatives.</w:t>
      </w:r>
    </w:p>
    <w:p w14:paraId="3AFD462A" w14:textId="77777777" w:rsidR="008E4671" w:rsidRPr="00261C59" w:rsidRDefault="008E4671" w:rsidP="00EC22A3">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933" w:name="_Toc297973846"/>
      <w:bookmarkStart w:id="934" w:name="_Toc521666924"/>
      <w:bookmarkStart w:id="935" w:name="_Toc173937801"/>
      <w:bookmarkStart w:id="936" w:name="_Toc201674077"/>
      <w:bookmarkStart w:id="937" w:name="_Toc210833716"/>
      <w:bookmarkStart w:id="938" w:name="_Toc214456616"/>
      <w:bookmarkStart w:id="939" w:name="_Toc221088101"/>
      <w:r w:rsidRPr="00261C59">
        <w:rPr>
          <w:rFonts w:ascii="Corbel" w:eastAsia="Times New Roman" w:hAnsi="Corbel" w:cs="Arial"/>
          <w:iCs/>
          <w:color w:val="3D4B67"/>
          <w:sz w:val="28"/>
          <w:szCs w:val="28"/>
        </w:rPr>
        <w:t>Public patients’ charter and complaints bodies</w:t>
      </w:r>
      <w:bookmarkEnd w:id="933"/>
      <w:bookmarkEnd w:id="934"/>
      <w:bookmarkEnd w:id="935"/>
      <w:bookmarkEnd w:id="936"/>
      <w:bookmarkEnd w:id="937"/>
      <w:bookmarkEnd w:id="938"/>
      <w:bookmarkEnd w:id="939"/>
      <w:r w:rsidRPr="00261C59">
        <w:rPr>
          <w:rFonts w:ascii="Corbel" w:eastAsia="Times New Roman" w:hAnsi="Corbel" w:cs="Arial"/>
          <w:iCs/>
          <w:color w:val="3D4B67"/>
          <w:sz w:val="28"/>
          <w:szCs w:val="28"/>
        </w:rPr>
        <w:t xml:space="preserve"> </w:t>
      </w:r>
    </w:p>
    <w:p w14:paraId="217991D3" w14:textId="77777777" w:rsidR="008E4671" w:rsidRPr="00261C59" w:rsidRDefault="008E4671" w:rsidP="001C629E">
      <w:pPr>
        <w:numPr>
          <w:ilvl w:val="0"/>
          <w:numId w:val="3"/>
        </w:numPr>
        <w:spacing w:before="0" w:after="240" w:line="260" w:lineRule="exact"/>
        <w:jc w:val="left"/>
        <w:rPr>
          <w:rFonts w:ascii="Calibri" w:hAnsi="Calibri"/>
          <w:sz w:val="24"/>
          <w:szCs w:val="24"/>
        </w:rPr>
      </w:pPr>
      <w:r w:rsidRPr="00261C59">
        <w:rPr>
          <w:rFonts w:ascii="Calibri" w:hAnsi="Calibri"/>
          <w:sz w:val="24"/>
          <w:szCs w:val="24"/>
        </w:rPr>
        <w:t>States agree to:</w:t>
      </w:r>
    </w:p>
    <w:p w14:paraId="4FDC19F4" w14:textId="0013B8B6" w:rsidR="008E4671" w:rsidRPr="00261C59" w:rsidRDefault="008E4671" w:rsidP="004728D9">
      <w:pPr>
        <w:numPr>
          <w:ilvl w:val="1"/>
          <w:numId w:val="224"/>
        </w:numPr>
        <w:spacing w:before="0" w:after="240" w:line="260" w:lineRule="exact"/>
        <w:jc w:val="left"/>
        <w:rPr>
          <w:rFonts w:ascii="Calibri" w:hAnsi="Calibri"/>
          <w:sz w:val="24"/>
          <w:szCs w:val="24"/>
        </w:rPr>
      </w:pPr>
      <w:r w:rsidRPr="00261C59">
        <w:rPr>
          <w:rFonts w:ascii="Calibri" w:hAnsi="Calibri"/>
          <w:sz w:val="24"/>
          <w:szCs w:val="24"/>
        </w:rPr>
        <w:t>continue the commitment under the previous health care agreements to preparing and distributing a Public Patients’ Hospital Charter (the Charter), in appropriate community languages to users of public hospital services</w:t>
      </w:r>
    </w:p>
    <w:p w14:paraId="49DC785C" w14:textId="77777777" w:rsidR="008E4671" w:rsidRPr="00261C59" w:rsidRDefault="008E4671" w:rsidP="004728D9">
      <w:pPr>
        <w:numPr>
          <w:ilvl w:val="1"/>
          <w:numId w:val="224"/>
        </w:numPr>
        <w:spacing w:before="0" w:after="240" w:line="260" w:lineRule="exact"/>
        <w:jc w:val="left"/>
        <w:rPr>
          <w:rFonts w:ascii="Calibri" w:hAnsi="Calibri"/>
          <w:sz w:val="24"/>
          <w:szCs w:val="24"/>
        </w:rPr>
      </w:pPr>
      <w:r w:rsidRPr="00261C59">
        <w:rPr>
          <w:rFonts w:ascii="Calibri" w:hAnsi="Calibri"/>
          <w:sz w:val="24"/>
          <w:szCs w:val="24"/>
        </w:rPr>
        <w:t>maintaining complaints bodies independent of the public hospital system to resolve complaints made by eligible persons about the provision of public hospital services received by them.</w:t>
      </w:r>
    </w:p>
    <w:p w14:paraId="2A024FA5" w14:textId="77777777" w:rsidR="008E4671" w:rsidRPr="00261C59" w:rsidRDefault="008E4671" w:rsidP="009E28EB">
      <w:pPr>
        <w:keepNext/>
        <w:jc w:val="left"/>
        <w:outlineLvl w:val="2"/>
        <w:rPr>
          <w:rFonts w:ascii="Corbel" w:hAnsi="Corbel" w:cs="Arial"/>
          <w:color w:val="3D4B67"/>
          <w:sz w:val="28"/>
          <w:szCs w:val="28"/>
        </w:rPr>
      </w:pPr>
      <w:bookmarkStart w:id="940" w:name="_Toc297973847"/>
      <w:bookmarkStart w:id="941" w:name="_Toc521666925"/>
      <w:bookmarkStart w:id="942" w:name="_Toc173937802"/>
      <w:bookmarkStart w:id="943" w:name="_Toc201674078"/>
      <w:bookmarkStart w:id="944" w:name="_Toc210833717"/>
      <w:bookmarkStart w:id="945" w:name="_Toc214456617"/>
      <w:bookmarkStart w:id="946" w:name="_Toc221088102"/>
      <w:r w:rsidRPr="00261C59">
        <w:rPr>
          <w:rFonts w:ascii="Corbel" w:hAnsi="Corbel" w:cs="Arial"/>
          <w:color w:val="3D4B67"/>
          <w:sz w:val="28"/>
          <w:szCs w:val="28"/>
        </w:rPr>
        <w:t>Public Patients’ Hospital Charter</w:t>
      </w:r>
      <w:bookmarkEnd w:id="940"/>
      <w:bookmarkEnd w:id="941"/>
      <w:bookmarkEnd w:id="942"/>
      <w:bookmarkEnd w:id="943"/>
      <w:bookmarkEnd w:id="944"/>
      <w:bookmarkEnd w:id="945"/>
      <w:bookmarkEnd w:id="946"/>
    </w:p>
    <w:p w14:paraId="35B627D6"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States agree to:</w:t>
      </w:r>
    </w:p>
    <w:p w14:paraId="28230DBE" w14:textId="0FA1BBF1" w:rsidR="008E4671" w:rsidRPr="00261C59" w:rsidRDefault="008E4671" w:rsidP="004728D9">
      <w:pPr>
        <w:numPr>
          <w:ilvl w:val="1"/>
          <w:numId w:val="225"/>
        </w:numPr>
        <w:spacing w:after="240" w:line="260" w:lineRule="exact"/>
        <w:jc w:val="left"/>
        <w:rPr>
          <w:rFonts w:ascii="Calibri" w:hAnsi="Calibri"/>
          <w:sz w:val="24"/>
          <w:szCs w:val="24"/>
        </w:rPr>
      </w:pPr>
      <w:r w:rsidRPr="00261C59">
        <w:rPr>
          <w:rFonts w:ascii="Calibri" w:hAnsi="Calibri"/>
          <w:sz w:val="24"/>
          <w:szCs w:val="24"/>
        </w:rPr>
        <w:t>maintain the existing Charter to ensure its relevance to public hospital services in consultation with the Australian Commission on Safety and Quality in Health Care (ACSQHC)</w:t>
      </w:r>
    </w:p>
    <w:p w14:paraId="63D2F30F" w14:textId="4AB3CB44" w:rsidR="008E4671" w:rsidRPr="00261C59" w:rsidRDefault="008E4671" w:rsidP="004728D9">
      <w:pPr>
        <w:numPr>
          <w:ilvl w:val="1"/>
          <w:numId w:val="225"/>
        </w:numPr>
        <w:spacing w:after="240" w:line="260" w:lineRule="exact"/>
        <w:jc w:val="left"/>
        <w:rPr>
          <w:rFonts w:ascii="Calibri" w:hAnsi="Calibri"/>
          <w:sz w:val="24"/>
          <w:szCs w:val="24"/>
        </w:rPr>
      </w:pPr>
      <w:r w:rsidRPr="00261C59">
        <w:rPr>
          <w:rFonts w:ascii="Calibri" w:hAnsi="Calibri"/>
          <w:sz w:val="24"/>
          <w:szCs w:val="24"/>
        </w:rPr>
        <w:t>provide the Charter in appropriate community languages and forms to ensure it is accessible to people with disabilities and from non-English speaking backgrounds</w:t>
      </w:r>
    </w:p>
    <w:p w14:paraId="2EC379C4" w14:textId="6E89D878" w:rsidR="008E4671" w:rsidRPr="00261C59" w:rsidRDefault="008E4671" w:rsidP="004728D9">
      <w:pPr>
        <w:numPr>
          <w:ilvl w:val="1"/>
          <w:numId w:val="225"/>
        </w:numPr>
        <w:spacing w:after="240" w:line="260" w:lineRule="exact"/>
        <w:jc w:val="left"/>
        <w:rPr>
          <w:rFonts w:ascii="Calibri" w:hAnsi="Calibri"/>
          <w:sz w:val="24"/>
          <w:szCs w:val="24"/>
        </w:rPr>
      </w:pPr>
      <w:r w:rsidRPr="00261C59">
        <w:rPr>
          <w:rFonts w:ascii="Calibri" w:hAnsi="Calibri"/>
          <w:sz w:val="24"/>
          <w:szCs w:val="24"/>
        </w:rPr>
        <w:t>develop and implement strategies for distributing the Charter to public hospital service users and carers</w:t>
      </w:r>
    </w:p>
    <w:p w14:paraId="1C231C96" w14:textId="77777777" w:rsidR="008E4671" w:rsidRPr="00261C59" w:rsidRDefault="008E4671" w:rsidP="004728D9">
      <w:pPr>
        <w:numPr>
          <w:ilvl w:val="1"/>
          <w:numId w:val="225"/>
        </w:numPr>
        <w:spacing w:after="240" w:line="260" w:lineRule="exact"/>
        <w:jc w:val="left"/>
        <w:rPr>
          <w:rFonts w:ascii="Calibri" w:hAnsi="Calibri"/>
          <w:sz w:val="24"/>
          <w:szCs w:val="24"/>
        </w:rPr>
      </w:pPr>
      <w:r w:rsidRPr="00261C59">
        <w:rPr>
          <w:rFonts w:ascii="Calibri" w:hAnsi="Calibri"/>
          <w:sz w:val="24"/>
          <w:szCs w:val="24"/>
        </w:rPr>
        <w:t>adhere to the Charter.</w:t>
      </w:r>
    </w:p>
    <w:p w14:paraId="0A0C6BCE"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 xml:space="preserve">States agree to the following minimum standards: </w:t>
      </w:r>
    </w:p>
    <w:p w14:paraId="199071FD" w14:textId="39426962" w:rsidR="008E4671" w:rsidRPr="00261C59" w:rsidRDefault="008E4671" w:rsidP="004728D9">
      <w:pPr>
        <w:numPr>
          <w:ilvl w:val="1"/>
          <w:numId w:val="226"/>
        </w:numPr>
        <w:spacing w:after="240" w:line="260" w:lineRule="exact"/>
        <w:jc w:val="left"/>
        <w:rPr>
          <w:rFonts w:ascii="Calibri" w:hAnsi="Calibri"/>
          <w:sz w:val="24"/>
          <w:szCs w:val="24"/>
        </w:rPr>
      </w:pPr>
      <w:r w:rsidRPr="00261C59">
        <w:rPr>
          <w:rFonts w:ascii="Calibri" w:hAnsi="Calibri"/>
          <w:sz w:val="24"/>
          <w:szCs w:val="24"/>
        </w:rPr>
        <w:t>the Charter will be promoted and made publicly available whenever public hospital services are provided</w:t>
      </w:r>
    </w:p>
    <w:p w14:paraId="5571BA92" w14:textId="77777777" w:rsidR="008E4671" w:rsidRPr="00261C59" w:rsidRDefault="008E4671" w:rsidP="004728D9">
      <w:pPr>
        <w:numPr>
          <w:ilvl w:val="1"/>
          <w:numId w:val="226"/>
        </w:numPr>
        <w:spacing w:after="240" w:line="260" w:lineRule="exact"/>
        <w:jc w:val="left"/>
        <w:rPr>
          <w:rFonts w:ascii="Calibri" w:hAnsi="Calibri"/>
          <w:sz w:val="24"/>
          <w:szCs w:val="24"/>
        </w:rPr>
      </w:pPr>
      <w:r w:rsidRPr="00261C59">
        <w:rPr>
          <w:rFonts w:ascii="Calibri" w:hAnsi="Calibri"/>
          <w:sz w:val="24"/>
          <w:szCs w:val="24"/>
        </w:rPr>
        <w:t>the Charter will set out:</w:t>
      </w:r>
    </w:p>
    <w:p w14:paraId="070F4DB5" w14:textId="43D19CC2" w:rsidR="008E4671" w:rsidRPr="00261C59" w:rsidRDefault="008E4671" w:rsidP="004728D9">
      <w:pPr>
        <w:numPr>
          <w:ilvl w:val="2"/>
          <w:numId w:val="226"/>
        </w:numPr>
        <w:spacing w:after="240" w:line="260" w:lineRule="exact"/>
        <w:jc w:val="left"/>
        <w:rPr>
          <w:rFonts w:ascii="Calibri" w:hAnsi="Calibri" w:cs="Calibri"/>
          <w:sz w:val="24"/>
          <w:szCs w:val="24"/>
        </w:rPr>
      </w:pPr>
      <w:r w:rsidRPr="00261C59">
        <w:rPr>
          <w:rFonts w:ascii="Calibri" w:hAnsi="Calibri" w:cs="Calibri"/>
          <w:sz w:val="24"/>
          <w:szCs w:val="24"/>
        </w:rPr>
        <w:t>how the principles included in this Addendum are to apply to the provision of public hospital services in States</w:t>
      </w:r>
    </w:p>
    <w:p w14:paraId="7124C3FC" w14:textId="5B77953E" w:rsidR="008E4671" w:rsidRPr="00261C59" w:rsidRDefault="008E4671" w:rsidP="004728D9">
      <w:pPr>
        <w:numPr>
          <w:ilvl w:val="2"/>
          <w:numId w:val="226"/>
        </w:numPr>
        <w:spacing w:after="240" w:line="260" w:lineRule="exact"/>
        <w:jc w:val="left"/>
        <w:rPr>
          <w:rFonts w:ascii="Calibri" w:hAnsi="Calibri" w:cs="Calibri"/>
          <w:sz w:val="24"/>
          <w:szCs w:val="24"/>
        </w:rPr>
      </w:pPr>
      <w:r w:rsidRPr="00261C59">
        <w:rPr>
          <w:rFonts w:ascii="Calibri" w:hAnsi="Calibri" w:cs="Calibri"/>
          <w:sz w:val="24"/>
          <w:szCs w:val="24"/>
        </w:rPr>
        <w:t>the process by which eligible persons can lodge complaints about the provision of public hospital services to them</w:t>
      </w:r>
    </w:p>
    <w:p w14:paraId="2A7F9355" w14:textId="15A55267" w:rsidR="008E4671" w:rsidRPr="00261C59" w:rsidRDefault="008E4671" w:rsidP="004728D9">
      <w:pPr>
        <w:numPr>
          <w:ilvl w:val="2"/>
          <w:numId w:val="226"/>
        </w:numPr>
        <w:spacing w:after="240" w:line="260" w:lineRule="exact"/>
        <w:jc w:val="left"/>
        <w:rPr>
          <w:rFonts w:ascii="Calibri" w:hAnsi="Calibri" w:cs="Calibri"/>
          <w:sz w:val="24"/>
          <w:szCs w:val="24"/>
        </w:rPr>
      </w:pPr>
      <w:r w:rsidRPr="00261C59">
        <w:rPr>
          <w:rFonts w:ascii="Calibri" w:hAnsi="Calibri" w:cs="Calibri"/>
          <w:sz w:val="24"/>
          <w:szCs w:val="24"/>
        </w:rPr>
        <w:t>that complaints may be referred to an independent complaints body</w:t>
      </w:r>
    </w:p>
    <w:p w14:paraId="7B43F639" w14:textId="0256FBF5" w:rsidR="008E4671" w:rsidRPr="00261C59" w:rsidRDefault="008E4671" w:rsidP="004728D9">
      <w:pPr>
        <w:numPr>
          <w:ilvl w:val="2"/>
          <w:numId w:val="226"/>
        </w:numPr>
        <w:spacing w:after="240" w:line="260" w:lineRule="exact"/>
        <w:jc w:val="left"/>
        <w:rPr>
          <w:rFonts w:ascii="Calibri" w:hAnsi="Calibri" w:cs="Calibri"/>
          <w:sz w:val="24"/>
          <w:szCs w:val="24"/>
        </w:rPr>
      </w:pPr>
      <w:r w:rsidRPr="00261C59">
        <w:rPr>
          <w:rFonts w:ascii="Calibri" w:hAnsi="Calibri" w:cs="Calibri"/>
          <w:sz w:val="24"/>
          <w:szCs w:val="24"/>
        </w:rPr>
        <w:t>a statement of the rights and responsibilities of consumers and public hospitals in the provision of public hospital services in States and the mechanisms available for user participation in public hospital services</w:t>
      </w:r>
    </w:p>
    <w:p w14:paraId="7949DA72" w14:textId="77777777" w:rsidR="008E4671" w:rsidRPr="00261C59" w:rsidRDefault="008E4671" w:rsidP="004728D9">
      <w:pPr>
        <w:widowControl/>
        <w:numPr>
          <w:ilvl w:val="2"/>
          <w:numId w:val="226"/>
        </w:numPr>
        <w:spacing w:after="240" w:line="260" w:lineRule="exact"/>
        <w:jc w:val="left"/>
        <w:rPr>
          <w:rFonts w:ascii="Calibri" w:hAnsi="Calibri" w:cs="Calibri"/>
          <w:sz w:val="24"/>
          <w:szCs w:val="24"/>
        </w:rPr>
      </w:pPr>
      <w:r w:rsidRPr="00261C59">
        <w:rPr>
          <w:rFonts w:ascii="Calibri" w:hAnsi="Calibri" w:cs="Calibri"/>
          <w:sz w:val="24"/>
          <w:szCs w:val="24"/>
        </w:rPr>
        <w:t xml:space="preserve">a statement of consumers’ rights to elect to be treated as either public or private patients within States’ public hospitals, regardless of their private health insurance status. </w:t>
      </w:r>
    </w:p>
    <w:p w14:paraId="214E3D6E" w14:textId="77777777" w:rsidR="008E4671" w:rsidRPr="00261C59" w:rsidRDefault="008E4671" w:rsidP="009E28EB">
      <w:pPr>
        <w:keepNext/>
        <w:jc w:val="left"/>
        <w:outlineLvl w:val="2"/>
        <w:rPr>
          <w:rFonts w:ascii="Corbel" w:hAnsi="Corbel" w:cs="Arial"/>
          <w:color w:val="3D4B67"/>
          <w:sz w:val="28"/>
          <w:szCs w:val="28"/>
        </w:rPr>
      </w:pPr>
      <w:bookmarkStart w:id="947" w:name="_Toc297973848"/>
      <w:bookmarkStart w:id="948" w:name="_Toc521666926"/>
      <w:bookmarkStart w:id="949" w:name="_Toc173937803"/>
      <w:bookmarkStart w:id="950" w:name="_Toc201674079"/>
      <w:bookmarkStart w:id="951" w:name="_Toc210833718"/>
      <w:bookmarkStart w:id="952" w:name="_Toc214456618"/>
      <w:bookmarkStart w:id="953" w:name="_Toc221088103"/>
      <w:r w:rsidRPr="00261C59">
        <w:rPr>
          <w:rFonts w:ascii="Corbel" w:hAnsi="Corbel" w:cs="Arial"/>
          <w:color w:val="3D4B67"/>
          <w:sz w:val="28"/>
          <w:szCs w:val="28"/>
        </w:rPr>
        <w:t>Independent Complaints Bodies</w:t>
      </w:r>
      <w:bookmarkEnd w:id="947"/>
      <w:bookmarkEnd w:id="948"/>
      <w:bookmarkEnd w:id="949"/>
      <w:bookmarkEnd w:id="950"/>
      <w:bookmarkEnd w:id="951"/>
      <w:bookmarkEnd w:id="952"/>
      <w:bookmarkEnd w:id="953"/>
    </w:p>
    <w:p w14:paraId="51975BBC"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 xml:space="preserve">States agree to maintain an independent complaints body to resolve complaints made by eligible persons about the provision of public hospital services to them. </w:t>
      </w:r>
    </w:p>
    <w:p w14:paraId="36A70CAB"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States agree to the following minimum standards:</w:t>
      </w:r>
    </w:p>
    <w:p w14:paraId="419DE000" w14:textId="6C988436" w:rsidR="008E4671" w:rsidRPr="00261C59" w:rsidRDefault="008E4671" w:rsidP="004728D9">
      <w:pPr>
        <w:numPr>
          <w:ilvl w:val="1"/>
          <w:numId w:val="227"/>
        </w:numPr>
        <w:spacing w:after="240" w:line="260" w:lineRule="exact"/>
        <w:jc w:val="left"/>
        <w:rPr>
          <w:rFonts w:ascii="Calibri" w:hAnsi="Calibri"/>
          <w:sz w:val="24"/>
          <w:szCs w:val="24"/>
        </w:rPr>
      </w:pPr>
      <w:r w:rsidRPr="00261C59">
        <w:rPr>
          <w:rFonts w:ascii="Calibri" w:hAnsi="Calibri"/>
          <w:sz w:val="24"/>
          <w:szCs w:val="24"/>
        </w:rPr>
        <w:t>the complaints body must be independent of bodies providing public hospital services and State health departments</w:t>
      </w:r>
    </w:p>
    <w:p w14:paraId="60A73EB5" w14:textId="3214F172" w:rsidR="008E4671" w:rsidRPr="00261C59" w:rsidRDefault="008E4671" w:rsidP="004728D9">
      <w:pPr>
        <w:numPr>
          <w:ilvl w:val="1"/>
          <w:numId w:val="227"/>
        </w:numPr>
        <w:spacing w:after="240" w:line="260" w:lineRule="exact"/>
        <w:jc w:val="left"/>
        <w:rPr>
          <w:rFonts w:ascii="Calibri" w:hAnsi="Calibri"/>
          <w:sz w:val="24"/>
          <w:szCs w:val="24"/>
        </w:rPr>
      </w:pPr>
      <w:r w:rsidRPr="00261C59">
        <w:rPr>
          <w:rFonts w:ascii="Calibri" w:hAnsi="Calibri"/>
          <w:sz w:val="24"/>
          <w:szCs w:val="24"/>
        </w:rPr>
        <w:t>the complaints body must be given powers to investigate, conciliate and/or adjudicate on complaints received by it</w:t>
      </w:r>
    </w:p>
    <w:p w14:paraId="0B1D9660" w14:textId="77777777" w:rsidR="008E4671" w:rsidRPr="00261C59" w:rsidRDefault="008E4671" w:rsidP="004728D9">
      <w:pPr>
        <w:numPr>
          <w:ilvl w:val="1"/>
          <w:numId w:val="227"/>
        </w:numPr>
        <w:spacing w:after="240" w:line="260" w:lineRule="exact"/>
        <w:jc w:val="left"/>
        <w:rPr>
          <w:rFonts w:ascii="Calibri" w:hAnsi="Calibri"/>
          <w:sz w:val="24"/>
          <w:szCs w:val="24"/>
        </w:rPr>
      </w:pPr>
      <w:r w:rsidRPr="00261C59">
        <w:rPr>
          <w:rFonts w:ascii="Calibri" w:hAnsi="Calibri"/>
          <w:sz w:val="24"/>
          <w:szCs w:val="24"/>
        </w:rPr>
        <w:t>the complaints body must be given the power to recommend systemic and specific improvements to the delivery of public hospital services.</w:t>
      </w:r>
    </w:p>
    <w:p w14:paraId="091E9494"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 xml:space="preserve">States agree each complaints body will provide an annual report on complaints received to the ACSQHC. These reports will include the volume and type of complaints received as well as any key trends. </w:t>
      </w:r>
    </w:p>
    <w:p w14:paraId="7536B1FA"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 xml:space="preserve">The ACSQHC may establish more detailed minimum requirements for inclusion in these reports.  </w:t>
      </w:r>
    </w:p>
    <w:p w14:paraId="4E56B736"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The Commonwealth and the States agree that the powers of the complaints body will not interfere with or override the operation of registration boards or disciplinary bodies in States and that the exercise of powers by the complaints body will not affect the rights that a person may have under common law or statute law.</w:t>
      </w:r>
    </w:p>
    <w:p w14:paraId="6FBF61F7"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To assist in making recommendations and taking action to improve the quality of public hospital services, States agree to implement a consistent national approach, agreed with the ACSQHC or any successor, to collecting and reporting health complaints data to improve services for patients.</w:t>
      </w:r>
    </w:p>
    <w:p w14:paraId="1C1E2849" w14:textId="46394E54" w:rsidR="008E4671" w:rsidRPr="00261C59" w:rsidRDefault="008E4671" w:rsidP="00EC22A3">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954" w:name="_Toc297973849"/>
      <w:bookmarkStart w:id="955" w:name="_Toc173937804"/>
      <w:bookmarkStart w:id="956" w:name="_Toc201674080"/>
      <w:bookmarkStart w:id="957" w:name="_Toc210833719"/>
      <w:bookmarkStart w:id="958" w:name="_Toc521666927"/>
      <w:bookmarkStart w:id="959" w:name="_Toc214456619"/>
      <w:bookmarkStart w:id="960" w:name="_Toc221088104"/>
      <w:r w:rsidRPr="00261C59">
        <w:rPr>
          <w:rFonts w:ascii="Corbel" w:eastAsia="Times New Roman" w:hAnsi="Corbel" w:cs="Arial"/>
          <w:iCs/>
          <w:color w:val="3D4B67"/>
          <w:sz w:val="28"/>
          <w:szCs w:val="28"/>
        </w:rPr>
        <w:t>Patient arrangements</w:t>
      </w:r>
      <w:bookmarkEnd w:id="954"/>
      <w:bookmarkEnd w:id="955"/>
      <w:bookmarkEnd w:id="956"/>
      <w:bookmarkEnd w:id="957"/>
      <w:bookmarkEnd w:id="958"/>
      <w:bookmarkEnd w:id="959"/>
      <w:bookmarkEnd w:id="960"/>
    </w:p>
    <w:p w14:paraId="4BFC2D32"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 xml:space="preserve">Election by eligible patients to receive admitted and non-admitted public hospital and health services as a public or private patient will be exercised in writing before, at the time of, or as soon as possible after presentation to a hospital or health service and must be made in accordance with the minimum standards set out in this Addendum. </w:t>
      </w:r>
    </w:p>
    <w:p w14:paraId="245EA53E"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 xml:space="preserve">Where a public or private patient requires multiple episodes of care as part of a course of treatment, including in both admitted and non-admitted care, the patient election will apply to those related episodes unless unforeseen circumstances occur. </w:t>
      </w:r>
    </w:p>
    <w:p w14:paraId="5DF5F956"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Private patients have a choice of doctor and all patients will make an election based on informed financial consent.</w:t>
      </w:r>
    </w:p>
    <w:p w14:paraId="406B52D3" w14:textId="77777777" w:rsidR="008E4671" w:rsidRPr="00261C59" w:rsidRDefault="008E4671" w:rsidP="004728D9">
      <w:pPr>
        <w:keepLines/>
        <w:widowControl/>
        <w:numPr>
          <w:ilvl w:val="0"/>
          <w:numId w:val="3"/>
        </w:numPr>
        <w:spacing w:after="240" w:line="260" w:lineRule="exact"/>
        <w:jc w:val="left"/>
        <w:rPr>
          <w:rFonts w:ascii="Calibri" w:hAnsi="Calibri"/>
          <w:sz w:val="24"/>
          <w:szCs w:val="24"/>
        </w:rPr>
      </w:pPr>
      <w:r w:rsidRPr="00261C59">
        <w:rPr>
          <w:rFonts w:ascii="Calibri" w:hAnsi="Calibri"/>
          <w:sz w:val="24"/>
          <w:szCs w:val="24"/>
        </w:rPr>
        <w:t>Where services are related to an episode of care or course of treatment, and the patient chooses to be treated as a public patient, they should be provided free of charge as a public hospital service, regardless of whether it is provided at the hospital or in private rooms.</w:t>
      </w:r>
    </w:p>
    <w:p w14:paraId="705548C8" w14:textId="77777777" w:rsidR="008E4671" w:rsidRPr="00261C59" w:rsidRDefault="008E4671" w:rsidP="004728D9">
      <w:pPr>
        <w:widowControl/>
        <w:numPr>
          <w:ilvl w:val="0"/>
          <w:numId w:val="3"/>
        </w:numPr>
        <w:spacing w:after="240" w:line="260" w:lineRule="exact"/>
        <w:jc w:val="left"/>
        <w:rPr>
          <w:rFonts w:ascii="Calibri" w:hAnsi="Calibri"/>
          <w:sz w:val="24"/>
          <w:szCs w:val="24"/>
        </w:rPr>
      </w:pPr>
      <w:r w:rsidRPr="00261C59">
        <w:rPr>
          <w:rFonts w:ascii="Calibri" w:hAnsi="Calibri"/>
          <w:sz w:val="24"/>
          <w:szCs w:val="24"/>
        </w:rPr>
        <w:t>Services provided to public patients should not generate charges against the Commonwealth MBS:</w:t>
      </w:r>
    </w:p>
    <w:p w14:paraId="12D62296" w14:textId="687F768E" w:rsidR="008E4671" w:rsidRPr="00261C59" w:rsidRDefault="008E4671" w:rsidP="004728D9">
      <w:pPr>
        <w:numPr>
          <w:ilvl w:val="1"/>
          <w:numId w:val="228"/>
        </w:numPr>
        <w:spacing w:after="240" w:line="260" w:lineRule="exact"/>
        <w:jc w:val="left"/>
        <w:rPr>
          <w:rFonts w:ascii="Calibri" w:hAnsi="Calibri"/>
          <w:sz w:val="24"/>
          <w:szCs w:val="24"/>
        </w:rPr>
      </w:pPr>
      <w:r w:rsidRPr="00261C59">
        <w:rPr>
          <w:rFonts w:ascii="Calibri" w:hAnsi="Calibri"/>
          <w:sz w:val="24"/>
          <w:szCs w:val="24"/>
        </w:rPr>
        <w:t>except where there is a third party payment arrangement with the hospital or the State, public patients cannot be referred to receive a component of their public hospital service from a medical specialist exercising a right of private practice under an agreement with a hospital which provides public hospital services</w:t>
      </w:r>
    </w:p>
    <w:p w14:paraId="3BF986C5" w14:textId="7CF4251C" w:rsidR="008E4671" w:rsidRPr="00261C59" w:rsidRDefault="008E4671" w:rsidP="004728D9">
      <w:pPr>
        <w:numPr>
          <w:ilvl w:val="1"/>
          <w:numId w:val="228"/>
        </w:numPr>
        <w:spacing w:after="240" w:line="260" w:lineRule="exact"/>
        <w:jc w:val="left"/>
        <w:rPr>
          <w:rFonts w:ascii="Calibri" w:hAnsi="Calibri"/>
          <w:sz w:val="24"/>
          <w:szCs w:val="24"/>
        </w:rPr>
      </w:pPr>
      <w:r w:rsidRPr="00261C59">
        <w:rPr>
          <w:rFonts w:ascii="Calibri" w:hAnsi="Calibri"/>
          <w:sz w:val="24"/>
          <w:szCs w:val="24"/>
        </w:rPr>
        <w:t>referral pathways must not be controlled so as to deny access to free public hospital services</w:t>
      </w:r>
    </w:p>
    <w:p w14:paraId="6EB408D5" w14:textId="77777777" w:rsidR="008E4671" w:rsidRPr="00261C59" w:rsidRDefault="008E4671" w:rsidP="004728D9">
      <w:pPr>
        <w:numPr>
          <w:ilvl w:val="1"/>
          <w:numId w:val="228"/>
        </w:numPr>
        <w:spacing w:after="240" w:line="260" w:lineRule="exact"/>
        <w:jc w:val="left"/>
        <w:rPr>
          <w:rFonts w:ascii="Calibri" w:hAnsi="Calibri"/>
          <w:sz w:val="24"/>
          <w:szCs w:val="24"/>
        </w:rPr>
      </w:pPr>
      <w:r w:rsidRPr="00261C59">
        <w:rPr>
          <w:rFonts w:ascii="Calibri" w:hAnsi="Calibri"/>
          <w:sz w:val="24"/>
          <w:szCs w:val="24"/>
        </w:rPr>
        <w:t>referral pathways must not be controlled so that a referral to a named specialist is a prerequisite for access to outpatient services.</w:t>
      </w:r>
    </w:p>
    <w:p w14:paraId="0BC3C858" w14:textId="67758682"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 xml:space="preserve">An eligible patient presenting at a public hospital emergency department will be treated as a public patient before admission. On admission, the patient will be given the choice to elect to be a public or private patient in accordance with the National Standards for Public Hospital Admitted </w:t>
      </w:r>
      <w:r w:rsidR="00ED345D" w:rsidRPr="00261C59">
        <w:rPr>
          <w:rFonts w:ascii="Calibri" w:hAnsi="Calibri"/>
          <w:sz w:val="24"/>
          <w:szCs w:val="24"/>
        </w:rPr>
        <w:t>and Non-</w:t>
      </w:r>
      <w:r w:rsidR="007F578D" w:rsidRPr="00261C59">
        <w:rPr>
          <w:rFonts w:ascii="Calibri" w:hAnsi="Calibri"/>
          <w:sz w:val="24"/>
          <w:szCs w:val="24"/>
        </w:rPr>
        <w:t xml:space="preserve">admitted </w:t>
      </w:r>
      <w:r w:rsidRPr="00261C59">
        <w:rPr>
          <w:rFonts w:ascii="Calibri" w:hAnsi="Calibri"/>
          <w:sz w:val="24"/>
          <w:szCs w:val="24"/>
        </w:rPr>
        <w:t>Patient Election processes (unless a third party has entered into an arrangement with the hospital or the State to pay for such services). If it is clinically appropriate, the hospital may provide information about alternative service providers, but must provide free treatment if the patient chooses to be treated at the hospital as a public patient. However:</w:t>
      </w:r>
    </w:p>
    <w:p w14:paraId="70E9A046" w14:textId="3D40A938" w:rsidR="008E4671" w:rsidRPr="00261C59" w:rsidRDefault="008E4671" w:rsidP="004728D9">
      <w:pPr>
        <w:numPr>
          <w:ilvl w:val="1"/>
          <w:numId w:val="229"/>
        </w:numPr>
        <w:spacing w:after="240" w:line="260" w:lineRule="exact"/>
        <w:jc w:val="left"/>
        <w:rPr>
          <w:rFonts w:ascii="Calibri" w:hAnsi="Calibri"/>
          <w:sz w:val="24"/>
          <w:szCs w:val="24"/>
        </w:rPr>
      </w:pPr>
      <w:r w:rsidRPr="00261C59">
        <w:rPr>
          <w:rFonts w:ascii="Calibri" w:hAnsi="Calibri"/>
          <w:sz w:val="24"/>
          <w:szCs w:val="24"/>
        </w:rPr>
        <w:t>a choice to receive services from an alternative service provider will not be made until the patient or legal guardian is fully informed of the consequences of that choice</w:t>
      </w:r>
    </w:p>
    <w:p w14:paraId="4DB68222" w14:textId="74A8A188" w:rsidR="008E4671" w:rsidRPr="00261C59" w:rsidRDefault="008E4671" w:rsidP="004728D9">
      <w:pPr>
        <w:numPr>
          <w:ilvl w:val="1"/>
          <w:numId w:val="229"/>
        </w:numPr>
        <w:spacing w:after="240" w:line="260" w:lineRule="exact"/>
        <w:jc w:val="left"/>
        <w:rPr>
          <w:rFonts w:ascii="Calibri" w:hAnsi="Calibri"/>
          <w:sz w:val="24"/>
          <w:szCs w:val="24"/>
        </w:rPr>
      </w:pPr>
      <w:r w:rsidRPr="00261C59">
        <w:rPr>
          <w:rFonts w:ascii="Calibri" w:hAnsi="Calibri"/>
          <w:sz w:val="24"/>
          <w:szCs w:val="24"/>
        </w:rPr>
        <w:t xml:space="preserve">hospital employees will not direct patients or their legal guardians towards a particular choice </w:t>
      </w:r>
    </w:p>
    <w:p w14:paraId="6DAB30FC" w14:textId="77777777" w:rsidR="008E4671" w:rsidRPr="00261C59" w:rsidRDefault="008E4671" w:rsidP="004728D9">
      <w:pPr>
        <w:numPr>
          <w:ilvl w:val="1"/>
          <w:numId w:val="229"/>
        </w:numPr>
        <w:spacing w:after="240" w:line="260" w:lineRule="exact"/>
        <w:jc w:val="left"/>
        <w:rPr>
          <w:rFonts w:ascii="Calibri" w:hAnsi="Calibri"/>
          <w:sz w:val="24"/>
          <w:szCs w:val="24"/>
        </w:rPr>
      </w:pPr>
      <w:r w:rsidRPr="00261C59">
        <w:rPr>
          <w:rFonts w:ascii="Calibri" w:hAnsi="Calibri"/>
          <w:sz w:val="24"/>
          <w:szCs w:val="24"/>
        </w:rPr>
        <w:t>a service that would otherwise be provided at a public hospital emergency department should not be postponed so that it can be provided as a private service.</w:t>
      </w:r>
    </w:p>
    <w:p w14:paraId="5B831D32"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An eligible patient presenting at a public hospital outpatient department will be treated free of charge as a public patient unless:</w:t>
      </w:r>
    </w:p>
    <w:p w14:paraId="5003E580" w14:textId="77777777" w:rsidR="008E4671" w:rsidRPr="00261C59" w:rsidRDefault="008E4671" w:rsidP="004728D9">
      <w:pPr>
        <w:numPr>
          <w:ilvl w:val="1"/>
          <w:numId w:val="230"/>
        </w:numPr>
        <w:spacing w:after="240" w:line="260" w:lineRule="exact"/>
        <w:jc w:val="left"/>
        <w:rPr>
          <w:rFonts w:ascii="Calibri" w:hAnsi="Calibri"/>
          <w:sz w:val="24"/>
          <w:szCs w:val="24"/>
        </w:rPr>
      </w:pPr>
      <w:r w:rsidRPr="00261C59">
        <w:rPr>
          <w:rFonts w:ascii="Calibri" w:hAnsi="Calibri"/>
          <w:sz w:val="24"/>
          <w:szCs w:val="24"/>
        </w:rPr>
        <w:t>there is a third party payment arrangement with the hospital or the State or Territory to pay for such services, or</w:t>
      </w:r>
    </w:p>
    <w:p w14:paraId="40882D47" w14:textId="3615AEC9" w:rsidR="008E4671" w:rsidRPr="00261C59" w:rsidRDefault="008E4671" w:rsidP="004728D9">
      <w:pPr>
        <w:numPr>
          <w:ilvl w:val="1"/>
          <w:numId w:val="230"/>
        </w:numPr>
        <w:spacing w:after="240" w:line="260" w:lineRule="exact"/>
        <w:jc w:val="left"/>
        <w:rPr>
          <w:rFonts w:ascii="Calibri" w:hAnsi="Calibri"/>
          <w:sz w:val="24"/>
          <w:szCs w:val="24"/>
        </w:rPr>
      </w:pPr>
      <w:r w:rsidRPr="00261C59">
        <w:rPr>
          <w:rFonts w:ascii="Calibri" w:hAnsi="Calibri"/>
          <w:sz w:val="24"/>
          <w:szCs w:val="24"/>
        </w:rPr>
        <w:t xml:space="preserve">the patient has been referred to a named medical specialist who is exercising a right of private practice and the patient chooses to be treated as a private patient. </w:t>
      </w:r>
    </w:p>
    <w:p w14:paraId="433DC519"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Where a patient chooses to be treated as a public patient, all components of the public hospital service will be regarded as a part of the patient’s treatment and will be provided free of charge, regardless of:</w:t>
      </w:r>
    </w:p>
    <w:p w14:paraId="33BF34C9" w14:textId="43A4AF73" w:rsidR="008E4671" w:rsidRPr="00261C59" w:rsidRDefault="008E4671" w:rsidP="004728D9">
      <w:pPr>
        <w:numPr>
          <w:ilvl w:val="1"/>
          <w:numId w:val="231"/>
        </w:numPr>
        <w:spacing w:after="240" w:line="260" w:lineRule="exact"/>
        <w:jc w:val="left"/>
        <w:rPr>
          <w:rFonts w:ascii="Calibri" w:hAnsi="Calibri"/>
          <w:sz w:val="24"/>
          <w:szCs w:val="24"/>
        </w:rPr>
      </w:pPr>
      <w:r w:rsidRPr="00261C59">
        <w:rPr>
          <w:rFonts w:ascii="Calibri" w:hAnsi="Calibri"/>
          <w:sz w:val="24"/>
          <w:szCs w:val="24"/>
        </w:rPr>
        <w:t xml:space="preserve">the mix of the care (for example, procedures, consultations, and diagnostic tests) </w:t>
      </w:r>
    </w:p>
    <w:p w14:paraId="4958E1A7" w14:textId="1FEB9763" w:rsidR="008E4671" w:rsidRPr="00261C59" w:rsidRDefault="008E4671" w:rsidP="004728D9">
      <w:pPr>
        <w:widowControl/>
        <w:numPr>
          <w:ilvl w:val="1"/>
          <w:numId w:val="231"/>
        </w:numPr>
        <w:spacing w:after="240" w:line="260" w:lineRule="exact"/>
        <w:jc w:val="left"/>
        <w:rPr>
          <w:rFonts w:ascii="Calibri" w:hAnsi="Calibri"/>
          <w:sz w:val="24"/>
          <w:szCs w:val="24"/>
        </w:rPr>
      </w:pPr>
      <w:r w:rsidRPr="00261C59">
        <w:rPr>
          <w:rFonts w:ascii="Calibri" w:hAnsi="Calibri"/>
          <w:sz w:val="24"/>
          <w:szCs w:val="24"/>
        </w:rPr>
        <w:t>the type of healthcare practitioner (for example, medical, allied health, and nurse practitioners)</w:t>
      </w:r>
    </w:p>
    <w:p w14:paraId="71D5AD50" w14:textId="77777777" w:rsidR="008E4671" w:rsidRPr="00261C59" w:rsidRDefault="008E4671" w:rsidP="004728D9">
      <w:pPr>
        <w:numPr>
          <w:ilvl w:val="1"/>
          <w:numId w:val="231"/>
        </w:numPr>
        <w:spacing w:after="240" w:line="260" w:lineRule="exact"/>
        <w:jc w:val="left"/>
        <w:rPr>
          <w:rFonts w:ascii="Calibri" w:hAnsi="Calibri"/>
          <w:sz w:val="24"/>
          <w:szCs w:val="24"/>
        </w:rPr>
      </w:pPr>
      <w:r w:rsidRPr="00261C59">
        <w:rPr>
          <w:rFonts w:ascii="Calibri" w:hAnsi="Calibri"/>
          <w:sz w:val="24"/>
          <w:szCs w:val="24"/>
        </w:rPr>
        <w:t>the number of healthcare practitioners involved.</w:t>
      </w:r>
    </w:p>
    <w:p w14:paraId="2D66DA9D" w14:textId="77777777" w:rsidR="008E4671" w:rsidRPr="00261C59" w:rsidRDefault="008E4671" w:rsidP="003D2F22">
      <w:pPr>
        <w:keepLines/>
        <w:numPr>
          <w:ilvl w:val="0"/>
          <w:numId w:val="3"/>
        </w:numPr>
        <w:spacing w:after="240" w:line="260" w:lineRule="exact"/>
        <w:jc w:val="left"/>
        <w:rPr>
          <w:rFonts w:ascii="Calibri" w:hAnsi="Calibri"/>
          <w:sz w:val="24"/>
          <w:szCs w:val="24"/>
        </w:rPr>
      </w:pPr>
      <w:r w:rsidRPr="00261C59">
        <w:rPr>
          <w:rFonts w:ascii="Calibri" w:hAnsi="Calibri"/>
          <w:sz w:val="24"/>
          <w:szCs w:val="24"/>
        </w:rPr>
        <w:t>In those hospitals that rely on GPs for the provision of medical services (normally small rural hospitals), eligible patients may obtain non</w:t>
      </w:r>
      <w:r w:rsidRPr="00261C59">
        <w:rPr>
          <w:rFonts w:ascii="Cambria Math" w:hAnsi="Cambria Math" w:cs="Cambria Math"/>
          <w:sz w:val="24"/>
          <w:szCs w:val="24"/>
        </w:rPr>
        <w:t>‑</w:t>
      </w:r>
      <w:r w:rsidRPr="00261C59">
        <w:rPr>
          <w:rFonts w:ascii="Calibri" w:hAnsi="Calibri"/>
          <w:sz w:val="24"/>
          <w:szCs w:val="24"/>
        </w:rPr>
        <w:t>admitted patient services as private patients where they request treatment by their own GP, either as part of continuing care or by prior arrangement with the doctor.</w:t>
      </w:r>
    </w:p>
    <w:p w14:paraId="5DDD78F3"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States which have signed a Memorandum of Understanding with the Commonwealth for the COAG initiative “Improving Access to Primary Care Services in Rural and Remote Areas” may bulk bill the MBS for eligible persons requiring primary health care services who present to approved facilities.</w:t>
      </w:r>
    </w:p>
    <w:p w14:paraId="1475D9CC" w14:textId="77777777" w:rsidR="008E4671" w:rsidRPr="00261C59" w:rsidRDefault="008E4671" w:rsidP="004728D9">
      <w:pPr>
        <w:widowControl/>
        <w:numPr>
          <w:ilvl w:val="0"/>
          <w:numId w:val="3"/>
        </w:numPr>
        <w:spacing w:after="240" w:line="260" w:lineRule="exact"/>
        <w:jc w:val="left"/>
        <w:rPr>
          <w:rFonts w:ascii="Calibri" w:hAnsi="Calibri"/>
          <w:sz w:val="24"/>
          <w:szCs w:val="24"/>
        </w:rPr>
      </w:pPr>
      <w:r w:rsidRPr="00261C59">
        <w:rPr>
          <w:rFonts w:ascii="Calibri" w:hAnsi="Calibri"/>
          <w:sz w:val="24"/>
          <w:szCs w:val="24"/>
        </w:rPr>
        <w:t>In accordance with this Addendum, public hospital admitted and non-admitted patient election processes for eligible persons should conform to the national standards set out in this schedule.</w:t>
      </w:r>
    </w:p>
    <w:p w14:paraId="08312095" w14:textId="77777777" w:rsidR="008E4671" w:rsidRPr="00261C59" w:rsidRDefault="008E4671" w:rsidP="00EC22A3">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961" w:name="_Toc523402558"/>
      <w:bookmarkStart w:id="962" w:name="_Toc173937805"/>
      <w:bookmarkStart w:id="963" w:name="_Toc201674081"/>
      <w:bookmarkStart w:id="964" w:name="_Toc210833720"/>
      <w:bookmarkStart w:id="965" w:name="_Toc214456620"/>
      <w:bookmarkStart w:id="966" w:name="_Toc221088105"/>
      <w:r w:rsidRPr="00261C59">
        <w:rPr>
          <w:rFonts w:ascii="Corbel" w:eastAsia="Times New Roman" w:hAnsi="Corbel" w:cs="Arial"/>
          <w:iCs/>
          <w:color w:val="3D4B67"/>
          <w:sz w:val="28"/>
          <w:szCs w:val="28"/>
        </w:rPr>
        <w:t>Data provision to private health insurers</w:t>
      </w:r>
      <w:bookmarkEnd w:id="961"/>
      <w:bookmarkEnd w:id="962"/>
      <w:bookmarkEnd w:id="963"/>
      <w:bookmarkEnd w:id="964"/>
      <w:bookmarkEnd w:id="965"/>
      <w:bookmarkEnd w:id="966"/>
    </w:p>
    <w:p w14:paraId="5FBBB3D1" w14:textId="1F7EC562"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 xml:space="preserve">Hospitals will continue to provide data on privately insured patients treated in a public hospital to insurers, consistent with the forms described in clause J30. </w:t>
      </w:r>
    </w:p>
    <w:p w14:paraId="3EEE41E7"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 xml:space="preserve">Consistent with the principle of single provision, multiple use, Local Hospital Networks and the AIHW will work towards providing data on privately insured patients treated in a public hospital to insurers as required under the Private Health Insurance (Health Insurance Business) Rules made under the </w:t>
      </w:r>
      <w:r w:rsidRPr="00261C59">
        <w:rPr>
          <w:rFonts w:ascii="Calibri" w:hAnsi="Calibri"/>
          <w:i/>
          <w:sz w:val="24"/>
          <w:szCs w:val="24"/>
        </w:rPr>
        <w:t>Private Health Insurance Act 2007</w:t>
      </w:r>
      <w:r w:rsidRPr="00261C59">
        <w:rPr>
          <w:rFonts w:ascii="Calibri" w:hAnsi="Calibri"/>
          <w:sz w:val="24"/>
          <w:szCs w:val="24"/>
        </w:rPr>
        <w:t>.</w:t>
      </w:r>
    </w:p>
    <w:p w14:paraId="556300C0"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 xml:space="preserve">The Commonwealth will consult with States on any changes to the Private Health Insurance (Health Insurance Business) Rules made under the </w:t>
      </w:r>
      <w:r w:rsidRPr="00261C59">
        <w:rPr>
          <w:rFonts w:ascii="Calibri" w:hAnsi="Calibri"/>
          <w:i/>
          <w:iCs/>
          <w:sz w:val="24"/>
          <w:szCs w:val="24"/>
        </w:rPr>
        <w:t>Private Health Insurance Act 2007</w:t>
      </w:r>
      <w:r w:rsidRPr="00261C59">
        <w:rPr>
          <w:rFonts w:ascii="Calibri" w:hAnsi="Calibri"/>
          <w:sz w:val="24"/>
          <w:szCs w:val="24"/>
        </w:rPr>
        <w:t xml:space="preserve"> that impact on the practices of public hospitals. Any changes to data provision requirements to private health insurers should avoid creating undue additional administrative burden on public hospitals.</w:t>
      </w:r>
    </w:p>
    <w:p w14:paraId="5220AAAD" w14:textId="77777777" w:rsidR="008E4671" w:rsidRPr="00261C59" w:rsidRDefault="008E4671" w:rsidP="00EC22A3">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967" w:name="_Toc297973850"/>
      <w:bookmarkStart w:id="968" w:name="_Toc173937807"/>
      <w:bookmarkStart w:id="969" w:name="_Toc201674083"/>
      <w:bookmarkStart w:id="970" w:name="_Toc210833721"/>
      <w:bookmarkStart w:id="971" w:name="_Toc214456621"/>
      <w:bookmarkStart w:id="972" w:name="_Toc221088106"/>
      <w:bookmarkStart w:id="973" w:name="_Toc521666928"/>
      <w:r w:rsidRPr="00261C59">
        <w:rPr>
          <w:rFonts w:ascii="Corbel" w:eastAsia="Times New Roman" w:hAnsi="Corbel" w:cs="Arial"/>
          <w:iCs/>
          <w:color w:val="3D4B67"/>
          <w:sz w:val="28"/>
          <w:szCs w:val="28"/>
        </w:rPr>
        <w:t>Public hospital patient election forms</w:t>
      </w:r>
      <w:bookmarkEnd w:id="967"/>
      <w:bookmarkEnd w:id="968"/>
      <w:bookmarkEnd w:id="969"/>
      <w:bookmarkEnd w:id="970"/>
      <w:bookmarkEnd w:id="971"/>
      <w:bookmarkEnd w:id="972"/>
      <w:r w:rsidRPr="00261C59">
        <w:rPr>
          <w:rFonts w:ascii="Corbel" w:eastAsia="Times New Roman" w:hAnsi="Corbel" w:cs="Arial"/>
          <w:iCs/>
          <w:color w:val="3D4B67"/>
          <w:sz w:val="28"/>
          <w:szCs w:val="28"/>
        </w:rPr>
        <w:t xml:space="preserve"> </w:t>
      </w:r>
      <w:bookmarkEnd w:id="973"/>
    </w:p>
    <w:p w14:paraId="4A40A263" w14:textId="77777777" w:rsidR="008E4671" w:rsidRPr="00261C59" w:rsidRDefault="008E4671" w:rsidP="004728D9">
      <w:pPr>
        <w:numPr>
          <w:ilvl w:val="0"/>
          <w:numId w:val="3"/>
        </w:numPr>
        <w:spacing w:after="240" w:line="260" w:lineRule="exact"/>
        <w:jc w:val="left"/>
        <w:rPr>
          <w:rFonts w:ascii="Calibri" w:hAnsi="Calibri"/>
          <w:sz w:val="24"/>
          <w:szCs w:val="24"/>
        </w:rPr>
      </w:pPr>
      <w:r w:rsidRPr="00261C59">
        <w:rPr>
          <w:rFonts w:ascii="Calibri" w:hAnsi="Calibri"/>
          <w:sz w:val="24"/>
          <w:szCs w:val="24"/>
        </w:rPr>
        <w:t>States agree that while patient election forms can be tailored to meet individual State or public hospital needs, as a minimum, all forms will include:</w:t>
      </w:r>
    </w:p>
    <w:p w14:paraId="2CA28D41" w14:textId="66C4B59B" w:rsidR="008E4671" w:rsidRPr="00261C59" w:rsidRDefault="008E4671" w:rsidP="004728D9">
      <w:pPr>
        <w:numPr>
          <w:ilvl w:val="1"/>
          <w:numId w:val="232"/>
        </w:numPr>
        <w:spacing w:after="240" w:line="260" w:lineRule="exact"/>
        <w:jc w:val="left"/>
        <w:rPr>
          <w:rFonts w:ascii="Calibri" w:hAnsi="Calibri"/>
          <w:sz w:val="24"/>
          <w:szCs w:val="24"/>
        </w:rPr>
      </w:pPr>
      <w:r w:rsidRPr="00261C59">
        <w:rPr>
          <w:rFonts w:ascii="Calibri" w:hAnsi="Calibri"/>
          <w:sz w:val="24"/>
          <w:szCs w:val="24"/>
        </w:rPr>
        <w:t xml:space="preserve">a statement that all eligible persons have the choice to be treated as either public or private patients. A private patient is a person who elects to be treated as a private patient and elects to be responsible for paying fees of the type referred to in </w:t>
      </w:r>
      <w:r w:rsidR="00E1300C">
        <w:rPr>
          <w:rFonts w:ascii="Calibri" w:hAnsi="Calibri"/>
          <w:sz w:val="24"/>
          <w:szCs w:val="24"/>
        </w:rPr>
        <w:br/>
      </w:r>
      <w:r w:rsidRPr="00261C59">
        <w:rPr>
          <w:rFonts w:ascii="Calibri" w:hAnsi="Calibri"/>
          <w:sz w:val="24"/>
          <w:szCs w:val="24"/>
        </w:rPr>
        <w:t>clause J2 of this Schedule</w:t>
      </w:r>
    </w:p>
    <w:p w14:paraId="7311AF8E" w14:textId="31F77414" w:rsidR="008E4671" w:rsidRPr="00261C59" w:rsidRDefault="008E4671" w:rsidP="004728D9">
      <w:pPr>
        <w:numPr>
          <w:ilvl w:val="1"/>
          <w:numId w:val="232"/>
        </w:numPr>
        <w:spacing w:after="240" w:line="260" w:lineRule="exact"/>
        <w:jc w:val="left"/>
        <w:rPr>
          <w:rFonts w:ascii="Calibri" w:hAnsi="Calibri"/>
          <w:sz w:val="24"/>
          <w:szCs w:val="24"/>
        </w:rPr>
      </w:pPr>
      <w:r w:rsidRPr="00261C59">
        <w:rPr>
          <w:rFonts w:ascii="Calibri" w:hAnsi="Calibri"/>
          <w:sz w:val="24"/>
          <w:szCs w:val="24"/>
        </w:rPr>
        <w:t>a private patient may be treated by a doctor of their choice. A person may make a valid private patient election in circumstances where only one doctor has private practice rights at the hospital</w:t>
      </w:r>
    </w:p>
    <w:p w14:paraId="0888DC97" w14:textId="7D2CE80C" w:rsidR="008E4671" w:rsidRPr="00261C59" w:rsidRDefault="008E4671" w:rsidP="004728D9">
      <w:pPr>
        <w:numPr>
          <w:ilvl w:val="1"/>
          <w:numId w:val="232"/>
        </w:numPr>
        <w:spacing w:after="240" w:line="260" w:lineRule="exact"/>
        <w:jc w:val="left"/>
        <w:rPr>
          <w:rFonts w:ascii="Calibri" w:hAnsi="Calibri"/>
          <w:sz w:val="24"/>
          <w:szCs w:val="24"/>
        </w:rPr>
      </w:pPr>
      <w:r w:rsidRPr="00261C59">
        <w:rPr>
          <w:rFonts w:ascii="Calibri" w:hAnsi="Calibri"/>
          <w:sz w:val="24"/>
          <w:szCs w:val="24"/>
        </w:rPr>
        <w:t>a statement that a patient with private health insurance can elect to be treated as a public patient</w:t>
      </w:r>
    </w:p>
    <w:p w14:paraId="05834608" w14:textId="571BD2CC" w:rsidR="008E4671" w:rsidRPr="00261C59" w:rsidRDefault="008E4671" w:rsidP="004728D9">
      <w:pPr>
        <w:numPr>
          <w:ilvl w:val="1"/>
          <w:numId w:val="232"/>
        </w:numPr>
        <w:spacing w:after="240" w:line="260" w:lineRule="exact"/>
        <w:jc w:val="left"/>
        <w:rPr>
          <w:rFonts w:ascii="Calibri" w:hAnsi="Calibri"/>
          <w:sz w:val="24"/>
          <w:szCs w:val="24"/>
        </w:rPr>
      </w:pPr>
      <w:r w:rsidRPr="00261C59">
        <w:rPr>
          <w:rFonts w:ascii="Calibri" w:hAnsi="Calibri"/>
          <w:sz w:val="24"/>
          <w:szCs w:val="24"/>
        </w:rPr>
        <w:t>a clear and unambiguous explanation of the consequences of public patient election. This explanation should include advice that public patients (except for care and accommodation type patients as referred to in clause J2)</w:t>
      </w:r>
      <w:r w:rsidR="00EC701C">
        <w:rPr>
          <w:rFonts w:ascii="Calibri" w:hAnsi="Calibri"/>
          <w:sz w:val="24"/>
          <w:szCs w:val="24"/>
        </w:rPr>
        <w:t>:</w:t>
      </w:r>
    </w:p>
    <w:p w14:paraId="182244BA" w14:textId="6172B114" w:rsidR="008E4671" w:rsidRPr="00261C59" w:rsidRDefault="008E4671" w:rsidP="004728D9">
      <w:pPr>
        <w:numPr>
          <w:ilvl w:val="2"/>
          <w:numId w:val="232"/>
        </w:numPr>
        <w:spacing w:after="240" w:line="260" w:lineRule="exact"/>
        <w:jc w:val="left"/>
        <w:rPr>
          <w:rFonts w:ascii="Calibri" w:hAnsi="Calibri" w:cs="Calibri"/>
          <w:sz w:val="24"/>
          <w:szCs w:val="24"/>
        </w:rPr>
      </w:pPr>
      <w:r w:rsidRPr="00261C59">
        <w:rPr>
          <w:rFonts w:ascii="Calibri" w:hAnsi="Calibri" w:cs="Calibri"/>
          <w:sz w:val="24"/>
          <w:szCs w:val="24"/>
        </w:rPr>
        <w:t>will not be charged for hospital accommodation, medical and diagnostic services, prostheses and most other relevant services</w:t>
      </w:r>
    </w:p>
    <w:p w14:paraId="75B3404D" w14:textId="464E7776" w:rsidR="008E4671" w:rsidRPr="00261C59" w:rsidRDefault="008E4671" w:rsidP="004728D9">
      <w:pPr>
        <w:numPr>
          <w:ilvl w:val="2"/>
          <w:numId w:val="232"/>
        </w:numPr>
        <w:spacing w:after="240" w:line="260" w:lineRule="exact"/>
        <w:jc w:val="left"/>
        <w:rPr>
          <w:rFonts w:ascii="Calibri" w:hAnsi="Calibri" w:cs="Calibri"/>
          <w:sz w:val="24"/>
          <w:szCs w:val="24"/>
        </w:rPr>
      </w:pPr>
      <w:r w:rsidRPr="00261C59">
        <w:rPr>
          <w:rFonts w:ascii="Calibri" w:hAnsi="Calibri" w:cs="Calibri"/>
          <w:sz w:val="24"/>
          <w:szCs w:val="24"/>
        </w:rPr>
        <w:t>are treated by the doctor(s) nominated by the hospital</w:t>
      </w:r>
    </w:p>
    <w:p w14:paraId="78B6B4AB" w14:textId="77777777" w:rsidR="008E4671" w:rsidRPr="00261C59" w:rsidRDefault="008E4671" w:rsidP="004728D9">
      <w:pPr>
        <w:numPr>
          <w:ilvl w:val="1"/>
          <w:numId w:val="232"/>
        </w:numPr>
        <w:spacing w:after="240" w:line="260" w:lineRule="exact"/>
        <w:jc w:val="left"/>
        <w:rPr>
          <w:rFonts w:ascii="Calibri" w:hAnsi="Calibri"/>
          <w:sz w:val="24"/>
          <w:szCs w:val="24"/>
        </w:rPr>
      </w:pPr>
      <w:r w:rsidRPr="00261C59">
        <w:rPr>
          <w:rFonts w:ascii="Calibri" w:hAnsi="Calibri"/>
          <w:sz w:val="24"/>
          <w:szCs w:val="24"/>
        </w:rPr>
        <w:t>a clear and unambiguous explanation of the consequences of private patient election. This explanation should include advice that private patients:</w:t>
      </w:r>
    </w:p>
    <w:p w14:paraId="143DF724" w14:textId="0800255C" w:rsidR="008E4671" w:rsidRPr="00261C59" w:rsidRDefault="008E4671" w:rsidP="004728D9">
      <w:pPr>
        <w:numPr>
          <w:ilvl w:val="2"/>
          <w:numId w:val="232"/>
        </w:numPr>
        <w:spacing w:after="240" w:line="260" w:lineRule="exact"/>
        <w:jc w:val="left"/>
        <w:rPr>
          <w:rFonts w:ascii="Calibri" w:hAnsi="Calibri" w:cs="Calibri"/>
          <w:sz w:val="24"/>
          <w:szCs w:val="24"/>
        </w:rPr>
      </w:pPr>
      <w:r w:rsidRPr="00261C59">
        <w:rPr>
          <w:rFonts w:ascii="Calibri" w:hAnsi="Calibri" w:cs="Calibri"/>
          <w:sz w:val="24"/>
          <w:szCs w:val="24"/>
        </w:rPr>
        <w:t>will be charged at the prevailing hospital rates for hospital accommodation (whether a shared ward or a single room), medical and diagnostic services, prostheses and any other relevant services</w:t>
      </w:r>
    </w:p>
    <w:p w14:paraId="283ECCAA" w14:textId="08A5ECC7" w:rsidR="008E4671" w:rsidRPr="00261C59" w:rsidRDefault="008E4671" w:rsidP="004728D9">
      <w:pPr>
        <w:numPr>
          <w:ilvl w:val="2"/>
          <w:numId w:val="232"/>
        </w:numPr>
        <w:spacing w:after="240" w:line="260" w:lineRule="exact"/>
        <w:jc w:val="left"/>
        <w:rPr>
          <w:rFonts w:ascii="Calibri" w:hAnsi="Calibri" w:cs="Calibri"/>
          <w:sz w:val="24"/>
          <w:szCs w:val="24"/>
        </w:rPr>
      </w:pPr>
      <w:r w:rsidRPr="00261C59">
        <w:rPr>
          <w:rFonts w:ascii="Calibri" w:hAnsi="Calibri" w:cs="Calibri"/>
          <w:sz w:val="24"/>
          <w:szCs w:val="24"/>
        </w:rPr>
        <w:t>may not be fully covered by their private health insurance for the fees charged for their treatment and that they should seek advice from their doctor(s), the hospital and their health fund regarding likely medical, accommodation and other costs and the extent to which these costs are covered</w:t>
      </w:r>
    </w:p>
    <w:p w14:paraId="0C3E4C29" w14:textId="6A6A754E" w:rsidR="008E4671" w:rsidRPr="00261C59" w:rsidRDefault="008E4671" w:rsidP="004728D9">
      <w:pPr>
        <w:numPr>
          <w:ilvl w:val="2"/>
          <w:numId w:val="232"/>
        </w:numPr>
        <w:spacing w:after="240" w:line="260" w:lineRule="exact"/>
        <w:jc w:val="left"/>
        <w:rPr>
          <w:rFonts w:ascii="Calibri" w:hAnsi="Calibri" w:cs="Calibri"/>
          <w:sz w:val="24"/>
          <w:szCs w:val="24"/>
        </w:rPr>
      </w:pPr>
      <w:r w:rsidRPr="00261C59">
        <w:rPr>
          <w:rFonts w:ascii="Calibri" w:hAnsi="Calibri" w:cs="Calibri"/>
          <w:sz w:val="24"/>
          <w:szCs w:val="24"/>
        </w:rPr>
        <w:t>are able to choose their doctor(s), providing the doctor(s) has private practice rights with the hospital</w:t>
      </w:r>
    </w:p>
    <w:p w14:paraId="4CFC6F6D" w14:textId="6079442A" w:rsidR="008E4671" w:rsidRPr="00261C59" w:rsidRDefault="008E4671" w:rsidP="004728D9">
      <w:pPr>
        <w:numPr>
          <w:ilvl w:val="1"/>
          <w:numId w:val="232"/>
        </w:numPr>
        <w:spacing w:after="240" w:line="260" w:lineRule="exact"/>
        <w:jc w:val="left"/>
        <w:rPr>
          <w:rFonts w:ascii="Calibri" w:hAnsi="Calibri"/>
          <w:sz w:val="24"/>
          <w:szCs w:val="24"/>
        </w:rPr>
      </w:pPr>
      <w:r w:rsidRPr="00261C59">
        <w:rPr>
          <w:rFonts w:ascii="Calibri" w:hAnsi="Calibri"/>
          <w:sz w:val="24"/>
          <w:szCs w:val="24"/>
        </w:rPr>
        <w:t xml:space="preserve">evidence that the form was completed by the patient or legally authorised representative before, at the time of, or as soon as practicable after, presentation to the hospital or health service </w:t>
      </w:r>
    </w:p>
    <w:p w14:paraId="0B4B7AB9" w14:textId="77777777" w:rsidR="008E4671" w:rsidRPr="00261C59" w:rsidRDefault="008E4671" w:rsidP="004728D9">
      <w:pPr>
        <w:numPr>
          <w:ilvl w:val="1"/>
          <w:numId w:val="232"/>
        </w:numPr>
        <w:spacing w:after="240" w:line="260" w:lineRule="exact"/>
        <w:jc w:val="left"/>
        <w:rPr>
          <w:rFonts w:ascii="Calibri" w:hAnsi="Calibri"/>
          <w:sz w:val="24"/>
          <w:szCs w:val="24"/>
        </w:rPr>
      </w:pPr>
      <w:r w:rsidRPr="00261C59">
        <w:rPr>
          <w:rFonts w:ascii="Calibri" w:hAnsi="Calibri"/>
          <w:sz w:val="24"/>
          <w:szCs w:val="24"/>
        </w:rPr>
        <w:t xml:space="preserve">a statement that patient election status after admission or, in the course of multiple outpatient episodes at the same hospital or hospital network, can only be changed in the event of unforeseen circumstances and only once. Examples of unforeseen circumstances include, but are not limited to, the following: </w:t>
      </w:r>
    </w:p>
    <w:p w14:paraId="69AFC1AD" w14:textId="6832F82E" w:rsidR="008E4671" w:rsidRPr="00261C59" w:rsidRDefault="008E4671" w:rsidP="004728D9">
      <w:pPr>
        <w:numPr>
          <w:ilvl w:val="2"/>
          <w:numId w:val="232"/>
        </w:numPr>
        <w:spacing w:after="240" w:line="260" w:lineRule="exact"/>
        <w:jc w:val="left"/>
        <w:rPr>
          <w:rFonts w:ascii="Calibri" w:hAnsi="Calibri"/>
          <w:sz w:val="24"/>
          <w:szCs w:val="24"/>
        </w:rPr>
      </w:pPr>
      <w:r w:rsidRPr="00261C59">
        <w:rPr>
          <w:rFonts w:ascii="Calibri" w:hAnsi="Calibri"/>
          <w:sz w:val="24"/>
          <w:szCs w:val="24"/>
        </w:rPr>
        <w:t>patients who are receiving care for a particular procedure but are found to have complications requiring additional procedures</w:t>
      </w:r>
    </w:p>
    <w:p w14:paraId="16A60C13" w14:textId="0667E264" w:rsidR="008E4671" w:rsidRPr="00261C59" w:rsidRDefault="008E4671" w:rsidP="004728D9">
      <w:pPr>
        <w:numPr>
          <w:ilvl w:val="2"/>
          <w:numId w:val="232"/>
        </w:numPr>
        <w:spacing w:after="240" w:line="260" w:lineRule="exact"/>
        <w:jc w:val="left"/>
        <w:rPr>
          <w:rFonts w:ascii="Calibri" w:hAnsi="Calibri"/>
          <w:sz w:val="24"/>
          <w:szCs w:val="24"/>
        </w:rPr>
      </w:pPr>
      <w:r w:rsidRPr="00261C59">
        <w:rPr>
          <w:rFonts w:ascii="Calibri" w:hAnsi="Calibri"/>
          <w:sz w:val="24"/>
          <w:szCs w:val="24"/>
        </w:rPr>
        <w:t>patients whose length of stay or course of treatment has been extended beyond those originally and reasonably planned by an appropriate health care professional</w:t>
      </w:r>
    </w:p>
    <w:p w14:paraId="7B2A02E6" w14:textId="616DA48C" w:rsidR="008E4671" w:rsidRPr="00261C59" w:rsidRDefault="008E4671" w:rsidP="004728D9">
      <w:pPr>
        <w:numPr>
          <w:ilvl w:val="2"/>
          <w:numId w:val="232"/>
        </w:numPr>
        <w:spacing w:after="240" w:line="260" w:lineRule="exact"/>
        <w:jc w:val="left"/>
        <w:rPr>
          <w:rFonts w:ascii="Calibri" w:hAnsi="Calibri"/>
          <w:sz w:val="24"/>
          <w:szCs w:val="24"/>
        </w:rPr>
      </w:pPr>
      <w:r w:rsidRPr="00261C59">
        <w:rPr>
          <w:rFonts w:ascii="Calibri" w:hAnsi="Calibri"/>
          <w:sz w:val="24"/>
          <w:szCs w:val="24"/>
        </w:rPr>
        <w:t>patients whose social circumstances change while admitted or during a course of treatment (for example, loss of job)</w:t>
      </w:r>
    </w:p>
    <w:p w14:paraId="15BE3522" w14:textId="1F6C2243" w:rsidR="008E4671" w:rsidRPr="00261C59" w:rsidRDefault="008E4671" w:rsidP="004728D9">
      <w:pPr>
        <w:keepLines/>
        <w:widowControl/>
        <w:numPr>
          <w:ilvl w:val="1"/>
          <w:numId w:val="232"/>
        </w:numPr>
        <w:spacing w:after="240" w:line="260" w:lineRule="exact"/>
        <w:jc w:val="left"/>
        <w:rPr>
          <w:rFonts w:ascii="Calibri" w:hAnsi="Calibri"/>
          <w:sz w:val="24"/>
          <w:szCs w:val="24"/>
        </w:rPr>
      </w:pPr>
      <w:r w:rsidRPr="00261C59">
        <w:rPr>
          <w:rFonts w:ascii="Calibri" w:hAnsi="Calibri"/>
          <w:sz w:val="24"/>
          <w:szCs w:val="24"/>
        </w:rPr>
        <w:t>in situations where a valid election is made, then changed at some later point in time because of unforeseen circumstances, the change in patient status is effective from the date of the change onwards, and should not be retrospectively backdated to the date of admission</w:t>
      </w:r>
    </w:p>
    <w:p w14:paraId="3D090B54" w14:textId="33B0E540" w:rsidR="008E4671" w:rsidRPr="00261C59" w:rsidRDefault="008E4671" w:rsidP="004728D9">
      <w:pPr>
        <w:numPr>
          <w:ilvl w:val="1"/>
          <w:numId w:val="232"/>
        </w:numPr>
        <w:spacing w:after="240" w:line="260" w:lineRule="exact"/>
        <w:jc w:val="left"/>
        <w:rPr>
          <w:rFonts w:ascii="Calibri" w:hAnsi="Calibri"/>
          <w:sz w:val="24"/>
          <w:szCs w:val="24"/>
        </w:rPr>
      </w:pPr>
      <w:r w:rsidRPr="00261C59">
        <w:rPr>
          <w:rFonts w:ascii="Calibri" w:hAnsi="Calibri"/>
          <w:sz w:val="24"/>
          <w:szCs w:val="24"/>
        </w:rPr>
        <w:t>it will not normally be sufficient for patients to change their status from private to public, merely because they have inadequate private health insurance cover, unless unforeseen circumstances such as those set out in this Schedule apply</w:t>
      </w:r>
    </w:p>
    <w:p w14:paraId="1F047547" w14:textId="24579F8B" w:rsidR="008E4671" w:rsidRPr="00261C59" w:rsidRDefault="008E4671" w:rsidP="004728D9">
      <w:pPr>
        <w:numPr>
          <w:ilvl w:val="1"/>
          <w:numId w:val="232"/>
        </w:numPr>
        <w:spacing w:after="240" w:line="260" w:lineRule="exact"/>
        <w:jc w:val="left"/>
        <w:rPr>
          <w:rFonts w:ascii="Calibri" w:hAnsi="Calibri"/>
          <w:sz w:val="24"/>
          <w:szCs w:val="24"/>
        </w:rPr>
      </w:pPr>
      <w:r w:rsidRPr="00261C59">
        <w:rPr>
          <w:rFonts w:ascii="Calibri" w:hAnsi="Calibri"/>
          <w:sz w:val="24"/>
          <w:szCs w:val="24"/>
        </w:rPr>
        <w:t>a statement signed by the patient or their legally authorised representative acknowledging that they have been fully informed of the consequences of their election, understand those consequences and have not been directed by a hospital employee to a particular decision</w:t>
      </w:r>
    </w:p>
    <w:p w14:paraId="0913DD84" w14:textId="5090626C" w:rsidR="008E4671" w:rsidRPr="00261C59" w:rsidRDefault="008E4671" w:rsidP="004728D9">
      <w:pPr>
        <w:numPr>
          <w:ilvl w:val="1"/>
          <w:numId w:val="232"/>
        </w:numPr>
        <w:spacing w:after="240" w:line="260" w:lineRule="exact"/>
        <w:jc w:val="left"/>
        <w:rPr>
          <w:rFonts w:ascii="Calibri" w:hAnsi="Calibri"/>
          <w:sz w:val="24"/>
          <w:szCs w:val="24"/>
        </w:rPr>
      </w:pPr>
      <w:r w:rsidRPr="00261C59">
        <w:rPr>
          <w:rFonts w:ascii="Calibri" w:hAnsi="Calibri"/>
          <w:sz w:val="24"/>
          <w:szCs w:val="24"/>
        </w:rPr>
        <w:t>a statement signed by patients or their legally authorised representatives who elect to be private, authorising the hospital or health service to release a copy of their patient election form to their private health insurance fund, if so requested by the fund. Patients should be advised that failure to sign such a statement may result in the refusal of their health fund to provide benefits</w:t>
      </w:r>
    </w:p>
    <w:p w14:paraId="5A25D7AF" w14:textId="77777777" w:rsidR="008E4671" w:rsidRPr="00261C59" w:rsidRDefault="008E4671" w:rsidP="004728D9">
      <w:pPr>
        <w:numPr>
          <w:ilvl w:val="1"/>
          <w:numId w:val="232"/>
        </w:numPr>
        <w:spacing w:after="240" w:line="260" w:lineRule="exact"/>
        <w:jc w:val="left"/>
        <w:rPr>
          <w:rFonts w:ascii="Calibri" w:hAnsi="Calibri"/>
          <w:sz w:val="24"/>
          <w:szCs w:val="24"/>
        </w:rPr>
      </w:pPr>
      <w:r w:rsidRPr="00261C59">
        <w:rPr>
          <w:rFonts w:ascii="Calibri" w:hAnsi="Calibri"/>
          <w:sz w:val="24"/>
          <w:szCs w:val="24"/>
        </w:rPr>
        <w:t>where patients or their legally authorised representatives, for whatever reason, do not make a valid election, or actual election, these patients will be treated as public patients and the hospital will choose the doctor until such time as a valid election is made. When a valid election is made, that election can be applied retrospectively for the whole episode of care or course of treatment.</w:t>
      </w:r>
    </w:p>
    <w:p w14:paraId="145783C3" w14:textId="2D572D88" w:rsidR="003A1ADE" w:rsidRPr="00261C59" w:rsidRDefault="008E4671" w:rsidP="004E037C">
      <w:pPr>
        <w:numPr>
          <w:ilvl w:val="0"/>
          <w:numId w:val="270"/>
        </w:numPr>
        <w:spacing w:after="240" w:line="260" w:lineRule="exact"/>
        <w:jc w:val="left"/>
        <w:rPr>
          <w:rFonts w:ascii="Calibri" w:hAnsi="Calibri"/>
          <w:sz w:val="24"/>
          <w:szCs w:val="24"/>
        </w:rPr>
      </w:pPr>
      <w:r w:rsidRPr="00261C59">
        <w:rPr>
          <w:rFonts w:ascii="Calibri" w:hAnsi="Calibri"/>
          <w:sz w:val="24"/>
          <w:szCs w:val="24"/>
        </w:rPr>
        <w:t xml:space="preserve">To support the implementation of the new patient election requirements under </w:t>
      </w:r>
      <w:r w:rsidR="007748E1">
        <w:rPr>
          <w:rFonts w:ascii="Calibri" w:hAnsi="Calibri"/>
          <w:sz w:val="24"/>
          <w:szCs w:val="24"/>
        </w:rPr>
        <w:br/>
      </w:r>
      <w:r w:rsidRPr="00261C59">
        <w:rPr>
          <w:rFonts w:ascii="Calibri" w:hAnsi="Calibri"/>
          <w:sz w:val="24"/>
          <w:szCs w:val="24"/>
        </w:rPr>
        <w:t>clauses J16 and J17, the Commonwealth will consult with States to jointly develop guidance material</w:t>
      </w:r>
      <w:r w:rsidR="008456A1" w:rsidRPr="00261C59">
        <w:rPr>
          <w:rFonts w:ascii="Calibri" w:hAnsi="Calibri"/>
          <w:sz w:val="24"/>
          <w:szCs w:val="24"/>
        </w:rPr>
        <w:t xml:space="preserve">, to be agreed </w:t>
      </w:r>
      <w:r w:rsidR="00B352E6" w:rsidRPr="00261C59">
        <w:rPr>
          <w:rFonts w:ascii="Calibri" w:hAnsi="Calibri"/>
          <w:sz w:val="24"/>
          <w:szCs w:val="24"/>
        </w:rPr>
        <w:t>by</w:t>
      </w:r>
      <w:r w:rsidR="008456A1" w:rsidRPr="00261C59">
        <w:rPr>
          <w:rFonts w:ascii="Calibri" w:hAnsi="Calibri"/>
          <w:sz w:val="24"/>
          <w:szCs w:val="24"/>
        </w:rPr>
        <w:t xml:space="preserve"> HCEF by no later than June 2027</w:t>
      </w:r>
      <w:r w:rsidR="00F701CA" w:rsidRPr="00261C59">
        <w:rPr>
          <w:rFonts w:ascii="Calibri" w:hAnsi="Calibri"/>
          <w:sz w:val="24"/>
          <w:szCs w:val="24"/>
        </w:rPr>
        <w:t>.</w:t>
      </w:r>
      <w:r w:rsidRPr="00261C59">
        <w:rPr>
          <w:rFonts w:ascii="Calibri" w:hAnsi="Calibri"/>
          <w:sz w:val="24"/>
          <w:szCs w:val="24"/>
        </w:rPr>
        <w:t xml:space="preserve"> </w:t>
      </w:r>
    </w:p>
    <w:p w14:paraId="68434B24" w14:textId="6E434E97" w:rsidR="008E4671" w:rsidRPr="00261C59" w:rsidRDefault="004E037C" w:rsidP="008E4671">
      <w:pPr>
        <w:numPr>
          <w:ilvl w:val="0"/>
          <w:numId w:val="270"/>
        </w:numPr>
        <w:spacing w:after="240" w:line="260" w:lineRule="exact"/>
        <w:jc w:val="left"/>
        <w:rPr>
          <w:rFonts w:ascii="Calibri" w:hAnsi="Calibri"/>
          <w:sz w:val="24"/>
          <w:szCs w:val="24"/>
        </w:rPr>
      </w:pPr>
      <w:r w:rsidRPr="00261C59">
        <w:rPr>
          <w:rFonts w:ascii="Calibri" w:hAnsi="Calibri"/>
          <w:sz w:val="24"/>
          <w:szCs w:val="24"/>
        </w:rPr>
        <w:t>Administrati</w:t>
      </w:r>
      <w:r w:rsidR="00500919" w:rsidRPr="00261C59">
        <w:rPr>
          <w:rFonts w:ascii="Calibri" w:hAnsi="Calibri"/>
          <w:sz w:val="24"/>
          <w:szCs w:val="24"/>
        </w:rPr>
        <w:t>o</w:t>
      </w:r>
      <w:r w:rsidRPr="00261C59">
        <w:rPr>
          <w:rFonts w:ascii="Calibri" w:hAnsi="Calibri"/>
          <w:sz w:val="24"/>
          <w:szCs w:val="24"/>
        </w:rPr>
        <w:t xml:space="preserve">n of the new patient election </w:t>
      </w:r>
      <w:r w:rsidR="003A22D1" w:rsidRPr="00261C59">
        <w:rPr>
          <w:rFonts w:ascii="Calibri" w:hAnsi="Calibri"/>
          <w:sz w:val="24"/>
          <w:szCs w:val="24"/>
        </w:rPr>
        <w:t xml:space="preserve">requirements will not </w:t>
      </w:r>
      <w:r w:rsidR="001006B1" w:rsidRPr="00261C59">
        <w:rPr>
          <w:rFonts w:ascii="Calibri" w:hAnsi="Calibri"/>
          <w:sz w:val="24"/>
          <w:szCs w:val="24"/>
        </w:rPr>
        <w:t>commence</w:t>
      </w:r>
      <w:r w:rsidR="00376B70" w:rsidRPr="00261C59">
        <w:rPr>
          <w:rFonts w:ascii="Calibri" w:hAnsi="Calibri"/>
          <w:sz w:val="24"/>
          <w:szCs w:val="24"/>
        </w:rPr>
        <w:t xml:space="preserve"> until the guidance material </w:t>
      </w:r>
      <w:r w:rsidR="00B20804" w:rsidRPr="00261C59">
        <w:rPr>
          <w:rFonts w:ascii="Calibri" w:hAnsi="Calibri"/>
          <w:sz w:val="24"/>
          <w:szCs w:val="24"/>
        </w:rPr>
        <w:t>is finalised</w:t>
      </w:r>
      <w:r w:rsidR="00376B70" w:rsidRPr="00261C59">
        <w:rPr>
          <w:rFonts w:ascii="Calibri" w:hAnsi="Calibri"/>
          <w:sz w:val="24"/>
          <w:szCs w:val="24"/>
        </w:rPr>
        <w:t xml:space="preserve">. </w:t>
      </w:r>
      <w:r w:rsidR="008E4671" w:rsidRPr="00261C59">
        <w:rPr>
          <w:rFonts w:ascii="Calibri" w:hAnsi="Calibri"/>
          <w:sz w:val="24"/>
          <w:szCs w:val="24"/>
        </w:rPr>
        <w:t>The Administrator of the National Health Funding Pool and Commonwealth will consult States about any potential breach of these requirements before further action is taken.</w:t>
      </w:r>
    </w:p>
    <w:p w14:paraId="78A68602" w14:textId="77777777" w:rsidR="008E4671" w:rsidRPr="00261C59" w:rsidRDefault="008E4671" w:rsidP="00EC22A3">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974" w:name="_Toc297973851"/>
      <w:bookmarkStart w:id="975" w:name="_Toc521666929"/>
      <w:bookmarkStart w:id="976" w:name="_Toc173937808"/>
      <w:bookmarkStart w:id="977" w:name="_Toc201674084"/>
      <w:bookmarkStart w:id="978" w:name="_Toc210833722"/>
      <w:bookmarkStart w:id="979" w:name="_Toc214456622"/>
      <w:bookmarkStart w:id="980" w:name="_Toc221088107"/>
      <w:r w:rsidRPr="00261C59">
        <w:rPr>
          <w:rFonts w:ascii="Corbel" w:eastAsia="Times New Roman" w:hAnsi="Corbel" w:cs="Arial"/>
          <w:iCs/>
          <w:color w:val="3D4B67"/>
          <w:sz w:val="28"/>
          <w:szCs w:val="28"/>
        </w:rPr>
        <w:t>Multiple and frequent admissions election forms</w:t>
      </w:r>
      <w:bookmarkEnd w:id="974"/>
      <w:bookmarkEnd w:id="975"/>
      <w:bookmarkEnd w:id="976"/>
      <w:bookmarkEnd w:id="977"/>
      <w:bookmarkEnd w:id="978"/>
      <w:bookmarkEnd w:id="979"/>
      <w:bookmarkEnd w:id="980"/>
    </w:p>
    <w:p w14:paraId="276FE414" w14:textId="77777777" w:rsidR="008E4671" w:rsidRPr="00261C59" w:rsidRDefault="008E4671" w:rsidP="004728D9">
      <w:pPr>
        <w:numPr>
          <w:ilvl w:val="0"/>
          <w:numId w:val="271"/>
        </w:numPr>
        <w:spacing w:after="240" w:line="260" w:lineRule="exact"/>
        <w:jc w:val="left"/>
        <w:rPr>
          <w:rFonts w:ascii="Calibri" w:hAnsi="Calibri"/>
          <w:sz w:val="24"/>
          <w:szCs w:val="24"/>
        </w:rPr>
      </w:pPr>
      <w:r w:rsidRPr="00261C59">
        <w:rPr>
          <w:rFonts w:ascii="Calibri" w:hAnsi="Calibri"/>
          <w:sz w:val="24"/>
          <w:szCs w:val="24"/>
        </w:rPr>
        <w:t>The State or hospital must develop a form suitable for individuals who require multiple episodes of care or a course of treatment not limited to one attendance. The form should be for a specified period, not exceeding six months, and nominate the unit where the treatment will be provided. Further, the form should be consistent with the national standards and provide patients with the same information and choices as a single admission election form.</w:t>
      </w:r>
    </w:p>
    <w:p w14:paraId="0A8D95BB" w14:textId="77777777" w:rsidR="008E4671" w:rsidRPr="00261C59" w:rsidRDefault="008E4671" w:rsidP="00EC22A3">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981" w:name="_Toc297973852"/>
      <w:bookmarkStart w:id="982" w:name="_Toc521666930"/>
      <w:bookmarkStart w:id="983" w:name="_Toc173937809"/>
      <w:bookmarkStart w:id="984" w:name="_Toc201674085"/>
      <w:bookmarkStart w:id="985" w:name="_Toc210833723"/>
      <w:bookmarkStart w:id="986" w:name="_Toc214456623"/>
      <w:bookmarkStart w:id="987" w:name="_Toc221088108"/>
      <w:r w:rsidRPr="00261C59">
        <w:rPr>
          <w:rFonts w:ascii="Corbel" w:eastAsia="Times New Roman" w:hAnsi="Corbel" w:cs="Arial"/>
          <w:iCs/>
          <w:color w:val="3D4B67"/>
          <w:sz w:val="28"/>
          <w:szCs w:val="28"/>
        </w:rPr>
        <w:t>Other written material provided to patients</w:t>
      </w:r>
      <w:bookmarkEnd w:id="981"/>
      <w:bookmarkEnd w:id="982"/>
      <w:bookmarkEnd w:id="983"/>
      <w:bookmarkEnd w:id="984"/>
      <w:bookmarkEnd w:id="985"/>
      <w:bookmarkEnd w:id="986"/>
      <w:bookmarkEnd w:id="987"/>
    </w:p>
    <w:p w14:paraId="74B5DED4" w14:textId="77777777" w:rsidR="008E4671" w:rsidRPr="00261C59" w:rsidRDefault="008E4671" w:rsidP="004728D9">
      <w:pPr>
        <w:numPr>
          <w:ilvl w:val="0"/>
          <w:numId w:val="271"/>
        </w:numPr>
        <w:spacing w:after="240" w:line="260" w:lineRule="exact"/>
        <w:jc w:val="left"/>
        <w:rPr>
          <w:rFonts w:ascii="Calibri" w:hAnsi="Calibri"/>
          <w:sz w:val="24"/>
          <w:szCs w:val="24"/>
        </w:rPr>
      </w:pPr>
      <w:r w:rsidRPr="00261C59">
        <w:rPr>
          <w:rFonts w:ascii="Calibri" w:hAnsi="Calibri"/>
          <w:sz w:val="24"/>
          <w:szCs w:val="24"/>
        </w:rPr>
        <w:t>Any other written material provided to patients that refers to the patient election process must be consistent with the information included in the patient election form. It may be useful to include a cross reference to the patient election form in any such written material.</w:t>
      </w:r>
    </w:p>
    <w:p w14:paraId="00325831" w14:textId="77777777" w:rsidR="008E4671" w:rsidRPr="00261C59" w:rsidRDefault="008E4671" w:rsidP="004728D9">
      <w:pPr>
        <w:numPr>
          <w:ilvl w:val="0"/>
          <w:numId w:val="271"/>
        </w:numPr>
        <w:spacing w:after="240" w:line="260" w:lineRule="exact"/>
        <w:jc w:val="left"/>
        <w:rPr>
          <w:rFonts w:ascii="Calibri" w:hAnsi="Calibri"/>
          <w:sz w:val="24"/>
          <w:szCs w:val="24"/>
        </w:rPr>
      </w:pPr>
      <w:r w:rsidRPr="00261C59">
        <w:rPr>
          <w:rFonts w:ascii="Calibri" w:hAnsi="Calibri"/>
          <w:sz w:val="24"/>
          <w:szCs w:val="24"/>
        </w:rPr>
        <w:t>All parties agree that written material provided to patients by public hospitals and health services or private health insurers on the choice to elect to be treated privately will:</w:t>
      </w:r>
    </w:p>
    <w:p w14:paraId="266DF5F1" w14:textId="7A286391" w:rsidR="008E4671" w:rsidRPr="00261C59" w:rsidRDefault="008E4671" w:rsidP="004728D9">
      <w:pPr>
        <w:numPr>
          <w:ilvl w:val="1"/>
          <w:numId w:val="233"/>
        </w:numPr>
        <w:spacing w:after="240" w:line="260" w:lineRule="exact"/>
        <w:jc w:val="left"/>
        <w:rPr>
          <w:rFonts w:ascii="Calibri" w:hAnsi="Calibri"/>
          <w:sz w:val="24"/>
          <w:szCs w:val="24"/>
        </w:rPr>
      </w:pPr>
      <w:r w:rsidRPr="00261C59">
        <w:rPr>
          <w:rFonts w:ascii="Calibri" w:hAnsi="Calibri"/>
          <w:sz w:val="24"/>
          <w:szCs w:val="24"/>
        </w:rPr>
        <w:t>be appropriate, robust and best support the consumer to make an informed choice</w:t>
      </w:r>
    </w:p>
    <w:p w14:paraId="6380E37C" w14:textId="77777777" w:rsidR="008E4671" w:rsidRPr="00261C59" w:rsidRDefault="008E4671" w:rsidP="004728D9">
      <w:pPr>
        <w:numPr>
          <w:ilvl w:val="1"/>
          <w:numId w:val="233"/>
        </w:numPr>
        <w:spacing w:after="240" w:line="260" w:lineRule="exact"/>
        <w:jc w:val="left"/>
        <w:rPr>
          <w:rFonts w:ascii="Calibri" w:hAnsi="Calibri"/>
          <w:sz w:val="24"/>
          <w:szCs w:val="24"/>
        </w:rPr>
      </w:pPr>
      <w:r w:rsidRPr="00261C59">
        <w:rPr>
          <w:rFonts w:ascii="Calibri" w:hAnsi="Calibri"/>
          <w:sz w:val="24"/>
          <w:szCs w:val="24"/>
        </w:rPr>
        <w:t>refrain from directing the patient to a particular choice.</w:t>
      </w:r>
    </w:p>
    <w:p w14:paraId="62A3F877" w14:textId="77777777" w:rsidR="008E4671" w:rsidRPr="00261C59" w:rsidRDefault="008E4671" w:rsidP="00EC22A3">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988" w:name="_Toc297973853"/>
      <w:bookmarkStart w:id="989" w:name="_Toc521666931"/>
      <w:bookmarkStart w:id="990" w:name="_Toc173937810"/>
      <w:bookmarkStart w:id="991" w:name="_Toc201674086"/>
      <w:bookmarkStart w:id="992" w:name="_Toc210833724"/>
      <w:bookmarkStart w:id="993" w:name="_Toc214456624"/>
      <w:bookmarkStart w:id="994" w:name="_Toc221088109"/>
      <w:r w:rsidRPr="00261C59">
        <w:rPr>
          <w:rFonts w:ascii="Corbel" w:eastAsia="Times New Roman" w:hAnsi="Corbel" w:cs="Arial"/>
          <w:iCs/>
          <w:color w:val="3D4B67"/>
          <w:sz w:val="28"/>
          <w:szCs w:val="28"/>
        </w:rPr>
        <w:t>Verbal advice provided to patients</w:t>
      </w:r>
      <w:bookmarkEnd w:id="988"/>
      <w:bookmarkEnd w:id="989"/>
      <w:bookmarkEnd w:id="990"/>
      <w:bookmarkEnd w:id="991"/>
      <w:bookmarkEnd w:id="992"/>
      <w:bookmarkEnd w:id="993"/>
      <w:bookmarkEnd w:id="994"/>
    </w:p>
    <w:p w14:paraId="477FE710" w14:textId="77777777" w:rsidR="008E4671" w:rsidRPr="00261C59" w:rsidRDefault="008E4671" w:rsidP="004728D9">
      <w:pPr>
        <w:numPr>
          <w:ilvl w:val="0"/>
          <w:numId w:val="271"/>
        </w:numPr>
        <w:spacing w:after="240" w:line="260" w:lineRule="exact"/>
        <w:jc w:val="left"/>
        <w:rPr>
          <w:rFonts w:ascii="Calibri" w:hAnsi="Calibri"/>
          <w:sz w:val="24"/>
          <w:szCs w:val="24"/>
        </w:rPr>
      </w:pPr>
      <w:r w:rsidRPr="00261C59">
        <w:rPr>
          <w:rFonts w:ascii="Calibri" w:hAnsi="Calibri"/>
          <w:sz w:val="24"/>
          <w:szCs w:val="24"/>
        </w:rPr>
        <w:t>Any verbal advice provided to patients or their legally authorised representatives that refers to the patient election process must be consistent with the information provided in the patient election form.</w:t>
      </w:r>
    </w:p>
    <w:p w14:paraId="10D037FE" w14:textId="77777777" w:rsidR="008E4671" w:rsidRPr="00261C59" w:rsidRDefault="008E4671" w:rsidP="004728D9">
      <w:pPr>
        <w:numPr>
          <w:ilvl w:val="0"/>
          <w:numId w:val="271"/>
        </w:numPr>
        <w:spacing w:after="240" w:line="260" w:lineRule="exact"/>
        <w:jc w:val="left"/>
        <w:rPr>
          <w:rFonts w:ascii="Calibri" w:hAnsi="Calibri"/>
          <w:sz w:val="24"/>
          <w:szCs w:val="24"/>
        </w:rPr>
      </w:pPr>
      <w:r w:rsidRPr="00261C59">
        <w:rPr>
          <w:rFonts w:ascii="Calibri" w:hAnsi="Calibri"/>
          <w:sz w:val="24"/>
          <w:szCs w:val="24"/>
        </w:rPr>
        <w:t>Patients or their legally authorised representatives should be referred to the patient election form for a written explanation of the consequences of election.</w:t>
      </w:r>
    </w:p>
    <w:p w14:paraId="1F00C352" w14:textId="77777777" w:rsidR="008E4671" w:rsidRPr="00261C59" w:rsidRDefault="008E4671" w:rsidP="004728D9">
      <w:pPr>
        <w:numPr>
          <w:ilvl w:val="0"/>
          <w:numId w:val="271"/>
        </w:numPr>
        <w:spacing w:after="240" w:line="260" w:lineRule="exact"/>
        <w:jc w:val="left"/>
        <w:rPr>
          <w:rFonts w:ascii="Calibri" w:hAnsi="Calibri"/>
          <w:sz w:val="24"/>
          <w:szCs w:val="24"/>
        </w:rPr>
      </w:pPr>
      <w:r w:rsidRPr="00261C59">
        <w:rPr>
          <w:rFonts w:ascii="Calibri" w:hAnsi="Calibri"/>
          <w:sz w:val="24"/>
          <w:szCs w:val="24"/>
        </w:rPr>
        <w:t>To the maximum extent practicable, appropriately trained staff should be on hand at the time of election, to answer any questions patients or their legally authorised representatives may have.</w:t>
      </w:r>
    </w:p>
    <w:p w14:paraId="7B51F588" w14:textId="77777777" w:rsidR="008E4671" w:rsidRPr="00261C59" w:rsidRDefault="008E4671" w:rsidP="004728D9">
      <w:pPr>
        <w:numPr>
          <w:ilvl w:val="0"/>
          <w:numId w:val="271"/>
        </w:numPr>
        <w:spacing w:after="240" w:line="260" w:lineRule="exact"/>
        <w:jc w:val="left"/>
        <w:rPr>
          <w:rFonts w:ascii="Calibri" w:hAnsi="Calibri"/>
          <w:sz w:val="24"/>
          <w:szCs w:val="24"/>
        </w:rPr>
      </w:pPr>
      <w:r w:rsidRPr="00261C59">
        <w:rPr>
          <w:rFonts w:ascii="Calibri" w:hAnsi="Calibri"/>
          <w:sz w:val="24"/>
          <w:szCs w:val="24"/>
        </w:rPr>
        <w:t>Verbal advice provided to patients by public hospitals and health services or private health insurers on the choice to elect to be treated privately will:</w:t>
      </w:r>
    </w:p>
    <w:p w14:paraId="12454CF5" w14:textId="055FC6F4" w:rsidR="008E4671" w:rsidRPr="00261C59" w:rsidRDefault="008E4671" w:rsidP="004728D9">
      <w:pPr>
        <w:numPr>
          <w:ilvl w:val="1"/>
          <w:numId w:val="234"/>
        </w:numPr>
        <w:spacing w:after="240" w:line="260" w:lineRule="exact"/>
        <w:jc w:val="left"/>
        <w:rPr>
          <w:rFonts w:ascii="Calibri" w:hAnsi="Calibri"/>
          <w:sz w:val="24"/>
          <w:szCs w:val="24"/>
        </w:rPr>
      </w:pPr>
      <w:r w:rsidRPr="00261C59">
        <w:rPr>
          <w:rFonts w:ascii="Calibri" w:hAnsi="Calibri"/>
          <w:sz w:val="24"/>
          <w:szCs w:val="24"/>
        </w:rPr>
        <w:t>be appropriate, robust and best support the consumer to make an informed choice</w:t>
      </w:r>
    </w:p>
    <w:p w14:paraId="07A611DF" w14:textId="77777777" w:rsidR="008E4671" w:rsidRPr="00261C59" w:rsidRDefault="008E4671" w:rsidP="004728D9">
      <w:pPr>
        <w:numPr>
          <w:ilvl w:val="1"/>
          <w:numId w:val="234"/>
        </w:numPr>
        <w:spacing w:after="240" w:line="260" w:lineRule="exact"/>
        <w:jc w:val="left"/>
        <w:rPr>
          <w:rFonts w:ascii="Calibri" w:hAnsi="Calibri"/>
          <w:sz w:val="24"/>
          <w:szCs w:val="24"/>
        </w:rPr>
      </w:pPr>
      <w:r w:rsidRPr="00261C59">
        <w:rPr>
          <w:rFonts w:ascii="Calibri" w:hAnsi="Calibri"/>
          <w:sz w:val="24"/>
          <w:szCs w:val="24"/>
        </w:rPr>
        <w:t>refrain from directing the patient to a particular choice.</w:t>
      </w:r>
    </w:p>
    <w:p w14:paraId="09085AB4" w14:textId="77777777" w:rsidR="008E4671" w:rsidRPr="00261C59" w:rsidRDefault="008E4671" w:rsidP="004728D9">
      <w:pPr>
        <w:numPr>
          <w:ilvl w:val="0"/>
          <w:numId w:val="271"/>
        </w:numPr>
        <w:spacing w:after="240" w:line="260" w:lineRule="exact"/>
        <w:jc w:val="left"/>
        <w:rPr>
          <w:rFonts w:ascii="Calibri" w:hAnsi="Calibri"/>
          <w:sz w:val="24"/>
          <w:szCs w:val="24"/>
        </w:rPr>
      </w:pPr>
      <w:r w:rsidRPr="00261C59">
        <w:rPr>
          <w:rFonts w:ascii="Calibri" w:hAnsi="Calibri"/>
          <w:sz w:val="24"/>
          <w:szCs w:val="24"/>
        </w:rPr>
        <w:t>Through the provision of translation/interpreting services, hospitals should ensure, where appropriate, that patients, or their legally authorised representatives, from non-English speaking backgrounds are not disadvantaged in the election process.</w:t>
      </w:r>
    </w:p>
    <w:p w14:paraId="208C51D5" w14:textId="77777777" w:rsidR="008E4671" w:rsidRPr="00261C59" w:rsidRDefault="008E4671" w:rsidP="00EC22A3">
      <w:pPr>
        <w:pStyle w:val="Heading2"/>
        <w:keepLines w:val="0"/>
        <w:widowControl/>
        <w:adjustRightInd/>
        <w:spacing w:before="180" w:after="120"/>
        <w:jc w:val="left"/>
        <w:textAlignment w:val="auto"/>
        <w:rPr>
          <w:rFonts w:ascii="Corbel" w:eastAsia="Times New Roman" w:hAnsi="Corbel" w:cs="Arial"/>
          <w:color w:val="3D4B67"/>
          <w:sz w:val="28"/>
          <w:szCs w:val="28"/>
        </w:rPr>
      </w:pPr>
      <w:bookmarkStart w:id="995" w:name="_Toc173937811"/>
      <w:bookmarkStart w:id="996" w:name="_Toc201674087"/>
      <w:bookmarkStart w:id="997" w:name="_Toc210833725"/>
      <w:bookmarkStart w:id="998" w:name="_Toc214456625"/>
      <w:bookmarkStart w:id="999" w:name="_Toc221088110"/>
      <w:r w:rsidRPr="00261C59">
        <w:rPr>
          <w:rFonts w:ascii="Corbel" w:eastAsia="Times New Roman" w:hAnsi="Corbel" w:cs="Arial"/>
          <w:color w:val="3D4B67"/>
          <w:sz w:val="28"/>
          <w:szCs w:val="28"/>
        </w:rPr>
        <w:t>Rights of private practice agreement</w:t>
      </w:r>
      <w:bookmarkEnd w:id="995"/>
      <w:bookmarkEnd w:id="996"/>
      <w:bookmarkEnd w:id="997"/>
      <w:bookmarkEnd w:id="998"/>
      <w:bookmarkEnd w:id="999"/>
    </w:p>
    <w:p w14:paraId="422C12D3" w14:textId="77777777" w:rsidR="008E4671" w:rsidRPr="00261C59" w:rsidRDefault="008E4671" w:rsidP="004728D9">
      <w:pPr>
        <w:numPr>
          <w:ilvl w:val="0"/>
          <w:numId w:val="271"/>
        </w:numPr>
        <w:spacing w:after="240" w:line="260" w:lineRule="exact"/>
        <w:jc w:val="left"/>
        <w:rPr>
          <w:rFonts w:ascii="Calibri" w:hAnsi="Calibri"/>
          <w:sz w:val="24"/>
          <w:szCs w:val="24"/>
        </w:rPr>
      </w:pPr>
      <w:r w:rsidRPr="00261C59">
        <w:rPr>
          <w:rFonts w:ascii="Calibri" w:hAnsi="Calibri"/>
          <w:sz w:val="24"/>
          <w:szCs w:val="24"/>
        </w:rPr>
        <w:t xml:space="preserve">The Parties agree that a right of private practice agreement between a medical practitioner and a public hospital, is the primary mechanism for private billing in public hospitals. </w:t>
      </w:r>
    </w:p>
    <w:p w14:paraId="2FDAF634" w14:textId="77777777" w:rsidR="008E4671" w:rsidRPr="00261C59" w:rsidRDefault="008E4671" w:rsidP="004728D9">
      <w:pPr>
        <w:numPr>
          <w:ilvl w:val="0"/>
          <w:numId w:val="271"/>
        </w:numPr>
        <w:spacing w:after="240" w:line="260" w:lineRule="exact"/>
        <w:jc w:val="left"/>
        <w:rPr>
          <w:rFonts w:ascii="Calibri" w:hAnsi="Calibri"/>
          <w:sz w:val="24"/>
          <w:szCs w:val="24"/>
        </w:rPr>
      </w:pPr>
      <w:r w:rsidRPr="00261C59">
        <w:rPr>
          <w:rFonts w:ascii="Calibri" w:hAnsi="Calibri"/>
          <w:sz w:val="24"/>
          <w:szCs w:val="24"/>
        </w:rPr>
        <w:t>The Commonwealth asserts its responsibility for Medicare compliance where services are provided under a right of private practice agreement with a public hospital.</w:t>
      </w:r>
    </w:p>
    <w:p w14:paraId="7E2402A7" w14:textId="77777777" w:rsidR="008E4671" w:rsidRPr="00261C59" w:rsidRDefault="008E4671" w:rsidP="004728D9">
      <w:pPr>
        <w:numPr>
          <w:ilvl w:val="0"/>
          <w:numId w:val="271"/>
        </w:numPr>
        <w:spacing w:after="240" w:line="260" w:lineRule="exact"/>
        <w:jc w:val="left"/>
        <w:rPr>
          <w:rFonts w:ascii="Calibri" w:hAnsi="Calibri"/>
          <w:sz w:val="24"/>
          <w:szCs w:val="24"/>
        </w:rPr>
      </w:pPr>
      <w:r w:rsidRPr="00261C59">
        <w:rPr>
          <w:rFonts w:ascii="Calibri" w:hAnsi="Calibri"/>
          <w:sz w:val="24"/>
          <w:szCs w:val="24"/>
        </w:rPr>
        <w:t xml:space="preserve">States agree to the following minimum requirements for right of private practice agreements: </w:t>
      </w:r>
    </w:p>
    <w:p w14:paraId="4686B1BC" w14:textId="0AD6263A" w:rsidR="008E4671" w:rsidRPr="00261C59" w:rsidRDefault="008E4671" w:rsidP="004728D9">
      <w:pPr>
        <w:numPr>
          <w:ilvl w:val="1"/>
          <w:numId w:val="235"/>
        </w:numPr>
        <w:spacing w:after="240" w:line="260" w:lineRule="exact"/>
        <w:jc w:val="left"/>
        <w:rPr>
          <w:rFonts w:ascii="Calibri" w:hAnsi="Calibri"/>
          <w:sz w:val="24"/>
          <w:szCs w:val="24"/>
        </w:rPr>
      </w:pPr>
      <w:r w:rsidRPr="00261C59">
        <w:rPr>
          <w:rFonts w:ascii="Calibri" w:hAnsi="Calibri"/>
          <w:sz w:val="24"/>
          <w:szCs w:val="24"/>
        </w:rPr>
        <w:t xml:space="preserve">rights of private practice are granted only when services offered under the agreement are also available at the hospital, free of charge as public hospital services </w:t>
      </w:r>
    </w:p>
    <w:p w14:paraId="385D56E2" w14:textId="16C58174" w:rsidR="008E4671" w:rsidRPr="00261C59" w:rsidRDefault="008E4671" w:rsidP="004728D9">
      <w:pPr>
        <w:numPr>
          <w:ilvl w:val="1"/>
          <w:numId w:val="235"/>
        </w:numPr>
        <w:spacing w:after="240" w:line="260" w:lineRule="exact"/>
        <w:jc w:val="left"/>
        <w:rPr>
          <w:rFonts w:ascii="Calibri" w:hAnsi="Calibri"/>
          <w:sz w:val="24"/>
          <w:szCs w:val="24"/>
        </w:rPr>
      </w:pPr>
      <w:r w:rsidRPr="00261C59">
        <w:rPr>
          <w:rFonts w:ascii="Calibri" w:hAnsi="Calibri"/>
          <w:sz w:val="24"/>
          <w:szCs w:val="24"/>
        </w:rPr>
        <w:t xml:space="preserve">a record of a patient’s decision to receive services from a practitioner exercising their right of private practice (this could be through the patient election form) </w:t>
      </w:r>
    </w:p>
    <w:p w14:paraId="6FDAF0EB" w14:textId="320404FA" w:rsidR="008E4671" w:rsidRPr="00261C59" w:rsidRDefault="008E4671" w:rsidP="004728D9">
      <w:pPr>
        <w:numPr>
          <w:ilvl w:val="1"/>
          <w:numId w:val="235"/>
        </w:numPr>
        <w:spacing w:after="240" w:line="260" w:lineRule="exact"/>
        <w:jc w:val="left"/>
        <w:rPr>
          <w:rFonts w:ascii="Calibri" w:hAnsi="Calibri"/>
          <w:sz w:val="24"/>
          <w:szCs w:val="24"/>
        </w:rPr>
      </w:pPr>
      <w:r w:rsidRPr="00261C59">
        <w:rPr>
          <w:rFonts w:ascii="Calibri" w:hAnsi="Calibri"/>
          <w:sz w:val="24"/>
          <w:szCs w:val="24"/>
        </w:rPr>
        <w:t xml:space="preserve">the Commonwealth may request a copy of the record for Medicare compliance purposes </w:t>
      </w:r>
    </w:p>
    <w:p w14:paraId="3D5958E3" w14:textId="5F3FA962" w:rsidR="008E4671" w:rsidRPr="00261C59" w:rsidRDefault="008E4671" w:rsidP="008E4671">
      <w:pPr>
        <w:numPr>
          <w:ilvl w:val="1"/>
          <w:numId w:val="235"/>
        </w:numPr>
        <w:spacing w:after="240" w:line="260" w:lineRule="exact"/>
        <w:jc w:val="left"/>
        <w:rPr>
          <w:rFonts w:ascii="Calibri" w:hAnsi="Calibri"/>
          <w:sz w:val="24"/>
          <w:szCs w:val="24"/>
        </w:rPr>
      </w:pPr>
      <w:r w:rsidRPr="00261C59">
        <w:rPr>
          <w:rFonts w:ascii="Calibri" w:hAnsi="Calibri"/>
          <w:sz w:val="24"/>
          <w:szCs w:val="24"/>
        </w:rPr>
        <w:t>audit (information requesting) rights only relate to understanding whether patient elections are captured (“the record”) and obtaining a copy of the election to ensure the information captured meets the requirements under the NHRA</w:t>
      </w:r>
    </w:p>
    <w:p w14:paraId="70E9C993" w14:textId="1F5FC00B" w:rsidR="00EF36B5" w:rsidRPr="00261C59" w:rsidRDefault="0026043A" w:rsidP="006B67C8">
      <w:pPr>
        <w:numPr>
          <w:ilvl w:val="1"/>
          <w:numId w:val="235"/>
        </w:numPr>
        <w:spacing w:after="240" w:line="260" w:lineRule="exact"/>
        <w:jc w:val="left"/>
        <w:rPr>
          <w:rFonts w:ascii="Calibri" w:hAnsi="Calibri"/>
          <w:sz w:val="24"/>
          <w:szCs w:val="24"/>
        </w:rPr>
      </w:pPr>
      <w:r w:rsidRPr="00261C59">
        <w:rPr>
          <w:rFonts w:ascii="Calibri" w:hAnsi="Calibri"/>
          <w:sz w:val="24"/>
          <w:szCs w:val="24"/>
        </w:rPr>
        <w:t xml:space="preserve">this Addendum, </w:t>
      </w:r>
      <w:r w:rsidR="008D36B6" w:rsidRPr="00261C59">
        <w:rPr>
          <w:rFonts w:ascii="Calibri" w:hAnsi="Calibri"/>
          <w:sz w:val="24"/>
          <w:szCs w:val="24"/>
        </w:rPr>
        <w:t>specifically</w:t>
      </w:r>
      <w:r w:rsidR="008E4671" w:rsidRPr="00261C59">
        <w:rPr>
          <w:rFonts w:ascii="Calibri" w:hAnsi="Calibri"/>
          <w:sz w:val="24"/>
          <w:szCs w:val="24"/>
        </w:rPr>
        <w:t xml:space="preserve"> clause J43(d)</w:t>
      </w:r>
      <w:r w:rsidRPr="00261C59">
        <w:rPr>
          <w:rFonts w:ascii="Calibri" w:hAnsi="Calibri"/>
          <w:sz w:val="24"/>
          <w:szCs w:val="24"/>
        </w:rPr>
        <w:t>,</w:t>
      </w:r>
      <w:r w:rsidR="008E4671" w:rsidRPr="00261C59">
        <w:rPr>
          <w:rFonts w:ascii="Calibri" w:hAnsi="Calibri"/>
          <w:sz w:val="24"/>
          <w:szCs w:val="24"/>
        </w:rPr>
        <w:t xml:space="preserve"> </w:t>
      </w:r>
      <w:r w:rsidR="0067455E" w:rsidRPr="00261C59">
        <w:rPr>
          <w:rFonts w:ascii="Calibri" w:hAnsi="Calibri"/>
          <w:sz w:val="24"/>
          <w:szCs w:val="24"/>
        </w:rPr>
        <w:t>does not</w:t>
      </w:r>
      <w:r w:rsidR="008E4671" w:rsidRPr="00261C59">
        <w:rPr>
          <w:rFonts w:ascii="Calibri" w:hAnsi="Calibri"/>
          <w:sz w:val="24"/>
          <w:szCs w:val="24"/>
        </w:rPr>
        <w:t xml:space="preserve"> provide the Commonwealth </w:t>
      </w:r>
      <w:r w:rsidRPr="00261C59">
        <w:rPr>
          <w:rFonts w:ascii="Calibri" w:hAnsi="Calibri"/>
          <w:sz w:val="24"/>
          <w:szCs w:val="24"/>
        </w:rPr>
        <w:t xml:space="preserve">with </w:t>
      </w:r>
      <w:r w:rsidR="009477D6" w:rsidRPr="00261C59">
        <w:rPr>
          <w:rFonts w:ascii="Calibri" w:hAnsi="Calibri"/>
          <w:sz w:val="24"/>
          <w:szCs w:val="24"/>
        </w:rPr>
        <w:t xml:space="preserve">any </w:t>
      </w:r>
      <w:r w:rsidR="008E4671" w:rsidRPr="00261C59">
        <w:rPr>
          <w:rFonts w:ascii="Calibri" w:hAnsi="Calibri"/>
          <w:sz w:val="24"/>
          <w:szCs w:val="24"/>
        </w:rPr>
        <w:t xml:space="preserve">responsibility </w:t>
      </w:r>
      <w:r w:rsidR="009477D6" w:rsidRPr="00261C59">
        <w:rPr>
          <w:rFonts w:ascii="Calibri" w:hAnsi="Calibri"/>
          <w:sz w:val="24"/>
          <w:szCs w:val="24"/>
        </w:rPr>
        <w:t>for</w:t>
      </w:r>
      <w:r w:rsidR="00EE3496" w:rsidRPr="00261C59">
        <w:rPr>
          <w:rFonts w:ascii="Calibri" w:hAnsi="Calibri"/>
          <w:sz w:val="24"/>
          <w:szCs w:val="24"/>
        </w:rPr>
        <w:t>,</w:t>
      </w:r>
      <w:r w:rsidR="008E4671" w:rsidRPr="00261C59">
        <w:rPr>
          <w:rFonts w:ascii="Calibri" w:hAnsi="Calibri"/>
          <w:sz w:val="24"/>
          <w:szCs w:val="24"/>
        </w:rPr>
        <w:t xml:space="preserve"> oversight of</w:t>
      </w:r>
      <w:r w:rsidR="009477D6" w:rsidRPr="00261C59">
        <w:rPr>
          <w:rFonts w:ascii="Calibri" w:hAnsi="Calibri"/>
          <w:sz w:val="24"/>
          <w:szCs w:val="24"/>
        </w:rPr>
        <w:t>,</w:t>
      </w:r>
      <w:r w:rsidR="008E4671" w:rsidRPr="00261C59">
        <w:rPr>
          <w:rFonts w:ascii="Calibri" w:hAnsi="Calibri"/>
          <w:sz w:val="24"/>
          <w:szCs w:val="24"/>
        </w:rPr>
        <w:t xml:space="preserve"> </w:t>
      </w:r>
      <w:r w:rsidR="003847E0" w:rsidRPr="00261C59">
        <w:rPr>
          <w:rFonts w:ascii="Calibri" w:hAnsi="Calibri"/>
          <w:sz w:val="24"/>
          <w:szCs w:val="24"/>
        </w:rPr>
        <w:t>or rights to veto</w:t>
      </w:r>
      <w:r w:rsidR="008E4671" w:rsidRPr="00261C59">
        <w:rPr>
          <w:rFonts w:ascii="Calibri" w:hAnsi="Calibri"/>
          <w:sz w:val="24"/>
          <w:szCs w:val="24"/>
        </w:rPr>
        <w:t xml:space="preserve"> contractual or industrial arrangements between hospitals and practitioners.</w:t>
      </w:r>
    </w:p>
    <w:p w14:paraId="53E6F12E" w14:textId="77777777" w:rsidR="00EF36B5" w:rsidRPr="00261C59" w:rsidRDefault="00EF36B5"/>
    <w:p w14:paraId="60EC1506" w14:textId="77777777" w:rsidR="00C81462" w:rsidRPr="00261C59" w:rsidRDefault="00C81462" w:rsidP="006649C1">
      <w:pPr>
        <w:keepNext/>
        <w:spacing w:before="0" w:after="60"/>
        <w:jc w:val="left"/>
        <w:outlineLvl w:val="0"/>
        <w:rPr>
          <w:rFonts w:ascii="Consolas" w:eastAsia="Calibri" w:hAnsi="Consolas" w:cs="Consolas"/>
          <w:bCs/>
          <w:color w:val="3D4B67"/>
          <w:kern w:val="28"/>
          <w:sz w:val="32"/>
          <w:szCs w:val="32"/>
        </w:rPr>
        <w:sectPr w:rsidR="00C81462" w:rsidRPr="00261C59" w:rsidSect="00975D83">
          <w:pgSz w:w="11906" w:h="16838"/>
          <w:pgMar w:top="1440" w:right="1274" w:bottom="1440" w:left="1134" w:header="708" w:footer="708" w:gutter="0"/>
          <w:cols w:space="708"/>
          <w:docGrid w:linePitch="360"/>
        </w:sectPr>
      </w:pPr>
    </w:p>
    <w:p w14:paraId="5BEF6B82" w14:textId="7FD0E8BF" w:rsidR="000F1379" w:rsidRPr="00261C59" w:rsidRDefault="000F1379" w:rsidP="00814D08">
      <w:pPr>
        <w:pStyle w:val="Heading1"/>
        <w:keepLines w:val="0"/>
        <w:widowControl/>
        <w:tabs>
          <w:tab w:val="clear" w:pos="567"/>
        </w:tabs>
        <w:adjustRightInd/>
        <w:spacing w:before="120" w:after="180"/>
        <w:jc w:val="left"/>
        <w:textAlignment w:val="auto"/>
        <w:rPr>
          <w:rFonts w:ascii="Consolas" w:eastAsia="Times New Roman" w:hAnsi="Consolas" w:cs="Arial"/>
          <w:b w:val="0"/>
          <w:caps/>
          <w:color w:val="980033"/>
          <w:kern w:val="32"/>
          <w:szCs w:val="36"/>
        </w:rPr>
      </w:pPr>
      <w:bookmarkStart w:id="1000" w:name="_Toc210833726"/>
      <w:bookmarkStart w:id="1001" w:name="_Toc214456626"/>
      <w:bookmarkStart w:id="1002" w:name="_Toc221088111"/>
      <w:r w:rsidRPr="00261C59">
        <w:rPr>
          <w:rFonts w:ascii="Consolas" w:eastAsia="Times New Roman" w:hAnsi="Consolas" w:cs="Arial"/>
          <w:b w:val="0"/>
          <w:caps/>
          <w:color w:val="980033"/>
          <w:kern w:val="32"/>
          <w:szCs w:val="36"/>
        </w:rPr>
        <w:t>Appendix A – Definitions</w:t>
      </w:r>
      <w:bookmarkEnd w:id="1000"/>
      <w:bookmarkEnd w:id="1001"/>
      <w:bookmarkEnd w:id="1002"/>
    </w:p>
    <w:bookmarkEnd w:id="2"/>
    <w:p w14:paraId="4ED4EB40" w14:textId="77777777" w:rsidR="00E32840" w:rsidRPr="00261C59" w:rsidRDefault="00E32840" w:rsidP="00E32840">
      <w:pPr>
        <w:numPr>
          <w:ilvl w:val="0"/>
          <w:numId w:val="32"/>
        </w:numPr>
        <w:spacing w:before="0" w:line="260" w:lineRule="exact"/>
        <w:ind w:left="709" w:hanging="709"/>
        <w:jc w:val="left"/>
        <w:rPr>
          <w:rFonts w:ascii="Calibri" w:hAnsi="Calibri"/>
          <w:sz w:val="24"/>
          <w:szCs w:val="24"/>
        </w:rPr>
      </w:pPr>
      <w:r w:rsidRPr="00261C59">
        <w:rPr>
          <w:rFonts w:ascii="Calibri" w:hAnsi="Calibri"/>
          <w:sz w:val="24"/>
          <w:szCs w:val="24"/>
        </w:rPr>
        <w:t xml:space="preserve">A reference in this Addendum to the </w:t>
      </w:r>
      <w:r w:rsidRPr="00261C59">
        <w:rPr>
          <w:rFonts w:ascii="Calibri" w:hAnsi="Calibri"/>
          <w:i/>
          <w:iCs/>
          <w:sz w:val="24"/>
          <w:szCs w:val="24"/>
        </w:rPr>
        <w:t>Health Insurance Act 1973</w:t>
      </w:r>
      <w:r w:rsidRPr="00261C59">
        <w:rPr>
          <w:rFonts w:ascii="Calibri" w:hAnsi="Calibri"/>
          <w:sz w:val="24"/>
          <w:szCs w:val="24"/>
        </w:rPr>
        <w:t xml:space="preserve"> or the </w:t>
      </w:r>
      <w:r w:rsidRPr="00261C59">
        <w:rPr>
          <w:rFonts w:ascii="Calibri" w:hAnsi="Calibri"/>
          <w:i/>
          <w:iCs/>
          <w:sz w:val="24"/>
          <w:szCs w:val="24"/>
        </w:rPr>
        <w:t>National Health Act 1953</w:t>
      </w:r>
      <w:r w:rsidRPr="00261C59">
        <w:rPr>
          <w:rFonts w:ascii="Calibri" w:hAnsi="Calibri"/>
          <w:sz w:val="24"/>
          <w:szCs w:val="24"/>
        </w:rPr>
        <w:t xml:space="preserve"> is a reference to the Acts as at 1 July 2026 or as amended thereafter.</w:t>
      </w:r>
    </w:p>
    <w:p w14:paraId="5951CE97" w14:textId="77777777" w:rsidR="00E32840" w:rsidRPr="00261C59" w:rsidRDefault="00E32840" w:rsidP="00E32840">
      <w:pPr>
        <w:numPr>
          <w:ilvl w:val="0"/>
          <w:numId w:val="32"/>
        </w:numPr>
        <w:spacing w:before="0" w:line="260" w:lineRule="exact"/>
        <w:ind w:left="709" w:hanging="709"/>
        <w:jc w:val="left"/>
        <w:rPr>
          <w:rFonts w:ascii="Calibri" w:hAnsi="Calibri"/>
          <w:sz w:val="24"/>
          <w:szCs w:val="24"/>
        </w:rPr>
      </w:pPr>
      <w:r w:rsidRPr="00261C59">
        <w:rPr>
          <w:rFonts w:ascii="Calibri" w:hAnsi="Calibri"/>
          <w:sz w:val="24"/>
          <w:szCs w:val="24"/>
        </w:rPr>
        <w:t>A reference in this Addendum to the 2020-2025 Addendum and its arrangements includes the one-year extension of these arrangements for the period 2025-2026.</w:t>
      </w:r>
    </w:p>
    <w:p w14:paraId="326F569D" w14:textId="77777777" w:rsidR="00E32840" w:rsidRPr="00261C59" w:rsidRDefault="00E32840" w:rsidP="00E32840">
      <w:pPr>
        <w:numPr>
          <w:ilvl w:val="0"/>
          <w:numId w:val="32"/>
        </w:numPr>
        <w:spacing w:before="0" w:line="260" w:lineRule="exact"/>
        <w:ind w:left="709" w:hanging="709"/>
        <w:jc w:val="left"/>
        <w:rPr>
          <w:rFonts w:ascii="Calibri" w:hAnsi="Calibri"/>
          <w:sz w:val="24"/>
          <w:szCs w:val="24"/>
        </w:rPr>
      </w:pPr>
      <w:r w:rsidRPr="00261C59">
        <w:rPr>
          <w:rFonts w:ascii="Calibri" w:hAnsi="Calibri"/>
          <w:sz w:val="24"/>
          <w:szCs w:val="24"/>
        </w:rPr>
        <w:t xml:space="preserve">Words and phrases which are not defined in this Addendum or defined in the </w:t>
      </w:r>
      <w:r w:rsidRPr="00261C59">
        <w:rPr>
          <w:rFonts w:ascii="Calibri" w:hAnsi="Calibri"/>
          <w:i/>
          <w:iCs/>
          <w:sz w:val="24"/>
          <w:szCs w:val="24"/>
        </w:rPr>
        <w:t>Health Insurance Act 1973</w:t>
      </w:r>
      <w:r w:rsidRPr="00261C59">
        <w:rPr>
          <w:rFonts w:ascii="Calibri" w:hAnsi="Calibri"/>
          <w:sz w:val="24"/>
          <w:szCs w:val="24"/>
        </w:rPr>
        <w:t xml:space="preserve"> are to be given their natural meaning.</w:t>
      </w:r>
    </w:p>
    <w:p w14:paraId="745AA41E" w14:textId="77777777" w:rsidR="00E32840" w:rsidRPr="00261C59" w:rsidRDefault="00E32840" w:rsidP="00E32840">
      <w:pPr>
        <w:numPr>
          <w:ilvl w:val="0"/>
          <w:numId w:val="32"/>
        </w:numPr>
        <w:spacing w:before="0" w:line="260" w:lineRule="exact"/>
        <w:ind w:left="709" w:hanging="709"/>
        <w:jc w:val="left"/>
        <w:rPr>
          <w:rFonts w:ascii="Calibri" w:hAnsi="Calibri"/>
          <w:sz w:val="24"/>
          <w:szCs w:val="24"/>
        </w:rPr>
      </w:pPr>
      <w:r w:rsidRPr="00261C59">
        <w:rPr>
          <w:rFonts w:ascii="Calibri" w:hAnsi="Calibri"/>
          <w:sz w:val="24"/>
          <w:szCs w:val="24"/>
        </w:rPr>
        <w:t>Unless otherwise specified, words and phrases are to be interpreted as follows.</w:t>
      </w:r>
    </w:p>
    <w:tbl>
      <w:tblPr>
        <w:tblW w:w="9531" w:type="dxa"/>
        <w:tblInd w:w="108" w:type="dxa"/>
        <w:tblLook w:val="01E0" w:firstRow="1" w:lastRow="1" w:firstColumn="1" w:lastColumn="1" w:noHBand="0" w:noVBand="0"/>
      </w:tblPr>
      <w:tblGrid>
        <w:gridCol w:w="3295"/>
        <w:gridCol w:w="6236"/>
      </w:tblGrid>
      <w:tr w:rsidR="00E32840" w:rsidRPr="00261C59" w14:paraId="418F442B" w14:textId="77777777" w:rsidTr="004728D9">
        <w:trPr>
          <w:trHeight w:val="300"/>
        </w:trPr>
        <w:tc>
          <w:tcPr>
            <w:tcW w:w="3295" w:type="dxa"/>
          </w:tcPr>
          <w:p w14:paraId="5456FFFE" w14:textId="77777777" w:rsidR="00E32840" w:rsidRPr="00261C59" w:rsidRDefault="00E32840">
            <w:pPr>
              <w:spacing w:before="40" w:after="40"/>
              <w:jc w:val="left"/>
              <w:rPr>
                <w:rFonts w:ascii="Calibri" w:hAnsi="Calibri"/>
                <w:color w:val="000000"/>
                <w:sz w:val="24"/>
                <w:szCs w:val="24"/>
              </w:rPr>
            </w:pPr>
            <w:r w:rsidRPr="00261C59">
              <w:rPr>
                <w:rFonts w:ascii="Calibri" w:hAnsi="Calibri"/>
                <w:color w:val="000000"/>
                <w:sz w:val="24"/>
                <w:szCs w:val="24"/>
              </w:rPr>
              <w:t>Aboriginal and Torres Strait Islander (‘Indigenous’) Cultural and Intellectual Property (ICIP)</w:t>
            </w:r>
          </w:p>
        </w:tc>
        <w:tc>
          <w:tcPr>
            <w:tcW w:w="6236" w:type="dxa"/>
          </w:tcPr>
          <w:p w14:paraId="28A79F19" w14:textId="72965FAE" w:rsidR="00E32840" w:rsidRPr="00261C59" w:rsidRDefault="00E32840" w:rsidP="1476B102">
            <w:pPr>
              <w:spacing w:before="40" w:after="40"/>
              <w:jc w:val="left"/>
              <w:rPr>
                <w:rFonts w:ascii="Calibri" w:hAnsi="Calibri"/>
                <w:color w:val="000000"/>
                <w:sz w:val="24"/>
                <w:szCs w:val="24"/>
              </w:rPr>
            </w:pPr>
            <w:r w:rsidRPr="00261C59">
              <w:rPr>
                <w:rFonts w:ascii="Calibri" w:hAnsi="Calibri"/>
                <w:color w:val="000000" w:themeColor="text1"/>
                <w:sz w:val="24"/>
                <w:szCs w:val="24"/>
              </w:rPr>
              <w:t>Means Aboriginal and Torres Strait Islander people's rights to their heritage, cultural knowledge and cultural expression that originates from a family or community group and is passed on from generation to generation. These rights may exist in literary, performing and artistic works; languages; types of knowledge, including spiritual knowledge; tangible and intangible cultural property; cultural environmental resources; and documentation of Indigenous heritage created, performed, expressed or contributed to by Aboriginal and Torres Strait Islander people. </w:t>
            </w:r>
          </w:p>
        </w:tc>
      </w:tr>
      <w:tr w:rsidR="00E32840" w:rsidRPr="00261C59" w14:paraId="5BCF16EE" w14:textId="77777777" w:rsidTr="004728D9">
        <w:trPr>
          <w:trHeight w:val="300"/>
        </w:trPr>
        <w:tc>
          <w:tcPr>
            <w:tcW w:w="3295" w:type="dxa"/>
          </w:tcPr>
          <w:p w14:paraId="30370767" w14:textId="77777777" w:rsidR="00E32840" w:rsidRPr="00261C59" w:rsidRDefault="00E32840">
            <w:pPr>
              <w:spacing w:before="40" w:after="40"/>
              <w:jc w:val="left"/>
              <w:rPr>
                <w:rFonts w:ascii="Calibri" w:hAnsi="Calibri"/>
                <w:color w:val="000000"/>
                <w:sz w:val="24"/>
                <w:szCs w:val="24"/>
              </w:rPr>
            </w:pPr>
            <w:r w:rsidRPr="00261C59">
              <w:rPr>
                <w:rFonts w:ascii="Calibri" w:hAnsi="Calibri"/>
                <w:color w:val="000000"/>
                <w:sz w:val="24"/>
                <w:szCs w:val="24"/>
              </w:rPr>
              <w:t xml:space="preserve">Aboriginal and Torres Strait Islander Health Sector </w:t>
            </w:r>
          </w:p>
        </w:tc>
        <w:tc>
          <w:tcPr>
            <w:tcW w:w="6236" w:type="dxa"/>
          </w:tcPr>
          <w:p w14:paraId="4A23D5D5" w14:textId="77777777" w:rsidR="00E32840" w:rsidRPr="00261C59" w:rsidRDefault="00E32840">
            <w:pPr>
              <w:spacing w:before="40" w:after="40"/>
              <w:jc w:val="left"/>
              <w:rPr>
                <w:rFonts w:ascii="Calibri" w:hAnsi="Calibri"/>
                <w:color w:val="000000"/>
                <w:sz w:val="24"/>
                <w:szCs w:val="24"/>
              </w:rPr>
            </w:pPr>
            <w:r w:rsidRPr="00261C59">
              <w:rPr>
                <w:rFonts w:ascii="Calibri" w:hAnsi="Calibri"/>
                <w:color w:val="000000"/>
                <w:sz w:val="24"/>
                <w:szCs w:val="24"/>
              </w:rPr>
              <w:t>Means the National Indigenous Health Leadership Alliance (NIHLA) and the National Aboriginal Community-Controlled Health Organisation (NACCHO), the State and Territory Affiliate peak health bodies and ACCHOs.</w:t>
            </w:r>
          </w:p>
        </w:tc>
      </w:tr>
      <w:tr w:rsidR="00E32840" w:rsidRPr="00261C59" w14:paraId="2C8E1E86" w14:textId="77777777" w:rsidTr="004728D9">
        <w:trPr>
          <w:trHeight w:val="300"/>
        </w:trPr>
        <w:tc>
          <w:tcPr>
            <w:tcW w:w="3295" w:type="dxa"/>
          </w:tcPr>
          <w:p w14:paraId="32AF9E66" w14:textId="77777777" w:rsidR="00E32840" w:rsidRPr="00261C59" w:rsidRDefault="00E32840">
            <w:pPr>
              <w:spacing w:before="40" w:after="40"/>
              <w:jc w:val="left"/>
              <w:rPr>
                <w:rFonts w:ascii="Calibri" w:hAnsi="Calibri"/>
                <w:color w:val="000000" w:themeColor="text1"/>
                <w:sz w:val="24"/>
                <w:szCs w:val="24"/>
              </w:rPr>
            </w:pPr>
            <w:r w:rsidRPr="00261C59">
              <w:rPr>
                <w:rFonts w:ascii="Calibri" w:hAnsi="Calibri"/>
                <w:color w:val="000000" w:themeColor="text1"/>
                <w:sz w:val="24"/>
                <w:szCs w:val="24"/>
              </w:rPr>
              <w:t>Aboriginal Community Controlled Health Organisations (ACCHOs)</w:t>
            </w:r>
          </w:p>
          <w:p w14:paraId="165C8526" w14:textId="77777777" w:rsidR="00E32840" w:rsidRPr="00261C59" w:rsidRDefault="00E32840" w:rsidP="00FD1C80">
            <w:pPr>
              <w:rPr>
                <w:rFonts w:ascii="Calibri" w:hAnsi="Calibri"/>
                <w:sz w:val="24"/>
                <w:szCs w:val="24"/>
              </w:rPr>
            </w:pPr>
          </w:p>
          <w:p w14:paraId="766CD154" w14:textId="77777777" w:rsidR="00E32840" w:rsidRPr="00261C59" w:rsidRDefault="00E32840" w:rsidP="00FD1C80">
            <w:pPr>
              <w:rPr>
                <w:rFonts w:ascii="Calibri" w:hAnsi="Calibri"/>
                <w:sz w:val="24"/>
                <w:szCs w:val="24"/>
              </w:rPr>
            </w:pPr>
          </w:p>
          <w:p w14:paraId="47A76B24" w14:textId="77777777" w:rsidR="00E32840" w:rsidRPr="00261C59" w:rsidRDefault="00E32840" w:rsidP="00FD1C80">
            <w:pPr>
              <w:rPr>
                <w:rFonts w:ascii="Calibri" w:hAnsi="Calibri"/>
                <w:sz w:val="24"/>
                <w:szCs w:val="24"/>
              </w:rPr>
            </w:pPr>
          </w:p>
          <w:p w14:paraId="7CC62602" w14:textId="77777777" w:rsidR="00E32840" w:rsidRPr="00261C59" w:rsidRDefault="00E32840" w:rsidP="00FD1C80">
            <w:pPr>
              <w:rPr>
                <w:rFonts w:ascii="Calibri" w:hAnsi="Calibri"/>
                <w:sz w:val="24"/>
                <w:szCs w:val="24"/>
              </w:rPr>
            </w:pPr>
          </w:p>
          <w:p w14:paraId="58AD0413" w14:textId="77777777" w:rsidR="00E32840" w:rsidRPr="00261C59" w:rsidRDefault="00E32840" w:rsidP="00FD1C80">
            <w:pPr>
              <w:rPr>
                <w:rFonts w:ascii="Calibri" w:hAnsi="Calibri"/>
                <w:sz w:val="24"/>
                <w:szCs w:val="24"/>
              </w:rPr>
            </w:pPr>
          </w:p>
          <w:p w14:paraId="008235BB" w14:textId="77777777" w:rsidR="00E32840" w:rsidRPr="00261C59" w:rsidRDefault="00E32840" w:rsidP="00FD1C80">
            <w:pPr>
              <w:rPr>
                <w:rFonts w:ascii="Calibri" w:hAnsi="Calibri"/>
                <w:sz w:val="24"/>
                <w:szCs w:val="24"/>
              </w:rPr>
            </w:pPr>
          </w:p>
          <w:p w14:paraId="1E53FED5" w14:textId="77777777" w:rsidR="00E32840" w:rsidRPr="00261C59" w:rsidRDefault="00E32840" w:rsidP="00FD1C80">
            <w:pPr>
              <w:rPr>
                <w:rFonts w:ascii="Calibri" w:hAnsi="Calibri"/>
                <w:sz w:val="24"/>
                <w:szCs w:val="24"/>
              </w:rPr>
            </w:pPr>
          </w:p>
          <w:p w14:paraId="1763F831" w14:textId="77777777" w:rsidR="00E32840" w:rsidRPr="00261C59" w:rsidRDefault="00E32840" w:rsidP="00FD1C80">
            <w:pPr>
              <w:rPr>
                <w:rFonts w:ascii="Calibri" w:hAnsi="Calibri"/>
                <w:color w:val="000000" w:themeColor="text1"/>
                <w:sz w:val="24"/>
                <w:szCs w:val="24"/>
              </w:rPr>
            </w:pPr>
          </w:p>
          <w:p w14:paraId="7135215D" w14:textId="77777777" w:rsidR="00E32840" w:rsidRPr="00261C59" w:rsidRDefault="00E32840" w:rsidP="00FD1C80">
            <w:pPr>
              <w:rPr>
                <w:rFonts w:ascii="Calibri" w:hAnsi="Calibri"/>
                <w:sz w:val="24"/>
                <w:szCs w:val="24"/>
              </w:rPr>
            </w:pPr>
          </w:p>
        </w:tc>
        <w:tc>
          <w:tcPr>
            <w:tcW w:w="6236" w:type="dxa"/>
          </w:tcPr>
          <w:p w14:paraId="1E4DDFC4" w14:textId="77777777" w:rsidR="00E32840" w:rsidRPr="00261C59" w:rsidRDefault="00E32840" w:rsidP="1476B102">
            <w:pPr>
              <w:spacing w:before="40" w:after="40"/>
              <w:jc w:val="left"/>
              <w:rPr>
                <w:rFonts w:ascii="Calibri" w:hAnsi="Calibri"/>
                <w:color w:val="000000"/>
                <w:sz w:val="24"/>
                <w:szCs w:val="24"/>
              </w:rPr>
            </w:pPr>
            <w:r w:rsidRPr="00261C59">
              <w:rPr>
                <w:rFonts w:ascii="Calibri" w:eastAsia="Calibri" w:hAnsi="Calibri" w:cs="Calibri"/>
                <w:sz w:val="24"/>
                <w:szCs w:val="24"/>
              </w:rPr>
              <w:t>Means Aboriginal Community Controlled Health Organisations or ACCHOs which are non-government and not-for-profit incorporated Aboriginal or Torres Strait Islander organisations that are initiated by a local Aboriginal or Torres Strait Islander community; based in a local Aboriginal or Torres Strait Islander community; governed by an Aboriginal or Torres Strait Islander body which is elected by the local Aboriginal or Torres Strait Islander community; and deliver holistic and culturally appropriate health service to the community which controls it.  Through their unique corporate structure, ACCHOs are an expression of self-determination that aim to improve health and wellbeing and mitigate the processes of ongoing colonisation by offering comprehensive community-controlled primary health care described in the Core Services Framework published by NACCHO in 2021. The terms ACCHO, Aboriginal Community Controlled Health Service (ACCHS), Aboriginal Medical Service (AMS) and Aboriginal and Torres Strait Islander Health Organisations (A&amp;TSIHOs) are used interchangeably. In some jurisdictions like Victoria, these services are also known more broadly as Aboriginal Community Controlled Organisations (ACCO). While this NHRA refers to ACCHOs, this is intended to be inclusive of services across the community-controlled health services sector.</w:t>
            </w:r>
          </w:p>
        </w:tc>
      </w:tr>
      <w:tr w:rsidR="00E32840" w:rsidRPr="00261C59" w14:paraId="417A8FED" w14:textId="77777777" w:rsidTr="004728D9">
        <w:trPr>
          <w:trHeight w:val="300"/>
        </w:trPr>
        <w:tc>
          <w:tcPr>
            <w:tcW w:w="3295" w:type="dxa"/>
          </w:tcPr>
          <w:p w14:paraId="6335B69F" w14:textId="77777777" w:rsidR="00E32840" w:rsidRPr="00261C59" w:rsidRDefault="00E32840">
            <w:pPr>
              <w:spacing w:before="40" w:after="40"/>
              <w:jc w:val="left"/>
              <w:rPr>
                <w:rFonts w:ascii="Calibri" w:hAnsi="Calibri"/>
                <w:color w:val="000000"/>
                <w:sz w:val="24"/>
                <w:szCs w:val="24"/>
              </w:rPr>
            </w:pPr>
            <w:r w:rsidRPr="00261C59">
              <w:rPr>
                <w:rFonts w:ascii="Calibri" w:hAnsi="Calibri"/>
                <w:color w:val="000000"/>
                <w:sz w:val="24"/>
                <w:szCs w:val="24"/>
              </w:rPr>
              <w:t>Aboriginal and Torres Strait Islander community-controlled health sector</w:t>
            </w:r>
          </w:p>
        </w:tc>
        <w:tc>
          <w:tcPr>
            <w:tcW w:w="6236" w:type="dxa"/>
          </w:tcPr>
          <w:p w14:paraId="1EABD797" w14:textId="77777777" w:rsidR="00E32840" w:rsidRPr="00261C59" w:rsidRDefault="00E32840">
            <w:pPr>
              <w:spacing w:before="40" w:after="40"/>
              <w:jc w:val="left"/>
              <w:rPr>
                <w:rFonts w:ascii="Calibri" w:eastAsia="Calibri" w:hAnsi="Calibri" w:cs="Calibri"/>
                <w:sz w:val="24"/>
                <w:szCs w:val="24"/>
              </w:rPr>
            </w:pPr>
            <w:r w:rsidRPr="00261C59">
              <w:rPr>
                <w:rFonts w:ascii="Calibri" w:eastAsia="Calibri" w:hAnsi="Calibri" w:cs="Calibri"/>
                <w:sz w:val="24"/>
                <w:szCs w:val="24"/>
              </w:rPr>
              <w:t>Means NACCHO, Affiliates and all ACCHOs which meet the criteria for delivering comprehensive community-controlled primary health care as stated in the Core Services and Outcomes Framework.</w:t>
            </w:r>
            <w:r w:rsidRPr="00261C59">
              <w:rPr>
                <w:rFonts w:ascii="Corbel" w:eastAsia="Corbel" w:hAnsi="Corbel" w:cs="Corbel"/>
                <w:color w:val="000000" w:themeColor="text1"/>
                <w:sz w:val="24"/>
                <w:szCs w:val="24"/>
              </w:rPr>
              <w:t xml:space="preserve"> </w:t>
            </w:r>
          </w:p>
        </w:tc>
      </w:tr>
      <w:tr w:rsidR="00E32840" w:rsidRPr="00261C59" w14:paraId="1E471877" w14:textId="77777777" w:rsidTr="004728D9">
        <w:tc>
          <w:tcPr>
            <w:tcW w:w="3295" w:type="dxa"/>
          </w:tcPr>
          <w:p w14:paraId="15F0494C" w14:textId="77777777" w:rsidR="00E32840" w:rsidRPr="00261C59" w:rsidRDefault="00E32840">
            <w:pPr>
              <w:spacing w:before="40" w:after="40"/>
              <w:jc w:val="left"/>
              <w:rPr>
                <w:rFonts w:ascii="Calibri" w:hAnsi="Calibri"/>
                <w:sz w:val="24"/>
                <w:szCs w:val="24"/>
              </w:rPr>
            </w:pPr>
            <w:r w:rsidRPr="00261C59">
              <w:rPr>
                <w:rFonts w:ascii="Calibri" w:hAnsi="Calibri"/>
                <w:color w:val="000000"/>
                <w:sz w:val="24"/>
                <w:szCs w:val="24"/>
              </w:rPr>
              <w:t>Activity Based Funding (ABF)</w:t>
            </w:r>
          </w:p>
        </w:tc>
        <w:tc>
          <w:tcPr>
            <w:tcW w:w="6236" w:type="dxa"/>
          </w:tcPr>
          <w:p w14:paraId="3E38A60D" w14:textId="77777777" w:rsidR="00E32840" w:rsidRPr="00261C59" w:rsidRDefault="00E32840">
            <w:pPr>
              <w:spacing w:before="40" w:after="40"/>
              <w:jc w:val="left"/>
              <w:rPr>
                <w:rFonts w:ascii="Calibri" w:hAnsi="Calibri"/>
                <w:sz w:val="24"/>
                <w:szCs w:val="24"/>
              </w:rPr>
            </w:pPr>
            <w:r w:rsidRPr="00261C59">
              <w:rPr>
                <w:rFonts w:ascii="Calibri" w:hAnsi="Calibri"/>
                <w:color w:val="000000"/>
                <w:sz w:val="24"/>
                <w:szCs w:val="24"/>
              </w:rPr>
              <w:t xml:space="preserve">Means the system for funding public hospital and health services provided to individual patients using national classifications, cost weights and nationally efficient prices developed by the Independent Health and Aged Care Pricing Authority (IHACPA) and specified in the National Efficient Price Determination. </w:t>
            </w:r>
          </w:p>
        </w:tc>
      </w:tr>
      <w:tr w:rsidR="00E32840" w:rsidRPr="00261C59" w14:paraId="42A87ABC" w14:textId="77777777" w:rsidTr="004728D9">
        <w:tc>
          <w:tcPr>
            <w:tcW w:w="3295" w:type="dxa"/>
          </w:tcPr>
          <w:p w14:paraId="28825B9B" w14:textId="77777777" w:rsidR="00E32840" w:rsidRPr="00261C59" w:rsidRDefault="00E32840">
            <w:pPr>
              <w:spacing w:before="40" w:after="40"/>
              <w:jc w:val="left"/>
              <w:rPr>
                <w:rFonts w:ascii="Calibri" w:hAnsi="Calibri"/>
                <w:color w:val="000000"/>
                <w:sz w:val="24"/>
                <w:szCs w:val="24"/>
              </w:rPr>
            </w:pPr>
            <w:r w:rsidRPr="00261C59">
              <w:rPr>
                <w:rFonts w:ascii="Calibri" w:hAnsi="Calibri"/>
                <w:color w:val="000000"/>
                <w:sz w:val="24"/>
                <w:szCs w:val="24"/>
              </w:rPr>
              <w:t>ABF Service</w:t>
            </w:r>
          </w:p>
        </w:tc>
        <w:tc>
          <w:tcPr>
            <w:tcW w:w="6236" w:type="dxa"/>
          </w:tcPr>
          <w:p w14:paraId="2C012300" w14:textId="77777777" w:rsidR="00E32840" w:rsidRPr="00261C59" w:rsidRDefault="00E32840">
            <w:pPr>
              <w:spacing w:before="40" w:after="40"/>
              <w:jc w:val="left"/>
              <w:rPr>
                <w:rFonts w:ascii="Calibri" w:hAnsi="Calibri"/>
                <w:color w:val="000000" w:themeColor="text1"/>
                <w:sz w:val="24"/>
                <w:szCs w:val="24"/>
              </w:rPr>
            </w:pPr>
            <w:r w:rsidRPr="00261C59">
              <w:rPr>
                <w:rFonts w:ascii="Calibri" w:hAnsi="Calibri"/>
                <w:color w:val="000000" w:themeColor="text1"/>
                <w:sz w:val="24"/>
                <w:szCs w:val="24"/>
              </w:rPr>
              <w:t>Means a public hospital or health service funded under the ABF funding stream.</w:t>
            </w:r>
          </w:p>
        </w:tc>
      </w:tr>
      <w:tr w:rsidR="00E32840" w:rsidRPr="00261C59" w14:paraId="7CE49BFB" w14:textId="77777777" w:rsidTr="00F36330">
        <w:tc>
          <w:tcPr>
            <w:tcW w:w="3295" w:type="dxa"/>
          </w:tcPr>
          <w:p w14:paraId="54795FED" w14:textId="77777777" w:rsidR="00E32840" w:rsidRPr="00261C59" w:rsidRDefault="00E32840">
            <w:pPr>
              <w:spacing w:before="40" w:after="40"/>
              <w:jc w:val="left"/>
              <w:rPr>
                <w:rFonts w:ascii="Calibri" w:hAnsi="Calibri"/>
                <w:color w:val="000000"/>
                <w:sz w:val="24"/>
                <w:szCs w:val="24"/>
              </w:rPr>
            </w:pPr>
            <w:r w:rsidRPr="00261C59">
              <w:rPr>
                <w:rFonts w:ascii="Calibri" w:hAnsi="Calibri"/>
                <w:color w:val="000000"/>
                <w:sz w:val="24"/>
                <w:szCs w:val="24"/>
              </w:rPr>
              <w:t>Activity-based funding Commonwealth Contribution Rate (ABF CCR)</w:t>
            </w:r>
          </w:p>
        </w:tc>
        <w:tc>
          <w:tcPr>
            <w:tcW w:w="6236" w:type="dxa"/>
          </w:tcPr>
          <w:p w14:paraId="4F61FAF0" w14:textId="77777777" w:rsidR="00E32840" w:rsidRPr="00261C59" w:rsidRDefault="00E32840">
            <w:pPr>
              <w:spacing w:before="40" w:after="40"/>
              <w:jc w:val="left"/>
              <w:rPr>
                <w:rFonts w:ascii="Calibri" w:hAnsi="Calibri"/>
                <w:color w:val="000000" w:themeColor="text1"/>
                <w:sz w:val="24"/>
                <w:szCs w:val="24"/>
              </w:rPr>
            </w:pPr>
            <w:r w:rsidRPr="00261C59">
              <w:rPr>
                <w:rFonts w:ascii="Calibri" w:hAnsi="Calibri"/>
                <w:color w:val="000000" w:themeColor="text1"/>
                <w:sz w:val="24"/>
                <w:szCs w:val="24"/>
              </w:rPr>
              <w:t>Means the output CCR for the ABF funding stream, calculated as per clause A32(a) of this Addendum.</w:t>
            </w:r>
          </w:p>
        </w:tc>
      </w:tr>
      <w:tr w:rsidR="00E32840" w:rsidRPr="00261C59" w14:paraId="62C16FAD" w14:textId="77777777" w:rsidTr="004728D9">
        <w:tc>
          <w:tcPr>
            <w:tcW w:w="3295" w:type="dxa"/>
          </w:tcPr>
          <w:p w14:paraId="6940E15F" w14:textId="77777777" w:rsidR="00E32840" w:rsidRPr="00261C59" w:rsidRDefault="00E32840">
            <w:pPr>
              <w:spacing w:before="40" w:after="40"/>
              <w:jc w:val="left"/>
              <w:rPr>
                <w:rFonts w:ascii="Calibri" w:hAnsi="Calibri"/>
                <w:sz w:val="24"/>
                <w:szCs w:val="24"/>
              </w:rPr>
            </w:pPr>
            <w:r w:rsidRPr="00261C59">
              <w:rPr>
                <w:rFonts w:ascii="Calibri" w:hAnsi="Calibri"/>
                <w:color w:val="000000"/>
                <w:sz w:val="24"/>
                <w:szCs w:val="24"/>
              </w:rPr>
              <w:t>Administrator</w:t>
            </w:r>
          </w:p>
        </w:tc>
        <w:tc>
          <w:tcPr>
            <w:tcW w:w="6236" w:type="dxa"/>
          </w:tcPr>
          <w:p w14:paraId="7912D6A5" w14:textId="77777777" w:rsidR="00E32840" w:rsidRPr="00261C59" w:rsidRDefault="00E32840" w:rsidP="1476B102">
            <w:pPr>
              <w:spacing w:before="40" w:after="40"/>
              <w:jc w:val="left"/>
              <w:rPr>
                <w:rFonts w:ascii="Calibri" w:hAnsi="Calibri"/>
                <w:sz w:val="24"/>
                <w:szCs w:val="24"/>
              </w:rPr>
            </w:pPr>
            <w:r w:rsidRPr="00261C59">
              <w:rPr>
                <w:rFonts w:ascii="Calibri" w:hAnsi="Calibri"/>
                <w:color w:val="000000" w:themeColor="text1"/>
                <w:sz w:val="24"/>
                <w:szCs w:val="24"/>
              </w:rPr>
              <w:t xml:space="preserve">Means the Administrator of the National Health Funding Pool, who is appointed in accordance with section 232 of the </w:t>
            </w:r>
            <w:r w:rsidRPr="00261C59">
              <w:rPr>
                <w:rFonts w:ascii="Calibri" w:hAnsi="Calibri"/>
                <w:i/>
                <w:iCs/>
                <w:color w:val="000000" w:themeColor="text1"/>
                <w:sz w:val="24"/>
                <w:szCs w:val="24"/>
              </w:rPr>
              <w:t>National Health Reform Act 2011</w:t>
            </w:r>
            <w:r w:rsidRPr="00261C59">
              <w:rPr>
                <w:rFonts w:ascii="Calibri" w:hAnsi="Calibri"/>
                <w:color w:val="000000" w:themeColor="text1"/>
                <w:sz w:val="24"/>
                <w:szCs w:val="24"/>
              </w:rPr>
              <w:t>, and performs the functions set out in this Addendum, including Schedule I.</w:t>
            </w:r>
          </w:p>
        </w:tc>
      </w:tr>
      <w:tr w:rsidR="00E32840" w:rsidRPr="00261C59" w14:paraId="142DE932" w14:textId="77777777" w:rsidTr="004728D9">
        <w:tc>
          <w:tcPr>
            <w:tcW w:w="3295" w:type="dxa"/>
          </w:tcPr>
          <w:p w14:paraId="31E623E1" w14:textId="77777777" w:rsidR="00E32840" w:rsidRPr="00261C59" w:rsidRDefault="00E32840">
            <w:pPr>
              <w:spacing w:before="40" w:after="40"/>
              <w:jc w:val="left"/>
              <w:rPr>
                <w:rFonts w:ascii="Calibri" w:hAnsi="Calibri"/>
                <w:sz w:val="24"/>
                <w:szCs w:val="24"/>
              </w:rPr>
            </w:pPr>
            <w:r w:rsidRPr="00261C59">
              <w:rPr>
                <w:rFonts w:ascii="Calibri" w:hAnsi="Calibri"/>
                <w:sz w:val="24"/>
                <w:szCs w:val="24"/>
              </w:rPr>
              <w:t xml:space="preserve">Admitted patient </w:t>
            </w:r>
          </w:p>
        </w:tc>
        <w:tc>
          <w:tcPr>
            <w:tcW w:w="6236" w:type="dxa"/>
          </w:tcPr>
          <w:p w14:paraId="64FB3505" w14:textId="77777777" w:rsidR="00E32840" w:rsidRPr="00261C59" w:rsidRDefault="00E32840">
            <w:pPr>
              <w:spacing w:before="40" w:after="40"/>
              <w:jc w:val="left"/>
              <w:rPr>
                <w:rFonts w:ascii="Calibri" w:hAnsi="Calibri"/>
                <w:sz w:val="24"/>
                <w:szCs w:val="24"/>
              </w:rPr>
            </w:pPr>
            <w:r w:rsidRPr="00261C59">
              <w:rPr>
                <w:rFonts w:ascii="Calibri" w:hAnsi="Calibri"/>
                <w:sz w:val="24"/>
                <w:szCs w:val="24"/>
              </w:rPr>
              <w:t>Means “Admitted patient” as defined in the Australian Institute of Health and Welfare’s (AIHW) Metadata Online Registry (METEOR).</w:t>
            </w:r>
          </w:p>
        </w:tc>
      </w:tr>
      <w:tr w:rsidR="00E32840" w:rsidRPr="00261C59" w14:paraId="26328838" w14:textId="77777777" w:rsidTr="004728D9">
        <w:trPr>
          <w:trHeight w:val="300"/>
        </w:trPr>
        <w:tc>
          <w:tcPr>
            <w:tcW w:w="3295" w:type="dxa"/>
          </w:tcPr>
          <w:p w14:paraId="4057D79D" w14:textId="77777777" w:rsidR="00E32840" w:rsidRPr="00261C59" w:rsidRDefault="00E32840" w:rsidP="0BFA20D1">
            <w:pPr>
              <w:jc w:val="left"/>
              <w:rPr>
                <w:rFonts w:ascii="Calibri" w:hAnsi="Calibri"/>
                <w:sz w:val="24"/>
                <w:szCs w:val="24"/>
              </w:rPr>
            </w:pPr>
            <w:r w:rsidRPr="00261C59">
              <w:rPr>
                <w:rFonts w:ascii="Calibri" w:hAnsi="Calibri"/>
                <w:sz w:val="24"/>
                <w:szCs w:val="24"/>
              </w:rPr>
              <w:t xml:space="preserve">Affiliates </w:t>
            </w:r>
          </w:p>
        </w:tc>
        <w:tc>
          <w:tcPr>
            <w:tcW w:w="6236" w:type="dxa"/>
          </w:tcPr>
          <w:p w14:paraId="04F78193" w14:textId="77777777" w:rsidR="00E32840" w:rsidRPr="00261C59" w:rsidRDefault="00E32840" w:rsidP="1476B102">
            <w:pPr>
              <w:jc w:val="left"/>
              <w:rPr>
                <w:rFonts w:ascii="Calibri" w:hAnsi="Calibri"/>
                <w:sz w:val="24"/>
                <w:szCs w:val="24"/>
              </w:rPr>
            </w:pPr>
            <w:r w:rsidRPr="00261C59">
              <w:rPr>
                <w:rFonts w:ascii="Calibri" w:hAnsi="Calibri"/>
                <w:sz w:val="24"/>
                <w:szCs w:val="24"/>
              </w:rPr>
              <w:t xml:space="preserve">Means the eight community-controlled peak health bodies each based in a state or territory within Australia (‘jurisdiction’) supporting and amplifying NACCHO in its leadership of the Aboriginal and Torres Strait Islander community-controlled health sector. Each Affiliate supports the Aboriginal Community- Controlled Health Organisations (ACCHOs) in their jurisdiction through the provision of support and practical advice in the areas of organisational governance and services, continuous quality improvement (CQI) accreditation, program implementation, workforce development and building capacity. Affiliates facilitate partnerships between the ACCHOs, the respective government departments and other service providers in the development and application of co-designed health policies, plans and evaluations. </w:t>
            </w:r>
          </w:p>
        </w:tc>
      </w:tr>
      <w:tr w:rsidR="00E32840" w:rsidRPr="00261C59" w14:paraId="24F7809E" w14:textId="77777777" w:rsidTr="004728D9">
        <w:tc>
          <w:tcPr>
            <w:tcW w:w="3295" w:type="dxa"/>
          </w:tcPr>
          <w:p w14:paraId="7BA09F70" w14:textId="77777777" w:rsidR="00E32840" w:rsidRPr="00261C59" w:rsidRDefault="00E32840">
            <w:pPr>
              <w:spacing w:before="40" w:after="40"/>
              <w:jc w:val="left"/>
              <w:rPr>
                <w:rFonts w:ascii="Calibri" w:hAnsi="Calibri"/>
                <w:sz w:val="24"/>
                <w:szCs w:val="24"/>
              </w:rPr>
            </w:pPr>
            <w:r w:rsidRPr="00261C59">
              <w:rPr>
                <w:rFonts w:ascii="Calibri" w:hAnsi="Calibri"/>
                <w:color w:val="000000"/>
                <w:sz w:val="24"/>
                <w:szCs w:val="24"/>
              </w:rPr>
              <w:t>Australian Commission on Safety and Quality in Health Care (ACSQHC)</w:t>
            </w:r>
          </w:p>
        </w:tc>
        <w:tc>
          <w:tcPr>
            <w:tcW w:w="6236" w:type="dxa"/>
          </w:tcPr>
          <w:p w14:paraId="5C117662" w14:textId="77777777" w:rsidR="00E32840" w:rsidRPr="00261C59" w:rsidRDefault="00E32840" w:rsidP="1476B102">
            <w:pPr>
              <w:spacing w:before="40" w:after="40"/>
              <w:jc w:val="left"/>
              <w:rPr>
                <w:rFonts w:ascii="Calibri" w:hAnsi="Calibri"/>
                <w:sz w:val="24"/>
                <w:szCs w:val="24"/>
              </w:rPr>
            </w:pPr>
            <w:r w:rsidRPr="00261C59">
              <w:rPr>
                <w:rFonts w:ascii="Calibri" w:hAnsi="Calibri"/>
                <w:color w:val="000000" w:themeColor="text1"/>
                <w:sz w:val="24"/>
                <w:szCs w:val="24"/>
              </w:rPr>
              <w:t xml:space="preserve">Means the Commission established under the </w:t>
            </w:r>
            <w:r w:rsidRPr="00261C59">
              <w:rPr>
                <w:rFonts w:ascii="Calibri" w:hAnsi="Calibri"/>
                <w:i/>
                <w:iCs/>
                <w:color w:val="000000" w:themeColor="text1"/>
                <w:sz w:val="24"/>
                <w:szCs w:val="24"/>
              </w:rPr>
              <w:t>National Health Reform Act 2011</w:t>
            </w:r>
            <w:r w:rsidRPr="00261C59">
              <w:rPr>
                <w:rFonts w:ascii="Calibri" w:hAnsi="Calibri"/>
                <w:color w:val="000000" w:themeColor="text1"/>
                <w:sz w:val="24"/>
                <w:szCs w:val="24"/>
              </w:rPr>
              <w:t xml:space="preserve"> performing the functions set out in this Addendum, including Schedule I.</w:t>
            </w:r>
          </w:p>
        </w:tc>
      </w:tr>
      <w:tr w:rsidR="00E32840" w:rsidRPr="00261C59" w14:paraId="3A1ECCF0" w14:textId="77777777" w:rsidTr="004728D9">
        <w:tc>
          <w:tcPr>
            <w:tcW w:w="3295" w:type="dxa"/>
          </w:tcPr>
          <w:p w14:paraId="460E0045" w14:textId="77777777" w:rsidR="00E32840" w:rsidRPr="00261C59" w:rsidRDefault="00E32840">
            <w:pPr>
              <w:spacing w:before="40" w:after="40"/>
              <w:jc w:val="left"/>
              <w:rPr>
                <w:rFonts w:ascii="Calibri" w:hAnsi="Calibri"/>
                <w:color w:val="000000"/>
                <w:sz w:val="24"/>
                <w:szCs w:val="24"/>
              </w:rPr>
            </w:pPr>
            <w:r w:rsidRPr="00261C59">
              <w:rPr>
                <w:rFonts w:ascii="Calibri" w:hAnsi="Calibri"/>
                <w:color w:val="000000"/>
                <w:sz w:val="24"/>
                <w:szCs w:val="24"/>
              </w:rPr>
              <w:t>Avoidable Hospital Readmission</w:t>
            </w:r>
          </w:p>
        </w:tc>
        <w:tc>
          <w:tcPr>
            <w:tcW w:w="6236" w:type="dxa"/>
          </w:tcPr>
          <w:p w14:paraId="222D2CDD" w14:textId="77777777" w:rsidR="00E32840" w:rsidRPr="00261C59" w:rsidRDefault="00E32840" w:rsidP="00A4795E">
            <w:pPr>
              <w:keepLines/>
              <w:spacing w:before="40" w:after="40"/>
              <w:jc w:val="left"/>
              <w:rPr>
                <w:rFonts w:ascii="Calibri" w:hAnsi="Calibri"/>
                <w:sz w:val="24"/>
                <w:szCs w:val="24"/>
              </w:rPr>
            </w:pPr>
            <w:r w:rsidRPr="00261C59">
              <w:rPr>
                <w:rFonts w:ascii="Calibri" w:hAnsi="Calibri"/>
                <w:sz w:val="24"/>
                <w:szCs w:val="24"/>
              </w:rPr>
              <w:t xml:space="preserve">Means a condition identified on the AHR list, as approved by HMM and maintained by the ACSQHC. Defining criteria for AHRs are found in Appendix B.  </w:t>
            </w:r>
          </w:p>
        </w:tc>
      </w:tr>
      <w:tr w:rsidR="00E32840" w:rsidRPr="00261C59" w14:paraId="20F9262E" w14:textId="77777777" w:rsidTr="004728D9">
        <w:tc>
          <w:tcPr>
            <w:tcW w:w="3295" w:type="dxa"/>
          </w:tcPr>
          <w:p w14:paraId="4AA8E4EF" w14:textId="77777777" w:rsidR="00E32840" w:rsidRPr="00261C59" w:rsidRDefault="00E32840" w:rsidP="0098752F">
            <w:pPr>
              <w:widowControl/>
              <w:spacing w:before="40" w:after="40"/>
              <w:jc w:val="left"/>
              <w:rPr>
                <w:rFonts w:ascii="Calibri" w:hAnsi="Calibri"/>
                <w:color w:val="000000"/>
                <w:sz w:val="24"/>
                <w:szCs w:val="24"/>
              </w:rPr>
            </w:pPr>
            <w:r w:rsidRPr="00261C59">
              <w:rPr>
                <w:rFonts w:ascii="Calibri" w:hAnsi="Calibri"/>
                <w:color w:val="000000"/>
                <w:sz w:val="24"/>
                <w:szCs w:val="24"/>
              </w:rPr>
              <w:t>Avoidable Hospital Readmission list</w:t>
            </w:r>
          </w:p>
        </w:tc>
        <w:tc>
          <w:tcPr>
            <w:tcW w:w="6236" w:type="dxa"/>
          </w:tcPr>
          <w:p w14:paraId="4C63852E" w14:textId="77777777" w:rsidR="00E32840" w:rsidRPr="00261C59" w:rsidRDefault="00E32840" w:rsidP="004728D9">
            <w:pPr>
              <w:widowControl/>
              <w:spacing w:before="40" w:after="40"/>
              <w:jc w:val="left"/>
              <w:rPr>
                <w:rFonts w:ascii="Calibri" w:hAnsi="Calibri"/>
                <w:sz w:val="24"/>
                <w:szCs w:val="24"/>
              </w:rPr>
            </w:pPr>
            <w:r w:rsidRPr="00261C59">
              <w:rPr>
                <w:rFonts w:ascii="Calibri" w:hAnsi="Calibri"/>
                <w:sz w:val="24"/>
                <w:szCs w:val="24"/>
              </w:rPr>
              <w:t>Means the Avoidable Hospital Readmission List maintained by the ACSQHC, as amended from time to time.</w:t>
            </w:r>
          </w:p>
        </w:tc>
      </w:tr>
      <w:tr w:rsidR="00E32840" w:rsidRPr="00261C59" w14:paraId="606E4E96" w14:textId="77777777" w:rsidTr="004728D9">
        <w:tc>
          <w:tcPr>
            <w:tcW w:w="3295" w:type="dxa"/>
          </w:tcPr>
          <w:p w14:paraId="113A7ED7" w14:textId="77777777" w:rsidR="00E32840" w:rsidRPr="00261C59" w:rsidRDefault="00E32840">
            <w:pPr>
              <w:spacing w:before="40" w:after="40"/>
              <w:jc w:val="left"/>
              <w:rPr>
                <w:rFonts w:ascii="Calibri" w:hAnsi="Calibri"/>
                <w:color w:val="000000"/>
                <w:sz w:val="24"/>
                <w:szCs w:val="24"/>
              </w:rPr>
            </w:pPr>
            <w:r w:rsidRPr="00261C59">
              <w:rPr>
                <w:rFonts w:ascii="Calibri" w:hAnsi="Calibri"/>
                <w:color w:val="000000"/>
                <w:sz w:val="24"/>
                <w:szCs w:val="24"/>
              </w:rPr>
              <w:t>Block-funded service</w:t>
            </w:r>
          </w:p>
        </w:tc>
        <w:tc>
          <w:tcPr>
            <w:tcW w:w="6236" w:type="dxa"/>
          </w:tcPr>
          <w:p w14:paraId="0C20C691" w14:textId="5E7B5FF5" w:rsidR="00E32840" w:rsidRPr="00261C59" w:rsidRDefault="00E32840" w:rsidP="002A0502">
            <w:pPr>
              <w:spacing w:before="40" w:after="40"/>
              <w:jc w:val="left"/>
              <w:rPr>
                <w:rFonts w:ascii="Calibri" w:hAnsi="Calibri"/>
                <w:sz w:val="24"/>
                <w:szCs w:val="24"/>
              </w:rPr>
            </w:pPr>
            <w:r w:rsidRPr="00261C59">
              <w:rPr>
                <w:rFonts w:ascii="Calibri" w:hAnsi="Calibri"/>
                <w:sz w:val="24"/>
                <w:szCs w:val="24"/>
              </w:rPr>
              <w:t xml:space="preserve">Means a public hospital and health service funded under the </w:t>
            </w:r>
            <w:r w:rsidR="00A73CFF">
              <w:rPr>
                <w:rFonts w:ascii="Calibri" w:hAnsi="Calibri"/>
                <w:sz w:val="24"/>
                <w:szCs w:val="24"/>
              </w:rPr>
              <w:t>Block Funding</w:t>
            </w:r>
            <w:r w:rsidRPr="00261C59">
              <w:rPr>
                <w:rFonts w:ascii="Calibri" w:hAnsi="Calibri"/>
                <w:sz w:val="24"/>
                <w:szCs w:val="24"/>
              </w:rPr>
              <w:t xml:space="preserve"> stream.</w:t>
            </w:r>
          </w:p>
        </w:tc>
      </w:tr>
      <w:tr w:rsidR="00E32840" w:rsidRPr="00261C59" w14:paraId="6383CBA9" w14:textId="77777777" w:rsidTr="00F36330">
        <w:tc>
          <w:tcPr>
            <w:tcW w:w="3295" w:type="dxa"/>
          </w:tcPr>
          <w:p w14:paraId="02C9CD40" w14:textId="7E2D0484" w:rsidR="00E32840" w:rsidRPr="00261C59" w:rsidRDefault="00A73CFF" w:rsidP="002278B3">
            <w:pPr>
              <w:spacing w:before="40" w:after="40"/>
              <w:jc w:val="left"/>
              <w:rPr>
                <w:rFonts w:ascii="Calibri" w:hAnsi="Calibri"/>
                <w:color w:val="000000"/>
                <w:sz w:val="24"/>
                <w:szCs w:val="24"/>
              </w:rPr>
            </w:pPr>
            <w:r>
              <w:rPr>
                <w:rFonts w:ascii="Calibri" w:hAnsi="Calibri"/>
                <w:color w:val="000000"/>
                <w:sz w:val="24"/>
                <w:szCs w:val="24"/>
              </w:rPr>
              <w:t>Block Funding</w:t>
            </w:r>
            <w:r w:rsidR="00E32840" w:rsidRPr="00261C59">
              <w:rPr>
                <w:rFonts w:ascii="Calibri" w:hAnsi="Calibri"/>
                <w:color w:val="000000"/>
                <w:sz w:val="24"/>
                <w:szCs w:val="24"/>
              </w:rPr>
              <w:t xml:space="preserve"> Commonwealth Contribution Rate (Block CCR)</w:t>
            </w:r>
          </w:p>
        </w:tc>
        <w:tc>
          <w:tcPr>
            <w:tcW w:w="6236" w:type="dxa"/>
          </w:tcPr>
          <w:p w14:paraId="12D3D44A" w14:textId="1A347C18" w:rsidR="00E32840" w:rsidRPr="00261C59" w:rsidRDefault="00E32840" w:rsidP="002278B3">
            <w:pPr>
              <w:spacing w:before="40" w:after="40"/>
              <w:jc w:val="left"/>
              <w:rPr>
                <w:rFonts w:ascii="Calibri" w:hAnsi="Calibri"/>
                <w:sz w:val="24"/>
                <w:szCs w:val="24"/>
              </w:rPr>
            </w:pPr>
            <w:r w:rsidRPr="00261C59">
              <w:rPr>
                <w:rFonts w:ascii="Calibri" w:hAnsi="Calibri"/>
                <w:color w:val="000000" w:themeColor="text1"/>
                <w:sz w:val="24"/>
                <w:szCs w:val="24"/>
              </w:rPr>
              <w:t xml:space="preserve">Means the output CCR for the </w:t>
            </w:r>
            <w:r w:rsidR="00A73CFF">
              <w:rPr>
                <w:rFonts w:ascii="Calibri" w:hAnsi="Calibri"/>
                <w:color w:val="000000" w:themeColor="text1"/>
                <w:sz w:val="24"/>
                <w:szCs w:val="24"/>
              </w:rPr>
              <w:t>Block Funding</w:t>
            </w:r>
            <w:r w:rsidRPr="00261C59">
              <w:rPr>
                <w:rFonts w:ascii="Calibri" w:hAnsi="Calibri"/>
                <w:color w:val="000000" w:themeColor="text1"/>
                <w:sz w:val="24"/>
                <w:szCs w:val="24"/>
              </w:rPr>
              <w:t xml:space="preserve"> stream, calculated as per clause A32(b) of this Addendum.</w:t>
            </w:r>
          </w:p>
        </w:tc>
      </w:tr>
      <w:tr w:rsidR="00E32840" w:rsidRPr="00261C59" w14:paraId="6E81D887" w14:textId="77777777" w:rsidTr="004728D9">
        <w:tc>
          <w:tcPr>
            <w:tcW w:w="3295" w:type="dxa"/>
          </w:tcPr>
          <w:p w14:paraId="52290CC0" w14:textId="77777777" w:rsidR="00E32840" w:rsidRPr="00261C59" w:rsidRDefault="00E32840">
            <w:pPr>
              <w:spacing w:before="40" w:after="40"/>
              <w:jc w:val="left"/>
              <w:rPr>
                <w:rFonts w:ascii="Calibri" w:hAnsi="Calibri"/>
                <w:color w:val="000000"/>
                <w:sz w:val="24"/>
                <w:szCs w:val="24"/>
              </w:rPr>
            </w:pPr>
            <w:r w:rsidRPr="00261C59">
              <w:rPr>
                <w:rFonts w:ascii="Calibri" w:hAnsi="Calibri"/>
                <w:color w:val="000000"/>
                <w:sz w:val="24"/>
                <w:szCs w:val="24"/>
              </w:rPr>
              <w:t>Bundled payment</w:t>
            </w:r>
          </w:p>
        </w:tc>
        <w:tc>
          <w:tcPr>
            <w:tcW w:w="6236" w:type="dxa"/>
          </w:tcPr>
          <w:p w14:paraId="0BDB1358" w14:textId="13A47CB1" w:rsidR="00E32840" w:rsidRPr="00261C59" w:rsidRDefault="00E32840" w:rsidP="002A0502">
            <w:pPr>
              <w:spacing w:before="40" w:after="40"/>
              <w:jc w:val="left"/>
              <w:rPr>
                <w:rFonts w:ascii="Calibri" w:hAnsi="Calibri"/>
                <w:sz w:val="24"/>
                <w:szCs w:val="24"/>
              </w:rPr>
            </w:pPr>
            <w:r w:rsidRPr="00261C59">
              <w:rPr>
                <w:rFonts w:ascii="Calibri" w:hAnsi="Calibri"/>
                <w:sz w:val="24"/>
                <w:szCs w:val="24"/>
              </w:rPr>
              <w:t>Means payments which cover the entire patient journey within eligible public hospital services across all the locations and transitions of care for a defined and end to end pathway. They are an expanded form of ABF D</w:t>
            </w:r>
            <w:r w:rsidR="002E6891" w:rsidRPr="00261C59">
              <w:rPr>
                <w:rFonts w:ascii="Calibri" w:hAnsi="Calibri"/>
                <w:sz w:val="24"/>
                <w:szCs w:val="24"/>
              </w:rPr>
              <w:t xml:space="preserve">iagnosis </w:t>
            </w:r>
            <w:r w:rsidRPr="00261C59">
              <w:rPr>
                <w:rFonts w:ascii="Calibri" w:hAnsi="Calibri"/>
                <w:sz w:val="24"/>
                <w:szCs w:val="24"/>
              </w:rPr>
              <w:t>R</w:t>
            </w:r>
            <w:r w:rsidR="002E6891" w:rsidRPr="00261C59">
              <w:rPr>
                <w:rFonts w:ascii="Calibri" w:hAnsi="Calibri"/>
                <w:sz w:val="24"/>
                <w:szCs w:val="24"/>
              </w:rPr>
              <w:t xml:space="preserve">elated </w:t>
            </w:r>
            <w:r w:rsidRPr="00261C59">
              <w:rPr>
                <w:rFonts w:ascii="Calibri" w:hAnsi="Calibri"/>
                <w:sz w:val="24"/>
                <w:szCs w:val="24"/>
              </w:rPr>
              <w:t>G</w:t>
            </w:r>
            <w:r w:rsidR="002E6891" w:rsidRPr="00261C59">
              <w:rPr>
                <w:rFonts w:ascii="Calibri" w:hAnsi="Calibri"/>
                <w:sz w:val="24"/>
                <w:szCs w:val="24"/>
              </w:rPr>
              <w:t>roup</w:t>
            </w:r>
            <w:r w:rsidRPr="00261C59">
              <w:rPr>
                <w:rFonts w:ascii="Calibri" w:hAnsi="Calibri"/>
                <w:sz w:val="24"/>
                <w:szCs w:val="24"/>
              </w:rPr>
              <w:t xml:space="preserve"> bundling, but the unit of activity or the model of care is broader in duration and may cross health settings.</w:t>
            </w:r>
          </w:p>
        </w:tc>
      </w:tr>
      <w:tr w:rsidR="00E32840" w:rsidRPr="00261C59" w14:paraId="04E5E5B1" w14:textId="77777777" w:rsidTr="004728D9">
        <w:tc>
          <w:tcPr>
            <w:tcW w:w="3295" w:type="dxa"/>
          </w:tcPr>
          <w:p w14:paraId="065CB0C7" w14:textId="77777777" w:rsidR="00E32840" w:rsidRPr="00261C59" w:rsidRDefault="00E32840">
            <w:pPr>
              <w:spacing w:before="40" w:after="40"/>
              <w:jc w:val="left"/>
              <w:rPr>
                <w:rFonts w:ascii="Calibri" w:hAnsi="Calibri"/>
                <w:color w:val="000000"/>
                <w:sz w:val="24"/>
                <w:szCs w:val="24"/>
              </w:rPr>
            </w:pPr>
            <w:r w:rsidRPr="00261C59">
              <w:rPr>
                <w:rFonts w:ascii="Calibri" w:hAnsi="Calibri"/>
                <w:color w:val="000000"/>
                <w:sz w:val="24"/>
                <w:szCs w:val="24"/>
              </w:rPr>
              <w:t>Capitation</w:t>
            </w:r>
          </w:p>
        </w:tc>
        <w:tc>
          <w:tcPr>
            <w:tcW w:w="6236" w:type="dxa"/>
          </w:tcPr>
          <w:p w14:paraId="2CF66DFA" w14:textId="77777777" w:rsidR="00E32840" w:rsidRPr="00261C59" w:rsidRDefault="00E32840" w:rsidP="1476B102">
            <w:pPr>
              <w:spacing w:before="40" w:after="40"/>
              <w:jc w:val="left"/>
              <w:rPr>
                <w:rFonts w:ascii="Calibri" w:hAnsi="Calibri"/>
                <w:sz w:val="24"/>
                <w:szCs w:val="24"/>
              </w:rPr>
            </w:pPr>
            <w:r w:rsidRPr="00261C59">
              <w:rPr>
                <w:rFonts w:ascii="Calibri" w:hAnsi="Calibri"/>
                <w:sz w:val="24"/>
                <w:szCs w:val="24"/>
              </w:rPr>
              <w:t>Means payments that follow the patient through eligible service episodes and allocate a fixed price per person enrolled in the model over a defined period, regardless of what care is required. Payments are stratified according to patient complexity/risk, and enrolment can be based on a cohort or specific conditions.</w:t>
            </w:r>
          </w:p>
        </w:tc>
      </w:tr>
      <w:tr w:rsidR="00E32840" w:rsidRPr="00261C59" w14:paraId="03ACE0AC" w14:textId="77777777" w:rsidTr="004728D9">
        <w:tc>
          <w:tcPr>
            <w:tcW w:w="3295" w:type="dxa"/>
          </w:tcPr>
          <w:p w14:paraId="02A970ED" w14:textId="77777777" w:rsidR="00E32840" w:rsidRPr="00261C59" w:rsidRDefault="00E32840">
            <w:pPr>
              <w:spacing w:before="40" w:after="40"/>
              <w:jc w:val="left"/>
              <w:rPr>
                <w:rFonts w:ascii="Calibri" w:hAnsi="Calibri"/>
                <w:color w:val="000000"/>
                <w:sz w:val="24"/>
                <w:szCs w:val="24"/>
              </w:rPr>
            </w:pPr>
            <w:r w:rsidRPr="00261C59">
              <w:rPr>
                <w:rFonts w:ascii="Calibri" w:hAnsi="Calibri"/>
                <w:color w:val="000000"/>
                <w:sz w:val="24"/>
                <w:szCs w:val="24"/>
              </w:rPr>
              <w:t>Closing the Gap Priority Reforms</w:t>
            </w:r>
          </w:p>
        </w:tc>
        <w:tc>
          <w:tcPr>
            <w:tcW w:w="6236" w:type="dxa"/>
          </w:tcPr>
          <w:p w14:paraId="395DDB5C" w14:textId="77777777" w:rsidR="00E32840" w:rsidRPr="00261C59" w:rsidRDefault="00E32840" w:rsidP="002A0502">
            <w:pPr>
              <w:spacing w:before="40" w:after="40"/>
              <w:jc w:val="left"/>
              <w:rPr>
                <w:rFonts w:ascii="Calibri" w:hAnsi="Calibri"/>
                <w:sz w:val="24"/>
                <w:szCs w:val="24"/>
              </w:rPr>
            </w:pPr>
            <w:r w:rsidRPr="00261C59">
              <w:rPr>
                <w:rFonts w:ascii="Calibri" w:hAnsi="Calibri"/>
                <w:sz w:val="24"/>
                <w:szCs w:val="24"/>
              </w:rPr>
              <w:t>Means the National Agreement on Closing the Gap, which includes four Priority Reforms to change the way governments work. These include:</w:t>
            </w:r>
          </w:p>
          <w:p w14:paraId="60B53928" w14:textId="77777777" w:rsidR="00E32840" w:rsidRPr="00261C59" w:rsidRDefault="00E32840" w:rsidP="00E32840">
            <w:pPr>
              <w:numPr>
                <w:ilvl w:val="0"/>
                <w:numId w:val="39"/>
              </w:numPr>
              <w:tabs>
                <w:tab w:val="left" w:pos="670"/>
              </w:tabs>
              <w:spacing w:before="40" w:after="40"/>
              <w:ind w:left="275" w:hanging="283"/>
              <w:jc w:val="left"/>
              <w:rPr>
                <w:rFonts w:ascii="Calibri" w:hAnsi="Calibri"/>
                <w:sz w:val="24"/>
                <w:szCs w:val="24"/>
              </w:rPr>
            </w:pPr>
            <w:r w:rsidRPr="00261C59">
              <w:rPr>
                <w:rFonts w:ascii="Calibri" w:hAnsi="Calibri"/>
                <w:sz w:val="24"/>
                <w:szCs w:val="24"/>
              </w:rPr>
              <w:t>Formal partnerships and shared decision making - Aboriginal and Torres Strait Islander people are empowered to share decision-making authority with governments to accelerate policy and place-based progress on Closing the Gap through formal partnership arrangements.</w:t>
            </w:r>
          </w:p>
          <w:p w14:paraId="235E911E" w14:textId="77777777" w:rsidR="00E32840" w:rsidRPr="00261C59" w:rsidRDefault="00E32840" w:rsidP="00E32840">
            <w:pPr>
              <w:numPr>
                <w:ilvl w:val="0"/>
                <w:numId w:val="39"/>
              </w:numPr>
              <w:tabs>
                <w:tab w:val="left" w:pos="670"/>
              </w:tabs>
              <w:spacing w:before="40" w:after="40"/>
              <w:ind w:left="275" w:hanging="283"/>
              <w:jc w:val="left"/>
              <w:rPr>
                <w:rFonts w:ascii="Calibri" w:hAnsi="Calibri"/>
                <w:sz w:val="24"/>
                <w:szCs w:val="24"/>
              </w:rPr>
            </w:pPr>
            <w:r w:rsidRPr="00261C59">
              <w:rPr>
                <w:rFonts w:ascii="Calibri" w:hAnsi="Calibri"/>
                <w:sz w:val="24"/>
                <w:szCs w:val="24"/>
              </w:rPr>
              <w:t>Building the community-controlled sector – There is a strong and sustainable Aboriginal and Torres Strait Islander community-controlled sector delivering high quality services to meet the needs of Aboriginal and Torres Strait Islander people across the country.</w:t>
            </w:r>
          </w:p>
          <w:p w14:paraId="7DF200B7" w14:textId="77777777" w:rsidR="00E32840" w:rsidRPr="00261C59" w:rsidRDefault="00E32840" w:rsidP="00E32840">
            <w:pPr>
              <w:numPr>
                <w:ilvl w:val="0"/>
                <w:numId w:val="39"/>
              </w:numPr>
              <w:tabs>
                <w:tab w:val="left" w:pos="670"/>
              </w:tabs>
              <w:spacing w:before="40" w:after="40"/>
              <w:ind w:left="275" w:hanging="283"/>
              <w:jc w:val="left"/>
              <w:rPr>
                <w:rFonts w:ascii="Calibri" w:hAnsi="Calibri"/>
                <w:sz w:val="24"/>
                <w:szCs w:val="24"/>
              </w:rPr>
            </w:pPr>
            <w:r w:rsidRPr="00261C59">
              <w:rPr>
                <w:rFonts w:ascii="Calibri" w:hAnsi="Calibri"/>
                <w:sz w:val="24"/>
                <w:szCs w:val="24"/>
              </w:rPr>
              <w:t>Transforming government organisations, Governments their organisations and their institutions are accountable to Closing the Gap and are culturally safe and responsive to the needs for Aboriginal and Torres Strait Islander people, including through the services they fund.</w:t>
            </w:r>
          </w:p>
          <w:p w14:paraId="48125DFF" w14:textId="77777777" w:rsidR="00E32840" w:rsidRPr="00261C59" w:rsidRDefault="00E32840" w:rsidP="00E32840">
            <w:pPr>
              <w:numPr>
                <w:ilvl w:val="0"/>
                <w:numId w:val="39"/>
              </w:numPr>
              <w:tabs>
                <w:tab w:val="left" w:pos="670"/>
              </w:tabs>
              <w:spacing w:before="40" w:after="40"/>
              <w:ind w:left="275" w:hanging="283"/>
              <w:jc w:val="left"/>
              <w:rPr>
                <w:rFonts w:ascii="Calibri" w:hAnsi="Calibri"/>
                <w:sz w:val="24"/>
                <w:szCs w:val="24"/>
              </w:rPr>
            </w:pPr>
            <w:r w:rsidRPr="00261C59">
              <w:rPr>
                <w:rFonts w:ascii="Calibri" w:hAnsi="Calibri"/>
                <w:sz w:val="24"/>
                <w:szCs w:val="24"/>
              </w:rPr>
              <w:t>Shared access to data and information at the regional level – Aboriginal and Torres Strait Islander people have access to, and the capability to use, locally-relevant data and information to set and monitor the implementation of efforts to close the gap, their priorities and drive their own development.</w:t>
            </w:r>
          </w:p>
        </w:tc>
      </w:tr>
      <w:tr w:rsidR="00E32840" w:rsidRPr="00261C59" w14:paraId="26A0DE73" w14:textId="77777777" w:rsidTr="004728D9">
        <w:tc>
          <w:tcPr>
            <w:tcW w:w="3295" w:type="dxa"/>
          </w:tcPr>
          <w:p w14:paraId="1A33E294" w14:textId="77777777" w:rsidR="00E32840" w:rsidRPr="00261C59" w:rsidRDefault="00E32840">
            <w:pPr>
              <w:spacing w:before="40" w:after="40"/>
              <w:jc w:val="left"/>
              <w:rPr>
                <w:rFonts w:ascii="Calibri" w:hAnsi="Calibri"/>
                <w:color w:val="000000"/>
                <w:sz w:val="24"/>
                <w:szCs w:val="24"/>
              </w:rPr>
            </w:pPr>
            <w:r w:rsidRPr="00261C59">
              <w:rPr>
                <w:rFonts w:ascii="Calibri" w:hAnsi="Calibri"/>
                <w:color w:val="000000"/>
                <w:sz w:val="24"/>
                <w:szCs w:val="24"/>
              </w:rPr>
              <w:t>Coalition of the Peaks</w:t>
            </w:r>
          </w:p>
        </w:tc>
        <w:tc>
          <w:tcPr>
            <w:tcW w:w="6236" w:type="dxa"/>
          </w:tcPr>
          <w:p w14:paraId="5388152A" w14:textId="77777777" w:rsidR="00E32840" w:rsidRPr="00261C59" w:rsidRDefault="00E32840" w:rsidP="1476B102">
            <w:pPr>
              <w:spacing w:before="40" w:after="40"/>
              <w:jc w:val="left"/>
              <w:rPr>
                <w:rFonts w:ascii="Calibri" w:hAnsi="Calibri"/>
                <w:sz w:val="24"/>
                <w:szCs w:val="24"/>
              </w:rPr>
            </w:pPr>
            <w:r w:rsidRPr="00261C59">
              <w:rPr>
                <w:rFonts w:ascii="Calibri" w:hAnsi="Calibri"/>
                <w:sz w:val="24"/>
                <w:szCs w:val="24"/>
              </w:rPr>
              <w:t>Means the national network of more than 80 Aboriginal and Torres Strait Islander community-controlled peak bodies and members across Australia who represent some 800 organisations. The Coalition of the Peaks bring forward the views of their members and communities to all their discussions with governments.</w:t>
            </w:r>
          </w:p>
        </w:tc>
      </w:tr>
      <w:tr w:rsidR="00E32840" w:rsidRPr="00261C59" w14:paraId="7AAB8C55" w14:textId="77777777" w:rsidTr="004728D9">
        <w:trPr>
          <w:trHeight w:val="300"/>
        </w:trPr>
        <w:tc>
          <w:tcPr>
            <w:tcW w:w="3295" w:type="dxa"/>
          </w:tcPr>
          <w:p w14:paraId="0482B4BA" w14:textId="77777777" w:rsidR="00E32840" w:rsidRPr="00261C59" w:rsidRDefault="00E32840" w:rsidP="0BFA20D1">
            <w:pPr>
              <w:jc w:val="left"/>
              <w:rPr>
                <w:rFonts w:ascii="Calibri" w:hAnsi="Calibri"/>
                <w:color w:val="000000" w:themeColor="text1"/>
                <w:sz w:val="24"/>
                <w:szCs w:val="24"/>
              </w:rPr>
            </w:pPr>
            <w:r w:rsidRPr="00261C59">
              <w:rPr>
                <w:rFonts w:ascii="Calibri" w:hAnsi="Calibri"/>
                <w:color w:val="000000" w:themeColor="text1"/>
                <w:sz w:val="24"/>
                <w:szCs w:val="24"/>
              </w:rPr>
              <w:t>Co-design</w:t>
            </w:r>
          </w:p>
        </w:tc>
        <w:tc>
          <w:tcPr>
            <w:tcW w:w="6236" w:type="dxa"/>
          </w:tcPr>
          <w:p w14:paraId="255BF9F8" w14:textId="77777777" w:rsidR="00E32840" w:rsidRPr="00261C59" w:rsidRDefault="00E32840" w:rsidP="1476B102">
            <w:pPr>
              <w:jc w:val="left"/>
              <w:rPr>
                <w:rFonts w:ascii="Calibri" w:hAnsi="Calibri"/>
                <w:sz w:val="24"/>
                <w:szCs w:val="24"/>
              </w:rPr>
            </w:pPr>
            <w:r w:rsidRPr="00261C59">
              <w:rPr>
                <w:rFonts w:ascii="Calibri" w:hAnsi="Calibri"/>
                <w:sz w:val="24"/>
                <w:szCs w:val="24"/>
              </w:rPr>
              <w:t>Means an equitably resourced partnership process that is Aboriginal and Torres Strait Islander-led and build on authentic relationships, communicating through agreed mechanisms, two-way understanding, cumulative evaluation and reflection to generate and sustain shared development pathways to outcome delivery and reform. To be described as co-design respective activities, arrangements and claims must:</w:t>
            </w:r>
          </w:p>
          <w:p w14:paraId="549173FD" w14:textId="77777777" w:rsidR="00E32840" w:rsidRPr="00261C59" w:rsidRDefault="00E32840" w:rsidP="00E32840">
            <w:pPr>
              <w:numPr>
                <w:ilvl w:val="0"/>
                <w:numId w:val="39"/>
              </w:numPr>
              <w:tabs>
                <w:tab w:val="left" w:pos="670"/>
              </w:tabs>
              <w:spacing w:before="40" w:after="40"/>
              <w:ind w:left="275" w:hanging="283"/>
              <w:jc w:val="left"/>
              <w:rPr>
                <w:rFonts w:ascii="Calibri" w:hAnsi="Calibri"/>
                <w:sz w:val="24"/>
                <w:szCs w:val="24"/>
              </w:rPr>
            </w:pPr>
            <w:r w:rsidRPr="00261C59">
              <w:rPr>
                <w:rFonts w:ascii="Calibri" w:hAnsi="Calibri"/>
                <w:sz w:val="24"/>
                <w:szCs w:val="24"/>
              </w:rPr>
              <w:t>Ensure early and consistent involvement of Aboriginal and Torres Strait Islander people and/or communities through the design process for transparency and accountability.</w:t>
            </w:r>
          </w:p>
          <w:p w14:paraId="6B1B8307" w14:textId="77777777" w:rsidR="00E32840" w:rsidRPr="00261C59" w:rsidRDefault="00E32840" w:rsidP="00E32840">
            <w:pPr>
              <w:numPr>
                <w:ilvl w:val="0"/>
                <w:numId w:val="39"/>
              </w:numPr>
              <w:tabs>
                <w:tab w:val="left" w:pos="670"/>
              </w:tabs>
              <w:spacing w:before="40" w:after="40"/>
              <w:ind w:left="275" w:hanging="283"/>
              <w:jc w:val="left"/>
              <w:rPr>
                <w:rFonts w:ascii="Calibri" w:hAnsi="Calibri"/>
                <w:sz w:val="24"/>
                <w:szCs w:val="24"/>
              </w:rPr>
            </w:pPr>
            <w:r w:rsidRPr="00261C59">
              <w:rPr>
                <w:rFonts w:ascii="Calibri" w:hAnsi="Calibri"/>
                <w:sz w:val="24"/>
                <w:szCs w:val="24"/>
              </w:rPr>
              <w:t xml:space="preserve">Prioritise and respect the voices of Aboriginal and Torres Strait Islander people to determine and drive the agenda and design solutions for health reform; and address the interface between the health, disability and aged care sectors. </w:t>
            </w:r>
          </w:p>
          <w:p w14:paraId="197EA6BF" w14:textId="77777777" w:rsidR="00E32840" w:rsidRPr="00261C59" w:rsidRDefault="00E32840" w:rsidP="00E32840">
            <w:pPr>
              <w:numPr>
                <w:ilvl w:val="0"/>
                <w:numId w:val="39"/>
              </w:numPr>
              <w:tabs>
                <w:tab w:val="left" w:pos="670"/>
              </w:tabs>
              <w:spacing w:before="40" w:after="40"/>
              <w:ind w:left="275" w:hanging="283"/>
              <w:jc w:val="left"/>
              <w:rPr>
                <w:rFonts w:ascii="Calibri" w:hAnsi="Calibri"/>
                <w:sz w:val="24"/>
                <w:szCs w:val="24"/>
              </w:rPr>
            </w:pPr>
            <w:r w:rsidRPr="00261C59">
              <w:rPr>
                <w:rFonts w:ascii="Calibri" w:hAnsi="Calibri"/>
                <w:sz w:val="24"/>
                <w:szCs w:val="24"/>
              </w:rPr>
              <w:t>Facilitate knowledge-sharing, power-sharing, shifts in control consistent with the National Agreement and capability building between the healthcare system, Aboriginal and Torres Strait Islander experts and patients.</w:t>
            </w:r>
          </w:p>
          <w:p w14:paraId="2ACFA2F6" w14:textId="2E62839A" w:rsidR="00E32840" w:rsidRPr="00261C59" w:rsidRDefault="00E32840" w:rsidP="004728D9">
            <w:pPr>
              <w:spacing w:after="240"/>
              <w:jc w:val="left"/>
              <w:rPr>
                <w:rFonts w:asciiTheme="minorHAnsi" w:hAnsiTheme="minorHAnsi" w:cstheme="minorBidi"/>
                <w:sz w:val="24"/>
                <w:szCs w:val="24"/>
              </w:rPr>
            </w:pPr>
            <w:r w:rsidRPr="00261C59">
              <w:rPr>
                <w:rFonts w:ascii="Calibri" w:eastAsia="Calibri" w:hAnsi="Calibri" w:cs="Arial"/>
                <w:sz w:val="24"/>
                <w:szCs w:val="24"/>
              </w:rPr>
              <w:t>Examples of co-design processes include the development of the National Agreement</w:t>
            </w:r>
            <w:r w:rsidR="00BB1D50" w:rsidRPr="00261C59">
              <w:rPr>
                <w:rFonts w:ascii="Calibri" w:eastAsia="Calibri" w:hAnsi="Calibri" w:cs="Arial"/>
                <w:sz w:val="24"/>
                <w:szCs w:val="24"/>
              </w:rPr>
              <w:t xml:space="preserve"> on Closing the Gap</w:t>
            </w:r>
            <w:r w:rsidRPr="00261C59">
              <w:rPr>
                <w:rFonts w:ascii="Calibri" w:eastAsia="Calibri" w:hAnsi="Calibri" w:cs="Arial"/>
                <w:sz w:val="24"/>
                <w:szCs w:val="24"/>
              </w:rPr>
              <w:t>, National Aboriginal and Torres Strait Islander Health Plan, the National Aboriginal and Torres Strait Islander Health Workforce Strategic Framework and Implementation Plan 2021-2031 and the Health Sector Strengthening Plan.</w:t>
            </w:r>
            <w:r w:rsidRPr="00261C59">
              <w:rPr>
                <w:rFonts w:ascii="Calibri" w:hAnsi="Calibri"/>
                <w:sz w:val="24"/>
                <w:szCs w:val="24"/>
              </w:rPr>
              <w:t xml:space="preserve"> </w:t>
            </w:r>
          </w:p>
        </w:tc>
      </w:tr>
      <w:tr w:rsidR="00E32840" w:rsidRPr="00261C59" w14:paraId="352FA25B" w14:textId="77777777" w:rsidTr="004728D9">
        <w:trPr>
          <w:cantSplit/>
        </w:trPr>
        <w:tc>
          <w:tcPr>
            <w:tcW w:w="3295" w:type="dxa"/>
          </w:tcPr>
          <w:p w14:paraId="22339856" w14:textId="3C0C0C1E" w:rsidR="00E32840" w:rsidRPr="00261C59" w:rsidRDefault="00ED3428">
            <w:pPr>
              <w:spacing w:before="40" w:after="40"/>
              <w:jc w:val="left"/>
              <w:rPr>
                <w:rFonts w:ascii="Calibri" w:hAnsi="Calibri"/>
                <w:sz w:val="24"/>
                <w:szCs w:val="24"/>
              </w:rPr>
            </w:pPr>
            <w:r w:rsidRPr="00261C59">
              <w:rPr>
                <w:rFonts w:ascii="Calibri" w:hAnsi="Calibri"/>
                <w:sz w:val="24"/>
                <w:szCs w:val="24"/>
              </w:rPr>
              <w:t>Commissioning</w:t>
            </w:r>
          </w:p>
        </w:tc>
        <w:tc>
          <w:tcPr>
            <w:tcW w:w="6236" w:type="dxa"/>
          </w:tcPr>
          <w:p w14:paraId="635CBBE7" w14:textId="77777777" w:rsidR="00ED3428" w:rsidRPr="00261C59" w:rsidRDefault="00ED3428" w:rsidP="00ED3428">
            <w:pPr>
              <w:spacing w:before="40" w:after="40"/>
              <w:jc w:val="left"/>
              <w:rPr>
                <w:rFonts w:ascii="Calibri" w:eastAsia="Calibri" w:hAnsi="Calibri" w:cs="Calibri"/>
                <w:sz w:val="24"/>
                <w:szCs w:val="24"/>
              </w:rPr>
            </w:pPr>
            <w:r w:rsidRPr="00261C59">
              <w:rPr>
                <w:rFonts w:ascii="Calibri" w:eastAsia="Calibri" w:hAnsi="Calibri" w:cs="Arial"/>
                <w:sz w:val="24"/>
                <w:szCs w:val="24"/>
              </w:rPr>
              <w:t>Means a continual and iterative cycle of developing and implementing services based on needs assessment, planning, co-design, funding, monitoring and evaluation.</w:t>
            </w:r>
            <w:r w:rsidRPr="00261C59">
              <w:rPr>
                <w:rFonts w:ascii="Calibri" w:eastAsia="Calibri" w:hAnsi="Calibri"/>
                <w:sz w:val="16"/>
              </w:rPr>
              <w:t>  </w:t>
            </w:r>
            <w:r w:rsidRPr="00261C59">
              <w:rPr>
                <w:rFonts w:ascii="Calibri" w:eastAsia="Calibri" w:hAnsi="Calibri" w:cs="Arial"/>
                <w:sz w:val="24"/>
                <w:szCs w:val="24"/>
              </w:rPr>
              <w:t> </w:t>
            </w:r>
          </w:p>
          <w:p w14:paraId="77A1676E" w14:textId="77777777" w:rsidR="00ED3428" w:rsidRPr="00261C59" w:rsidRDefault="00ED3428" w:rsidP="00ED3428">
            <w:pPr>
              <w:spacing w:before="40" w:after="40"/>
              <w:jc w:val="left"/>
              <w:rPr>
                <w:rFonts w:ascii="Calibri" w:eastAsia="Calibri" w:hAnsi="Calibri" w:cs="Arial"/>
                <w:sz w:val="24"/>
                <w:szCs w:val="24"/>
              </w:rPr>
            </w:pPr>
            <w:r w:rsidRPr="00261C59">
              <w:rPr>
                <w:rFonts w:ascii="Calibri" w:eastAsia="Calibri" w:hAnsi="Calibri" w:cs="Arial"/>
                <w:sz w:val="24"/>
                <w:szCs w:val="24"/>
              </w:rPr>
              <w:t>Operational commissioning (or service commissioning) involves applying the design and governance principles of commissioning to a service, group of services or activities to create better service integration and community outcomes.</w:t>
            </w:r>
          </w:p>
          <w:p w14:paraId="4661E8E0" w14:textId="03BD89AE" w:rsidR="00E32840" w:rsidRPr="00261C59" w:rsidRDefault="00ED3428" w:rsidP="004728D9">
            <w:pPr>
              <w:numPr>
                <w:ilvl w:val="0"/>
                <w:numId w:val="39"/>
              </w:numPr>
              <w:tabs>
                <w:tab w:val="left" w:pos="670"/>
              </w:tabs>
              <w:spacing w:before="40" w:after="40"/>
              <w:ind w:left="275" w:hanging="283"/>
              <w:jc w:val="left"/>
              <w:rPr>
                <w:rFonts w:ascii="Calibri" w:hAnsi="Calibri"/>
                <w:i/>
                <w:sz w:val="24"/>
              </w:rPr>
            </w:pPr>
            <w:r w:rsidRPr="00261C59">
              <w:rPr>
                <w:rFonts w:ascii="Calibri" w:eastAsia="Calibri" w:hAnsi="Calibri" w:cs="Arial"/>
                <w:sz w:val="24"/>
                <w:szCs w:val="24"/>
              </w:rPr>
              <w:t>Commissioning is undertaken at the regional level by organisations such as Local Hospital Networks, Primary Health Networks and the community health sector.  A range of approaches can be used in commissioning of health care services. In the context of this Addendum, these could include co-commissioning arrangements between health agencies and agencies and organisations from other service sectors, to develop joined-up and co-ordinated service responses to complex service needs. Joint commissioning arrangements, which often involve the use of a pooled or aligned budgets, may also be used.</w:t>
            </w:r>
          </w:p>
        </w:tc>
      </w:tr>
      <w:tr w:rsidR="00313B53" w:rsidRPr="00261C59" w14:paraId="27F2883B" w14:textId="77777777" w:rsidTr="004728D9">
        <w:tc>
          <w:tcPr>
            <w:tcW w:w="3295" w:type="dxa"/>
          </w:tcPr>
          <w:p w14:paraId="264C3157" w14:textId="6EBD35A6" w:rsidR="00313B53" w:rsidRPr="00261C59" w:rsidRDefault="00C66973" w:rsidP="00ED3428">
            <w:pPr>
              <w:spacing w:before="40" w:after="40"/>
              <w:jc w:val="left"/>
              <w:rPr>
                <w:rFonts w:ascii="Calibri" w:hAnsi="Calibri"/>
                <w:sz w:val="24"/>
                <w:szCs w:val="24"/>
              </w:rPr>
            </w:pPr>
            <w:r w:rsidRPr="00261C59" w:rsidDel="00CF42F1">
              <w:rPr>
                <w:rFonts w:ascii="Calibri" w:hAnsi="Calibri"/>
                <w:sz w:val="24"/>
                <w:szCs w:val="24"/>
              </w:rPr>
              <w:t>Commonwealth Funding Entitlement</w:t>
            </w:r>
          </w:p>
        </w:tc>
        <w:tc>
          <w:tcPr>
            <w:tcW w:w="6236" w:type="dxa"/>
          </w:tcPr>
          <w:p w14:paraId="540D93F9" w14:textId="6BC001BC" w:rsidR="00313B53" w:rsidRPr="00261C59" w:rsidRDefault="00C66973" w:rsidP="00ED3428">
            <w:pPr>
              <w:spacing w:before="40" w:after="40"/>
              <w:jc w:val="left"/>
              <w:rPr>
                <w:rFonts w:ascii="Calibri" w:hAnsi="Calibri"/>
                <w:sz w:val="24"/>
                <w:szCs w:val="24"/>
              </w:rPr>
            </w:pPr>
            <w:r w:rsidRPr="00261C59">
              <w:rPr>
                <w:rFonts w:ascii="Calibri" w:hAnsi="Calibri"/>
                <w:sz w:val="24"/>
                <w:szCs w:val="24"/>
              </w:rPr>
              <w:t>Means the amount of Commonwealth funding a State is entitled to receive under the Addendum for the delivery of public hospital and health services in a relevant financial year, adjusted for the impact of the Funding Cap, and other adjustments. This may be expressed on a preliminary, post-reconciliation or final basis.</w:t>
            </w:r>
          </w:p>
        </w:tc>
      </w:tr>
      <w:tr w:rsidR="00ED3428" w:rsidRPr="00261C59" w14:paraId="005DD794" w14:textId="77777777" w:rsidTr="00F36330">
        <w:tc>
          <w:tcPr>
            <w:tcW w:w="3295" w:type="dxa"/>
          </w:tcPr>
          <w:p w14:paraId="112860BE" w14:textId="053785B5" w:rsidR="00ED3428" w:rsidRPr="00261C59" w:rsidRDefault="00ED3428" w:rsidP="00ED3428">
            <w:pPr>
              <w:spacing w:before="40" w:after="40"/>
              <w:jc w:val="left"/>
              <w:rPr>
                <w:rFonts w:ascii="Calibri" w:hAnsi="Calibri"/>
                <w:sz w:val="24"/>
                <w:szCs w:val="24"/>
              </w:rPr>
            </w:pPr>
            <w:r w:rsidRPr="00261C59">
              <w:rPr>
                <w:rFonts w:ascii="Calibri" w:hAnsi="Calibri"/>
                <w:sz w:val="24"/>
                <w:szCs w:val="24"/>
              </w:rPr>
              <w:t xml:space="preserve">Compensable patient </w:t>
            </w:r>
          </w:p>
        </w:tc>
        <w:tc>
          <w:tcPr>
            <w:tcW w:w="6236" w:type="dxa"/>
          </w:tcPr>
          <w:p w14:paraId="325FE057" w14:textId="77777777" w:rsidR="00ED3428" w:rsidRPr="00261C59" w:rsidRDefault="00ED3428" w:rsidP="00ED3428">
            <w:pPr>
              <w:spacing w:before="40" w:after="40"/>
              <w:jc w:val="left"/>
              <w:rPr>
                <w:rFonts w:ascii="Calibri" w:hAnsi="Calibri"/>
                <w:sz w:val="24"/>
                <w:szCs w:val="24"/>
              </w:rPr>
            </w:pPr>
            <w:r w:rsidRPr="00261C59">
              <w:rPr>
                <w:rFonts w:ascii="Calibri" w:hAnsi="Calibri"/>
                <w:sz w:val="24"/>
                <w:szCs w:val="24"/>
              </w:rPr>
              <w:t>Means an eligible person who is:</w:t>
            </w:r>
          </w:p>
          <w:p w14:paraId="232E36EF" w14:textId="77777777" w:rsidR="00ED3428" w:rsidRPr="00261C59" w:rsidRDefault="00ED3428" w:rsidP="00ED3428">
            <w:pPr>
              <w:numPr>
                <w:ilvl w:val="0"/>
                <w:numId w:val="39"/>
              </w:numPr>
              <w:tabs>
                <w:tab w:val="left" w:pos="670"/>
              </w:tabs>
              <w:spacing w:before="40" w:after="40"/>
              <w:ind w:left="275" w:hanging="283"/>
              <w:jc w:val="left"/>
              <w:rPr>
                <w:rFonts w:ascii="Calibri" w:hAnsi="Calibri"/>
                <w:sz w:val="24"/>
                <w:szCs w:val="24"/>
              </w:rPr>
            </w:pPr>
            <w:r w:rsidRPr="00261C59">
              <w:rPr>
                <w:rFonts w:ascii="Calibri" w:hAnsi="Calibri"/>
                <w:sz w:val="24"/>
                <w:szCs w:val="24"/>
              </w:rPr>
              <w:t>receiving public hospital services for an injury, illness or disease, and</w:t>
            </w:r>
          </w:p>
          <w:p w14:paraId="78B931D9" w14:textId="52FED59C" w:rsidR="00076CB3" w:rsidRPr="00261C59" w:rsidRDefault="00ED3428" w:rsidP="00076CB3">
            <w:pPr>
              <w:numPr>
                <w:ilvl w:val="0"/>
                <w:numId w:val="39"/>
              </w:numPr>
              <w:tabs>
                <w:tab w:val="left" w:pos="670"/>
              </w:tabs>
              <w:spacing w:before="40" w:after="40"/>
              <w:ind w:left="275" w:hanging="283"/>
              <w:jc w:val="left"/>
              <w:rPr>
                <w:rFonts w:ascii="Calibri" w:hAnsi="Calibri"/>
                <w:i/>
                <w:iCs/>
                <w:sz w:val="24"/>
                <w:szCs w:val="24"/>
              </w:rPr>
            </w:pPr>
            <w:r w:rsidRPr="00261C59">
              <w:rPr>
                <w:rFonts w:ascii="Calibri" w:hAnsi="Calibri"/>
                <w:sz w:val="24"/>
                <w:szCs w:val="24"/>
              </w:rPr>
              <w:t>entitled to receive or has received a compensation payment in respect of an injury, illness or disease; or if the individual has died</w:t>
            </w:r>
            <w:r w:rsidR="00076CB3" w:rsidRPr="00261C59">
              <w:rPr>
                <w:rFonts w:ascii="Calibri" w:hAnsi="Calibri"/>
                <w:sz w:val="24"/>
                <w:szCs w:val="24"/>
              </w:rPr>
              <w:t xml:space="preserve"> – the individual’s estate, provided that the order under subsection 6(2) of the </w:t>
            </w:r>
            <w:r w:rsidR="00076CB3" w:rsidRPr="00261C59">
              <w:rPr>
                <w:rFonts w:ascii="Calibri" w:hAnsi="Calibri"/>
                <w:i/>
                <w:iCs/>
                <w:sz w:val="24"/>
                <w:szCs w:val="24"/>
              </w:rPr>
              <w:t>Health Insurance Act 1973</w:t>
            </w:r>
            <w:r w:rsidR="00076CB3" w:rsidRPr="00261C59">
              <w:rPr>
                <w:rFonts w:ascii="Calibri" w:hAnsi="Calibri"/>
                <w:sz w:val="24"/>
                <w:szCs w:val="24"/>
              </w:rPr>
              <w:t>, dated 11 January 1984 remains in force, or a replacement order remains in force.</w:t>
            </w:r>
          </w:p>
          <w:p w14:paraId="551421B4" w14:textId="73BA534E" w:rsidR="00ED3428" w:rsidRPr="00261C59" w:rsidRDefault="00076CB3" w:rsidP="00076CB3">
            <w:pPr>
              <w:tabs>
                <w:tab w:val="left" w:pos="670"/>
              </w:tabs>
              <w:spacing w:before="40" w:after="40"/>
              <w:ind w:left="-8"/>
              <w:jc w:val="left"/>
              <w:rPr>
                <w:rFonts w:ascii="Calibri" w:eastAsia="Calibri" w:hAnsi="Calibri" w:cs="Arial"/>
                <w:sz w:val="24"/>
                <w:szCs w:val="24"/>
              </w:rPr>
            </w:pPr>
            <w:r w:rsidRPr="00261C59">
              <w:rPr>
                <w:rFonts w:ascii="Calibri" w:hAnsi="Calibri"/>
                <w:i/>
                <w:iCs/>
                <w:sz w:val="24"/>
                <w:szCs w:val="24"/>
              </w:rPr>
              <w:t>Note: The order referred to above excludes compensable patients from eligibility for Medicare in relation to public hospital services related to the compensable injury, illness or disease.</w:t>
            </w:r>
            <w:r w:rsidR="00ED3428" w:rsidRPr="00261C59">
              <w:rPr>
                <w:rFonts w:ascii="Calibri" w:hAnsi="Calibri"/>
                <w:sz w:val="24"/>
                <w:szCs w:val="24"/>
              </w:rPr>
              <w:t xml:space="preserve"> </w:t>
            </w:r>
          </w:p>
        </w:tc>
      </w:tr>
      <w:tr w:rsidR="00E32840" w:rsidRPr="00261C59" w14:paraId="1BE23D45" w14:textId="77777777" w:rsidTr="004728D9">
        <w:tc>
          <w:tcPr>
            <w:tcW w:w="3295" w:type="dxa"/>
          </w:tcPr>
          <w:p w14:paraId="503FC790" w14:textId="77777777" w:rsidR="00E32840" w:rsidRPr="00261C59" w:rsidRDefault="00E32840">
            <w:pPr>
              <w:spacing w:before="40" w:after="40"/>
              <w:jc w:val="left"/>
              <w:rPr>
                <w:rFonts w:ascii="Calibri" w:hAnsi="Calibri"/>
                <w:sz w:val="24"/>
                <w:szCs w:val="24"/>
              </w:rPr>
            </w:pPr>
            <w:r w:rsidRPr="00261C59">
              <w:rPr>
                <w:rFonts w:ascii="Calibri" w:hAnsi="Calibri"/>
                <w:sz w:val="24"/>
                <w:szCs w:val="24"/>
              </w:rPr>
              <w:t>Complaints body</w:t>
            </w:r>
          </w:p>
          <w:p w14:paraId="39D7C704" w14:textId="77777777" w:rsidR="00E32840" w:rsidRPr="00261C59" w:rsidRDefault="00E32840">
            <w:pPr>
              <w:spacing w:before="40" w:after="40"/>
              <w:jc w:val="left"/>
              <w:rPr>
                <w:rFonts w:ascii="Calibri" w:hAnsi="Calibri"/>
                <w:sz w:val="24"/>
                <w:szCs w:val="24"/>
              </w:rPr>
            </w:pPr>
          </w:p>
        </w:tc>
        <w:tc>
          <w:tcPr>
            <w:tcW w:w="6236" w:type="dxa"/>
          </w:tcPr>
          <w:p w14:paraId="25FAA6EB" w14:textId="77777777" w:rsidR="00E32840" w:rsidRPr="00261C59" w:rsidRDefault="00E32840" w:rsidP="1476B102">
            <w:pPr>
              <w:spacing w:before="40" w:after="40"/>
              <w:jc w:val="left"/>
              <w:rPr>
                <w:rFonts w:ascii="Calibri" w:hAnsi="Calibri"/>
                <w:sz w:val="24"/>
                <w:szCs w:val="24"/>
              </w:rPr>
            </w:pPr>
            <w:r w:rsidRPr="00261C59">
              <w:rPr>
                <w:rFonts w:ascii="Calibri" w:hAnsi="Calibri"/>
                <w:sz w:val="24"/>
                <w:szCs w:val="24"/>
              </w:rPr>
              <w:t xml:space="preserve">Means an independent entity established or commissioned to investigate complaints and/or grievances against providers of </w:t>
            </w:r>
            <w:r w:rsidRPr="00261C59">
              <w:rPr>
                <w:rFonts w:ascii="Calibri" w:hAnsi="Calibri"/>
                <w:noProof/>
                <w:sz w:val="24"/>
                <w:szCs w:val="24"/>
              </w:rPr>
              <w:t xml:space="preserve">States’ </w:t>
            </w:r>
            <w:r w:rsidRPr="00261C59">
              <w:rPr>
                <w:rFonts w:ascii="Calibri" w:hAnsi="Calibri"/>
                <w:sz w:val="24"/>
                <w:szCs w:val="24"/>
              </w:rPr>
              <w:t>public hospital services.</w:t>
            </w:r>
          </w:p>
        </w:tc>
      </w:tr>
      <w:tr w:rsidR="00E32840" w:rsidRPr="00261C59" w14:paraId="67735BCD" w14:textId="77777777" w:rsidTr="004728D9">
        <w:trPr>
          <w:cantSplit/>
        </w:trPr>
        <w:tc>
          <w:tcPr>
            <w:tcW w:w="3295" w:type="dxa"/>
          </w:tcPr>
          <w:p w14:paraId="515546DF" w14:textId="77777777" w:rsidR="00E32840" w:rsidRPr="00261C59" w:rsidRDefault="00E32840">
            <w:pPr>
              <w:spacing w:before="40" w:after="40"/>
              <w:jc w:val="left"/>
              <w:rPr>
                <w:rFonts w:ascii="Calibri" w:hAnsi="Calibri"/>
                <w:sz w:val="24"/>
                <w:szCs w:val="24"/>
              </w:rPr>
            </w:pPr>
            <w:r w:rsidRPr="00261C59">
              <w:rPr>
                <w:rFonts w:ascii="Calibri" w:hAnsi="Calibri"/>
                <w:sz w:val="24"/>
                <w:szCs w:val="24"/>
              </w:rPr>
              <w:t>Cost shifting</w:t>
            </w:r>
          </w:p>
        </w:tc>
        <w:tc>
          <w:tcPr>
            <w:tcW w:w="6236" w:type="dxa"/>
          </w:tcPr>
          <w:p w14:paraId="4F8CCBCD" w14:textId="77777777" w:rsidR="00E32840" w:rsidRPr="00261C59" w:rsidRDefault="00E32840" w:rsidP="1476B102">
            <w:pPr>
              <w:spacing w:before="40" w:after="40"/>
              <w:jc w:val="left"/>
              <w:rPr>
                <w:rFonts w:ascii="Calibri" w:hAnsi="Calibri"/>
                <w:sz w:val="24"/>
                <w:szCs w:val="24"/>
              </w:rPr>
            </w:pPr>
            <w:r w:rsidRPr="00261C59">
              <w:rPr>
                <w:rFonts w:ascii="Calibri" w:hAnsi="Calibri"/>
                <w:sz w:val="24"/>
                <w:szCs w:val="24"/>
              </w:rPr>
              <w:t>Means when costs are incurred by a jurisdiction that are attributable to one or more changes that have been made to the policies, programs or practices of another jurisdiction.</w:t>
            </w:r>
          </w:p>
        </w:tc>
      </w:tr>
      <w:tr w:rsidR="00E32840" w:rsidRPr="00261C59" w14:paraId="05A02E8E" w14:textId="77777777" w:rsidTr="004728D9">
        <w:trPr>
          <w:cantSplit/>
        </w:trPr>
        <w:tc>
          <w:tcPr>
            <w:tcW w:w="3295" w:type="dxa"/>
          </w:tcPr>
          <w:p w14:paraId="4F95A9A1" w14:textId="77777777" w:rsidR="00E32840" w:rsidRPr="00261C59" w:rsidRDefault="00E32840">
            <w:pPr>
              <w:spacing w:before="40" w:after="40"/>
              <w:jc w:val="left"/>
              <w:rPr>
                <w:rFonts w:ascii="Calibri" w:hAnsi="Calibri"/>
                <w:sz w:val="24"/>
                <w:szCs w:val="24"/>
              </w:rPr>
            </w:pPr>
            <w:r w:rsidRPr="00261C59">
              <w:rPr>
                <w:rFonts w:ascii="Calibri" w:hAnsi="Calibri"/>
                <w:sz w:val="24"/>
                <w:szCs w:val="24"/>
              </w:rPr>
              <w:t>Course of treatment</w:t>
            </w:r>
          </w:p>
        </w:tc>
        <w:tc>
          <w:tcPr>
            <w:tcW w:w="6236" w:type="dxa"/>
          </w:tcPr>
          <w:p w14:paraId="3B995D61" w14:textId="77777777" w:rsidR="00E32840" w:rsidRPr="00261C59" w:rsidRDefault="00E32840" w:rsidP="002A0502">
            <w:pPr>
              <w:spacing w:before="40" w:after="40"/>
              <w:jc w:val="left"/>
              <w:rPr>
                <w:rFonts w:ascii="Calibri" w:hAnsi="Calibri"/>
                <w:sz w:val="24"/>
                <w:szCs w:val="24"/>
              </w:rPr>
            </w:pPr>
            <w:r w:rsidRPr="00261C59">
              <w:rPr>
                <w:rFonts w:ascii="Calibri" w:hAnsi="Calibri"/>
                <w:sz w:val="24"/>
                <w:szCs w:val="24"/>
              </w:rPr>
              <w:t>Means a sequence of clinical interventions or services aimed at managing a specific health condition.</w:t>
            </w:r>
          </w:p>
        </w:tc>
      </w:tr>
      <w:tr w:rsidR="00E32840" w:rsidRPr="00261C59" w14:paraId="053765BF" w14:textId="77777777" w:rsidTr="004728D9">
        <w:tc>
          <w:tcPr>
            <w:tcW w:w="3295" w:type="dxa"/>
          </w:tcPr>
          <w:p w14:paraId="6D26A8AB" w14:textId="77777777" w:rsidR="00E32840" w:rsidRPr="00261C59" w:rsidRDefault="00E32840">
            <w:pPr>
              <w:spacing w:before="40" w:after="40"/>
              <w:jc w:val="left"/>
              <w:rPr>
                <w:rFonts w:ascii="Calibri" w:hAnsi="Calibri"/>
                <w:sz w:val="24"/>
                <w:szCs w:val="24"/>
              </w:rPr>
            </w:pPr>
            <w:r w:rsidRPr="00261C59">
              <w:rPr>
                <w:rFonts w:ascii="Calibri" w:hAnsi="Calibri"/>
                <w:sz w:val="24"/>
                <w:szCs w:val="24"/>
              </w:rPr>
              <w:t>Cultural safety</w:t>
            </w:r>
          </w:p>
        </w:tc>
        <w:tc>
          <w:tcPr>
            <w:tcW w:w="6236" w:type="dxa"/>
          </w:tcPr>
          <w:p w14:paraId="7F2192F7" w14:textId="77777777" w:rsidR="00E32840" w:rsidRPr="00261C59" w:rsidRDefault="00E32840" w:rsidP="002A0502">
            <w:pPr>
              <w:spacing w:before="40" w:after="40"/>
              <w:jc w:val="left"/>
              <w:rPr>
                <w:rFonts w:ascii="Calibri" w:hAnsi="Calibri"/>
                <w:sz w:val="24"/>
                <w:szCs w:val="24"/>
              </w:rPr>
            </w:pPr>
            <w:r w:rsidRPr="00261C59">
              <w:rPr>
                <w:rFonts w:ascii="Calibri" w:hAnsi="Calibri"/>
                <w:sz w:val="24"/>
                <w:szCs w:val="24"/>
              </w:rPr>
              <w:t xml:space="preserve">Means acknowledging the two-part definition of cultural safety developed by the Australian Health Practitioner Regulation Authority (AHPRA) for the National Registration and Accreditation Scheme namely: </w:t>
            </w:r>
          </w:p>
          <w:p w14:paraId="46100ED5" w14:textId="77777777" w:rsidR="00E32840" w:rsidRPr="00261C59" w:rsidRDefault="00E32840" w:rsidP="00E32840">
            <w:pPr>
              <w:numPr>
                <w:ilvl w:val="0"/>
                <w:numId w:val="39"/>
              </w:numPr>
              <w:tabs>
                <w:tab w:val="left" w:pos="670"/>
              </w:tabs>
              <w:spacing w:before="40" w:after="40"/>
              <w:ind w:left="275" w:hanging="283"/>
              <w:jc w:val="left"/>
              <w:rPr>
                <w:rFonts w:ascii="Calibri" w:hAnsi="Calibri"/>
                <w:sz w:val="24"/>
                <w:szCs w:val="24"/>
              </w:rPr>
            </w:pPr>
            <w:r w:rsidRPr="00261C59">
              <w:rPr>
                <w:rFonts w:ascii="Calibri" w:hAnsi="Calibri"/>
                <w:sz w:val="24"/>
                <w:szCs w:val="24"/>
              </w:rPr>
              <w:t>Cultural safety is determined by Aboriginal and Torres Strait Islander individuals, families and communities</w:t>
            </w:r>
          </w:p>
          <w:p w14:paraId="7115DA04" w14:textId="77777777" w:rsidR="00E32840" w:rsidRPr="00261C59" w:rsidRDefault="00E32840" w:rsidP="00E32840">
            <w:pPr>
              <w:numPr>
                <w:ilvl w:val="0"/>
                <w:numId w:val="39"/>
              </w:numPr>
              <w:tabs>
                <w:tab w:val="left" w:pos="670"/>
              </w:tabs>
              <w:spacing w:before="40" w:after="40"/>
              <w:ind w:left="275" w:hanging="283"/>
              <w:jc w:val="left"/>
              <w:rPr>
                <w:rFonts w:ascii="Calibri" w:hAnsi="Calibri"/>
                <w:sz w:val="24"/>
                <w:szCs w:val="24"/>
              </w:rPr>
            </w:pPr>
            <w:r w:rsidRPr="00261C59">
              <w:rPr>
                <w:rFonts w:ascii="Calibri" w:hAnsi="Calibri"/>
                <w:sz w:val="24"/>
                <w:szCs w:val="24"/>
              </w:rPr>
              <w:t>Culturally safe practise is the ongoing critical reflection of health practitioner knowledge, skills, attitudes, practising behaviours and power differentials in delivering safe, accessible and responsive healthcare free of racism</w:t>
            </w:r>
          </w:p>
          <w:p w14:paraId="6E59C715" w14:textId="77777777" w:rsidR="00E32840" w:rsidRPr="00261C59" w:rsidRDefault="00E32840" w:rsidP="002A0502">
            <w:pPr>
              <w:spacing w:before="40" w:after="40"/>
              <w:jc w:val="left"/>
              <w:rPr>
                <w:rFonts w:ascii="Calibri" w:hAnsi="Calibri"/>
                <w:sz w:val="24"/>
                <w:szCs w:val="24"/>
              </w:rPr>
            </w:pPr>
            <w:r w:rsidRPr="00261C59">
              <w:rPr>
                <w:rFonts w:ascii="Calibri" w:hAnsi="Calibri"/>
                <w:sz w:val="24"/>
                <w:szCs w:val="24"/>
              </w:rPr>
              <w:t>This definition also acknowledges that cultural safety requires organisational change through critically analysing and addressing racism, biases, assumptions, stereotypes and prejudices expressed through the organisations structures, values, policies and procedures that create barriers to provide good health care and good health outcomes.</w:t>
            </w:r>
          </w:p>
        </w:tc>
      </w:tr>
      <w:tr w:rsidR="00B805A1" w:rsidRPr="00261C59" w14:paraId="48CE8360" w14:textId="77777777" w:rsidTr="004728D9">
        <w:trPr>
          <w:cantSplit/>
        </w:trPr>
        <w:tc>
          <w:tcPr>
            <w:tcW w:w="3295" w:type="dxa"/>
          </w:tcPr>
          <w:p w14:paraId="101B5CB1" w14:textId="36389B66" w:rsidR="00B805A1" w:rsidRPr="00261C59" w:rsidRDefault="00B805A1" w:rsidP="00B805A1">
            <w:pPr>
              <w:spacing w:before="40" w:after="40"/>
              <w:jc w:val="left"/>
              <w:rPr>
                <w:rFonts w:ascii="Calibri" w:hAnsi="Calibri"/>
                <w:sz w:val="24"/>
                <w:szCs w:val="24"/>
              </w:rPr>
            </w:pPr>
            <w:r w:rsidRPr="00261C59">
              <w:rPr>
                <w:rFonts w:ascii="Calibri" w:hAnsi="Calibri"/>
                <w:sz w:val="24"/>
                <w:szCs w:val="24"/>
              </w:rPr>
              <w:t>Cyber resilience</w:t>
            </w:r>
          </w:p>
        </w:tc>
        <w:tc>
          <w:tcPr>
            <w:tcW w:w="6236" w:type="dxa"/>
          </w:tcPr>
          <w:p w14:paraId="04BFAFF9" w14:textId="34AE575F" w:rsidR="00B805A1" w:rsidRPr="00261C59" w:rsidRDefault="00B805A1" w:rsidP="00B805A1">
            <w:pPr>
              <w:spacing w:before="40" w:after="40"/>
              <w:jc w:val="left"/>
              <w:rPr>
                <w:rFonts w:ascii="Calibri" w:hAnsi="Calibri"/>
                <w:sz w:val="24"/>
                <w:szCs w:val="24"/>
              </w:rPr>
            </w:pPr>
            <w:r w:rsidRPr="00261C59">
              <w:rPr>
                <w:rFonts w:ascii="Calibri" w:hAnsi="Calibri"/>
                <w:sz w:val="24"/>
                <w:szCs w:val="24"/>
              </w:rPr>
              <w:t>Means the ability to adapt to disruptions caused by cyber security incidents while maintaining continuous business operations. This includes the ability to detect, manage and recover from cyber security incidents.</w:t>
            </w:r>
          </w:p>
        </w:tc>
      </w:tr>
      <w:tr w:rsidR="00E32840" w:rsidRPr="00261C59" w14:paraId="421FE3A4" w14:textId="77777777" w:rsidTr="00F36330">
        <w:trPr>
          <w:cantSplit/>
        </w:trPr>
        <w:tc>
          <w:tcPr>
            <w:tcW w:w="3295" w:type="dxa"/>
          </w:tcPr>
          <w:p w14:paraId="39470044" w14:textId="77777777" w:rsidR="00E32840" w:rsidRPr="00261C59" w:rsidRDefault="00E32840">
            <w:pPr>
              <w:spacing w:before="40" w:after="40"/>
              <w:jc w:val="left"/>
              <w:rPr>
                <w:rFonts w:ascii="Calibri" w:hAnsi="Calibri"/>
                <w:sz w:val="24"/>
                <w:szCs w:val="24"/>
              </w:rPr>
            </w:pPr>
            <w:r w:rsidRPr="00261C59">
              <w:rPr>
                <w:rFonts w:ascii="Calibri" w:hAnsi="Calibri"/>
                <w:sz w:val="24"/>
                <w:szCs w:val="24"/>
              </w:rPr>
              <w:t>Cyber security</w:t>
            </w:r>
          </w:p>
        </w:tc>
        <w:tc>
          <w:tcPr>
            <w:tcW w:w="6236" w:type="dxa"/>
          </w:tcPr>
          <w:p w14:paraId="73E20D29" w14:textId="77777777" w:rsidR="00E32840" w:rsidRPr="00261C59" w:rsidRDefault="00E32840" w:rsidP="1476B102">
            <w:pPr>
              <w:spacing w:before="40" w:after="40"/>
              <w:jc w:val="left"/>
              <w:rPr>
                <w:rFonts w:ascii="Calibri" w:hAnsi="Calibri"/>
                <w:sz w:val="24"/>
                <w:szCs w:val="24"/>
              </w:rPr>
            </w:pPr>
            <w:r w:rsidRPr="00261C59">
              <w:rPr>
                <w:rFonts w:ascii="Calibri" w:hAnsi="Calibri"/>
                <w:sz w:val="24"/>
                <w:szCs w:val="24"/>
              </w:rPr>
              <w:t>Means measures used to protect the confidentiality, integrity and availability of systems and data.</w:t>
            </w:r>
            <w:r w:rsidRPr="00261C59">
              <w:rPr>
                <w:rFonts w:ascii="Calibri" w:hAnsi="Calibri"/>
                <w:sz w:val="24"/>
                <w:szCs w:val="24"/>
                <w:vertAlign w:val="superscript"/>
              </w:rPr>
              <w:footnoteReference w:id="4"/>
            </w:r>
          </w:p>
        </w:tc>
      </w:tr>
      <w:tr w:rsidR="009629C4" w:rsidRPr="00261C59" w14:paraId="1A224AB6" w14:textId="77777777" w:rsidTr="00F36330">
        <w:tc>
          <w:tcPr>
            <w:tcW w:w="3295" w:type="dxa"/>
          </w:tcPr>
          <w:p w14:paraId="00A7A0E5" w14:textId="6C2E3798" w:rsidR="009629C4" w:rsidRPr="00261C59" w:rsidRDefault="009629C4" w:rsidP="009629C4">
            <w:pPr>
              <w:spacing w:before="40" w:after="40"/>
              <w:jc w:val="left"/>
              <w:rPr>
                <w:rFonts w:ascii="Calibri" w:hAnsi="Calibri"/>
                <w:sz w:val="24"/>
                <w:szCs w:val="24"/>
              </w:rPr>
            </w:pPr>
            <w:r w:rsidRPr="00261C59">
              <w:rPr>
                <w:rFonts w:ascii="Calibri" w:hAnsi="Calibri"/>
                <w:sz w:val="24"/>
                <w:szCs w:val="24"/>
              </w:rPr>
              <w:t xml:space="preserve">Eligible person </w:t>
            </w:r>
          </w:p>
        </w:tc>
        <w:tc>
          <w:tcPr>
            <w:tcW w:w="6236" w:type="dxa"/>
          </w:tcPr>
          <w:p w14:paraId="39D421D2" w14:textId="4417C5A5" w:rsidR="009629C4" w:rsidRPr="00261C59" w:rsidRDefault="009629C4" w:rsidP="009629C4">
            <w:pPr>
              <w:spacing w:before="40" w:after="40"/>
              <w:jc w:val="left"/>
              <w:rPr>
                <w:rFonts w:ascii="Calibri" w:hAnsi="Calibri"/>
                <w:sz w:val="24"/>
                <w:szCs w:val="24"/>
              </w:rPr>
            </w:pPr>
            <w:r w:rsidRPr="00261C59">
              <w:rPr>
                <w:rFonts w:ascii="Calibri" w:hAnsi="Calibri"/>
                <w:sz w:val="24"/>
                <w:szCs w:val="24"/>
              </w:rPr>
              <w:t xml:space="preserve">Means, as defined in subsections 3(1), 6, 6A and 7 of the </w:t>
            </w:r>
            <w:r w:rsidRPr="00261C59">
              <w:rPr>
                <w:rFonts w:ascii="Calibri" w:hAnsi="Calibri"/>
                <w:i/>
                <w:sz w:val="24"/>
                <w:szCs w:val="24"/>
              </w:rPr>
              <w:t>Health Insurance Act 1973</w:t>
            </w:r>
            <w:r w:rsidRPr="00261C59">
              <w:rPr>
                <w:rFonts w:ascii="Calibri" w:hAnsi="Calibri"/>
                <w:sz w:val="24"/>
                <w:szCs w:val="24"/>
              </w:rPr>
              <w:t>, excluding compensable patients.</w:t>
            </w:r>
          </w:p>
        </w:tc>
      </w:tr>
      <w:tr w:rsidR="00E32840" w:rsidRPr="00261C59" w14:paraId="30C6D706" w14:textId="77777777" w:rsidTr="004728D9">
        <w:tc>
          <w:tcPr>
            <w:tcW w:w="3295" w:type="dxa"/>
          </w:tcPr>
          <w:p w14:paraId="041F419F" w14:textId="77777777" w:rsidR="00E32840" w:rsidRPr="00261C59" w:rsidRDefault="00E32840">
            <w:pPr>
              <w:spacing w:before="40" w:after="40"/>
              <w:jc w:val="left"/>
              <w:rPr>
                <w:rFonts w:ascii="Calibri" w:hAnsi="Calibri"/>
                <w:sz w:val="24"/>
                <w:szCs w:val="24"/>
              </w:rPr>
            </w:pPr>
            <w:r w:rsidRPr="00261C59">
              <w:rPr>
                <w:rFonts w:ascii="Calibri" w:hAnsi="Calibri"/>
                <w:sz w:val="24"/>
                <w:szCs w:val="24"/>
              </w:rPr>
              <w:t>Eligible private patient</w:t>
            </w:r>
          </w:p>
        </w:tc>
        <w:tc>
          <w:tcPr>
            <w:tcW w:w="6236" w:type="dxa"/>
          </w:tcPr>
          <w:p w14:paraId="3E251C98" w14:textId="77777777" w:rsidR="00E32840" w:rsidRPr="00261C59" w:rsidRDefault="00E32840" w:rsidP="004728D9">
            <w:pPr>
              <w:spacing w:before="40" w:after="40"/>
              <w:jc w:val="left"/>
              <w:rPr>
                <w:rFonts w:ascii="Calibri" w:hAnsi="Calibri"/>
                <w:sz w:val="24"/>
                <w:szCs w:val="24"/>
              </w:rPr>
            </w:pPr>
            <w:r w:rsidRPr="00261C59">
              <w:rPr>
                <w:rFonts w:ascii="Calibri" w:hAnsi="Calibri"/>
                <w:sz w:val="24"/>
                <w:szCs w:val="24"/>
              </w:rPr>
              <w:t>Means an eligible patient who chooses to be treated as a private patient. Includes admitted, non-admitted and hospital in the home settings. Excludes compensable patients and other patients funded by third parties.</w:t>
            </w:r>
          </w:p>
        </w:tc>
      </w:tr>
      <w:tr w:rsidR="00E32840" w:rsidRPr="00261C59" w14:paraId="52B27D25" w14:textId="77777777" w:rsidTr="004728D9">
        <w:tc>
          <w:tcPr>
            <w:tcW w:w="3295" w:type="dxa"/>
          </w:tcPr>
          <w:p w14:paraId="7212A518" w14:textId="77777777" w:rsidR="00E32840" w:rsidRPr="00261C59" w:rsidRDefault="00E32840">
            <w:pPr>
              <w:spacing w:before="40" w:after="40"/>
              <w:jc w:val="left"/>
              <w:rPr>
                <w:rFonts w:ascii="Calibri" w:hAnsi="Calibri"/>
                <w:sz w:val="24"/>
                <w:szCs w:val="24"/>
              </w:rPr>
            </w:pPr>
            <w:r w:rsidRPr="00261C59">
              <w:rPr>
                <w:rFonts w:ascii="Calibri" w:hAnsi="Calibri"/>
                <w:sz w:val="24"/>
                <w:szCs w:val="24"/>
              </w:rPr>
              <w:t xml:space="preserve">Emergency department </w:t>
            </w:r>
          </w:p>
        </w:tc>
        <w:tc>
          <w:tcPr>
            <w:tcW w:w="6236" w:type="dxa"/>
          </w:tcPr>
          <w:p w14:paraId="50547251" w14:textId="77777777" w:rsidR="00E32840" w:rsidRPr="00261C59" w:rsidRDefault="00E32840">
            <w:pPr>
              <w:spacing w:before="40" w:after="40"/>
              <w:jc w:val="left"/>
              <w:rPr>
                <w:rFonts w:ascii="Calibri" w:hAnsi="Calibri"/>
                <w:sz w:val="24"/>
                <w:szCs w:val="24"/>
              </w:rPr>
            </w:pPr>
            <w:r w:rsidRPr="00261C59">
              <w:rPr>
                <w:rFonts w:ascii="Calibri" w:hAnsi="Calibri"/>
                <w:sz w:val="24"/>
                <w:szCs w:val="24"/>
              </w:rPr>
              <w:t>Means admission level three or above emergency service under the Australian College for Emergency Medicine guidelines, or as otherwise recommended by the IHACPA and agreed by HMM.</w:t>
            </w:r>
          </w:p>
        </w:tc>
      </w:tr>
      <w:tr w:rsidR="00E32840" w:rsidRPr="00261C59" w14:paraId="646DDB22" w14:textId="77777777" w:rsidTr="004728D9">
        <w:tc>
          <w:tcPr>
            <w:tcW w:w="3295" w:type="dxa"/>
          </w:tcPr>
          <w:p w14:paraId="2477C79D" w14:textId="77777777" w:rsidR="00E32840" w:rsidRPr="00261C59" w:rsidRDefault="00E32840">
            <w:pPr>
              <w:spacing w:before="40" w:after="40"/>
              <w:jc w:val="left"/>
              <w:rPr>
                <w:rFonts w:ascii="Calibri" w:hAnsi="Calibri"/>
                <w:sz w:val="24"/>
                <w:szCs w:val="24"/>
              </w:rPr>
            </w:pPr>
            <w:r w:rsidRPr="00261C59">
              <w:rPr>
                <w:rFonts w:ascii="Calibri" w:hAnsi="Calibri"/>
                <w:sz w:val="24"/>
                <w:szCs w:val="24"/>
              </w:rPr>
              <w:t>Entitled veteran</w:t>
            </w:r>
          </w:p>
        </w:tc>
        <w:tc>
          <w:tcPr>
            <w:tcW w:w="6236" w:type="dxa"/>
          </w:tcPr>
          <w:p w14:paraId="22319D57" w14:textId="77777777" w:rsidR="00E32840" w:rsidRPr="00261C59" w:rsidRDefault="00E32840">
            <w:pPr>
              <w:spacing w:before="40" w:after="40"/>
              <w:jc w:val="left"/>
              <w:rPr>
                <w:rFonts w:ascii="Calibri" w:hAnsi="Calibri"/>
                <w:sz w:val="24"/>
                <w:szCs w:val="24"/>
              </w:rPr>
            </w:pPr>
            <w:r w:rsidRPr="00261C59">
              <w:rPr>
                <w:rFonts w:ascii="Calibri" w:hAnsi="Calibri"/>
                <w:sz w:val="24"/>
                <w:szCs w:val="24"/>
              </w:rPr>
              <w:t xml:space="preserve">Means a Department of Veterans’ Affairs patient referred to in the </w:t>
            </w:r>
            <w:r w:rsidRPr="00261C59">
              <w:rPr>
                <w:rFonts w:ascii="Calibri" w:hAnsi="Calibri"/>
                <w:i/>
                <w:sz w:val="24"/>
                <w:szCs w:val="24"/>
              </w:rPr>
              <w:t>Veterans' Entitlements Act 1986</w:t>
            </w:r>
            <w:r w:rsidRPr="00261C59">
              <w:rPr>
                <w:rFonts w:ascii="Calibri" w:hAnsi="Calibri"/>
                <w:sz w:val="24"/>
                <w:szCs w:val="24"/>
              </w:rPr>
              <w:t>.</w:t>
            </w:r>
          </w:p>
        </w:tc>
      </w:tr>
      <w:tr w:rsidR="00B64A5D" w:rsidRPr="00261C59" w14:paraId="12AE92EB" w14:textId="77777777" w:rsidTr="00F36330">
        <w:tc>
          <w:tcPr>
            <w:tcW w:w="3295" w:type="dxa"/>
          </w:tcPr>
          <w:p w14:paraId="18AFD43E" w14:textId="1E9C6FE3"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Ex Officio</w:t>
            </w:r>
          </w:p>
        </w:tc>
        <w:tc>
          <w:tcPr>
            <w:tcW w:w="6236" w:type="dxa"/>
          </w:tcPr>
          <w:p w14:paraId="2C6DFDCE" w14:textId="727D06E4" w:rsidR="00B64A5D" w:rsidRPr="00261C59" w:rsidRDefault="00B64A5D" w:rsidP="00B64A5D">
            <w:pPr>
              <w:spacing w:before="40" w:after="40"/>
              <w:jc w:val="left"/>
              <w:rPr>
                <w:rFonts w:ascii="Calibri" w:hAnsi="Calibri"/>
                <w:color w:val="000000" w:themeColor="text1"/>
                <w:sz w:val="24"/>
                <w:szCs w:val="24"/>
              </w:rPr>
            </w:pPr>
            <w:r w:rsidRPr="00261C59">
              <w:rPr>
                <w:rFonts w:ascii="Calibri" w:hAnsi="Calibri"/>
                <w:color w:val="000000" w:themeColor="text1"/>
                <w:sz w:val="24"/>
                <w:szCs w:val="24"/>
              </w:rPr>
              <w:t>Means a non-voting member with the authority to attend meetings, receive the meeting agenda and relevant documents in advance, participate and contribute views and insights.</w:t>
            </w:r>
          </w:p>
        </w:tc>
      </w:tr>
      <w:tr w:rsidR="00B64A5D" w:rsidRPr="00261C59" w14:paraId="6D258AFC" w14:textId="77777777" w:rsidTr="004728D9">
        <w:tc>
          <w:tcPr>
            <w:tcW w:w="3295" w:type="dxa"/>
          </w:tcPr>
          <w:p w14:paraId="657CA0F5"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Final (Commonwealth) Entitlement</w:t>
            </w:r>
          </w:p>
        </w:tc>
        <w:tc>
          <w:tcPr>
            <w:tcW w:w="6236" w:type="dxa"/>
          </w:tcPr>
          <w:p w14:paraId="7937CFA3" w14:textId="77777777" w:rsidR="00B64A5D" w:rsidRPr="00261C59" w:rsidRDefault="00B64A5D" w:rsidP="00803FCC">
            <w:pPr>
              <w:keepLines/>
              <w:spacing w:before="40" w:after="40"/>
              <w:jc w:val="left"/>
              <w:rPr>
                <w:rFonts w:ascii="Calibri" w:hAnsi="Calibri"/>
                <w:color w:val="000000"/>
                <w:sz w:val="24"/>
                <w:szCs w:val="24"/>
              </w:rPr>
            </w:pPr>
            <w:r w:rsidRPr="00261C59">
              <w:rPr>
                <w:rFonts w:ascii="Calibri" w:hAnsi="Calibri"/>
                <w:color w:val="000000" w:themeColor="text1"/>
                <w:sz w:val="24"/>
                <w:szCs w:val="24"/>
              </w:rPr>
              <w:t>Means the final amount of Commonwealth NHR funding a State is entitled to receive for a relevant financial year, as determined by the Commonwealth Treasurer.</w:t>
            </w:r>
          </w:p>
        </w:tc>
      </w:tr>
      <w:tr w:rsidR="00B64A5D" w:rsidRPr="00261C59" w14:paraId="5875A575" w14:textId="77777777" w:rsidTr="004728D9">
        <w:tc>
          <w:tcPr>
            <w:tcW w:w="3295" w:type="dxa"/>
          </w:tcPr>
          <w:p w14:paraId="5451DF9B" w14:textId="77777777" w:rsidR="00B64A5D" w:rsidRPr="00261C59" w:rsidRDefault="00B64A5D" w:rsidP="00B64A5D">
            <w:pPr>
              <w:spacing w:before="40" w:after="40"/>
              <w:jc w:val="left"/>
              <w:rPr>
                <w:rFonts w:ascii="Calibri" w:hAnsi="Calibri"/>
                <w:color w:val="000000" w:themeColor="text1"/>
                <w:sz w:val="24"/>
                <w:szCs w:val="24"/>
              </w:rPr>
            </w:pPr>
            <w:r w:rsidRPr="00261C59">
              <w:rPr>
                <w:rFonts w:ascii="Calibri" w:hAnsi="Calibri"/>
                <w:color w:val="000000" w:themeColor="text1"/>
                <w:sz w:val="24"/>
                <w:szCs w:val="24"/>
              </w:rPr>
              <w:t>Fixed-plus-variable model</w:t>
            </w:r>
          </w:p>
        </w:tc>
        <w:tc>
          <w:tcPr>
            <w:tcW w:w="6236" w:type="dxa"/>
          </w:tcPr>
          <w:p w14:paraId="63FC131A" w14:textId="35760064" w:rsidR="00B64A5D" w:rsidRPr="00261C59" w:rsidRDefault="00B64A5D" w:rsidP="00B64A5D">
            <w:pPr>
              <w:spacing w:before="40" w:after="40"/>
              <w:jc w:val="left"/>
              <w:rPr>
                <w:rFonts w:ascii="Calibri" w:hAnsi="Calibri"/>
                <w:color w:val="000000" w:themeColor="text1"/>
                <w:sz w:val="24"/>
                <w:szCs w:val="24"/>
              </w:rPr>
            </w:pPr>
            <w:r w:rsidRPr="00261C59">
              <w:rPr>
                <w:rFonts w:ascii="Calibri" w:hAnsi="Calibri"/>
                <w:color w:val="000000" w:themeColor="text1"/>
                <w:sz w:val="24"/>
                <w:szCs w:val="24"/>
              </w:rPr>
              <w:t xml:space="preserve">Means the model used to determine the efficient cost of a small rural hospital under the </w:t>
            </w:r>
            <w:r w:rsidR="00A73CFF">
              <w:rPr>
                <w:rFonts w:ascii="Calibri" w:hAnsi="Calibri"/>
                <w:color w:val="000000" w:themeColor="text1"/>
                <w:sz w:val="24"/>
                <w:szCs w:val="24"/>
              </w:rPr>
              <w:t>Block Funding</w:t>
            </w:r>
            <w:r w:rsidRPr="00261C59">
              <w:rPr>
                <w:rFonts w:ascii="Calibri" w:hAnsi="Calibri"/>
                <w:color w:val="000000" w:themeColor="text1"/>
                <w:sz w:val="24"/>
                <w:szCs w:val="24"/>
              </w:rPr>
              <w:t xml:space="preserve"> stream. It consists of the sum of a fixed cost component, and a variable cost component as determined by the IHACPA in the National Efficient Cost Determination.</w:t>
            </w:r>
          </w:p>
        </w:tc>
      </w:tr>
      <w:tr w:rsidR="00B64A5D" w:rsidRPr="00261C59" w14:paraId="05BAEA3E" w14:textId="77777777" w:rsidTr="004728D9">
        <w:tc>
          <w:tcPr>
            <w:tcW w:w="3295" w:type="dxa"/>
          </w:tcPr>
          <w:p w14:paraId="3459719D" w14:textId="77777777" w:rsidR="00B64A5D" w:rsidRPr="00261C59" w:rsidRDefault="00B64A5D" w:rsidP="00B64A5D">
            <w:pPr>
              <w:spacing w:before="40" w:after="40"/>
              <w:jc w:val="left"/>
              <w:rPr>
                <w:rFonts w:ascii="Calibri" w:hAnsi="Calibri"/>
                <w:color w:val="000000" w:themeColor="text1"/>
                <w:sz w:val="24"/>
                <w:szCs w:val="24"/>
              </w:rPr>
            </w:pPr>
            <w:r w:rsidRPr="00261C59">
              <w:rPr>
                <w:rFonts w:ascii="Calibri" w:hAnsi="Calibri"/>
                <w:color w:val="000000" w:themeColor="text1"/>
                <w:sz w:val="24"/>
                <w:szCs w:val="24"/>
              </w:rPr>
              <w:t xml:space="preserve">Formal Partnership </w:t>
            </w:r>
          </w:p>
        </w:tc>
        <w:tc>
          <w:tcPr>
            <w:tcW w:w="6236" w:type="dxa"/>
          </w:tcPr>
          <w:p w14:paraId="66687464" w14:textId="6DD9B9C1" w:rsidR="00B64A5D" w:rsidRPr="00261C59" w:rsidRDefault="00B64A5D" w:rsidP="00B64A5D">
            <w:pPr>
              <w:spacing w:before="40" w:after="40"/>
              <w:jc w:val="left"/>
              <w:rPr>
                <w:rFonts w:ascii="Calibri" w:hAnsi="Calibri"/>
                <w:color w:val="000000" w:themeColor="text1"/>
                <w:sz w:val="24"/>
                <w:szCs w:val="24"/>
              </w:rPr>
            </w:pPr>
            <w:r w:rsidRPr="00261C59">
              <w:rPr>
                <w:rFonts w:ascii="Calibri" w:hAnsi="Calibri"/>
                <w:color w:val="000000" w:themeColor="text1"/>
                <w:sz w:val="24"/>
                <w:szCs w:val="24"/>
              </w:rPr>
              <w:t>Means as defined in the National Agreement on Closing the Gap clauses 2</w:t>
            </w:r>
            <w:r w:rsidR="00871480" w:rsidRPr="00261C59">
              <w:rPr>
                <w:rFonts w:ascii="Calibri" w:hAnsi="Calibri"/>
                <w:color w:val="000000" w:themeColor="text1"/>
                <w:sz w:val="24"/>
                <w:szCs w:val="24"/>
              </w:rPr>
              <w:t>8</w:t>
            </w:r>
            <w:r w:rsidR="003E3AE1" w:rsidRPr="00261C59">
              <w:rPr>
                <w:rFonts w:ascii="Calibri" w:hAnsi="Calibri"/>
                <w:color w:val="000000" w:themeColor="text1"/>
                <w:sz w:val="24"/>
                <w:szCs w:val="24"/>
              </w:rPr>
              <w:t xml:space="preserve"> to</w:t>
            </w:r>
            <w:r w:rsidR="00871480" w:rsidRPr="00261C59">
              <w:rPr>
                <w:rFonts w:ascii="Calibri" w:hAnsi="Calibri"/>
                <w:color w:val="000000" w:themeColor="text1"/>
                <w:sz w:val="24"/>
                <w:szCs w:val="24"/>
              </w:rPr>
              <w:t xml:space="preserve"> </w:t>
            </w:r>
            <w:r w:rsidRPr="00261C59">
              <w:rPr>
                <w:rFonts w:ascii="Calibri" w:hAnsi="Calibri"/>
                <w:color w:val="000000" w:themeColor="text1"/>
                <w:sz w:val="24"/>
                <w:szCs w:val="24"/>
              </w:rPr>
              <w:t>3</w:t>
            </w:r>
            <w:r w:rsidR="00871480" w:rsidRPr="00261C59">
              <w:rPr>
                <w:rFonts w:ascii="Calibri" w:hAnsi="Calibri"/>
                <w:color w:val="000000" w:themeColor="text1"/>
                <w:sz w:val="24"/>
                <w:szCs w:val="24"/>
              </w:rPr>
              <w:t>3</w:t>
            </w:r>
            <w:r w:rsidRPr="00261C59">
              <w:rPr>
                <w:rFonts w:ascii="Calibri" w:hAnsi="Calibri"/>
                <w:color w:val="000000" w:themeColor="text1"/>
                <w:sz w:val="24"/>
                <w:szCs w:val="24"/>
              </w:rPr>
              <w:t xml:space="preserve"> enshrine agreed joint decision-making by setting out who makes decision, how decisions are made, and what decisions will be about. Formal Partnerships provide Aboriginal and Torres Strait Islander entities with a level of power that is equal to or higher than other parties. In Formal Partnerships, Aboriginal and Torres Strait Islander people choose their own representatives. Formal Partnerships require formal signed agreements between Aboriginal and Torres Strait Islander people, governments, and/or other parties that sets out how they will each work to together to achieve agreed goals and aims. As states in the National Agreement on Closing the Gap, adequate funding is needed to support Aboriginal and Torres Strait Islander parties to be partners with government in Formal Partnerships for activities to:</w:t>
            </w:r>
          </w:p>
          <w:p w14:paraId="504610CB" w14:textId="77777777" w:rsidR="00B64A5D" w:rsidRPr="00261C59" w:rsidRDefault="00B64A5D" w:rsidP="00B64A5D">
            <w:pPr>
              <w:numPr>
                <w:ilvl w:val="1"/>
                <w:numId w:val="42"/>
              </w:numPr>
              <w:tabs>
                <w:tab w:val="clear" w:pos="1069"/>
                <w:tab w:val="num" w:pos="459"/>
                <w:tab w:val="num" w:pos="1440"/>
              </w:tabs>
              <w:spacing w:before="40" w:after="40"/>
              <w:ind w:left="459" w:hanging="425"/>
              <w:jc w:val="left"/>
              <w:rPr>
                <w:rFonts w:ascii="Calibri" w:hAnsi="Calibri"/>
                <w:color w:val="000000" w:themeColor="text1"/>
                <w:sz w:val="24"/>
                <w:szCs w:val="24"/>
              </w:rPr>
            </w:pPr>
            <w:r w:rsidRPr="00261C59">
              <w:rPr>
                <w:rFonts w:ascii="Calibri" w:hAnsi="Calibri"/>
                <w:color w:val="000000" w:themeColor="text1"/>
                <w:sz w:val="24"/>
                <w:szCs w:val="24"/>
              </w:rPr>
              <w:t xml:space="preserve">Engage independent policy advice </w:t>
            </w:r>
          </w:p>
          <w:p w14:paraId="2AFF2E3D" w14:textId="77777777" w:rsidR="00B64A5D" w:rsidRPr="00261C59" w:rsidRDefault="00B64A5D" w:rsidP="00B64A5D">
            <w:pPr>
              <w:numPr>
                <w:ilvl w:val="1"/>
                <w:numId w:val="42"/>
              </w:numPr>
              <w:tabs>
                <w:tab w:val="clear" w:pos="1069"/>
                <w:tab w:val="num" w:pos="459"/>
                <w:tab w:val="num" w:pos="1440"/>
              </w:tabs>
              <w:spacing w:before="40" w:after="40"/>
              <w:ind w:left="459" w:hanging="425"/>
              <w:jc w:val="left"/>
              <w:rPr>
                <w:rFonts w:ascii="Calibri" w:hAnsi="Calibri"/>
                <w:color w:val="000000" w:themeColor="text1"/>
                <w:sz w:val="24"/>
                <w:szCs w:val="24"/>
              </w:rPr>
            </w:pPr>
            <w:r w:rsidRPr="00261C59">
              <w:rPr>
                <w:rFonts w:ascii="Calibri" w:hAnsi="Calibri"/>
                <w:color w:val="000000" w:themeColor="text1"/>
                <w:sz w:val="24"/>
                <w:szCs w:val="24"/>
              </w:rPr>
              <w:t>Meet independently of governments to determine their own policy positions</w:t>
            </w:r>
          </w:p>
          <w:p w14:paraId="1A9DA29E" w14:textId="77777777" w:rsidR="00B64A5D" w:rsidRPr="00261C59" w:rsidRDefault="00B64A5D" w:rsidP="00B64A5D">
            <w:pPr>
              <w:numPr>
                <w:ilvl w:val="1"/>
                <w:numId w:val="42"/>
              </w:numPr>
              <w:tabs>
                <w:tab w:val="clear" w:pos="1069"/>
                <w:tab w:val="num" w:pos="459"/>
                <w:tab w:val="num" w:pos="1440"/>
              </w:tabs>
              <w:spacing w:before="40" w:after="40"/>
              <w:ind w:left="459" w:hanging="425"/>
              <w:jc w:val="left"/>
              <w:rPr>
                <w:rFonts w:ascii="Calibri" w:hAnsi="Calibri"/>
                <w:color w:val="000000" w:themeColor="text1"/>
                <w:sz w:val="24"/>
                <w:szCs w:val="24"/>
              </w:rPr>
            </w:pPr>
            <w:r w:rsidRPr="00261C59">
              <w:rPr>
                <w:rFonts w:ascii="Calibri" w:hAnsi="Calibri"/>
                <w:color w:val="000000" w:themeColor="text1"/>
                <w:sz w:val="24"/>
                <w:szCs w:val="24"/>
              </w:rPr>
              <w:t xml:space="preserve">Support strengthened governance between and across Aboriginal and Torres Strait Islander organisations and entities </w:t>
            </w:r>
          </w:p>
          <w:p w14:paraId="2C7453AD" w14:textId="77777777" w:rsidR="00B64A5D" w:rsidRPr="00261C59" w:rsidRDefault="00B64A5D" w:rsidP="00B64A5D">
            <w:pPr>
              <w:numPr>
                <w:ilvl w:val="1"/>
                <w:numId w:val="42"/>
              </w:numPr>
              <w:tabs>
                <w:tab w:val="clear" w:pos="1069"/>
                <w:tab w:val="num" w:pos="459"/>
                <w:tab w:val="num" w:pos="1440"/>
              </w:tabs>
              <w:spacing w:before="40" w:after="40"/>
              <w:ind w:left="459" w:hanging="425"/>
              <w:jc w:val="left"/>
              <w:rPr>
                <w:rFonts w:ascii="Calibri" w:hAnsi="Calibri"/>
                <w:color w:val="000000" w:themeColor="text1"/>
                <w:sz w:val="24"/>
                <w:szCs w:val="24"/>
              </w:rPr>
            </w:pPr>
            <w:r w:rsidRPr="00261C59">
              <w:rPr>
                <w:rFonts w:ascii="Calibri" w:hAnsi="Calibri"/>
                <w:color w:val="000000" w:themeColor="text1"/>
                <w:sz w:val="24"/>
                <w:szCs w:val="24"/>
              </w:rPr>
              <w:t xml:space="preserve">Engage with and seek advice from Aboriginal and Torres Strait Islander people from all relevant groups within affected communities, including but not limited to, Elders, Traditional Owners and Native Titles Holders. </w:t>
            </w:r>
          </w:p>
        </w:tc>
      </w:tr>
      <w:tr w:rsidR="00B64A5D" w:rsidRPr="00261C59" w14:paraId="0CDEF6CA" w14:textId="77777777" w:rsidTr="004728D9">
        <w:tc>
          <w:tcPr>
            <w:tcW w:w="3295" w:type="dxa"/>
          </w:tcPr>
          <w:p w14:paraId="6EB9108E"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Funding cap</w:t>
            </w:r>
          </w:p>
        </w:tc>
        <w:tc>
          <w:tcPr>
            <w:tcW w:w="6236" w:type="dxa"/>
          </w:tcPr>
          <w:p w14:paraId="4CBD1517" w14:textId="4A491A4C"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Means the maximum Commonwealth funding entitlement for a State for a given year, calculated in accordance with clause A41, Part 1 of Schedule A of this Addendum.</w:t>
            </w:r>
          </w:p>
        </w:tc>
      </w:tr>
      <w:tr w:rsidR="00B64A5D" w:rsidRPr="00261C59" w14:paraId="3E350788" w14:textId="77777777" w:rsidTr="004728D9">
        <w:tc>
          <w:tcPr>
            <w:tcW w:w="3295" w:type="dxa"/>
          </w:tcPr>
          <w:p w14:paraId="60AE5848"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General List</w:t>
            </w:r>
          </w:p>
        </w:tc>
        <w:tc>
          <w:tcPr>
            <w:tcW w:w="6236" w:type="dxa"/>
          </w:tcPr>
          <w:p w14:paraId="1B7DA524"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Means the list of in-scope services, curated and maintained by the IHACPA as set out in Part 3 of Schedule A of this Addendum.</w:t>
            </w:r>
          </w:p>
        </w:tc>
      </w:tr>
      <w:tr w:rsidR="00B64A5D" w:rsidRPr="00261C59" w14:paraId="2BAAE5E7" w14:textId="77777777" w:rsidTr="004728D9">
        <w:tc>
          <w:tcPr>
            <w:tcW w:w="3295" w:type="dxa"/>
          </w:tcPr>
          <w:p w14:paraId="136EC1C1"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Glide path</w:t>
            </w:r>
          </w:p>
        </w:tc>
        <w:tc>
          <w:tcPr>
            <w:tcW w:w="6236" w:type="dxa"/>
          </w:tcPr>
          <w:p w14:paraId="1B0BB852"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Means a funding model whereby the Commonwealth’s funding input contribution rate is increased over time according to a set trajectory towards an agreed target percentage.</w:t>
            </w:r>
          </w:p>
        </w:tc>
      </w:tr>
      <w:tr w:rsidR="00B64A5D" w:rsidRPr="00261C59" w14:paraId="7A5A12F0" w14:textId="77777777" w:rsidTr="004728D9">
        <w:tc>
          <w:tcPr>
            <w:tcW w:w="3295" w:type="dxa"/>
          </w:tcPr>
          <w:p w14:paraId="564286AA"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HAC List</w:t>
            </w:r>
          </w:p>
        </w:tc>
        <w:tc>
          <w:tcPr>
            <w:tcW w:w="6236" w:type="dxa"/>
          </w:tcPr>
          <w:p w14:paraId="513506FE"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Means the Hospital Acquired Complication List maintained by the ACSQHC, as amended from time to time.</w:t>
            </w:r>
          </w:p>
        </w:tc>
      </w:tr>
      <w:tr w:rsidR="00B64A5D" w:rsidRPr="00261C59" w14:paraId="751E9E1E" w14:textId="77777777" w:rsidTr="004728D9">
        <w:tc>
          <w:tcPr>
            <w:tcW w:w="3295" w:type="dxa"/>
          </w:tcPr>
          <w:p w14:paraId="6C958B21"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 xml:space="preserve">Health and wellbeing </w:t>
            </w:r>
          </w:p>
        </w:tc>
        <w:tc>
          <w:tcPr>
            <w:tcW w:w="6236" w:type="dxa"/>
          </w:tcPr>
          <w:p w14:paraId="40075A43"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 xml:space="preserve">Means not just the physical wellbeing of an individual but refers to the social, emotional and cultural wellbeing of the whole community in which each individual is able to achieve their full potential as a human being, thereby bringing about the total wellbeing of their community. It is a whole-of-life view and includes the cyclical concept of life-passing-life. </w:t>
            </w:r>
          </w:p>
        </w:tc>
      </w:tr>
      <w:tr w:rsidR="00B64A5D" w:rsidRPr="00261C59" w14:paraId="529D4FFE" w14:textId="77777777" w:rsidTr="004728D9">
        <w:tc>
          <w:tcPr>
            <w:tcW w:w="3295" w:type="dxa"/>
          </w:tcPr>
          <w:p w14:paraId="32A4E6AD"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Health Ministers Meeting (HMM)</w:t>
            </w:r>
          </w:p>
        </w:tc>
        <w:tc>
          <w:tcPr>
            <w:tcW w:w="6236" w:type="dxa"/>
          </w:tcPr>
          <w:p w14:paraId="7B324566"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Means the forum established to facilitate provision of advice by Health Ministers, including to National Cabinet if requested.</w:t>
            </w:r>
          </w:p>
        </w:tc>
      </w:tr>
      <w:tr w:rsidR="00B64A5D" w:rsidRPr="00261C59" w14:paraId="76DF770A" w14:textId="77777777" w:rsidTr="004728D9">
        <w:tc>
          <w:tcPr>
            <w:tcW w:w="3295" w:type="dxa"/>
          </w:tcPr>
          <w:p w14:paraId="78129983"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Health system performance assessment framework</w:t>
            </w:r>
          </w:p>
        </w:tc>
        <w:tc>
          <w:tcPr>
            <w:tcW w:w="6236" w:type="dxa"/>
          </w:tcPr>
          <w:p w14:paraId="7C983969"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 xml:space="preserve">Means the framework established in accordance with </w:t>
            </w:r>
            <w:r w:rsidRPr="00261C59">
              <w:br/>
            </w:r>
            <w:r w:rsidRPr="00261C59">
              <w:rPr>
                <w:rFonts w:ascii="Calibri" w:hAnsi="Calibri"/>
                <w:color w:val="000000" w:themeColor="text1"/>
                <w:sz w:val="24"/>
                <w:szCs w:val="24"/>
              </w:rPr>
              <w:t>Schedule H.</w:t>
            </w:r>
          </w:p>
        </w:tc>
      </w:tr>
      <w:tr w:rsidR="00B64A5D" w:rsidRPr="00261C59" w14:paraId="7F76E026" w14:textId="77777777" w:rsidTr="004728D9">
        <w:tc>
          <w:tcPr>
            <w:tcW w:w="3295" w:type="dxa"/>
          </w:tcPr>
          <w:p w14:paraId="2C50315E"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Health Technology Assessment (HTA)</w:t>
            </w:r>
          </w:p>
        </w:tc>
        <w:tc>
          <w:tcPr>
            <w:tcW w:w="6236" w:type="dxa"/>
          </w:tcPr>
          <w:p w14:paraId="1B82AEC1"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 xml:space="preserve">Means the systematic evaluation of the best available evidence concerning the quality, safety, efficacy, cost-effectiveness and total costs of a health technology compared to the existing standard of care. Health technologies include tests, devices, medicines, vaccines, procedures, programs and systems. </w:t>
            </w:r>
          </w:p>
        </w:tc>
      </w:tr>
      <w:tr w:rsidR="00B64A5D" w:rsidRPr="00261C59" w14:paraId="1521CCDC" w14:textId="77777777" w:rsidTr="004728D9">
        <w:tc>
          <w:tcPr>
            <w:tcW w:w="3295" w:type="dxa"/>
          </w:tcPr>
          <w:p w14:paraId="0E82214C" w14:textId="77777777" w:rsidR="00B64A5D" w:rsidRPr="00261C59" w:rsidRDefault="00B64A5D" w:rsidP="00B64A5D">
            <w:pPr>
              <w:widowControl/>
              <w:spacing w:before="40" w:after="40"/>
              <w:jc w:val="left"/>
              <w:rPr>
                <w:rFonts w:ascii="Calibri" w:hAnsi="Calibri"/>
                <w:color w:val="000000"/>
                <w:sz w:val="24"/>
                <w:szCs w:val="24"/>
              </w:rPr>
            </w:pPr>
            <w:r w:rsidRPr="00261C59">
              <w:rPr>
                <w:rFonts w:ascii="Calibri" w:hAnsi="Calibri"/>
                <w:color w:val="000000" w:themeColor="text1"/>
                <w:sz w:val="24"/>
                <w:szCs w:val="24"/>
              </w:rPr>
              <w:t>High cost, highly specialised therapies</w:t>
            </w:r>
          </w:p>
        </w:tc>
        <w:tc>
          <w:tcPr>
            <w:tcW w:w="6236" w:type="dxa"/>
          </w:tcPr>
          <w:p w14:paraId="31440E18" w14:textId="77777777" w:rsidR="00B64A5D" w:rsidRPr="00261C59" w:rsidRDefault="00B64A5D" w:rsidP="00B64A5D">
            <w:pPr>
              <w:widowControl/>
              <w:spacing w:before="40" w:after="40"/>
              <w:jc w:val="left"/>
              <w:rPr>
                <w:rFonts w:ascii="Calibri" w:hAnsi="Calibri"/>
                <w:color w:val="000000"/>
                <w:sz w:val="24"/>
                <w:szCs w:val="24"/>
              </w:rPr>
            </w:pPr>
            <w:r w:rsidRPr="00261C59">
              <w:rPr>
                <w:rFonts w:ascii="Calibri" w:hAnsi="Calibri"/>
                <w:color w:val="000000"/>
                <w:sz w:val="24"/>
                <w:szCs w:val="24"/>
              </w:rPr>
              <w:t>Means TGA approved medicines and biologicals delivered in a public hospital setting where:</w:t>
            </w:r>
          </w:p>
          <w:p w14:paraId="1ADD6C03" w14:textId="77777777" w:rsidR="00B64A5D" w:rsidRPr="00261C59" w:rsidRDefault="00B64A5D" w:rsidP="00B64A5D">
            <w:pPr>
              <w:widowControl/>
              <w:numPr>
                <w:ilvl w:val="0"/>
                <w:numId w:val="39"/>
              </w:numPr>
              <w:tabs>
                <w:tab w:val="left" w:pos="670"/>
              </w:tabs>
              <w:spacing w:before="40" w:after="40"/>
              <w:ind w:left="275" w:hanging="283"/>
              <w:jc w:val="left"/>
              <w:rPr>
                <w:rFonts w:ascii="Calibri" w:hAnsi="Calibri"/>
                <w:sz w:val="24"/>
                <w:szCs w:val="24"/>
              </w:rPr>
            </w:pPr>
            <w:r w:rsidRPr="00261C59">
              <w:rPr>
                <w:rFonts w:ascii="Calibri" w:hAnsi="Calibri"/>
                <w:sz w:val="24"/>
                <w:szCs w:val="24"/>
              </w:rPr>
              <w:t>the therapy and its conditions of use are recommended by the Medical Services Advisory Committee (MSAC),</w:t>
            </w:r>
          </w:p>
          <w:p w14:paraId="3B8578E5" w14:textId="77777777" w:rsidR="00B64A5D" w:rsidRPr="00261C59" w:rsidRDefault="00B64A5D" w:rsidP="00B64A5D">
            <w:pPr>
              <w:widowControl/>
              <w:numPr>
                <w:ilvl w:val="0"/>
                <w:numId w:val="39"/>
              </w:numPr>
              <w:tabs>
                <w:tab w:val="left" w:pos="670"/>
              </w:tabs>
              <w:spacing w:before="40" w:after="40"/>
              <w:ind w:left="275" w:hanging="283"/>
              <w:jc w:val="left"/>
              <w:rPr>
                <w:rFonts w:ascii="Calibri" w:hAnsi="Calibri"/>
                <w:sz w:val="24"/>
                <w:szCs w:val="24"/>
              </w:rPr>
            </w:pPr>
            <w:r w:rsidRPr="00261C59">
              <w:rPr>
                <w:rFonts w:ascii="Calibri" w:hAnsi="Calibri"/>
                <w:sz w:val="24"/>
                <w:szCs w:val="24"/>
              </w:rPr>
              <w:t>the average annual treatment cost (including ancillary services) exceeds $200,000 per patient (with input from the IHACPA as relevant),</w:t>
            </w:r>
          </w:p>
          <w:p w14:paraId="0A7BBFD0" w14:textId="77777777" w:rsidR="00B64A5D" w:rsidRPr="00261C59" w:rsidRDefault="00B64A5D" w:rsidP="00B64A5D">
            <w:pPr>
              <w:widowControl/>
              <w:numPr>
                <w:ilvl w:val="0"/>
                <w:numId w:val="39"/>
              </w:numPr>
              <w:tabs>
                <w:tab w:val="left" w:pos="670"/>
              </w:tabs>
              <w:spacing w:before="40" w:after="40"/>
              <w:ind w:left="275" w:hanging="283"/>
              <w:jc w:val="left"/>
              <w:rPr>
                <w:rFonts w:ascii="Calibri" w:hAnsi="Calibri"/>
                <w:sz w:val="24"/>
                <w:szCs w:val="24"/>
              </w:rPr>
            </w:pPr>
            <w:r w:rsidRPr="00261C59">
              <w:rPr>
                <w:rFonts w:ascii="Calibri" w:hAnsi="Calibri"/>
                <w:sz w:val="24"/>
                <w:szCs w:val="24"/>
              </w:rPr>
              <w:t>there is a deed of agreement in place between the Commonwealth and Sponsor outlining the conditions of public funding, and</w:t>
            </w:r>
          </w:p>
          <w:p w14:paraId="487A4124" w14:textId="77777777" w:rsidR="00B64A5D" w:rsidRPr="00261C59" w:rsidRDefault="00B64A5D" w:rsidP="00B64A5D">
            <w:pPr>
              <w:widowControl/>
              <w:numPr>
                <w:ilvl w:val="0"/>
                <w:numId w:val="39"/>
              </w:numPr>
              <w:tabs>
                <w:tab w:val="left" w:pos="670"/>
              </w:tabs>
              <w:spacing w:before="40" w:after="40"/>
              <w:ind w:left="275" w:hanging="283"/>
              <w:jc w:val="left"/>
              <w:rPr>
                <w:rFonts w:ascii="Calibri" w:hAnsi="Calibri"/>
                <w:color w:val="000000"/>
                <w:sz w:val="24"/>
                <w:szCs w:val="24"/>
              </w:rPr>
            </w:pPr>
            <w:r w:rsidRPr="00261C59">
              <w:rPr>
                <w:rFonts w:ascii="Calibri" w:hAnsi="Calibri"/>
                <w:sz w:val="24"/>
                <w:szCs w:val="24"/>
              </w:rPr>
              <w:t>where the therapy is not otherwise funded through a Commonwealth program or the costs of the therapy would not be appropriately funded through a component of an existing pricing classification.</w:t>
            </w:r>
          </w:p>
        </w:tc>
      </w:tr>
      <w:tr w:rsidR="00B64A5D" w:rsidRPr="00261C59" w14:paraId="636C266F" w14:textId="77777777" w:rsidTr="004728D9">
        <w:tc>
          <w:tcPr>
            <w:tcW w:w="3295" w:type="dxa"/>
          </w:tcPr>
          <w:p w14:paraId="4CBCD209"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High-value care</w:t>
            </w:r>
          </w:p>
        </w:tc>
        <w:tc>
          <w:tcPr>
            <w:tcW w:w="6236" w:type="dxa"/>
          </w:tcPr>
          <w:p w14:paraId="02D2935E"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 xml:space="preserve">Means care considered high benefit to specific patients or cohorts, provided in the appropriate setting, based on clinically-agreed best practice process and high-quality evidence, or patient outcomes (where available).  </w:t>
            </w:r>
          </w:p>
        </w:tc>
      </w:tr>
      <w:tr w:rsidR="00B64A5D" w:rsidRPr="00261C59" w14:paraId="240F0B73" w14:textId="77777777" w:rsidTr="004728D9">
        <w:tc>
          <w:tcPr>
            <w:tcW w:w="3295" w:type="dxa"/>
          </w:tcPr>
          <w:p w14:paraId="470B4D63"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High-value care list</w:t>
            </w:r>
          </w:p>
        </w:tc>
        <w:tc>
          <w:tcPr>
            <w:tcW w:w="6236" w:type="dxa"/>
          </w:tcPr>
          <w:p w14:paraId="17A4B060"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 xml:space="preserve">Means the list of high-value care events and/or pathways, and associated specific patient criteria, that will be developed and maintained by the ACSQHC. Care following these pathways will be subject to a positive pricing adjustment following the pricing principles outlined in this Addendum, and as determined by IHACPA.  </w:t>
            </w:r>
          </w:p>
        </w:tc>
      </w:tr>
      <w:tr w:rsidR="00B64A5D" w:rsidRPr="00261C59" w14:paraId="1BE1F939" w14:textId="77777777" w:rsidTr="004728D9">
        <w:tc>
          <w:tcPr>
            <w:tcW w:w="3295" w:type="dxa"/>
          </w:tcPr>
          <w:p w14:paraId="7036F392"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Hospital Acquired Complication (HAC)</w:t>
            </w:r>
          </w:p>
        </w:tc>
        <w:tc>
          <w:tcPr>
            <w:tcW w:w="6236" w:type="dxa"/>
          </w:tcPr>
          <w:p w14:paraId="072B1C1B" w14:textId="77777777" w:rsidR="00B64A5D" w:rsidRPr="00261C59" w:rsidRDefault="00B64A5D" w:rsidP="003C17E5">
            <w:pPr>
              <w:keepLines/>
              <w:spacing w:before="40" w:after="40"/>
              <w:jc w:val="left"/>
              <w:rPr>
                <w:rFonts w:ascii="Calibri" w:hAnsi="Calibri"/>
                <w:color w:val="000000"/>
                <w:sz w:val="24"/>
                <w:szCs w:val="24"/>
              </w:rPr>
            </w:pPr>
            <w:r w:rsidRPr="00261C59">
              <w:rPr>
                <w:rFonts w:ascii="Calibri" w:hAnsi="Calibri"/>
                <w:color w:val="000000" w:themeColor="text1"/>
                <w:sz w:val="24"/>
                <w:szCs w:val="24"/>
              </w:rPr>
              <w:t>Means a condition identified on the HAC list, as approved by HMM and maintained by the ACSQHC. Defining criteria for HACs are found in Appendix B.  </w:t>
            </w:r>
          </w:p>
        </w:tc>
      </w:tr>
      <w:tr w:rsidR="00B64A5D" w:rsidRPr="00261C59" w14:paraId="200521BE" w14:textId="77777777" w:rsidTr="004728D9">
        <w:tc>
          <w:tcPr>
            <w:tcW w:w="3295" w:type="dxa"/>
          </w:tcPr>
          <w:p w14:paraId="4722C923" w14:textId="77777777" w:rsidR="00B64A5D" w:rsidRPr="00261C59" w:rsidRDefault="00B64A5D" w:rsidP="00B64A5D">
            <w:pPr>
              <w:spacing w:before="40" w:after="40"/>
              <w:jc w:val="left"/>
              <w:rPr>
                <w:rFonts w:ascii="Calibri" w:hAnsi="Calibri"/>
                <w:sz w:val="24"/>
                <w:szCs w:val="24"/>
              </w:rPr>
            </w:pPr>
            <w:r w:rsidRPr="00261C59">
              <w:rPr>
                <w:rFonts w:ascii="Calibri" w:hAnsi="Calibri"/>
                <w:color w:val="000000"/>
                <w:sz w:val="24"/>
                <w:szCs w:val="24"/>
              </w:rPr>
              <w:t>Independent Health and Aged Care Pricing Authority (IHACPA)</w:t>
            </w:r>
          </w:p>
        </w:tc>
        <w:tc>
          <w:tcPr>
            <w:tcW w:w="6236" w:type="dxa"/>
          </w:tcPr>
          <w:p w14:paraId="1C8B1DDB" w14:textId="77777777" w:rsidR="00B64A5D" w:rsidRPr="00261C59" w:rsidRDefault="00B64A5D" w:rsidP="00B64A5D">
            <w:pPr>
              <w:spacing w:before="40" w:after="40"/>
              <w:jc w:val="left"/>
              <w:rPr>
                <w:rFonts w:ascii="Calibri" w:hAnsi="Calibri"/>
                <w:sz w:val="24"/>
                <w:szCs w:val="24"/>
              </w:rPr>
            </w:pPr>
            <w:r w:rsidRPr="00261C59">
              <w:rPr>
                <w:rFonts w:ascii="Calibri" w:hAnsi="Calibri"/>
                <w:color w:val="000000" w:themeColor="text1"/>
                <w:sz w:val="24"/>
                <w:szCs w:val="24"/>
              </w:rPr>
              <w:t xml:space="preserve">Means the authority established under the </w:t>
            </w:r>
            <w:r w:rsidRPr="00261C59">
              <w:rPr>
                <w:rFonts w:ascii="Calibri" w:hAnsi="Calibri"/>
                <w:i/>
                <w:iCs/>
                <w:color w:val="000000" w:themeColor="text1"/>
                <w:sz w:val="24"/>
                <w:szCs w:val="24"/>
              </w:rPr>
              <w:t>National Health Reform Act 2011</w:t>
            </w:r>
            <w:r w:rsidRPr="00261C59">
              <w:rPr>
                <w:rFonts w:ascii="Calibri" w:hAnsi="Calibri"/>
                <w:color w:val="000000" w:themeColor="text1"/>
                <w:sz w:val="24"/>
                <w:szCs w:val="24"/>
              </w:rPr>
              <w:t xml:space="preserve"> to perform the functions set out in this Addendum, including in Schedule I.</w:t>
            </w:r>
          </w:p>
        </w:tc>
      </w:tr>
      <w:tr w:rsidR="00B64A5D" w:rsidRPr="00261C59" w14:paraId="49DD981A" w14:textId="77777777" w:rsidTr="004728D9">
        <w:tc>
          <w:tcPr>
            <w:tcW w:w="3295" w:type="dxa"/>
          </w:tcPr>
          <w:p w14:paraId="7FEC3EED"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Indigenous Data Sovereignty</w:t>
            </w:r>
          </w:p>
        </w:tc>
        <w:tc>
          <w:tcPr>
            <w:tcW w:w="6236" w:type="dxa"/>
          </w:tcPr>
          <w:p w14:paraId="25370030" w14:textId="2BBAF7AC" w:rsidR="00B64A5D" w:rsidRPr="00261C59" w:rsidRDefault="00B64A5D" w:rsidP="00B64A5D">
            <w:pPr>
              <w:spacing w:before="40" w:after="40"/>
              <w:jc w:val="left"/>
              <w:rPr>
                <w:rFonts w:ascii="Calibri" w:hAnsi="Calibri"/>
                <w:b/>
                <w:bCs/>
                <w:color w:val="000000"/>
                <w:sz w:val="24"/>
                <w:szCs w:val="24"/>
              </w:rPr>
            </w:pPr>
            <w:r w:rsidRPr="00261C59">
              <w:rPr>
                <w:rFonts w:ascii="Calibri" w:hAnsi="Calibri"/>
                <w:color w:val="000000" w:themeColor="text1"/>
                <w:sz w:val="24"/>
                <w:szCs w:val="24"/>
              </w:rPr>
              <w:t>Means the right of Aboriginal and Torres Strait Islander people, communities and organisations to maintain, control, protect, develop, and use data affecting self-determination. Five principles convey these rights to: </w:t>
            </w:r>
          </w:p>
          <w:p w14:paraId="4A0EEF1A" w14:textId="77777777" w:rsidR="00B64A5D" w:rsidRPr="00261C59" w:rsidRDefault="00B64A5D" w:rsidP="004728D9">
            <w:pPr>
              <w:numPr>
                <w:ilvl w:val="1"/>
                <w:numId w:val="47"/>
              </w:numPr>
              <w:tabs>
                <w:tab w:val="num" w:pos="1440"/>
              </w:tabs>
              <w:spacing w:before="40" w:after="40"/>
              <w:ind w:left="459" w:hanging="425"/>
              <w:jc w:val="left"/>
              <w:rPr>
                <w:rFonts w:ascii="Calibri" w:hAnsi="Calibri"/>
                <w:color w:val="000000"/>
                <w:sz w:val="24"/>
                <w:szCs w:val="24"/>
              </w:rPr>
            </w:pPr>
            <w:r w:rsidRPr="00261C59">
              <w:rPr>
                <w:rFonts w:ascii="Calibri" w:hAnsi="Calibri"/>
                <w:color w:val="000000"/>
                <w:sz w:val="24"/>
                <w:szCs w:val="24"/>
              </w:rPr>
              <w:t>Exercise control of the data ecosystem including creation, development, stewardship, analysis, dissemination and infrastructure. </w:t>
            </w:r>
          </w:p>
          <w:p w14:paraId="39F7A518" w14:textId="77777777" w:rsidR="00B64A5D" w:rsidRPr="00261C59" w:rsidRDefault="00B64A5D" w:rsidP="004728D9">
            <w:pPr>
              <w:numPr>
                <w:ilvl w:val="1"/>
                <w:numId w:val="47"/>
              </w:numPr>
              <w:tabs>
                <w:tab w:val="num" w:pos="1440"/>
              </w:tabs>
              <w:spacing w:before="40" w:after="40"/>
              <w:ind w:left="459" w:hanging="425"/>
              <w:jc w:val="left"/>
              <w:rPr>
                <w:rFonts w:ascii="Calibri" w:hAnsi="Calibri"/>
                <w:color w:val="000000"/>
                <w:sz w:val="24"/>
                <w:szCs w:val="24"/>
              </w:rPr>
            </w:pPr>
            <w:r w:rsidRPr="00261C59">
              <w:rPr>
                <w:rFonts w:ascii="Calibri" w:hAnsi="Calibri"/>
                <w:color w:val="000000"/>
                <w:sz w:val="24"/>
                <w:szCs w:val="24"/>
              </w:rPr>
              <w:t>Data that are contextual and disaggregated. </w:t>
            </w:r>
          </w:p>
          <w:p w14:paraId="6C854BBA" w14:textId="77777777" w:rsidR="00B64A5D" w:rsidRPr="00261C59" w:rsidRDefault="00B64A5D" w:rsidP="004728D9">
            <w:pPr>
              <w:numPr>
                <w:ilvl w:val="1"/>
                <w:numId w:val="47"/>
              </w:numPr>
              <w:tabs>
                <w:tab w:val="num" w:pos="1440"/>
              </w:tabs>
              <w:spacing w:before="40" w:after="40"/>
              <w:ind w:left="459" w:hanging="425"/>
              <w:jc w:val="left"/>
              <w:rPr>
                <w:rFonts w:ascii="Calibri" w:hAnsi="Calibri"/>
                <w:color w:val="000000"/>
                <w:sz w:val="24"/>
                <w:szCs w:val="24"/>
              </w:rPr>
            </w:pPr>
            <w:r w:rsidRPr="00261C59">
              <w:rPr>
                <w:rFonts w:ascii="Calibri" w:hAnsi="Calibri"/>
                <w:color w:val="000000"/>
                <w:sz w:val="24"/>
                <w:szCs w:val="24"/>
              </w:rPr>
              <w:t>Data that are relevant and empowers sustainable self-determination and effective self-governance. </w:t>
            </w:r>
          </w:p>
          <w:p w14:paraId="50B71FBF" w14:textId="579333C8" w:rsidR="00B64A5D" w:rsidRPr="00261C59" w:rsidRDefault="00B64A5D" w:rsidP="004728D9">
            <w:pPr>
              <w:numPr>
                <w:ilvl w:val="1"/>
                <w:numId w:val="47"/>
              </w:numPr>
              <w:tabs>
                <w:tab w:val="num" w:pos="1440"/>
              </w:tabs>
              <w:spacing w:before="40" w:after="40"/>
              <w:ind w:left="459" w:hanging="425"/>
              <w:jc w:val="left"/>
              <w:rPr>
                <w:rFonts w:ascii="Calibri" w:hAnsi="Calibri"/>
                <w:color w:val="000000"/>
                <w:sz w:val="24"/>
                <w:szCs w:val="24"/>
              </w:rPr>
            </w:pPr>
            <w:r w:rsidRPr="00261C59">
              <w:rPr>
                <w:rFonts w:ascii="Calibri" w:hAnsi="Calibri"/>
                <w:color w:val="000000"/>
                <w:sz w:val="24"/>
                <w:szCs w:val="24"/>
              </w:rPr>
              <w:t>Data structures that are accountable to Aboriginal and Torres Strait Islander people. </w:t>
            </w:r>
          </w:p>
          <w:p w14:paraId="1C49C1EC" w14:textId="77777777" w:rsidR="00B64A5D" w:rsidRPr="00261C59" w:rsidRDefault="00B64A5D" w:rsidP="004728D9">
            <w:pPr>
              <w:numPr>
                <w:ilvl w:val="1"/>
                <w:numId w:val="47"/>
              </w:numPr>
              <w:tabs>
                <w:tab w:val="num" w:pos="1440"/>
              </w:tabs>
              <w:spacing w:before="40" w:after="40"/>
              <w:ind w:left="459" w:hanging="425"/>
              <w:jc w:val="left"/>
              <w:rPr>
                <w:rFonts w:ascii="Calibri" w:hAnsi="Calibri"/>
                <w:color w:val="000000"/>
                <w:sz w:val="24"/>
                <w:szCs w:val="24"/>
              </w:rPr>
            </w:pPr>
            <w:r w:rsidRPr="00261C59">
              <w:rPr>
                <w:rFonts w:ascii="Calibri" w:hAnsi="Calibri"/>
                <w:color w:val="000000"/>
                <w:sz w:val="24"/>
                <w:szCs w:val="24"/>
              </w:rPr>
              <w:t>Data that are protective and respects our individual and collective interests. </w:t>
            </w:r>
          </w:p>
          <w:p w14:paraId="54A144EA" w14:textId="6827F919"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Indigenous Data Sovereignty guarantees that the rights of Indigenous peoples, their experiences, values and understanding are developed and reflected in any data and information gathered about Aboriginal and Torres Strait Islander people, communities and their knowledges. Indigenous Data Sovereignty is practiced through Indigenous data governance. </w:t>
            </w:r>
          </w:p>
        </w:tc>
      </w:tr>
      <w:tr w:rsidR="00B64A5D" w:rsidRPr="00261C59" w14:paraId="5BA1AB97" w14:textId="77777777" w:rsidTr="004728D9">
        <w:tc>
          <w:tcPr>
            <w:tcW w:w="3295" w:type="dxa"/>
          </w:tcPr>
          <w:p w14:paraId="55210824"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Ineligible person</w:t>
            </w:r>
          </w:p>
        </w:tc>
        <w:tc>
          <w:tcPr>
            <w:tcW w:w="6236" w:type="dxa"/>
          </w:tcPr>
          <w:p w14:paraId="6F424017"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any person who is not an eligible person.</w:t>
            </w:r>
          </w:p>
        </w:tc>
      </w:tr>
      <w:tr w:rsidR="00B64A5D" w:rsidRPr="00261C59" w14:paraId="7D862150" w14:textId="77777777" w:rsidTr="004728D9">
        <w:trPr>
          <w:cantSplit/>
        </w:trPr>
        <w:tc>
          <w:tcPr>
            <w:tcW w:w="3295" w:type="dxa"/>
          </w:tcPr>
          <w:p w14:paraId="644095CC"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Informed financial consent</w:t>
            </w:r>
          </w:p>
        </w:tc>
        <w:tc>
          <w:tcPr>
            <w:tcW w:w="6236" w:type="dxa"/>
          </w:tcPr>
          <w:p w14:paraId="1CBF9A10"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Means the provision of cost information to patients, (including any likely out-of-pocket expenses), by a doctor or other health service provider, preferably in writing, about a proposed treatment or admission to hospital or health service.</w:t>
            </w:r>
          </w:p>
        </w:tc>
      </w:tr>
      <w:tr w:rsidR="00B64A5D" w:rsidRPr="00261C59" w14:paraId="123F5FA9" w14:textId="77777777" w:rsidTr="004728D9">
        <w:trPr>
          <w:cantSplit/>
        </w:trPr>
        <w:tc>
          <w:tcPr>
            <w:tcW w:w="3295" w:type="dxa"/>
          </w:tcPr>
          <w:p w14:paraId="1DB90189" w14:textId="02533E26"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Input contribution rate</w:t>
            </w:r>
          </w:p>
        </w:tc>
        <w:tc>
          <w:tcPr>
            <w:tcW w:w="6236" w:type="dxa"/>
          </w:tcPr>
          <w:p w14:paraId="5D7CA7D4"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sz w:val="24"/>
                <w:szCs w:val="24"/>
              </w:rPr>
              <w:t>Means the percentage amount the Commonwealth will fund for the delivery of public hospital and health services delivered under this Addendum, subject to the application of the funding cap. The rate for different services may vary each year in accordance with the glide path and other funding arrangements set out in this Addendum.</w:t>
            </w:r>
          </w:p>
        </w:tc>
      </w:tr>
      <w:tr w:rsidR="00B64A5D" w:rsidRPr="00261C59" w14:paraId="065CEFE3" w14:textId="77777777" w:rsidTr="004728D9">
        <w:trPr>
          <w:cantSplit/>
        </w:trPr>
        <w:tc>
          <w:tcPr>
            <w:tcW w:w="3295" w:type="dxa"/>
          </w:tcPr>
          <w:p w14:paraId="2445A299"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In-scope service</w:t>
            </w:r>
          </w:p>
        </w:tc>
        <w:tc>
          <w:tcPr>
            <w:tcW w:w="6236" w:type="dxa"/>
          </w:tcPr>
          <w:p w14:paraId="1E7B9702"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Means public hospital and health services that are eligible to receive a Commonwealth funding contribution under this Addendum, listed in the General List, or subcomponent thereof, as determined by IHACPA.</w:t>
            </w:r>
          </w:p>
        </w:tc>
      </w:tr>
      <w:tr w:rsidR="00B64A5D" w:rsidRPr="00261C59" w14:paraId="2B609B95" w14:textId="77777777" w:rsidTr="004728D9">
        <w:trPr>
          <w:cantSplit/>
        </w:trPr>
        <w:tc>
          <w:tcPr>
            <w:tcW w:w="3295" w:type="dxa"/>
          </w:tcPr>
          <w:p w14:paraId="366B87DF"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Interoperability</w:t>
            </w:r>
          </w:p>
        </w:tc>
        <w:tc>
          <w:tcPr>
            <w:tcW w:w="6236" w:type="dxa"/>
          </w:tcPr>
          <w:p w14:paraId="56483686"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Means information can move easily between people, organisations, and systems. It enables a connected healthcare system that shares health information securely, safely and without any special effort from the people and organisations involved. There are three layers where interoperability should be considered: external to an organisation, internal to an organisation and at the point of care. </w:t>
            </w:r>
          </w:p>
        </w:tc>
      </w:tr>
      <w:tr w:rsidR="00B64A5D" w:rsidRPr="00261C59" w14:paraId="4161DAF4" w14:textId="77777777" w:rsidTr="004728D9">
        <w:trPr>
          <w:cantSplit/>
        </w:trPr>
        <w:tc>
          <w:tcPr>
            <w:tcW w:w="3295" w:type="dxa"/>
          </w:tcPr>
          <w:p w14:paraId="343D61FF"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 xml:space="preserve">Joint Council </w:t>
            </w:r>
          </w:p>
        </w:tc>
        <w:tc>
          <w:tcPr>
            <w:tcW w:w="6236" w:type="dxa"/>
          </w:tcPr>
          <w:p w14:paraId="31E53653"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 xml:space="preserve">Means the group that supports the national leadership, coordination and cooperation for the National Agreement on Closing the Gap. Joint Council has two co-chairs, namely a government minister with responsibility allocated on a rotational basis and an Aboriginal and Torres Strait Islander representative nominated by Coalition of the Peaks, with broad geographic and subject matter coverage. </w:t>
            </w:r>
          </w:p>
        </w:tc>
      </w:tr>
      <w:tr w:rsidR="00B64A5D" w:rsidRPr="00261C59" w14:paraId="7AD0B047" w14:textId="77777777" w:rsidTr="004728D9">
        <w:trPr>
          <w:cantSplit/>
        </w:trPr>
        <w:tc>
          <w:tcPr>
            <w:tcW w:w="3295" w:type="dxa"/>
          </w:tcPr>
          <w:p w14:paraId="6219A372" w14:textId="77777777" w:rsidR="00B64A5D" w:rsidRPr="00261C59" w:rsidDel="0072072D" w:rsidRDefault="00B64A5D" w:rsidP="00B64A5D">
            <w:pPr>
              <w:spacing w:before="40" w:after="40"/>
              <w:jc w:val="left"/>
              <w:rPr>
                <w:rFonts w:ascii="Calibri" w:hAnsi="Calibri"/>
                <w:sz w:val="24"/>
                <w:szCs w:val="24"/>
              </w:rPr>
            </w:pPr>
            <w:r w:rsidRPr="00261C59">
              <w:rPr>
                <w:rFonts w:ascii="Calibri" w:hAnsi="Calibri"/>
                <w:color w:val="000000"/>
                <w:sz w:val="24"/>
                <w:szCs w:val="24"/>
              </w:rPr>
              <w:t xml:space="preserve">Local Hospital Network </w:t>
            </w:r>
          </w:p>
        </w:tc>
        <w:tc>
          <w:tcPr>
            <w:tcW w:w="6236" w:type="dxa"/>
          </w:tcPr>
          <w:p w14:paraId="0CA04055" w14:textId="77777777" w:rsidR="00B64A5D" w:rsidRPr="00261C59" w:rsidDel="0072072D" w:rsidRDefault="00B64A5D" w:rsidP="00B64A5D">
            <w:pPr>
              <w:spacing w:before="40" w:after="40"/>
              <w:jc w:val="left"/>
              <w:rPr>
                <w:rFonts w:ascii="Calibri" w:hAnsi="Calibri"/>
                <w:sz w:val="24"/>
                <w:szCs w:val="24"/>
              </w:rPr>
            </w:pPr>
            <w:r w:rsidRPr="00261C59">
              <w:rPr>
                <w:rFonts w:ascii="Calibri" w:hAnsi="Calibri"/>
                <w:color w:val="000000" w:themeColor="text1"/>
                <w:sz w:val="24"/>
                <w:szCs w:val="24"/>
              </w:rPr>
              <w:t xml:space="preserve">Means an organisation established in accordance with Schedule E and providing public hospital and health services.  </w:t>
            </w:r>
          </w:p>
        </w:tc>
      </w:tr>
      <w:tr w:rsidR="00B64A5D" w:rsidRPr="00261C59" w14:paraId="61BF550B" w14:textId="77777777" w:rsidTr="004728D9">
        <w:trPr>
          <w:cantSplit/>
        </w:trPr>
        <w:tc>
          <w:tcPr>
            <w:tcW w:w="3295" w:type="dxa"/>
          </w:tcPr>
          <w:p w14:paraId="330784DC"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Low-value care</w:t>
            </w:r>
          </w:p>
        </w:tc>
        <w:tc>
          <w:tcPr>
            <w:tcW w:w="6236" w:type="dxa"/>
          </w:tcPr>
          <w:p w14:paraId="4280C982"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 xml:space="preserve">Means care (events, procedures and/or pathways) with low or no benefit to that specific patient, or unacceptably high risk to that specific patient, based on best available clinical evidence and/or patient outcomes.  </w:t>
            </w:r>
          </w:p>
        </w:tc>
      </w:tr>
      <w:tr w:rsidR="00B64A5D" w:rsidRPr="00261C59" w14:paraId="68514858" w14:textId="77777777" w:rsidTr="004728D9">
        <w:trPr>
          <w:cantSplit/>
        </w:trPr>
        <w:tc>
          <w:tcPr>
            <w:tcW w:w="3295" w:type="dxa"/>
          </w:tcPr>
          <w:p w14:paraId="042E7884"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Low-value care list</w:t>
            </w:r>
          </w:p>
        </w:tc>
        <w:tc>
          <w:tcPr>
            <w:tcW w:w="6236" w:type="dxa"/>
          </w:tcPr>
          <w:p w14:paraId="05D21A8D"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Means the list of low-value care events, pathways, and associated specific patient criteria, that will be developed and maintained by the ACSQHC and will be subject to a pricing adjustment as determined by IHACPA.</w:t>
            </w:r>
          </w:p>
        </w:tc>
      </w:tr>
      <w:tr w:rsidR="00B64A5D" w:rsidRPr="00261C59" w14:paraId="5117598E" w14:textId="77777777" w:rsidTr="004728D9">
        <w:trPr>
          <w:cantSplit/>
        </w:trPr>
        <w:tc>
          <w:tcPr>
            <w:tcW w:w="3295" w:type="dxa"/>
          </w:tcPr>
          <w:p w14:paraId="11514FDB"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Medical Services Advisory Committee (MSAC)</w:t>
            </w:r>
          </w:p>
        </w:tc>
        <w:tc>
          <w:tcPr>
            <w:tcW w:w="6236" w:type="dxa"/>
          </w:tcPr>
          <w:p w14:paraId="77715002"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 xml:space="preserve">Means the independent non-statutory committee established by the Australian Government that provides advice on evidence relating to the safety, efficacy and cost-effectiveness of new medical technologies and procedures. </w:t>
            </w:r>
          </w:p>
        </w:tc>
      </w:tr>
      <w:tr w:rsidR="00B64A5D" w:rsidRPr="00261C59" w14:paraId="3488B6E8" w14:textId="77777777" w:rsidTr="004728D9">
        <w:trPr>
          <w:cantSplit/>
        </w:trPr>
        <w:tc>
          <w:tcPr>
            <w:tcW w:w="3295" w:type="dxa"/>
          </w:tcPr>
          <w:p w14:paraId="07D38E1B" w14:textId="77777777" w:rsidR="00B64A5D" w:rsidRPr="00261C59" w:rsidDel="0072072D" w:rsidRDefault="00B64A5D" w:rsidP="00B64A5D">
            <w:pPr>
              <w:spacing w:before="40" w:after="40"/>
              <w:jc w:val="left"/>
              <w:rPr>
                <w:rFonts w:ascii="Calibri" w:hAnsi="Calibri"/>
                <w:sz w:val="24"/>
                <w:szCs w:val="24"/>
              </w:rPr>
            </w:pPr>
            <w:r w:rsidRPr="00261C59">
              <w:rPr>
                <w:rFonts w:ascii="Calibri" w:hAnsi="Calibri"/>
                <w:color w:val="000000"/>
                <w:sz w:val="24"/>
                <w:szCs w:val="24"/>
              </w:rPr>
              <w:t>Medicare Benefits Schedule (MBS)</w:t>
            </w:r>
          </w:p>
        </w:tc>
        <w:tc>
          <w:tcPr>
            <w:tcW w:w="6236" w:type="dxa"/>
          </w:tcPr>
          <w:p w14:paraId="59FF5C67" w14:textId="77777777" w:rsidR="00B64A5D" w:rsidRPr="00261C59" w:rsidDel="0072072D" w:rsidRDefault="00B64A5D" w:rsidP="00B64A5D">
            <w:pPr>
              <w:spacing w:before="40" w:after="40"/>
              <w:jc w:val="left"/>
              <w:rPr>
                <w:rFonts w:ascii="Calibri" w:hAnsi="Calibri"/>
                <w:sz w:val="24"/>
                <w:szCs w:val="24"/>
              </w:rPr>
            </w:pPr>
            <w:r w:rsidRPr="00261C59">
              <w:rPr>
                <w:rFonts w:ascii="Calibri" w:hAnsi="Calibri"/>
                <w:color w:val="000000" w:themeColor="text1"/>
                <w:sz w:val="24"/>
                <w:szCs w:val="24"/>
              </w:rPr>
              <w:t xml:space="preserve">Means the list of services subsidised by the Commonwealth in accordance with Part II of the </w:t>
            </w:r>
            <w:r w:rsidRPr="00261C59">
              <w:rPr>
                <w:rFonts w:ascii="Calibri" w:hAnsi="Calibri"/>
                <w:i/>
                <w:iCs/>
                <w:color w:val="000000" w:themeColor="text1"/>
                <w:sz w:val="24"/>
                <w:szCs w:val="24"/>
              </w:rPr>
              <w:t>Health Insurance Act 1973</w:t>
            </w:r>
            <w:r w:rsidRPr="00261C59">
              <w:rPr>
                <w:rFonts w:ascii="Calibri" w:hAnsi="Calibri"/>
                <w:color w:val="000000" w:themeColor="text1"/>
                <w:sz w:val="24"/>
                <w:szCs w:val="24"/>
              </w:rPr>
              <w:t>.</w:t>
            </w:r>
          </w:p>
        </w:tc>
      </w:tr>
      <w:tr w:rsidR="00B64A5D" w:rsidRPr="00261C59" w14:paraId="70693A6C" w14:textId="77777777" w:rsidTr="004728D9">
        <w:tc>
          <w:tcPr>
            <w:tcW w:w="3295" w:type="dxa"/>
          </w:tcPr>
          <w:p w14:paraId="7BDDB3CD" w14:textId="77777777" w:rsidR="00B64A5D" w:rsidRPr="00261C59" w:rsidDel="0072072D" w:rsidRDefault="00B64A5D" w:rsidP="00B64A5D">
            <w:pPr>
              <w:spacing w:before="40" w:after="40"/>
              <w:jc w:val="left"/>
              <w:rPr>
                <w:rFonts w:ascii="Calibri" w:hAnsi="Calibri"/>
                <w:sz w:val="24"/>
                <w:szCs w:val="24"/>
              </w:rPr>
            </w:pPr>
            <w:r w:rsidRPr="00261C59">
              <w:rPr>
                <w:rFonts w:ascii="Calibri" w:hAnsi="Calibri"/>
                <w:color w:val="000000"/>
                <w:sz w:val="24"/>
                <w:szCs w:val="24"/>
              </w:rPr>
              <w:t>Medicare Principles</w:t>
            </w:r>
          </w:p>
        </w:tc>
        <w:tc>
          <w:tcPr>
            <w:tcW w:w="6236" w:type="dxa"/>
          </w:tcPr>
          <w:p w14:paraId="0347B14B" w14:textId="06A81D9C" w:rsidR="00B64A5D" w:rsidRPr="00261C59" w:rsidDel="0072072D" w:rsidRDefault="00B64A5D" w:rsidP="00B64A5D">
            <w:pPr>
              <w:spacing w:before="40" w:after="40"/>
              <w:jc w:val="left"/>
              <w:rPr>
                <w:rFonts w:ascii="Calibri" w:hAnsi="Calibri"/>
                <w:sz w:val="24"/>
                <w:szCs w:val="24"/>
              </w:rPr>
            </w:pPr>
            <w:r w:rsidRPr="00261C59">
              <w:rPr>
                <w:rFonts w:ascii="Calibri" w:hAnsi="Calibri"/>
                <w:color w:val="000000"/>
                <w:sz w:val="24"/>
                <w:szCs w:val="24"/>
              </w:rPr>
              <w:t xml:space="preserve">Means the principles set out in clause </w:t>
            </w:r>
            <w:r w:rsidR="00BE6183" w:rsidRPr="00261C59">
              <w:rPr>
                <w:rFonts w:ascii="Calibri" w:hAnsi="Calibri"/>
                <w:color w:val="000000"/>
                <w:sz w:val="24"/>
                <w:szCs w:val="24"/>
              </w:rPr>
              <w:t>21</w:t>
            </w:r>
            <w:r w:rsidRPr="00261C59">
              <w:rPr>
                <w:rFonts w:ascii="Calibri" w:hAnsi="Calibri"/>
                <w:color w:val="000000"/>
                <w:sz w:val="24"/>
                <w:szCs w:val="24"/>
              </w:rPr>
              <w:t xml:space="preserve"> of this Addendum.</w:t>
            </w:r>
          </w:p>
        </w:tc>
      </w:tr>
      <w:tr w:rsidR="00B64A5D" w:rsidRPr="00261C59" w14:paraId="3E468776" w14:textId="77777777" w:rsidTr="004728D9">
        <w:tc>
          <w:tcPr>
            <w:tcW w:w="3295" w:type="dxa"/>
          </w:tcPr>
          <w:p w14:paraId="0FF33993"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Minimum funding guarantee (MFG)</w:t>
            </w:r>
          </w:p>
        </w:tc>
        <w:tc>
          <w:tcPr>
            <w:tcW w:w="6236" w:type="dxa"/>
          </w:tcPr>
          <w:p w14:paraId="00F47C05"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 xml:space="preserve">Means the minimum Commonwealth funding entitlement for a State for a given year, calculated in accordance with this Addendum. </w:t>
            </w:r>
          </w:p>
        </w:tc>
      </w:tr>
      <w:tr w:rsidR="00B64A5D" w:rsidRPr="00261C59" w14:paraId="79074260" w14:textId="77777777" w:rsidTr="004728D9">
        <w:tc>
          <w:tcPr>
            <w:tcW w:w="3295" w:type="dxa"/>
          </w:tcPr>
          <w:p w14:paraId="32C783D3"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National Aboriginal Community Controlled Health Organisation (NACCHO)</w:t>
            </w:r>
          </w:p>
        </w:tc>
        <w:tc>
          <w:tcPr>
            <w:tcW w:w="6236" w:type="dxa"/>
          </w:tcPr>
          <w:p w14:paraId="2B18FF4F" w14:textId="180E4BEC"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Means the national community-controlled peak body for Aboriginal and Torres Strait Islander people</w:t>
            </w:r>
            <w:r w:rsidR="00E91FEA">
              <w:rPr>
                <w:rFonts w:ascii="Calibri" w:hAnsi="Calibri"/>
                <w:color w:val="000000" w:themeColor="text1"/>
                <w:sz w:val="24"/>
                <w:szCs w:val="24"/>
              </w:rPr>
              <w:t>’</w:t>
            </w:r>
            <w:r w:rsidRPr="00261C59">
              <w:rPr>
                <w:rFonts w:ascii="Calibri" w:hAnsi="Calibri"/>
                <w:color w:val="000000" w:themeColor="text1"/>
                <w:sz w:val="24"/>
                <w:szCs w:val="24"/>
              </w:rPr>
              <w:t>s health and wellbeing operating at national level to co-design and provide guidance to the Australian Government on policy and budget matters while advocating for community-developed health solutions that contribute to the quality of life and improved health outcomes for Aboriginal and Torres Strait Islander people. Almost all ACCHOs in Australia are NACCHO Members. NACCHO contributes significantly to closing the gap in health outcomes between Aboriginal and Torres Strait Islander people and other Australians. </w:t>
            </w:r>
          </w:p>
        </w:tc>
      </w:tr>
      <w:tr w:rsidR="00B64A5D" w:rsidRPr="00261C59" w14:paraId="012625D7" w14:textId="77777777" w:rsidTr="00F36330">
        <w:tc>
          <w:tcPr>
            <w:tcW w:w="3295" w:type="dxa"/>
          </w:tcPr>
          <w:p w14:paraId="6464FE65" w14:textId="3E4ABB59" w:rsidR="00B64A5D" w:rsidRPr="00261C59" w:rsidRDefault="00B64A5D" w:rsidP="00B64A5D">
            <w:pPr>
              <w:spacing w:before="40" w:after="40"/>
              <w:jc w:val="left"/>
              <w:rPr>
                <w:rFonts w:ascii="Calibri" w:hAnsi="Calibri"/>
                <w:color w:val="000000"/>
                <w:sz w:val="24"/>
                <w:szCs w:val="24"/>
              </w:rPr>
            </w:pPr>
            <w:r w:rsidRPr="00261C59">
              <w:rPr>
                <w:rFonts w:ascii="Calibri" w:hAnsi="Calibri"/>
                <w:sz w:val="24"/>
                <w:szCs w:val="24"/>
              </w:rPr>
              <w:t>National bodies</w:t>
            </w:r>
          </w:p>
        </w:tc>
        <w:tc>
          <w:tcPr>
            <w:tcW w:w="6236" w:type="dxa"/>
          </w:tcPr>
          <w:p w14:paraId="118046BB" w14:textId="54021581" w:rsidR="00B64A5D" w:rsidRPr="00261C59" w:rsidRDefault="00B64A5D" w:rsidP="00B64A5D">
            <w:pPr>
              <w:spacing w:before="40" w:after="40"/>
              <w:jc w:val="left"/>
              <w:rPr>
                <w:rFonts w:ascii="Calibri" w:hAnsi="Calibri"/>
                <w:color w:val="000000" w:themeColor="text1"/>
                <w:sz w:val="24"/>
                <w:szCs w:val="24"/>
              </w:rPr>
            </w:pPr>
            <w:r w:rsidRPr="00261C59">
              <w:rPr>
                <w:rFonts w:ascii="Calibri" w:hAnsi="Calibri"/>
                <w:sz w:val="24"/>
                <w:szCs w:val="24"/>
              </w:rPr>
              <w:t>Means the functions and bodies established and existing from time to time for the purposes of implementing the Addendum, including, without limitation, the Administrator, the National Health Funding Body, the Independent Health and Aged Care Pricing Authority and the Australian Commission on Safety and Quality in Health Care.</w:t>
            </w:r>
          </w:p>
        </w:tc>
      </w:tr>
      <w:tr w:rsidR="00B64A5D" w:rsidRPr="00261C59" w14:paraId="4C12CEBB" w14:textId="77777777" w:rsidTr="004728D9">
        <w:tc>
          <w:tcPr>
            <w:tcW w:w="3295" w:type="dxa"/>
          </w:tcPr>
          <w:p w14:paraId="268A646C" w14:textId="4A0AA54E"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 xml:space="preserve">Nation Building </w:t>
            </w:r>
          </w:p>
        </w:tc>
        <w:tc>
          <w:tcPr>
            <w:tcW w:w="6236" w:type="dxa"/>
          </w:tcPr>
          <w:p w14:paraId="263B4D57"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Means the efforts enhancing Aboriginal and Torres Strait Islander people’s capacities for self-governance and self-determined economic development and, according to the Social Justice Report (2014), is achieved when local Aboriginal and Torres Strait Islander people, Nations, communities, authorities and organisations have power and control over decision making and resources.</w:t>
            </w:r>
          </w:p>
        </w:tc>
      </w:tr>
      <w:tr w:rsidR="00B64A5D" w:rsidRPr="00261C59" w14:paraId="3D2D44B9" w14:textId="77777777" w:rsidTr="004728D9">
        <w:tc>
          <w:tcPr>
            <w:tcW w:w="3295" w:type="dxa"/>
          </w:tcPr>
          <w:p w14:paraId="0891CAC2"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National Cabinet</w:t>
            </w:r>
          </w:p>
        </w:tc>
        <w:tc>
          <w:tcPr>
            <w:tcW w:w="6236" w:type="dxa"/>
          </w:tcPr>
          <w:p w14:paraId="5C1C1A64"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Means the peak intergovernmental forum in Australia, comprising the Prime Minister, State Premiers and Territory Chief Ministers.</w:t>
            </w:r>
          </w:p>
        </w:tc>
      </w:tr>
      <w:tr w:rsidR="00B64A5D" w:rsidRPr="00261C59" w14:paraId="502BD31D" w14:textId="77777777" w:rsidTr="004728D9">
        <w:tc>
          <w:tcPr>
            <w:tcW w:w="3295" w:type="dxa"/>
          </w:tcPr>
          <w:p w14:paraId="0CB2313F" w14:textId="77777777" w:rsidR="00B64A5D" w:rsidRPr="00261C59" w:rsidRDefault="00B64A5D" w:rsidP="00B64A5D">
            <w:pPr>
              <w:keepLines/>
              <w:spacing w:before="40" w:after="40"/>
              <w:jc w:val="left"/>
              <w:rPr>
                <w:rFonts w:ascii="Calibri" w:hAnsi="Calibri"/>
                <w:sz w:val="24"/>
                <w:szCs w:val="24"/>
              </w:rPr>
            </w:pPr>
            <w:r w:rsidRPr="00261C59">
              <w:rPr>
                <w:rFonts w:ascii="Calibri" w:hAnsi="Calibri"/>
                <w:sz w:val="24"/>
                <w:szCs w:val="24"/>
              </w:rPr>
              <w:t>National efficient cost (NEC)</w:t>
            </w:r>
          </w:p>
        </w:tc>
        <w:tc>
          <w:tcPr>
            <w:tcW w:w="6236" w:type="dxa"/>
          </w:tcPr>
          <w:p w14:paraId="2B17EEAB" w14:textId="77777777" w:rsidR="00B64A5D" w:rsidRPr="00261C59" w:rsidRDefault="00B64A5D" w:rsidP="00B64A5D">
            <w:pPr>
              <w:keepLines/>
              <w:spacing w:before="40" w:after="40"/>
              <w:jc w:val="left"/>
              <w:rPr>
                <w:rFonts w:ascii="Calibri" w:hAnsi="Calibri"/>
                <w:sz w:val="24"/>
                <w:szCs w:val="24"/>
              </w:rPr>
            </w:pPr>
            <w:r w:rsidRPr="00261C59">
              <w:rPr>
                <w:rFonts w:ascii="Calibri" w:hAnsi="Calibri"/>
                <w:sz w:val="24"/>
                <w:szCs w:val="24"/>
              </w:rPr>
              <w:t>Means the model that underpins funding for services that are not suitable be funded based on activity such as small rural hospitals. The national efficient cost determines the Commonwealth’s funding contribution to the block funding stream.</w:t>
            </w:r>
          </w:p>
        </w:tc>
      </w:tr>
      <w:tr w:rsidR="00B64A5D" w:rsidRPr="00261C59" w14:paraId="539B4B78" w14:textId="77777777" w:rsidTr="004728D9">
        <w:tc>
          <w:tcPr>
            <w:tcW w:w="3295" w:type="dxa"/>
          </w:tcPr>
          <w:p w14:paraId="3C4ED3D4"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National efficient price (NEP)</w:t>
            </w:r>
          </w:p>
        </w:tc>
        <w:tc>
          <w:tcPr>
            <w:tcW w:w="6236" w:type="dxa"/>
          </w:tcPr>
          <w:p w14:paraId="3721531E"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the base price(s) which will be determined by the IHACPA and applied to those services funded based on activity for the purpose of determining the amount of Commonwealth funding to be provided to Local Hospital Networks. The IHACPA may determine that there are different base prices for discrete categories of treatment, (for example admitted care, sub-acute care, non-admitted emergency department care and outpatient care.</w:t>
            </w:r>
          </w:p>
          <w:p w14:paraId="147E7D58"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If there are multiple national efficient prices, the IHACPA will determine which national efficient price applies.</w:t>
            </w:r>
          </w:p>
        </w:tc>
      </w:tr>
      <w:tr w:rsidR="00B64A5D" w:rsidRPr="00261C59" w14:paraId="2A088C69" w14:textId="77777777" w:rsidTr="004728D9">
        <w:trPr>
          <w:cantSplit/>
        </w:trPr>
        <w:tc>
          <w:tcPr>
            <w:tcW w:w="3295" w:type="dxa"/>
          </w:tcPr>
          <w:p w14:paraId="7EF4A5F8"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National Funding Model</w:t>
            </w:r>
          </w:p>
        </w:tc>
        <w:tc>
          <w:tcPr>
            <w:tcW w:w="6236" w:type="dxa"/>
          </w:tcPr>
          <w:p w14:paraId="0A900CEA" w14:textId="4667D092"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 xml:space="preserve">Means the calculation, payment and reconciliation of Commonwealth national health reform funding entitlements for public hospital and health services, by the Administrator of the National Health Funding Pool (Administrator) applying the agreed methodology, business rules and policies set out in this Addendum. This is calculated using State-reported service delivery, the IHACPA’s National Efficient Price and National Efficient Cost determinations, and other inputs related to the Service Model Reform Funding stream. </w:t>
            </w:r>
          </w:p>
          <w:p w14:paraId="534C1D30"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 xml:space="preserve">The agreed methodology, business rules and policies include the activity-based funding formula, the Administrator’s calculation of Commonwealth national health reform funding and associated operational documents, IHACPA's Pricing Framework and National Pricing Model specifications, classification systems, counting rules, data, coding and costing standards. </w:t>
            </w:r>
          </w:p>
        </w:tc>
      </w:tr>
      <w:tr w:rsidR="00B64A5D" w:rsidRPr="00261C59" w14:paraId="2EC4AF03" w14:textId="77777777" w:rsidTr="004728D9">
        <w:trPr>
          <w:cantSplit/>
        </w:trPr>
        <w:tc>
          <w:tcPr>
            <w:tcW w:w="3295" w:type="dxa"/>
          </w:tcPr>
          <w:p w14:paraId="24FF670C"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National healthcare specific purpose payment (SPP) growth factor</w:t>
            </w:r>
          </w:p>
        </w:tc>
        <w:tc>
          <w:tcPr>
            <w:tcW w:w="6236" w:type="dxa"/>
          </w:tcPr>
          <w:p w14:paraId="7520F519"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 xml:space="preserve">Means the product of: </w:t>
            </w:r>
          </w:p>
          <w:p w14:paraId="0C67B3B3" w14:textId="77777777" w:rsidR="00B64A5D" w:rsidRPr="00261C59" w:rsidRDefault="00B64A5D" w:rsidP="00B64A5D">
            <w:pPr>
              <w:pStyle w:val="ListParagraph"/>
              <w:keepLines/>
              <w:numPr>
                <w:ilvl w:val="0"/>
                <w:numId w:val="40"/>
              </w:numPr>
              <w:tabs>
                <w:tab w:val="clear" w:pos="851"/>
              </w:tabs>
              <w:spacing w:before="40" w:after="40"/>
              <w:jc w:val="left"/>
              <w:rPr>
                <w:rFonts w:ascii="Calibri" w:hAnsi="Calibri"/>
                <w:sz w:val="24"/>
                <w:szCs w:val="24"/>
              </w:rPr>
            </w:pPr>
            <w:r w:rsidRPr="00261C59">
              <w:rPr>
                <w:rFonts w:ascii="Calibri" w:hAnsi="Calibri"/>
                <w:sz w:val="24"/>
                <w:szCs w:val="24"/>
              </w:rPr>
              <w:t>a health specific cost index (a five-year average of the Australian Institute of Health and Welfare health price index),</w:t>
            </w:r>
          </w:p>
          <w:p w14:paraId="016597FF" w14:textId="77777777" w:rsidR="00B64A5D" w:rsidRPr="00261C59" w:rsidRDefault="00B64A5D" w:rsidP="00B64A5D">
            <w:pPr>
              <w:pStyle w:val="ListParagraph"/>
              <w:keepLines/>
              <w:numPr>
                <w:ilvl w:val="0"/>
                <w:numId w:val="40"/>
              </w:numPr>
              <w:tabs>
                <w:tab w:val="clear" w:pos="851"/>
              </w:tabs>
              <w:spacing w:before="40" w:after="40"/>
              <w:jc w:val="left"/>
              <w:rPr>
                <w:rFonts w:ascii="Calibri" w:hAnsi="Calibri"/>
                <w:sz w:val="24"/>
                <w:szCs w:val="24"/>
              </w:rPr>
            </w:pPr>
            <w:r w:rsidRPr="00261C59">
              <w:rPr>
                <w:rFonts w:ascii="Calibri" w:hAnsi="Calibri"/>
                <w:sz w:val="24"/>
                <w:szCs w:val="24"/>
              </w:rPr>
              <w:t>growth in population estimates weighted for hospital utilisation, and</w:t>
            </w:r>
          </w:p>
          <w:p w14:paraId="3184CD6E" w14:textId="77777777" w:rsidR="00B64A5D" w:rsidRPr="00261C59" w:rsidRDefault="00B64A5D" w:rsidP="00B64A5D">
            <w:pPr>
              <w:pStyle w:val="ListParagraph"/>
              <w:keepLines/>
              <w:numPr>
                <w:ilvl w:val="0"/>
                <w:numId w:val="40"/>
              </w:numPr>
              <w:tabs>
                <w:tab w:val="clear" w:pos="851"/>
              </w:tabs>
              <w:spacing w:before="40" w:after="40"/>
              <w:jc w:val="left"/>
              <w:rPr>
                <w:rFonts w:ascii="Calibri" w:hAnsi="Calibri"/>
                <w:sz w:val="24"/>
                <w:szCs w:val="24"/>
              </w:rPr>
            </w:pPr>
            <w:r w:rsidRPr="00261C59">
              <w:rPr>
                <w:rFonts w:ascii="Calibri" w:hAnsi="Calibri"/>
                <w:sz w:val="24"/>
                <w:szCs w:val="24"/>
              </w:rPr>
              <w:t xml:space="preserve">a technology factor (Productivity Commission derived index of technology growth). </w:t>
            </w:r>
          </w:p>
          <w:p w14:paraId="4EC9CCDA"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Source:</w:t>
            </w:r>
            <w:r w:rsidRPr="00261C59">
              <w:rPr>
                <w:rFonts w:ascii="Calibri" w:hAnsi="Calibri"/>
                <w:i/>
                <w:iCs/>
                <w:sz w:val="24"/>
                <w:szCs w:val="24"/>
              </w:rPr>
              <w:t xml:space="preserve"> Schedule D of the Intergovernmental Agreement on Federal Financial Relations</w:t>
            </w:r>
          </w:p>
        </w:tc>
      </w:tr>
      <w:tr w:rsidR="00B64A5D" w:rsidRPr="00261C59" w14:paraId="7433A1A5" w14:textId="77777777" w:rsidTr="004728D9">
        <w:tc>
          <w:tcPr>
            <w:tcW w:w="3295" w:type="dxa"/>
          </w:tcPr>
          <w:p w14:paraId="4A7ABFC9" w14:textId="77777777" w:rsidR="00B64A5D" w:rsidRPr="00261C59" w:rsidRDefault="00B64A5D" w:rsidP="00B64A5D">
            <w:pPr>
              <w:keepLines/>
              <w:spacing w:before="40" w:after="40"/>
              <w:jc w:val="left"/>
              <w:rPr>
                <w:rFonts w:ascii="Calibri" w:hAnsi="Calibri"/>
                <w:sz w:val="24"/>
                <w:szCs w:val="24"/>
              </w:rPr>
            </w:pPr>
            <w:r w:rsidRPr="00261C59">
              <w:rPr>
                <w:rFonts w:ascii="Calibri" w:hAnsi="Calibri"/>
                <w:sz w:val="24"/>
                <w:szCs w:val="24"/>
              </w:rPr>
              <w:t>National Health Data Dictionary</w:t>
            </w:r>
          </w:p>
        </w:tc>
        <w:tc>
          <w:tcPr>
            <w:tcW w:w="6236" w:type="dxa"/>
          </w:tcPr>
          <w:p w14:paraId="621C569D"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the publication (in hard copy and/or the internet) containing the Australian National Standard of Data Definitions recommended for use in Australian health data collections; and the National Minimum Data Sets agreed for mandatory collection and reporting at a national level.</w:t>
            </w:r>
          </w:p>
        </w:tc>
      </w:tr>
      <w:tr w:rsidR="00B64A5D" w:rsidRPr="00261C59" w14:paraId="5BF8CD6C" w14:textId="77777777" w:rsidTr="004728D9">
        <w:tc>
          <w:tcPr>
            <w:tcW w:w="3295" w:type="dxa"/>
          </w:tcPr>
          <w:p w14:paraId="7BCD2442" w14:textId="77777777" w:rsidR="00B64A5D" w:rsidRPr="00261C59" w:rsidRDefault="00B64A5D" w:rsidP="00B64A5D">
            <w:pPr>
              <w:spacing w:before="40" w:after="40"/>
              <w:jc w:val="left"/>
              <w:rPr>
                <w:rFonts w:ascii="Calibri" w:hAnsi="Calibri"/>
                <w:sz w:val="24"/>
                <w:szCs w:val="24"/>
              </w:rPr>
            </w:pPr>
            <w:r w:rsidRPr="00261C59">
              <w:rPr>
                <w:rFonts w:ascii="Calibri" w:hAnsi="Calibri"/>
                <w:color w:val="000000"/>
                <w:sz w:val="24"/>
                <w:szCs w:val="24"/>
              </w:rPr>
              <w:t>National Health Funding Body</w:t>
            </w:r>
          </w:p>
        </w:tc>
        <w:tc>
          <w:tcPr>
            <w:tcW w:w="6236" w:type="dxa"/>
          </w:tcPr>
          <w:p w14:paraId="07F4F8C8"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 xml:space="preserve">Means the body established under the </w:t>
            </w:r>
            <w:r w:rsidRPr="00261C59">
              <w:rPr>
                <w:rFonts w:ascii="Calibri" w:hAnsi="Calibri"/>
                <w:i/>
                <w:iCs/>
                <w:sz w:val="24"/>
                <w:szCs w:val="24"/>
              </w:rPr>
              <w:t>National Health Reform Act 2011</w:t>
            </w:r>
            <w:r w:rsidRPr="00261C59">
              <w:rPr>
                <w:rFonts w:ascii="Calibri" w:hAnsi="Calibri"/>
                <w:sz w:val="24"/>
                <w:szCs w:val="24"/>
              </w:rPr>
              <w:t xml:space="preserve"> to assist the Administrator in carrying out their functions under Commonwealth and State legislation, in accordance with this Addendum.</w:t>
            </w:r>
          </w:p>
        </w:tc>
      </w:tr>
      <w:tr w:rsidR="00B64A5D" w:rsidRPr="00261C59" w14:paraId="5440797B" w14:textId="77777777" w:rsidTr="004728D9">
        <w:trPr>
          <w:cantSplit/>
        </w:trPr>
        <w:tc>
          <w:tcPr>
            <w:tcW w:w="3295" w:type="dxa"/>
          </w:tcPr>
          <w:p w14:paraId="72ED8DFC" w14:textId="77777777" w:rsidR="00B64A5D" w:rsidRPr="00261C59" w:rsidRDefault="00B64A5D" w:rsidP="00B64A5D">
            <w:pPr>
              <w:spacing w:before="40" w:after="40"/>
              <w:jc w:val="left"/>
              <w:rPr>
                <w:rFonts w:ascii="Calibri" w:hAnsi="Calibri"/>
                <w:sz w:val="24"/>
                <w:szCs w:val="24"/>
              </w:rPr>
            </w:pPr>
            <w:r w:rsidRPr="00261C59">
              <w:rPr>
                <w:rFonts w:ascii="Calibri" w:hAnsi="Calibri"/>
                <w:color w:val="000000"/>
                <w:sz w:val="24"/>
                <w:szCs w:val="24"/>
              </w:rPr>
              <w:t>National Health Funding Pool</w:t>
            </w:r>
          </w:p>
        </w:tc>
        <w:tc>
          <w:tcPr>
            <w:tcW w:w="6236" w:type="dxa"/>
          </w:tcPr>
          <w:p w14:paraId="1E6CF004" w14:textId="1F6A2706"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the pool established by enabling Commonwealth and State legislation in accordance with this Addendum.</w:t>
            </w:r>
          </w:p>
        </w:tc>
      </w:tr>
      <w:tr w:rsidR="00B64A5D" w:rsidRPr="00261C59" w14:paraId="657D32EB" w14:textId="77777777" w:rsidTr="004728D9">
        <w:trPr>
          <w:cantSplit/>
        </w:trPr>
        <w:tc>
          <w:tcPr>
            <w:tcW w:w="3295" w:type="dxa"/>
          </w:tcPr>
          <w:p w14:paraId="48814E15"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National Health Reform (NHR) Funding</w:t>
            </w:r>
          </w:p>
        </w:tc>
        <w:tc>
          <w:tcPr>
            <w:tcW w:w="6236" w:type="dxa"/>
          </w:tcPr>
          <w:p w14:paraId="239D52C6"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Commonwealth or State payments made under this Addendum into the National Health Funding Pool or State Managed Fund.</w:t>
            </w:r>
          </w:p>
        </w:tc>
      </w:tr>
      <w:tr w:rsidR="00B64A5D" w:rsidRPr="00261C59" w14:paraId="340EDB68" w14:textId="77777777" w:rsidTr="004728D9">
        <w:trPr>
          <w:cantSplit/>
        </w:trPr>
        <w:tc>
          <w:tcPr>
            <w:tcW w:w="3295" w:type="dxa"/>
          </w:tcPr>
          <w:p w14:paraId="0F175C08"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National Indigenous Health Leadership Alliance (NIHLA)</w:t>
            </w:r>
          </w:p>
        </w:tc>
        <w:tc>
          <w:tcPr>
            <w:tcW w:w="6236" w:type="dxa"/>
          </w:tcPr>
          <w:p w14:paraId="0E325FA6"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a partnership of Aboriginal and Torres Strait Islander health and wellbeing organisations, whose purpose is to drive systemic and structural transformation of mainstream government systems, including addressing institutional racism and advancing the human rights of Indigenous peoples in alignment with the National Agreement on Closing the Gap, the National Aboriginal and Torres Strait Islander Health Plan, the National Aboriginal and Torres Strait Islander Health Workforce Strategic Framework and Implementation Plan. Each member of NIHLA has their own membership who work across the public and private hospital system through to primary health through ACCHOs and general practice, and private practice. The breadth of locational practice, scopes of professional practice and lived experience provides NIHLA with a broad understanding of the strengths, weaknesses and failing of our health systems. Thus, NIHLA plays an important role in advocating for and supporting improved outcomes for Aboriginal and Torres Strait Islander people:</w:t>
            </w:r>
          </w:p>
          <w:p w14:paraId="3D8C1462" w14:textId="77777777" w:rsidR="00B64A5D" w:rsidRPr="00261C59" w:rsidRDefault="00B64A5D" w:rsidP="004728D9">
            <w:pPr>
              <w:numPr>
                <w:ilvl w:val="1"/>
                <w:numId w:val="44"/>
              </w:numPr>
              <w:tabs>
                <w:tab w:val="clear" w:pos="1069"/>
                <w:tab w:val="num" w:pos="459"/>
                <w:tab w:val="num" w:pos="1440"/>
              </w:tabs>
              <w:spacing w:before="40" w:after="40"/>
              <w:ind w:left="459" w:hanging="425"/>
              <w:jc w:val="left"/>
              <w:rPr>
                <w:rFonts w:ascii="Calibri" w:hAnsi="Calibri"/>
                <w:color w:val="000000" w:themeColor="text1"/>
                <w:sz w:val="24"/>
                <w:szCs w:val="24"/>
              </w:rPr>
            </w:pPr>
            <w:r w:rsidRPr="00261C59">
              <w:rPr>
                <w:rFonts w:ascii="Calibri" w:hAnsi="Calibri"/>
                <w:color w:val="000000" w:themeColor="text1"/>
                <w:sz w:val="24"/>
                <w:szCs w:val="24"/>
              </w:rPr>
              <w:t>sharing their knowledge, expertise and insights to strengthen the capability of governments and mainstream organisations to deliver more effective policies and programs</w:t>
            </w:r>
          </w:p>
          <w:p w14:paraId="41F6CC77" w14:textId="77777777" w:rsidR="00B64A5D" w:rsidRPr="00261C59" w:rsidRDefault="00B64A5D" w:rsidP="004728D9">
            <w:pPr>
              <w:numPr>
                <w:ilvl w:val="1"/>
                <w:numId w:val="44"/>
              </w:numPr>
              <w:tabs>
                <w:tab w:val="clear" w:pos="1069"/>
                <w:tab w:val="num" w:pos="459"/>
                <w:tab w:val="num" w:pos="1440"/>
              </w:tabs>
              <w:spacing w:before="40" w:after="40"/>
              <w:ind w:left="459" w:hanging="425"/>
              <w:jc w:val="left"/>
              <w:rPr>
                <w:rFonts w:ascii="Calibri" w:hAnsi="Calibri"/>
                <w:sz w:val="24"/>
                <w:szCs w:val="24"/>
              </w:rPr>
            </w:pPr>
            <w:r w:rsidRPr="00261C59">
              <w:rPr>
                <w:rFonts w:ascii="Calibri" w:hAnsi="Calibri"/>
                <w:color w:val="000000" w:themeColor="text1"/>
                <w:sz w:val="24"/>
                <w:szCs w:val="24"/>
              </w:rPr>
              <w:t>providing advice on matters relating to Aboriginal and Torres Strait Islander health from the perspective of the mainstream service system, education and training systems.</w:t>
            </w:r>
            <w:r w:rsidRPr="00261C59">
              <w:rPr>
                <w:rFonts w:ascii="Calibri" w:hAnsi="Calibri"/>
                <w:sz w:val="24"/>
                <w:szCs w:val="24"/>
              </w:rPr>
              <w:t xml:space="preserve"> </w:t>
            </w:r>
          </w:p>
        </w:tc>
      </w:tr>
      <w:tr w:rsidR="00B64A5D" w:rsidRPr="00261C59" w14:paraId="5453BCD5" w14:textId="77777777" w:rsidTr="004728D9">
        <w:trPr>
          <w:cantSplit/>
        </w:trPr>
        <w:tc>
          <w:tcPr>
            <w:tcW w:w="3295" w:type="dxa"/>
          </w:tcPr>
          <w:p w14:paraId="3903E705"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National Pricing Model</w:t>
            </w:r>
          </w:p>
        </w:tc>
        <w:tc>
          <w:tcPr>
            <w:tcW w:w="6236" w:type="dxa"/>
          </w:tcPr>
          <w:p w14:paraId="65C2742B"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the classification, costing, and pricing of public hospital and health services by the IHACPA, for funding through the National Funding Model. The pricing model comprises of multiple sub-models and includes an NEP or NEC, price weights and adjustments, and each is based wherever possible on actual cost and activity.</w:t>
            </w:r>
          </w:p>
          <w:p w14:paraId="6FEF8F27"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The agreed methodology and policies are independently maintained and published by the IHACPA.</w:t>
            </w:r>
          </w:p>
        </w:tc>
      </w:tr>
      <w:tr w:rsidR="00B64A5D" w:rsidRPr="00261C59" w14:paraId="74710F02" w14:textId="77777777" w:rsidTr="004728D9">
        <w:trPr>
          <w:cantSplit/>
        </w:trPr>
        <w:tc>
          <w:tcPr>
            <w:tcW w:w="3295" w:type="dxa"/>
          </w:tcPr>
          <w:p w14:paraId="2B802659"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National Weighted Activity Unit (NWAU)</w:t>
            </w:r>
          </w:p>
        </w:tc>
        <w:tc>
          <w:tcPr>
            <w:tcW w:w="6236" w:type="dxa"/>
          </w:tcPr>
          <w:p w14:paraId="6E4BFE8B"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a measure of hospital activity expressed as a common unit, against which the National Efficient Price is paid. It is a point of relativity for the pricing of public hospital and health services, weighted for clinical complexity.</w:t>
            </w:r>
          </w:p>
        </w:tc>
      </w:tr>
      <w:tr w:rsidR="00B64A5D" w:rsidRPr="00261C59" w14:paraId="4A90033A" w14:textId="77777777" w:rsidTr="004728D9">
        <w:trPr>
          <w:cantSplit/>
        </w:trPr>
        <w:tc>
          <w:tcPr>
            <w:tcW w:w="3295" w:type="dxa"/>
          </w:tcPr>
          <w:p w14:paraId="3059AAF3"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Non-admitted patient services</w:t>
            </w:r>
          </w:p>
        </w:tc>
        <w:tc>
          <w:tcPr>
            <w:tcW w:w="6236" w:type="dxa"/>
          </w:tcPr>
          <w:p w14:paraId="7B00036A"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“Non-Admitted Patient” as defined in METEOR (the AIHW’s Metadata Online Registry).</w:t>
            </w:r>
          </w:p>
        </w:tc>
      </w:tr>
      <w:tr w:rsidR="00B64A5D" w:rsidRPr="00261C59" w14:paraId="1E7DE9B1" w14:textId="77777777" w:rsidTr="004728D9">
        <w:trPr>
          <w:cantSplit/>
        </w:trPr>
        <w:tc>
          <w:tcPr>
            <w:tcW w:w="3295" w:type="dxa"/>
          </w:tcPr>
          <w:p w14:paraId="11D89C85"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Normative pricing</w:t>
            </w:r>
          </w:p>
        </w:tc>
        <w:tc>
          <w:tcPr>
            <w:tcW w:w="6236" w:type="dxa"/>
          </w:tcPr>
          <w:p w14:paraId="3DF942A1"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a pricing approach for calculating the cost of care in accordance with current evidence-based clinical guidelines and/or agreed best practice, for IHACPA to consider in cases where the weighted national average cost is not an appropriate mechanism, or there is insufficient data, to determine the price paid for a care pathway, procedure or episode of care within NHRA scope.</w:t>
            </w:r>
          </w:p>
        </w:tc>
      </w:tr>
      <w:tr w:rsidR="00B64A5D" w:rsidRPr="00261C59" w14:paraId="526C2472" w14:textId="77777777" w:rsidTr="004728D9">
        <w:trPr>
          <w:cantSplit/>
        </w:trPr>
        <w:tc>
          <w:tcPr>
            <w:tcW w:w="3295" w:type="dxa"/>
          </w:tcPr>
          <w:p w14:paraId="5F7ADE8D"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Optimal models of care</w:t>
            </w:r>
          </w:p>
        </w:tc>
        <w:tc>
          <w:tcPr>
            <w:tcW w:w="6236" w:type="dxa"/>
          </w:tcPr>
          <w:p w14:paraId="07B8AA5B"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 xml:space="preserve">Means models of care that </w:t>
            </w:r>
            <w:r w:rsidRPr="00261C59">
              <w:rPr>
                <w:rFonts w:ascii="Calibri" w:hAnsi="Calibri" w:cs="Calibri"/>
                <w:sz w:val="24"/>
                <w:szCs w:val="24"/>
              </w:rPr>
              <w:t>demonstrate best-practice, safe, high-value and quality care as</w:t>
            </w:r>
            <w:r w:rsidRPr="00261C59">
              <w:rPr>
                <w:rFonts w:ascii="Calibri" w:hAnsi="Calibri"/>
                <w:sz w:val="24"/>
                <w:szCs w:val="24"/>
              </w:rPr>
              <w:t xml:space="preserve"> an end-to-end integrated patient journey across care settings and acuity levels to deliver better patient outcomes and improved system sustainability.</w:t>
            </w:r>
          </w:p>
        </w:tc>
      </w:tr>
      <w:tr w:rsidR="00B64A5D" w:rsidRPr="00261C59" w14:paraId="16C58E85" w14:textId="77777777" w:rsidTr="004728D9">
        <w:tc>
          <w:tcPr>
            <w:tcW w:w="3295" w:type="dxa"/>
          </w:tcPr>
          <w:p w14:paraId="19BF1CE2"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Outpatient department</w:t>
            </w:r>
          </w:p>
        </w:tc>
        <w:tc>
          <w:tcPr>
            <w:tcW w:w="6236" w:type="dxa"/>
          </w:tcPr>
          <w:p w14:paraId="53C3BA0E"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any part of a hospital (excluding the emergency department) that provides non-admitted patient care.</w:t>
            </w:r>
          </w:p>
        </w:tc>
      </w:tr>
      <w:tr w:rsidR="00B64A5D" w:rsidRPr="00261C59" w14:paraId="6961162E" w14:textId="77777777" w:rsidTr="004728D9">
        <w:tc>
          <w:tcPr>
            <w:tcW w:w="3295" w:type="dxa"/>
          </w:tcPr>
          <w:p w14:paraId="33F93938"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Output Commonwealth contribution rate</w:t>
            </w:r>
          </w:p>
        </w:tc>
        <w:tc>
          <w:tcPr>
            <w:tcW w:w="6236" w:type="dxa"/>
          </w:tcPr>
          <w:p w14:paraId="7B14D5F5" w14:textId="4841CD34"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the percentage amount the Commonwealth funded for the delivery of public hospital and health services delivered under this Addendum, after the application of the funding cap. This rate is calculated by funding stream following the annual reconciliation for a financial year and is based on actual activity delivered, including application of the funding cap and any funding adjustments. There is no output CCR for the Public Health Funding stream.</w:t>
            </w:r>
          </w:p>
        </w:tc>
      </w:tr>
      <w:tr w:rsidR="00B64A5D" w:rsidRPr="00261C59" w14:paraId="569EA729" w14:textId="77777777" w:rsidTr="004728D9">
        <w:trPr>
          <w:cantSplit/>
        </w:trPr>
        <w:tc>
          <w:tcPr>
            <w:tcW w:w="3295" w:type="dxa"/>
          </w:tcPr>
          <w:p w14:paraId="4C9CDE6B"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Parties</w:t>
            </w:r>
          </w:p>
        </w:tc>
        <w:tc>
          <w:tcPr>
            <w:tcW w:w="6236" w:type="dxa"/>
          </w:tcPr>
          <w:p w14:paraId="390D8471"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the signatories to this Addendum, being the Commonwealth and each State and Territory government.</w:t>
            </w:r>
          </w:p>
        </w:tc>
      </w:tr>
      <w:tr w:rsidR="00B64A5D" w:rsidRPr="00261C59" w14:paraId="2E523141" w14:textId="77777777" w:rsidTr="004728D9">
        <w:tc>
          <w:tcPr>
            <w:tcW w:w="3295" w:type="dxa"/>
          </w:tcPr>
          <w:p w14:paraId="1F7FAE02"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Patient election status</w:t>
            </w:r>
          </w:p>
        </w:tc>
        <w:tc>
          <w:tcPr>
            <w:tcW w:w="6236" w:type="dxa"/>
          </w:tcPr>
          <w:p w14:paraId="00433B9A"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the status of patients according to the National Standards for Public Hospital Admitted and Non-admitted Patient Election Processes in Schedule J.</w:t>
            </w:r>
          </w:p>
        </w:tc>
      </w:tr>
      <w:tr w:rsidR="00B64A5D" w:rsidRPr="00261C59" w14:paraId="01E6F4E4" w14:textId="77777777" w:rsidTr="004728D9">
        <w:trPr>
          <w:cantSplit/>
        </w:trPr>
        <w:tc>
          <w:tcPr>
            <w:tcW w:w="3295" w:type="dxa"/>
          </w:tcPr>
          <w:p w14:paraId="223847D5"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Patient Reported Measures</w:t>
            </w:r>
          </w:p>
        </w:tc>
        <w:tc>
          <w:tcPr>
            <w:tcW w:w="6236" w:type="dxa"/>
          </w:tcPr>
          <w:p w14:paraId="64288799"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information collected about the experience of health services, and the outcomes of health services, as described by patients.</w:t>
            </w:r>
          </w:p>
        </w:tc>
      </w:tr>
      <w:tr w:rsidR="00B64A5D" w:rsidRPr="00261C59" w14:paraId="2037EBFD" w14:textId="77777777" w:rsidTr="004728D9">
        <w:trPr>
          <w:cantSplit/>
        </w:trPr>
        <w:tc>
          <w:tcPr>
            <w:tcW w:w="3295" w:type="dxa"/>
          </w:tcPr>
          <w:p w14:paraId="144D8F6B"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Pharmaceutical Benefits Advisory Committee (PBAC)</w:t>
            </w:r>
          </w:p>
        </w:tc>
        <w:tc>
          <w:tcPr>
            <w:tcW w:w="6236" w:type="dxa"/>
          </w:tcPr>
          <w:p w14:paraId="7E83C560"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an independent expert body appointed by the Australian Government that has a primary role to recommend new medicines for listing on the Pharmaceutical Benefits Scheme (PBS) and new vaccines for delivery through the National Immunisation Program (NIP).</w:t>
            </w:r>
          </w:p>
        </w:tc>
      </w:tr>
      <w:tr w:rsidR="00B64A5D" w:rsidRPr="00261C59" w14:paraId="548533FB" w14:textId="77777777" w:rsidTr="004728D9">
        <w:trPr>
          <w:cantSplit/>
        </w:trPr>
        <w:tc>
          <w:tcPr>
            <w:tcW w:w="3295" w:type="dxa"/>
          </w:tcPr>
          <w:p w14:paraId="1C6502FB"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Pharmaceutical Benefits Scheme (PBS)</w:t>
            </w:r>
          </w:p>
        </w:tc>
        <w:tc>
          <w:tcPr>
            <w:tcW w:w="6236" w:type="dxa"/>
          </w:tcPr>
          <w:p w14:paraId="6A302841"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 xml:space="preserve">Means the Commonwealth government’s scheme to provide subsidised pharmaceuticals to Australians established under part VII of the </w:t>
            </w:r>
            <w:r w:rsidRPr="00261C59">
              <w:rPr>
                <w:rFonts w:ascii="Calibri" w:hAnsi="Calibri"/>
                <w:i/>
                <w:iCs/>
                <w:sz w:val="24"/>
                <w:szCs w:val="24"/>
              </w:rPr>
              <w:t>National Health Act 1953</w:t>
            </w:r>
            <w:r w:rsidRPr="00261C59">
              <w:rPr>
                <w:rFonts w:ascii="Calibri" w:hAnsi="Calibri"/>
                <w:sz w:val="24"/>
                <w:szCs w:val="24"/>
              </w:rPr>
              <w:t xml:space="preserve"> (the Act) together with the </w:t>
            </w:r>
            <w:r w:rsidRPr="00261C59">
              <w:rPr>
                <w:rFonts w:ascii="Calibri" w:hAnsi="Calibri"/>
                <w:i/>
                <w:iCs/>
                <w:sz w:val="24"/>
                <w:szCs w:val="24"/>
              </w:rPr>
              <w:t>National Health (Pharmaceutical Benefits) Regulations 2017</w:t>
            </w:r>
            <w:r w:rsidRPr="00261C59">
              <w:rPr>
                <w:rFonts w:ascii="Calibri" w:hAnsi="Calibri"/>
                <w:sz w:val="24"/>
                <w:szCs w:val="24"/>
              </w:rPr>
              <w:t xml:space="preserve"> made under the Act.</w:t>
            </w:r>
          </w:p>
        </w:tc>
      </w:tr>
      <w:tr w:rsidR="00B64A5D" w:rsidRPr="00261C59" w14:paraId="19DB04E6" w14:textId="77777777" w:rsidTr="004728D9">
        <w:trPr>
          <w:cantSplit/>
        </w:trPr>
        <w:tc>
          <w:tcPr>
            <w:tcW w:w="3295" w:type="dxa"/>
          </w:tcPr>
          <w:p w14:paraId="15281361"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Pharmaceutical Reform Agreements</w:t>
            </w:r>
          </w:p>
        </w:tc>
        <w:tc>
          <w:tcPr>
            <w:tcW w:w="6236" w:type="dxa"/>
          </w:tcPr>
          <w:p w14:paraId="3D7C38FE"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 xml:space="preserve">Means arrangements which provide for public hospitals that are either Approved Hospital Authorities under Section 94 of the </w:t>
            </w:r>
            <w:r w:rsidRPr="00261C59">
              <w:rPr>
                <w:rFonts w:ascii="Calibri" w:hAnsi="Calibri"/>
                <w:i/>
                <w:sz w:val="24"/>
                <w:szCs w:val="24"/>
              </w:rPr>
              <w:t>National Health Act 1953</w:t>
            </w:r>
            <w:r w:rsidRPr="00261C59">
              <w:rPr>
                <w:rFonts w:ascii="Calibri" w:hAnsi="Calibri"/>
                <w:sz w:val="24"/>
                <w:szCs w:val="24"/>
              </w:rPr>
              <w:t xml:space="preserve"> (the Act) or a hospital authority that has been registered with the Department of Health, Disability and Ageing to supply pharmaceuticals funded by the PBS for specific categories of patients. </w:t>
            </w:r>
          </w:p>
          <w:p w14:paraId="61A3506C"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 xml:space="preserve">These arrangements include access to the following PBS medicines categories listed in the Act:  </w:t>
            </w:r>
          </w:p>
          <w:p w14:paraId="51512B81" w14:textId="77777777" w:rsidR="00B64A5D" w:rsidRPr="00261C59" w:rsidRDefault="00B64A5D" w:rsidP="00B64A5D">
            <w:pPr>
              <w:numPr>
                <w:ilvl w:val="0"/>
                <w:numId w:val="39"/>
              </w:numPr>
              <w:spacing w:before="40" w:after="40"/>
              <w:ind w:left="464" w:hanging="388"/>
              <w:jc w:val="left"/>
              <w:rPr>
                <w:rFonts w:ascii="Calibri" w:hAnsi="Calibri"/>
                <w:sz w:val="24"/>
                <w:szCs w:val="24"/>
              </w:rPr>
            </w:pPr>
            <w:r w:rsidRPr="00261C59">
              <w:rPr>
                <w:rFonts w:ascii="Calibri" w:hAnsi="Calibri"/>
                <w:sz w:val="24"/>
                <w:szCs w:val="24"/>
              </w:rPr>
              <w:t>Section 85 General Schedule medicines for non-admitted patients and admitted patients on discharge.</w:t>
            </w:r>
          </w:p>
          <w:p w14:paraId="31FEDFC3" w14:textId="77777777" w:rsidR="00B64A5D" w:rsidRPr="00261C59" w:rsidRDefault="00B64A5D" w:rsidP="00B64A5D">
            <w:pPr>
              <w:numPr>
                <w:ilvl w:val="0"/>
                <w:numId w:val="39"/>
              </w:numPr>
              <w:spacing w:before="40" w:after="40"/>
              <w:ind w:left="464" w:hanging="388"/>
              <w:jc w:val="left"/>
              <w:rPr>
                <w:rFonts w:ascii="Calibri" w:hAnsi="Calibri"/>
                <w:sz w:val="24"/>
                <w:szCs w:val="24"/>
              </w:rPr>
            </w:pPr>
            <w:r w:rsidRPr="00261C59">
              <w:rPr>
                <w:rFonts w:ascii="Calibri" w:hAnsi="Calibri"/>
                <w:sz w:val="24"/>
                <w:szCs w:val="24"/>
              </w:rPr>
              <w:t>Medicines delivered through the Section 100 Efficient Funding of Chemotherapy (EFC) Program for day-admitted and non-admitted patients.</w:t>
            </w:r>
          </w:p>
        </w:tc>
      </w:tr>
      <w:tr w:rsidR="00B64A5D" w:rsidRPr="00261C59" w14:paraId="24086A95" w14:textId="77777777" w:rsidTr="004728D9">
        <w:trPr>
          <w:cantSplit/>
        </w:trPr>
        <w:tc>
          <w:tcPr>
            <w:tcW w:w="3295" w:type="dxa"/>
          </w:tcPr>
          <w:p w14:paraId="0257A2DB"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Population health</w:t>
            </w:r>
          </w:p>
        </w:tc>
        <w:tc>
          <w:tcPr>
            <w:tcW w:w="6236" w:type="dxa"/>
          </w:tcPr>
          <w:p w14:paraId="770F60FB"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activities aimed at benefiting a population, with an emphasis on prevention, protection and health promotion as distinct from treatment tailored to individuals with symptoms. Examples include the conduct of anti-smoking education campaigns, and initiatives to increase accessibility and promotion of healthier food and drink. Can also refer to the health of sub-populations, and comparisons of the health of different populations.</w:t>
            </w:r>
          </w:p>
        </w:tc>
      </w:tr>
      <w:tr w:rsidR="00B64A5D" w:rsidRPr="00261C59" w14:paraId="19CACA1E" w14:textId="77777777" w:rsidTr="004728D9">
        <w:trPr>
          <w:cantSplit/>
        </w:trPr>
        <w:tc>
          <w:tcPr>
            <w:tcW w:w="3295" w:type="dxa"/>
          </w:tcPr>
          <w:p w14:paraId="71EDA82C"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Preliminary (Commonwealth funding) entitlement</w:t>
            </w:r>
          </w:p>
        </w:tc>
        <w:tc>
          <w:tcPr>
            <w:tcW w:w="6236" w:type="dxa"/>
          </w:tcPr>
          <w:p w14:paraId="45599C37"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the initial amount of Commonwealth funding a State is entitled to receive for a relevant financial year, based on estimated or anticipated volume of hospital and health service delivery in that State for the relevant financial year, as calculated by the Administrator according to the arrangements set out in this Addendum.</w:t>
            </w:r>
          </w:p>
        </w:tc>
      </w:tr>
      <w:tr w:rsidR="00B64A5D" w:rsidRPr="00261C59" w14:paraId="133F6FBD" w14:textId="77777777" w:rsidTr="004728D9">
        <w:trPr>
          <w:cantSplit/>
        </w:trPr>
        <w:tc>
          <w:tcPr>
            <w:tcW w:w="3295" w:type="dxa"/>
          </w:tcPr>
          <w:p w14:paraId="13B8961A"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Preliminary Uncapped Commonwealth Funding Entitlement</w:t>
            </w:r>
          </w:p>
        </w:tc>
        <w:tc>
          <w:tcPr>
            <w:tcW w:w="6236" w:type="dxa"/>
          </w:tcPr>
          <w:p w14:paraId="2B631593"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the amount of Commonwealth funding a State is entitled to receive under the Addendum for delivery of public hospital and health services in a relevant financial year, excluding the impact of their funding cap or other adjustments.</w:t>
            </w:r>
          </w:p>
        </w:tc>
      </w:tr>
      <w:tr w:rsidR="00B64A5D" w:rsidRPr="00261C59" w14:paraId="66A3D4BA" w14:textId="77777777" w:rsidTr="004728D9">
        <w:trPr>
          <w:cantSplit/>
        </w:trPr>
        <w:tc>
          <w:tcPr>
            <w:tcW w:w="3295" w:type="dxa"/>
          </w:tcPr>
          <w:p w14:paraId="03AE5625"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themeColor="text1"/>
                <w:sz w:val="24"/>
                <w:szCs w:val="24"/>
              </w:rPr>
              <w:t>Priority care loadings</w:t>
            </w:r>
          </w:p>
        </w:tc>
        <w:tc>
          <w:tcPr>
            <w:tcW w:w="6236" w:type="dxa"/>
          </w:tcPr>
          <w:p w14:paraId="522B6A8F"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 xml:space="preserve">Means pricing adjustments to incentivise services, types of care, services for priority populations and delivery in specific settings that the Parties consider to be priority areas. </w:t>
            </w:r>
          </w:p>
        </w:tc>
      </w:tr>
      <w:tr w:rsidR="00B64A5D" w:rsidRPr="00261C59" w14:paraId="7809BA25" w14:textId="77777777" w:rsidTr="004728D9">
        <w:tc>
          <w:tcPr>
            <w:tcW w:w="3295" w:type="dxa"/>
          </w:tcPr>
          <w:p w14:paraId="3624C92D"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Private Health Insurance Rebate</w:t>
            </w:r>
          </w:p>
        </w:tc>
        <w:tc>
          <w:tcPr>
            <w:tcW w:w="6236" w:type="dxa"/>
          </w:tcPr>
          <w:p w14:paraId="3C468283"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 xml:space="preserve">Means the Commonwealth Government’s scheme to provide private health insurance rebates established under the </w:t>
            </w:r>
            <w:r w:rsidRPr="00261C59">
              <w:rPr>
                <w:rFonts w:ascii="Calibri" w:hAnsi="Calibri"/>
                <w:i/>
                <w:iCs/>
                <w:sz w:val="24"/>
                <w:szCs w:val="24"/>
              </w:rPr>
              <w:t>Private Health Insurance Act 2007</w:t>
            </w:r>
            <w:r w:rsidRPr="00261C59">
              <w:rPr>
                <w:rFonts w:ascii="Calibri" w:hAnsi="Calibri"/>
                <w:sz w:val="24"/>
                <w:szCs w:val="24"/>
              </w:rPr>
              <w:t xml:space="preserve"> together with relevant regulations and rules made under the Act.</w:t>
            </w:r>
          </w:p>
        </w:tc>
      </w:tr>
      <w:tr w:rsidR="00B64A5D" w:rsidRPr="00261C59" w14:paraId="45905365" w14:textId="77777777" w:rsidTr="004728D9">
        <w:trPr>
          <w:cantSplit/>
        </w:trPr>
        <w:tc>
          <w:tcPr>
            <w:tcW w:w="3295" w:type="dxa"/>
          </w:tcPr>
          <w:p w14:paraId="2837267D"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Public health activities</w:t>
            </w:r>
          </w:p>
        </w:tc>
        <w:tc>
          <w:tcPr>
            <w:tcW w:w="6236" w:type="dxa"/>
          </w:tcPr>
          <w:p w14:paraId="66CC456D"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the activities performed within each State directed at improving the overall health of the population that are funded under the Public Health Funding stream.</w:t>
            </w:r>
          </w:p>
        </w:tc>
      </w:tr>
      <w:tr w:rsidR="00B64A5D" w:rsidRPr="00261C59" w14:paraId="03114117" w14:textId="77777777" w:rsidTr="004728D9">
        <w:trPr>
          <w:cantSplit/>
        </w:trPr>
        <w:tc>
          <w:tcPr>
            <w:tcW w:w="3295" w:type="dxa"/>
          </w:tcPr>
          <w:p w14:paraId="4CDC19A4"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Public hospital and health services</w:t>
            </w:r>
          </w:p>
        </w:tc>
        <w:tc>
          <w:tcPr>
            <w:tcW w:w="6236" w:type="dxa"/>
          </w:tcPr>
          <w:p w14:paraId="32D07B26"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the services, functions and activities funded by the Commonwealth under this Addendum.</w:t>
            </w:r>
          </w:p>
        </w:tc>
      </w:tr>
      <w:tr w:rsidR="00B64A5D" w:rsidRPr="00261C59" w14:paraId="08F65144" w14:textId="77777777" w:rsidTr="004728D9">
        <w:tc>
          <w:tcPr>
            <w:tcW w:w="3295" w:type="dxa"/>
          </w:tcPr>
          <w:p w14:paraId="47FAD27E"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Public patient</w:t>
            </w:r>
          </w:p>
        </w:tc>
        <w:tc>
          <w:tcPr>
            <w:tcW w:w="6236" w:type="dxa"/>
          </w:tcPr>
          <w:p w14:paraId="7C69FC05"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 xml:space="preserve">Means an eligible person who receives or elects to receive a public hospital service free of charge. </w:t>
            </w:r>
          </w:p>
        </w:tc>
      </w:tr>
      <w:tr w:rsidR="00B64A5D" w:rsidRPr="00261C59" w14:paraId="27A3F7C9" w14:textId="77777777" w:rsidTr="004728D9">
        <w:tc>
          <w:tcPr>
            <w:tcW w:w="3295" w:type="dxa"/>
          </w:tcPr>
          <w:p w14:paraId="6C986482"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Public patients’ hospital charter</w:t>
            </w:r>
          </w:p>
        </w:tc>
        <w:tc>
          <w:tcPr>
            <w:tcW w:w="6236" w:type="dxa"/>
          </w:tcPr>
          <w:p w14:paraId="2D54C205"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the document outlining how the principles of this Addendum are to be applied; the process by which eligible persons might lodge complaints about the provision of public hospital services; a statement of rights and responsibilities of consumers and public hospitals; and a statement of consumers’ rights to elect to be treated as either public or private patients.</w:t>
            </w:r>
          </w:p>
        </w:tc>
      </w:tr>
      <w:tr w:rsidR="00B64A5D" w:rsidRPr="00261C59" w14:paraId="14505275" w14:textId="77777777" w:rsidTr="004728D9">
        <w:trPr>
          <w:cantSplit/>
        </w:trPr>
        <w:tc>
          <w:tcPr>
            <w:tcW w:w="3295" w:type="dxa"/>
          </w:tcPr>
          <w:p w14:paraId="586595D0"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Reconciliation</w:t>
            </w:r>
          </w:p>
        </w:tc>
        <w:tc>
          <w:tcPr>
            <w:tcW w:w="6236" w:type="dxa"/>
          </w:tcPr>
          <w:p w14:paraId="4C312474"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the process undertaken for each State by the Administrator, to compare the estimated volume of public hospital and health service delivery to the actual volume delivered. This occurs annually at a minimum for each State.</w:t>
            </w:r>
          </w:p>
        </w:tc>
      </w:tr>
      <w:tr w:rsidR="00B64A5D" w:rsidRPr="00261C59" w14:paraId="16F23A32" w14:textId="77777777" w:rsidTr="004728D9">
        <w:tc>
          <w:tcPr>
            <w:tcW w:w="3295" w:type="dxa"/>
          </w:tcPr>
          <w:p w14:paraId="6877FD96"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Relevant financial year</w:t>
            </w:r>
          </w:p>
        </w:tc>
        <w:tc>
          <w:tcPr>
            <w:tcW w:w="6236" w:type="dxa"/>
          </w:tcPr>
          <w:p w14:paraId="5E484E57"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a specific financial year for which data is submitted by the Parties so that the Administrator can calculate the Commonwealth funding and payments for that financial year.</w:t>
            </w:r>
          </w:p>
        </w:tc>
      </w:tr>
      <w:tr w:rsidR="00B64A5D" w:rsidRPr="00261C59" w14:paraId="57BA8CDA" w14:textId="77777777" w:rsidTr="004728D9">
        <w:trPr>
          <w:cantSplit/>
        </w:trPr>
        <w:tc>
          <w:tcPr>
            <w:tcW w:w="3295" w:type="dxa"/>
          </w:tcPr>
          <w:p w14:paraId="65AF5ACA"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Required Data</w:t>
            </w:r>
          </w:p>
        </w:tc>
        <w:tc>
          <w:tcPr>
            <w:tcW w:w="6236" w:type="dxa"/>
          </w:tcPr>
          <w:p w14:paraId="133AF44B"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 xml:space="preserve">Means data required to facilitate the accurate classification, pricing and funding of public hospital and health services by the IHACPA, the Administrator and the NHFB, as specified in their three-year data plans and in accordance with the </w:t>
            </w:r>
            <w:r w:rsidRPr="00261C59">
              <w:rPr>
                <w:rFonts w:ascii="Calibri" w:hAnsi="Calibri"/>
                <w:i/>
                <w:iCs/>
                <w:sz w:val="24"/>
                <w:szCs w:val="24"/>
              </w:rPr>
              <w:t>National Health Reform Act 2011</w:t>
            </w:r>
            <w:r w:rsidRPr="00261C59">
              <w:rPr>
                <w:rFonts w:ascii="Calibri" w:hAnsi="Calibri"/>
                <w:sz w:val="24"/>
                <w:szCs w:val="24"/>
              </w:rPr>
              <w:t>.</w:t>
            </w:r>
          </w:p>
        </w:tc>
      </w:tr>
      <w:tr w:rsidR="00B64A5D" w:rsidRPr="00261C59" w14:paraId="3730C5EC" w14:textId="77777777" w:rsidTr="004728D9">
        <w:trPr>
          <w:cantSplit/>
        </w:trPr>
        <w:tc>
          <w:tcPr>
            <w:tcW w:w="3295" w:type="dxa"/>
          </w:tcPr>
          <w:p w14:paraId="2ABA7C76"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Safety and Quality Adjustment</w:t>
            </w:r>
          </w:p>
        </w:tc>
        <w:tc>
          <w:tcPr>
            <w:tcW w:w="6236" w:type="dxa"/>
          </w:tcPr>
          <w:p w14:paraId="4F45789C" w14:textId="06AD7A84"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a pricing adjustment from the Commonwealth for Public Hospital Services, funded either under ABF or Block Funding, following the occurrence of an adverse event which has an active pricing adjustment model associated with it.</w:t>
            </w:r>
          </w:p>
        </w:tc>
      </w:tr>
      <w:tr w:rsidR="00B64A5D" w:rsidRPr="00261C59" w14:paraId="0A7C0E19" w14:textId="77777777" w:rsidTr="004728D9">
        <w:tc>
          <w:tcPr>
            <w:tcW w:w="3295" w:type="dxa"/>
          </w:tcPr>
          <w:p w14:paraId="6525D2FD"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Sentinel Event</w:t>
            </w:r>
          </w:p>
        </w:tc>
        <w:tc>
          <w:tcPr>
            <w:tcW w:w="6236" w:type="dxa"/>
          </w:tcPr>
          <w:p w14:paraId="771C0F18"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an event set out on the Sentinel Events List.</w:t>
            </w:r>
          </w:p>
        </w:tc>
      </w:tr>
      <w:tr w:rsidR="00B64A5D" w:rsidRPr="00261C59" w14:paraId="3712ED17" w14:textId="77777777" w:rsidTr="004728D9">
        <w:tc>
          <w:tcPr>
            <w:tcW w:w="3295" w:type="dxa"/>
          </w:tcPr>
          <w:p w14:paraId="54358AA8"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Sentinel Events List</w:t>
            </w:r>
          </w:p>
        </w:tc>
        <w:tc>
          <w:tcPr>
            <w:tcW w:w="6236" w:type="dxa"/>
          </w:tcPr>
          <w:p w14:paraId="25152400"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events set out on the Australian Sentinel Events List maintained by the ACSQHC and approved by HMM.</w:t>
            </w:r>
          </w:p>
        </w:tc>
      </w:tr>
      <w:tr w:rsidR="00B64A5D" w:rsidRPr="00261C59" w14:paraId="2E95B6D9" w14:textId="77777777" w:rsidTr="004728D9">
        <w:tc>
          <w:tcPr>
            <w:tcW w:w="3295" w:type="dxa"/>
          </w:tcPr>
          <w:p w14:paraId="6C1E6411" w14:textId="77777777" w:rsidR="00B64A5D" w:rsidRPr="00261C59" w:rsidRDefault="00B64A5D" w:rsidP="00B64A5D">
            <w:pPr>
              <w:spacing w:before="40" w:after="40"/>
              <w:jc w:val="left"/>
              <w:rPr>
                <w:rFonts w:ascii="Calibri" w:hAnsi="Calibri"/>
                <w:sz w:val="24"/>
                <w:szCs w:val="24"/>
              </w:rPr>
            </w:pPr>
            <w:r w:rsidRPr="00261C59">
              <w:rPr>
                <w:rFonts w:ascii="Calibri" w:hAnsi="Calibri"/>
                <w:color w:val="000000"/>
                <w:sz w:val="24"/>
                <w:szCs w:val="24"/>
              </w:rPr>
              <w:t>Service Agreement</w:t>
            </w:r>
          </w:p>
        </w:tc>
        <w:tc>
          <w:tcPr>
            <w:tcW w:w="6236" w:type="dxa"/>
          </w:tcPr>
          <w:p w14:paraId="64F1E2C6"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an agreement between a State and a Local Hospital Network consistent with this Addendum.</w:t>
            </w:r>
          </w:p>
        </w:tc>
      </w:tr>
      <w:tr w:rsidR="00B64A5D" w:rsidRPr="00261C59" w14:paraId="071AC0E7" w14:textId="77777777" w:rsidTr="004728D9">
        <w:tc>
          <w:tcPr>
            <w:tcW w:w="3295" w:type="dxa"/>
          </w:tcPr>
          <w:p w14:paraId="40947268"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Service category</w:t>
            </w:r>
          </w:p>
        </w:tc>
        <w:tc>
          <w:tcPr>
            <w:tcW w:w="6236" w:type="dxa"/>
          </w:tcPr>
          <w:p w14:paraId="19F5D5E0"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a grouping of related public hospital and health services for the purposes of classification, funding calculation and reporting purposes. Service categories may be based on type of service (ABF), cohort (bundled) or setting (some block funded services).</w:t>
            </w:r>
          </w:p>
        </w:tc>
      </w:tr>
      <w:tr w:rsidR="00B64A5D" w:rsidRPr="00261C59" w14:paraId="227A8C4A" w14:textId="77777777" w:rsidTr="00F36330">
        <w:tc>
          <w:tcPr>
            <w:tcW w:w="3295" w:type="dxa"/>
          </w:tcPr>
          <w:p w14:paraId="11CC2EEB" w14:textId="5F9EE9AE"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 xml:space="preserve">Service Model Reform Funding (SMRF) stream </w:t>
            </w:r>
          </w:p>
        </w:tc>
        <w:tc>
          <w:tcPr>
            <w:tcW w:w="6236" w:type="dxa"/>
          </w:tcPr>
          <w:p w14:paraId="6130A6C4" w14:textId="6E779C50" w:rsidR="00B64A5D" w:rsidRPr="00261C59" w:rsidRDefault="00B64A5D" w:rsidP="00B64A5D">
            <w:pPr>
              <w:spacing w:before="40" w:after="40"/>
              <w:jc w:val="left"/>
              <w:rPr>
                <w:rFonts w:ascii="Calibri" w:hAnsi="Calibri"/>
                <w:sz w:val="24"/>
                <w:szCs w:val="24"/>
              </w:rPr>
            </w:pPr>
            <w:r w:rsidRPr="00261C59">
              <w:rPr>
                <w:rFonts w:ascii="Calibri" w:hAnsi="Calibri"/>
                <w:color w:val="000000" w:themeColor="text1"/>
                <w:sz w:val="24"/>
                <w:szCs w:val="24"/>
              </w:rPr>
              <w:t>Means the dedicated reform funding stream to be established from 1 July 2027 to fund activities and projects in line with agreed national reform priorities, as per arrangements in Schedule D.</w:t>
            </w:r>
          </w:p>
        </w:tc>
      </w:tr>
      <w:tr w:rsidR="00B64A5D" w:rsidRPr="00261C59" w14:paraId="171E2C5C" w14:textId="77777777" w:rsidTr="004728D9">
        <w:tc>
          <w:tcPr>
            <w:tcW w:w="3295" w:type="dxa"/>
          </w:tcPr>
          <w:p w14:paraId="28671F2F"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 xml:space="preserve">Shared decision-making </w:t>
            </w:r>
          </w:p>
        </w:tc>
        <w:tc>
          <w:tcPr>
            <w:tcW w:w="6236" w:type="dxa"/>
          </w:tcPr>
          <w:p w14:paraId="17240992" w14:textId="497EFCE4"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processes mutually described as shared between government and Aboriginal and Torres Strait Islander people. Activities characterised as shared decision-making must adhere to the definition of shared decision-making in the National Agreement on Closing the Gap, namely: </w:t>
            </w:r>
          </w:p>
          <w:p w14:paraId="5C8FE20E" w14:textId="77777777" w:rsidR="00B64A5D" w:rsidRPr="00261C59" w:rsidRDefault="00B64A5D" w:rsidP="004728D9">
            <w:pPr>
              <w:numPr>
                <w:ilvl w:val="1"/>
                <w:numId w:val="45"/>
              </w:numPr>
              <w:tabs>
                <w:tab w:val="clear" w:pos="1069"/>
                <w:tab w:val="num" w:pos="459"/>
                <w:tab w:val="num" w:pos="1440"/>
              </w:tabs>
              <w:spacing w:before="40" w:after="40"/>
              <w:ind w:left="459" w:hanging="425"/>
              <w:jc w:val="left"/>
              <w:rPr>
                <w:rFonts w:ascii="Calibri" w:hAnsi="Calibri"/>
                <w:color w:val="000000" w:themeColor="text1"/>
                <w:sz w:val="24"/>
                <w:szCs w:val="24"/>
              </w:rPr>
            </w:pPr>
            <w:r w:rsidRPr="00261C59">
              <w:rPr>
                <w:rFonts w:ascii="Calibri" w:hAnsi="Calibri"/>
                <w:color w:val="000000" w:themeColor="text1"/>
                <w:sz w:val="24"/>
                <w:szCs w:val="24"/>
              </w:rPr>
              <w:t>by consensus, where the voice of Aboriginal and Torres Strait Islander entities hold as much weight as the governments</w:t>
            </w:r>
          </w:p>
          <w:p w14:paraId="16E01FE2" w14:textId="77777777" w:rsidR="00B64A5D" w:rsidRPr="00261C59" w:rsidRDefault="00B64A5D" w:rsidP="004728D9">
            <w:pPr>
              <w:numPr>
                <w:ilvl w:val="1"/>
                <w:numId w:val="45"/>
              </w:numPr>
              <w:tabs>
                <w:tab w:val="clear" w:pos="1069"/>
                <w:tab w:val="num" w:pos="459"/>
                <w:tab w:val="num" w:pos="1440"/>
              </w:tabs>
              <w:spacing w:before="40" w:after="40"/>
              <w:ind w:left="459" w:hanging="425"/>
              <w:jc w:val="left"/>
              <w:rPr>
                <w:rFonts w:ascii="Calibri" w:hAnsi="Calibri"/>
                <w:color w:val="000000" w:themeColor="text1"/>
                <w:sz w:val="24"/>
                <w:szCs w:val="24"/>
              </w:rPr>
            </w:pPr>
            <w:r w:rsidRPr="00261C59">
              <w:rPr>
                <w:rFonts w:ascii="Calibri" w:hAnsi="Calibri"/>
                <w:color w:val="000000" w:themeColor="text1"/>
                <w:sz w:val="24"/>
                <w:szCs w:val="24"/>
              </w:rPr>
              <w:t>transparent, where matters for decision are in terms that are easily understood by all entities and where there is enough information and time to understand the implications of the decision</w:t>
            </w:r>
          </w:p>
          <w:p w14:paraId="2F33F10D" w14:textId="77777777" w:rsidR="00B64A5D" w:rsidRPr="00261C59" w:rsidRDefault="00B64A5D" w:rsidP="004728D9">
            <w:pPr>
              <w:numPr>
                <w:ilvl w:val="1"/>
                <w:numId w:val="45"/>
              </w:numPr>
              <w:tabs>
                <w:tab w:val="clear" w:pos="1069"/>
                <w:tab w:val="num" w:pos="459"/>
                <w:tab w:val="num" w:pos="1440"/>
              </w:tabs>
              <w:spacing w:before="40" w:after="40"/>
              <w:ind w:left="459" w:hanging="425"/>
              <w:jc w:val="left"/>
              <w:rPr>
                <w:rFonts w:ascii="Calibri" w:hAnsi="Calibri"/>
                <w:color w:val="000000" w:themeColor="text1"/>
                <w:sz w:val="24"/>
                <w:szCs w:val="24"/>
              </w:rPr>
            </w:pPr>
            <w:r w:rsidRPr="00261C59">
              <w:rPr>
                <w:rFonts w:ascii="Calibri" w:hAnsi="Calibri"/>
                <w:color w:val="000000" w:themeColor="text1"/>
                <w:sz w:val="24"/>
                <w:szCs w:val="24"/>
              </w:rPr>
              <w:t xml:space="preserve">where Aboriginal and Torres Strait Islander representatives can speak without fear of reprisals or repercussions </w:t>
            </w:r>
          </w:p>
          <w:p w14:paraId="76B3524A" w14:textId="77777777" w:rsidR="00B64A5D" w:rsidRPr="00261C59" w:rsidRDefault="00B64A5D" w:rsidP="004728D9">
            <w:pPr>
              <w:numPr>
                <w:ilvl w:val="1"/>
                <w:numId w:val="45"/>
              </w:numPr>
              <w:tabs>
                <w:tab w:val="clear" w:pos="1069"/>
                <w:tab w:val="num" w:pos="459"/>
                <w:tab w:val="num" w:pos="1440"/>
              </w:tabs>
              <w:spacing w:before="40" w:after="40"/>
              <w:ind w:left="459" w:hanging="425"/>
              <w:jc w:val="left"/>
              <w:rPr>
                <w:rFonts w:ascii="Calibri" w:hAnsi="Calibri"/>
                <w:color w:val="000000" w:themeColor="text1"/>
                <w:sz w:val="24"/>
                <w:szCs w:val="24"/>
              </w:rPr>
            </w:pPr>
            <w:r w:rsidRPr="00261C59">
              <w:rPr>
                <w:rFonts w:ascii="Calibri" w:hAnsi="Calibri"/>
                <w:color w:val="000000" w:themeColor="text1"/>
                <w:sz w:val="24"/>
                <w:szCs w:val="24"/>
              </w:rPr>
              <w:t>where a wide variety of groups of Aboriginal and Torres Strait Islander people, including women, young people, Elders and Aboriginal and Torres Strait Islander people with a disability can have their voice heard</w:t>
            </w:r>
          </w:p>
          <w:p w14:paraId="5868E787" w14:textId="77777777" w:rsidR="00B64A5D" w:rsidRPr="00261C59" w:rsidRDefault="00B64A5D" w:rsidP="004728D9">
            <w:pPr>
              <w:numPr>
                <w:ilvl w:val="1"/>
                <w:numId w:val="45"/>
              </w:numPr>
              <w:tabs>
                <w:tab w:val="clear" w:pos="1069"/>
                <w:tab w:val="num" w:pos="459"/>
                <w:tab w:val="num" w:pos="1440"/>
              </w:tabs>
              <w:spacing w:before="40" w:after="40"/>
              <w:ind w:left="459" w:hanging="425"/>
              <w:jc w:val="left"/>
              <w:rPr>
                <w:rFonts w:ascii="Calibri" w:hAnsi="Calibri"/>
                <w:color w:val="000000" w:themeColor="text1"/>
                <w:sz w:val="24"/>
                <w:szCs w:val="24"/>
              </w:rPr>
            </w:pPr>
            <w:r w:rsidRPr="00261C59">
              <w:rPr>
                <w:rFonts w:ascii="Calibri" w:hAnsi="Calibri"/>
                <w:color w:val="000000" w:themeColor="text1"/>
                <w:sz w:val="24"/>
                <w:szCs w:val="24"/>
              </w:rPr>
              <w:t>where self-determination is supported, and Aboriginal and Torres Strait Islander lived experience is understood and respected</w:t>
            </w:r>
          </w:p>
          <w:p w14:paraId="4B870F9E" w14:textId="77777777" w:rsidR="00B64A5D" w:rsidRPr="00261C59" w:rsidRDefault="00B64A5D" w:rsidP="004728D9">
            <w:pPr>
              <w:numPr>
                <w:ilvl w:val="1"/>
                <w:numId w:val="45"/>
              </w:numPr>
              <w:tabs>
                <w:tab w:val="clear" w:pos="1069"/>
                <w:tab w:val="num" w:pos="459"/>
                <w:tab w:val="num" w:pos="1440"/>
              </w:tabs>
              <w:spacing w:before="40" w:after="40"/>
              <w:ind w:left="459" w:hanging="425"/>
              <w:jc w:val="left"/>
              <w:rPr>
                <w:rFonts w:ascii="Calibri" w:hAnsi="Calibri"/>
                <w:color w:val="000000" w:themeColor="text1"/>
                <w:sz w:val="24"/>
                <w:szCs w:val="24"/>
              </w:rPr>
            </w:pPr>
            <w:r w:rsidRPr="00261C59">
              <w:rPr>
                <w:rFonts w:ascii="Calibri" w:hAnsi="Calibri"/>
                <w:color w:val="000000" w:themeColor="text1"/>
                <w:sz w:val="24"/>
                <w:szCs w:val="24"/>
              </w:rPr>
              <w:t>where relevant funding for programs and services align with jointly agreed community priorities, noting governments retain responsibility for funding decisions</w:t>
            </w:r>
          </w:p>
          <w:p w14:paraId="176EF79E" w14:textId="77777777" w:rsidR="00B64A5D" w:rsidRPr="00261C59" w:rsidRDefault="00B64A5D" w:rsidP="004728D9">
            <w:pPr>
              <w:numPr>
                <w:ilvl w:val="1"/>
                <w:numId w:val="45"/>
              </w:numPr>
              <w:tabs>
                <w:tab w:val="clear" w:pos="1069"/>
                <w:tab w:val="num" w:pos="459"/>
                <w:tab w:val="num" w:pos="1440"/>
              </w:tabs>
              <w:spacing w:before="40" w:after="40"/>
              <w:ind w:left="459" w:hanging="425"/>
              <w:jc w:val="left"/>
              <w:rPr>
                <w:rFonts w:ascii="Calibri" w:hAnsi="Calibri"/>
                <w:sz w:val="24"/>
                <w:szCs w:val="24"/>
              </w:rPr>
            </w:pPr>
            <w:r w:rsidRPr="00261C59">
              <w:rPr>
                <w:rFonts w:ascii="Calibri" w:hAnsi="Calibri"/>
                <w:color w:val="000000" w:themeColor="text1"/>
                <w:sz w:val="24"/>
                <w:szCs w:val="24"/>
              </w:rPr>
              <w:t>where all entities have access to the same data and information, in an easily accessible format, on which any decisions are made.</w:t>
            </w:r>
            <w:r w:rsidRPr="00261C59">
              <w:rPr>
                <w:rFonts w:ascii="Calibri" w:hAnsi="Calibri"/>
                <w:sz w:val="24"/>
                <w:szCs w:val="24"/>
              </w:rPr>
              <w:t xml:space="preserve"> </w:t>
            </w:r>
          </w:p>
        </w:tc>
      </w:tr>
      <w:tr w:rsidR="00B64A5D" w:rsidRPr="00261C59" w14:paraId="4C641903" w14:textId="77777777" w:rsidTr="00F36330">
        <w:tc>
          <w:tcPr>
            <w:tcW w:w="3295" w:type="dxa"/>
          </w:tcPr>
          <w:p w14:paraId="5B895F39" w14:textId="4E226EB2" w:rsidR="00B64A5D" w:rsidRPr="00261C59" w:rsidRDefault="00B64A5D" w:rsidP="00B64A5D">
            <w:pPr>
              <w:keepLines/>
              <w:widowControl/>
              <w:spacing w:before="40" w:after="40"/>
              <w:jc w:val="left"/>
              <w:rPr>
                <w:rFonts w:ascii="Calibri" w:hAnsi="Calibri"/>
                <w:color w:val="000000"/>
                <w:sz w:val="24"/>
                <w:szCs w:val="24"/>
              </w:rPr>
            </w:pPr>
            <w:r w:rsidRPr="00261C59">
              <w:rPr>
                <w:rFonts w:ascii="Calibri" w:hAnsi="Calibri"/>
                <w:color w:val="000000"/>
                <w:sz w:val="24"/>
                <w:szCs w:val="24"/>
              </w:rPr>
              <w:t>Soft Cap</w:t>
            </w:r>
          </w:p>
        </w:tc>
        <w:tc>
          <w:tcPr>
            <w:tcW w:w="6236" w:type="dxa"/>
          </w:tcPr>
          <w:p w14:paraId="4016F93B" w14:textId="19FD8665" w:rsidR="00B64A5D" w:rsidRPr="00261C59" w:rsidRDefault="00B64A5D" w:rsidP="00B64A5D">
            <w:pPr>
              <w:widowControl/>
              <w:spacing w:before="40" w:after="40"/>
              <w:jc w:val="left"/>
              <w:rPr>
                <w:rFonts w:ascii="Calibri" w:hAnsi="Calibri"/>
                <w:sz w:val="24"/>
                <w:szCs w:val="24"/>
              </w:rPr>
            </w:pPr>
            <w:r w:rsidRPr="00261C59">
              <w:rPr>
                <w:rFonts w:ascii="Calibri" w:hAnsi="Calibri"/>
                <w:sz w:val="24"/>
                <w:szCs w:val="24"/>
              </w:rPr>
              <w:t>Means the limit in growth in Commonwealth funding for public hospital services in a State of 6.5 per cent per annum, as part of the 2020-2025 Addendum to the NHRA.</w:t>
            </w:r>
          </w:p>
        </w:tc>
      </w:tr>
      <w:tr w:rsidR="00B64A5D" w:rsidRPr="00261C59" w14:paraId="1EBFB3A9" w14:textId="77777777" w:rsidTr="004728D9">
        <w:tc>
          <w:tcPr>
            <w:tcW w:w="3295" w:type="dxa"/>
          </w:tcPr>
          <w:p w14:paraId="7B989598" w14:textId="77777777" w:rsidR="00B64A5D" w:rsidRPr="00261C59" w:rsidRDefault="00B64A5D" w:rsidP="00B64A5D">
            <w:pPr>
              <w:keepLines/>
              <w:widowControl/>
              <w:spacing w:before="40" w:after="40"/>
              <w:jc w:val="left"/>
              <w:rPr>
                <w:rFonts w:ascii="Calibri" w:hAnsi="Calibri"/>
                <w:color w:val="000000"/>
                <w:sz w:val="24"/>
                <w:szCs w:val="24"/>
              </w:rPr>
            </w:pPr>
            <w:r w:rsidRPr="00261C59">
              <w:rPr>
                <w:rFonts w:ascii="Calibri" w:hAnsi="Calibri"/>
                <w:color w:val="000000"/>
                <w:sz w:val="24"/>
                <w:szCs w:val="24"/>
              </w:rPr>
              <w:t>Statement of Assurance</w:t>
            </w:r>
          </w:p>
        </w:tc>
        <w:tc>
          <w:tcPr>
            <w:tcW w:w="6236" w:type="dxa"/>
          </w:tcPr>
          <w:p w14:paraId="27AFCFB2" w14:textId="2C24FA9C" w:rsidR="00B64A5D" w:rsidRPr="00261C59" w:rsidRDefault="00B64A5D" w:rsidP="00B64A5D">
            <w:pPr>
              <w:widowControl/>
              <w:spacing w:before="40" w:after="40"/>
              <w:jc w:val="left"/>
              <w:rPr>
                <w:rFonts w:ascii="Calibri" w:hAnsi="Calibri"/>
                <w:sz w:val="24"/>
                <w:szCs w:val="24"/>
              </w:rPr>
            </w:pPr>
            <w:r w:rsidRPr="00261C59">
              <w:rPr>
                <w:rFonts w:ascii="Calibri" w:hAnsi="Calibri"/>
                <w:sz w:val="24"/>
                <w:szCs w:val="24"/>
              </w:rPr>
              <w:t xml:space="preserve">Means the statement as to the completeness and accuracy of data submitted, issued in accordance with </w:t>
            </w:r>
            <w:r w:rsidRPr="00261C59">
              <w:rPr>
                <w:rFonts w:ascii="Calibri" w:hAnsi="Calibri"/>
                <w:sz w:val="24"/>
              </w:rPr>
              <w:t>clauses I</w:t>
            </w:r>
            <w:r w:rsidR="00B8021F" w:rsidRPr="00261C59">
              <w:rPr>
                <w:rFonts w:ascii="Calibri" w:hAnsi="Calibri"/>
                <w:sz w:val="24"/>
              </w:rPr>
              <w:t>93</w:t>
            </w:r>
            <w:r w:rsidRPr="00261C59">
              <w:rPr>
                <w:rFonts w:ascii="Calibri" w:hAnsi="Calibri"/>
                <w:sz w:val="24"/>
              </w:rPr>
              <w:t xml:space="preserve"> and I</w:t>
            </w:r>
            <w:r w:rsidR="00B8021F" w:rsidRPr="00261C59">
              <w:rPr>
                <w:rFonts w:ascii="Calibri" w:hAnsi="Calibri"/>
                <w:sz w:val="24"/>
              </w:rPr>
              <w:t>94</w:t>
            </w:r>
            <w:r w:rsidRPr="00261C59">
              <w:rPr>
                <w:rFonts w:ascii="Calibri" w:hAnsi="Calibri"/>
                <w:sz w:val="24"/>
                <w:szCs w:val="24"/>
              </w:rPr>
              <w:t>.</w:t>
            </w:r>
          </w:p>
        </w:tc>
      </w:tr>
      <w:tr w:rsidR="00B64A5D" w:rsidRPr="00261C59" w14:paraId="28EB334E" w14:textId="77777777" w:rsidTr="004728D9">
        <w:tc>
          <w:tcPr>
            <w:tcW w:w="3295" w:type="dxa"/>
          </w:tcPr>
          <w:p w14:paraId="3B5C25A0" w14:textId="77777777" w:rsidR="00B64A5D" w:rsidRPr="00261C59" w:rsidRDefault="00B64A5D" w:rsidP="00B64A5D">
            <w:pPr>
              <w:spacing w:before="40" w:after="40"/>
              <w:jc w:val="left"/>
              <w:rPr>
                <w:rFonts w:ascii="Calibri" w:hAnsi="Calibri"/>
                <w:sz w:val="24"/>
                <w:szCs w:val="24"/>
              </w:rPr>
            </w:pPr>
            <w:r w:rsidRPr="00261C59">
              <w:rPr>
                <w:rFonts w:ascii="Calibri" w:hAnsi="Calibri"/>
                <w:color w:val="000000"/>
                <w:sz w:val="24"/>
                <w:szCs w:val="24"/>
              </w:rPr>
              <w:t>State managed fund(s)</w:t>
            </w:r>
          </w:p>
        </w:tc>
        <w:tc>
          <w:tcPr>
            <w:tcW w:w="6236" w:type="dxa"/>
          </w:tcPr>
          <w:p w14:paraId="591C2CB0"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a fund(s) or account(s) established by State legislation for the purpose of receiving funding for block-funding.</w:t>
            </w:r>
          </w:p>
        </w:tc>
      </w:tr>
      <w:tr w:rsidR="00B64A5D" w:rsidRPr="00261C59" w14:paraId="1EF769CC" w14:textId="77777777" w:rsidTr="004728D9">
        <w:tc>
          <w:tcPr>
            <w:tcW w:w="3295" w:type="dxa"/>
          </w:tcPr>
          <w:p w14:paraId="621C093B"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States</w:t>
            </w:r>
          </w:p>
        </w:tc>
        <w:tc>
          <w:tcPr>
            <w:tcW w:w="6236" w:type="dxa"/>
          </w:tcPr>
          <w:p w14:paraId="689B0ABA"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States and Territories.</w:t>
            </w:r>
          </w:p>
        </w:tc>
      </w:tr>
      <w:tr w:rsidR="00B64A5D" w:rsidRPr="00261C59" w14:paraId="3DE3232F" w14:textId="77777777" w:rsidTr="41C45219">
        <w:trPr>
          <w:trHeight w:val="300"/>
        </w:trPr>
        <w:tc>
          <w:tcPr>
            <w:tcW w:w="3295" w:type="dxa"/>
          </w:tcPr>
          <w:p w14:paraId="5166A61B" w14:textId="1269D72A" w:rsidR="00B64A5D" w:rsidRPr="00261C59" w:rsidRDefault="00B64A5D" w:rsidP="00B64A5D">
            <w:pPr>
              <w:jc w:val="left"/>
              <w:rPr>
                <w:rFonts w:ascii="Calibri" w:hAnsi="Calibri"/>
                <w:sz w:val="24"/>
                <w:szCs w:val="24"/>
              </w:rPr>
            </w:pPr>
            <w:r w:rsidRPr="00261C59">
              <w:rPr>
                <w:rFonts w:ascii="Calibri" w:hAnsi="Calibri"/>
                <w:sz w:val="24"/>
                <w:szCs w:val="24"/>
              </w:rPr>
              <w:t>Third Party</w:t>
            </w:r>
          </w:p>
        </w:tc>
        <w:tc>
          <w:tcPr>
            <w:tcW w:w="6236" w:type="dxa"/>
          </w:tcPr>
          <w:p w14:paraId="5BDE19DA" w14:textId="2684BE24" w:rsidR="00B64A5D" w:rsidRPr="00261C59" w:rsidRDefault="00B64A5D" w:rsidP="00B64A5D">
            <w:pPr>
              <w:jc w:val="left"/>
              <w:rPr>
                <w:rFonts w:ascii="Calibri" w:hAnsi="Calibri"/>
                <w:sz w:val="24"/>
                <w:szCs w:val="24"/>
              </w:rPr>
            </w:pPr>
            <w:r w:rsidRPr="00261C59">
              <w:rPr>
                <w:rFonts w:ascii="Calibri" w:hAnsi="Calibri"/>
                <w:sz w:val="24"/>
                <w:szCs w:val="24"/>
              </w:rPr>
              <w:t xml:space="preserve">Means any party other than the Commonwealth (including Department of Veterans’ Affairs) and the State Department administering the Agreement that enters into an arrangement for the purchase of public hospital services. </w:t>
            </w:r>
          </w:p>
        </w:tc>
      </w:tr>
      <w:tr w:rsidR="00B64A5D" w:rsidRPr="00261C59" w14:paraId="06FCD841" w14:textId="77777777" w:rsidTr="004728D9">
        <w:tc>
          <w:tcPr>
            <w:tcW w:w="3295" w:type="dxa"/>
          </w:tcPr>
          <w:p w14:paraId="604EB544"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Trauma-aware, healing-informed practice</w:t>
            </w:r>
          </w:p>
        </w:tc>
        <w:tc>
          <w:tcPr>
            <w:tcW w:w="6236" w:type="dxa"/>
          </w:tcPr>
          <w:p w14:paraId="468CDF53" w14:textId="7E03EF00"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an approach has been developed to address the high prevalence of trauma amongst Aboriginal and Torres Strait Islander people and support journeys of individual, family, and community healing. It recognises the co-existence of trauma with intergenerational trauma, built within individual and collective experiences of colonialism and racism. It is strengths based and grounded in Aboriginal and Torres Strait Islander people</w:t>
            </w:r>
            <w:r w:rsidR="00FB70A3">
              <w:rPr>
                <w:rFonts w:ascii="Calibri" w:hAnsi="Calibri"/>
                <w:sz w:val="24"/>
                <w:szCs w:val="24"/>
              </w:rPr>
              <w:t>’</w:t>
            </w:r>
            <w:r w:rsidRPr="00261C59">
              <w:rPr>
                <w:rFonts w:ascii="Calibri" w:hAnsi="Calibri"/>
                <w:sz w:val="24"/>
                <w:szCs w:val="24"/>
              </w:rPr>
              <w:t>s ways of knowing, being, and doing. The approach is non-linear and cyclical, reflective of the story and journey of each individual, family, community and Country. In practice, it emphasises cultural, spiritual, physical, psychological, and emotional safety, when engaging with issues of high importance that are likely to be sensitive and triggering of trauma responses. It requires a reflective practice and an awareness of cultural and unconscious bias, privilege, and the ongoing impacts of colonialism. Its principles are: </w:t>
            </w:r>
          </w:p>
          <w:p w14:paraId="25604307" w14:textId="77777777" w:rsidR="00B64A5D" w:rsidRPr="00261C59" w:rsidRDefault="00B64A5D" w:rsidP="004728D9">
            <w:pPr>
              <w:numPr>
                <w:ilvl w:val="1"/>
                <w:numId w:val="46"/>
              </w:numPr>
              <w:tabs>
                <w:tab w:val="clear" w:pos="1069"/>
                <w:tab w:val="num" w:pos="459"/>
                <w:tab w:val="num" w:pos="1440"/>
              </w:tabs>
              <w:spacing w:before="40" w:after="40"/>
              <w:ind w:left="459" w:hanging="425"/>
              <w:jc w:val="left"/>
              <w:rPr>
                <w:rFonts w:ascii="Calibri" w:hAnsi="Calibri"/>
                <w:color w:val="000000" w:themeColor="text1"/>
                <w:sz w:val="24"/>
                <w:szCs w:val="24"/>
              </w:rPr>
            </w:pPr>
            <w:r w:rsidRPr="00261C59">
              <w:rPr>
                <w:rFonts w:ascii="Calibri" w:hAnsi="Calibri"/>
                <w:color w:val="000000" w:themeColor="text1"/>
                <w:sz w:val="24"/>
                <w:szCs w:val="24"/>
              </w:rPr>
              <w:t>Stolen Generations survivors have complex needs related to their experiences of trauma</w:t>
            </w:r>
          </w:p>
          <w:p w14:paraId="78F82F24" w14:textId="7B973120" w:rsidR="00B64A5D" w:rsidRPr="00261C59" w:rsidRDefault="00B64A5D" w:rsidP="004728D9">
            <w:pPr>
              <w:numPr>
                <w:ilvl w:val="1"/>
                <w:numId w:val="46"/>
              </w:numPr>
              <w:tabs>
                <w:tab w:val="clear" w:pos="1069"/>
                <w:tab w:val="num" w:pos="459"/>
                <w:tab w:val="num" w:pos="1440"/>
              </w:tabs>
              <w:spacing w:before="40" w:after="40"/>
              <w:ind w:left="459" w:hanging="425"/>
              <w:jc w:val="left"/>
              <w:rPr>
                <w:rFonts w:ascii="Calibri" w:hAnsi="Calibri"/>
                <w:color w:val="000000" w:themeColor="text1"/>
                <w:sz w:val="24"/>
                <w:szCs w:val="24"/>
              </w:rPr>
            </w:pPr>
            <w:r w:rsidRPr="00261C59">
              <w:rPr>
                <w:rFonts w:ascii="Calibri" w:hAnsi="Calibri"/>
                <w:color w:val="000000" w:themeColor="text1"/>
                <w:sz w:val="24"/>
                <w:szCs w:val="24"/>
              </w:rPr>
              <w:t>Aboriginal and Torres Strait Islander people</w:t>
            </w:r>
            <w:r w:rsidR="00FB70A3">
              <w:rPr>
                <w:rFonts w:ascii="Calibri" w:hAnsi="Calibri"/>
                <w:color w:val="000000" w:themeColor="text1"/>
                <w:sz w:val="24"/>
                <w:szCs w:val="24"/>
              </w:rPr>
              <w:t>’</w:t>
            </w:r>
            <w:r w:rsidRPr="00261C59">
              <w:rPr>
                <w:rFonts w:ascii="Calibri" w:hAnsi="Calibri"/>
                <w:color w:val="000000" w:themeColor="text1"/>
                <w:sz w:val="24"/>
                <w:szCs w:val="24"/>
              </w:rPr>
              <w:t>s ways of knowing, being and doing encompass belonging, (re)connection, collectivity, intergenerational learning, knowledges, and relationships</w:t>
            </w:r>
          </w:p>
          <w:p w14:paraId="643582D8" w14:textId="77777777" w:rsidR="00B64A5D" w:rsidRPr="00261C59" w:rsidRDefault="00B64A5D" w:rsidP="004728D9">
            <w:pPr>
              <w:numPr>
                <w:ilvl w:val="1"/>
                <w:numId w:val="46"/>
              </w:numPr>
              <w:tabs>
                <w:tab w:val="clear" w:pos="1069"/>
                <w:tab w:val="num" w:pos="459"/>
                <w:tab w:val="num" w:pos="1440"/>
              </w:tabs>
              <w:spacing w:before="40" w:after="40"/>
              <w:ind w:left="459" w:hanging="425"/>
              <w:jc w:val="left"/>
              <w:rPr>
                <w:rFonts w:ascii="Calibri" w:hAnsi="Calibri"/>
                <w:color w:val="000000" w:themeColor="text1"/>
                <w:sz w:val="24"/>
                <w:szCs w:val="24"/>
              </w:rPr>
            </w:pPr>
            <w:r w:rsidRPr="00261C59">
              <w:rPr>
                <w:rFonts w:ascii="Calibri" w:hAnsi="Calibri"/>
                <w:color w:val="000000" w:themeColor="text1"/>
                <w:sz w:val="24"/>
                <w:szCs w:val="24"/>
              </w:rPr>
              <w:t>an understanding of engagement with collective and interconnected trauma and intergenerational trauma experienced by First Nations peoples</w:t>
            </w:r>
          </w:p>
          <w:p w14:paraId="73E98197" w14:textId="77777777" w:rsidR="00B64A5D" w:rsidRPr="00261C59" w:rsidRDefault="00B64A5D" w:rsidP="004728D9">
            <w:pPr>
              <w:numPr>
                <w:ilvl w:val="1"/>
                <w:numId w:val="46"/>
              </w:numPr>
              <w:tabs>
                <w:tab w:val="clear" w:pos="1069"/>
                <w:tab w:val="num" w:pos="459"/>
                <w:tab w:val="num" w:pos="1440"/>
              </w:tabs>
              <w:spacing w:before="40" w:after="40"/>
              <w:ind w:left="459" w:hanging="425"/>
              <w:jc w:val="left"/>
              <w:rPr>
                <w:rFonts w:ascii="Calibri" w:hAnsi="Calibri"/>
                <w:color w:val="000000" w:themeColor="text1"/>
                <w:sz w:val="24"/>
                <w:szCs w:val="24"/>
              </w:rPr>
            </w:pPr>
            <w:r w:rsidRPr="00261C59">
              <w:rPr>
                <w:rFonts w:ascii="Calibri" w:hAnsi="Calibri"/>
                <w:color w:val="000000" w:themeColor="text1"/>
                <w:sz w:val="24"/>
                <w:szCs w:val="24"/>
              </w:rPr>
              <w:t xml:space="preserve">culture and cultural expression are central to healing </w:t>
            </w:r>
          </w:p>
          <w:p w14:paraId="601D77FD" w14:textId="77777777" w:rsidR="00B64A5D" w:rsidRPr="00261C59" w:rsidRDefault="00B64A5D" w:rsidP="004728D9">
            <w:pPr>
              <w:numPr>
                <w:ilvl w:val="1"/>
                <w:numId w:val="46"/>
              </w:numPr>
              <w:tabs>
                <w:tab w:val="clear" w:pos="1069"/>
                <w:tab w:val="num" w:pos="459"/>
                <w:tab w:val="num" w:pos="1440"/>
              </w:tabs>
              <w:spacing w:before="40" w:after="40"/>
              <w:ind w:left="459" w:hanging="425"/>
              <w:jc w:val="left"/>
              <w:rPr>
                <w:rFonts w:ascii="Calibri" w:hAnsi="Calibri"/>
                <w:color w:val="000000" w:themeColor="text1"/>
                <w:sz w:val="24"/>
                <w:szCs w:val="24"/>
              </w:rPr>
            </w:pPr>
            <w:r w:rsidRPr="00261C59">
              <w:rPr>
                <w:rFonts w:ascii="Calibri" w:hAnsi="Calibri"/>
                <w:color w:val="000000" w:themeColor="text1"/>
                <w:sz w:val="24"/>
                <w:szCs w:val="24"/>
              </w:rPr>
              <w:t>strengths based interconnected approaches</w:t>
            </w:r>
          </w:p>
          <w:p w14:paraId="659101BF" w14:textId="77777777" w:rsidR="00B64A5D" w:rsidRPr="00261C59" w:rsidRDefault="00B64A5D" w:rsidP="004728D9">
            <w:pPr>
              <w:numPr>
                <w:ilvl w:val="1"/>
                <w:numId w:val="46"/>
              </w:numPr>
              <w:tabs>
                <w:tab w:val="clear" w:pos="1069"/>
                <w:tab w:val="num" w:pos="459"/>
                <w:tab w:val="num" w:pos="1440"/>
              </w:tabs>
              <w:spacing w:before="40" w:after="40"/>
              <w:ind w:left="459" w:hanging="425"/>
              <w:jc w:val="left"/>
              <w:rPr>
                <w:rFonts w:ascii="Calibri" w:hAnsi="Calibri"/>
                <w:sz w:val="24"/>
                <w:szCs w:val="24"/>
              </w:rPr>
            </w:pPr>
            <w:r w:rsidRPr="00261C59">
              <w:rPr>
                <w:rFonts w:ascii="Calibri" w:hAnsi="Calibri"/>
                <w:color w:val="000000" w:themeColor="text1"/>
                <w:sz w:val="24"/>
                <w:szCs w:val="24"/>
              </w:rPr>
              <w:t>healing informed is a nonlinear, holistic journey that addresses physical, emotional, and spiritual needs.</w:t>
            </w:r>
          </w:p>
        </w:tc>
      </w:tr>
      <w:tr w:rsidR="00B64A5D" w:rsidRPr="00261C59" w14:paraId="23553036" w14:textId="77777777" w:rsidTr="004728D9">
        <w:tc>
          <w:tcPr>
            <w:tcW w:w="3295" w:type="dxa"/>
          </w:tcPr>
          <w:p w14:paraId="2D00DD40"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Treasurer’s Determination</w:t>
            </w:r>
          </w:p>
        </w:tc>
        <w:tc>
          <w:tcPr>
            <w:tcW w:w="6236" w:type="dxa"/>
          </w:tcPr>
          <w:p w14:paraId="1534BD77"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the legislative instrument that sets out the final Commonwealth NHR funding entitlement amount for each State for the relevant financial year as determined by the Commonwealth Treasurer.</w:t>
            </w:r>
          </w:p>
        </w:tc>
      </w:tr>
      <w:tr w:rsidR="00B64A5D" w:rsidRPr="00261C59" w14:paraId="47E55814" w14:textId="77777777" w:rsidTr="004728D9">
        <w:tc>
          <w:tcPr>
            <w:tcW w:w="3295" w:type="dxa"/>
          </w:tcPr>
          <w:p w14:paraId="16274104"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Unspent cap funding</w:t>
            </w:r>
          </w:p>
        </w:tc>
        <w:tc>
          <w:tcPr>
            <w:tcW w:w="6236" w:type="dxa"/>
          </w:tcPr>
          <w:p w14:paraId="7AF5EF2C"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the difference between a State’s funding cap and their final entitlement for a financial year if their final Commonwealth entitlement is less than their funding cap.</w:t>
            </w:r>
          </w:p>
        </w:tc>
      </w:tr>
      <w:tr w:rsidR="00B64A5D" w:rsidRPr="00261C59" w14:paraId="048A99CC" w14:textId="77777777" w:rsidTr="004728D9">
        <w:tc>
          <w:tcPr>
            <w:tcW w:w="3295" w:type="dxa"/>
          </w:tcPr>
          <w:p w14:paraId="4470E316"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Value</w:t>
            </w:r>
          </w:p>
        </w:tc>
        <w:tc>
          <w:tcPr>
            <w:tcW w:w="6236" w:type="dxa"/>
          </w:tcPr>
          <w:p w14:paraId="39C4AB71"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maximising patient experience and outcomes, improving population health and high quality, evidence-based clinical care, relative to the cost of delivery.</w:t>
            </w:r>
          </w:p>
          <w:p w14:paraId="48F1EFD5"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This definition involves the alignment of incentives for all stakeholders (including patients, families, providers and governments) in order to obtain the best possible health outcomes for all Australians.</w:t>
            </w:r>
          </w:p>
        </w:tc>
      </w:tr>
      <w:tr w:rsidR="00B64A5D" w:rsidRPr="00261C59" w14:paraId="0F3888F5" w14:textId="77777777" w:rsidTr="004728D9">
        <w:tc>
          <w:tcPr>
            <w:tcW w:w="3295" w:type="dxa"/>
          </w:tcPr>
          <w:p w14:paraId="543ACB4D"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Value-based pricing</w:t>
            </w:r>
          </w:p>
        </w:tc>
        <w:tc>
          <w:tcPr>
            <w:tcW w:w="6236" w:type="dxa"/>
          </w:tcPr>
          <w:p w14:paraId="6E96188B"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pricing adjustments made under the high-value care, low-value care, normative pricing and priority care loading initiatives within this Addendum.</w:t>
            </w:r>
          </w:p>
        </w:tc>
      </w:tr>
      <w:tr w:rsidR="00B64A5D" w:rsidRPr="00261C59" w14:paraId="751B92D8" w14:textId="77777777" w:rsidTr="004728D9">
        <w:tc>
          <w:tcPr>
            <w:tcW w:w="3295" w:type="dxa"/>
          </w:tcPr>
          <w:p w14:paraId="06EAC73F" w14:textId="77777777" w:rsidR="00B64A5D" w:rsidRPr="00261C59" w:rsidRDefault="00B64A5D" w:rsidP="00B64A5D">
            <w:pPr>
              <w:spacing w:before="40" w:after="40"/>
              <w:jc w:val="left"/>
              <w:rPr>
                <w:rFonts w:ascii="Calibri" w:hAnsi="Calibri"/>
                <w:color w:val="000000"/>
                <w:sz w:val="24"/>
                <w:szCs w:val="24"/>
              </w:rPr>
            </w:pPr>
            <w:r w:rsidRPr="00261C59">
              <w:rPr>
                <w:rFonts w:ascii="Calibri" w:hAnsi="Calibri"/>
                <w:color w:val="000000"/>
                <w:sz w:val="24"/>
                <w:szCs w:val="24"/>
              </w:rPr>
              <w:t>Weighted services</w:t>
            </w:r>
          </w:p>
        </w:tc>
        <w:tc>
          <w:tcPr>
            <w:tcW w:w="6236" w:type="dxa"/>
          </w:tcPr>
          <w:p w14:paraId="77EA5DC0" w14:textId="77777777" w:rsidR="00B64A5D" w:rsidRPr="00261C59" w:rsidRDefault="00B64A5D" w:rsidP="00B64A5D">
            <w:pPr>
              <w:spacing w:before="40" w:after="40"/>
              <w:jc w:val="left"/>
              <w:rPr>
                <w:rFonts w:ascii="Calibri" w:hAnsi="Calibri"/>
                <w:sz w:val="24"/>
                <w:szCs w:val="24"/>
              </w:rPr>
            </w:pPr>
            <w:r w:rsidRPr="00261C59">
              <w:rPr>
                <w:rFonts w:ascii="Calibri" w:hAnsi="Calibri"/>
                <w:sz w:val="24"/>
                <w:szCs w:val="24"/>
              </w:rPr>
              <w:t>Means services of a particular category where each service may count as more or less than one service as determined by the cost weight determined by the IHACPA to be applicable to that service.</w:t>
            </w:r>
          </w:p>
        </w:tc>
      </w:tr>
    </w:tbl>
    <w:p w14:paraId="76E2BAA4" w14:textId="77777777" w:rsidR="00424274" w:rsidRPr="00261C59" w:rsidRDefault="00424274" w:rsidP="004728D9">
      <w:pPr>
        <w:spacing w:before="0"/>
        <w:jc w:val="left"/>
        <w:rPr>
          <w:rFonts w:ascii="Calibri" w:hAnsi="Calibri"/>
          <w:sz w:val="24"/>
        </w:rPr>
      </w:pPr>
    </w:p>
    <w:p w14:paraId="140E337C" w14:textId="77777777" w:rsidR="00C70547" w:rsidRPr="00261C59" w:rsidRDefault="00C70547" w:rsidP="00C06C23">
      <w:pPr>
        <w:spacing w:before="0"/>
        <w:jc w:val="left"/>
        <w:rPr>
          <w:rFonts w:ascii="Calibri" w:hAnsi="Calibri"/>
          <w:sz w:val="24"/>
          <w:szCs w:val="24"/>
        </w:rPr>
        <w:sectPr w:rsidR="00C70547" w:rsidRPr="00261C59" w:rsidSect="00842312">
          <w:headerReference w:type="default" r:id="rId22"/>
          <w:footerReference w:type="default" r:id="rId23"/>
          <w:pgSz w:w="11906" w:h="16838"/>
          <w:pgMar w:top="1814" w:right="1274" w:bottom="1134" w:left="1276" w:header="284" w:footer="283" w:gutter="0"/>
          <w:cols w:space="708"/>
          <w:docGrid w:linePitch="360"/>
        </w:sectPr>
      </w:pPr>
    </w:p>
    <w:p w14:paraId="76D21C08" w14:textId="2CB5BFA1" w:rsidR="00CE5A09" w:rsidRPr="00261C59" w:rsidRDefault="00CE5A09" w:rsidP="00CE5A09">
      <w:pPr>
        <w:pStyle w:val="Heading1"/>
        <w:keepLines w:val="0"/>
        <w:widowControl/>
        <w:tabs>
          <w:tab w:val="clear" w:pos="567"/>
        </w:tabs>
        <w:adjustRightInd/>
        <w:spacing w:before="120" w:after="180"/>
        <w:jc w:val="left"/>
        <w:textAlignment w:val="auto"/>
        <w:rPr>
          <w:rFonts w:ascii="Consolas" w:eastAsia="Times New Roman" w:hAnsi="Consolas" w:cs="Arial"/>
          <w:b w:val="0"/>
          <w:caps/>
          <w:color w:val="980033"/>
          <w:kern w:val="32"/>
          <w:szCs w:val="36"/>
        </w:rPr>
      </w:pPr>
      <w:bookmarkStart w:id="1003" w:name="_Toc210833727"/>
      <w:bookmarkStart w:id="1004" w:name="_Toc214456627"/>
      <w:bookmarkStart w:id="1005" w:name="_Toc221088112"/>
      <w:r w:rsidRPr="00261C59">
        <w:rPr>
          <w:rFonts w:ascii="Consolas" w:eastAsia="Times New Roman" w:hAnsi="Consolas" w:cs="Arial"/>
          <w:b w:val="0"/>
          <w:caps/>
          <w:color w:val="980033"/>
          <w:kern w:val="32"/>
          <w:szCs w:val="36"/>
        </w:rPr>
        <w:t xml:space="preserve">Appendix B – </w:t>
      </w:r>
      <w:r w:rsidR="009C456A" w:rsidRPr="00261C59">
        <w:rPr>
          <w:rFonts w:ascii="Consolas" w:eastAsia="Times New Roman" w:hAnsi="Consolas" w:cs="Arial"/>
          <w:b w:val="0"/>
          <w:caps/>
          <w:color w:val="980033"/>
          <w:kern w:val="32"/>
          <w:szCs w:val="36"/>
        </w:rPr>
        <w:t xml:space="preserve">Safety and quality </w:t>
      </w:r>
      <w:r w:rsidR="00447141" w:rsidRPr="00261C59">
        <w:rPr>
          <w:rFonts w:ascii="Consolas" w:eastAsia="Times New Roman" w:hAnsi="Consolas" w:cs="Arial"/>
          <w:b w:val="0"/>
          <w:caps/>
          <w:color w:val="980033"/>
          <w:kern w:val="32"/>
          <w:szCs w:val="36"/>
        </w:rPr>
        <w:t>criteria</w:t>
      </w:r>
      <w:bookmarkEnd w:id="1003"/>
      <w:bookmarkEnd w:id="1004"/>
      <w:bookmarkEnd w:id="1005"/>
    </w:p>
    <w:p w14:paraId="198433A6" w14:textId="77777777" w:rsidR="006B39F6" w:rsidRPr="00261C59" w:rsidRDefault="006B39F6" w:rsidP="004728D9">
      <w:pPr>
        <w:numPr>
          <w:ilvl w:val="0"/>
          <w:numId w:val="33"/>
        </w:numPr>
        <w:spacing w:after="240" w:line="260" w:lineRule="exact"/>
        <w:jc w:val="left"/>
        <w:rPr>
          <w:rFonts w:ascii="Calibri" w:hAnsi="Calibri"/>
          <w:sz w:val="24"/>
          <w:szCs w:val="24"/>
        </w:rPr>
      </w:pPr>
      <w:r w:rsidRPr="00261C59">
        <w:rPr>
          <w:rFonts w:ascii="Calibri" w:hAnsi="Calibri"/>
          <w:sz w:val="24"/>
          <w:szCs w:val="24"/>
        </w:rPr>
        <w:t>The following clauses specify:</w:t>
      </w:r>
    </w:p>
    <w:p w14:paraId="7FBE39F2" w14:textId="01518803" w:rsidR="006B39F6" w:rsidRPr="00261C59" w:rsidRDefault="006B39F6" w:rsidP="004728D9">
      <w:pPr>
        <w:numPr>
          <w:ilvl w:val="1"/>
          <w:numId w:val="237"/>
        </w:numPr>
        <w:spacing w:after="240" w:line="260" w:lineRule="exact"/>
        <w:jc w:val="left"/>
        <w:rPr>
          <w:rFonts w:ascii="Calibri" w:hAnsi="Calibri"/>
          <w:sz w:val="24"/>
          <w:szCs w:val="24"/>
        </w:rPr>
      </w:pPr>
      <w:r w:rsidRPr="00261C59">
        <w:rPr>
          <w:rFonts w:ascii="Calibri" w:hAnsi="Calibri"/>
          <w:sz w:val="24"/>
          <w:szCs w:val="24"/>
        </w:rPr>
        <w:t>the criteria for determining Sentinel Events, Hospital Acquired Complications and Avoidable Hospital Readmissions for ongoing safety and quality pricing adjustments, originally included in the 2017-20 and 2020-25 Addenda and related guidance from national bodies</w:t>
      </w:r>
    </w:p>
    <w:p w14:paraId="3FC20687" w14:textId="370A5095" w:rsidR="006B39F6" w:rsidRPr="00261C59" w:rsidRDefault="006B39F6" w:rsidP="004728D9">
      <w:pPr>
        <w:numPr>
          <w:ilvl w:val="1"/>
          <w:numId w:val="237"/>
        </w:numPr>
        <w:spacing w:after="240" w:line="260" w:lineRule="exact"/>
        <w:jc w:val="left"/>
        <w:rPr>
          <w:rFonts w:ascii="Calibri" w:hAnsi="Calibri"/>
          <w:sz w:val="24"/>
          <w:szCs w:val="24"/>
        </w:rPr>
      </w:pPr>
      <w:r w:rsidRPr="00261C59">
        <w:rPr>
          <w:rFonts w:ascii="Calibri" w:hAnsi="Calibri"/>
          <w:sz w:val="24"/>
          <w:szCs w:val="24"/>
        </w:rPr>
        <w:t>parameters for review of safety and quality measures.</w:t>
      </w:r>
    </w:p>
    <w:p w14:paraId="11814E93" w14:textId="77777777" w:rsidR="006B39F6" w:rsidRPr="00261C59" w:rsidRDefault="006B39F6" w:rsidP="00A718C7">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006" w:name="_Toc210833728"/>
      <w:bookmarkStart w:id="1007" w:name="_Toc214456628"/>
      <w:bookmarkStart w:id="1008" w:name="_Toc221088113"/>
      <w:r w:rsidRPr="00261C59">
        <w:rPr>
          <w:rFonts w:ascii="Corbel" w:eastAsia="Times New Roman" w:hAnsi="Corbel" w:cs="Arial"/>
          <w:iCs/>
          <w:color w:val="3D4B67"/>
          <w:sz w:val="28"/>
          <w:szCs w:val="28"/>
        </w:rPr>
        <w:t>Sentinel Events</w:t>
      </w:r>
      <w:bookmarkEnd w:id="1006"/>
      <w:bookmarkEnd w:id="1007"/>
      <w:bookmarkEnd w:id="1008"/>
    </w:p>
    <w:p w14:paraId="28B0159A" w14:textId="77777777" w:rsidR="006B39F6" w:rsidRPr="00261C59" w:rsidRDefault="006B39F6" w:rsidP="004728D9">
      <w:pPr>
        <w:numPr>
          <w:ilvl w:val="0"/>
          <w:numId w:val="33"/>
        </w:numPr>
        <w:spacing w:after="240" w:line="260" w:lineRule="exact"/>
        <w:jc w:val="left"/>
        <w:rPr>
          <w:rFonts w:ascii="Calibri" w:hAnsi="Calibri"/>
          <w:sz w:val="24"/>
          <w:szCs w:val="24"/>
        </w:rPr>
      </w:pPr>
      <w:r w:rsidRPr="00261C59">
        <w:rPr>
          <w:rFonts w:ascii="Calibri" w:hAnsi="Calibri"/>
          <w:sz w:val="24"/>
          <w:szCs w:val="24"/>
        </w:rPr>
        <w:t xml:space="preserve">Sentinel Event criteria include instances where: </w:t>
      </w:r>
    </w:p>
    <w:p w14:paraId="06397144" w14:textId="2FDB95C3" w:rsidR="006B39F6" w:rsidRPr="00261C59" w:rsidRDefault="006B39F6" w:rsidP="004728D9">
      <w:pPr>
        <w:numPr>
          <w:ilvl w:val="1"/>
          <w:numId w:val="238"/>
        </w:numPr>
        <w:spacing w:after="240" w:line="260" w:lineRule="exact"/>
        <w:jc w:val="left"/>
        <w:rPr>
          <w:rFonts w:ascii="Calibri" w:hAnsi="Calibri"/>
          <w:sz w:val="24"/>
          <w:szCs w:val="24"/>
        </w:rPr>
      </w:pPr>
      <w:r w:rsidRPr="00261C59">
        <w:rPr>
          <w:rFonts w:ascii="Calibri" w:hAnsi="Calibri"/>
          <w:sz w:val="24"/>
          <w:szCs w:val="24"/>
        </w:rPr>
        <w:t>adverse patient safety events are wholly preventable</w:t>
      </w:r>
    </w:p>
    <w:p w14:paraId="64BAF9A5" w14:textId="77777777" w:rsidR="006B39F6" w:rsidRPr="00261C59" w:rsidRDefault="006B39F6" w:rsidP="004728D9">
      <w:pPr>
        <w:numPr>
          <w:ilvl w:val="1"/>
          <w:numId w:val="238"/>
        </w:numPr>
        <w:spacing w:after="240" w:line="260" w:lineRule="exact"/>
        <w:jc w:val="left"/>
        <w:rPr>
          <w:rFonts w:ascii="Calibri" w:hAnsi="Calibri"/>
          <w:sz w:val="24"/>
          <w:szCs w:val="24"/>
        </w:rPr>
      </w:pPr>
      <w:r w:rsidRPr="00261C59">
        <w:rPr>
          <w:rFonts w:ascii="Calibri" w:hAnsi="Calibri"/>
          <w:sz w:val="24"/>
          <w:szCs w:val="24"/>
        </w:rPr>
        <w:t xml:space="preserve">the event results in serious harm to, or death of, a patient.  </w:t>
      </w:r>
    </w:p>
    <w:p w14:paraId="740814C4" w14:textId="77777777" w:rsidR="006B39F6" w:rsidRPr="00261C59" w:rsidRDefault="006B39F6" w:rsidP="00A718C7">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009" w:name="_Toc210833729"/>
      <w:bookmarkStart w:id="1010" w:name="_Toc214456629"/>
      <w:bookmarkStart w:id="1011" w:name="_Toc221088114"/>
      <w:r w:rsidRPr="00261C59">
        <w:rPr>
          <w:rFonts w:ascii="Corbel" w:eastAsia="Times New Roman" w:hAnsi="Corbel" w:cs="Arial"/>
          <w:iCs/>
          <w:color w:val="3D4B67"/>
          <w:sz w:val="28"/>
          <w:szCs w:val="28"/>
        </w:rPr>
        <w:t>Hospital Acquired Complications</w:t>
      </w:r>
      <w:bookmarkEnd w:id="1009"/>
      <w:bookmarkEnd w:id="1010"/>
      <w:bookmarkEnd w:id="1011"/>
    </w:p>
    <w:p w14:paraId="75119DA2" w14:textId="77777777" w:rsidR="006B39F6" w:rsidRPr="00261C59" w:rsidRDefault="006B39F6" w:rsidP="004728D9">
      <w:pPr>
        <w:numPr>
          <w:ilvl w:val="0"/>
          <w:numId w:val="33"/>
        </w:numPr>
        <w:spacing w:after="240" w:line="260" w:lineRule="exact"/>
        <w:jc w:val="left"/>
        <w:rPr>
          <w:rFonts w:ascii="Calibri" w:hAnsi="Calibri"/>
          <w:sz w:val="24"/>
          <w:szCs w:val="24"/>
        </w:rPr>
      </w:pPr>
      <w:r w:rsidRPr="00261C59">
        <w:rPr>
          <w:rFonts w:ascii="Calibri" w:hAnsi="Calibri"/>
          <w:sz w:val="24"/>
          <w:szCs w:val="24"/>
        </w:rPr>
        <w:t>The following criteria define Hospital Acquired Complications (HACs) and related pricing adjustments:</w:t>
      </w:r>
    </w:p>
    <w:p w14:paraId="3FD94890" w14:textId="77777777" w:rsidR="006B39F6" w:rsidRPr="00261C59" w:rsidRDefault="006B39F6" w:rsidP="004728D9">
      <w:pPr>
        <w:pStyle w:val="ListParagraph"/>
        <w:numPr>
          <w:ilvl w:val="1"/>
          <w:numId w:val="239"/>
        </w:numPr>
        <w:spacing w:before="120" w:after="240" w:line="260" w:lineRule="exact"/>
        <w:contextualSpacing w:val="0"/>
        <w:jc w:val="left"/>
        <w:rPr>
          <w:rFonts w:asciiTheme="minorHAnsi" w:eastAsiaTheme="minorEastAsia" w:hAnsiTheme="minorHAnsi" w:cstheme="minorHAnsi"/>
          <w:color w:val="000000" w:themeColor="text1"/>
          <w:sz w:val="24"/>
          <w:szCs w:val="24"/>
        </w:rPr>
      </w:pPr>
      <w:r w:rsidRPr="00261C59">
        <w:rPr>
          <w:rFonts w:asciiTheme="minorHAnsi" w:eastAsiaTheme="minorEastAsia" w:hAnsiTheme="minorHAnsi" w:cstheme="minorHAnsi"/>
          <w:color w:val="000000" w:themeColor="text1"/>
          <w:sz w:val="24"/>
          <w:szCs w:val="24"/>
        </w:rPr>
        <w:t>Preventability:</w:t>
      </w:r>
    </w:p>
    <w:p w14:paraId="0DC187C5" w14:textId="160D15F0" w:rsidR="006B39F6" w:rsidRPr="00261C59" w:rsidRDefault="006B39F6" w:rsidP="004728D9">
      <w:pPr>
        <w:numPr>
          <w:ilvl w:val="2"/>
          <w:numId w:val="239"/>
        </w:numPr>
        <w:spacing w:after="240" w:line="260" w:lineRule="exact"/>
        <w:jc w:val="left"/>
        <w:rPr>
          <w:rFonts w:ascii="Calibri" w:hAnsi="Calibri"/>
          <w:sz w:val="24"/>
          <w:szCs w:val="24"/>
        </w:rPr>
      </w:pPr>
      <w:r w:rsidRPr="00261C59">
        <w:rPr>
          <w:rFonts w:ascii="Calibri" w:hAnsi="Calibri"/>
          <w:sz w:val="24"/>
          <w:szCs w:val="24"/>
        </w:rPr>
        <w:t>Clinical evidence is available to demonstrate that the HAC can be prevented with ‘best clinical practice’</w:t>
      </w:r>
    </w:p>
    <w:p w14:paraId="548240AB" w14:textId="0F0F4ABB" w:rsidR="006B39F6" w:rsidRPr="00261C59" w:rsidRDefault="006B39F6" w:rsidP="004728D9">
      <w:pPr>
        <w:numPr>
          <w:ilvl w:val="2"/>
          <w:numId w:val="239"/>
        </w:numPr>
        <w:spacing w:after="240" w:line="260" w:lineRule="exact"/>
        <w:jc w:val="left"/>
        <w:rPr>
          <w:rFonts w:ascii="Calibri" w:hAnsi="Calibri"/>
          <w:sz w:val="24"/>
          <w:szCs w:val="24"/>
        </w:rPr>
      </w:pPr>
      <w:r w:rsidRPr="00261C59">
        <w:rPr>
          <w:rFonts w:ascii="Calibri" w:hAnsi="Calibri"/>
          <w:sz w:val="24"/>
          <w:szCs w:val="24"/>
        </w:rPr>
        <w:t>Evidence supports that individual Local Hospital Networks (LHNs, including single campus and specialist hospitals) can prevent the HAC and that the causes of such conditions are within the control of the hospital</w:t>
      </w:r>
    </w:p>
    <w:p w14:paraId="23F7D17D" w14:textId="58B29C0C" w:rsidR="006B39F6" w:rsidRPr="00261C59" w:rsidRDefault="006B39F6" w:rsidP="004728D9">
      <w:pPr>
        <w:numPr>
          <w:ilvl w:val="2"/>
          <w:numId w:val="239"/>
        </w:numPr>
        <w:spacing w:after="240" w:line="260" w:lineRule="exact"/>
        <w:jc w:val="left"/>
        <w:rPr>
          <w:rFonts w:ascii="Calibri" w:hAnsi="Calibri"/>
          <w:sz w:val="24"/>
          <w:szCs w:val="24"/>
        </w:rPr>
      </w:pPr>
      <w:r w:rsidRPr="00261C59">
        <w:rPr>
          <w:rFonts w:ascii="Calibri" w:hAnsi="Calibri"/>
          <w:sz w:val="24"/>
          <w:szCs w:val="24"/>
        </w:rPr>
        <w:t>The strength of external influences (e.g. patient factors) does not unduly impact the LHN’s ability to avoid the HAC</w:t>
      </w:r>
    </w:p>
    <w:p w14:paraId="752C7B6E" w14:textId="57194BB7" w:rsidR="006B39F6" w:rsidRPr="00261C59" w:rsidRDefault="006B39F6" w:rsidP="004728D9">
      <w:pPr>
        <w:numPr>
          <w:ilvl w:val="2"/>
          <w:numId w:val="239"/>
        </w:numPr>
        <w:spacing w:after="240" w:line="260" w:lineRule="exact"/>
        <w:jc w:val="left"/>
        <w:rPr>
          <w:rFonts w:ascii="Calibri" w:hAnsi="Calibri"/>
          <w:sz w:val="24"/>
          <w:szCs w:val="24"/>
        </w:rPr>
      </w:pPr>
      <w:r w:rsidRPr="00261C59">
        <w:rPr>
          <w:rFonts w:ascii="Calibri" w:hAnsi="Calibri"/>
          <w:sz w:val="24"/>
          <w:szCs w:val="24"/>
        </w:rPr>
        <w:t>There is sufficient evidence to inform/instruct health services on how to avoid the HAC</w:t>
      </w:r>
    </w:p>
    <w:p w14:paraId="46880EB1" w14:textId="007A9B6D" w:rsidR="006B39F6" w:rsidRPr="00261C59" w:rsidRDefault="006B39F6" w:rsidP="004728D9">
      <w:pPr>
        <w:numPr>
          <w:ilvl w:val="2"/>
          <w:numId w:val="239"/>
        </w:numPr>
        <w:spacing w:after="240" w:line="260" w:lineRule="exact"/>
        <w:jc w:val="left"/>
        <w:rPr>
          <w:rFonts w:ascii="Calibri" w:hAnsi="Calibri"/>
          <w:sz w:val="24"/>
          <w:szCs w:val="24"/>
        </w:rPr>
      </w:pPr>
      <w:r w:rsidRPr="00261C59">
        <w:rPr>
          <w:rFonts w:ascii="Calibri" w:hAnsi="Calibri"/>
          <w:sz w:val="24"/>
          <w:szCs w:val="24"/>
        </w:rPr>
        <w:t>The development of the HAC measure has been subjected to valid construction. The inferences used to test the HAC have been made on the basis of appropriate measurements and occurrences can be easily defined, identified and adequately measured</w:t>
      </w:r>
    </w:p>
    <w:p w14:paraId="6CA86D25" w14:textId="77777777" w:rsidR="006B39F6" w:rsidRPr="00261C59" w:rsidRDefault="006B39F6" w:rsidP="004728D9">
      <w:pPr>
        <w:pStyle w:val="ListParagraph"/>
        <w:numPr>
          <w:ilvl w:val="1"/>
          <w:numId w:val="239"/>
        </w:numPr>
        <w:spacing w:before="120" w:after="240" w:line="260" w:lineRule="exact"/>
        <w:contextualSpacing w:val="0"/>
        <w:jc w:val="left"/>
        <w:rPr>
          <w:rFonts w:asciiTheme="minorHAnsi" w:eastAsiaTheme="minorEastAsia" w:hAnsiTheme="minorHAnsi" w:cstheme="minorHAnsi"/>
          <w:color w:val="000000" w:themeColor="text1"/>
          <w:sz w:val="24"/>
          <w:szCs w:val="24"/>
        </w:rPr>
      </w:pPr>
      <w:r w:rsidRPr="00261C59">
        <w:rPr>
          <w:rFonts w:ascii="Calibri" w:eastAsia="Calibri" w:hAnsi="Calibri"/>
          <w:kern w:val="2"/>
          <w:sz w:val="24"/>
          <w:szCs w:val="24"/>
          <w:lang w:eastAsia="en-US"/>
          <w14:ligatures w14:val="standardContextual"/>
        </w:rPr>
        <w:t>Impact:</w:t>
      </w:r>
    </w:p>
    <w:p w14:paraId="14702446" w14:textId="7AA9664E" w:rsidR="006B39F6" w:rsidRPr="00261C59" w:rsidRDefault="006B39F6" w:rsidP="004728D9">
      <w:pPr>
        <w:numPr>
          <w:ilvl w:val="2"/>
          <w:numId w:val="239"/>
        </w:numPr>
        <w:spacing w:after="240" w:line="260" w:lineRule="exact"/>
        <w:jc w:val="left"/>
        <w:rPr>
          <w:rFonts w:ascii="Calibri" w:hAnsi="Calibri"/>
          <w:sz w:val="24"/>
          <w:szCs w:val="24"/>
        </w:rPr>
      </w:pPr>
      <w:r w:rsidRPr="00261C59">
        <w:rPr>
          <w:rFonts w:ascii="Calibri" w:hAnsi="Calibri"/>
          <w:sz w:val="24"/>
          <w:szCs w:val="24"/>
        </w:rPr>
        <w:t>The introduction of the financial adjustments related to specific HAC will result in a significant enough change to funding at the hospital level to drive the intended clinical practice outcome, impact appropriately on patients and improve patient outcomes</w:t>
      </w:r>
    </w:p>
    <w:p w14:paraId="2D2C4069" w14:textId="4FC6CA01" w:rsidR="006B39F6" w:rsidRPr="00261C59" w:rsidRDefault="006B39F6" w:rsidP="004728D9">
      <w:pPr>
        <w:numPr>
          <w:ilvl w:val="2"/>
          <w:numId w:val="239"/>
        </w:numPr>
        <w:spacing w:after="240" w:line="260" w:lineRule="exact"/>
        <w:jc w:val="left"/>
        <w:rPr>
          <w:rFonts w:ascii="Calibri" w:hAnsi="Calibri"/>
          <w:sz w:val="24"/>
          <w:szCs w:val="24"/>
        </w:rPr>
      </w:pPr>
      <w:r w:rsidRPr="00261C59">
        <w:rPr>
          <w:rFonts w:ascii="Calibri" w:hAnsi="Calibri"/>
          <w:sz w:val="24"/>
          <w:szCs w:val="24"/>
        </w:rPr>
        <w:t>Unintended consequences as a result of practice or reporting changes are not likely to be to the detriment of individual and hospital-wide patient care</w:t>
      </w:r>
    </w:p>
    <w:p w14:paraId="2FEF4B23" w14:textId="364EF04E" w:rsidR="006B39F6" w:rsidRPr="00261C59" w:rsidRDefault="006B39F6" w:rsidP="004728D9">
      <w:pPr>
        <w:numPr>
          <w:ilvl w:val="2"/>
          <w:numId w:val="239"/>
        </w:numPr>
        <w:spacing w:after="240" w:line="260" w:lineRule="exact"/>
        <w:jc w:val="left"/>
        <w:rPr>
          <w:rFonts w:ascii="Calibri" w:hAnsi="Calibri"/>
          <w:sz w:val="24"/>
          <w:szCs w:val="24"/>
        </w:rPr>
      </w:pPr>
      <w:r w:rsidRPr="00261C59">
        <w:rPr>
          <w:rFonts w:ascii="Calibri" w:hAnsi="Calibri"/>
          <w:sz w:val="24"/>
          <w:szCs w:val="24"/>
        </w:rPr>
        <w:t>The rate of HAC by LHN (giving consideration to size and type of hospital) is sufficient to warrant introduction of a financial mechanism</w:t>
      </w:r>
    </w:p>
    <w:p w14:paraId="150D1D98" w14:textId="77777777" w:rsidR="006B39F6" w:rsidRPr="00261C59" w:rsidRDefault="006B39F6" w:rsidP="004728D9">
      <w:pPr>
        <w:pStyle w:val="ListParagraph"/>
        <w:keepNext/>
        <w:numPr>
          <w:ilvl w:val="1"/>
          <w:numId w:val="239"/>
        </w:numPr>
        <w:spacing w:before="120" w:after="240" w:line="260" w:lineRule="exact"/>
        <w:contextualSpacing w:val="0"/>
        <w:jc w:val="left"/>
        <w:rPr>
          <w:rFonts w:ascii="Calibri" w:eastAsia="Calibri" w:hAnsi="Calibri"/>
          <w:kern w:val="2"/>
          <w:sz w:val="24"/>
          <w:szCs w:val="24"/>
          <w:lang w:eastAsia="en-US"/>
          <w14:ligatures w14:val="standardContextual"/>
        </w:rPr>
      </w:pPr>
      <w:r w:rsidRPr="00261C59">
        <w:rPr>
          <w:rFonts w:ascii="Calibri" w:eastAsia="Calibri" w:hAnsi="Calibri"/>
          <w:kern w:val="2"/>
          <w:sz w:val="24"/>
          <w:szCs w:val="24"/>
          <w:lang w:eastAsia="en-US"/>
          <w14:ligatures w14:val="standardContextual"/>
        </w:rPr>
        <w:t>Feasibility:</w:t>
      </w:r>
    </w:p>
    <w:p w14:paraId="333507F7" w14:textId="0D65AB91" w:rsidR="006B39F6" w:rsidRPr="00261C59" w:rsidRDefault="006B39F6" w:rsidP="004728D9">
      <w:pPr>
        <w:numPr>
          <w:ilvl w:val="2"/>
          <w:numId w:val="239"/>
        </w:numPr>
        <w:spacing w:after="240" w:line="260" w:lineRule="exact"/>
        <w:jc w:val="left"/>
        <w:rPr>
          <w:rFonts w:ascii="Calibri" w:hAnsi="Calibri"/>
          <w:sz w:val="24"/>
          <w:szCs w:val="24"/>
        </w:rPr>
      </w:pPr>
      <w:r w:rsidRPr="00261C59">
        <w:rPr>
          <w:rFonts w:ascii="Calibri" w:hAnsi="Calibri"/>
          <w:sz w:val="24"/>
          <w:szCs w:val="24"/>
        </w:rPr>
        <w:t>Reporting mechanisms are sufficiently robust to ensure that any benefit obtained through under reporting is minimised</w:t>
      </w:r>
    </w:p>
    <w:p w14:paraId="147F6DF8" w14:textId="10739B3E" w:rsidR="006B39F6" w:rsidRPr="00261C59" w:rsidRDefault="006B39F6" w:rsidP="004728D9">
      <w:pPr>
        <w:numPr>
          <w:ilvl w:val="2"/>
          <w:numId w:val="239"/>
        </w:numPr>
        <w:spacing w:after="240" w:line="260" w:lineRule="exact"/>
        <w:jc w:val="left"/>
        <w:rPr>
          <w:rFonts w:ascii="Calibri" w:hAnsi="Calibri"/>
          <w:sz w:val="24"/>
          <w:szCs w:val="24"/>
        </w:rPr>
      </w:pPr>
      <w:r w:rsidRPr="00261C59">
        <w:rPr>
          <w:rFonts w:ascii="Calibri" w:hAnsi="Calibri"/>
          <w:sz w:val="24"/>
          <w:szCs w:val="24"/>
        </w:rPr>
        <w:t>Sufficient information is available to other bodies, such as the National Health Funding Body, to monitor the impact of the financial mechanism on the prevalence of the HAC across the system</w:t>
      </w:r>
    </w:p>
    <w:p w14:paraId="77AA7165" w14:textId="3E174A87" w:rsidR="006B39F6" w:rsidRPr="00261C59" w:rsidRDefault="006B39F6" w:rsidP="004728D9">
      <w:pPr>
        <w:numPr>
          <w:ilvl w:val="2"/>
          <w:numId w:val="239"/>
        </w:numPr>
        <w:spacing w:after="240" w:line="260" w:lineRule="exact"/>
        <w:jc w:val="left"/>
        <w:rPr>
          <w:rFonts w:ascii="Calibri" w:hAnsi="Calibri"/>
          <w:sz w:val="24"/>
          <w:szCs w:val="24"/>
        </w:rPr>
      </w:pPr>
      <w:r w:rsidRPr="00261C59">
        <w:rPr>
          <w:rFonts w:ascii="Calibri" w:hAnsi="Calibri"/>
          <w:sz w:val="24"/>
          <w:szCs w:val="24"/>
        </w:rPr>
        <w:t>Sufficient processes, systems, policies, feedback mechanisms and data collections are in place to support the reduction of the HAC across each LHN</w:t>
      </w:r>
    </w:p>
    <w:p w14:paraId="60CD39A2" w14:textId="1E92EEF1" w:rsidR="006B39F6" w:rsidRPr="00261C59" w:rsidRDefault="006B39F6" w:rsidP="004728D9">
      <w:pPr>
        <w:numPr>
          <w:ilvl w:val="2"/>
          <w:numId w:val="239"/>
        </w:numPr>
        <w:spacing w:after="240" w:line="260" w:lineRule="exact"/>
        <w:jc w:val="left"/>
        <w:rPr>
          <w:rFonts w:ascii="Calibri" w:hAnsi="Calibri"/>
          <w:sz w:val="24"/>
          <w:szCs w:val="24"/>
        </w:rPr>
      </w:pPr>
      <w:r w:rsidRPr="00261C59">
        <w:rPr>
          <w:rFonts w:ascii="Calibri" w:hAnsi="Calibri"/>
          <w:sz w:val="24"/>
          <w:szCs w:val="24"/>
        </w:rPr>
        <w:t>The introduction of the HAC is prioritised to obtain maximum benefit</w:t>
      </w:r>
    </w:p>
    <w:p w14:paraId="3C28E520" w14:textId="77777777" w:rsidR="006B39F6" w:rsidRPr="00261C59" w:rsidRDefault="006B39F6" w:rsidP="004728D9">
      <w:pPr>
        <w:pStyle w:val="ListParagraph"/>
        <w:numPr>
          <w:ilvl w:val="1"/>
          <w:numId w:val="239"/>
        </w:numPr>
        <w:spacing w:before="120" w:after="240" w:line="260" w:lineRule="exact"/>
        <w:contextualSpacing w:val="0"/>
        <w:jc w:val="left"/>
        <w:rPr>
          <w:rFonts w:ascii="Calibri" w:eastAsia="Calibri" w:hAnsi="Calibri"/>
          <w:kern w:val="2"/>
          <w:sz w:val="24"/>
          <w:szCs w:val="24"/>
          <w:lang w:eastAsia="en-US"/>
          <w14:ligatures w14:val="standardContextual"/>
        </w:rPr>
      </w:pPr>
      <w:r w:rsidRPr="00261C59">
        <w:rPr>
          <w:rFonts w:ascii="Calibri" w:eastAsia="Calibri" w:hAnsi="Calibri"/>
          <w:kern w:val="2"/>
          <w:sz w:val="24"/>
          <w:szCs w:val="24"/>
          <w:lang w:eastAsia="en-US"/>
          <w14:ligatures w14:val="standardContextual"/>
        </w:rPr>
        <w:t>Equity:</w:t>
      </w:r>
    </w:p>
    <w:p w14:paraId="07EADE56" w14:textId="77777777" w:rsidR="006B39F6" w:rsidRPr="00261C59" w:rsidRDefault="006B39F6" w:rsidP="004728D9">
      <w:pPr>
        <w:numPr>
          <w:ilvl w:val="2"/>
          <w:numId w:val="239"/>
        </w:numPr>
        <w:spacing w:after="240" w:line="260" w:lineRule="exact"/>
        <w:jc w:val="left"/>
        <w:rPr>
          <w:rFonts w:ascii="Calibri" w:hAnsi="Calibri"/>
          <w:sz w:val="24"/>
          <w:szCs w:val="24"/>
        </w:rPr>
      </w:pPr>
      <w:r w:rsidRPr="00261C59">
        <w:rPr>
          <w:rFonts w:ascii="Calibri" w:hAnsi="Calibri"/>
          <w:sz w:val="24"/>
          <w:szCs w:val="24"/>
        </w:rPr>
        <w:t>The application of pricing and funding adjustment does not unfairly impact any one, or group, of providers as a result of characteristics beyond their control (e.g. size, location and type of hospital).</w:t>
      </w:r>
    </w:p>
    <w:p w14:paraId="58603752" w14:textId="77777777" w:rsidR="006B39F6" w:rsidRPr="00261C59" w:rsidRDefault="006B39F6" w:rsidP="00A718C7">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012" w:name="_Toc210833730"/>
      <w:bookmarkStart w:id="1013" w:name="_Toc214456630"/>
      <w:bookmarkStart w:id="1014" w:name="_Toc221088115"/>
      <w:r w:rsidRPr="00261C59">
        <w:rPr>
          <w:rFonts w:ascii="Corbel" w:eastAsia="Times New Roman" w:hAnsi="Corbel" w:cs="Arial"/>
          <w:iCs/>
          <w:color w:val="3D4B67"/>
          <w:sz w:val="28"/>
          <w:szCs w:val="28"/>
        </w:rPr>
        <w:t>Avoidable Hospital Readmissions</w:t>
      </w:r>
      <w:bookmarkEnd w:id="1012"/>
      <w:bookmarkEnd w:id="1013"/>
      <w:bookmarkEnd w:id="1014"/>
    </w:p>
    <w:p w14:paraId="7E3739D3" w14:textId="77777777" w:rsidR="006B39F6" w:rsidRPr="00261C59" w:rsidRDefault="006B39F6" w:rsidP="004728D9">
      <w:pPr>
        <w:numPr>
          <w:ilvl w:val="0"/>
          <w:numId w:val="33"/>
        </w:numPr>
        <w:spacing w:after="240" w:line="260" w:lineRule="exact"/>
        <w:jc w:val="left"/>
        <w:rPr>
          <w:rFonts w:ascii="Calibri" w:hAnsi="Calibri"/>
          <w:sz w:val="24"/>
          <w:szCs w:val="24"/>
        </w:rPr>
      </w:pPr>
      <w:r w:rsidRPr="00261C59">
        <w:rPr>
          <w:rFonts w:ascii="Calibri" w:hAnsi="Calibri"/>
          <w:sz w:val="24"/>
          <w:szCs w:val="24"/>
        </w:rPr>
        <w:t>Avoidable Hospital Readmissions (AHRs) are a measure of potential issues with the quality, continuity and integration of care provided to patients during or subsequent to their original hospital admission (the index admission).</w:t>
      </w:r>
    </w:p>
    <w:p w14:paraId="27B24937" w14:textId="77777777" w:rsidR="006B39F6" w:rsidRPr="00261C59" w:rsidRDefault="006B39F6" w:rsidP="004728D9">
      <w:pPr>
        <w:numPr>
          <w:ilvl w:val="0"/>
          <w:numId w:val="33"/>
        </w:numPr>
        <w:spacing w:after="240" w:line="260" w:lineRule="exact"/>
        <w:jc w:val="left"/>
        <w:rPr>
          <w:rFonts w:ascii="Calibri" w:hAnsi="Calibri"/>
          <w:sz w:val="24"/>
          <w:szCs w:val="24"/>
        </w:rPr>
      </w:pPr>
      <w:r w:rsidRPr="00261C59">
        <w:rPr>
          <w:rFonts w:ascii="Calibri" w:hAnsi="Calibri"/>
          <w:sz w:val="24"/>
          <w:szCs w:val="24"/>
        </w:rPr>
        <w:t xml:space="preserve">AHRs are defined based on the following criteria, where the subsequent admission: </w:t>
      </w:r>
    </w:p>
    <w:p w14:paraId="7DAF9CAB" w14:textId="05E55B7C" w:rsidR="006B39F6" w:rsidRPr="00261C59" w:rsidRDefault="006B39F6" w:rsidP="004728D9">
      <w:pPr>
        <w:pStyle w:val="ListParagraph"/>
        <w:numPr>
          <w:ilvl w:val="1"/>
          <w:numId w:val="240"/>
        </w:numPr>
        <w:spacing w:before="120" w:after="240" w:line="260" w:lineRule="exact"/>
        <w:contextualSpacing w:val="0"/>
        <w:jc w:val="left"/>
        <w:rPr>
          <w:rFonts w:asciiTheme="minorHAnsi" w:eastAsiaTheme="minorEastAsia" w:hAnsiTheme="minorHAnsi" w:cstheme="minorHAnsi"/>
          <w:color w:val="000000" w:themeColor="text1"/>
          <w:sz w:val="24"/>
          <w:szCs w:val="24"/>
        </w:rPr>
      </w:pPr>
      <w:r w:rsidRPr="00261C59">
        <w:rPr>
          <w:rFonts w:asciiTheme="minorHAnsi" w:eastAsiaTheme="minorEastAsia" w:hAnsiTheme="minorHAnsi" w:cstheme="minorHAnsi"/>
          <w:color w:val="000000" w:themeColor="text1"/>
          <w:sz w:val="24"/>
          <w:szCs w:val="24"/>
        </w:rPr>
        <w:t>relates to the index admission</w:t>
      </w:r>
    </w:p>
    <w:p w14:paraId="551A3638" w14:textId="4AF365E9" w:rsidR="006B39F6" w:rsidRPr="00261C59" w:rsidRDefault="006B39F6" w:rsidP="004728D9">
      <w:pPr>
        <w:pStyle w:val="ListParagraph"/>
        <w:numPr>
          <w:ilvl w:val="1"/>
          <w:numId w:val="240"/>
        </w:numPr>
        <w:spacing w:before="120" w:after="240" w:line="260" w:lineRule="exact"/>
        <w:contextualSpacing w:val="0"/>
        <w:jc w:val="left"/>
        <w:rPr>
          <w:rFonts w:asciiTheme="minorHAnsi" w:eastAsiaTheme="minorEastAsia" w:hAnsiTheme="minorHAnsi" w:cstheme="minorHAnsi"/>
          <w:color w:val="000000" w:themeColor="text1"/>
          <w:sz w:val="24"/>
          <w:szCs w:val="24"/>
        </w:rPr>
      </w:pPr>
      <w:r w:rsidRPr="00261C59">
        <w:rPr>
          <w:rFonts w:asciiTheme="minorHAnsi" w:eastAsiaTheme="minorEastAsia" w:hAnsiTheme="minorHAnsi" w:cstheme="minorHAnsi"/>
          <w:color w:val="000000" w:themeColor="text1"/>
          <w:sz w:val="24"/>
          <w:szCs w:val="24"/>
        </w:rPr>
        <w:t>is avoidable by improved clinical management in the index admission and/or suitable discharge planning and follow-up</w:t>
      </w:r>
    </w:p>
    <w:p w14:paraId="699EE3F9" w14:textId="77777777" w:rsidR="006B39F6" w:rsidRPr="00261C59" w:rsidRDefault="006B39F6" w:rsidP="004728D9">
      <w:pPr>
        <w:pStyle w:val="ListParagraph"/>
        <w:numPr>
          <w:ilvl w:val="1"/>
          <w:numId w:val="240"/>
        </w:numPr>
        <w:spacing w:before="120" w:after="240" w:line="260" w:lineRule="exact"/>
        <w:contextualSpacing w:val="0"/>
        <w:jc w:val="left"/>
        <w:rPr>
          <w:rFonts w:asciiTheme="minorHAnsi" w:eastAsiaTheme="minorEastAsia" w:hAnsiTheme="minorHAnsi" w:cstheme="minorHAnsi"/>
          <w:color w:val="000000" w:themeColor="text1"/>
          <w:sz w:val="24"/>
          <w:szCs w:val="24"/>
        </w:rPr>
      </w:pPr>
      <w:r w:rsidRPr="00261C59">
        <w:rPr>
          <w:rFonts w:asciiTheme="minorHAnsi" w:eastAsiaTheme="minorEastAsia" w:hAnsiTheme="minorHAnsi" w:cstheme="minorHAnsi"/>
          <w:color w:val="000000" w:themeColor="text1"/>
          <w:sz w:val="24"/>
          <w:szCs w:val="24"/>
        </w:rPr>
        <w:t xml:space="preserve">is measurable through coded data generated from the patient medical record. </w:t>
      </w:r>
    </w:p>
    <w:p w14:paraId="0F9CBB4D" w14:textId="77777777" w:rsidR="006B39F6" w:rsidRPr="00261C59" w:rsidRDefault="006B39F6" w:rsidP="00A718C7">
      <w:pPr>
        <w:pStyle w:val="Heading2"/>
        <w:keepLines w:val="0"/>
        <w:widowControl/>
        <w:adjustRightInd/>
        <w:spacing w:before="180" w:after="120"/>
        <w:jc w:val="left"/>
        <w:textAlignment w:val="auto"/>
        <w:rPr>
          <w:rFonts w:ascii="Corbel" w:eastAsia="Times New Roman" w:hAnsi="Corbel" w:cs="Arial"/>
          <w:iCs/>
          <w:color w:val="3D4B67"/>
          <w:sz w:val="28"/>
          <w:szCs w:val="28"/>
        </w:rPr>
      </w:pPr>
      <w:bookmarkStart w:id="1015" w:name="_Toc210833731"/>
      <w:bookmarkStart w:id="1016" w:name="_Toc214456631"/>
      <w:bookmarkStart w:id="1017" w:name="_Toc221088116"/>
      <w:r w:rsidRPr="00261C59">
        <w:rPr>
          <w:rFonts w:ascii="Corbel" w:eastAsia="Times New Roman" w:hAnsi="Corbel" w:cs="Arial"/>
          <w:iCs/>
          <w:color w:val="3D4B67"/>
          <w:sz w:val="28"/>
          <w:szCs w:val="28"/>
        </w:rPr>
        <w:t>Review of safety and quality measures</w:t>
      </w:r>
      <w:bookmarkEnd w:id="1015"/>
      <w:bookmarkEnd w:id="1016"/>
      <w:bookmarkEnd w:id="1017"/>
    </w:p>
    <w:p w14:paraId="0ACA2569" w14:textId="298009DF" w:rsidR="006B39F6" w:rsidRPr="00261C59" w:rsidRDefault="006B39F6" w:rsidP="004728D9">
      <w:pPr>
        <w:numPr>
          <w:ilvl w:val="0"/>
          <w:numId w:val="33"/>
        </w:numPr>
        <w:spacing w:after="240" w:line="260" w:lineRule="exact"/>
        <w:jc w:val="left"/>
        <w:rPr>
          <w:rFonts w:ascii="Calibri" w:hAnsi="Calibri"/>
          <w:sz w:val="24"/>
          <w:szCs w:val="24"/>
        </w:rPr>
      </w:pPr>
      <w:r w:rsidRPr="00261C59">
        <w:rPr>
          <w:rFonts w:ascii="Calibri" w:hAnsi="Calibri"/>
          <w:sz w:val="24"/>
          <w:szCs w:val="24"/>
        </w:rPr>
        <w:t xml:space="preserve">The focus of the review in clauses </w:t>
      </w:r>
      <w:r w:rsidR="7D263824" w:rsidRPr="00261C59">
        <w:rPr>
          <w:rFonts w:ascii="Calibri" w:hAnsi="Calibri"/>
          <w:sz w:val="24"/>
          <w:szCs w:val="24"/>
        </w:rPr>
        <w:t>D</w:t>
      </w:r>
      <w:r w:rsidR="0E425888" w:rsidRPr="00261C59">
        <w:rPr>
          <w:rFonts w:ascii="Calibri" w:hAnsi="Calibri"/>
          <w:sz w:val="24"/>
          <w:szCs w:val="24"/>
        </w:rPr>
        <w:t>5</w:t>
      </w:r>
      <w:r w:rsidR="00AE0B6A" w:rsidRPr="00261C59">
        <w:rPr>
          <w:rFonts w:ascii="Calibri" w:hAnsi="Calibri"/>
          <w:sz w:val="24"/>
          <w:szCs w:val="24"/>
        </w:rPr>
        <w:t xml:space="preserve">1 to </w:t>
      </w:r>
      <w:r w:rsidR="0E425888" w:rsidRPr="00261C59">
        <w:rPr>
          <w:rFonts w:ascii="Calibri" w:hAnsi="Calibri"/>
          <w:sz w:val="24"/>
          <w:szCs w:val="24"/>
        </w:rPr>
        <w:t>5</w:t>
      </w:r>
      <w:r w:rsidR="00AE0B6A" w:rsidRPr="00261C59">
        <w:rPr>
          <w:rFonts w:ascii="Calibri" w:hAnsi="Calibri"/>
          <w:sz w:val="24"/>
          <w:szCs w:val="24"/>
        </w:rPr>
        <w:t>5</w:t>
      </w:r>
      <w:r w:rsidRPr="00261C59">
        <w:rPr>
          <w:rFonts w:ascii="Calibri" w:hAnsi="Calibri"/>
          <w:sz w:val="24"/>
          <w:szCs w:val="24"/>
        </w:rPr>
        <w:t xml:space="preserve"> is to retain and strengthen the existing safety and quality indicators and pricing adjustments, by considering whether and how they drive improvements in safety and quality. This review will consider at least the following principles</w:t>
      </w:r>
      <w:r w:rsidR="00B4572E">
        <w:rPr>
          <w:rFonts w:ascii="Calibri" w:hAnsi="Calibri"/>
          <w:sz w:val="24"/>
          <w:szCs w:val="24"/>
        </w:rPr>
        <w:t>.</w:t>
      </w:r>
    </w:p>
    <w:p w14:paraId="0809D59C" w14:textId="0F50077A" w:rsidR="006B39F6" w:rsidRPr="00261C59" w:rsidRDefault="006B39F6" w:rsidP="004728D9">
      <w:pPr>
        <w:pStyle w:val="ListParagraph"/>
        <w:numPr>
          <w:ilvl w:val="1"/>
          <w:numId w:val="241"/>
        </w:numPr>
        <w:spacing w:before="120" w:after="240" w:line="260" w:lineRule="exact"/>
        <w:contextualSpacing w:val="0"/>
        <w:jc w:val="left"/>
        <w:rPr>
          <w:rFonts w:asciiTheme="minorHAnsi" w:eastAsiaTheme="minorEastAsia" w:hAnsiTheme="minorHAnsi" w:cstheme="minorBidi"/>
          <w:color w:val="000000" w:themeColor="text1"/>
          <w:sz w:val="24"/>
          <w:szCs w:val="24"/>
        </w:rPr>
      </w:pPr>
      <w:r w:rsidRPr="00261C59">
        <w:rPr>
          <w:rFonts w:asciiTheme="minorHAnsi" w:eastAsiaTheme="minorEastAsia" w:hAnsiTheme="minorHAnsi" w:cstheme="minorBidi"/>
          <w:color w:val="000000" w:themeColor="text1"/>
          <w:sz w:val="24"/>
          <w:szCs w:val="24"/>
        </w:rPr>
        <w:t>The existing safety and quality pricing measures are evidence-based, effective, fit</w:t>
      </w:r>
      <w:r w:rsidR="72B41603" w:rsidRPr="00261C59">
        <w:rPr>
          <w:rFonts w:asciiTheme="minorHAnsi" w:eastAsiaTheme="minorEastAsia" w:hAnsiTheme="minorHAnsi" w:cstheme="minorBidi"/>
          <w:color w:val="000000" w:themeColor="text1"/>
          <w:sz w:val="24"/>
          <w:szCs w:val="24"/>
        </w:rPr>
        <w:t>-</w:t>
      </w:r>
      <w:r w:rsidRPr="00261C59">
        <w:rPr>
          <w:rFonts w:asciiTheme="minorHAnsi" w:eastAsiaTheme="minorEastAsia" w:hAnsiTheme="minorHAnsi" w:cstheme="minorBidi"/>
          <w:color w:val="000000" w:themeColor="text1"/>
          <w:sz w:val="24"/>
          <w:szCs w:val="24"/>
        </w:rPr>
        <w:t>for-purpose and prioritise patient outcomes</w:t>
      </w:r>
      <w:r w:rsidR="00B408EB">
        <w:rPr>
          <w:rFonts w:asciiTheme="minorHAnsi" w:eastAsiaTheme="minorEastAsia" w:hAnsiTheme="minorHAnsi" w:cstheme="minorBidi"/>
          <w:color w:val="000000" w:themeColor="text1"/>
          <w:sz w:val="24"/>
          <w:szCs w:val="24"/>
        </w:rPr>
        <w:t>.</w:t>
      </w:r>
    </w:p>
    <w:p w14:paraId="7C547871" w14:textId="44A92AEF" w:rsidR="006B39F6" w:rsidRPr="00261C59" w:rsidRDefault="006B39F6" w:rsidP="004728D9">
      <w:pPr>
        <w:numPr>
          <w:ilvl w:val="2"/>
          <w:numId w:val="241"/>
        </w:numPr>
        <w:spacing w:after="240" w:line="260" w:lineRule="exact"/>
        <w:jc w:val="left"/>
        <w:rPr>
          <w:rFonts w:ascii="Calibri" w:hAnsi="Calibri"/>
          <w:sz w:val="24"/>
          <w:szCs w:val="24"/>
        </w:rPr>
      </w:pPr>
      <w:r w:rsidRPr="00261C59">
        <w:rPr>
          <w:rFonts w:ascii="Calibri" w:hAnsi="Calibri"/>
          <w:sz w:val="24"/>
          <w:szCs w:val="24"/>
        </w:rPr>
        <w:t xml:space="preserve">Review scope of existing adverse event lists and whether they continue to meet the criteria </w:t>
      </w:r>
      <w:r w:rsidR="00880D7C" w:rsidRPr="00261C59">
        <w:rPr>
          <w:rFonts w:ascii="Calibri" w:hAnsi="Calibri"/>
          <w:sz w:val="24"/>
          <w:szCs w:val="24"/>
        </w:rPr>
        <w:t>set out in A to E of this Appendix</w:t>
      </w:r>
      <w:r w:rsidRPr="00261C59">
        <w:rPr>
          <w:rFonts w:ascii="Calibri" w:hAnsi="Calibri"/>
          <w:sz w:val="24"/>
          <w:szCs w:val="24"/>
        </w:rPr>
        <w:t>.</w:t>
      </w:r>
    </w:p>
    <w:p w14:paraId="4F9D7EC9" w14:textId="77777777" w:rsidR="006B39F6" w:rsidRPr="00261C59" w:rsidRDefault="006B39F6" w:rsidP="004728D9">
      <w:pPr>
        <w:numPr>
          <w:ilvl w:val="2"/>
          <w:numId w:val="241"/>
        </w:numPr>
        <w:spacing w:after="240" w:line="260" w:lineRule="exact"/>
        <w:jc w:val="left"/>
        <w:rPr>
          <w:rFonts w:ascii="Calibri" w:hAnsi="Calibri"/>
          <w:sz w:val="24"/>
          <w:szCs w:val="24"/>
        </w:rPr>
      </w:pPr>
      <w:r w:rsidRPr="00261C59">
        <w:rPr>
          <w:rFonts w:ascii="Calibri" w:hAnsi="Calibri"/>
          <w:sz w:val="24"/>
          <w:szCs w:val="24"/>
        </w:rPr>
        <w:t>Assess timeframes associated with AHRs, and risk categorisation for HACs and AHRs, to determine whether they are appropriately designed to drive improvements in patient safety and quality.</w:t>
      </w:r>
    </w:p>
    <w:p w14:paraId="6815C90C" w14:textId="77777777" w:rsidR="006B39F6" w:rsidRPr="00261C59" w:rsidRDefault="006B39F6" w:rsidP="004728D9">
      <w:pPr>
        <w:numPr>
          <w:ilvl w:val="2"/>
          <w:numId w:val="241"/>
        </w:numPr>
        <w:spacing w:after="240" w:line="260" w:lineRule="exact"/>
        <w:jc w:val="left"/>
        <w:rPr>
          <w:rFonts w:ascii="Calibri" w:hAnsi="Calibri"/>
          <w:sz w:val="24"/>
          <w:szCs w:val="24"/>
        </w:rPr>
      </w:pPr>
      <w:r w:rsidRPr="00261C59">
        <w:rPr>
          <w:rFonts w:ascii="Calibri" w:hAnsi="Calibri"/>
          <w:sz w:val="24"/>
          <w:szCs w:val="24"/>
        </w:rPr>
        <w:t>Review downward pricing adjustments to ensure they are driving improvements in safety and quality, based on robust evidence of a causal link to the condition or complication and use an appropriate risk adjustment methodology to consider different patient complexity.</w:t>
      </w:r>
    </w:p>
    <w:p w14:paraId="26CEBE02" w14:textId="77777777" w:rsidR="006B39F6" w:rsidRPr="00261C59" w:rsidRDefault="006B39F6" w:rsidP="004728D9">
      <w:pPr>
        <w:numPr>
          <w:ilvl w:val="2"/>
          <w:numId w:val="241"/>
        </w:numPr>
        <w:spacing w:after="240" w:line="260" w:lineRule="exact"/>
        <w:jc w:val="left"/>
        <w:rPr>
          <w:rFonts w:ascii="Calibri" w:hAnsi="Calibri"/>
          <w:sz w:val="24"/>
          <w:szCs w:val="24"/>
        </w:rPr>
      </w:pPr>
      <w:r w:rsidRPr="00261C59">
        <w:rPr>
          <w:rFonts w:ascii="Calibri" w:hAnsi="Calibri"/>
          <w:sz w:val="24"/>
          <w:szCs w:val="24"/>
        </w:rPr>
        <w:t>Assess pricing measures to see if they have effectively driven down rates of negative events.</w:t>
      </w:r>
    </w:p>
    <w:p w14:paraId="645C14BD" w14:textId="77777777" w:rsidR="006B39F6" w:rsidRPr="00261C59" w:rsidRDefault="006B39F6" w:rsidP="004728D9">
      <w:pPr>
        <w:numPr>
          <w:ilvl w:val="2"/>
          <w:numId w:val="241"/>
        </w:numPr>
        <w:spacing w:after="240" w:line="260" w:lineRule="exact"/>
        <w:jc w:val="left"/>
        <w:rPr>
          <w:rFonts w:ascii="Calibri" w:hAnsi="Calibri"/>
          <w:sz w:val="24"/>
          <w:szCs w:val="24"/>
        </w:rPr>
      </w:pPr>
      <w:r w:rsidRPr="00261C59">
        <w:rPr>
          <w:rFonts w:ascii="Calibri" w:hAnsi="Calibri"/>
          <w:sz w:val="24"/>
          <w:szCs w:val="24"/>
        </w:rPr>
        <w:t>Assess pricing measures to see if they have improved outcomes for patients (where data is available).</w:t>
      </w:r>
    </w:p>
    <w:p w14:paraId="3B947179" w14:textId="77777777" w:rsidR="006B39F6" w:rsidRPr="00261C59" w:rsidRDefault="006B39F6" w:rsidP="004728D9">
      <w:pPr>
        <w:numPr>
          <w:ilvl w:val="2"/>
          <w:numId w:val="241"/>
        </w:numPr>
        <w:spacing w:after="240" w:line="260" w:lineRule="exact"/>
        <w:jc w:val="left"/>
        <w:rPr>
          <w:rFonts w:ascii="Calibri" w:hAnsi="Calibri"/>
          <w:sz w:val="24"/>
          <w:szCs w:val="24"/>
        </w:rPr>
      </w:pPr>
      <w:r w:rsidRPr="00261C59">
        <w:rPr>
          <w:rFonts w:ascii="Calibri" w:hAnsi="Calibri"/>
          <w:sz w:val="24"/>
          <w:szCs w:val="24"/>
        </w:rPr>
        <w:t>Determine how to include safety and quality measures in new payment and service delivery reforms included in this Addendum (including but not limited to bundling/capitation, expanded scope of services) and considering extending safety and quality measures to non-admitted care, where required.</w:t>
      </w:r>
    </w:p>
    <w:p w14:paraId="48D20E7E" w14:textId="77777777" w:rsidR="006B39F6" w:rsidRPr="00261C59" w:rsidRDefault="006B39F6" w:rsidP="004728D9">
      <w:pPr>
        <w:numPr>
          <w:ilvl w:val="2"/>
          <w:numId w:val="241"/>
        </w:numPr>
        <w:spacing w:after="240" w:line="260" w:lineRule="exact"/>
        <w:jc w:val="left"/>
        <w:rPr>
          <w:rFonts w:ascii="Calibri" w:hAnsi="Calibri"/>
          <w:sz w:val="24"/>
          <w:szCs w:val="24"/>
        </w:rPr>
      </w:pPr>
      <w:r w:rsidRPr="00261C59">
        <w:rPr>
          <w:rFonts w:ascii="Calibri" w:hAnsi="Calibri"/>
          <w:sz w:val="24"/>
          <w:szCs w:val="24"/>
        </w:rPr>
        <w:t xml:space="preserve">Assess if upward pricing adjustments would be an appropriate complement to existing downward pricing adjustments. This could include considering situations such as avoidance of a high-risk HAC or LVC event, or to support investment in improving safety and quality of care. </w:t>
      </w:r>
    </w:p>
    <w:p w14:paraId="3D82C1F4" w14:textId="77777777" w:rsidR="006B39F6" w:rsidRPr="00261C59" w:rsidRDefault="006B39F6" w:rsidP="004728D9">
      <w:pPr>
        <w:numPr>
          <w:ilvl w:val="2"/>
          <w:numId w:val="241"/>
        </w:numPr>
        <w:spacing w:after="240" w:line="260" w:lineRule="exact"/>
        <w:jc w:val="left"/>
        <w:rPr>
          <w:rFonts w:ascii="Calibri" w:hAnsi="Calibri"/>
          <w:sz w:val="24"/>
          <w:szCs w:val="24"/>
        </w:rPr>
      </w:pPr>
      <w:r w:rsidRPr="00261C59">
        <w:rPr>
          <w:rFonts w:ascii="Calibri" w:hAnsi="Calibri"/>
          <w:sz w:val="24"/>
          <w:szCs w:val="24"/>
        </w:rPr>
        <w:t xml:space="preserve">Assess if rates of clinical variation provide an effective indicator for targeted safety and quality improvement activities. </w:t>
      </w:r>
    </w:p>
    <w:p w14:paraId="23F296FF" w14:textId="5DFF5E48" w:rsidR="006B39F6" w:rsidRPr="00261C59" w:rsidRDefault="006B39F6" w:rsidP="004728D9">
      <w:pPr>
        <w:numPr>
          <w:ilvl w:val="2"/>
          <w:numId w:val="241"/>
        </w:numPr>
        <w:spacing w:after="240" w:line="260" w:lineRule="exact"/>
        <w:jc w:val="left"/>
        <w:rPr>
          <w:rFonts w:ascii="Calibri" w:hAnsi="Calibri"/>
          <w:sz w:val="24"/>
          <w:szCs w:val="24"/>
        </w:rPr>
      </w:pPr>
      <w:r w:rsidRPr="00261C59">
        <w:rPr>
          <w:rFonts w:ascii="Calibri" w:hAnsi="Calibri"/>
          <w:sz w:val="24"/>
          <w:szCs w:val="24"/>
        </w:rPr>
        <w:t>Determine if safety, quality or value-based pricing mechanisms are appropriate to encourage public hospitals to provide hospital discharge summaries (</w:t>
      </w:r>
      <w:r w:rsidRPr="00261C59">
        <w:rPr>
          <w:rFonts w:ascii="Calibri" w:hAnsi="Calibri"/>
          <w:sz w:val="24"/>
        </w:rPr>
        <w:t xml:space="preserve">clauses </w:t>
      </w:r>
      <w:r w:rsidR="00B270DA" w:rsidRPr="00261C59">
        <w:rPr>
          <w:rFonts w:ascii="Calibri" w:hAnsi="Calibri"/>
          <w:sz w:val="24"/>
        </w:rPr>
        <w:t>D44</w:t>
      </w:r>
      <w:r w:rsidR="00434D02" w:rsidRPr="00261C59">
        <w:rPr>
          <w:rFonts w:ascii="Calibri" w:hAnsi="Calibri"/>
          <w:sz w:val="24"/>
        </w:rPr>
        <w:t xml:space="preserve"> to </w:t>
      </w:r>
      <w:r w:rsidR="00B270DA" w:rsidRPr="00261C59">
        <w:rPr>
          <w:rFonts w:ascii="Calibri" w:hAnsi="Calibri"/>
          <w:sz w:val="24"/>
        </w:rPr>
        <w:t>D48</w:t>
      </w:r>
      <w:r w:rsidRPr="00261C59">
        <w:rPr>
          <w:rFonts w:ascii="Calibri" w:hAnsi="Calibri"/>
          <w:sz w:val="24"/>
          <w:szCs w:val="24"/>
        </w:rPr>
        <w:t>), and if so</w:t>
      </w:r>
      <w:r w:rsidR="00162B7B">
        <w:rPr>
          <w:rFonts w:ascii="Calibri" w:hAnsi="Calibri"/>
          <w:sz w:val="24"/>
          <w:szCs w:val="24"/>
        </w:rPr>
        <w:t>,</w:t>
      </w:r>
      <w:r w:rsidRPr="00261C59">
        <w:rPr>
          <w:rFonts w:ascii="Calibri" w:hAnsi="Calibri"/>
          <w:sz w:val="24"/>
          <w:szCs w:val="24"/>
        </w:rPr>
        <w:t xml:space="preserve"> which pricing mechanism is most appropriate.</w:t>
      </w:r>
    </w:p>
    <w:p w14:paraId="76E99C6A" w14:textId="3CE1DBAA" w:rsidR="00566E1E" w:rsidRPr="00261C59" w:rsidRDefault="00345676" w:rsidP="00830547">
      <w:pPr>
        <w:numPr>
          <w:ilvl w:val="2"/>
          <w:numId w:val="241"/>
        </w:numPr>
        <w:spacing w:after="240" w:line="260" w:lineRule="exact"/>
        <w:jc w:val="left"/>
        <w:rPr>
          <w:rFonts w:ascii="Calibri" w:hAnsi="Calibri"/>
          <w:sz w:val="24"/>
          <w:szCs w:val="24"/>
        </w:rPr>
      </w:pPr>
      <w:r w:rsidRPr="00261C59">
        <w:rPr>
          <w:rFonts w:ascii="Calibri" w:hAnsi="Calibri"/>
          <w:sz w:val="24"/>
          <w:szCs w:val="24"/>
        </w:rPr>
        <w:t>Determine whether there are appropriate mechanisms that could support the reinvestment of pricing adjustments towards safety and quality improvement activities, if adjustments are found to be fit-for-purpose and effective.</w:t>
      </w:r>
    </w:p>
    <w:p w14:paraId="2C97814A" w14:textId="2A4EF83E" w:rsidR="006B39F6" w:rsidRPr="00261C59" w:rsidRDefault="006B39F6" w:rsidP="004728D9">
      <w:pPr>
        <w:pStyle w:val="ListParagraph"/>
        <w:keepNext/>
        <w:widowControl/>
        <w:numPr>
          <w:ilvl w:val="1"/>
          <w:numId w:val="241"/>
        </w:numPr>
        <w:spacing w:before="120" w:after="240" w:line="260" w:lineRule="exact"/>
        <w:contextualSpacing w:val="0"/>
        <w:jc w:val="left"/>
        <w:rPr>
          <w:rFonts w:asciiTheme="minorHAnsi" w:eastAsiaTheme="minorEastAsia" w:hAnsiTheme="minorHAnsi" w:cstheme="minorHAnsi"/>
          <w:color w:val="000000" w:themeColor="text1"/>
          <w:sz w:val="24"/>
          <w:szCs w:val="24"/>
        </w:rPr>
      </w:pPr>
      <w:r w:rsidRPr="00261C59">
        <w:rPr>
          <w:rFonts w:asciiTheme="minorHAnsi" w:eastAsiaTheme="minorEastAsia" w:hAnsiTheme="minorHAnsi" w:cstheme="minorHAnsi"/>
          <w:color w:val="000000" w:themeColor="text1"/>
          <w:sz w:val="24"/>
          <w:szCs w:val="24"/>
        </w:rPr>
        <w:t>Limitations and other controlling factors</w:t>
      </w:r>
      <w:r w:rsidR="00B4572E">
        <w:rPr>
          <w:rFonts w:asciiTheme="minorHAnsi" w:eastAsiaTheme="minorEastAsia" w:hAnsiTheme="minorHAnsi" w:cstheme="minorHAnsi"/>
          <w:color w:val="000000" w:themeColor="text1"/>
          <w:sz w:val="24"/>
          <w:szCs w:val="24"/>
        </w:rPr>
        <w:t>.</w:t>
      </w:r>
      <w:r w:rsidRPr="00261C59">
        <w:rPr>
          <w:rFonts w:asciiTheme="minorHAnsi" w:eastAsiaTheme="minorEastAsia" w:hAnsiTheme="minorHAnsi" w:cstheme="minorHAnsi"/>
          <w:color w:val="000000" w:themeColor="text1"/>
          <w:sz w:val="24"/>
          <w:szCs w:val="24"/>
        </w:rPr>
        <w:t xml:space="preserve"> </w:t>
      </w:r>
    </w:p>
    <w:p w14:paraId="4B47C6C1" w14:textId="77777777" w:rsidR="006B39F6" w:rsidRPr="00261C59" w:rsidRDefault="006B39F6" w:rsidP="004728D9">
      <w:pPr>
        <w:numPr>
          <w:ilvl w:val="2"/>
          <w:numId w:val="241"/>
        </w:numPr>
        <w:spacing w:after="240" w:line="260" w:lineRule="exact"/>
        <w:jc w:val="left"/>
        <w:rPr>
          <w:rFonts w:ascii="Calibri" w:hAnsi="Calibri"/>
          <w:sz w:val="24"/>
          <w:szCs w:val="24"/>
        </w:rPr>
      </w:pPr>
      <w:r w:rsidRPr="00261C59">
        <w:rPr>
          <w:rFonts w:ascii="Calibri" w:hAnsi="Calibri"/>
          <w:sz w:val="24"/>
          <w:szCs w:val="24"/>
        </w:rPr>
        <w:t>Detail any data limitations that are present, including those that limit the ability to evaluate effectiveness of existing pricing adjustments.</w:t>
      </w:r>
    </w:p>
    <w:p w14:paraId="1BA0AFE9" w14:textId="77777777" w:rsidR="006B39F6" w:rsidRPr="00261C59" w:rsidRDefault="006B39F6" w:rsidP="004728D9">
      <w:pPr>
        <w:numPr>
          <w:ilvl w:val="2"/>
          <w:numId w:val="241"/>
        </w:numPr>
        <w:spacing w:after="240" w:line="260" w:lineRule="exact"/>
        <w:jc w:val="left"/>
        <w:rPr>
          <w:rFonts w:ascii="Calibri" w:hAnsi="Calibri"/>
          <w:sz w:val="24"/>
          <w:szCs w:val="24"/>
        </w:rPr>
      </w:pPr>
      <w:r w:rsidRPr="00261C59">
        <w:rPr>
          <w:rFonts w:ascii="Calibri" w:hAnsi="Calibri"/>
          <w:sz w:val="24"/>
          <w:szCs w:val="24"/>
        </w:rPr>
        <w:t>Ensure the results are controlled for other state/LHN/hospital level strategies to improve safety and quality for patients.</w:t>
      </w:r>
    </w:p>
    <w:p w14:paraId="7E89304B" w14:textId="77777777" w:rsidR="006B39F6" w:rsidRPr="00261C59" w:rsidRDefault="006B39F6" w:rsidP="004728D9">
      <w:pPr>
        <w:numPr>
          <w:ilvl w:val="2"/>
          <w:numId w:val="241"/>
        </w:numPr>
        <w:spacing w:after="240" w:line="260" w:lineRule="exact"/>
        <w:jc w:val="left"/>
        <w:rPr>
          <w:rFonts w:ascii="Calibri" w:hAnsi="Calibri"/>
          <w:sz w:val="24"/>
          <w:szCs w:val="24"/>
        </w:rPr>
      </w:pPr>
      <w:r w:rsidRPr="00261C59">
        <w:rPr>
          <w:rFonts w:ascii="Calibri" w:hAnsi="Calibri"/>
          <w:sz w:val="24"/>
          <w:szCs w:val="24"/>
        </w:rPr>
        <w:t xml:space="preserve">Acknowledging that mechanisms other than pricing and funding have a role in achieving the reform intention and that complementarity of all mechanisms is desirable. </w:t>
      </w:r>
    </w:p>
    <w:p w14:paraId="700EA55B" w14:textId="462109C8" w:rsidR="006B39F6" w:rsidRPr="00261C59" w:rsidRDefault="006B39F6" w:rsidP="004728D9">
      <w:pPr>
        <w:pStyle w:val="ListParagraph"/>
        <w:numPr>
          <w:ilvl w:val="1"/>
          <w:numId w:val="241"/>
        </w:numPr>
        <w:spacing w:before="120" w:after="240" w:line="260" w:lineRule="exact"/>
        <w:contextualSpacing w:val="0"/>
        <w:jc w:val="left"/>
        <w:rPr>
          <w:rFonts w:asciiTheme="minorHAnsi" w:eastAsiaTheme="minorEastAsia" w:hAnsiTheme="minorHAnsi" w:cstheme="minorHAnsi"/>
          <w:color w:val="000000" w:themeColor="text1"/>
          <w:sz w:val="24"/>
          <w:szCs w:val="24"/>
        </w:rPr>
      </w:pPr>
      <w:r w:rsidRPr="00261C59">
        <w:rPr>
          <w:rFonts w:asciiTheme="minorHAnsi" w:eastAsiaTheme="minorEastAsia" w:hAnsiTheme="minorHAnsi" w:cstheme="minorHAnsi"/>
          <w:color w:val="000000" w:themeColor="text1"/>
          <w:sz w:val="24"/>
          <w:szCs w:val="24"/>
        </w:rPr>
        <w:t>Reforms are consistent with whole-of-system efforts to deliver improved patient health outcomes, including culture change</w:t>
      </w:r>
      <w:r w:rsidR="00B4572E">
        <w:rPr>
          <w:rFonts w:asciiTheme="minorHAnsi" w:eastAsiaTheme="minorEastAsia" w:hAnsiTheme="minorHAnsi" w:cstheme="minorHAnsi"/>
          <w:color w:val="000000" w:themeColor="text1"/>
          <w:sz w:val="24"/>
          <w:szCs w:val="24"/>
        </w:rPr>
        <w:t>.</w:t>
      </w:r>
      <w:r w:rsidRPr="00261C59">
        <w:rPr>
          <w:rFonts w:asciiTheme="minorHAnsi" w:eastAsiaTheme="minorEastAsia" w:hAnsiTheme="minorHAnsi" w:cstheme="minorHAnsi"/>
          <w:color w:val="000000" w:themeColor="text1"/>
          <w:sz w:val="24"/>
          <w:szCs w:val="24"/>
        </w:rPr>
        <w:t xml:space="preserve"> </w:t>
      </w:r>
    </w:p>
    <w:p w14:paraId="7CEA747D" w14:textId="77777777" w:rsidR="006B39F6" w:rsidRPr="00261C59" w:rsidRDefault="006B39F6" w:rsidP="004728D9">
      <w:pPr>
        <w:numPr>
          <w:ilvl w:val="2"/>
          <w:numId w:val="241"/>
        </w:numPr>
        <w:spacing w:after="240" w:line="260" w:lineRule="exact"/>
        <w:jc w:val="left"/>
        <w:rPr>
          <w:rFonts w:ascii="Calibri" w:hAnsi="Calibri"/>
          <w:sz w:val="24"/>
          <w:szCs w:val="24"/>
        </w:rPr>
      </w:pPr>
      <w:r w:rsidRPr="00261C59">
        <w:rPr>
          <w:rFonts w:ascii="Calibri" w:hAnsi="Calibri"/>
          <w:sz w:val="24"/>
          <w:szCs w:val="24"/>
        </w:rPr>
        <w:t>The design and implementation of pricing and funding models acknowledge that mechanisms other than pricing and funding have a role in achieving the reform intention and that complementarity of all mechanisms is desirable.</w:t>
      </w:r>
    </w:p>
    <w:p w14:paraId="4983D6EC" w14:textId="77777777" w:rsidR="006B39F6" w:rsidRPr="00261C59" w:rsidRDefault="006B39F6" w:rsidP="004728D9">
      <w:pPr>
        <w:numPr>
          <w:ilvl w:val="2"/>
          <w:numId w:val="241"/>
        </w:numPr>
        <w:spacing w:after="240" w:line="260" w:lineRule="exact"/>
        <w:jc w:val="left"/>
        <w:rPr>
          <w:rFonts w:ascii="Calibri" w:hAnsi="Calibri"/>
          <w:sz w:val="24"/>
          <w:szCs w:val="24"/>
        </w:rPr>
      </w:pPr>
      <w:r w:rsidRPr="00261C59">
        <w:rPr>
          <w:rFonts w:ascii="Calibri" w:hAnsi="Calibri"/>
          <w:sz w:val="24"/>
          <w:szCs w:val="24"/>
        </w:rPr>
        <w:t>The design and implementation of pricing and funding models should not compromise State system financial sustainability and quality and should therefore be focused on system level performance improvement.</w:t>
      </w:r>
    </w:p>
    <w:p w14:paraId="61D8EAC8" w14:textId="77777777" w:rsidR="006B39F6" w:rsidRPr="00261C59" w:rsidRDefault="006B39F6" w:rsidP="004728D9">
      <w:pPr>
        <w:keepLines/>
        <w:widowControl/>
        <w:numPr>
          <w:ilvl w:val="2"/>
          <w:numId w:val="241"/>
        </w:numPr>
        <w:spacing w:after="240" w:line="260" w:lineRule="exact"/>
        <w:ind w:left="1842" w:hanging="181"/>
        <w:jc w:val="left"/>
        <w:rPr>
          <w:rFonts w:ascii="Calibri" w:hAnsi="Calibri"/>
          <w:sz w:val="24"/>
          <w:szCs w:val="24"/>
        </w:rPr>
      </w:pPr>
      <w:r w:rsidRPr="00261C59">
        <w:rPr>
          <w:rFonts w:ascii="Calibri" w:hAnsi="Calibri"/>
          <w:sz w:val="24"/>
          <w:szCs w:val="24"/>
        </w:rPr>
        <w:t>Awareness of overarching safety and quality requirements among clinical and LHN staff, including clinician engagement in measures to drive high-quality, safe care.</w:t>
      </w:r>
    </w:p>
    <w:p w14:paraId="59B3ECB2" w14:textId="77777777" w:rsidR="006B39F6" w:rsidRPr="00261C59" w:rsidRDefault="006B39F6" w:rsidP="004728D9">
      <w:pPr>
        <w:numPr>
          <w:ilvl w:val="2"/>
          <w:numId w:val="241"/>
        </w:numPr>
        <w:spacing w:after="240" w:line="260" w:lineRule="exact"/>
        <w:jc w:val="left"/>
        <w:rPr>
          <w:rFonts w:ascii="Calibri" w:hAnsi="Calibri"/>
          <w:sz w:val="24"/>
          <w:szCs w:val="24"/>
        </w:rPr>
      </w:pPr>
      <w:r w:rsidRPr="00261C59">
        <w:rPr>
          <w:rFonts w:ascii="Calibri" w:hAnsi="Calibri"/>
          <w:sz w:val="24"/>
          <w:szCs w:val="24"/>
        </w:rPr>
        <w:t>Where local governance structures are successfully driving cultural change.</w:t>
      </w:r>
    </w:p>
    <w:p w14:paraId="668C5409" w14:textId="513C88CF" w:rsidR="006B39F6" w:rsidRPr="00261C59" w:rsidRDefault="006B39F6" w:rsidP="004728D9">
      <w:pPr>
        <w:pStyle w:val="ListParagraph"/>
        <w:keepNext/>
        <w:widowControl/>
        <w:numPr>
          <w:ilvl w:val="1"/>
          <w:numId w:val="241"/>
        </w:numPr>
        <w:spacing w:before="120" w:after="240" w:line="260" w:lineRule="exact"/>
        <w:contextualSpacing w:val="0"/>
        <w:jc w:val="left"/>
        <w:rPr>
          <w:rFonts w:asciiTheme="minorHAnsi" w:eastAsiaTheme="minorEastAsia" w:hAnsiTheme="minorHAnsi" w:cstheme="minorHAnsi"/>
          <w:color w:val="000000" w:themeColor="text1"/>
          <w:sz w:val="24"/>
          <w:szCs w:val="24"/>
        </w:rPr>
      </w:pPr>
      <w:r w:rsidRPr="00261C59">
        <w:rPr>
          <w:rFonts w:asciiTheme="minorHAnsi" w:eastAsiaTheme="minorEastAsia" w:hAnsiTheme="minorHAnsi" w:cstheme="minorHAnsi"/>
          <w:color w:val="000000" w:themeColor="text1"/>
          <w:sz w:val="24"/>
          <w:szCs w:val="24"/>
        </w:rPr>
        <w:t>Reforms are supporting improvements in safety and quality for Aboriginal and Torres Strait Islander people. To enable this the ACSQHC will partner with the Aboriginal and Torres Strait Islander Monitoring and Accountability Group to:</w:t>
      </w:r>
    </w:p>
    <w:p w14:paraId="1E81659E" w14:textId="25CCC3E4" w:rsidR="006B39F6" w:rsidRPr="00261C59" w:rsidRDefault="00B4572E" w:rsidP="004728D9">
      <w:pPr>
        <w:numPr>
          <w:ilvl w:val="2"/>
          <w:numId w:val="241"/>
        </w:numPr>
        <w:spacing w:after="240" w:line="260" w:lineRule="exact"/>
        <w:jc w:val="left"/>
        <w:rPr>
          <w:rFonts w:ascii="Calibri" w:hAnsi="Calibri"/>
          <w:sz w:val="24"/>
          <w:szCs w:val="24"/>
        </w:rPr>
      </w:pPr>
      <w:r>
        <w:rPr>
          <w:rFonts w:ascii="Calibri" w:hAnsi="Calibri"/>
          <w:sz w:val="24"/>
          <w:szCs w:val="24"/>
        </w:rPr>
        <w:t>a</w:t>
      </w:r>
      <w:r w:rsidR="006B39F6" w:rsidRPr="00261C59">
        <w:rPr>
          <w:rFonts w:ascii="Calibri" w:hAnsi="Calibri"/>
          <w:sz w:val="24"/>
          <w:szCs w:val="24"/>
        </w:rPr>
        <w:t xml:space="preserve">ssess the extent to which inequity exists in existing safety and quality indicators and pricing adjustments for Aboriginal and Torres Strait Islander people (e.g. if people are disproportionately represented in experiencing any adverse event, or adverse event type), and detail these identified inequities </w:t>
      </w:r>
    </w:p>
    <w:p w14:paraId="56A9CB93" w14:textId="32FAA326" w:rsidR="006B39F6" w:rsidRPr="00261C59" w:rsidRDefault="00B4572E" w:rsidP="004728D9">
      <w:pPr>
        <w:numPr>
          <w:ilvl w:val="2"/>
          <w:numId w:val="241"/>
        </w:numPr>
        <w:spacing w:after="240" w:line="260" w:lineRule="exact"/>
        <w:jc w:val="left"/>
        <w:rPr>
          <w:rFonts w:ascii="Calibri" w:hAnsi="Calibri"/>
          <w:sz w:val="24"/>
          <w:szCs w:val="24"/>
        </w:rPr>
      </w:pPr>
      <w:r>
        <w:rPr>
          <w:rFonts w:ascii="Calibri" w:hAnsi="Calibri"/>
          <w:sz w:val="24"/>
          <w:szCs w:val="24"/>
        </w:rPr>
        <w:t>i</w:t>
      </w:r>
      <w:r w:rsidR="006B39F6" w:rsidRPr="00261C59">
        <w:rPr>
          <w:rFonts w:ascii="Calibri" w:hAnsi="Calibri"/>
          <w:sz w:val="24"/>
          <w:szCs w:val="24"/>
        </w:rPr>
        <w:t>dentify and detail any data limitations that limit ability to evaluate safety, quality and effectiveness of pricing adjustments for Aboriginal and Torres Strait Islander people</w:t>
      </w:r>
    </w:p>
    <w:p w14:paraId="7F3D5D5B" w14:textId="6D2CA042" w:rsidR="006B39F6" w:rsidRPr="00261C59" w:rsidRDefault="00B4572E" w:rsidP="004728D9">
      <w:pPr>
        <w:numPr>
          <w:ilvl w:val="2"/>
          <w:numId w:val="241"/>
        </w:numPr>
        <w:spacing w:after="240" w:line="260" w:lineRule="exact"/>
        <w:jc w:val="left"/>
        <w:rPr>
          <w:rFonts w:ascii="Calibri" w:hAnsi="Calibri"/>
          <w:sz w:val="24"/>
          <w:szCs w:val="24"/>
        </w:rPr>
      </w:pPr>
      <w:r>
        <w:rPr>
          <w:rFonts w:ascii="Calibri" w:hAnsi="Calibri"/>
          <w:sz w:val="24"/>
          <w:szCs w:val="24"/>
        </w:rPr>
        <w:t>d</w:t>
      </w:r>
      <w:r w:rsidR="006B39F6" w:rsidRPr="00261C59">
        <w:rPr>
          <w:rFonts w:ascii="Calibri" w:hAnsi="Calibri"/>
          <w:sz w:val="24"/>
          <w:szCs w:val="24"/>
        </w:rPr>
        <w:t>evelop safety and quality measures that will drive improvement in Aboriginal and Torres Strait Islander outcomes, particularly focused on Sentinel Events, HACs and AHRs</w:t>
      </w:r>
    </w:p>
    <w:p w14:paraId="0C86214A" w14:textId="5DBA6041" w:rsidR="00A718C7" w:rsidRPr="00261C59" w:rsidRDefault="00B4572E" w:rsidP="004728D9">
      <w:pPr>
        <w:numPr>
          <w:ilvl w:val="2"/>
          <w:numId w:val="241"/>
        </w:numPr>
        <w:spacing w:after="240" w:line="260" w:lineRule="exact"/>
        <w:jc w:val="left"/>
        <w:rPr>
          <w:rFonts w:ascii="Calibri" w:hAnsi="Calibri"/>
          <w:sz w:val="24"/>
          <w:szCs w:val="24"/>
        </w:rPr>
      </w:pPr>
      <w:r>
        <w:rPr>
          <w:rFonts w:ascii="Calibri" w:hAnsi="Calibri"/>
          <w:sz w:val="24"/>
          <w:szCs w:val="24"/>
        </w:rPr>
        <w:t>c</w:t>
      </w:r>
      <w:r w:rsidR="006B39F6" w:rsidRPr="00261C59">
        <w:rPr>
          <w:rFonts w:ascii="Calibri" w:hAnsi="Calibri"/>
          <w:sz w:val="24"/>
          <w:szCs w:val="24"/>
        </w:rPr>
        <w:t xml:space="preserve">onsider how to measure, and drive improvement in, experiences of cultural safety and racism for Aboriginal and Torres Strait Islander patients. For example, the ACSHQC and Monitoring and Accountability Group may consider, in collaboration with the AIHW, metrics such as Discharge Against Medical Advice and Did Not Wait rates, disaggregated where appropriate. </w:t>
      </w:r>
    </w:p>
    <w:sectPr w:rsidR="00A718C7" w:rsidRPr="00261C59" w:rsidSect="00842312">
      <w:pgSz w:w="11906" w:h="16838"/>
      <w:pgMar w:top="1814" w:right="1274" w:bottom="1134" w:left="1276"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52C50" w14:textId="77777777" w:rsidR="00E07F29" w:rsidRDefault="00E07F29" w:rsidP="000F1379">
      <w:pPr>
        <w:spacing w:before="0" w:after="0"/>
      </w:pPr>
      <w:r>
        <w:separator/>
      </w:r>
    </w:p>
  </w:endnote>
  <w:endnote w:type="continuationSeparator" w:id="0">
    <w:p w14:paraId="187D9545" w14:textId="77777777" w:rsidR="00E07F29" w:rsidRDefault="00E07F29" w:rsidP="000F1379">
      <w:pPr>
        <w:spacing w:before="0" w:after="0"/>
      </w:pPr>
      <w:r>
        <w:continuationSeparator/>
      </w:r>
    </w:p>
  </w:endnote>
  <w:endnote w:type="continuationNotice" w:id="1">
    <w:p w14:paraId="7A74C6B7" w14:textId="77777777" w:rsidR="00E07F29" w:rsidRDefault="00E07F2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ZapfDingbats">
    <w:altName w:val="Wingdings"/>
    <w:panose1 w:val="00000000000000000000"/>
    <w:charset w:val="02"/>
    <w:family w:val="decorative"/>
    <w:notTrueType/>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Calibri">
    <w:altName w:val="Corbel"/>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w:altName w:val="Gill Sans MT Ext Condensed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3164" w14:textId="63C5AF1F" w:rsidR="007B2D7B" w:rsidRDefault="009B0C40">
    <w:pPr>
      <w:pStyle w:val="Footer"/>
    </w:pPr>
    <w:r>
      <w:rPr>
        <w:noProof/>
      </w:rPr>
      <mc:AlternateContent>
        <mc:Choice Requires="wps">
          <w:drawing>
            <wp:anchor distT="0" distB="0" distL="0" distR="0" simplePos="0" relativeHeight="251662848" behindDoc="0" locked="0" layoutInCell="1" allowOverlap="1" wp14:anchorId="31DC359E" wp14:editId="418A0C3C">
              <wp:simplePos x="635" y="635"/>
              <wp:positionH relativeFrom="page">
                <wp:align>center</wp:align>
              </wp:positionH>
              <wp:positionV relativeFrom="page">
                <wp:align>bottom</wp:align>
              </wp:positionV>
              <wp:extent cx="622300" cy="452755"/>
              <wp:effectExtent l="0" t="0" r="6350" b="0"/>
              <wp:wrapNone/>
              <wp:docPr id="732971662"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6C20577" w14:textId="7C586637" w:rsidR="009B0C40" w:rsidRPr="009B0C40" w:rsidRDefault="009B0C40" w:rsidP="009B0C40">
                          <w:pPr>
                            <w:spacing w:after="0"/>
                            <w:rPr>
                              <w:rFonts w:ascii="Aptos" w:eastAsia="Aptos" w:hAnsi="Aptos" w:cs="Aptos"/>
                              <w:noProof/>
                              <w:color w:val="FF0000"/>
                              <w:sz w:val="24"/>
                              <w:szCs w:val="24"/>
                            </w:rPr>
                          </w:pPr>
                          <w:r w:rsidRPr="009B0C4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DC359E" id="_x0000_t202" coordsize="21600,21600" o:spt="202" path="m,l,21600r21600,l21600,xe">
              <v:stroke joinstyle="miter"/>
              <v:path gradientshapeok="t" o:connecttype="rect"/>
            </v:shapetype>
            <v:shape id="Text Box 29" o:spid="_x0000_s1028" type="#_x0000_t202" alt="OFFICIAL" style="position:absolute;left:0;text-align:left;margin-left:0;margin-top:0;width:49pt;height:35.6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textbox style="mso-fit-shape-to-text:t" inset="0,0,0,15pt">
                <w:txbxContent>
                  <w:p w14:paraId="26C20577" w14:textId="7C586637" w:rsidR="009B0C40" w:rsidRPr="009B0C40" w:rsidRDefault="009B0C40" w:rsidP="009B0C40">
                    <w:pPr>
                      <w:spacing w:after="0"/>
                      <w:rPr>
                        <w:rFonts w:ascii="Aptos" w:eastAsia="Aptos" w:hAnsi="Aptos" w:cs="Aptos"/>
                        <w:noProof/>
                        <w:color w:val="FF0000"/>
                        <w:sz w:val="24"/>
                        <w:szCs w:val="24"/>
                      </w:rPr>
                    </w:pPr>
                    <w:r w:rsidRPr="009B0C40">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178604079"/>
  <w:p w14:paraId="22ACF8C2" w14:textId="43335C4C" w:rsidR="00D23A99" w:rsidRPr="008578B4" w:rsidRDefault="00A10B8B" w:rsidP="1476B102">
    <w:pPr>
      <w:pStyle w:val="Header"/>
      <w:ind w:firstLine="1440"/>
      <w:jc w:val="right"/>
      <w:rPr>
        <w:rFonts w:asciiTheme="minorHAnsi" w:hAnsiTheme="minorHAnsi" w:cstheme="minorBidi"/>
        <w:b/>
        <w:bCs/>
      </w:rPr>
    </w:pPr>
    <w:sdt>
      <w:sdtPr>
        <w:rPr>
          <w:b/>
          <w:bCs/>
          <w:sz w:val="22"/>
          <w:szCs w:val="22"/>
        </w:rPr>
        <w:id w:val="252241636"/>
        <w:docPartObj>
          <w:docPartGallery w:val="Page Numbers (Bottom of Page)"/>
          <w:docPartUnique/>
        </w:docPartObj>
      </w:sdtPr>
      <w:sdtEndPr>
        <w:rPr>
          <w:rFonts w:asciiTheme="minorHAnsi" w:hAnsiTheme="minorHAnsi" w:cstheme="minorBidi"/>
          <w:sz w:val="20"/>
          <w:szCs w:val="20"/>
        </w:rPr>
      </w:sdtEndPr>
      <w:sdtContent>
        <w:bookmarkEnd w:id="3"/>
        <w:r w:rsidR="0043642F">
          <w:tab/>
        </w:r>
        <w:r w:rsidR="1476B102" w:rsidRPr="1476B102">
          <w:rPr>
            <w:rFonts w:ascii="Corbel" w:hAnsi="Corbel"/>
            <w:color w:val="000000" w:themeColor="text1"/>
            <w:sz w:val="18"/>
            <w:szCs w:val="18"/>
          </w:rPr>
          <w:t xml:space="preserve">Page </w:t>
        </w:r>
        <w:r w:rsidR="0043642F" w:rsidRPr="1476B102">
          <w:rPr>
            <w:rFonts w:ascii="Corbel" w:hAnsi="Corbel"/>
            <w:color w:val="000000" w:themeColor="text1"/>
            <w:sz w:val="18"/>
            <w:szCs w:val="18"/>
          </w:rPr>
          <w:fldChar w:fldCharType="begin"/>
        </w:r>
        <w:r w:rsidR="0043642F" w:rsidRPr="1476B102">
          <w:rPr>
            <w:rFonts w:ascii="Corbel" w:hAnsi="Corbel"/>
            <w:color w:val="000000" w:themeColor="text1"/>
            <w:sz w:val="18"/>
            <w:szCs w:val="18"/>
          </w:rPr>
          <w:instrText xml:space="preserve"> PAGE </w:instrText>
        </w:r>
        <w:r w:rsidR="0043642F" w:rsidRPr="1476B102">
          <w:rPr>
            <w:rFonts w:ascii="Corbel" w:hAnsi="Corbel"/>
            <w:color w:val="000000" w:themeColor="text1"/>
            <w:sz w:val="18"/>
            <w:szCs w:val="18"/>
          </w:rPr>
          <w:fldChar w:fldCharType="separate"/>
        </w:r>
        <w:r w:rsidR="1476B102" w:rsidRPr="1476B102">
          <w:rPr>
            <w:rFonts w:ascii="Corbel" w:hAnsi="Corbel"/>
            <w:color w:val="000000" w:themeColor="text1"/>
            <w:sz w:val="18"/>
            <w:szCs w:val="18"/>
          </w:rPr>
          <w:t>1</w:t>
        </w:r>
        <w:r w:rsidR="0043642F" w:rsidRPr="1476B102">
          <w:rPr>
            <w:rFonts w:ascii="Corbel" w:hAnsi="Corbel"/>
            <w:color w:val="000000" w:themeColor="text1"/>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3C8B" w14:textId="69050B6F" w:rsidR="007B2D7B" w:rsidRDefault="009B0C40">
    <w:pPr>
      <w:pStyle w:val="Footer"/>
    </w:pPr>
    <w:r>
      <w:rPr>
        <w:noProof/>
      </w:rPr>
      <mc:AlternateContent>
        <mc:Choice Requires="wps">
          <w:drawing>
            <wp:anchor distT="0" distB="0" distL="0" distR="0" simplePos="0" relativeHeight="251661824" behindDoc="0" locked="0" layoutInCell="1" allowOverlap="1" wp14:anchorId="019494DE" wp14:editId="428BD749">
              <wp:simplePos x="635" y="635"/>
              <wp:positionH relativeFrom="page">
                <wp:align>center</wp:align>
              </wp:positionH>
              <wp:positionV relativeFrom="page">
                <wp:align>bottom</wp:align>
              </wp:positionV>
              <wp:extent cx="622300" cy="452755"/>
              <wp:effectExtent l="0" t="0" r="6350" b="0"/>
              <wp:wrapNone/>
              <wp:docPr id="304530125"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905235A" w14:textId="4529F46F" w:rsidR="009B0C40" w:rsidRPr="009B0C40" w:rsidRDefault="009B0C40" w:rsidP="009B0C40">
                          <w:pPr>
                            <w:spacing w:after="0"/>
                            <w:rPr>
                              <w:rFonts w:ascii="Aptos" w:eastAsia="Aptos" w:hAnsi="Aptos" w:cs="Aptos"/>
                              <w:noProof/>
                              <w:color w:val="FF0000"/>
                              <w:sz w:val="24"/>
                              <w:szCs w:val="24"/>
                            </w:rPr>
                          </w:pPr>
                          <w:r w:rsidRPr="009B0C4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9494DE" id="_x0000_t202" coordsize="21600,21600" o:spt="202" path="m,l,21600r21600,l21600,xe">
              <v:stroke joinstyle="miter"/>
              <v:path gradientshapeok="t" o:connecttype="rect"/>
            </v:shapetype>
            <v:shape id="Text Box 28" o:spid="_x0000_s1031" type="#_x0000_t202" alt="OFFICIAL" style="position:absolute;left:0;text-align:left;margin-left:0;margin-top:0;width:49pt;height:35.6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PDAIAABw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qSp7rRU0F9pKEQTvv2Tq47Kr0RPjwJpAVTtyTa&#10;8EhHo6EvOZwtzlrAH3/zx3zinaKc9SSYkltSNGf6m6V9RG2NBo5GlYzp53we6bF7cwckwym9CCeT&#10;SV4MejQbBPNCcl7FQhQSVlK5klejeRdOyqXnINVqlZJIRk6Ejd06GaEjXZHL5+FFoDsTHmhTDzCq&#10;SRSveD/lxpverfaB2E9LuRJ5ZpwkmNZ6fi5R47/+p6zro17+B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Dv7UDwwCAAAcBAAA&#10;DgAAAAAAAAAAAAAAAAAuAgAAZHJzL2Uyb0RvYy54bWxQSwECLQAUAAYACAAAACEApl/EdtoAAAAD&#10;AQAADwAAAAAAAAAAAAAAAABmBAAAZHJzL2Rvd25yZXYueG1sUEsFBgAAAAAEAAQA8wAAAG0FAAAA&#10;AA==&#10;" filled="f" stroked="f">
              <v:textbox style="mso-fit-shape-to-text:t" inset="0,0,0,15pt">
                <w:txbxContent>
                  <w:p w14:paraId="2905235A" w14:textId="4529F46F" w:rsidR="009B0C40" w:rsidRPr="009B0C40" w:rsidRDefault="009B0C40" w:rsidP="009B0C40">
                    <w:pPr>
                      <w:spacing w:after="0"/>
                      <w:rPr>
                        <w:rFonts w:ascii="Aptos" w:eastAsia="Aptos" w:hAnsi="Aptos" w:cs="Aptos"/>
                        <w:noProof/>
                        <w:color w:val="FF0000"/>
                        <w:sz w:val="24"/>
                        <w:szCs w:val="24"/>
                      </w:rPr>
                    </w:pPr>
                    <w:r w:rsidRPr="009B0C40">
                      <w:rPr>
                        <w:rFonts w:ascii="Aptos" w:eastAsia="Aptos" w:hAnsi="Aptos" w:cs="Aptos"/>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1D04" w14:textId="78631EE4" w:rsidR="00271836" w:rsidRDefault="009B0C40">
    <w:pPr>
      <w:pStyle w:val="Footer"/>
    </w:pPr>
    <w:r>
      <w:rPr>
        <w:noProof/>
      </w:rPr>
      <mc:AlternateContent>
        <mc:Choice Requires="wps">
          <w:drawing>
            <wp:anchor distT="0" distB="0" distL="0" distR="0" simplePos="0" relativeHeight="251664896" behindDoc="0" locked="0" layoutInCell="1" allowOverlap="1" wp14:anchorId="0DA5183A" wp14:editId="3001217C">
              <wp:simplePos x="635" y="635"/>
              <wp:positionH relativeFrom="page">
                <wp:align>center</wp:align>
              </wp:positionH>
              <wp:positionV relativeFrom="page">
                <wp:align>bottom</wp:align>
              </wp:positionV>
              <wp:extent cx="622300" cy="452755"/>
              <wp:effectExtent l="0" t="0" r="6350" b="0"/>
              <wp:wrapNone/>
              <wp:docPr id="1001966934"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1646988" w14:textId="24314E1D" w:rsidR="009B0C40" w:rsidRPr="009B0C40" w:rsidRDefault="009B0C40" w:rsidP="009B0C40">
                          <w:pPr>
                            <w:spacing w:after="0"/>
                            <w:rPr>
                              <w:rFonts w:ascii="Aptos" w:eastAsia="Aptos" w:hAnsi="Aptos" w:cs="Aptos"/>
                              <w:noProof/>
                              <w:color w:val="FF0000"/>
                              <w:sz w:val="24"/>
                              <w:szCs w:val="24"/>
                            </w:rPr>
                          </w:pPr>
                          <w:r w:rsidRPr="009B0C4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A5183A" id="_x0000_t202" coordsize="21600,21600" o:spt="202" path="m,l,21600r21600,l21600,xe">
              <v:stroke joinstyle="miter"/>
              <v:path gradientshapeok="t" o:connecttype="rect"/>
            </v:shapetype>
            <v:shape id="Text Box 32" o:spid="_x0000_s1034" type="#_x0000_t202" alt="OFFICIAL" style="position:absolute;left:0;text-align:left;margin-left:0;margin-top:0;width:49pt;height:35.6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jyDg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fPZ5Po8o2eWyQx++KTAsGiVH2koiSxzu&#10;fRhSx5RYy8K6adu0mdb+5iDM6MkuHUYr9NueNVXJr8fut1AdaSiEYd/eyXVDpe+FD08CacHULYk2&#10;PNKhW+hKDieLsxrw59/8MZ94pyhnHQmm5JYUzVn73dI+orZGA0djm4zpl3we6bF7cwskwym9CCeT&#10;SV4M7WhqBPNCcl7FQhQSVlK5km9H8zYMyqXnINVqlZJIRk6Ee7txMkJHuiKXz/2LQHciPNCmHmBU&#10;kyje8D7kxpverfaB2E9LidQORJ4YJwmmtZ6eS9T46/+UdXnUy1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D+QUjyDgIAABwE&#10;AAAOAAAAAAAAAAAAAAAAAC4CAABkcnMvZTJvRG9jLnhtbFBLAQItABQABgAIAAAAIQCmX8R22gAA&#10;AAMBAAAPAAAAAAAAAAAAAAAAAGgEAABkcnMvZG93bnJldi54bWxQSwUGAAAAAAQABADzAAAAbwUA&#10;AAAA&#10;" filled="f" stroked="f">
              <v:textbox style="mso-fit-shape-to-text:t" inset="0,0,0,15pt">
                <w:txbxContent>
                  <w:p w14:paraId="21646988" w14:textId="24314E1D" w:rsidR="009B0C40" w:rsidRPr="009B0C40" w:rsidRDefault="009B0C40" w:rsidP="009B0C40">
                    <w:pPr>
                      <w:spacing w:after="0"/>
                      <w:rPr>
                        <w:rFonts w:ascii="Aptos" w:eastAsia="Aptos" w:hAnsi="Aptos" w:cs="Aptos"/>
                        <w:noProof/>
                        <w:color w:val="FF0000"/>
                        <w:sz w:val="24"/>
                        <w:szCs w:val="24"/>
                      </w:rPr>
                    </w:pPr>
                    <w:r w:rsidRPr="009B0C40">
                      <w:rPr>
                        <w:rFonts w:ascii="Aptos" w:eastAsia="Aptos" w:hAnsi="Aptos" w:cs="Aptos"/>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4B08" w14:textId="7998CA5F" w:rsidR="00271836" w:rsidRPr="008578B4" w:rsidRDefault="00A10B8B" w:rsidP="1476B102">
    <w:pPr>
      <w:pStyle w:val="Header"/>
      <w:ind w:firstLine="1440"/>
      <w:jc w:val="right"/>
      <w:rPr>
        <w:rFonts w:asciiTheme="minorHAnsi" w:hAnsiTheme="minorHAnsi" w:cstheme="minorBidi"/>
        <w:b/>
        <w:bCs/>
      </w:rPr>
    </w:pPr>
    <w:sdt>
      <w:sdtPr>
        <w:rPr>
          <w:b/>
          <w:bCs/>
          <w:sz w:val="22"/>
          <w:szCs w:val="22"/>
        </w:rPr>
        <w:id w:val="-1906828166"/>
        <w:docPartObj>
          <w:docPartGallery w:val="Page Numbers (Bottom of Page)"/>
          <w:docPartUnique/>
        </w:docPartObj>
      </w:sdtPr>
      <w:sdtEndPr>
        <w:rPr>
          <w:rFonts w:asciiTheme="minorHAnsi" w:hAnsiTheme="minorHAnsi" w:cstheme="minorBidi"/>
          <w:sz w:val="20"/>
          <w:szCs w:val="20"/>
        </w:rPr>
      </w:sdtEndPr>
      <w:sdtContent>
        <w:r w:rsidR="00271836">
          <w:tab/>
        </w:r>
        <w:r w:rsidR="00271836" w:rsidRPr="1476B102">
          <w:rPr>
            <w:rFonts w:ascii="Corbel" w:hAnsi="Corbel"/>
            <w:color w:val="000000" w:themeColor="text1"/>
            <w:sz w:val="18"/>
            <w:szCs w:val="18"/>
          </w:rPr>
          <w:t xml:space="preserve">Page </w:t>
        </w:r>
        <w:r w:rsidR="00271836" w:rsidRPr="1476B102">
          <w:rPr>
            <w:rFonts w:ascii="Corbel" w:hAnsi="Corbel"/>
            <w:color w:val="000000" w:themeColor="text1"/>
            <w:sz w:val="18"/>
            <w:szCs w:val="18"/>
          </w:rPr>
          <w:fldChar w:fldCharType="begin"/>
        </w:r>
        <w:r w:rsidR="00271836" w:rsidRPr="1476B102">
          <w:rPr>
            <w:rFonts w:ascii="Corbel" w:hAnsi="Corbel"/>
            <w:color w:val="000000" w:themeColor="text1"/>
            <w:sz w:val="18"/>
            <w:szCs w:val="18"/>
          </w:rPr>
          <w:instrText xml:space="preserve"> PAGE </w:instrText>
        </w:r>
        <w:r w:rsidR="00271836" w:rsidRPr="1476B102">
          <w:rPr>
            <w:rFonts w:ascii="Corbel" w:hAnsi="Corbel"/>
            <w:color w:val="000000" w:themeColor="text1"/>
            <w:sz w:val="18"/>
            <w:szCs w:val="18"/>
          </w:rPr>
          <w:fldChar w:fldCharType="separate"/>
        </w:r>
        <w:r w:rsidR="00271836" w:rsidRPr="1476B102">
          <w:rPr>
            <w:rFonts w:ascii="Corbel" w:hAnsi="Corbel"/>
            <w:color w:val="000000" w:themeColor="text1"/>
            <w:sz w:val="18"/>
            <w:szCs w:val="18"/>
          </w:rPr>
          <w:t>1</w:t>
        </w:r>
        <w:r w:rsidR="00271836" w:rsidRPr="1476B102">
          <w:rPr>
            <w:rFonts w:ascii="Corbel" w:hAnsi="Corbel"/>
            <w:color w:val="000000" w:themeColor="text1"/>
            <w:sz w:val="18"/>
            <w:szCs w:val="18"/>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C164" w14:textId="3749ADD6" w:rsidR="00271836" w:rsidRDefault="009B0C40">
    <w:pPr>
      <w:pStyle w:val="Footer"/>
    </w:pPr>
    <w:r>
      <w:rPr>
        <w:noProof/>
      </w:rPr>
      <mc:AlternateContent>
        <mc:Choice Requires="wps">
          <w:drawing>
            <wp:anchor distT="0" distB="0" distL="0" distR="0" simplePos="0" relativeHeight="251663872" behindDoc="0" locked="0" layoutInCell="1" allowOverlap="1" wp14:anchorId="209ECD6D" wp14:editId="651D534A">
              <wp:simplePos x="635" y="635"/>
              <wp:positionH relativeFrom="page">
                <wp:align>center</wp:align>
              </wp:positionH>
              <wp:positionV relativeFrom="page">
                <wp:align>bottom</wp:align>
              </wp:positionV>
              <wp:extent cx="622300" cy="452755"/>
              <wp:effectExtent l="0" t="0" r="6350" b="0"/>
              <wp:wrapNone/>
              <wp:docPr id="868510704"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23EB5F7" w14:textId="0AD77271" w:rsidR="009B0C40" w:rsidRPr="009B0C40" w:rsidRDefault="009B0C40" w:rsidP="009B0C40">
                          <w:pPr>
                            <w:spacing w:after="0"/>
                            <w:rPr>
                              <w:rFonts w:ascii="Aptos" w:eastAsia="Aptos" w:hAnsi="Aptos" w:cs="Aptos"/>
                              <w:noProof/>
                              <w:color w:val="FF0000"/>
                              <w:sz w:val="24"/>
                              <w:szCs w:val="24"/>
                            </w:rPr>
                          </w:pPr>
                          <w:r w:rsidRPr="009B0C4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9ECD6D" id="_x0000_t202" coordsize="21600,21600" o:spt="202" path="m,l,21600r21600,l21600,xe">
              <v:stroke joinstyle="miter"/>
              <v:path gradientshapeok="t" o:connecttype="rect"/>
            </v:shapetype>
            <v:shape id="Text Box 31" o:spid="_x0000_s1037" type="#_x0000_t202" alt="OFFICIAL" style="position:absolute;left:0;text-align:left;margin-left:0;margin-top:0;width:49pt;height:35.6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2+JDQIAAB0EAAAOAAAAZHJzL2Uyb0RvYy54bWysU8Fu2zAMvQ/YPwi6L3aypduMOEXWIsOA&#10;oC2QDj0rshwbkESBUmJnXz9KjpOt22nYRaZJ6pF8fFrc9kazo0Lfgi35dJJzpqyEqrX7kn9/Xr/7&#10;xJkPwlZCg1UlPynPb5dv3yw6V6gZNKArhYxArC86V/ImBFdkmZeNMsJPwClLwRrQiEC/uM8qFB2h&#10;G53N8vwm6wArhyCV9+S9H4J8mfDrWsnwWNdeBaZLTr2FdGI6d/HMlgtR7FG4ppXnNsQ/dGFEa6no&#10;BepeBMEO2P4BZVqJ4KEOEwkmg7pupUoz0DTT/NU020Y4lWYhcry70OT/H6x8OG7dE7LQf4GeFhgJ&#10;6ZwvPDnjPH2NJn6pU0ZxovB0oU31gUly3sxm73OKSAp9mM8+zucRJbtedujDVwWGRaPkSFtJZInj&#10;xochdUyJtSysW63TZrT9zUGY0ZNdO4xW6Hc9ayvq/tL+DqoTTYUwLNw7uW6p9kb48CSQNkztkmrD&#10;Ix21hq7kcLY4awB//M0f84l4inLWkWJKbknSnOlvlhYSxTUaOBq7ZEw/5/PIjz2YOyAdTulJOJlM&#10;8mLQo1kjmBfS8yoWopCwksqVfDead2GQLr0HqVarlEQ6ciJs7NbJCB35imQ+9y8C3ZnxQKt6gFFO&#10;onhF/JAbb3q3OgSiP20lcjsQeaacNJj2en4vUeS//qes66te/gQAAP//AwBQSwMEFAAGAAgAAAAh&#10;AKZfxHbaAAAAAwEAAA8AAABkcnMvZG93bnJldi54bWxMj8FuwjAQRO+V+AdrkXorDkRtaYiDEFJP&#10;VJWAXnoz9pIE4nUUOxD+vtteymWk0axm3ubLwTXigl2oPSmYThIQSMbbmkoFX/v3pzmIEDVZ3XhC&#10;BTcMsCxGD7nOrL/SFi+7WAouoZBpBVWMbSZlMBU6HSa+ReLs6DunI9uulLbTVy53jZwlyYt0uiZe&#10;qHSL6wrNedc7Bc/b+NF/0j79Hma306Zdm/S4MUo9jofVAkTEIf4fwy8+o0PBTAffkw2iUcCPxD/l&#10;7G3O7qDgdZqCLHJ5z178AAAA//8DAFBLAQItABQABgAIAAAAIQC2gziS/gAAAOEBAAATAAAAAAAA&#10;AAAAAAAAAAAAAABbQ29udGVudF9UeXBlc10ueG1sUEsBAi0AFAAGAAgAAAAhADj9If/WAAAAlAEA&#10;AAsAAAAAAAAAAAAAAAAALwEAAF9yZWxzLy5yZWxzUEsBAi0AFAAGAAgAAAAhAM+fb4kNAgAAHQQA&#10;AA4AAAAAAAAAAAAAAAAALgIAAGRycy9lMm9Eb2MueG1sUEsBAi0AFAAGAAgAAAAhAKZfxHbaAAAA&#10;AwEAAA8AAAAAAAAAAAAAAAAAZwQAAGRycy9kb3ducmV2LnhtbFBLBQYAAAAABAAEAPMAAABuBQAA&#10;AAA=&#10;" filled="f" stroked="f">
              <v:textbox style="mso-fit-shape-to-text:t" inset="0,0,0,15pt">
                <w:txbxContent>
                  <w:p w14:paraId="123EB5F7" w14:textId="0AD77271" w:rsidR="009B0C40" w:rsidRPr="009B0C40" w:rsidRDefault="009B0C40" w:rsidP="009B0C40">
                    <w:pPr>
                      <w:spacing w:after="0"/>
                      <w:rPr>
                        <w:rFonts w:ascii="Aptos" w:eastAsia="Aptos" w:hAnsi="Aptos" w:cs="Aptos"/>
                        <w:noProof/>
                        <w:color w:val="FF0000"/>
                        <w:sz w:val="24"/>
                        <w:szCs w:val="24"/>
                      </w:rPr>
                    </w:pPr>
                    <w:r w:rsidRPr="009B0C40">
                      <w:rPr>
                        <w:rFonts w:ascii="Aptos" w:eastAsia="Aptos" w:hAnsi="Aptos" w:cs="Aptos"/>
                        <w:noProof/>
                        <w:color w:val="FF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BA83" w14:textId="40D49C90" w:rsidR="00F15C70" w:rsidRPr="008578B4" w:rsidRDefault="00A10B8B" w:rsidP="1476B102">
    <w:pPr>
      <w:pStyle w:val="Header"/>
      <w:ind w:firstLine="1440"/>
      <w:jc w:val="right"/>
      <w:rPr>
        <w:rFonts w:asciiTheme="minorHAnsi" w:hAnsiTheme="minorHAnsi" w:cstheme="minorBidi"/>
        <w:b/>
        <w:bCs/>
      </w:rPr>
    </w:pPr>
    <w:sdt>
      <w:sdtPr>
        <w:rPr>
          <w:b/>
          <w:bCs/>
          <w:sz w:val="22"/>
          <w:szCs w:val="22"/>
        </w:rPr>
        <w:id w:val="1839736236"/>
        <w:docPartObj>
          <w:docPartGallery w:val="Page Numbers (Bottom of Page)"/>
          <w:docPartUnique/>
        </w:docPartObj>
      </w:sdtPr>
      <w:sdtEndPr>
        <w:rPr>
          <w:rFonts w:asciiTheme="minorHAnsi" w:hAnsiTheme="minorHAnsi" w:cstheme="minorBidi"/>
          <w:sz w:val="20"/>
          <w:szCs w:val="20"/>
        </w:rPr>
      </w:sdtEndPr>
      <w:sdtContent>
        <w:r w:rsidR="00F15C70">
          <w:tab/>
        </w:r>
        <w:r w:rsidR="00F15C70" w:rsidRPr="1476B102">
          <w:rPr>
            <w:rFonts w:ascii="Corbel" w:hAnsi="Corbel"/>
            <w:color w:val="000000" w:themeColor="text1"/>
            <w:sz w:val="18"/>
            <w:szCs w:val="18"/>
          </w:rPr>
          <w:t xml:space="preserve">Page </w:t>
        </w:r>
        <w:r w:rsidR="00F15C70" w:rsidRPr="1476B102">
          <w:rPr>
            <w:rFonts w:ascii="Corbel" w:hAnsi="Corbel"/>
            <w:color w:val="000000" w:themeColor="text1"/>
            <w:sz w:val="18"/>
            <w:szCs w:val="18"/>
          </w:rPr>
          <w:fldChar w:fldCharType="begin"/>
        </w:r>
        <w:r w:rsidR="00F15C70" w:rsidRPr="1476B102">
          <w:rPr>
            <w:rFonts w:ascii="Corbel" w:hAnsi="Corbel"/>
            <w:color w:val="000000" w:themeColor="text1"/>
            <w:sz w:val="18"/>
            <w:szCs w:val="18"/>
          </w:rPr>
          <w:instrText xml:space="preserve"> PAGE </w:instrText>
        </w:r>
        <w:r w:rsidR="00F15C70" w:rsidRPr="1476B102">
          <w:rPr>
            <w:rFonts w:ascii="Corbel" w:hAnsi="Corbel"/>
            <w:color w:val="000000" w:themeColor="text1"/>
            <w:sz w:val="18"/>
            <w:szCs w:val="18"/>
          </w:rPr>
          <w:fldChar w:fldCharType="separate"/>
        </w:r>
        <w:r w:rsidR="00F15C70" w:rsidRPr="1476B102">
          <w:rPr>
            <w:rFonts w:ascii="Corbel" w:hAnsi="Corbel"/>
            <w:color w:val="000000" w:themeColor="text1"/>
            <w:sz w:val="18"/>
            <w:szCs w:val="18"/>
          </w:rPr>
          <w:t>1</w:t>
        </w:r>
        <w:r w:rsidR="00F15C70" w:rsidRPr="1476B102">
          <w:rPr>
            <w:rFonts w:ascii="Corbel" w:hAnsi="Corbel"/>
            <w:color w:val="000000" w:themeColor="text1"/>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07D94" w14:textId="77777777" w:rsidR="00E07F29" w:rsidRDefault="00E07F29" w:rsidP="000F1379">
      <w:pPr>
        <w:spacing w:before="0" w:after="0"/>
      </w:pPr>
      <w:r>
        <w:separator/>
      </w:r>
    </w:p>
  </w:footnote>
  <w:footnote w:type="continuationSeparator" w:id="0">
    <w:p w14:paraId="3FA167F4" w14:textId="77777777" w:rsidR="00E07F29" w:rsidRDefault="00E07F29" w:rsidP="000F1379">
      <w:pPr>
        <w:spacing w:before="0" w:after="0"/>
      </w:pPr>
      <w:r>
        <w:continuationSeparator/>
      </w:r>
    </w:p>
  </w:footnote>
  <w:footnote w:type="continuationNotice" w:id="1">
    <w:p w14:paraId="46C501B0" w14:textId="77777777" w:rsidR="00E07F29" w:rsidRDefault="00E07F29">
      <w:pPr>
        <w:spacing w:before="0" w:after="0"/>
      </w:pPr>
    </w:p>
  </w:footnote>
  <w:footnote w:id="2">
    <w:p w14:paraId="4656E2E0" w14:textId="77777777" w:rsidR="00322C2C" w:rsidRDefault="00322C2C" w:rsidP="00322C2C">
      <w:pPr>
        <w:pStyle w:val="FootnoteText"/>
      </w:pPr>
      <w:r>
        <w:rPr>
          <w:rStyle w:val="FootnoteReference"/>
        </w:rPr>
        <w:footnoteRef/>
      </w:r>
      <w:r>
        <w:t xml:space="preserve"> </w:t>
      </w:r>
      <w:r w:rsidRPr="00991283">
        <w:t>Adjacent systems include primary, disability and aged care</w:t>
      </w:r>
      <w:r>
        <w:t xml:space="preserve"> sectors</w:t>
      </w:r>
      <w:r w:rsidRPr="00991283">
        <w:t>.</w:t>
      </w:r>
    </w:p>
  </w:footnote>
  <w:footnote w:id="3">
    <w:p w14:paraId="1C0F49FE" w14:textId="77777777" w:rsidR="00BA3053" w:rsidRPr="00EA4BD9" w:rsidRDefault="00BA3053" w:rsidP="00BA3053">
      <w:pPr>
        <w:pStyle w:val="FootnoteText"/>
      </w:pPr>
      <w:r>
        <w:rPr>
          <w:rStyle w:val="FootnoteReference"/>
        </w:rPr>
        <w:footnoteRef/>
      </w:r>
      <w:r>
        <w:t xml:space="preserve"> </w:t>
      </w:r>
      <w:r w:rsidRPr="00EA4BD9">
        <w:rPr>
          <w:szCs w:val="18"/>
          <w:lang w:val="en-GB"/>
        </w:rPr>
        <w:t>https://www.safetyandquality.gov.au/our-work/e-health-safety/safety-issues-transitions-care-pain-points-relating-clinical-systems</w:t>
      </w:r>
    </w:p>
  </w:footnote>
  <w:footnote w:id="4">
    <w:p w14:paraId="735E50B6" w14:textId="77777777" w:rsidR="00E32840" w:rsidRPr="00576726" w:rsidRDefault="00E32840" w:rsidP="00FF5F7F">
      <w:pPr>
        <w:pStyle w:val="FootnoteText"/>
      </w:pPr>
      <w:r>
        <w:rPr>
          <w:rStyle w:val="FootnoteReference"/>
          <w:rFonts w:eastAsiaTheme="majorEastAsia"/>
        </w:rPr>
        <w:footnoteRef/>
      </w:r>
      <w:r>
        <w:t xml:space="preserve"> </w:t>
      </w:r>
      <w:r w:rsidRPr="00576726">
        <w:t>https://www.cyber.gov.au/resources-business-and-government/essential-cyber-security/ism/cyber-security-terminology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DE19" w14:textId="6DBAFD24" w:rsidR="00D23A99" w:rsidRDefault="009B0C40">
    <w:pPr>
      <w:pStyle w:val="Header"/>
    </w:pPr>
    <w:r>
      <w:rPr>
        <w:noProof/>
      </w:rPr>
      <mc:AlternateContent>
        <mc:Choice Requires="wps">
          <w:drawing>
            <wp:anchor distT="0" distB="0" distL="0" distR="0" simplePos="0" relativeHeight="251656704" behindDoc="0" locked="0" layoutInCell="1" allowOverlap="1" wp14:anchorId="398E4C09" wp14:editId="0F2E8047">
              <wp:simplePos x="635" y="635"/>
              <wp:positionH relativeFrom="page">
                <wp:align>center</wp:align>
              </wp:positionH>
              <wp:positionV relativeFrom="page">
                <wp:align>top</wp:align>
              </wp:positionV>
              <wp:extent cx="622300" cy="452755"/>
              <wp:effectExtent l="0" t="0" r="6350" b="4445"/>
              <wp:wrapNone/>
              <wp:docPr id="706613769"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9D5A28D" w14:textId="13CA06D1" w:rsidR="009B0C40" w:rsidRPr="009B0C40" w:rsidRDefault="009B0C40" w:rsidP="009B0C40">
                          <w:pPr>
                            <w:spacing w:after="0"/>
                            <w:rPr>
                              <w:rFonts w:ascii="Aptos" w:eastAsia="Aptos" w:hAnsi="Aptos" w:cs="Aptos"/>
                              <w:noProof/>
                              <w:color w:val="FF0000"/>
                              <w:sz w:val="24"/>
                              <w:szCs w:val="24"/>
                            </w:rPr>
                          </w:pPr>
                          <w:r w:rsidRPr="009B0C4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8E4C09" id="_x0000_t202" coordsize="21600,21600" o:spt="202" path="m,l,21600r21600,l21600,xe">
              <v:stroke joinstyle="miter"/>
              <v:path gradientshapeok="t" o:connecttype="rect"/>
            </v:shapetype>
            <v:shape id="Text Box 19" o:spid="_x0000_s1026" type="#_x0000_t202" alt="OFFICIAL" style="position:absolute;left:0;text-align:left;margin-left:0;margin-top:0;width:49pt;height:35.6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79D5A28D" w14:textId="13CA06D1" w:rsidR="009B0C40" w:rsidRPr="009B0C40" w:rsidRDefault="009B0C40" w:rsidP="009B0C40">
                    <w:pPr>
                      <w:spacing w:after="0"/>
                      <w:rPr>
                        <w:rFonts w:ascii="Aptos" w:eastAsia="Aptos" w:hAnsi="Aptos" w:cs="Aptos"/>
                        <w:noProof/>
                        <w:color w:val="FF0000"/>
                        <w:sz w:val="24"/>
                        <w:szCs w:val="24"/>
                      </w:rPr>
                    </w:pPr>
                    <w:r w:rsidRPr="009B0C40">
                      <w:rPr>
                        <w:rFonts w:ascii="Aptos" w:eastAsia="Aptos" w:hAnsi="Aptos" w:cs="Aptos"/>
                        <w:noProof/>
                        <w:color w:val="FF0000"/>
                        <w:sz w:val="24"/>
                        <w:szCs w:val="24"/>
                      </w:rPr>
                      <w:t>OFFICIAL</w:t>
                    </w:r>
                  </w:p>
                </w:txbxContent>
              </v:textbox>
              <w10:wrap anchorx="page" anchory="page"/>
            </v:shape>
          </w:pict>
        </mc:Fallback>
      </mc:AlternateContent>
    </w:r>
    <w:r w:rsidR="00D23A99">
      <w:rPr>
        <w:noProof/>
      </w:rPr>
      <mc:AlternateContent>
        <mc:Choice Requires="wps">
          <w:drawing>
            <wp:anchor distT="0" distB="0" distL="114300" distR="114300" simplePos="0" relativeHeight="251651584" behindDoc="1" locked="0" layoutInCell="0" allowOverlap="1" wp14:anchorId="2B8BE4C0" wp14:editId="30D35D56">
              <wp:simplePos x="0" y="0"/>
              <wp:positionH relativeFrom="margin">
                <wp:align>center</wp:align>
              </wp:positionH>
              <wp:positionV relativeFrom="margin">
                <wp:align>center</wp:align>
              </wp:positionV>
              <wp:extent cx="7205345" cy="900430"/>
              <wp:effectExtent l="0" t="2238375" r="0" b="22142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05345" cy="900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FF3C96" w14:textId="77777777" w:rsidR="00D23A99" w:rsidRDefault="00D23A99" w:rsidP="00D0719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8BE4C0" id="Text Box 2" o:spid="_x0000_s1027" type="#_x0000_t202" style="position:absolute;left:0;text-align:left;margin-left:0;margin-top:0;width:567.35pt;height:70.9pt;rotation:-45;z-index:-2516648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5ko9QEAAMsDAAAOAAAAZHJzL2Uyb0RvYy54bWysU8Fy0zAQvTPDP2h0J3bSBoonTie0lEuB&#10;zjSdnhVJjgWWVqyU2Pl7VoqbMHDr4IPGXklv33v7vLgebMf2GoMBV/PppORMOwnKuG3Nn9Z37644&#10;C1E4JTpwuuYHHfj18u2bRe8rPYMWOqWREYgLVe9r3sboq6IIstVWhAl47WizAbQi0iduC4WiJ3Tb&#10;FbOyfF/0gMojSB0CVW+Pm3yZ8ZtGy/i9aYKOrKs5cYt5xbxu0losF6LaovCtkSMN8QoWVhhHTU9Q&#10;tyIKtkPzD5Q1EiFAEycSbAFNY6TOGkjNtPxLzWMrvM5ayJzgTzaF/wcrv+0f/QOyOHyCgQaYRQR/&#10;D/JnYA5uWuG2eoUIfauFosZTfipneuuDp7Hm6loP8bMy5PE0+Vr0PlQjfppHqELqtOm/gqIrYhch&#10;dxsatAwhXbv6WKYnl8kbRoxoaIfToKgBk1T8MCvnF5dzziTt0Z3LizzJQlQJLM3BY4hfNFiWXmqO&#10;FISMKvb3ISZy5yMj00TuSDMOm4EZNcpIxDegDkS9p5zUPPzaCdRkw87eAMWKtDcI9pmCuMIs/oXA&#10;engW6EcKkcg/dC85yTxyYBRzwiY/1A8Csh3Fby86Ns9GHJmOh0fOR9R0N/gVmXhnsqAzz1EQJSbr&#10;HNOdIvnndz51/geXvwEAAP//AwBQSwMEFAAGAAgAAAAhAEfFYajbAAAABgEAAA8AAABkcnMvZG93&#10;bnJldi54bWxMj0FPwzAMhe9I/IfISNxYWjbBVJpOiIrDjtsQ56zx2m6JU5p07fj1eFzgYj3rWe99&#10;zleTs+KMfWg9KUhnCQikypuWagUfu/eHJYgQNRltPaGCCwZYFbc3uc6MH2mD522sBYdQyLSCJsYu&#10;kzJUDTodZr5DYu/ge6cjr30tTa9HDndWPibJk3S6JW5odIdvDVan7eAUmO/DpZuP42693pTDl23L&#10;Ej+PSt3fTa8vICJO8e8YrviMDgUz7f1AJgirgB+Jv/PqpfPFM4g9q0W6BFnk8j9+8QMAAP//AwBQ&#10;SwECLQAUAAYACAAAACEAtoM4kv4AAADhAQAAEwAAAAAAAAAAAAAAAAAAAAAAW0NvbnRlbnRfVHlw&#10;ZXNdLnhtbFBLAQItABQABgAIAAAAIQA4/SH/1gAAAJQBAAALAAAAAAAAAAAAAAAAAC8BAABfcmVs&#10;cy8ucmVsc1BLAQItABQABgAIAAAAIQBWs5ko9QEAAMsDAAAOAAAAAAAAAAAAAAAAAC4CAABkcnMv&#10;ZTJvRG9jLnhtbFBLAQItABQABgAIAAAAIQBHxWGo2wAAAAYBAAAPAAAAAAAAAAAAAAAAAE8EAABk&#10;cnMvZG93bnJldi54bWxQSwUGAAAAAAQABADzAAAAVwUAAAAA&#10;" o:allowincell="f" filled="f" stroked="f">
              <v:stroke joinstyle="round"/>
              <o:lock v:ext="edit" shapetype="t"/>
              <v:textbox style="mso-fit-shape-to-text:t">
                <w:txbxContent>
                  <w:p w14:paraId="42FF3C96" w14:textId="77777777" w:rsidR="00D23A99" w:rsidRDefault="00D23A99" w:rsidP="00D0719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v:textbox>
              <w10:wrap anchorx="margin" anchory="margin"/>
            </v:shape>
          </w:pict>
        </mc:Fallback>
      </mc:AlternateContent>
    </w:r>
  </w:p>
  <w:p w14:paraId="209360A4" w14:textId="77777777" w:rsidR="00D23A99" w:rsidRDefault="00D23A99"/>
  <w:p w14:paraId="50EF3B49" w14:textId="77777777" w:rsidR="00D23A99" w:rsidRDefault="00D23A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3B59" w14:textId="63AB71A3" w:rsidR="00D23A99" w:rsidRDefault="00D23A99" w:rsidP="00F84420">
    <w:pPr>
      <w:pStyle w:val="Header"/>
      <w:jc w:val="right"/>
    </w:pPr>
    <w:r w:rsidRPr="00F84420">
      <w:rPr>
        <w:rFonts w:ascii="Corbel" w:hAnsi="Corbel"/>
        <w:color w:val="980033"/>
        <w:sz w:val="18"/>
      </w:rPr>
      <w:t>National Health Reform Agreement – Addendum 202</w:t>
    </w:r>
    <w:r w:rsidR="00177896">
      <w:rPr>
        <w:rFonts w:ascii="Corbel" w:hAnsi="Corbel"/>
        <w:color w:val="980033"/>
        <w:sz w:val="18"/>
      </w:rPr>
      <w:t>6</w:t>
    </w:r>
    <w:r w:rsidRPr="00F84420">
      <w:rPr>
        <w:rFonts w:ascii="Corbel" w:hAnsi="Corbel"/>
        <w:color w:val="980033"/>
        <w:sz w:val="18"/>
      </w:rPr>
      <w:t>-</w:t>
    </w:r>
    <w:r w:rsidR="00B23C90">
      <w:rPr>
        <w:rFonts w:ascii="Corbel" w:hAnsi="Corbel"/>
        <w:color w:val="980033"/>
        <w:sz w:val="18"/>
      </w:rPr>
      <w:t>203</w:t>
    </w:r>
    <w:r w:rsidR="00177896">
      <w:rPr>
        <w:rFonts w:ascii="Corbel" w:hAnsi="Corbel"/>
        <w:color w:val="980033"/>
        <w:sz w:val="18"/>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E251" w14:textId="345D9C91" w:rsidR="00D23A99" w:rsidRDefault="009B0C40">
    <w:pPr>
      <w:pStyle w:val="Header"/>
    </w:pPr>
    <w:r>
      <w:rPr>
        <w:noProof/>
      </w:rPr>
      <mc:AlternateContent>
        <mc:Choice Requires="wps">
          <w:drawing>
            <wp:anchor distT="0" distB="0" distL="0" distR="0" simplePos="0" relativeHeight="251655680" behindDoc="0" locked="0" layoutInCell="1" allowOverlap="1" wp14:anchorId="064C3AAD" wp14:editId="15A531E3">
              <wp:simplePos x="635" y="635"/>
              <wp:positionH relativeFrom="page">
                <wp:align>center</wp:align>
              </wp:positionH>
              <wp:positionV relativeFrom="page">
                <wp:align>top</wp:align>
              </wp:positionV>
              <wp:extent cx="622300" cy="452755"/>
              <wp:effectExtent l="0" t="0" r="6350" b="4445"/>
              <wp:wrapNone/>
              <wp:docPr id="385848540"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05C650B" w14:textId="639D2E5C" w:rsidR="009B0C40" w:rsidRPr="009B0C40" w:rsidRDefault="009B0C40" w:rsidP="009B0C40">
                          <w:pPr>
                            <w:spacing w:after="0"/>
                            <w:rPr>
                              <w:rFonts w:ascii="Aptos" w:eastAsia="Aptos" w:hAnsi="Aptos" w:cs="Aptos"/>
                              <w:noProof/>
                              <w:color w:val="FF0000"/>
                              <w:sz w:val="24"/>
                              <w:szCs w:val="24"/>
                            </w:rPr>
                          </w:pPr>
                          <w:r w:rsidRPr="009B0C4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4C3AAD" id="_x0000_t202" coordsize="21600,21600" o:spt="202" path="m,l,21600r21600,l21600,xe">
              <v:stroke joinstyle="miter"/>
              <v:path gradientshapeok="t" o:connecttype="rect"/>
            </v:shapetype>
            <v:shape id="Text Box 18" o:spid="_x0000_s1029" type="#_x0000_t202" alt="OFFICIAL" style="position:absolute;left:0;text-align:left;margin-left:0;margin-top:0;width:49pt;height:35.6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o2DQIAABwEAAAOAAAAZHJzL2Uyb0RvYy54bWysU8Fu2zAMvQ/YPwi6L3bSpeuMOEXWIsOA&#10;oi2QDj0rshQbkEVBYmJnXz9KjpOt22nYRaZJ6pF8fFrc9q1hB+VDA7bk00nOmbISqsbuSv79Zf3h&#10;hrOAwlbCgFUlP6rAb5fv3y06V6gZ1GAq5RmB2FB0ruQ1oiuyLMhatSJMwClLQQ2+FUi/fpdVXnSE&#10;3ppslufXWQe+ch6kCoG890OQLxO+1krik9ZBITMlp94wnT6d23hmy4Uodl64upGnNsQ/dNGKxlLR&#10;M9S9QMH2vvkDqm2khwAaJxLaDLRupEoz0DTT/M00m1o4lWYhcoI70xT+H6x8PGzcs2fYf4GeFhgJ&#10;6VwoAjnjPL32bfxSp4ziROHxTJvqkUlyXs9mVzlFJIU+zmef5vOIkl0uOx/wq4KWRaPknraSyBKH&#10;h4BD6pgSa1lYN8akzRj7m4Mwoye7dBgt7Lc9a6qSX43db6E60lAehn0HJ9cNlX4QAZ+FpwVTtyRa&#10;fKJDG+hKDieLsxr8j7/5Yz7xTlHOOhJMyS0pmjPzzdI+oraSMf2czyMZfnRvR8Pu2zsgGU7pRTiZ&#10;zJiHZjS1h/aV5LyKhSgkrKRyJcfRvMNBufQcpFqtUhLJyAl8sBsnI3SkK3L50r8K706EI23qEUY1&#10;ieIN70NuvBncao/EflpKpHYg8sQ4STCt9fRcosZ//U9Zl0e9/Ak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roqNg0CAAAcBAAA&#10;DgAAAAAAAAAAAAAAAAAuAgAAZHJzL2Uyb0RvYy54bWxQSwECLQAUAAYACAAAACEARawYydkAAAAD&#10;AQAADwAAAAAAAAAAAAAAAABnBAAAZHJzL2Rvd25yZXYueG1sUEsFBgAAAAAEAAQA8wAAAG0FAAAA&#10;AA==&#10;" filled="f" stroked="f">
              <v:textbox style="mso-fit-shape-to-text:t" inset="0,15pt,0,0">
                <w:txbxContent>
                  <w:p w14:paraId="305C650B" w14:textId="639D2E5C" w:rsidR="009B0C40" w:rsidRPr="009B0C40" w:rsidRDefault="009B0C40" w:rsidP="009B0C40">
                    <w:pPr>
                      <w:spacing w:after="0"/>
                      <w:rPr>
                        <w:rFonts w:ascii="Aptos" w:eastAsia="Aptos" w:hAnsi="Aptos" w:cs="Aptos"/>
                        <w:noProof/>
                        <w:color w:val="FF0000"/>
                        <w:sz w:val="24"/>
                        <w:szCs w:val="24"/>
                      </w:rPr>
                    </w:pPr>
                    <w:r w:rsidRPr="009B0C40">
                      <w:rPr>
                        <w:rFonts w:ascii="Aptos" w:eastAsia="Aptos" w:hAnsi="Aptos" w:cs="Aptos"/>
                        <w:noProof/>
                        <w:color w:val="FF0000"/>
                        <w:sz w:val="24"/>
                        <w:szCs w:val="24"/>
                      </w:rPr>
                      <w:t>OFFICIAL</w:t>
                    </w:r>
                  </w:p>
                </w:txbxContent>
              </v:textbox>
              <w10:wrap anchorx="page" anchory="page"/>
            </v:shape>
          </w:pict>
        </mc:Fallback>
      </mc:AlternateContent>
    </w:r>
    <w:r w:rsidR="00D23A99">
      <w:rPr>
        <w:noProof/>
      </w:rPr>
      <mc:AlternateContent>
        <mc:Choice Requires="wps">
          <w:drawing>
            <wp:anchor distT="0" distB="0" distL="114300" distR="114300" simplePos="0" relativeHeight="251652608" behindDoc="1" locked="0" layoutInCell="0" allowOverlap="1" wp14:anchorId="37B07FF0" wp14:editId="0928EFE9">
              <wp:simplePos x="0" y="0"/>
              <wp:positionH relativeFrom="margin">
                <wp:align>center</wp:align>
              </wp:positionH>
              <wp:positionV relativeFrom="margin">
                <wp:align>center</wp:align>
              </wp:positionV>
              <wp:extent cx="7205345" cy="900430"/>
              <wp:effectExtent l="0" t="2238375" r="0" b="22142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05345" cy="900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B71BEF" w14:textId="77777777" w:rsidR="00D23A99" w:rsidRDefault="00D23A99" w:rsidP="00D0719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7B07FF0" id="Text Box 1" o:spid="_x0000_s1030" type="#_x0000_t202" style="position:absolute;left:0;text-align:left;margin-left:0;margin-top:0;width:567.35pt;height:70.9pt;rotation:-45;z-index:-2516638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yzT9wEAAMsDAAAOAAAAZHJzL2Uyb0RvYy54bWysU02P0zAQvSPxHyzfadJuC0vUdFV2WS4L&#10;rLRFe3b90QRijxm7TfrvGbvZFsENkYOVjO037715Wd4MtmMHjaEFV/PppORMOwmqdbuaf9vcv7nm&#10;LEThlOjA6ZofdeA3q9evlr2v9Awa6JRGRiAuVL2veROjr4oiyEZbESbgtaNNA2hFpE/cFQpFT+i2&#10;K2Zl+bboAZVHkDoEqt6dNvkq4xujZfxqTNCRdTUnbjGvmNdtWovVUlQ7FL5p5UhD/AMLK1pHTc9Q&#10;dyIKtsf2LyjbSoQAJk4k2AKMaaXOGkjNtPxDzVMjvM5ayJzgzzaF/wcrvxye/COyOHyAgQaYRQT/&#10;APJHYA5uG+F2eo0IfaOFosZTfi5nepujp7Hm6kYP8aNqyeNp8rXofahG/DSPUIXUadt/BkVXxD5C&#10;7jYYtAwhXbt+X6Ynl8kbRoxoaMfzoKgBk1R8NysXV/MFZ5L26M78Kk+yEFUCS3PwGOInDZall5oj&#10;BSGjisNDiInc5cjINJE70YzDdmCtqvk8yUjEt6CORL2nnNQ8/NwL1GTD3t4CxYq0GwT7TEFcYxb/&#10;QmAzPAv0I4VI5B+7l5xkHjkwijlhkx/qOwHZjuJ3EB1bZCNOTMfDI+cTarob/JpMvG+zoAvPURAl&#10;Jusc050i+ft3PnX5B1e/AAAA//8DAFBLAwQUAAYACAAAACEAR8VhqNsAAAAGAQAADwAAAGRycy9k&#10;b3ducmV2LnhtbEyPQU/DMAyF70j8h8hI3FhaNsFUmk6IisOO2xDnrPHabolTmnTt+PV4XOBiPetZ&#10;733OV5Oz4ox9aD0pSGcJCKTKm5ZqBR+794cliBA1GW09oYILBlgVtze5zowfaYPnbawFh1DItIIm&#10;xi6TMlQNOh1mvkNi7+B7pyOvfS1Nr0cOd1Y+JsmTdLolbmh0h28NVqft4BSY78Olm4/jbr3elMOX&#10;bcsSP49K3d9Nry8gIk7x7xiu+IwOBTPt/UAmCKuAH4m/8+ql88UziD2rRboEWeTyP37xAwAA//8D&#10;AFBLAQItABQABgAIAAAAIQC2gziS/gAAAOEBAAATAAAAAAAAAAAAAAAAAAAAAABbQ29udGVudF9U&#10;eXBlc10ueG1sUEsBAi0AFAAGAAgAAAAhADj9If/WAAAAlAEAAAsAAAAAAAAAAAAAAAAALwEAAF9y&#10;ZWxzLy5yZWxzUEsBAi0AFAAGAAgAAAAhANObLNP3AQAAywMAAA4AAAAAAAAAAAAAAAAALgIAAGRy&#10;cy9lMm9Eb2MueG1sUEsBAi0AFAAGAAgAAAAhAEfFYajbAAAABgEAAA8AAAAAAAAAAAAAAAAAUQQA&#10;AGRycy9kb3ducmV2LnhtbFBLBQYAAAAABAAEAPMAAABZBQAAAAA=&#10;" o:allowincell="f" filled="f" stroked="f">
              <v:stroke joinstyle="round"/>
              <o:lock v:ext="edit" shapetype="t"/>
              <v:textbox style="mso-fit-shape-to-text:t">
                <w:txbxContent>
                  <w:p w14:paraId="04B71BEF" w14:textId="77777777" w:rsidR="00D23A99" w:rsidRDefault="00D23A99" w:rsidP="00D0719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C294D" w14:textId="4F3A8D41" w:rsidR="00271836" w:rsidRDefault="009B0C40">
    <w:pPr>
      <w:pStyle w:val="Header"/>
    </w:pPr>
    <w:r>
      <w:rPr>
        <w:noProof/>
      </w:rPr>
      <mc:AlternateContent>
        <mc:Choice Requires="wps">
          <w:drawing>
            <wp:anchor distT="0" distB="0" distL="0" distR="0" simplePos="0" relativeHeight="251658752" behindDoc="0" locked="0" layoutInCell="1" allowOverlap="1" wp14:anchorId="6B7730AE" wp14:editId="02619F24">
              <wp:simplePos x="635" y="635"/>
              <wp:positionH relativeFrom="page">
                <wp:align>center</wp:align>
              </wp:positionH>
              <wp:positionV relativeFrom="page">
                <wp:align>top</wp:align>
              </wp:positionV>
              <wp:extent cx="622300" cy="452755"/>
              <wp:effectExtent l="0" t="0" r="6350" b="4445"/>
              <wp:wrapNone/>
              <wp:docPr id="1473266489"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07675AC" w14:textId="0B8D30D6" w:rsidR="009B0C40" w:rsidRPr="009B0C40" w:rsidRDefault="009B0C40" w:rsidP="009B0C40">
                          <w:pPr>
                            <w:spacing w:after="0"/>
                            <w:rPr>
                              <w:rFonts w:ascii="Aptos" w:eastAsia="Aptos" w:hAnsi="Aptos" w:cs="Aptos"/>
                              <w:noProof/>
                              <w:color w:val="FF0000"/>
                              <w:sz w:val="24"/>
                              <w:szCs w:val="24"/>
                            </w:rPr>
                          </w:pPr>
                          <w:r w:rsidRPr="009B0C4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7730AE" id="_x0000_t202" coordsize="21600,21600" o:spt="202" path="m,l,21600r21600,l21600,xe">
              <v:stroke joinstyle="miter"/>
              <v:path gradientshapeok="t" o:connecttype="rect"/>
            </v:shapetype>
            <v:shape id="Text Box 22" o:spid="_x0000_s1032" type="#_x0000_t202" alt="OFFICIAL" style="position:absolute;left:0;text-align:left;margin-left:0;margin-top:0;width:49pt;height:35.6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9DQ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TUyNj9DqoTDeVh2Hdwct1Q6Y0I+CQ8LZi6JdHi&#10;Ix3aQFdyOFuc1eB//M0f84l3inLWkWBKbknRnJlvlvYRtZWM6ed8Hsnwo3s3GvbQ3gHJcEovwslk&#10;xjw0o6k9tC8k51UsRCFhJZUrOY7mHQ7Kpecg1WqVkkhGTuDGbp2M0JGuyOVz/yK8OxOOtKkHGNUk&#10;ile8D7nxZnCrAxL7aSmR2oHIM+MkwbTW83OJGv/1P2VdH/XyJwA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J/hS/Q0CAAAcBAAA&#10;DgAAAAAAAAAAAAAAAAAuAgAAZHJzL2Uyb0RvYy54bWxQSwECLQAUAAYACAAAACEARawYydkAAAAD&#10;AQAADwAAAAAAAAAAAAAAAABnBAAAZHJzL2Rvd25yZXYueG1sUEsFBgAAAAAEAAQA8wAAAG0FAAAA&#10;AA==&#10;" filled="f" stroked="f">
              <v:textbox style="mso-fit-shape-to-text:t" inset="0,15pt,0,0">
                <w:txbxContent>
                  <w:p w14:paraId="707675AC" w14:textId="0B8D30D6" w:rsidR="009B0C40" w:rsidRPr="009B0C40" w:rsidRDefault="009B0C40" w:rsidP="009B0C40">
                    <w:pPr>
                      <w:spacing w:after="0"/>
                      <w:rPr>
                        <w:rFonts w:ascii="Aptos" w:eastAsia="Aptos" w:hAnsi="Aptos" w:cs="Aptos"/>
                        <w:noProof/>
                        <w:color w:val="FF0000"/>
                        <w:sz w:val="24"/>
                        <w:szCs w:val="24"/>
                      </w:rPr>
                    </w:pPr>
                    <w:r w:rsidRPr="009B0C40">
                      <w:rPr>
                        <w:rFonts w:ascii="Aptos" w:eastAsia="Aptos" w:hAnsi="Aptos" w:cs="Aptos"/>
                        <w:noProof/>
                        <w:color w:val="FF0000"/>
                        <w:sz w:val="24"/>
                        <w:szCs w:val="24"/>
                      </w:rPr>
                      <w:t>OFFICIAL</w:t>
                    </w:r>
                  </w:p>
                </w:txbxContent>
              </v:textbox>
              <w10:wrap anchorx="page" anchory="page"/>
            </v:shape>
          </w:pict>
        </mc:Fallback>
      </mc:AlternateContent>
    </w:r>
    <w:r w:rsidR="00271836">
      <w:rPr>
        <w:noProof/>
      </w:rPr>
      <mc:AlternateContent>
        <mc:Choice Requires="wps">
          <w:drawing>
            <wp:anchor distT="0" distB="0" distL="114300" distR="114300" simplePos="0" relativeHeight="251653632" behindDoc="1" locked="0" layoutInCell="0" allowOverlap="1" wp14:anchorId="000FCC1C" wp14:editId="7915EC37">
              <wp:simplePos x="0" y="0"/>
              <wp:positionH relativeFrom="margin">
                <wp:align>center</wp:align>
              </wp:positionH>
              <wp:positionV relativeFrom="margin">
                <wp:align>center</wp:align>
              </wp:positionV>
              <wp:extent cx="7205345" cy="900430"/>
              <wp:effectExtent l="0" t="2238375" r="0" b="2214245"/>
              <wp:wrapNone/>
              <wp:docPr id="622061597" name="Text Box 622061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05345" cy="900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033E0C" w14:textId="77777777" w:rsidR="00271836" w:rsidRDefault="00271836" w:rsidP="00D0719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0FCC1C" id="Text Box 622061597" o:spid="_x0000_s1033" type="#_x0000_t202" style="position:absolute;left:0;text-align:left;margin-left:0;margin-top:0;width:567.35pt;height:70.9pt;rotation:-45;z-index:-251662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m8z9gEAAMsDAAAOAAAAZHJzL2Uyb0RvYy54bWysU8Fy0zAQvTPDP2h0J3bSBoonTie0lEuB&#10;zjSdnhVJjgWWVqyU2Pl7VoqbMHDr4IPGXklv33v7vLgebMf2GoMBV/PppORMOwnKuG3Nn9Z37644&#10;C1E4JTpwuuYHHfj18u2bRe8rPYMWOqWREYgLVe9r3sboq6IIstVWhAl47WizAbQi0iduC4WiJ3Tb&#10;FbOyfF/0gMojSB0CVW+Pm3yZ8ZtGy/i9aYKOrKs5cYt5xbxu0losF6LaovCtkSMN8QoWVhhHTU9Q&#10;tyIKtkPzD5Q1EiFAEycSbAFNY6TOGkjNtPxLzWMrvM5ayJzgTzaF/wcrv+0f/QOyOHyCgQaYRQR/&#10;D/JnYA5uWuG2eoUIfauFosZTfipneuuDp7Hm6loP8bMy5PE0+Vr0PlQjfppHqELqtOm/gqIrYhch&#10;dxsatAwhXbv6WKYnl8kbRoxoaIfToKgBk1T8MCvnF5dzziTt0Z3LizzJQlQJLM3BY4hfNFiWXmqO&#10;FISMKvb3ISZy5yMj00TuSDMOm4EZRW2SjER8A+pA1HvKSc3Dr51ATTbs7A1QrEh7g2CfKYgrzOJf&#10;CKyHZ4F+pBCJ/EP3kpPMIwdGMSds8kP9ICDbUfz2omPzbMSR6Xh45HxETXeDX5GJdyYLOvMcBVFi&#10;ss4x3SmSf37nU+d/cPkbAAD//wMAUEsDBBQABgAIAAAAIQBHxWGo2wAAAAYBAAAPAAAAZHJzL2Rv&#10;d25yZXYueG1sTI9BT8MwDIXvSPyHyEjcWFo2wVSaToiKw47bEOes8dpuiVOadO349Xhc4GI961nv&#10;fc5Xk7PijH1oPSlIZwkIpMqblmoFH7v3hyWIEDUZbT2hggsGWBW3N7nOjB9pg+dtrAWHUMi0gibG&#10;LpMyVA06HWa+Q2Lv4HunI699LU2vRw53Vj4myZN0uiVuaHSHbw1Wp+3gFJjvw6Wbj+Nuvd6Uw5dt&#10;yxI/j0rd302vLyAiTvHvGK74jA4FM+39QCYIq4Afib/z6qXzxTOIPatFugRZ5PI/fvEDAAD//wMA&#10;UEsBAi0AFAAGAAgAAAAhALaDOJL+AAAA4QEAABMAAAAAAAAAAAAAAAAAAAAAAFtDb250ZW50X1R5&#10;cGVzXS54bWxQSwECLQAUAAYACAAAACEAOP0h/9YAAACUAQAACwAAAAAAAAAAAAAAAAAvAQAAX3Jl&#10;bHMvLnJlbHNQSwECLQAUAAYACAAAACEAb35vM/YBAADLAwAADgAAAAAAAAAAAAAAAAAuAgAAZHJz&#10;L2Uyb0RvYy54bWxQSwECLQAUAAYACAAAACEAR8VhqNsAAAAGAQAADwAAAAAAAAAAAAAAAABQBAAA&#10;ZHJzL2Rvd25yZXYueG1sUEsFBgAAAAAEAAQA8wAAAFgFAAAAAA==&#10;" o:allowincell="f" filled="f" stroked="f">
              <v:stroke joinstyle="round"/>
              <o:lock v:ext="edit" shapetype="t"/>
              <v:textbox style="mso-fit-shape-to-text:t">
                <w:txbxContent>
                  <w:p w14:paraId="09033E0C" w14:textId="77777777" w:rsidR="00271836" w:rsidRDefault="00271836" w:rsidP="00D0719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v:textbox>
              <w10:wrap anchorx="margin" anchory="margin"/>
            </v:shape>
          </w:pict>
        </mc:Fallback>
      </mc:AlternateContent>
    </w:r>
  </w:p>
  <w:p w14:paraId="019932DD" w14:textId="77777777" w:rsidR="00271836" w:rsidRDefault="00271836"/>
  <w:p w14:paraId="6D40EB20" w14:textId="77777777" w:rsidR="00271836" w:rsidRDefault="0027183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67CB" w14:textId="2887EAFA" w:rsidR="00271836" w:rsidRDefault="00271836" w:rsidP="00F84420">
    <w:pPr>
      <w:pStyle w:val="Header"/>
      <w:jc w:val="right"/>
    </w:pPr>
    <w:r w:rsidRPr="00F84420">
      <w:rPr>
        <w:rFonts w:ascii="Corbel" w:hAnsi="Corbel"/>
        <w:color w:val="980033"/>
        <w:sz w:val="18"/>
      </w:rPr>
      <w:t>National Health Reform Agreement – Addendum 202</w:t>
    </w:r>
    <w:r>
      <w:rPr>
        <w:rFonts w:ascii="Corbel" w:hAnsi="Corbel"/>
        <w:color w:val="980033"/>
        <w:sz w:val="18"/>
      </w:rPr>
      <w:t>6</w:t>
    </w:r>
    <w:r w:rsidRPr="00F84420">
      <w:rPr>
        <w:rFonts w:ascii="Corbel" w:hAnsi="Corbel"/>
        <w:color w:val="980033"/>
        <w:sz w:val="18"/>
      </w:rPr>
      <w:t>-</w:t>
    </w:r>
    <w:r>
      <w:rPr>
        <w:rFonts w:ascii="Corbel" w:hAnsi="Corbel"/>
        <w:color w:val="980033"/>
        <w:sz w:val="18"/>
      </w:rPr>
      <w:t>2031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F560" w14:textId="004B2FB3" w:rsidR="00271836" w:rsidRDefault="009B0C40">
    <w:pPr>
      <w:pStyle w:val="Header"/>
    </w:pPr>
    <w:r>
      <w:rPr>
        <w:noProof/>
      </w:rPr>
      <mc:AlternateContent>
        <mc:Choice Requires="wps">
          <w:drawing>
            <wp:anchor distT="0" distB="0" distL="0" distR="0" simplePos="0" relativeHeight="251657728" behindDoc="0" locked="0" layoutInCell="1" allowOverlap="1" wp14:anchorId="7DC0AE0E" wp14:editId="70CE6911">
              <wp:simplePos x="635" y="635"/>
              <wp:positionH relativeFrom="page">
                <wp:align>center</wp:align>
              </wp:positionH>
              <wp:positionV relativeFrom="page">
                <wp:align>top</wp:align>
              </wp:positionV>
              <wp:extent cx="622300" cy="452755"/>
              <wp:effectExtent l="0" t="0" r="6350" b="4445"/>
              <wp:wrapNone/>
              <wp:docPr id="1736989645"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A848D03" w14:textId="4A2298BC" w:rsidR="009B0C40" w:rsidRPr="009B0C40" w:rsidRDefault="009B0C40" w:rsidP="009B0C40">
                          <w:pPr>
                            <w:spacing w:after="0"/>
                            <w:rPr>
                              <w:rFonts w:ascii="Aptos" w:eastAsia="Aptos" w:hAnsi="Aptos" w:cs="Aptos"/>
                              <w:noProof/>
                              <w:color w:val="FF0000"/>
                              <w:sz w:val="24"/>
                              <w:szCs w:val="24"/>
                            </w:rPr>
                          </w:pPr>
                          <w:r w:rsidRPr="009B0C4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C0AE0E" id="_x0000_t202" coordsize="21600,21600" o:spt="202" path="m,l,21600r21600,l21600,xe">
              <v:stroke joinstyle="miter"/>
              <v:path gradientshapeok="t" o:connecttype="rect"/>
            </v:shapetype>
            <v:shape id="Text Box 21" o:spid="_x0000_s1035" type="#_x0000_t202" alt="OFFICIAL" style="position:absolute;left:0;text-align:left;margin-left:0;margin-top:0;width:49pt;height:35.6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at7DQIAABwEAAAOAAAAZHJzL2Uyb0RvYy54bWysU8Fu2zAMvQ/YPwi6L3aypWuNOEXWIsOA&#10;oi2QDj0rshQbkEVBYmJnXz9KjpOt22nYRaZJ6pF8fFrc9q1hB+VDA7bk00nOmbISqsbuSv79Zf3h&#10;mrOAwlbCgFUlP6rAb5fv3y06V6gZ1GAq5RmB2FB0ruQ1oiuyLMhatSJMwClLQQ2+FUi/fpdVXnSE&#10;3ppsludXWQe+ch6kCoG890OQLxO+1krik9ZBITMlp94wnT6d23hmy4Uodl64upGnNsQ/dNGKxlLR&#10;M9S9QMH2vvkDqm2khwAaJxLaDLRupEoz0DTT/M00m1o4lWYhcoI70xT+H6x8PGzcs2fYf4GeFhgJ&#10;6VwoAjnjPL32bfxSp4ziROHxTJvqkUlyXs1mH3OKSAp9ms8+z+cRJbtcdj7gVwUti0bJPW0lkSUO&#10;DwGH1DEl1rKwboxJmzH2NwdhRk926TBa2G971lQlvxm730J1pKE8DPsOTq4bKv0gAj4LTwumbkm0&#10;+ESHNtCVHE4WZzX4H3/zx3zinaKcdSSYkltSNGfmm6V9RG0lY3qTzyMZfnRvR8Pu2zsgGU7pRTiZ&#10;zJiHZjS1h/aV5LyKhSgkrKRyJcfRvMNBufQcpFqtUhLJyAl8sBsnI3SkK3L50r8K706EI23qEUY1&#10;ieIN70NuvBncao/EflpKpHYg8sQ4STCt9fRcosZ//U9Zl0e9/Ak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DTmrew0CAAAcBAAA&#10;DgAAAAAAAAAAAAAAAAAuAgAAZHJzL2Uyb0RvYy54bWxQSwECLQAUAAYACAAAACEARawYydkAAAAD&#10;AQAADwAAAAAAAAAAAAAAAABnBAAAZHJzL2Rvd25yZXYueG1sUEsFBgAAAAAEAAQA8wAAAG0FAAAA&#10;AA==&#10;" filled="f" stroked="f">
              <v:textbox style="mso-fit-shape-to-text:t" inset="0,15pt,0,0">
                <w:txbxContent>
                  <w:p w14:paraId="7A848D03" w14:textId="4A2298BC" w:rsidR="009B0C40" w:rsidRPr="009B0C40" w:rsidRDefault="009B0C40" w:rsidP="009B0C40">
                    <w:pPr>
                      <w:spacing w:after="0"/>
                      <w:rPr>
                        <w:rFonts w:ascii="Aptos" w:eastAsia="Aptos" w:hAnsi="Aptos" w:cs="Aptos"/>
                        <w:noProof/>
                        <w:color w:val="FF0000"/>
                        <w:sz w:val="24"/>
                        <w:szCs w:val="24"/>
                      </w:rPr>
                    </w:pPr>
                    <w:r w:rsidRPr="009B0C40">
                      <w:rPr>
                        <w:rFonts w:ascii="Aptos" w:eastAsia="Aptos" w:hAnsi="Aptos" w:cs="Aptos"/>
                        <w:noProof/>
                        <w:color w:val="FF0000"/>
                        <w:sz w:val="24"/>
                        <w:szCs w:val="24"/>
                      </w:rPr>
                      <w:t>OFFICIAL</w:t>
                    </w:r>
                  </w:p>
                </w:txbxContent>
              </v:textbox>
              <w10:wrap anchorx="page" anchory="page"/>
            </v:shape>
          </w:pict>
        </mc:Fallback>
      </mc:AlternateContent>
    </w:r>
    <w:r w:rsidR="00271836">
      <w:rPr>
        <w:noProof/>
      </w:rPr>
      <mc:AlternateContent>
        <mc:Choice Requires="wps">
          <w:drawing>
            <wp:anchor distT="0" distB="0" distL="114300" distR="114300" simplePos="0" relativeHeight="251654656" behindDoc="1" locked="0" layoutInCell="0" allowOverlap="1" wp14:anchorId="17FC126E" wp14:editId="3C5BC547">
              <wp:simplePos x="0" y="0"/>
              <wp:positionH relativeFrom="margin">
                <wp:align>center</wp:align>
              </wp:positionH>
              <wp:positionV relativeFrom="margin">
                <wp:align>center</wp:align>
              </wp:positionV>
              <wp:extent cx="7205345" cy="900430"/>
              <wp:effectExtent l="0" t="2238375" r="0" b="2214245"/>
              <wp:wrapNone/>
              <wp:docPr id="966425215" name="Text Box 966425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05345" cy="900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169C95" w14:textId="77777777" w:rsidR="00271836" w:rsidRDefault="00271836" w:rsidP="00D0719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7FC126E" id="Text Box 966425215" o:spid="_x0000_s1036" type="#_x0000_t202" style="position:absolute;left:0;text-align:left;margin-left:0;margin-top:0;width:567.35pt;height:70.9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Kn9gEAAMwDAAAOAAAAZHJzL2Uyb0RvYy54bWysU8Fy0zAQvTPDP2h0J3bSBoonTie0lEuB&#10;zjSdnhVJjgWWVqyU2Pl7VoqbMHDr4IPGXklv33v7vLgebMf2GoMBV/PppORMOwnKuG3Nn9Z37644&#10;C1E4JTpwuuYHHfj18u2bRe8rPYMWOqWREYgLVe9r3sboq6IIstVWhAl47WizAbQi0iduC4WiJ3Tb&#10;FbOyfF/0gMojSB0CVW+Pm3yZ8ZtGy/i9aYKOrKs5cYt5xbxu0losF6LaovCtkSMN8QoWVhhHTU9Q&#10;tyIKtkPzD5Q1EiFAEycSbAFNY6TOGkjNtPxLzWMrvM5ayJzgTzaF/wcrv+0f/QOyOHyCgQaYRQR/&#10;D/JnYA5uWuG2eoUIfauFosZTfipneuuDp7Hm6loP8bMy5PE0+Vr0PlQjfppHqELqtOm/gqIrYhch&#10;dxsatAwhXbv6WKYnl8kbRoxoaIfToKgBk1T8MCvnF5dzziTt0Z3LizzJQlQJLM3BY4hfNFiWXmqO&#10;FISMKvb3ISZy5yMj00TuSDMOm4EZRXwyamK+AXUg7j0Fpebh106gJh929gYoVyS+QbDPlMQVZvUv&#10;DNbDs0A/cojE/qF7CUomkhOjmBM2GaJ+EJDtKH970bF5duJIdTw8kj6iprvBr8jFO5MVnXmOiigy&#10;WegY75TJP7/zqfNPuPwNAAD//wMAUEsDBBQABgAIAAAAIQBHxWGo2wAAAAYBAAAPAAAAZHJzL2Rv&#10;d25yZXYueG1sTI9BT8MwDIXvSPyHyEjcWFo2wVSaToiKw47bEOes8dpuiVOadO349Xhc4GI961nv&#10;fc5Xk7PijH1oPSlIZwkIpMqblmoFH7v3hyWIEDUZbT2hggsGWBW3N7nOjB9pg+dtrAWHUMi0gibG&#10;LpMyVA06HWa+Q2Lv4HunI699LU2vRw53Vj4myZN0uiVuaHSHbw1Wp+3gFJjvw6Wbj+Nuvd6Uw5dt&#10;yxI/j0rd302vLyAiTvHvGK74jA4FM+39QCYIq4Afib/z6qXzxTOIPatFugRZ5PI/fvEDAAD//wMA&#10;UEsBAi0AFAAGAAgAAAAhALaDOJL+AAAA4QEAABMAAAAAAAAAAAAAAAAAAAAAAFtDb250ZW50X1R5&#10;cGVzXS54bWxQSwECLQAUAAYACAAAACEAOP0h/9YAAACUAQAACwAAAAAAAAAAAAAAAAAvAQAAX3Jl&#10;bHMvLnJlbHNQSwECLQAUAAYACAAAACEAa1rSp/YBAADMAwAADgAAAAAAAAAAAAAAAAAuAgAAZHJz&#10;L2Uyb0RvYy54bWxQSwECLQAUAAYACAAAACEAR8VhqNsAAAAGAQAADwAAAAAAAAAAAAAAAABQBAAA&#10;ZHJzL2Rvd25yZXYueG1sUEsFBgAAAAAEAAQA8wAAAFgFAAAAAA==&#10;" o:allowincell="f" filled="f" stroked="f">
              <v:stroke joinstyle="round"/>
              <o:lock v:ext="edit" shapetype="t"/>
              <v:textbox style="mso-fit-shape-to-text:t">
                <w:txbxContent>
                  <w:p w14:paraId="4A169C95" w14:textId="77777777" w:rsidR="00271836" w:rsidRDefault="00271836" w:rsidP="00D0719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F14C" w14:textId="2E218C4D" w:rsidR="00F211B0" w:rsidRDefault="009B0C40">
    <w:pPr>
      <w:pStyle w:val="Header"/>
    </w:pPr>
    <w:r>
      <w:rPr>
        <w:noProof/>
      </w:rPr>
      <mc:AlternateContent>
        <mc:Choice Requires="wps">
          <w:drawing>
            <wp:anchor distT="0" distB="0" distL="0" distR="0" simplePos="0" relativeHeight="251660800" behindDoc="0" locked="0" layoutInCell="1" allowOverlap="1" wp14:anchorId="58102A15" wp14:editId="0B8DB57E">
              <wp:simplePos x="635" y="635"/>
              <wp:positionH relativeFrom="page">
                <wp:align>center</wp:align>
              </wp:positionH>
              <wp:positionV relativeFrom="page">
                <wp:align>top</wp:align>
              </wp:positionV>
              <wp:extent cx="622300" cy="452755"/>
              <wp:effectExtent l="0" t="0" r="6350" b="4445"/>
              <wp:wrapNone/>
              <wp:docPr id="1867008249"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A1F42E5" w14:textId="5C561FEF" w:rsidR="009B0C40" w:rsidRPr="009B0C40" w:rsidRDefault="009B0C40" w:rsidP="009B0C40">
                          <w:pPr>
                            <w:spacing w:after="0"/>
                            <w:rPr>
                              <w:rFonts w:ascii="Aptos" w:eastAsia="Aptos" w:hAnsi="Aptos" w:cs="Aptos"/>
                              <w:noProof/>
                              <w:color w:val="FF0000"/>
                              <w:sz w:val="24"/>
                              <w:szCs w:val="24"/>
                            </w:rPr>
                          </w:pPr>
                          <w:r w:rsidRPr="009B0C4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102A15" id="_x0000_t202" coordsize="21600,21600" o:spt="202" path="m,l,21600r21600,l21600,xe">
              <v:stroke joinstyle="miter"/>
              <v:path gradientshapeok="t" o:connecttype="rect"/>
            </v:shapetype>
            <v:shape id="Text Box 25" o:spid="_x0000_s1038" type="#_x0000_t202" alt="OFFICIAL" style="position:absolute;left:0;text-align:left;margin-left:0;margin-top:0;width:49pt;height:35.6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l7DQIAAB0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c9aWvsvpja30N9xqkcDAv3lm9arL1lPjwxhxvGdlG1&#10;4REPqaCrKIwWJQ24H3/zx3wkHqOUdKiYihqUNCXqm8GFRHElY/45X0Q23OTeT4Y56jtAHc7xSVie&#10;zJgX1GRKB/oF9byOhTDEDMdyFQ2TeRcG6eJ74GK9TkmoI8vC1uwsj9CRr0jmc//CnB0ZD7iqB5jk&#10;xMpXxA+58aa362NA+tNWIrcDkSPlqMG01/G9RJH/+p+yrq969RM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5pnpew0CAAAdBAAA&#10;DgAAAAAAAAAAAAAAAAAuAgAAZHJzL2Uyb0RvYy54bWxQSwECLQAUAAYACAAAACEARawYydkAAAAD&#10;AQAADwAAAAAAAAAAAAAAAABnBAAAZHJzL2Rvd25yZXYueG1sUEsFBgAAAAAEAAQA8wAAAG0FAAAA&#10;AA==&#10;" filled="f" stroked="f">
              <v:textbox style="mso-fit-shape-to-text:t" inset="0,15pt,0,0">
                <w:txbxContent>
                  <w:p w14:paraId="3A1F42E5" w14:textId="5C561FEF" w:rsidR="009B0C40" w:rsidRPr="009B0C40" w:rsidRDefault="009B0C40" w:rsidP="009B0C40">
                    <w:pPr>
                      <w:spacing w:after="0"/>
                      <w:rPr>
                        <w:rFonts w:ascii="Aptos" w:eastAsia="Aptos" w:hAnsi="Aptos" w:cs="Aptos"/>
                        <w:noProof/>
                        <w:color w:val="FF0000"/>
                        <w:sz w:val="24"/>
                        <w:szCs w:val="24"/>
                      </w:rPr>
                    </w:pPr>
                    <w:r w:rsidRPr="009B0C40">
                      <w:rPr>
                        <w:rFonts w:ascii="Aptos" w:eastAsia="Aptos" w:hAnsi="Aptos" w:cs="Aptos"/>
                        <w:noProof/>
                        <w:color w:val="FF0000"/>
                        <w:sz w:val="24"/>
                        <w:szCs w:val="24"/>
                      </w:rPr>
                      <w:t>OFFICIAL</w:t>
                    </w:r>
                  </w:p>
                </w:txbxContent>
              </v:textbox>
              <w10:wrap anchorx="page" anchory="page"/>
            </v:shape>
          </w:pict>
        </mc:Fallback>
      </mc:AlternateContent>
    </w:r>
    <w:r w:rsidR="00F211B0">
      <w:rPr>
        <w:noProof/>
      </w:rPr>
      <mc:AlternateContent>
        <mc:Choice Requires="wps">
          <w:drawing>
            <wp:anchor distT="0" distB="0" distL="114300" distR="114300" simplePos="0" relativeHeight="251649536" behindDoc="1" locked="0" layoutInCell="0" allowOverlap="1" wp14:anchorId="2E97669E" wp14:editId="01487C71">
              <wp:simplePos x="0" y="0"/>
              <wp:positionH relativeFrom="margin">
                <wp:align>center</wp:align>
              </wp:positionH>
              <wp:positionV relativeFrom="margin">
                <wp:align>center</wp:align>
              </wp:positionV>
              <wp:extent cx="7205345" cy="900430"/>
              <wp:effectExtent l="0" t="2238375" r="0" b="22142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05345" cy="900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DEF77D" w14:textId="77777777" w:rsidR="00F211B0" w:rsidRDefault="00F211B0" w:rsidP="00D0719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97669E" id="Text Box 5" o:spid="_x0000_s1039" type="#_x0000_t202" style="position:absolute;left:0;text-align:left;margin-left:0;margin-top:0;width:567.35pt;height:70.9pt;rotation:-45;z-index:-2516669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5FH9wEAAMwDAAAOAAAAZHJzL2Uyb0RvYy54bWysU02P0zAQvSPxHyzfadJ2C0vUdFV2WS4L&#10;rLRFe3b90QRijxm7TfrvGbvZFsENkYOVjO037715Wd4MtmMHjaEFV/PppORMOwmqdbuaf9vcv7nm&#10;LEThlOjA6ZofdeA3q9evlr2v9Awa6JRGRiAuVL2veROjr4oiyEZbESbgtaNNA2hFpE/cFQpFT+i2&#10;K2Zl+bboAZVHkDoEqt6dNvkq4xujZfxqTNCRdTUnbjGvmNdtWovVUlQ7FL5p5UhD/AMLK1pHTc9Q&#10;dyIKtsf2LyjbSoQAJk4k2AKMaaXOGkjNtPxDzVMjvM5ayJzgzzaF/wcrvxye/COyOHyAgQaYRQT/&#10;APJHYA5uG+F2eo0IfaOFosZTfi5nepujp7Hm6kYP8aNqyeNp8rXofahG/DSPUIXUadt/BkVXxD5C&#10;7jYYtAwhXbt+X6Ynl8kbRoxoaMfzoKgBk1R8NysX86sFZ5L26M7VPE+yEFUCS3PwGOInDZall5oj&#10;BSGjisNDiInc5cjINJE70YzDdmCtIj7zpCMx34I6EveeglLz8HMvUJMPe3sLlCsSbxDsMyVxjVn9&#10;C4PN8CzQjxwisX/sXoKSieTEKOaETYao7wRkO8rfQXRskZ04UR0Pj6RPqOlu8Gty8b7Nii48R0UU&#10;mSx0jHfK5O/f+dTlJ1z9AgAA//8DAFBLAwQUAAYACAAAACEAR8VhqNsAAAAGAQAADwAAAGRycy9k&#10;b3ducmV2LnhtbEyPQU/DMAyF70j8h8hI3FhaNsFUmk6IisOO2xDnrPHabolTmnTt+PV4XOBiPetZ&#10;733OV5Oz4ox9aD0pSGcJCKTKm5ZqBR+794cliBA1GW09oYILBlgVtze5zowfaYPnbawFh1DItIIm&#10;xi6TMlQNOh1mvkNi7+B7pyOvfS1Nr0cOd1Y+JsmTdLolbmh0h28NVqft4BSY78Olm4/jbr3elMOX&#10;bcsSP49K3d9Nry8gIk7x7xiu+IwOBTPt/UAmCKuAH4m/8+ql88UziD2rRboEWeTyP37xAwAA//8D&#10;AFBLAQItABQABgAIAAAAIQC2gziS/gAAAOEBAAATAAAAAAAAAAAAAAAAAAAAAABbQ29udGVudF9U&#10;eXBlc10ueG1sUEsBAi0AFAAGAAgAAAAhADj9If/WAAAAlAEAAAsAAAAAAAAAAAAAAAAALwEAAF9y&#10;ZWxzLy5yZWxzUEsBAi0AFAAGAAgAAAAhANe/kUf3AQAAzAMAAA4AAAAAAAAAAAAAAAAALgIAAGRy&#10;cy9lMm9Eb2MueG1sUEsBAi0AFAAGAAgAAAAhAEfFYajbAAAABgEAAA8AAAAAAAAAAAAAAAAAUQQA&#10;AGRycy9kb3ducmV2LnhtbFBLBQYAAAAABAAEAPMAAABZBQAAAAA=&#10;" o:allowincell="f" filled="f" stroked="f">
              <v:stroke joinstyle="round"/>
              <o:lock v:ext="edit" shapetype="t"/>
              <v:textbox style="mso-fit-shape-to-text:t">
                <w:txbxContent>
                  <w:p w14:paraId="34DEF77D" w14:textId="77777777" w:rsidR="00F211B0" w:rsidRDefault="00F211B0" w:rsidP="00D0719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v:textbox>
              <w10:wrap anchorx="margin" anchory="margin"/>
            </v:shape>
          </w:pict>
        </mc:Fallback>
      </mc:AlternateContent>
    </w:r>
  </w:p>
  <w:p w14:paraId="5A289EEA" w14:textId="77777777" w:rsidR="00F211B0" w:rsidRDefault="00F211B0"/>
  <w:p w14:paraId="63655A96" w14:textId="77777777" w:rsidR="00F211B0" w:rsidRDefault="00F211B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D185" w14:textId="14CE1FD6" w:rsidR="00F211B0" w:rsidRDefault="009B0C40">
    <w:pPr>
      <w:pStyle w:val="Header"/>
    </w:pPr>
    <w:r>
      <w:rPr>
        <w:noProof/>
      </w:rPr>
      <mc:AlternateContent>
        <mc:Choice Requires="wps">
          <w:drawing>
            <wp:anchor distT="0" distB="0" distL="0" distR="0" simplePos="0" relativeHeight="251659776" behindDoc="0" locked="0" layoutInCell="1" allowOverlap="1" wp14:anchorId="42A817BA" wp14:editId="076F9D2C">
              <wp:simplePos x="635" y="635"/>
              <wp:positionH relativeFrom="page">
                <wp:align>center</wp:align>
              </wp:positionH>
              <wp:positionV relativeFrom="page">
                <wp:align>top</wp:align>
              </wp:positionV>
              <wp:extent cx="622300" cy="452755"/>
              <wp:effectExtent l="0" t="0" r="6350" b="4445"/>
              <wp:wrapNone/>
              <wp:docPr id="1678013353"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E8BF836" w14:textId="7ABDFEAA" w:rsidR="009B0C40" w:rsidRPr="009B0C40" w:rsidRDefault="009B0C40" w:rsidP="009B0C40">
                          <w:pPr>
                            <w:spacing w:after="0"/>
                            <w:rPr>
                              <w:rFonts w:ascii="Aptos" w:eastAsia="Aptos" w:hAnsi="Aptos" w:cs="Aptos"/>
                              <w:noProof/>
                              <w:color w:val="FF0000"/>
                              <w:sz w:val="24"/>
                              <w:szCs w:val="24"/>
                            </w:rPr>
                          </w:pPr>
                          <w:r w:rsidRPr="009B0C4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A817BA" id="_x0000_t202" coordsize="21600,21600" o:spt="202" path="m,l,21600r21600,l21600,xe">
              <v:stroke joinstyle="miter"/>
              <v:path gradientshapeok="t" o:connecttype="rect"/>
            </v:shapetype>
            <v:shape id="Text Box 24" o:spid="_x0000_s1040" type="#_x0000_t202" alt="OFFICIAL" style="position:absolute;left:0;text-align:left;margin-left:0;margin-top:0;width:49pt;height:35.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kb2DgIAAB0EAAAOAAAAZHJzL2Uyb0RvYy54bWysU8Fu2zAMvQ/YPwi6L3aypuuMOEXWIsOA&#10;oi2QDj0rshQbkEVBYmJnXz9KjpOt22nYRaZJ6pF8fFrc9q1hB+VDA7bk00nOmbISqsbuSv79Zf3h&#10;hrOAwlbCgFUlP6rAb5fv3y06V6gZ1GAq5RmB2FB0ruQ1oiuyLMhatSJMwClLQQ2+FUi/fpdVXnSE&#10;3ppslufXWQe+ch6kCoG890OQLxO+1krik9ZBITMlp94wnT6d23hmy4Uodl64upGnNsQ/dNGKxlLR&#10;M9S9QMH2vvkDqm2khwAaJxLaDLRupEoz0DTT/M00m1o4lWYhcoI70xT+H6x8PGzcs2fYf4GeFhgJ&#10;6VwoAjnjPL32bfxSp4ziROHxTJvqkUlyXs9mH3OKSApdzWef5vOIkl0uOx/wq4KWRaPknraSyBKH&#10;h4BD6pgSa1lYN8akzRj7m4Mwoye7dBgt7Lc9ayrq/mpsfwvVkabyMCw8OLluqPaDCPgsPG2Y2iXV&#10;4hMd2kBXcjhZnNXgf/zNH/OJeIpy1pFiSm5J0pyZb5YWEsWVjOnnfB7Z8KN7Oxp2394B6XBKT8LJ&#10;ZMY8NKOpPbSvpOdVLEQhYSWVKzmO5h0O0qX3INVqlZJIR07gg904GaEjX5HMl/5VeHdiHGlVjzDK&#10;SRRviB9y483gVnsk+tNWIrcDkSfKSYNpr6f3EkX+63/Kurzq5U8AAAD//wMAUEsDBBQABgAIAAAA&#10;IQBFrBjJ2QAAAAMBAAAPAAAAZHJzL2Rvd25yZXYueG1sTI/BTsMwEETvSPyDtUjcqGNQoQ1xqgqp&#10;h95KgZ7deEkC8TqKt23o17NwgctIo1nNvC0WY+jUEYfURrJgJhkopCr6lmoLry+rmxmoxI686yKh&#10;hS9MsCgvLwqX+3iiZzxuuVZSQil3FhrmPtc6VQ0GlyaxR5LsPQ7Bsdih1n5wJykPnb7NsnsdXEuy&#10;0LgenxqsPreHYKGdLiMbfFuvPnbBRHPerKfnjbXXV+PyERTjyH/H8IMv6FAK0z4eyCfVWZBH+Fcl&#10;m8/E7S08mDvQZaH/s5ffAAAA//8DAFBLAQItABQABgAIAAAAIQC2gziS/gAAAOEBAAATAAAAAAAA&#10;AAAAAAAAAAAAAABbQ29udGVudF9UeXBlc10ueG1sUEsBAi0AFAAGAAgAAAAhADj9If/WAAAAlAEA&#10;AAsAAAAAAAAAAAAAAAAALwEAAF9yZWxzLy5yZWxzUEsBAi0AFAAGAAgAAAAhAIgaRvYOAgAAHQQA&#10;AA4AAAAAAAAAAAAAAAAALgIAAGRycy9lMm9Eb2MueG1sUEsBAi0AFAAGAAgAAAAhAEWsGMnZAAAA&#10;AwEAAA8AAAAAAAAAAAAAAAAAaAQAAGRycy9kb3ducmV2LnhtbFBLBQYAAAAABAAEAPMAAABuBQAA&#10;AAA=&#10;" filled="f" stroked="f">
              <v:textbox style="mso-fit-shape-to-text:t" inset="0,15pt,0,0">
                <w:txbxContent>
                  <w:p w14:paraId="1E8BF836" w14:textId="7ABDFEAA" w:rsidR="009B0C40" w:rsidRPr="009B0C40" w:rsidRDefault="009B0C40" w:rsidP="009B0C40">
                    <w:pPr>
                      <w:spacing w:after="0"/>
                      <w:rPr>
                        <w:rFonts w:ascii="Aptos" w:eastAsia="Aptos" w:hAnsi="Aptos" w:cs="Aptos"/>
                        <w:noProof/>
                        <w:color w:val="FF0000"/>
                        <w:sz w:val="24"/>
                        <w:szCs w:val="24"/>
                      </w:rPr>
                    </w:pPr>
                    <w:r w:rsidRPr="009B0C40">
                      <w:rPr>
                        <w:rFonts w:ascii="Aptos" w:eastAsia="Aptos" w:hAnsi="Aptos" w:cs="Aptos"/>
                        <w:noProof/>
                        <w:color w:val="FF0000"/>
                        <w:sz w:val="24"/>
                        <w:szCs w:val="24"/>
                      </w:rPr>
                      <w:t>OFFICIAL</w:t>
                    </w:r>
                  </w:p>
                </w:txbxContent>
              </v:textbox>
              <w10:wrap anchorx="page" anchory="page"/>
            </v:shape>
          </w:pict>
        </mc:Fallback>
      </mc:AlternateContent>
    </w:r>
    <w:r w:rsidR="00F211B0">
      <w:rPr>
        <w:noProof/>
      </w:rPr>
      <mc:AlternateContent>
        <mc:Choice Requires="wps">
          <w:drawing>
            <wp:anchor distT="0" distB="0" distL="114300" distR="114300" simplePos="0" relativeHeight="251650560" behindDoc="1" locked="0" layoutInCell="0" allowOverlap="1" wp14:anchorId="54DAA1A3" wp14:editId="6277D8F5">
              <wp:simplePos x="0" y="0"/>
              <wp:positionH relativeFrom="margin">
                <wp:align>center</wp:align>
              </wp:positionH>
              <wp:positionV relativeFrom="margin">
                <wp:align>center</wp:align>
              </wp:positionV>
              <wp:extent cx="7205345" cy="900430"/>
              <wp:effectExtent l="0" t="2238375" r="0" b="22142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05345" cy="900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74A04C" w14:textId="77777777" w:rsidR="00F211B0" w:rsidRDefault="00F211B0" w:rsidP="00D0719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DAA1A3" id="Text Box 6" o:spid="_x0000_s1041" type="#_x0000_t202" style="position:absolute;left:0;text-align:left;margin-left:0;margin-top:0;width:567.35pt;height:70.9pt;rotation:-45;z-index:-2516659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mdc9wEAAMwDAAAOAAAAZHJzL2Uyb0RvYy54bWysU8Fy0zAQvTPDP2h0J3bSBoonTie0lEuB&#10;zjSdnhVJjgWWVqyU2Pl7VoqbMHDr4IPGXklv33v7vLgebMf2GoMBV/PppORMOwnKuG3Nn9Z37644&#10;C1E4JTpwuuYHHfj18u2bRe8rPYMWOqWREYgLVe9r3sboq6IIstVWhAl47WizAbQi0iduC4WiJ3Tb&#10;FbOyfF/0gMojSB0CVW+Pm3yZ8ZtGy/i9aYKOrKs5cYt5xbxu0losF6LaovCtkSMN8QoWVhhHTU9Q&#10;tyIKtkPzD5Q1EiFAEycSbAFNY6TOGkjNtPxLzWMrvM5ayJzgTzaF/wcrv+0f/QOyOHyCgQaYRQR/&#10;D/JnYA5uWuG2eoUIfauFosZTfipneuuDp7Hm6loP8bMy5PE0+Vr0PlQjfppHqELqtOm/gqIrYhch&#10;dxsatAwhXbv6WKYnl8kbRoxoaIfToKgBk1T8MCvnF5dzziTt0Z3LizzJQlQJLM3BY4hfNFiWXmqO&#10;FISMKvb3ISZy5yMj00TuSDMOm4EZRXzmSUdivgF1IO49BaXm4ddOoCYfdvYGKFckvkGwz5TEFWb1&#10;LwzWw7NAP3KIxP6hewlKJpITo5gTNhmifhCQ7Sh/e9GxeXbiSHU8PJI+oqa7wa/IxTuTFZ15jooo&#10;MlnoGO+UyT+/86nzT7j8DQAA//8DAFBLAwQUAAYACAAAACEAR8VhqNsAAAAGAQAADwAAAGRycy9k&#10;b3ducmV2LnhtbEyPQU/DMAyF70j8h8hI3FhaNsFUmk6IisOO2xDnrPHabolTmnTt+PV4XOBiPetZ&#10;733OV5Oz4ox9aD0pSGcJCKTKm5ZqBR+794cliBA1GW09oYILBlgVtze5zowfaYPnbawFh1DItIIm&#10;xi6TMlQNOh1mvkNi7+B7pyOvfS1Nr0cOd1Y+JsmTdLolbmh0h28NVqft4BSY78Olm4/jbr3elMOX&#10;bcsSP49K3d9Nry8gIk7x7xiu+IwOBTPt/UAmCKuAH4m/8+ql88UziD2rRboEWeTyP37xAwAA//8D&#10;AFBLAQItABQABgAIAAAAIQC2gziS/gAAAOEBAAATAAAAAAAAAAAAAAAAAAAAAABbQ29udGVudF9U&#10;eXBlc10ueG1sUEsBAi0AFAAGAAgAAAAhADj9If/WAAAAlAEAAAsAAAAAAAAAAAAAAAAALwEAAF9y&#10;ZWxzLy5yZWxzUEsBAi0AFAAGAAgAAAAhAO5yZ1z3AQAAzAMAAA4AAAAAAAAAAAAAAAAALgIAAGRy&#10;cy9lMm9Eb2MueG1sUEsBAi0AFAAGAAgAAAAhAEfFYajbAAAABgEAAA8AAAAAAAAAAAAAAAAAUQQA&#10;AGRycy9kb3ducmV2LnhtbFBLBQYAAAAABAAEAPMAAABZBQAAAAA=&#10;" o:allowincell="f" filled="f" stroked="f">
              <v:stroke joinstyle="round"/>
              <o:lock v:ext="edit" shapetype="t"/>
              <v:textbox style="mso-fit-shape-to-text:t">
                <w:txbxContent>
                  <w:p w14:paraId="0D74A04C" w14:textId="77777777" w:rsidR="00F211B0" w:rsidRDefault="00F211B0" w:rsidP="00D0719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 xml:space="preserve">DRAFT - NOT FOR DISTRIBUTION </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55BD" w14:textId="6E5795A6" w:rsidR="00E92143" w:rsidRDefault="00E92143" w:rsidP="00F84420">
    <w:pPr>
      <w:pStyle w:val="Header"/>
      <w:jc w:val="right"/>
      <w:rPr>
        <w:rFonts w:ascii="Corbel" w:hAnsi="Corbel"/>
        <w:color w:val="980033"/>
        <w:sz w:val="18"/>
      </w:rPr>
    </w:pPr>
  </w:p>
  <w:p w14:paraId="306151A6" w14:textId="1770F899" w:rsidR="00F15C70" w:rsidRDefault="00F15C70" w:rsidP="00F84420">
    <w:pPr>
      <w:pStyle w:val="Header"/>
      <w:jc w:val="right"/>
    </w:pPr>
    <w:r w:rsidRPr="00F84420">
      <w:rPr>
        <w:rFonts w:ascii="Corbel" w:hAnsi="Corbel"/>
        <w:color w:val="980033"/>
        <w:sz w:val="18"/>
      </w:rPr>
      <w:t>National Health Reform Agreement – Addendum 202</w:t>
    </w:r>
    <w:r w:rsidR="00731671">
      <w:rPr>
        <w:rFonts w:ascii="Corbel" w:hAnsi="Corbel"/>
        <w:color w:val="980033"/>
        <w:sz w:val="18"/>
      </w:rPr>
      <w:t>6</w:t>
    </w:r>
    <w:r w:rsidRPr="00F84420">
      <w:rPr>
        <w:rFonts w:ascii="Corbel" w:hAnsi="Corbel"/>
        <w:color w:val="980033"/>
        <w:sz w:val="18"/>
      </w:rPr>
      <w:t>-</w:t>
    </w:r>
    <w:r>
      <w:rPr>
        <w:rFonts w:ascii="Corbel" w:hAnsi="Corbel"/>
        <w:color w:val="980033"/>
        <w:sz w:val="18"/>
      </w:rPr>
      <w:t>203</w:t>
    </w:r>
    <w:r w:rsidR="00731671">
      <w:rPr>
        <w:rFonts w:ascii="Corbel" w:hAnsi="Corbel"/>
        <w:color w:val="980033"/>
        <w:sz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7EB"/>
    <w:multiLevelType w:val="multilevel"/>
    <w:tmpl w:val="C86A375C"/>
    <w:numStyleLink w:val="SchH"/>
  </w:abstractNum>
  <w:abstractNum w:abstractNumId="1" w15:restartNumberingAfterBreak="0">
    <w:nsid w:val="004F75C3"/>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 w15:restartNumberingAfterBreak="0">
    <w:nsid w:val="005A3CDB"/>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 w15:restartNumberingAfterBreak="0">
    <w:nsid w:val="00643112"/>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 w15:restartNumberingAfterBreak="0">
    <w:nsid w:val="00777C2A"/>
    <w:multiLevelType w:val="multilevel"/>
    <w:tmpl w:val="05E69A80"/>
    <w:numStyleLink w:val="SchI"/>
  </w:abstractNum>
  <w:abstractNum w:abstractNumId="5" w15:restartNumberingAfterBreak="0">
    <w:nsid w:val="00BD075F"/>
    <w:multiLevelType w:val="hybridMultilevel"/>
    <w:tmpl w:val="E142508E"/>
    <w:lvl w:ilvl="0" w:tplc="FFFFFFFF">
      <w:start w:val="1"/>
      <w:numFmt w:val="lowerLetter"/>
      <w:lvlText w:val="%1."/>
      <w:lvlJc w:val="left"/>
      <w:pPr>
        <w:ind w:left="1440" w:hanging="360"/>
      </w:pPr>
      <w:rPr>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0D33B8C"/>
    <w:multiLevelType w:val="multilevel"/>
    <w:tmpl w:val="6C16FA6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 w15:restartNumberingAfterBreak="0">
    <w:nsid w:val="010A03DE"/>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8" w15:restartNumberingAfterBreak="0">
    <w:nsid w:val="013B6343"/>
    <w:multiLevelType w:val="multilevel"/>
    <w:tmpl w:val="318E65A4"/>
    <w:lvl w:ilvl="0">
      <w:start w:val="6"/>
      <w:numFmt w:val="decimal"/>
      <w:lvlText w:val="D%1."/>
      <w:lvlJc w:val="left"/>
      <w:pPr>
        <w:ind w:left="567" w:hanging="567"/>
      </w:pPr>
      <w:rPr>
        <w:rFonts w:ascii="Calibri" w:hAnsi="Calibri" w:cs="Calibri"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9" w15:restartNumberingAfterBreak="0">
    <w:nsid w:val="016E78D7"/>
    <w:multiLevelType w:val="hybridMultilevel"/>
    <w:tmpl w:val="E142508E"/>
    <w:lvl w:ilvl="0" w:tplc="FFFFFFFF">
      <w:start w:val="1"/>
      <w:numFmt w:val="lowerLetter"/>
      <w:lvlText w:val="%1."/>
      <w:lvlJc w:val="left"/>
      <w:pPr>
        <w:ind w:left="144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187451A"/>
    <w:multiLevelType w:val="multilevel"/>
    <w:tmpl w:val="025E1700"/>
    <w:lvl w:ilvl="0">
      <w:start w:val="1"/>
      <w:numFmt w:val="decimal"/>
      <w:lvlText w:val="%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1" w15:restartNumberingAfterBreak="0">
    <w:nsid w:val="02227DD8"/>
    <w:multiLevelType w:val="multilevel"/>
    <w:tmpl w:val="7EA0589E"/>
    <w:lvl w:ilvl="0">
      <w:start w:val="1"/>
      <w:numFmt w:val="decimal"/>
      <w:lvlText w:val="A%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2" w15:restartNumberingAfterBreak="0">
    <w:nsid w:val="02727228"/>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3" w15:restartNumberingAfterBreak="0">
    <w:nsid w:val="02BB6FEC"/>
    <w:multiLevelType w:val="multilevel"/>
    <w:tmpl w:val="FFD89C72"/>
    <w:lvl w:ilvl="0">
      <w:start w:val="1"/>
      <w:numFmt w:val="decimal"/>
      <w:lvlText w:val="C%1."/>
      <w:lvlJc w:val="left"/>
      <w:pPr>
        <w:ind w:left="851"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4" w15:restartNumberingAfterBreak="0">
    <w:nsid w:val="031164AD"/>
    <w:multiLevelType w:val="multilevel"/>
    <w:tmpl w:val="A30A63A4"/>
    <w:numStyleLink w:val="SchE"/>
  </w:abstractNum>
  <w:abstractNum w:abstractNumId="15" w15:restartNumberingAfterBreak="0">
    <w:nsid w:val="031322D4"/>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6" w15:restartNumberingAfterBreak="0">
    <w:nsid w:val="03197824"/>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7" w15:restartNumberingAfterBreak="0">
    <w:nsid w:val="03852ECA"/>
    <w:multiLevelType w:val="multilevel"/>
    <w:tmpl w:val="F114111C"/>
    <w:lvl w:ilvl="0">
      <w:start w:val="1"/>
      <w:numFmt w:val="decimal"/>
      <w:lvlText w:val="A119.%1"/>
      <w:lvlJc w:val="left"/>
      <w:pPr>
        <w:ind w:left="567" w:hanging="567"/>
      </w:pPr>
      <w:rPr>
        <w:rFonts w:hint="default"/>
        <w:i w:val="0"/>
        <w:sz w:val="24"/>
        <w:szCs w:val="24"/>
      </w:rPr>
    </w:lvl>
    <w:lvl w:ilvl="1">
      <w:start w:val="1"/>
      <w:numFmt w:val="lowerLetter"/>
      <w:lvlText w:val="%2."/>
      <w:lvlJc w:val="left"/>
      <w:pPr>
        <w:ind w:left="1080" w:hanging="360"/>
      </w:pPr>
      <w:rPr>
        <w:rFonts w:hint="default"/>
        <w:i w:val="0"/>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8" w15:restartNumberingAfterBreak="0">
    <w:nsid w:val="03A45B36"/>
    <w:multiLevelType w:val="multilevel"/>
    <w:tmpl w:val="FA006918"/>
    <w:numStyleLink w:val="SchA"/>
  </w:abstractNum>
  <w:abstractNum w:abstractNumId="19" w15:restartNumberingAfterBreak="0">
    <w:nsid w:val="03A56EB4"/>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0" w15:restartNumberingAfterBreak="0">
    <w:nsid w:val="03AA4BFA"/>
    <w:multiLevelType w:val="multilevel"/>
    <w:tmpl w:val="FA006918"/>
    <w:lvl w:ilvl="0">
      <w:start w:val="1"/>
      <w:numFmt w:val="decimal"/>
      <w:lvlText w:val="A%1."/>
      <w:lvlJc w:val="left"/>
      <w:pPr>
        <w:ind w:left="709" w:hanging="709"/>
      </w:pPr>
      <w:rPr>
        <w:rFonts w:ascii="Calibri" w:hAnsi="Calibri" w:hint="default"/>
        <w:b w:val="0"/>
        <w:i w:val="0"/>
        <w:sz w:val="24"/>
        <w:szCs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1" w15:restartNumberingAfterBreak="0">
    <w:nsid w:val="03B57742"/>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2" w15:restartNumberingAfterBreak="0">
    <w:nsid w:val="03B6176B"/>
    <w:multiLevelType w:val="multilevel"/>
    <w:tmpl w:val="02863EF2"/>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46B25AF"/>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4" w15:restartNumberingAfterBreak="0">
    <w:nsid w:val="049E5896"/>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5" w15:restartNumberingAfterBreak="0">
    <w:nsid w:val="04D342DC"/>
    <w:multiLevelType w:val="multilevel"/>
    <w:tmpl w:val="E28E27FE"/>
    <w:lvl w:ilvl="0">
      <w:start w:val="1"/>
      <w:numFmt w:val="decimal"/>
      <w:lvlText w:val="C%1."/>
      <w:lvlJc w:val="left"/>
      <w:pPr>
        <w:ind w:left="786" w:hanging="360"/>
      </w:pPr>
      <w:rPr>
        <w:rFonts w:hint="default"/>
        <w:sz w:val="24"/>
        <w:szCs w:val="24"/>
      </w:rPr>
    </w:lvl>
    <w:lvl w:ilvl="1">
      <w:start w:val="1"/>
      <w:numFmt w:val="lowerLetter"/>
      <w:lvlText w:val="%2."/>
      <w:lvlJc w:val="left"/>
      <w:pPr>
        <w:ind w:left="1723" w:hanging="360"/>
      </w:p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6" w15:restartNumberingAfterBreak="0">
    <w:nsid w:val="05094903"/>
    <w:multiLevelType w:val="multilevel"/>
    <w:tmpl w:val="C86A375C"/>
    <w:numStyleLink w:val="SchH"/>
  </w:abstractNum>
  <w:abstractNum w:abstractNumId="27" w15:restartNumberingAfterBreak="0">
    <w:nsid w:val="0514066B"/>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8" w15:restartNumberingAfterBreak="0">
    <w:nsid w:val="05914D8F"/>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9" w15:restartNumberingAfterBreak="0">
    <w:nsid w:val="05F54217"/>
    <w:multiLevelType w:val="multilevel"/>
    <w:tmpl w:val="F2C8838E"/>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0" w15:restartNumberingAfterBreak="0">
    <w:nsid w:val="065B106B"/>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1" w15:restartNumberingAfterBreak="0">
    <w:nsid w:val="06701C16"/>
    <w:multiLevelType w:val="multilevel"/>
    <w:tmpl w:val="FA006918"/>
    <w:numStyleLink w:val="SchA"/>
  </w:abstractNum>
  <w:abstractNum w:abstractNumId="32" w15:restartNumberingAfterBreak="0">
    <w:nsid w:val="069A60FD"/>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3" w15:restartNumberingAfterBreak="0">
    <w:nsid w:val="06A22024"/>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4" w15:restartNumberingAfterBreak="0">
    <w:nsid w:val="06BA43EB"/>
    <w:multiLevelType w:val="multilevel"/>
    <w:tmpl w:val="9D2084D2"/>
    <w:numStyleLink w:val="SchC"/>
  </w:abstractNum>
  <w:abstractNum w:abstractNumId="35" w15:restartNumberingAfterBreak="0">
    <w:nsid w:val="06CF5EB0"/>
    <w:multiLevelType w:val="hybridMultilevel"/>
    <w:tmpl w:val="E1BC9342"/>
    <w:lvl w:ilvl="0" w:tplc="700845AC">
      <w:start w:val="1"/>
      <w:numFmt w:val="decimal"/>
      <w:lvlText w:val="%1."/>
      <w:lvlJc w:val="left"/>
      <w:pPr>
        <w:ind w:left="720" w:hanging="360"/>
      </w:pPr>
    </w:lvl>
    <w:lvl w:ilvl="1" w:tplc="D64EFF5E">
      <w:start w:val="1"/>
      <w:numFmt w:val="lowerRoman"/>
      <w:lvlText w:val="%2."/>
      <w:lvlJc w:val="right"/>
      <w:pPr>
        <w:ind w:left="1800" w:hanging="360"/>
      </w:pPr>
      <w:rPr>
        <w:rFonts w:ascii="Calibri" w:hAnsi="Calibri" w:cs="Calibri" w:hint="default"/>
      </w:rPr>
    </w:lvl>
    <w:lvl w:ilvl="2" w:tplc="BA701362">
      <w:start w:val="1"/>
      <w:numFmt w:val="lowerRoman"/>
      <w:lvlText w:val="%3."/>
      <w:lvlJc w:val="right"/>
      <w:pPr>
        <w:ind w:left="2160" w:hanging="180"/>
      </w:pPr>
    </w:lvl>
    <w:lvl w:ilvl="3" w:tplc="0364548C">
      <w:start w:val="1"/>
      <w:numFmt w:val="decimal"/>
      <w:lvlText w:val="%4."/>
      <w:lvlJc w:val="left"/>
      <w:pPr>
        <w:ind w:left="2880" w:hanging="360"/>
      </w:pPr>
    </w:lvl>
    <w:lvl w:ilvl="4" w:tplc="DCE48FEA">
      <w:start w:val="1"/>
      <w:numFmt w:val="lowerLetter"/>
      <w:lvlText w:val="%5."/>
      <w:lvlJc w:val="left"/>
      <w:pPr>
        <w:ind w:left="3600" w:hanging="360"/>
      </w:pPr>
    </w:lvl>
    <w:lvl w:ilvl="5" w:tplc="ADDA033E">
      <w:start w:val="1"/>
      <w:numFmt w:val="lowerRoman"/>
      <w:lvlText w:val="%6."/>
      <w:lvlJc w:val="right"/>
      <w:pPr>
        <w:ind w:left="4320" w:hanging="180"/>
      </w:pPr>
    </w:lvl>
    <w:lvl w:ilvl="6" w:tplc="D8EC8A76">
      <w:start w:val="1"/>
      <w:numFmt w:val="decimal"/>
      <w:lvlText w:val="%7."/>
      <w:lvlJc w:val="left"/>
      <w:pPr>
        <w:ind w:left="5040" w:hanging="360"/>
      </w:pPr>
    </w:lvl>
    <w:lvl w:ilvl="7" w:tplc="5ED8EA70">
      <w:start w:val="1"/>
      <w:numFmt w:val="lowerLetter"/>
      <w:lvlText w:val="%8."/>
      <w:lvlJc w:val="left"/>
      <w:pPr>
        <w:ind w:left="5760" w:hanging="360"/>
      </w:pPr>
    </w:lvl>
    <w:lvl w:ilvl="8" w:tplc="63CE38FA">
      <w:start w:val="1"/>
      <w:numFmt w:val="lowerRoman"/>
      <w:lvlText w:val="%9."/>
      <w:lvlJc w:val="right"/>
      <w:pPr>
        <w:ind w:left="6480" w:hanging="180"/>
      </w:pPr>
    </w:lvl>
  </w:abstractNum>
  <w:abstractNum w:abstractNumId="36" w15:restartNumberingAfterBreak="0">
    <w:nsid w:val="06D67CC3"/>
    <w:multiLevelType w:val="multilevel"/>
    <w:tmpl w:val="C86A375C"/>
    <w:numStyleLink w:val="SchH"/>
  </w:abstractNum>
  <w:abstractNum w:abstractNumId="37" w15:restartNumberingAfterBreak="0">
    <w:nsid w:val="06DB334B"/>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8" w15:restartNumberingAfterBreak="0">
    <w:nsid w:val="06F770CE"/>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9" w15:restartNumberingAfterBreak="0">
    <w:nsid w:val="07125CB8"/>
    <w:multiLevelType w:val="multilevel"/>
    <w:tmpl w:val="FA006918"/>
    <w:numStyleLink w:val="SchA"/>
  </w:abstractNum>
  <w:abstractNum w:abstractNumId="40" w15:restartNumberingAfterBreak="0">
    <w:nsid w:val="074C1725"/>
    <w:multiLevelType w:val="multilevel"/>
    <w:tmpl w:val="FA006918"/>
    <w:numStyleLink w:val="SchA"/>
  </w:abstractNum>
  <w:abstractNum w:abstractNumId="41" w15:restartNumberingAfterBreak="0">
    <w:nsid w:val="07C07AA9"/>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2" w15:restartNumberingAfterBreak="0">
    <w:nsid w:val="07CD6186"/>
    <w:multiLevelType w:val="hybridMultilevel"/>
    <w:tmpl w:val="9A9CF388"/>
    <w:lvl w:ilvl="0" w:tplc="FFFFFFFF">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07EB0038"/>
    <w:multiLevelType w:val="multilevel"/>
    <w:tmpl w:val="02863EF2"/>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83E726F"/>
    <w:multiLevelType w:val="multilevel"/>
    <w:tmpl w:val="2196E198"/>
    <w:lvl w:ilvl="0">
      <w:start w:val="6"/>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hint="default"/>
        <w:sz w:val="24"/>
        <w:szCs w:val="24"/>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5" w15:restartNumberingAfterBreak="0">
    <w:nsid w:val="08BF3998"/>
    <w:multiLevelType w:val="multilevel"/>
    <w:tmpl w:val="025E1700"/>
    <w:lvl w:ilvl="0">
      <w:start w:val="1"/>
      <w:numFmt w:val="decimal"/>
      <w:lvlText w:val="%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6" w15:restartNumberingAfterBreak="0">
    <w:nsid w:val="08E857C6"/>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7" w15:restartNumberingAfterBreak="0">
    <w:nsid w:val="09291A62"/>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8" w15:restartNumberingAfterBreak="0">
    <w:nsid w:val="0943035B"/>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9" w15:restartNumberingAfterBreak="0">
    <w:nsid w:val="09B17206"/>
    <w:multiLevelType w:val="multilevel"/>
    <w:tmpl w:val="B55C38CE"/>
    <w:numStyleLink w:val="SchB"/>
  </w:abstractNum>
  <w:abstractNum w:abstractNumId="50" w15:restartNumberingAfterBreak="0">
    <w:nsid w:val="0A826013"/>
    <w:multiLevelType w:val="multilevel"/>
    <w:tmpl w:val="9D2084D2"/>
    <w:numStyleLink w:val="SchC"/>
  </w:abstractNum>
  <w:abstractNum w:abstractNumId="51" w15:restartNumberingAfterBreak="0">
    <w:nsid w:val="0ABD1C2C"/>
    <w:multiLevelType w:val="multilevel"/>
    <w:tmpl w:val="05E69A80"/>
    <w:numStyleLink w:val="SchI"/>
  </w:abstractNum>
  <w:abstractNum w:abstractNumId="52" w15:restartNumberingAfterBreak="0">
    <w:nsid w:val="0B851CA4"/>
    <w:multiLevelType w:val="multilevel"/>
    <w:tmpl w:val="FA006918"/>
    <w:numStyleLink w:val="SchA"/>
  </w:abstractNum>
  <w:abstractNum w:abstractNumId="53" w15:restartNumberingAfterBreak="0">
    <w:nsid w:val="0BD50CF3"/>
    <w:multiLevelType w:val="hybridMultilevel"/>
    <w:tmpl w:val="B6A0C044"/>
    <w:lvl w:ilvl="0" w:tplc="A4B8CA64">
      <w:start w:val="1"/>
      <w:numFmt w:val="lowerLetter"/>
      <w:lvlText w:val="%1."/>
      <w:lvlJc w:val="left"/>
      <w:pPr>
        <w:ind w:left="1080" w:hanging="360"/>
      </w:pPr>
      <w:rPr>
        <w:rFonts w:ascii="Calibri" w:hAnsi="Calibri" w:cs="Calibri" w:hint="default"/>
      </w:rPr>
    </w:lvl>
    <w:lvl w:ilvl="1" w:tplc="6AB872E8">
      <w:start w:val="1"/>
      <w:numFmt w:val="lowerLetter"/>
      <w:lvlText w:val="%2."/>
      <w:lvlJc w:val="left"/>
      <w:pPr>
        <w:ind w:left="1440" w:hanging="360"/>
      </w:pPr>
    </w:lvl>
    <w:lvl w:ilvl="2" w:tplc="D0B41C52">
      <w:start w:val="1"/>
      <w:numFmt w:val="lowerRoman"/>
      <w:lvlText w:val="%3."/>
      <w:lvlJc w:val="right"/>
      <w:pPr>
        <w:ind w:left="2160" w:hanging="180"/>
      </w:pPr>
    </w:lvl>
    <w:lvl w:ilvl="3" w:tplc="E3780F34">
      <w:start w:val="1"/>
      <w:numFmt w:val="decimal"/>
      <w:lvlText w:val="%4."/>
      <w:lvlJc w:val="left"/>
      <w:pPr>
        <w:ind w:left="2880" w:hanging="360"/>
      </w:pPr>
    </w:lvl>
    <w:lvl w:ilvl="4" w:tplc="969A189A">
      <w:start w:val="1"/>
      <w:numFmt w:val="lowerLetter"/>
      <w:lvlText w:val="%5."/>
      <w:lvlJc w:val="left"/>
      <w:pPr>
        <w:ind w:left="3600" w:hanging="360"/>
      </w:pPr>
    </w:lvl>
    <w:lvl w:ilvl="5" w:tplc="0CE643A6">
      <w:start w:val="1"/>
      <w:numFmt w:val="lowerRoman"/>
      <w:lvlText w:val="%6."/>
      <w:lvlJc w:val="right"/>
      <w:pPr>
        <w:ind w:left="4320" w:hanging="180"/>
      </w:pPr>
    </w:lvl>
    <w:lvl w:ilvl="6" w:tplc="C5AE48B0">
      <w:start w:val="1"/>
      <w:numFmt w:val="decimal"/>
      <w:lvlText w:val="%7."/>
      <w:lvlJc w:val="left"/>
      <w:pPr>
        <w:ind w:left="5040" w:hanging="360"/>
      </w:pPr>
    </w:lvl>
    <w:lvl w:ilvl="7" w:tplc="131A2606">
      <w:start w:val="1"/>
      <w:numFmt w:val="lowerLetter"/>
      <w:lvlText w:val="%8."/>
      <w:lvlJc w:val="left"/>
      <w:pPr>
        <w:ind w:left="5760" w:hanging="360"/>
      </w:pPr>
    </w:lvl>
    <w:lvl w:ilvl="8" w:tplc="3174967E">
      <w:start w:val="1"/>
      <w:numFmt w:val="lowerRoman"/>
      <w:lvlText w:val="%9."/>
      <w:lvlJc w:val="right"/>
      <w:pPr>
        <w:ind w:left="6480" w:hanging="180"/>
      </w:pPr>
    </w:lvl>
  </w:abstractNum>
  <w:abstractNum w:abstractNumId="54" w15:restartNumberingAfterBreak="0">
    <w:nsid w:val="0BE617A7"/>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5" w15:restartNumberingAfterBreak="0">
    <w:nsid w:val="0BF27294"/>
    <w:multiLevelType w:val="multilevel"/>
    <w:tmpl w:val="A30A63A4"/>
    <w:numStyleLink w:val="SchE"/>
  </w:abstractNum>
  <w:abstractNum w:abstractNumId="56" w15:restartNumberingAfterBreak="0">
    <w:nsid w:val="0BFC7022"/>
    <w:multiLevelType w:val="multilevel"/>
    <w:tmpl w:val="5DD8B72C"/>
    <w:styleLink w:val="Preliminaries"/>
    <w:lvl w:ilvl="0">
      <w:start w:val="1"/>
      <w:numFmt w:val="decimal"/>
      <w:lvlText w:val="%1."/>
      <w:lvlJc w:val="left"/>
      <w:pPr>
        <w:ind w:left="709" w:hanging="709"/>
      </w:pPr>
      <w:rPr>
        <w:rFonts w:ascii="Calibri" w:hAnsi="Calibri" w:hint="default"/>
        <w:b w:val="0"/>
        <w:i w:val="0"/>
        <w:sz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5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7" w15:restartNumberingAfterBreak="0">
    <w:nsid w:val="0C39A3A0"/>
    <w:multiLevelType w:val="hybridMultilevel"/>
    <w:tmpl w:val="93AA4D22"/>
    <w:lvl w:ilvl="0" w:tplc="20BC1662">
      <w:start w:val="1"/>
      <w:numFmt w:val="decimal"/>
      <w:lvlText w:val="%1."/>
      <w:lvlJc w:val="left"/>
      <w:pPr>
        <w:ind w:left="720" w:hanging="360"/>
      </w:pPr>
    </w:lvl>
    <w:lvl w:ilvl="1" w:tplc="6E960F8A">
      <w:start w:val="1"/>
      <w:numFmt w:val="lowerRoman"/>
      <w:lvlText w:val="%2."/>
      <w:lvlJc w:val="right"/>
      <w:pPr>
        <w:ind w:left="1800" w:hanging="360"/>
      </w:pPr>
      <w:rPr>
        <w:rFonts w:ascii="Calibri" w:hAnsi="Calibri" w:cs="Calibri" w:hint="default"/>
      </w:rPr>
    </w:lvl>
    <w:lvl w:ilvl="2" w:tplc="2E70F16A">
      <w:start w:val="1"/>
      <w:numFmt w:val="lowerRoman"/>
      <w:lvlText w:val="%3."/>
      <w:lvlJc w:val="right"/>
      <w:pPr>
        <w:ind w:left="2160" w:hanging="180"/>
      </w:pPr>
    </w:lvl>
    <w:lvl w:ilvl="3" w:tplc="235C07DE">
      <w:start w:val="1"/>
      <w:numFmt w:val="decimal"/>
      <w:lvlText w:val="%4."/>
      <w:lvlJc w:val="left"/>
      <w:pPr>
        <w:ind w:left="2880" w:hanging="360"/>
      </w:pPr>
    </w:lvl>
    <w:lvl w:ilvl="4" w:tplc="4232E32E">
      <w:start w:val="1"/>
      <w:numFmt w:val="lowerLetter"/>
      <w:lvlText w:val="%5."/>
      <w:lvlJc w:val="left"/>
      <w:pPr>
        <w:ind w:left="3600" w:hanging="360"/>
      </w:pPr>
    </w:lvl>
    <w:lvl w:ilvl="5" w:tplc="068EB116">
      <w:start w:val="1"/>
      <w:numFmt w:val="lowerRoman"/>
      <w:lvlText w:val="%6."/>
      <w:lvlJc w:val="right"/>
      <w:pPr>
        <w:ind w:left="4320" w:hanging="180"/>
      </w:pPr>
    </w:lvl>
    <w:lvl w:ilvl="6" w:tplc="0DE0A9BA">
      <w:start w:val="1"/>
      <w:numFmt w:val="decimal"/>
      <w:lvlText w:val="%7."/>
      <w:lvlJc w:val="left"/>
      <w:pPr>
        <w:ind w:left="5040" w:hanging="360"/>
      </w:pPr>
    </w:lvl>
    <w:lvl w:ilvl="7" w:tplc="DE807CAA">
      <w:start w:val="1"/>
      <w:numFmt w:val="lowerLetter"/>
      <w:lvlText w:val="%8."/>
      <w:lvlJc w:val="left"/>
      <w:pPr>
        <w:ind w:left="5760" w:hanging="360"/>
      </w:pPr>
    </w:lvl>
    <w:lvl w:ilvl="8" w:tplc="F798473E">
      <w:start w:val="1"/>
      <w:numFmt w:val="lowerRoman"/>
      <w:lvlText w:val="%9."/>
      <w:lvlJc w:val="right"/>
      <w:pPr>
        <w:ind w:left="6480" w:hanging="180"/>
      </w:pPr>
    </w:lvl>
  </w:abstractNum>
  <w:abstractNum w:abstractNumId="58" w15:restartNumberingAfterBreak="0">
    <w:nsid w:val="0C6C3705"/>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9" w15:restartNumberingAfterBreak="0">
    <w:nsid w:val="0CDC7973"/>
    <w:multiLevelType w:val="multilevel"/>
    <w:tmpl w:val="85DCB1C2"/>
    <w:lvl w:ilvl="0">
      <w:start w:val="1"/>
      <w:numFmt w:val="lowerRoman"/>
      <w:lvlRestart w:val="0"/>
      <w:pStyle w:val="Romannumeral"/>
      <w:lvlText w:val="(%1)"/>
      <w:lvlJc w:val="left"/>
      <w:pPr>
        <w:tabs>
          <w:tab w:val="num" w:pos="1701"/>
        </w:tabs>
        <w:ind w:left="1701" w:hanging="567"/>
      </w:pPr>
      <w:rPr>
        <w:rFonts w:cs="Times New Roman" w:hint="default"/>
        <w:b w:val="0"/>
        <w:i w:val="0"/>
        <w:color w:val="000000"/>
      </w:rPr>
    </w:lvl>
    <w:lvl w:ilvl="1">
      <w:start w:val="1"/>
      <w:numFmt w:val="decimal"/>
      <w:lvlText w:val="(%2)"/>
      <w:lvlJc w:val="left"/>
      <w:pPr>
        <w:tabs>
          <w:tab w:val="num" w:pos="1701"/>
        </w:tabs>
        <w:ind w:left="1701" w:hanging="283"/>
      </w:pPr>
      <w:rPr>
        <w:rFonts w:cs="Times New Roman" w:hint="default"/>
        <w:b w:val="0"/>
        <w:i w:val="0"/>
        <w:color w:val="000000"/>
      </w:rPr>
    </w:lvl>
    <w:lvl w:ilvl="2">
      <w:start w:val="1"/>
      <w:numFmt w:val="decimal"/>
      <w:lvlText w:val="%3"/>
      <w:lvlJc w:val="left"/>
      <w:pPr>
        <w:tabs>
          <w:tab w:val="num" w:pos="2268"/>
        </w:tabs>
        <w:ind w:left="2268" w:hanging="567"/>
      </w:pPr>
      <w:rPr>
        <w:rFonts w:cs="Times New Roman" w:hint="default"/>
        <w:b w:val="0"/>
        <w:i w:val="0"/>
        <w:color w:val="000000"/>
      </w:rPr>
    </w:lvl>
    <w:lvl w:ilvl="3">
      <w:start w:val="1"/>
      <w:numFmt w:val="decimal"/>
      <w:lvlText w:val="%4"/>
      <w:lvlJc w:val="left"/>
      <w:pPr>
        <w:tabs>
          <w:tab w:val="num" w:pos="2835"/>
        </w:tabs>
        <w:ind w:left="2835" w:hanging="567"/>
      </w:pPr>
      <w:rPr>
        <w:rFonts w:cs="Times New Roman" w:hint="default"/>
        <w:b w:val="0"/>
        <w:i w:val="0"/>
        <w:color w:val="000000"/>
      </w:rPr>
    </w:lvl>
    <w:lvl w:ilvl="4">
      <w:start w:val="1"/>
      <w:numFmt w:val="decimal"/>
      <w:lvlText w:val="%5"/>
      <w:lvlJc w:val="left"/>
      <w:pPr>
        <w:tabs>
          <w:tab w:val="num" w:pos="3402"/>
        </w:tabs>
        <w:ind w:left="3402" w:hanging="567"/>
      </w:pPr>
      <w:rPr>
        <w:rFonts w:cs="Times New Roman" w:hint="default"/>
        <w:b w:val="0"/>
        <w:i w:val="0"/>
        <w:color w:val="000000"/>
      </w:rPr>
    </w:lvl>
    <w:lvl w:ilvl="5">
      <w:start w:val="1"/>
      <w:numFmt w:val="decimal"/>
      <w:lvlText w:val="%6"/>
      <w:lvlJc w:val="left"/>
      <w:pPr>
        <w:tabs>
          <w:tab w:val="num" w:pos="3969"/>
        </w:tabs>
        <w:ind w:left="3969" w:hanging="567"/>
      </w:pPr>
      <w:rPr>
        <w:rFonts w:cs="Times New Roman" w:hint="default"/>
        <w:b w:val="0"/>
        <w:i w:val="0"/>
        <w:color w:val="000000"/>
      </w:rPr>
    </w:lvl>
    <w:lvl w:ilvl="6">
      <w:start w:val="1"/>
      <w:numFmt w:val="decimal"/>
      <w:lvlText w:val="%7"/>
      <w:lvlJc w:val="left"/>
      <w:pPr>
        <w:tabs>
          <w:tab w:val="num" w:pos="4536"/>
        </w:tabs>
        <w:ind w:left="4536" w:hanging="567"/>
      </w:pPr>
      <w:rPr>
        <w:rFonts w:cs="Times New Roman" w:hint="default"/>
        <w:b w:val="0"/>
        <w:i w:val="0"/>
        <w:color w:val="000000"/>
      </w:rPr>
    </w:lvl>
    <w:lvl w:ilvl="7">
      <w:start w:val="1"/>
      <w:numFmt w:val="decimal"/>
      <w:lvlText w:val="%8"/>
      <w:lvlJc w:val="left"/>
      <w:pPr>
        <w:tabs>
          <w:tab w:val="num" w:pos="5103"/>
        </w:tabs>
        <w:ind w:left="5103" w:hanging="567"/>
      </w:pPr>
      <w:rPr>
        <w:rFonts w:cs="Times New Roman" w:hint="default"/>
        <w:b w:val="0"/>
        <w:i w:val="0"/>
        <w:color w:val="000000"/>
      </w:rPr>
    </w:lvl>
    <w:lvl w:ilvl="8">
      <w:start w:val="1"/>
      <w:numFmt w:val="decimal"/>
      <w:lvlText w:val="%9"/>
      <w:lvlJc w:val="left"/>
      <w:pPr>
        <w:tabs>
          <w:tab w:val="num" w:pos="5670"/>
        </w:tabs>
        <w:ind w:left="5670" w:hanging="567"/>
      </w:pPr>
      <w:rPr>
        <w:rFonts w:cs="Times New Roman" w:hint="default"/>
        <w:b w:val="0"/>
        <w:i w:val="0"/>
        <w:color w:val="000000"/>
      </w:rPr>
    </w:lvl>
  </w:abstractNum>
  <w:abstractNum w:abstractNumId="60" w15:restartNumberingAfterBreak="0">
    <w:nsid w:val="0D3A0B40"/>
    <w:multiLevelType w:val="multilevel"/>
    <w:tmpl w:val="C86A375C"/>
    <w:numStyleLink w:val="SchH"/>
  </w:abstractNum>
  <w:abstractNum w:abstractNumId="61" w15:restartNumberingAfterBreak="0">
    <w:nsid w:val="0DE06F11"/>
    <w:multiLevelType w:val="multilevel"/>
    <w:tmpl w:val="C86A375C"/>
    <w:numStyleLink w:val="SchH"/>
  </w:abstractNum>
  <w:abstractNum w:abstractNumId="62" w15:restartNumberingAfterBreak="0">
    <w:nsid w:val="0E021CC8"/>
    <w:multiLevelType w:val="multilevel"/>
    <w:tmpl w:val="FA006918"/>
    <w:numStyleLink w:val="SchA"/>
  </w:abstractNum>
  <w:abstractNum w:abstractNumId="63" w15:restartNumberingAfterBreak="0">
    <w:nsid w:val="0E5D46DA"/>
    <w:multiLevelType w:val="multilevel"/>
    <w:tmpl w:val="47B6A746"/>
    <w:lvl w:ilvl="0">
      <w:start w:val="1"/>
      <w:numFmt w:val="decimal"/>
      <w:lvlText w:val="C%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64" w15:restartNumberingAfterBreak="0">
    <w:nsid w:val="0E72505C"/>
    <w:multiLevelType w:val="multilevel"/>
    <w:tmpl w:val="BA38677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65" w15:restartNumberingAfterBreak="0">
    <w:nsid w:val="0EC36F94"/>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66" w15:restartNumberingAfterBreak="0">
    <w:nsid w:val="0EC436E1"/>
    <w:multiLevelType w:val="multilevel"/>
    <w:tmpl w:val="F4BC99EE"/>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67" w15:restartNumberingAfterBreak="0">
    <w:nsid w:val="0ED10B3F"/>
    <w:multiLevelType w:val="multilevel"/>
    <w:tmpl w:val="05E69A80"/>
    <w:numStyleLink w:val="SchI"/>
  </w:abstractNum>
  <w:abstractNum w:abstractNumId="68" w15:restartNumberingAfterBreak="0">
    <w:nsid w:val="0EEB004C"/>
    <w:multiLevelType w:val="multilevel"/>
    <w:tmpl w:val="B55C38CE"/>
    <w:numStyleLink w:val="SchB"/>
  </w:abstractNum>
  <w:abstractNum w:abstractNumId="69" w15:restartNumberingAfterBreak="0">
    <w:nsid w:val="0EEE70E1"/>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0" w15:restartNumberingAfterBreak="0">
    <w:nsid w:val="0F030C39"/>
    <w:multiLevelType w:val="multilevel"/>
    <w:tmpl w:val="9D2084D2"/>
    <w:numStyleLink w:val="SchC"/>
  </w:abstractNum>
  <w:abstractNum w:abstractNumId="71" w15:restartNumberingAfterBreak="0">
    <w:nsid w:val="0F364B01"/>
    <w:multiLevelType w:val="multilevel"/>
    <w:tmpl w:val="025E1700"/>
    <w:lvl w:ilvl="0">
      <w:start w:val="1"/>
      <w:numFmt w:val="decimal"/>
      <w:lvlText w:val="%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72" w15:restartNumberingAfterBreak="0">
    <w:nsid w:val="0F5B457B"/>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73" w15:restartNumberingAfterBreak="0">
    <w:nsid w:val="0F7E1964"/>
    <w:multiLevelType w:val="multilevel"/>
    <w:tmpl w:val="A30A63A4"/>
    <w:numStyleLink w:val="SchE"/>
  </w:abstractNum>
  <w:abstractNum w:abstractNumId="74" w15:restartNumberingAfterBreak="0">
    <w:nsid w:val="0FA445E0"/>
    <w:multiLevelType w:val="multilevel"/>
    <w:tmpl w:val="05E69A80"/>
    <w:numStyleLink w:val="SchI"/>
  </w:abstractNum>
  <w:abstractNum w:abstractNumId="75" w15:restartNumberingAfterBreak="0">
    <w:nsid w:val="0FF02FAF"/>
    <w:multiLevelType w:val="hybridMultilevel"/>
    <w:tmpl w:val="11FEB260"/>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6" w15:restartNumberingAfterBreak="0">
    <w:nsid w:val="0FF67CAF"/>
    <w:multiLevelType w:val="multilevel"/>
    <w:tmpl w:val="6C16FA6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7" w15:restartNumberingAfterBreak="0">
    <w:nsid w:val="0FFD7CEE"/>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78" w15:restartNumberingAfterBreak="0">
    <w:nsid w:val="10402078"/>
    <w:multiLevelType w:val="multilevel"/>
    <w:tmpl w:val="FA006918"/>
    <w:numStyleLink w:val="SchA"/>
  </w:abstractNum>
  <w:abstractNum w:abstractNumId="79" w15:restartNumberingAfterBreak="0">
    <w:nsid w:val="10A404C6"/>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80" w15:restartNumberingAfterBreak="0">
    <w:nsid w:val="10AE065E"/>
    <w:multiLevelType w:val="multilevel"/>
    <w:tmpl w:val="A30A63A4"/>
    <w:numStyleLink w:val="SchE"/>
  </w:abstractNum>
  <w:abstractNum w:abstractNumId="81" w15:restartNumberingAfterBreak="0">
    <w:nsid w:val="11A22E87"/>
    <w:multiLevelType w:val="hybridMultilevel"/>
    <w:tmpl w:val="E142508E"/>
    <w:lvl w:ilvl="0" w:tplc="FFFFFFFF">
      <w:start w:val="1"/>
      <w:numFmt w:val="lowerLetter"/>
      <w:lvlText w:val="%1."/>
      <w:lvlJc w:val="left"/>
      <w:pPr>
        <w:ind w:left="1440" w:hanging="360"/>
      </w:pPr>
      <w:rPr>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11C270F2"/>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83" w15:restartNumberingAfterBreak="0">
    <w:nsid w:val="11E7737A"/>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84" w15:restartNumberingAfterBreak="0">
    <w:nsid w:val="1266160D"/>
    <w:multiLevelType w:val="multilevel"/>
    <w:tmpl w:val="FA006918"/>
    <w:numStyleLink w:val="SchA"/>
  </w:abstractNum>
  <w:abstractNum w:abstractNumId="85" w15:restartNumberingAfterBreak="0">
    <w:nsid w:val="12E05B8C"/>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86" w15:restartNumberingAfterBreak="0">
    <w:nsid w:val="12F7457E"/>
    <w:multiLevelType w:val="multilevel"/>
    <w:tmpl w:val="D812A814"/>
    <w:numStyleLink w:val="SchF"/>
  </w:abstractNum>
  <w:abstractNum w:abstractNumId="87" w15:restartNumberingAfterBreak="0">
    <w:nsid w:val="12FC1166"/>
    <w:multiLevelType w:val="hybridMultilevel"/>
    <w:tmpl w:val="E142508E"/>
    <w:lvl w:ilvl="0" w:tplc="FFFFFFFF">
      <w:start w:val="1"/>
      <w:numFmt w:val="lowerLetter"/>
      <w:lvlText w:val="%1."/>
      <w:lvlJc w:val="left"/>
      <w:pPr>
        <w:ind w:left="144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13502722"/>
    <w:multiLevelType w:val="multilevel"/>
    <w:tmpl w:val="8744BB04"/>
    <w:lvl w:ilvl="0">
      <w:start w:val="1"/>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ascii="Calibri" w:hAnsi="Calibri" w:hint="default"/>
        <w:sz w:val="24"/>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89" w15:restartNumberingAfterBreak="0">
    <w:nsid w:val="137518D4"/>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90" w15:restartNumberingAfterBreak="0">
    <w:nsid w:val="139C0D44"/>
    <w:multiLevelType w:val="multilevel"/>
    <w:tmpl w:val="C86A375C"/>
    <w:numStyleLink w:val="SchH"/>
  </w:abstractNum>
  <w:abstractNum w:abstractNumId="91" w15:restartNumberingAfterBreak="0">
    <w:nsid w:val="13BA05D9"/>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92" w15:restartNumberingAfterBreak="0">
    <w:nsid w:val="13CB75F7"/>
    <w:multiLevelType w:val="multilevel"/>
    <w:tmpl w:val="FA006918"/>
    <w:numStyleLink w:val="SchA"/>
  </w:abstractNum>
  <w:abstractNum w:abstractNumId="93" w15:restartNumberingAfterBreak="0">
    <w:nsid w:val="14B50F54"/>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94" w15:restartNumberingAfterBreak="0">
    <w:nsid w:val="14C57336"/>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95" w15:restartNumberingAfterBreak="0">
    <w:nsid w:val="15093B80"/>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96" w15:restartNumberingAfterBreak="0">
    <w:nsid w:val="15227C15"/>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97" w15:restartNumberingAfterBreak="0">
    <w:nsid w:val="154B1F32"/>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98" w15:restartNumberingAfterBreak="0">
    <w:nsid w:val="156462DD"/>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99" w15:restartNumberingAfterBreak="0">
    <w:nsid w:val="15C736D6"/>
    <w:multiLevelType w:val="multilevel"/>
    <w:tmpl w:val="05E69A80"/>
    <w:numStyleLink w:val="SchI"/>
  </w:abstractNum>
  <w:abstractNum w:abstractNumId="100" w15:restartNumberingAfterBreak="0">
    <w:nsid w:val="15D84152"/>
    <w:multiLevelType w:val="hybridMultilevel"/>
    <w:tmpl w:val="E142508E"/>
    <w:lvl w:ilvl="0" w:tplc="FFFFFFFF">
      <w:start w:val="1"/>
      <w:numFmt w:val="lowerLetter"/>
      <w:lvlText w:val="%1."/>
      <w:lvlJc w:val="left"/>
      <w:pPr>
        <w:ind w:left="1440" w:hanging="360"/>
      </w:pPr>
      <w:rPr>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16225B12"/>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2" w15:restartNumberingAfterBreak="0">
    <w:nsid w:val="16847193"/>
    <w:multiLevelType w:val="multilevel"/>
    <w:tmpl w:val="DB94546A"/>
    <w:lvl w:ilvl="0">
      <w:start w:val="1"/>
      <w:numFmt w:val="decimal"/>
      <w:lvlText w:val="D%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3" w15:restartNumberingAfterBreak="0">
    <w:nsid w:val="16A26C52"/>
    <w:multiLevelType w:val="multilevel"/>
    <w:tmpl w:val="05E69A80"/>
    <w:numStyleLink w:val="SchI"/>
  </w:abstractNum>
  <w:abstractNum w:abstractNumId="104" w15:restartNumberingAfterBreak="0">
    <w:nsid w:val="16BE3CE2"/>
    <w:multiLevelType w:val="multilevel"/>
    <w:tmpl w:val="FA006918"/>
    <w:numStyleLink w:val="SchA"/>
  </w:abstractNum>
  <w:abstractNum w:abstractNumId="105" w15:restartNumberingAfterBreak="0">
    <w:nsid w:val="16D77AC2"/>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06" w15:restartNumberingAfterBreak="0">
    <w:nsid w:val="16EC0A30"/>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7" w15:restartNumberingAfterBreak="0">
    <w:nsid w:val="170F50A6"/>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8" w15:restartNumberingAfterBreak="0">
    <w:nsid w:val="171A6D3C"/>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9" w15:restartNumberingAfterBreak="0">
    <w:nsid w:val="176410D5"/>
    <w:multiLevelType w:val="multilevel"/>
    <w:tmpl w:val="44D8870E"/>
    <w:numStyleLink w:val="SchJ"/>
  </w:abstractNum>
  <w:abstractNum w:abstractNumId="110" w15:restartNumberingAfterBreak="0">
    <w:nsid w:val="17E72CE0"/>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11" w15:restartNumberingAfterBreak="0">
    <w:nsid w:val="180F27DA"/>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12" w15:restartNumberingAfterBreak="0">
    <w:nsid w:val="18147D17"/>
    <w:multiLevelType w:val="multilevel"/>
    <w:tmpl w:val="613CC802"/>
    <w:lvl w:ilvl="0">
      <w:start w:val="57"/>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13" w15:restartNumberingAfterBreak="0">
    <w:nsid w:val="1815158F"/>
    <w:multiLevelType w:val="multilevel"/>
    <w:tmpl w:val="A30A63A4"/>
    <w:numStyleLink w:val="SchE"/>
  </w:abstractNum>
  <w:abstractNum w:abstractNumId="114" w15:restartNumberingAfterBreak="0">
    <w:nsid w:val="183E46B4"/>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15" w15:restartNumberingAfterBreak="0">
    <w:nsid w:val="18674E1F"/>
    <w:multiLevelType w:val="multilevel"/>
    <w:tmpl w:val="44D8870E"/>
    <w:numStyleLink w:val="SchJ"/>
  </w:abstractNum>
  <w:abstractNum w:abstractNumId="116" w15:restartNumberingAfterBreak="0">
    <w:nsid w:val="18AC29FE"/>
    <w:multiLevelType w:val="multilevel"/>
    <w:tmpl w:val="A99A057C"/>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7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17" w15:restartNumberingAfterBreak="0">
    <w:nsid w:val="18F8C631"/>
    <w:multiLevelType w:val="hybridMultilevel"/>
    <w:tmpl w:val="E5DA7408"/>
    <w:lvl w:ilvl="0" w:tplc="F8080794">
      <w:start w:val="1"/>
      <w:numFmt w:val="lowerLetter"/>
      <w:lvlText w:val="%1."/>
      <w:lvlJc w:val="left"/>
      <w:pPr>
        <w:ind w:left="1080" w:hanging="360"/>
      </w:pPr>
      <w:rPr>
        <w:rFonts w:ascii="Calibri" w:hAnsi="Calibri" w:cs="Calibri" w:hint="default"/>
      </w:rPr>
    </w:lvl>
    <w:lvl w:ilvl="1" w:tplc="1DCC7ECE">
      <w:start w:val="1"/>
      <w:numFmt w:val="lowerLetter"/>
      <w:lvlText w:val="%2."/>
      <w:lvlJc w:val="left"/>
      <w:pPr>
        <w:ind w:left="1440" w:hanging="360"/>
      </w:pPr>
    </w:lvl>
    <w:lvl w:ilvl="2" w:tplc="34BCA13C">
      <w:start w:val="1"/>
      <w:numFmt w:val="lowerRoman"/>
      <w:lvlText w:val="%3."/>
      <w:lvlJc w:val="right"/>
      <w:pPr>
        <w:ind w:left="2160" w:hanging="180"/>
      </w:pPr>
    </w:lvl>
    <w:lvl w:ilvl="3" w:tplc="059CA5E2">
      <w:start w:val="1"/>
      <w:numFmt w:val="decimal"/>
      <w:lvlText w:val="%4."/>
      <w:lvlJc w:val="left"/>
      <w:pPr>
        <w:ind w:left="2880" w:hanging="360"/>
      </w:pPr>
    </w:lvl>
    <w:lvl w:ilvl="4" w:tplc="5B62424A">
      <w:start w:val="1"/>
      <w:numFmt w:val="lowerLetter"/>
      <w:lvlText w:val="%5."/>
      <w:lvlJc w:val="left"/>
      <w:pPr>
        <w:ind w:left="3600" w:hanging="360"/>
      </w:pPr>
    </w:lvl>
    <w:lvl w:ilvl="5" w:tplc="9D8461B6">
      <w:start w:val="1"/>
      <w:numFmt w:val="lowerRoman"/>
      <w:lvlText w:val="%6."/>
      <w:lvlJc w:val="right"/>
      <w:pPr>
        <w:ind w:left="4320" w:hanging="180"/>
      </w:pPr>
    </w:lvl>
    <w:lvl w:ilvl="6" w:tplc="020CEE50">
      <w:start w:val="1"/>
      <w:numFmt w:val="decimal"/>
      <w:lvlText w:val="%7."/>
      <w:lvlJc w:val="left"/>
      <w:pPr>
        <w:ind w:left="5040" w:hanging="360"/>
      </w:pPr>
    </w:lvl>
    <w:lvl w:ilvl="7" w:tplc="F6E07EBC">
      <w:start w:val="1"/>
      <w:numFmt w:val="lowerLetter"/>
      <w:lvlText w:val="%8."/>
      <w:lvlJc w:val="left"/>
      <w:pPr>
        <w:ind w:left="5760" w:hanging="360"/>
      </w:pPr>
    </w:lvl>
    <w:lvl w:ilvl="8" w:tplc="8286EB84">
      <w:start w:val="1"/>
      <w:numFmt w:val="lowerRoman"/>
      <w:lvlText w:val="%9."/>
      <w:lvlJc w:val="right"/>
      <w:pPr>
        <w:ind w:left="6480" w:hanging="180"/>
      </w:pPr>
    </w:lvl>
  </w:abstractNum>
  <w:abstractNum w:abstractNumId="118" w15:restartNumberingAfterBreak="0">
    <w:nsid w:val="190F01C7"/>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19" w15:restartNumberingAfterBreak="0">
    <w:nsid w:val="195C1293"/>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20" w15:restartNumberingAfterBreak="0">
    <w:nsid w:val="195C1CD2"/>
    <w:multiLevelType w:val="multilevel"/>
    <w:tmpl w:val="D812A814"/>
    <w:numStyleLink w:val="SchF"/>
  </w:abstractNum>
  <w:abstractNum w:abstractNumId="121" w15:restartNumberingAfterBreak="0">
    <w:nsid w:val="19686084"/>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22" w15:restartNumberingAfterBreak="0">
    <w:nsid w:val="19921C4D"/>
    <w:multiLevelType w:val="multilevel"/>
    <w:tmpl w:val="A30A63A4"/>
    <w:numStyleLink w:val="SchE"/>
  </w:abstractNum>
  <w:abstractNum w:abstractNumId="123" w15:restartNumberingAfterBreak="0">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24" w15:restartNumberingAfterBreak="0">
    <w:nsid w:val="1A0C6765"/>
    <w:multiLevelType w:val="multilevel"/>
    <w:tmpl w:val="025E1700"/>
    <w:lvl w:ilvl="0">
      <w:start w:val="1"/>
      <w:numFmt w:val="decimal"/>
      <w:lvlText w:val="%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25" w15:restartNumberingAfterBreak="0">
    <w:nsid w:val="1A1F5E23"/>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26" w15:restartNumberingAfterBreak="0">
    <w:nsid w:val="1A2411AE"/>
    <w:multiLevelType w:val="multilevel"/>
    <w:tmpl w:val="44D8870E"/>
    <w:numStyleLink w:val="SchJ"/>
  </w:abstractNum>
  <w:abstractNum w:abstractNumId="127" w15:restartNumberingAfterBreak="0">
    <w:nsid w:val="1A58575F"/>
    <w:multiLevelType w:val="multilevel"/>
    <w:tmpl w:val="05E69A80"/>
    <w:numStyleLink w:val="SchI"/>
  </w:abstractNum>
  <w:abstractNum w:abstractNumId="128" w15:restartNumberingAfterBreak="0">
    <w:nsid w:val="1A9157AF"/>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29" w15:restartNumberingAfterBreak="0">
    <w:nsid w:val="1ABD0990"/>
    <w:multiLevelType w:val="multilevel"/>
    <w:tmpl w:val="05E69A80"/>
    <w:numStyleLink w:val="SchI"/>
  </w:abstractNum>
  <w:abstractNum w:abstractNumId="130" w15:restartNumberingAfterBreak="0">
    <w:nsid w:val="1AE16109"/>
    <w:multiLevelType w:val="multilevel"/>
    <w:tmpl w:val="C86A375C"/>
    <w:numStyleLink w:val="SchH"/>
  </w:abstractNum>
  <w:abstractNum w:abstractNumId="131" w15:restartNumberingAfterBreak="0">
    <w:nsid w:val="1B147F78"/>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32" w15:restartNumberingAfterBreak="0">
    <w:nsid w:val="1B274F47"/>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33" w15:restartNumberingAfterBreak="0">
    <w:nsid w:val="1B8E4AD2"/>
    <w:multiLevelType w:val="hybridMultilevel"/>
    <w:tmpl w:val="4966634C"/>
    <w:lvl w:ilvl="0" w:tplc="5A0CE962">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15:restartNumberingAfterBreak="0">
    <w:nsid w:val="1BB822DB"/>
    <w:multiLevelType w:val="multilevel"/>
    <w:tmpl w:val="FA006918"/>
    <w:numStyleLink w:val="SchA"/>
  </w:abstractNum>
  <w:abstractNum w:abstractNumId="135" w15:restartNumberingAfterBreak="0">
    <w:nsid w:val="1BB9415D"/>
    <w:multiLevelType w:val="multilevel"/>
    <w:tmpl w:val="C86A375C"/>
    <w:numStyleLink w:val="SchH"/>
  </w:abstractNum>
  <w:abstractNum w:abstractNumId="136" w15:restartNumberingAfterBreak="0">
    <w:nsid w:val="1BCC2ABA"/>
    <w:multiLevelType w:val="multilevel"/>
    <w:tmpl w:val="9D2084D2"/>
    <w:numStyleLink w:val="SchC"/>
  </w:abstractNum>
  <w:abstractNum w:abstractNumId="137" w15:restartNumberingAfterBreak="0">
    <w:nsid w:val="1BFE077F"/>
    <w:multiLevelType w:val="multilevel"/>
    <w:tmpl w:val="B55C38CE"/>
    <w:numStyleLink w:val="SchB"/>
  </w:abstractNum>
  <w:abstractNum w:abstractNumId="138" w15:restartNumberingAfterBreak="0">
    <w:nsid w:val="1C0A61FE"/>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39" w15:restartNumberingAfterBreak="0">
    <w:nsid w:val="1C5634B9"/>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40" w15:restartNumberingAfterBreak="0">
    <w:nsid w:val="1CC55CF4"/>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41" w15:restartNumberingAfterBreak="0">
    <w:nsid w:val="1D851E38"/>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42" w15:restartNumberingAfterBreak="0">
    <w:nsid w:val="1D877411"/>
    <w:multiLevelType w:val="multilevel"/>
    <w:tmpl w:val="FA006918"/>
    <w:numStyleLink w:val="SchA"/>
  </w:abstractNum>
  <w:abstractNum w:abstractNumId="143" w15:restartNumberingAfterBreak="0">
    <w:nsid w:val="1D905436"/>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44" w15:restartNumberingAfterBreak="0">
    <w:nsid w:val="1DC137B3"/>
    <w:multiLevelType w:val="multilevel"/>
    <w:tmpl w:val="B55C38CE"/>
    <w:numStyleLink w:val="SchB"/>
  </w:abstractNum>
  <w:abstractNum w:abstractNumId="145" w15:restartNumberingAfterBreak="0">
    <w:nsid w:val="1E2D6864"/>
    <w:multiLevelType w:val="multilevel"/>
    <w:tmpl w:val="9D2084D2"/>
    <w:numStyleLink w:val="SchC"/>
  </w:abstractNum>
  <w:abstractNum w:abstractNumId="146" w15:restartNumberingAfterBreak="0">
    <w:nsid w:val="1E3172CA"/>
    <w:multiLevelType w:val="multilevel"/>
    <w:tmpl w:val="C86A375C"/>
    <w:numStyleLink w:val="SchH"/>
  </w:abstractNum>
  <w:abstractNum w:abstractNumId="147" w15:restartNumberingAfterBreak="0">
    <w:nsid w:val="1E3751D1"/>
    <w:multiLevelType w:val="multilevel"/>
    <w:tmpl w:val="613CC802"/>
    <w:lvl w:ilvl="0">
      <w:start w:val="57"/>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48" w15:restartNumberingAfterBreak="0">
    <w:nsid w:val="1E427206"/>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49" w15:restartNumberingAfterBreak="0">
    <w:nsid w:val="1E58547B"/>
    <w:multiLevelType w:val="multilevel"/>
    <w:tmpl w:val="5BEA893E"/>
    <w:lvl w:ilvl="0">
      <w:start w:val="1"/>
      <w:numFmt w:val="upperLetter"/>
      <w:pStyle w:val="ScheduleList"/>
      <w:lvlText w:val="%1"/>
      <w:lvlJc w:val="left"/>
      <w:pPr>
        <w:tabs>
          <w:tab w:val="num" w:pos="567"/>
        </w:tabs>
        <w:ind w:left="567" w:hanging="567"/>
      </w:pPr>
      <w:rPr>
        <w:rFonts w:cs="Times New Roman" w:hint="default"/>
      </w:rPr>
    </w:lvl>
    <w:lvl w:ilvl="1">
      <w:start w:val="1"/>
      <w:numFmt w:val="decimal"/>
      <w:pStyle w:val="ScheduleListSubHeading"/>
      <w:lvlText w:val="%1%2"/>
      <w:lvlJc w:val="left"/>
      <w:pPr>
        <w:tabs>
          <w:tab w:val="num" w:pos="1134"/>
        </w:tabs>
        <w:ind w:left="1134" w:hanging="567"/>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0" w15:restartNumberingAfterBreak="0">
    <w:nsid w:val="1FFF40F6"/>
    <w:multiLevelType w:val="multilevel"/>
    <w:tmpl w:val="FA006918"/>
    <w:styleLink w:val="SchA"/>
    <w:lvl w:ilvl="0">
      <w:start w:val="1"/>
      <w:numFmt w:val="decimal"/>
      <w:lvlText w:val="A%1."/>
      <w:lvlJc w:val="left"/>
      <w:pPr>
        <w:ind w:left="709" w:hanging="709"/>
      </w:pPr>
      <w:rPr>
        <w:rFonts w:ascii="Calibri" w:hAnsi="Calibri" w:hint="default"/>
        <w:b w:val="0"/>
        <w:i w:val="0"/>
        <w:sz w:val="24"/>
        <w:szCs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51" w15:restartNumberingAfterBreak="0">
    <w:nsid w:val="20410D66"/>
    <w:multiLevelType w:val="multilevel"/>
    <w:tmpl w:val="5DD8B72C"/>
    <w:numStyleLink w:val="Preliminaries"/>
  </w:abstractNum>
  <w:abstractNum w:abstractNumId="152" w15:restartNumberingAfterBreak="0">
    <w:nsid w:val="205F0BE7"/>
    <w:multiLevelType w:val="multilevel"/>
    <w:tmpl w:val="9D2084D2"/>
    <w:numStyleLink w:val="SchC"/>
  </w:abstractNum>
  <w:abstractNum w:abstractNumId="153" w15:restartNumberingAfterBreak="0">
    <w:nsid w:val="20A344AA"/>
    <w:multiLevelType w:val="multilevel"/>
    <w:tmpl w:val="05E69A80"/>
    <w:numStyleLink w:val="SchI"/>
  </w:abstractNum>
  <w:abstractNum w:abstractNumId="154" w15:restartNumberingAfterBreak="0">
    <w:nsid w:val="20B745F2"/>
    <w:multiLevelType w:val="multilevel"/>
    <w:tmpl w:val="C86A375C"/>
    <w:numStyleLink w:val="SchH"/>
  </w:abstractNum>
  <w:abstractNum w:abstractNumId="155" w15:restartNumberingAfterBreak="0">
    <w:nsid w:val="20E932FE"/>
    <w:multiLevelType w:val="multilevel"/>
    <w:tmpl w:val="9D2084D2"/>
    <w:numStyleLink w:val="SchC"/>
  </w:abstractNum>
  <w:abstractNum w:abstractNumId="156" w15:restartNumberingAfterBreak="0">
    <w:nsid w:val="2142270A"/>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57" w15:restartNumberingAfterBreak="0">
    <w:nsid w:val="2151674B"/>
    <w:multiLevelType w:val="multilevel"/>
    <w:tmpl w:val="D812A814"/>
    <w:numStyleLink w:val="SchF"/>
  </w:abstractNum>
  <w:abstractNum w:abstractNumId="158" w15:restartNumberingAfterBreak="0">
    <w:nsid w:val="21A44378"/>
    <w:multiLevelType w:val="multilevel"/>
    <w:tmpl w:val="B55C38CE"/>
    <w:numStyleLink w:val="SchB"/>
  </w:abstractNum>
  <w:abstractNum w:abstractNumId="159" w15:restartNumberingAfterBreak="0">
    <w:nsid w:val="21C360C9"/>
    <w:multiLevelType w:val="multilevel"/>
    <w:tmpl w:val="8D1ABCEC"/>
    <w:lvl w:ilvl="0">
      <w:start w:val="1"/>
      <w:numFmt w:val="decimal"/>
      <w:lvlText w:val="B%1."/>
      <w:lvlJc w:val="left"/>
      <w:pPr>
        <w:ind w:left="709" w:hanging="709"/>
      </w:pPr>
      <w:rPr>
        <w:rFonts w:ascii="Calibri" w:hAnsi="Calibri" w:hint="default"/>
        <w:b w:val="0"/>
        <w:i w:val="0"/>
        <w:sz w:val="24"/>
      </w:rPr>
    </w:lvl>
    <w:lvl w:ilvl="1">
      <w:start w:val="5"/>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220713F3"/>
    <w:multiLevelType w:val="multilevel"/>
    <w:tmpl w:val="2196E198"/>
    <w:lvl w:ilvl="0">
      <w:start w:val="6"/>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hint="default"/>
        <w:sz w:val="24"/>
        <w:szCs w:val="24"/>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61" w15:restartNumberingAfterBreak="0">
    <w:nsid w:val="220B3B52"/>
    <w:multiLevelType w:val="multilevel"/>
    <w:tmpl w:val="FA006918"/>
    <w:numStyleLink w:val="SchA"/>
  </w:abstractNum>
  <w:abstractNum w:abstractNumId="162" w15:restartNumberingAfterBreak="0">
    <w:nsid w:val="221707FB"/>
    <w:multiLevelType w:val="multilevel"/>
    <w:tmpl w:val="FA006918"/>
    <w:numStyleLink w:val="SchA"/>
  </w:abstractNum>
  <w:abstractNum w:abstractNumId="163" w15:restartNumberingAfterBreak="0">
    <w:nsid w:val="22194020"/>
    <w:multiLevelType w:val="hybridMultilevel"/>
    <w:tmpl w:val="E142508E"/>
    <w:lvl w:ilvl="0" w:tplc="FFFFFFFF">
      <w:start w:val="1"/>
      <w:numFmt w:val="lowerLetter"/>
      <w:lvlText w:val="%1."/>
      <w:lvlJc w:val="left"/>
      <w:pPr>
        <w:ind w:left="144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222E7127"/>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65" w15:restartNumberingAfterBreak="0">
    <w:nsid w:val="22346B02"/>
    <w:multiLevelType w:val="multilevel"/>
    <w:tmpl w:val="02863EF2"/>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2250109B"/>
    <w:multiLevelType w:val="multilevel"/>
    <w:tmpl w:val="6D9A3EEC"/>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67" w15:restartNumberingAfterBreak="0">
    <w:nsid w:val="226538DE"/>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68" w15:restartNumberingAfterBreak="0">
    <w:nsid w:val="227F20F0"/>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69" w15:restartNumberingAfterBreak="0">
    <w:nsid w:val="22903879"/>
    <w:multiLevelType w:val="multilevel"/>
    <w:tmpl w:val="05E69A80"/>
    <w:styleLink w:val="SchI"/>
    <w:lvl w:ilvl="0">
      <w:start w:val="1"/>
      <w:numFmt w:val="decimal"/>
      <w:lvlText w:val="I%1."/>
      <w:lvlJc w:val="left"/>
      <w:pPr>
        <w:ind w:left="709" w:hanging="709"/>
      </w:pPr>
      <w:rPr>
        <w:rFonts w:ascii="Calibri" w:hAnsi="Calibri" w:hint="default"/>
        <w:b w:val="0"/>
        <w:i w:val="0"/>
        <w:sz w:val="24"/>
        <w:szCs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70" w15:restartNumberingAfterBreak="0">
    <w:nsid w:val="22A3711A"/>
    <w:multiLevelType w:val="hybridMultilevel"/>
    <w:tmpl w:val="F9028838"/>
    <w:lvl w:ilvl="0" w:tplc="6E924D3A">
      <w:start w:val="1"/>
      <w:numFmt w:val="lowerLetter"/>
      <w:lvlText w:val="%1."/>
      <w:lvlJc w:val="left"/>
      <w:pPr>
        <w:ind w:left="1080" w:hanging="360"/>
      </w:pPr>
      <w:rPr>
        <w:rFonts w:ascii="Calibri" w:hAnsi="Calibri" w:hint="default"/>
      </w:rPr>
    </w:lvl>
    <w:lvl w:ilvl="1" w:tplc="05804A60">
      <w:start w:val="1"/>
      <w:numFmt w:val="lowerLetter"/>
      <w:lvlText w:val="%2."/>
      <w:lvlJc w:val="left"/>
      <w:pPr>
        <w:ind w:left="1440" w:hanging="360"/>
      </w:pPr>
    </w:lvl>
    <w:lvl w:ilvl="2" w:tplc="9460A94C">
      <w:start w:val="1"/>
      <w:numFmt w:val="lowerRoman"/>
      <w:lvlText w:val="%3."/>
      <w:lvlJc w:val="right"/>
      <w:pPr>
        <w:ind w:left="2160" w:hanging="180"/>
      </w:pPr>
    </w:lvl>
    <w:lvl w:ilvl="3" w:tplc="608670EA">
      <w:start w:val="1"/>
      <w:numFmt w:val="decimal"/>
      <w:lvlText w:val="%4."/>
      <w:lvlJc w:val="left"/>
      <w:pPr>
        <w:ind w:left="2880" w:hanging="360"/>
      </w:pPr>
    </w:lvl>
    <w:lvl w:ilvl="4" w:tplc="3FE4A12E">
      <w:start w:val="1"/>
      <w:numFmt w:val="lowerLetter"/>
      <w:lvlText w:val="%5."/>
      <w:lvlJc w:val="left"/>
      <w:pPr>
        <w:ind w:left="3600" w:hanging="360"/>
      </w:pPr>
    </w:lvl>
    <w:lvl w:ilvl="5" w:tplc="F9106C96">
      <w:start w:val="1"/>
      <w:numFmt w:val="lowerRoman"/>
      <w:lvlText w:val="%6."/>
      <w:lvlJc w:val="right"/>
      <w:pPr>
        <w:ind w:left="4320" w:hanging="180"/>
      </w:pPr>
    </w:lvl>
    <w:lvl w:ilvl="6" w:tplc="4B683CD8">
      <w:start w:val="1"/>
      <w:numFmt w:val="decimal"/>
      <w:lvlText w:val="%7."/>
      <w:lvlJc w:val="left"/>
      <w:pPr>
        <w:ind w:left="5040" w:hanging="360"/>
      </w:pPr>
    </w:lvl>
    <w:lvl w:ilvl="7" w:tplc="7854D4DE">
      <w:start w:val="1"/>
      <w:numFmt w:val="lowerLetter"/>
      <w:lvlText w:val="%8."/>
      <w:lvlJc w:val="left"/>
      <w:pPr>
        <w:ind w:left="5760" w:hanging="360"/>
      </w:pPr>
    </w:lvl>
    <w:lvl w:ilvl="8" w:tplc="F868627E">
      <w:start w:val="1"/>
      <w:numFmt w:val="lowerRoman"/>
      <w:lvlText w:val="%9."/>
      <w:lvlJc w:val="right"/>
      <w:pPr>
        <w:ind w:left="6480" w:hanging="180"/>
      </w:pPr>
    </w:lvl>
  </w:abstractNum>
  <w:abstractNum w:abstractNumId="171" w15:restartNumberingAfterBreak="0">
    <w:nsid w:val="22FA0230"/>
    <w:multiLevelType w:val="multilevel"/>
    <w:tmpl w:val="A30A63A4"/>
    <w:numStyleLink w:val="SchE"/>
  </w:abstractNum>
  <w:abstractNum w:abstractNumId="172" w15:restartNumberingAfterBreak="0">
    <w:nsid w:val="23133BF8"/>
    <w:multiLevelType w:val="multilevel"/>
    <w:tmpl w:val="D6225690"/>
    <w:lvl w:ilvl="0">
      <w:start w:val="1"/>
      <w:numFmt w:val="decimal"/>
      <w:lvlText w:val="A%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73" w15:restartNumberingAfterBreak="0">
    <w:nsid w:val="231D4B54"/>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74" w15:restartNumberingAfterBreak="0">
    <w:nsid w:val="235B11D8"/>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75" w15:restartNumberingAfterBreak="0">
    <w:nsid w:val="236757F0"/>
    <w:multiLevelType w:val="multilevel"/>
    <w:tmpl w:val="05E69A80"/>
    <w:numStyleLink w:val="SchI"/>
  </w:abstractNum>
  <w:abstractNum w:abstractNumId="176" w15:restartNumberingAfterBreak="0">
    <w:nsid w:val="23677043"/>
    <w:multiLevelType w:val="hybridMultilevel"/>
    <w:tmpl w:val="19A4139A"/>
    <w:lvl w:ilvl="0" w:tplc="4FF864F2">
      <w:start w:val="1"/>
      <w:numFmt w:val="lowerLetter"/>
      <w:lvlText w:val="%1."/>
      <w:lvlJc w:val="left"/>
      <w:pPr>
        <w:ind w:left="144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23715569"/>
    <w:multiLevelType w:val="multilevel"/>
    <w:tmpl w:val="05E69A80"/>
    <w:numStyleLink w:val="SchI"/>
  </w:abstractNum>
  <w:abstractNum w:abstractNumId="178" w15:restartNumberingAfterBreak="0">
    <w:nsid w:val="237B4BEA"/>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79" w15:restartNumberingAfterBreak="0">
    <w:nsid w:val="23D13DEB"/>
    <w:multiLevelType w:val="multilevel"/>
    <w:tmpl w:val="FA006918"/>
    <w:numStyleLink w:val="SchA"/>
  </w:abstractNum>
  <w:abstractNum w:abstractNumId="180" w15:restartNumberingAfterBreak="0">
    <w:nsid w:val="23D4C5CE"/>
    <w:multiLevelType w:val="hybridMultilevel"/>
    <w:tmpl w:val="D89EA300"/>
    <w:lvl w:ilvl="0" w:tplc="E304CEDA">
      <w:start w:val="1"/>
      <w:numFmt w:val="lowerRoman"/>
      <w:lvlText w:val="%1."/>
      <w:lvlJc w:val="right"/>
      <w:pPr>
        <w:ind w:left="1800" w:hanging="360"/>
      </w:pPr>
      <w:rPr>
        <w:rFonts w:ascii="Calibri" w:hAnsi="Calibri" w:hint="default"/>
      </w:rPr>
    </w:lvl>
    <w:lvl w:ilvl="1" w:tplc="07627CB2">
      <w:start w:val="1"/>
      <w:numFmt w:val="lowerLetter"/>
      <w:lvlText w:val="%2."/>
      <w:lvlJc w:val="left"/>
      <w:pPr>
        <w:ind w:left="1440" w:hanging="360"/>
      </w:pPr>
    </w:lvl>
    <w:lvl w:ilvl="2" w:tplc="3CD2CD2C">
      <w:start w:val="1"/>
      <w:numFmt w:val="lowerRoman"/>
      <w:lvlText w:val="%3."/>
      <w:lvlJc w:val="right"/>
      <w:pPr>
        <w:ind w:left="2160" w:hanging="180"/>
      </w:pPr>
    </w:lvl>
    <w:lvl w:ilvl="3" w:tplc="9A0A18EA">
      <w:start w:val="1"/>
      <w:numFmt w:val="decimal"/>
      <w:lvlText w:val="%4."/>
      <w:lvlJc w:val="left"/>
      <w:pPr>
        <w:ind w:left="2880" w:hanging="360"/>
      </w:pPr>
    </w:lvl>
    <w:lvl w:ilvl="4" w:tplc="47E0C106">
      <w:start w:val="1"/>
      <w:numFmt w:val="lowerLetter"/>
      <w:lvlText w:val="%5."/>
      <w:lvlJc w:val="left"/>
      <w:pPr>
        <w:ind w:left="3600" w:hanging="360"/>
      </w:pPr>
    </w:lvl>
    <w:lvl w:ilvl="5" w:tplc="7DF6ECAC">
      <w:start w:val="1"/>
      <w:numFmt w:val="lowerRoman"/>
      <w:lvlText w:val="%6."/>
      <w:lvlJc w:val="right"/>
      <w:pPr>
        <w:ind w:left="4320" w:hanging="180"/>
      </w:pPr>
    </w:lvl>
    <w:lvl w:ilvl="6" w:tplc="47924412">
      <w:start w:val="1"/>
      <w:numFmt w:val="decimal"/>
      <w:lvlText w:val="%7."/>
      <w:lvlJc w:val="left"/>
      <w:pPr>
        <w:ind w:left="5040" w:hanging="360"/>
      </w:pPr>
    </w:lvl>
    <w:lvl w:ilvl="7" w:tplc="E8E0994C">
      <w:start w:val="1"/>
      <w:numFmt w:val="lowerLetter"/>
      <w:lvlText w:val="%8."/>
      <w:lvlJc w:val="left"/>
      <w:pPr>
        <w:ind w:left="5760" w:hanging="360"/>
      </w:pPr>
    </w:lvl>
    <w:lvl w:ilvl="8" w:tplc="8506D7C4">
      <w:start w:val="1"/>
      <w:numFmt w:val="lowerRoman"/>
      <w:lvlText w:val="%9."/>
      <w:lvlJc w:val="right"/>
      <w:pPr>
        <w:ind w:left="6480" w:hanging="180"/>
      </w:pPr>
    </w:lvl>
  </w:abstractNum>
  <w:abstractNum w:abstractNumId="181" w15:restartNumberingAfterBreak="0">
    <w:nsid w:val="241C0044"/>
    <w:multiLevelType w:val="hybridMultilevel"/>
    <w:tmpl w:val="92E84D76"/>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2" w15:restartNumberingAfterBreak="0">
    <w:nsid w:val="24255F5C"/>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83" w15:restartNumberingAfterBreak="0">
    <w:nsid w:val="244237C5"/>
    <w:multiLevelType w:val="multilevel"/>
    <w:tmpl w:val="58FC54CC"/>
    <w:lvl w:ilvl="0">
      <w:start w:val="1"/>
      <w:numFmt w:val="decimal"/>
      <w:pStyle w:val="OutlineNumbered1"/>
      <w:lvlText w:val="%1."/>
      <w:lvlJc w:val="left"/>
      <w:pPr>
        <w:tabs>
          <w:tab w:val="num" w:pos="543"/>
        </w:tabs>
        <w:ind w:left="543" w:hanging="543"/>
      </w:pPr>
      <w:rPr>
        <w:rFonts w:cs="Times New Roman"/>
        <w:b w:val="0"/>
        <w:i w:val="0"/>
      </w:rPr>
    </w:lvl>
    <w:lvl w:ilvl="1">
      <w:start w:val="1"/>
      <w:numFmt w:val="decimal"/>
      <w:pStyle w:val="OutlineNumbered2"/>
      <w:lvlText w:val="%1.%2."/>
      <w:lvlJc w:val="left"/>
      <w:pPr>
        <w:tabs>
          <w:tab w:val="num" w:pos="1086"/>
        </w:tabs>
        <w:ind w:left="1086" w:hanging="543"/>
      </w:pPr>
      <w:rPr>
        <w:rFonts w:cs="Times New Roman"/>
        <w:b w:val="0"/>
        <w:i w:val="0"/>
      </w:rPr>
    </w:lvl>
    <w:lvl w:ilvl="2">
      <w:start w:val="1"/>
      <w:numFmt w:val="decimal"/>
      <w:pStyle w:val="OutlineNumbered3"/>
      <w:lvlText w:val="%1.%2.%3."/>
      <w:lvlJc w:val="left"/>
      <w:pPr>
        <w:tabs>
          <w:tab w:val="num" w:pos="1629"/>
        </w:tabs>
        <w:ind w:left="1629" w:hanging="543"/>
      </w:pPr>
      <w:rPr>
        <w:rFonts w:cs="Times New Roman"/>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184" w15:restartNumberingAfterBreak="0">
    <w:nsid w:val="249F232C"/>
    <w:multiLevelType w:val="multilevel"/>
    <w:tmpl w:val="7EA0589E"/>
    <w:lvl w:ilvl="0">
      <w:start w:val="1"/>
      <w:numFmt w:val="decimal"/>
      <w:lvlText w:val="A%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85" w15:restartNumberingAfterBreak="0">
    <w:nsid w:val="24B30F40"/>
    <w:multiLevelType w:val="multilevel"/>
    <w:tmpl w:val="05E69A80"/>
    <w:numStyleLink w:val="SchI"/>
  </w:abstractNum>
  <w:abstractNum w:abstractNumId="186" w15:restartNumberingAfterBreak="0">
    <w:nsid w:val="24B616CD"/>
    <w:multiLevelType w:val="multilevel"/>
    <w:tmpl w:val="DF80DB60"/>
    <w:styleLink w:val="SchG"/>
    <w:lvl w:ilvl="0">
      <w:start w:val="1"/>
      <w:numFmt w:val="decimal"/>
      <w:lvlText w:val="G%1."/>
      <w:lvlJc w:val="left"/>
      <w:pPr>
        <w:ind w:left="709" w:hanging="709"/>
      </w:pPr>
      <w:rPr>
        <w:rFonts w:ascii="Calibri" w:hAnsi="Calibri" w:hint="default"/>
        <w:b w:val="0"/>
        <w:i w:val="0"/>
        <w:sz w:val="24"/>
        <w:szCs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87" w15:restartNumberingAfterBreak="0">
    <w:nsid w:val="24CF5215"/>
    <w:multiLevelType w:val="hybridMultilevel"/>
    <w:tmpl w:val="63A0878C"/>
    <w:lvl w:ilvl="0" w:tplc="64E40CD4">
      <w:start w:val="1"/>
      <w:numFmt w:val="decimal"/>
      <w:lvlText w:val="A%1."/>
      <w:lvlJc w:val="left"/>
      <w:pPr>
        <w:ind w:left="786" w:hanging="360"/>
      </w:pPr>
      <w:rPr>
        <w:rFonts w:ascii="Calibri" w:hAnsi="Calibri" w:cs="Calibri" w:hint="default"/>
        <w:sz w:val="24"/>
        <w:szCs w:val="24"/>
      </w:rPr>
    </w:lvl>
    <w:lvl w:ilvl="1" w:tplc="62A24ED8">
      <w:start w:val="1"/>
      <w:numFmt w:val="lowerLetter"/>
      <w:lvlText w:val="%2."/>
      <w:lvlJc w:val="left"/>
      <w:pPr>
        <w:ind w:left="1506" w:hanging="360"/>
      </w:pPr>
    </w:lvl>
    <w:lvl w:ilvl="2" w:tplc="189EE2F4">
      <w:start w:val="1"/>
      <w:numFmt w:val="lowerRoman"/>
      <w:lvlText w:val="%3."/>
      <w:lvlJc w:val="right"/>
      <w:pPr>
        <w:ind w:left="2226" w:hanging="180"/>
      </w:pPr>
    </w:lvl>
    <w:lvl w:ilvl="3" w:tplc="3FCCC99C">
      <w:start w:val="1"/>
      <w:numFmt w:val="decimal"/>
      <w:lvlText w:val="%4."/>
      <w:lvlJc w:val="left"/>
      <w:pPr>
        <w:ind w:left="2946" w:hanging="360"/>
      </w:pPr>
    </w:lvl>
    <w:lvl w:ilvl="4" w:tplc="2196C124">
      <w:start w:val="1"/>
      <w:numFmt w:val="lowerLetter"/>
      <w:lvlText w:val="%5."/>
      <w:lvlJc w:val="left"/>
      <w:pPr>
        <w:ind w:left="3666" w:hanging="360"/>
      </w:pPr>
    </w:lvl>
    <w:lvl w:ilvl="5" w:tplc="27707058">
      <w:start w:val="1"/>
      <w:numFmt w:val="lowerRoman"/>
      <w:lvlText w:val="%6."/>
      <w:lvlJc w:val="right"/>
      <w:pPr>
        <w:ind w:left="4386" w:hanging="180"/>
      </w:pPr>
    </w:lvl>
    <w:lvl w:ilvl="6" w:tplc="62E41B3A">
      <w:start w:val="1"/>
      <w:numFmt w:val="decimal"/>
      <w:lvlText w:val="%7."/>
      <w:lvlJc w:val="left"/>
      <w:pPr>
        <w:ind w:left="5106" w:hanging="360"/>
      </w:pPr>
    </w:lvl>
    <w:lvl w:ilvl="7" w:tplc="F37C9602">
      <w:start w:val="1"/>
      <w:numFmt w:val="lowerLetter"/>
      <w:lvlText w:val="%8."/>
      <w:lvlJc w:val="left"/>
      <w:pPr>
        <w:ind w:left="5826" w:hanging="360"/>
      </w:pPr>
    </w:lvl>
    <w:lvl w:ilvl="8" w:tplc="6D04CE9C">
      <w:start w:val="1"/>
      <w:numFmt w:val="lowerRoman"/>
      <w:lvlText w:val="%9."/>
      <w:lvlJc w:val="right"/>
      <w:pPr>
        <w:ind w:left="6546" w:hanging="180"/>
      </w:pPr>
    </w:lvl>
  </w:abstractNum>
  <w:abstractNum w:abstractNumId="188" w15:restartNumberingAfterBreak="0">
    <w:nsid w:val="251F535C"/>
    <w:multiLevelType w:val="multilevel"/>
    <w:tmpl w:val="D6225690"/>
    <w:lvl w:ilvl="0">
      <w:start w:val="1"/>
      <w:numFmt w:val="decimal"/>
      <w:lvlText w:val="A%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89" w15:restartNumberingAfterBreak="0">
    <w:nsid w:val="258F2159"/>
    <w:multiLevelType w:val="multilevel"/>
    <w:tmpl w:val="FA006918"/>
    <w:numStyleLink w:val="SchA"/>
  </w:abstractNum>
  <w:abstractNum w:abstractNumId="190" w15:restartNumberingAfterBreak="0">
    <w:nsid w:val="259201E2"/>
    <w:multiLevelType w:val="multilevel"/>
    <w:tmpl w:val="D812A814"/>
    <w:numStyleLink w:val="SchF"/>
  </w:abstractNum>
  <w:abstractNum w:abstractNumId="191" w15:restartNumberingAfterBreak="0">
    <w:nsid w:val="25E32B60"/>
    <w:multiLevelType w:val="multilevel"/>
    <w:tmpl w:val="9D2084D2"/>
    <w:numStyleLink w:val="SchC"/>
  </w:abstractNum>
  <w:abstractNum w:abstractNumId="192" w15:restartNumberingAfterBreak="0">
    <w:nsid w:val="26011E3A"/>
    <w:multiLevelType w:val="multilevel"/>
    <w:tmpl w:val="05E69A80"/>
    <w:numStyleLink w:val="SchI"/>
  </w:abstractNum>
  <w:abstractNum w:abstractNumId="193" w15:restartNumberingAfterBreak="0">
    <w:nsid w:val="265C4956"/>
    <w:multiLevelType w:val="multilevel"/>
    <w:tmpl w:val="D68064DA"/>
    <w:styleLink w:val="Style22"/>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94" w15:restartNumberingAfterBreak="0">
    <w:nsid w:val="26D02E66"/>
    <w:multiLevelType w:val="multilevel"/>
    <w:tmpl w:val="05E69A80"/>
    <w:numStyleLink w:val="SchI"/>
  </w:abstractNum>
  <w:abstractNum w:abstractNumId="195" w15:restartNumberingAfterBreak="0">
    <w:nsid w:val="26E54E2E"/>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96" w15:restartNumberingAfterBreak="0">
    <w:nsid w:val="27273C05"/>
    <w:multiLevelType w:val="multilevel"/>
    <w:tmpl w:val="A30A63A4"/>
    <w:numStyleLink w:val="SchE"/>
  </w:abstractNum>
  <w:abstractNum w:abstractNumId="197" w15:restartNumberingAfterBreak="0">
    <w:nsid w:val="27440C8B"/>
    <w:multiLevelType w:val="multilevel"/>
    <w:tmpl w:val="F2A403A2"/>
    <w:lvl w:ilvl="0">
      <w:start w:val="1"/>
      <w:numFmt w:val="bullet"/>
      <w:lvlRestart w:val="0"/>
      <w:pStyle w:val="Bullet"/>
      <w:lvlText w:val="•"/>
      <w:lvlJc w:val="left"/>
      <w:pPr>
        <w:tabs>
          <w:tab w:val="num" w:pos="283"/>
        </w:tabs>
        <w:ind w:left="283" w:hanging="283"/>
      </w:pPr>
      <w:rPr>
        <w:rFonts w:ascii="Times New Roman" w:hAnsi="Times New Roman"/>
        <w:b w:val="0"/>
        <w:i w:val="0"/>
      </w:rPr>
    </w:lvl>
    <w:lvl w:ilvl="1">
      <w:start w:val="1"/>
      <w:numFmt w:val="bullet"/>
      <w:pStyle w:val="Dash"/>
      <w:lvlText w:val="–"/>
      <w:lvlJc w:val="left"/>
      <w:pPr>
        <w:tabs>
          <w:tab w:val="num" w:pos="567"/>
        </w:tabs>
        <w:ind w:left="567" w:hanging="284"/>
      </w:pPr>
      <w:rPr>
        <w:rFonts w:ascii="Times New Roman" w:hAnsi="Times New Roman"/>
        <w:b w:val="0"/>
        <w:i w:val="0"/>
      </w:rPr>
    </w:lvl>
    <w:lvl w:ilvl="2">
      <w:start w:val="1"/>
      <w:numFmt w:val="bullet"/>
      <w:pStyle w:val="DoubleDot"/>
      <w:lvlText w:val=":"/>
      <w:lvlJc w:val="left"/>
      <w:pPr>
        <w:tabs>
          <w:tab w:val="num" w:pos="850"/>
        </w:tabs>
        <w:ind w:left="850" w:hanging="283"/>
      </w:pPr>
      <w:rPr>
        <w:rFonts w:ascii="Times New Roman" w:hAnsi="Times New Roman"/>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198" w15:restartNumberingAfterBreak="0">
    <w:nsid w:val="278D78E7"/>
    <w:multiLevelType w:val="multilevel"/>
    <w:tmpl w:val="5C4AE05C"/>
    <w:lvl w:ilvl="0">
      <w:start w:val="1"/>
      <w:numFmt w:val="lowerRoman"/>
      <w:lvlRestart w:val="0"/>
      <w:lvlText w:val="(%1)"/>
      <w:lvlJc w:val="left"/>
      <w:pPr>
        <w:tabs>
          <w:tab w:val="num" w:pos="1418"/>
        </w:tabs>
        <w:ind w:left="1418" w:hanging="284"/>
      </w:pPr>
      <w:rPr>
        <w:rFonts w:cs="Times New Roman" w:hint="default"/>
        <w:b w:val="0"/>
        <w:i w:val="0"/>
        <w:color w:val="000000"/>
      </w:rPr>
    </w:lvl>
    <w:lvl w:ilvl="1">
      <w:start w:val="1"/>
      <w:numFmt w:val="decimal"/>
      <w:pStyle w:val="Indentednumberpara"/>
      <w:lvlText w:val="(%2)"/>
      <w:lvlJc w:val="left"/>
      <w:pPr>
        <w:tabs>
          <w:tab w:val="num" w:pos="2268"/>
        </w:tabs>
        <w:ind w:left="2268" w:hanging="567"/>
      </w:pPr>
      <w:rPr>
        <w:rFonts w:cs="Times New Roman" w:hint="default"/>
        <w:b w:val="0"/>
        <w:i w:val="0"/>
        <w:color w:val="000000"/>
      </w:rPr>
    </w:lvl>
    <w:lvl w:ilvl="2">
      <w:start w:val="1"/>
      <w:numFmt w:val="decimal"/>
      <w:lvlText w:val="%3"/>
      <w:lvlJc w:val="left"/>
      <w:pPr>
        <w:tabs>
          <w:tab w:val="num" w:pos="2268"/>
        </w:tabs>
        <w:ind w:left="2268" w:hanging="567"/>
      </w:pPr>
      <w:rPr>
        <w:rFonts w:cs="Times New Roman" w:hint="default"/>
        <w:b w:val="0"/>
        <w:i w:val="0"/>
        <w:color w:val="000000"/>
      </w:rPr>
    </w:lvl>
    <w:lvl w:ilvl="3">
      <w:start w:val="1"/>
      <w:numFmt w:val="decimal"/>
      <w:lvlText w:val="%4"/>
      <w:lvlJc w:val="left"/>
      <w:pPr>
        <w:tabs>
          <w:tab w:val="num" w:pos="2835"/>
        </w:tabs>
        <w:ind w:left="2835" w:hanging="567"/>
      </w:pPr>
      <w:rPr>
        <w:rFonts w:cs="Times New Roman" w:hint="default"/>
        <w:b w:val="0"/>
        <w:i w:val="0"/>
        <w:color w:val="000000"/>
      </w:rPr>
    </w:lvl>
    <w:lvl w:ilvl="4">
      <w:start w:val="1"/>
      <w:numFmt w:val="decimal"/>
      <w:lvlText w:val="%5"/>
      <w:lvlJc w:val="left"/>
      <w:pPr>
        <w:tabs>
          <w:tab w:val="num" w:pos="3402"/>
        </w:tabs>
        <w:ind w:left="3402" w:hanging="567"/>
      </w:pPr>
      <w:rPr>
        <w:rFonts w:cs="Times New Roman" w:hint="default"/>
        <w:b w:val="0"/>
        <w:i w:val="0"/>
        <w:color w:val="000000"/>
      </w:rPr>
    </w:lvl>
    <w:lvl w:ilvl="5">
      <w:start w:val="1"/>
      <w:numFmt w:val="decimal"/>
      <w:lvlText w:val="%6"/>
      <w:lvlJc w:val="left"/>
      <w:pPr>
        <w:tabs>
          <w:tab w:val="num" w:pos="3969"/>
        </w:tabs>
        <w:ind w:left="3969" w:hanging="567"/>
      </w:pPr>
      <w:rPr>
        <w:rFonts w:cs="Times New Roman" w:hint="default"/>
        <w:b w:val="0"/>
        <w:i w:val="0"/>
        <w:color w:val="000000"/>
      </w:rPr>
    </w:lvl>
    <w:lvl w:ilvl="6">
      <w:start w:val="1"/>
      <w:numFmt w:val="decimal"/>
      <w:lvlText w:val="%7"/>
      <w:lvlJc w:val="left"/>
      <w:pPr>
        <w:tabs>
          <w:tab w:val="num" w:pos="4536"/>
        </w:tabs>
        <w:ind w:left="4536" w:hanging="567"/>
      </w:pPr>
      <w:rPr>
        <w:rFonts w:cs="Times New Roman" w:hint="default"/>
        <w:b w:val="0"/>
        <w:i w:val="0"/>
        <w:color w:val="000000"/>
      </w:rPr>
    </w:lvl>
    <w:lvl w:ilvl="7">
      <w:start w:val="1"/>
      <w:numFmt w:val="decimal"/>
      <w:lvlText w:val="%8"/>
      <w:lvlJc w:val="left"/>
      <w:pPr>
        <w:tabs>
          <w:tab w:val="num" w:pos="5103"/>
        </w:tabs>
        <w:ind w:left="5103" w:hanging="567"/>
      </w:pPr>
      <w:rPr>
        <w:rFonts w:cs="Times New Roman" w:hint="default"/>
        <w:b w:val="0"/>
        <w:i w:val="0"/>
        <w:color w:val="000000"/>
      </w:rPr>
    </w:lvl>
    <w:lvl w:ilvl="8">
      <w:start w:val="1"/>
      <w:numFmt w:val="decimal"/>
      <w:lvlText w:val="%9"/>
      <w:lvlJc w:val="left"/>
      <w:pPr>
        <w:tabs>
          <w:tab w:val="num" w:pos="5670"/>
        </w:tabs>
        <w:ind w:left="5670" w:hanging="567"/>
      </w:pPr>
      <w:rPr>
        <w:rFonts w:cs="Times New Roman" w:hint="default"/>
        <w:b w:val="0"/>
        <w:i w:val="0"/>
        <w:color w:val="000000"/>
      </w:rPr>
    </w:lvl>
  </w:abstractNum>
  <w:abstractNum w:abstractNumId="199" w15:restartNumberingAfterBreak="0">
    <w:nsid w:val="285615ED"/>
    <w:multiLevelType w:val="multilevel"/>
    <w:tmpl w:val="A30A63A4"/>
    <w:numStyleLink w:val="SchE"/>
  </w:abstractNum>
  <w:abstractNum w:abstractNumId="200" w15:restartNumberingAfterBreak="0">
    <w:nsid w:val="28A17032"/>
    <w:multiLevelType w:val="multilevel"/>
    <w:tmpl w:val="B55C38CE"/>
    <w:numStyleLink w:val="SchB"/>
  </w:abstractNum>
  <w:abstractNum w:abstractNumId="201" w15:restartNumberingAfterBreak="0">
    <w:nsid w:val="28B56E99"/>
    <w:multiLevelType w:val="multilevel"/>
    <w:tmpl w:val="71487AA0"/>
    <w:lvl w:ilvl="0">
      <w:start w:val="1"/>
      <w:numFmt w:val="decimal"/>
      <w:lvlText w:val="B%1."/>
      <w:lvlJc w:val="left"/>
      <w:pPr>
        <w:ind w:left="709" w:hanging="709"/>
      </w:pPr>
      <w:rPr>
        <w:rFonts w:ascii="Calibri" w:hAnsi="Calibri" w:hint="default"/>
        <w:b w:val="0"/>
        <w:i w:val="0"/>
        <w:sz w:val="24"/>
      </w:rPr>
    </w:lvl>
    <w:lvl w:ilvl="1">
      <w:start w:val="8"/>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15:restartNumberingAfterBreak="0">
    <w:nsid w:val="28B96F79"/>
    <w:multiLevelType w:val="multilevel"/>
    <w:tmpl w:val="D812A814"/>
    <w:numStyleLink w:val="SchF"/>
  </w:abstractNum>
  <w:abstractNum w:abstractNumId="203" w15:restartNumberingAfterBreak="0">
    <w:nsid w:val="28FD3DF8"/>
    <w:multiLevelType w:val="multilevel"/>
    <w:tmpl w:val="2196E198"/>
    <w:lvl w:ilvl="0">
      <w:start w:val="6"/>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hint="default"/>
        <w:sz w:val="24"/>
        <w:szCs w:val="24"/>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04" w15:restartNumberingAfterBreak="0">
    <w:nsid w:val="293E6D5C"/>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05" w15:restartNumberingAfterBreak="0">
    <w:nsid w:val="29456727"/>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06" w15:restartNumberingAfterBreak="0">
    <w:nsid w:val="295090D5"/>
    <w:multiLevelType w:val="hybridMultilevel"/>
    <w:tmpl w:val="5C6E7340"/>
    <w:lvl w:ilvl="0" w:tplc="80BC439C">
      <w:start w:val="1"/>
      <w:numFmt w:val="decimal"/>
      <w:lvlText w:val="%1."/>
      <w:lvlJc w:val="left"/>
      <w:pPr>
        <w:ind w:left="720" w:hanging="360"/>
      </w:pPr>
    </w:lvl>
    <w:lvl w:ilvl="1" w:tplc="C55AB772">
      <w:start w:val="1"/>
      <w:numFmt w:val="lowerRoman"/>
      <w:lvlText w:val="%2."/>
      <w:lvlJc w:val="right"/>
      <w:pPr>
        <w:ind w:left="1800" w:hanging="360"/>
      </w:pPr>
      <w:rPr>
        <w:rFonts w:ascii="Calibri" w:hAnsi="Calibri" w:cs="Calibri" w:hint="default"/>
      </w:rPr>
    </w:lvl>
    <w:lvl w:ilvl="2" w:tplc="01D47B9C">
      <w:start w:val="1"/>
      <w:numFmt w:val="lowerRoman"/>
      <w:lvlText w:val="%3."/>
      <w:lvlJc w:val="right"/>
      <w:pPr>
        <w:ind w:left="2160" w:hanging="180"/>
      </w:pPr>
    </w:lvl>
    <w:lvl w:ilvl="3" w:tplc="9F1A540A">
      <w:start w:val="1"/>
      <w:numFmt w:val="decimal"/>
      <w:lvlText w:val="%4."/>
      <w:lvlJc w:val="left"/>
      <w:pPr>
        <w:ind w:left="2880" w:hanging="360"/>
      </w:pPr>
    </w:lvl>
    <w:lvl w:ilvl="4" w:tplc="98684FCC">
      <w:start w:val="1"/>
      <w:numFmt w:val="lowerLetter"/>
      <w:lvlText w:val="%5."/>
      <w:lvlJc w:val="left"/>
      <w:pPr>
        <w:ind w:left="3600" w:hanging="360"/>
      </w:pPr>
    </w:lvl>
    <w:lvl w:ilvl="5" w:tplc="AE84A438">
      <w:start w:val="1"/>
      <w:numFmt w:val="lowerRoman"/>
      <w:lvlText w:val="%6."/>
      <w:lvlJc w:val="right"/>
      <w:pPr>
        <w:ind w:left="4320" w:hanging="180"/>
      </w:pPr>
    </w:lvl>
    <w:lvl w:ilvl="6" w:tplc="A972FBC6">
      <w:start w:val="1"/>
      <w:numFmt w:val="decimal"/>
      <w:lvlText w:val="%7."/>
      <w:lvlJc w:val="left"/>
      <w:pPr>
        <w:ind w:left="5040" w:hanging="360"/>
      </w:pPr>
    </w:lvl>
    <w:lvl w:ilvl="7" w:tplc="955443D6">
      <w:start w:val="1"/>
      <w:numFmt w:val="lowerLetter"/>
      <w:lvlText w:val="%8."/>
      <w:lvlJc w:val="left"/>
      <w:pPr>
        <w:ind w:left="5760" w:hanging="360"/>
      </w:pPr>
    </w:lvl>
    <w:lvl w:ilvl="8" w:tplc="B5680190">
      <w:start w:val="1"/>
      <w:numFmt w:val="lowerRoman"/>
      <w:lvlText w:val="%9."/>
      <w:lvlJc w:val="right"/>
      <w:pPr>
        <w:ind w:left="6480" w:hanging="180"/>
      </w:pPr>
    </w:lvl>
  </w:abstractNum>
  <w:abstractNum w:abstractNumId="207" w15:restartNumberingAfterBreak="0">
    <w:nsid w:val="295E430D"/>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08" w15:restartNumberingAfterBreak="0">
    <w:nsid w:val="29625B3A"/>
    <w:multiLevelType w:val="multilevel"/>
    <w:tmpl w:val="A30A63A4"/>
    <w:numStyleLink w:val="SchE"/>
  </w:abstractNum>
  <w:abstractNum w:abstractNumId="209" w15:restartNumberingAfterBreak="0">
    <w:nsid w:val="29AE2F7A"/>
    <w:multiLevelType w:val="multilevel"/>
    <w:tmpl w:val="02863EF2"/>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29AE340F"/>
    <w:multiLevelType w:val="multilevel"/>
    <w:tmpl w:val="9AA63FDC"/>
    <w:lvl w:ilvl="0">
      <w:start w:val="1"/>
      <w:numFmt w:val="decimal"/>
      <w:lvlText w:val="B%1."/>
      <w:lvlJc w:val="left"/>
      <w:pPr>
        <w:ind w:left="709" w:hanging="709"/>
      </w:pPr>
      <w:rPr>
        <w:rFonts w:ascii="Calibri" w:hAnsi="Calibri" w:hint="default"/>
        <w:b w:val="0"/>
        <w:i w:val="0"/>
        <w:sz w:val="24"/>
      </w:rPr>
    </w:lvl>
    <w:lvl w:ilvl="1">
      <w:start w:val="6"/>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1" w15:restartNumberingAfterBreak="0">
    <w:nsid w:val="2A414745"/>
    <w:multiLevelType w:val="hybridMultilevel"/>
    <w:tmpl w:val="AB901D36"/>
    <w:lvl w:ilvl="0" w:tplc="19C60146">
      <w:start w:val="1"/>
      <w:numFmt w:val="lowerLetter"/>
      <w:lvlText w:val="%1."/>
      <w:lvlJc w:val="left"/>
      <w:pPr>
        <w:ind w:left="108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2" w15:restartNumberingAfterBreak="0">
    <w:nsid w:val="2A437E92"/>
    <w:multiLevelType w:val="multilevel"/>
    <w:tmpl w:val="6A64FF70"/>
    <w:lvl w:ilvl="0">
      <w:start w:val="1"/>
      <w:numFmt w:val="decimal"/>
      <w:lvlText w:val="B%1."/>
      <w:lvlJc w:val="left"/>
      <w:pPr>
        <w:ind w:left="709" w:hanging="709"/>
      </w:pPr>
      <w:rPr>
        <w:rFonts w:ascii="Calibri" w:hAnsi="Calibri" w:hint="default"/>
        <w:b w:val="0"/>
        <w:i w:val="0"/>
        <w:sz w:val="24"/>
      </w:rPr>
    </w:lvl>
    <w:lvl w:ilvl="1">
      <w:start w:val="17"/>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3" w15:restartNumberingAfterBreak="0">
    <w:nsid w:val="2A4A1C16"/>
    <w:multiLevelType w:val="multilevel"/>
    <w:tmpl w:val="9D2084D2"/>
    <w:numStyleLink w:val="SchC"/>
  </w:abstractNum>
  <w:abstractNum w:abstractNumId="214" w15:restartNumberingAfterBreak="0">
    <w:nsid w:val="2A5C3D83"/>
    <w:multiLevelType w:val="multilevel"/>
    <w:tmpl w:val="8744BB04"/>
    <w:lvl w:ilvl="0">
      <w:start w:val="1"/>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ascii="Calibri" w:hAnsi="Calibri" w:hint="default"/>
        <w:sz w:val="24"/>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15" w15:restartNumberingAfterBreak="0">
    <w:nsid w:val="2AB05C2D"/>
    <w:multiLevelType w:val="multilevel"/>
    <w:tmpl w:val="D812A814"/>
    <w:numStyleLink w:val="SchF"/>
  </w:abstractNum>
  <w:abstractNum w:abstractNumId="216" w15:restartNumberingAfterBreak="0">
    <w:nsid w:val="2B093764"/>
    <w:multiLevelType w:val="multilevel"/>
    <w:tmpl w:val="FA006918"/>
    <w:numStyleLink w:val="SchA"/>
  </w:abstractNum>
  <w:abstractNum w:abstractNumId="217" w15:restartNumberingAfterBreak="0">
    <w:nsid w:val="2B1B5954"/>
    <w:multiLevelType w:val="hybridMultilevel"/>
    <w:tmpl w:val="1A82690E"/>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8" w15:restartNumberingAfterBreak="0">
    <w:nsid w:val="2B68759F"/>
    <w:multiLevelType w:val="multilevel"/>
    <w:tmpl w:val="504E1A2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19" w15:restartNumberingAfterBreak="0">
    <w:nsid w:val="2BE831A2"/>
    <w:multiLevelType w:val="hybridMultilevel"/>
    <w:tmpl w:val="5D5CE930"/>
    <w:lvl w:ilvl="0" w:tplc="9AECD458">
      <w:start w:val="1"/>
      <w:numFmt w:val="lowerRoman"/>
      <w:lvlText w:val="%1."/>
      <w:lvlJc w:val="right"/>
      <w:pPr>
        <w:ind w:left="2672" w:hanging="360"/>
      </w:pPr>
      <w:rPr>
        <w:rFonts w:hint="default"/>
        <w:sz w:val="24"/>
        <w:szCs w:val="24"/>
      </w:rPr>
    </w:lvl>
    <w:lvl w:ilvl="1" w:tplc="0C090019" w:tentative="1">
      <w:start w:val="1"/>
      <w:numFmt w:val="lowerLetter"/>
      <w:lvlText w:val="%2."/>
      <w:lvlJc w:val="left"/>
      <w:pPr>
        <w:ind w:left="3392" w:hanging="360"/>
      </w:pPr>
    </w:lvl>
    <w:lvl w:ilvl="2" w:tplc="0C09001B" w:tentative="1">
      <w:start w:val="1"/>
      <w:numFmt w:val="lowerRoman"/>
      <w:lvlText w:val="%3."/>
      <w:lvlJc w:val="right"/>
      <w:pPr>
        <w:ind w:left="4112" w:hanging="180"/>
      </w:pPr>
    </w:lvl>
    <w:lvl w:ilvl="3" w:tplc="0C09000F" w:tentative="1">
      <w:start w:val="1"/>
      <w:numFmt w:val="decimal"/>
      <w:lvlText w:val="%4."/>
      <w:lvlJc w:val="left"/>
      <w:pPr>
        <w:ind w:left="4832" w:hanging="360"/>
      </w:pPr>
    </w:lvl>
    <w:lvl w:ilvl="4" w:tplc="0C090019" w:tentative="1">
      <w:start w:val="1"/>
      <w:numFmt w:val="lowerLetter"/>
      <w:lvlText w:val="%5."/>
      <w:lvlJc w:val="left"/>
      <w:pPr>
        <w:ind w:left="5552" w:hanging="360"/>
      </w:pPr>
    </w:lvl>
    <w:lvl w:ilvl="5" w:tplc="0C09001B" w:tentative="1">
      <w:start w:val="1"/>
      <w:numFmt w:val="lowerRoman"/>
      <w:lvlText w:val="%6."/>
      <w:lvlJc w:val="right"/>
      <w:pPr>
        <w:ind w:left="6272" w:hanging="180"/>
      </w:pPr>
    </w:lvl>
    <w:lvl w:ilvl="6" w:tplc="0C09000F" w:tentative="1">
      <w:start w:val="1"/>
      <w:numFmt w:val="decimal"/>
      <w:lvlText w:val="%7."/>
      <w:lvlJc w:val="left"/>
      <w:pPr>
        <w:ind w:left="6992" w:hanging="360"/>
      </w:pPr>
    </w:lvl>
    <w:lvl w:ilvl="7" w:tplc="0C090019" w:tentative="1">
      <w:start w:val="1"/>
      <w:numFmt w:val="lowerLetter"/>
      <w:lvlText w:val="%8."/>
      <w:lvlJc w:val="left"/>
      <w:pPr>
        <w:ind w:left="7712" w:hanging="360"/>
      </w:pPr>
    </w:lvl>
    <w:lvl w:ilvl="8" w:tplc="0C09001B" w:tentative="1">
      <w:start w:val="1"/>
      <w:numFmt w:val="lowerRoman"/>
      <w:lvlText w:val="%9."/>
      <w:lvlJc w:val="right"/>
      <w:pPr>
        <w:ind w:left="8432" w:hanging="180"/>
      </w:pPr>
    </w:lvl>
  </w:abstractNum>
  <w:abstractNum w:abstractNumId="220" w15:restartNumberingAfterBreak="0">
    <w:nsid w:val="2C102BDF"/>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21" w15:restartNumberingAfterBreak="0">
    <w:nsid w:val="2C795B3B"/>
    <w:multiLevelType w:val="multilevel"/>
    <w:tmpl w:val="FA006918"/>
    <w:numStyleLink w:val="SchA"/>
  </w:abstractNum>
  <w:abstractNum w:abstractNumId="222" w15:restartNumberingAfterBreak="0">
    <w:nsid w:val="2CE344A4"/>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23" w15:restartNumberingAfterBreak="0">
    <w:nsid w:val="2D1379F7"/>
    <w:multiLevelType w:val="multilevel"/>
    <w:tmpl w:val="FA006918"/>
    <w:numStyleLink w:val="SchA"/>
  </w:abstractNum>
  <w:abstractNum w:abstractNumId="224" w15:restartNumberingAfterBreak="0">
    <w:nsid w:val="2D653D8B"/>
    <w:multiLevelType w:val="multilevel"/>
    <w:tmpl w:val="EE025996"/>
    <w:numStyleLink w:val="Appendix"/>
  </w:abstractNum>
  <w:abstractNum w:abstractNumId="225" w15:restartNumberingAfterBreak="0">
    <w:nsid w:val="2D6A77C2"/>
    <w:multiLevelType w:val="multilevel"/>
    <w:tmpl w:val="A30A63A4"/>
    <w:numStyleLink w:val="SchE"/>
  </w:abstractNum>
  <w:abstractNum w:abstractNumId="226" w15:restartNumberingAfterBreak="0">
    <w:nsid w:val="2D7144EE"/>
    <w:multiLevelType w:val="hybridMultilevel"/>
    <w:tmpl w:val="05D6222A"/>
    <w:lvl w:ilvl="0" w:tplc="F1F87C66">
      <w:start w:val="1"/>
      <w:numFmt w:val="lowerLetter"/>
      <w:lvlText w:val="%1."/>
      <w:lvlJc w:val="left"/>
      <w:pPr>
        <w:ind w:left="1080" w:hanging="360"/>
      </w:pPr>
      <w:rPr>
        <w:rFonts w:ascii="Calibri" w:hAnsi="Calibri" w:cs="Calibri" w:hint="default"/>
      </w:rPr>
    </w:lvl>
    <w:lvl w:ilvl="1" w:tplc="1E32AB54">
      <w:start w:val="1"/>
      <w:numFmt w:val="lowerLetter"/>
      <w:lvlText w:val="%2."/>
      <w:lvlJc w:val="left"/>
      <w:pPr>
        <w:ind w:left="1440" w:hanging="360"/>
      </w:pPr>
    </w:lvl>
    <w:lvl w:ilvl="2" w:tplc="5FFE19A2">
      <w:start w:val="1"/>
      <w:numFmt w:val="lowerRoman"/>
      <w:lvlText w:val="%3."/>
      <w:lvlJc w:val="right"/>
      <w:pPr>
        <w:ind w:left="2160" w:hanging="180"/>
      </w:pPr>
    </w:lvl>
    <w:lvl w:ilvl="3" w:tplc="9C04AA78">
      <w:start w:val="1"/>
      <w:numFmt w:val="decimal"/>
      <w:lvlText w:val="%4."/>
      <w:lvlJc w:val="left"/>
      <w:pPr>
        <w:ind w:left="2880" w:hanging="360"/>
      </w:pPr>
    </w:lvl>
    <w:lvl w:ilvl="4" w:tplc="3E884038">
      <w:start w:val="1"/>
      <w:numFmt w:val="lowerLetter"/>
      <w:lvlText w:val="%5."/>
      <w:lvlJc w:val="left"/>
      <w:pPr>
        <w:ind w:left="3600" w:hanging="360"/>
      </w:pPr>
    </w:lvl>
    <w:lvl w:ilvl="5" w:tplc="15BC2E1E">
      <w:start w:val="1"/>
      <w:numFmt w:val="lowerRoman"/>
      <w:lvlText w:val="%6."/>
      <w:lvlJc w:val="right"/>
      <w:pPr>
        <w:ind w:left="4320" w:hanging="180"/>
      </w:pPr>
    </w:lvl>
    <w:lvl w:ilvl="6" w:tplc="BD564068">
      <w:start w:val="1"/>
      <w:numFmt w:val="decimal"/>
      <w:lvlText w:val="%7."/>
      <w:lvlJc w:val="left"/>
      <w:pPr>
        <w:ind w:left="5040" w:hanging="360"/>
      </w:pPr>
    </w:lvl>
    <w:lvl w:ilvl="7" w:tplc="200265EE">
      <w:start w:val="1"/>
      <w:numFmt w:val="lowerLetter"/>
      <w:lvlText w:val="%8."/>
      <w:lvlJc w:val="left"/>
      <w:pPr>
        <w:ind w:left="5760" w:hanging="360"/>
      </w:pPr>
    </w:lvl>
    <w:lvl w:ilvl="8" w:tplc="B344D9A6">
      <w:start w:val="1"/>
      <w:numFmt w:val="lowerRoman"/>
      <w:lvlText w:val="%9."/>
      <w:lvlJc w:val="right"/>
      <w:pPr>
        <w:ind w:left="6480" w:hanging="180"/>
      </w:pPr>
    </w:lvl>
  </w:abstractNum>
  <w:abstractNum w:abstractNumId="227" w15:restartNumberingAfterBreak="0">
    <w:nsid w:val="2D8C1CBF"/>
    <w:multiLevelType w:val="multilevel"/>
    <w:tmpl w:val="EE025996"/>
    <w:numStyleLink w:val="Appendix"/>
  </w:abstractNum>
  <w:abstractNum w:abstractNumId="228" w15:restartNumberingAfterBreak="0">
    <w:nsid w:val="2DF970CA"/>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29" w15:restartNumberingAfterBreak="0">
    <w:nsid w:val="2E0B122B"/>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30" w15:restartNumberingAfterBreak="0">
    <w:nsid w:val="2E9E0E7A"/>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31" w15:restartNumberingAfterBreak="0">
    <w:nsid w:val="2ED31BE3"/>
    <w:multiLevelType w:val="multilevel"/>
    <w:tmpl w:val="A99A057C"/>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7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32" w15:restartNumberingAfterBreak="0">
    <w:nsid w:val="2F0506DF"/>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33" w15:restartNumberingAfterBreak="0">
    <w:nsid w:val="2F1D242A"/>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34" w15:restartNumberingAfterBreak="0">
    <w:nsid w:val="2F5F0787"/>
    <w:multiLevelType w:val="multilevel"/>
    <w:tmpl w:val="05E69A80"/>
    <w:numStyleLink w:val="SchI"/>
  </w:abstractNum>
  <w:abstractNum w:abstractNumId="235" w15:restartNumberingAfterBreak="0">
    <w:nsid w:val="2F783A4C"/>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36" w15:restartNumberingAfterBreak="0">
    <w:nsid w:val="2F81356D"/>
    <w:multiLevelType w:val="multilevel"/>
    <w:tmpl w:val="8744BB04"/>
    <w:lvl w:ilvl="0">
      <w:start w:val="1"/>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ascii="Calibri" w:hAnsi="Calibri" w:hint="default"/>
        <w:sz w:val="24"/>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37" w15:restartNumberingAfterBreak="0">
    <w:nsid w:val="2FE47C9C"/>
    <w:multiLevelType w:val="multilevel"/>
    <w:tmpl w:val="C86A375C"/>
    <w:styleLink w:val="SchH"/>
    <w:lvl w:ilvl="0">
      <w:start w:val="1"/>
      <w:numFmt w:val="decimal"/>
      <w:lvlText w:val="H%1."/>
      <w:lvlJc w:val="left"/>
      <w:pPr>
        <w:ind w:left="709" w:hanging="709"/>
      </w:pPr>
      <w:rPr>
        <w:rFonts w:ascii="Calibri" w:hAnsi="Calibri" w:hint="default"/>
        <w:b w:val="0"/>
        <w:i w:val="0"/>
        <w:sz w:val="24"/>
        <w:szCs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38" w15:restartNumberingAfterBreak="0">
    <w:nsid w:val="30125A08"/>
    <w:multiLevelType w:val="multilevel"/>
    <w:tmpl w:val="FA006918"/>
    <w:numStyleLink w:val="SchA"/>
  </w:abstractNum>
  <w:abstractNum w:abstractNumId="239" w15:restartNumberingAfterBreak="0">
    <w:nsid w:val="30811200"/>
    <w:multiLevelType w:val="multilevel"/>
    <w:tmpl w:val="6C16FA6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40" w15:restartNumberingAfterBreak="0">
    <w:nsid w:val="31205F72"/>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1" w15:restartNumberingAfterBreak="0">
    <w:nsid w:val="31AD6A8E"/>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42" w15:restartNumberingAfterBreak="0">
    <w:nsid w:val="31FA73C1"/>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43" w15:restartNumberingAfterBreak="0">
    <w:nsid w:val="32093986"/>
    <w:multiLevelType w:val="multilevel"/>
    <w:tmpl w:val="025E1700"/>
    <w:lvl w:ilvl="0">
      <w:start w:val="1"/>
      <w:numFmt w:val="decimal"/>
      <w:lvlText w:val="%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44" w15:restartNumberingAfterBreak="0">
    <w:nsid w:val="32406B7D"/>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45" w15:restartNumberingAfterBreak="0">
    <w:nsid w:val="328B3D39"/>
    <w:multiLevelType w:val="hybridMultilevel"/>
    <w:tmpl w:val="652836B2"/>
    <w:lvl w:ilvl="0" w:tplc="CA165F1A">
      <w:start w:val="1"/>
      <w:numFmt w:val="bullet"/>
      <w:pStyle w:val="StatesList"/>
      <w:lvlText w:val=""/>
      <w:lvlJc w:val="left"/>
      <w:pPr>
        <w:tabs>
          <w:tab w:val="num" w:pos="1134"/>
        </w:tabs>
        <w:ind w:left="1134" w:hanging="567"/>
      </w:pPr>
      <w:rPr>
        <w:rFonts w:ascii="ZapfDingbats" w:hAnsi="ZapfDingbats" w:hint="default"/>
        <w:color w:val="000080"/>
        <w:sz w:val="20"/>
      </w:rPr>
    </w:lvl>
    <w:lvl w:ilvl="1" w:tplc="CE485BF4">
      <w:start w:val="1"/>
      <w:numFmt w:val="bullet"/>
      <w:lvlText w:val="o"/>
      <w:lvlJc w:val="left"/>
      <w:pPr>
        <w:tabs>
          <w:tab w:val="num" w:pos="2574"/>
        </w:tabs>
        <w:ind w:left="2574" w:hanging="360"/>
      </w:pPr>
      <w:rPr>
        <w:rFonts w:ascii="Courier New" w:hAnsi="Courier New" w:hint="default"/>
      </w:rPr>
    </w:lvl>
    <w:lvl w:ilvl="2" w:tplc="F456410A" w:tentative="1">
      <w:start w:val="1"/>
      <w:numFmt w:val="bullet"/>
      <w:lvlText w:val=""/>
      <w:lvlJc w:val="left"/>
      <w:pPr>
        <w:tabs>
          <w:tab w:val="num" w:pos="3294"/>
        </w:tabs>
        <w:ind w:left="3294" w:hanging="360"/>
      </w:pPr>
      <w:rPr>
        <w:rFonts w:ascii="Wingdings" w:hAnsi="Wingdings" w:hint="default"/>
      </w:rPr>
    </w:lvl>
    <w:lvl w:ilvl="3" w:tplc="A190A64A" w:tentative="1">
      <w:start w:val="1"/>
      <w:numFmt w:val="bullet"/>
      <w:lvlText w:val=""/>
      <w:lvlJc w:val="left"/>
      <w:pPr>
        <w:tabs>
          <w:tab w:val="num" w:pos="4014"/>
        </w:tabs>
        <w:ind w:left="4014" w:hanging="360"/>
      </w:pPr>
      <w:rPr>
        <w:rFonts w:ascii="Symbol" w:hAnsi="Symbol" w:hint="default"/>
      </w:rPr>
    </w:lvl>
    <w:lvl w:ilvl="4" w:tplc="F5F2FDC4" w:tentative="1">
      <w:start w:val="1"/>
      <w:numFmt w:val="bullet"/>
      <w:lvlText w:val="o"/>
      <w:lvlJc w:val="left"/>
      <w:pPr>
        <w:tabs>
          <w:tab w:val="num" w:pos="4734"/>
        </w:tabs>
        <w:ind w:left="4734" w:hanging="360"/>
      </w:pPr>
      <w:rPr>
        <w:rFonts w:ascii="Courier New" w:hAnsi="Courier New" w:hint="default"/>
      </w:rPr>
    </w:lvl>
    <w:lvl w:ilvl="5" w:tplc="FD7E9042" w:tentative="1">
      <w:start w:val="1"/>
      <w:numFmt w:val="bullet"/>
      <w:lvlText w:val=""/>
      <w:lvlJc w:val="left"/>
      <w:pPr>
        <w:tabs>
          <w:tab w:val="num" w:pos="5454"/>
        </w:tabs>
        <w:ind w:left="5454" w:hanging="360"/>
      </w:pPr>
      <w:rPr>
        <w:rFonts w:ascii="Wingdings" w:hAnsi="Wingdings" w:hint="default"/>
      </w:rPr>
    </w:lvl>
    <w:lvl w:ilvl="6" w:tplc="9E8AA96E" w:tentative="1">
      <w:start w:val="1"/>
      <w:numFmt w:val="bullet"/>
      <w:lvlText w:val=""/>
      <w:lvlJc w:val="left"/>
      <w:pPr>
        <w:tabs>
          <w:tab w:val="num" w:pos="6174"/>
        </w:tabs>
        <w:ind w:left="6174" w:hanging="360"/>
      </w:pPr>
      <w:rPr>
        <w:rFonts w:ascii="Symbol" w:hAnsi="Symbol" w:hint="default"/>
      </w:rPr>
    </w:lvl>
    <w:lvl w:ilvl="7" w:tplc="5D1690E0" w:tentative="1">
      <w:start w:val="1"/>
      <w:numFmt w:val="bullet"/>
      <w:lvlText w:val="o"/>
      <w:lvlJc w:val="left"/>
      <w:pPr>
        <w:tabs>
          <w:tab w:val="num" w:pos="6894"/>
        </w:tabs>
        <w:ind w:left="6894" w:hanging="360"/>
      </w:pPr>
      <w:rPr>
        <w:rFonts w:ascii="Courier New" w:hAnsi="Courier New" w:hint="default"/>
      </w:rPr>
    </w:lvl>
    <w:lvl w:ilvl="8" w:tplc="734EED40" w:tentative="1">
      <w:start w:val="1"/>
      <w:numFmt w:val="bullet"/>
      <w:lvlText w:val=""/>
      <w:lvlJc w:val="left"/>
      <w:pPr>
        <w:tabs>
          <w:tab w:val="num" w:pos="7614"/>
        </w:tabs>
        <w:ind w:left="7614" w:hanging="360"/>
      </w:pPr>
      <w:rPr>
        <w:rFonts w:ascii="Wingdings" w:hAnsi="Wingdings" w:hint="default"/>
      </w:rPr>
    </w:lvl>
  </w:abstractNum>
  <w:abstractNum w:abstractNumId="246" w15:restartNumberingAfterBreak="0">
    <w:nsid w:val="331F593C"/>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47" w15:restartNumberingAfterBreak="0">
    <w:nsid w:val="33AF08ED"/>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48" w15:restartNumberingAfterBreak="0">
    <w:nsid w:val="33BD1FC7"/>
    <w:multiLevelType w:val="multilevel"/>
    <w:tmpl w:val="025E1700"/>
    <w:lvl w:ilvl="0">
      <w:start w:val="1"/>
      <w:numFmt w:val="decimal"/>
      <w:lvlText w:val="%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49" w15:restartNumberingAfterBreak="0">
    <w:nsid w:val="343D355A"/>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50" w15:restartNumberingAfterBreak="0">
    <w:nsid w:val="34920859"/>
    <w:multiLevelType w:val="multilevel"/>
    <w:tmpl w:val="9D2084D2"/>
    <w:numStyleLink w:val="SchC"/>
  </w:abstractNum>
  <w:abstractNum w:abstractNumId="251" w15:restartNumberingAfterBreak="0">
    <w:nsid w:val="34B42709"/>
    <w:multiLevelType w:val="multilevel"/>
    <w:tmpl w:val="9D2084D2"/>
    <w:numStyleLink w:val="SchC"/>
  </w:abstractNum>
  <w:abstractNum w:abstractNumId="252" w15:restartNumberingAfterBreak="0">
    <w:nsid w:val="34D748A6"/>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53" w15:restartNumberingAfterBreak="0">
    <w:nsid w:val="350E16E1"/>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54" w15:restartNumberingAfterBreak="0">
    <w:nsid w:val="35402468"/>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55" w15:restartNumberingAfterBreak="0">
    <w:nsid w:val="35A12867"/>
    <w:multiLevelType w:val="multilevel"/>
    <w:tmpl w:val="05E69A80"/>
    <w:numStyleLink w:val="SchI"/>
  </w:abstractNum>
  <w:abstractNum w:abstractNumId="256" w15:restartNumberingAfterBreak="0">
    <w:nsid w:val="35AF31F8"/>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57" w15:restartNumberingAfterBreak="0">
    <w:nsid w:val="361D26C4"/>
    <w:multiLevelType w:val="multilevel"/>
    <w:tmpl w:val="FA006918"/>
    <w:numStyleLink w:val="SchA"/>
  </w:abstractNum>
  <w:abstractNum w:abstractNumId="258" w15:restartNumberingAfterBreak="0">
    <w:nsid w:val="370751FE"/>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59" w15:restartNumberingAfterBreak="0">
    <w:nsid w:val="371841F4"/>
    <w:multiLevelType w:val="multilevel"/>
    <w:tmpl w:val="A99A057C"/>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7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60" w15:restartNumberingAfterBreak="0">
    <w:nsid w:val="37394D28"/>
    <w:multiLevelType w:val="multilevel"/>
    <w:tmpl w:val="05E69A80"/>
    <w:numStyleLink w:val="SchI"/>
  </w:abstractNum>
  <w:abstractNum w:abstractNumId="261" w15:restartNumberingAfterBreak="0">
    <w:nsid w:val="3764646D"/>
    <w:multiLevelType w:val="hybridMultilevel"/>
    <w:tmpl w:val="195ADA6A"/>
    <w:lvl w:ilvl="0" w:tplc="C9A421CA">
      <w:start w:val="1"/>
      <w:numFmt w:val="decimal"/>
      <w:lvlText w:val="B%1."/>
      <w:lvlJc w:val="left"/>
      <w:pPr>
        <w:ind w:left="360" w:hanging="360"/>
      </w:pPr>
      <w:rPr>
        <w:rFonts w:ascii="Calibri" w:hAnsi="Calibri" w:hint="default"/>
      </w:rPr>
    </w:lvl>
    <w:lvl w:ilvl="1" w:tplc="8B0E4434">
      <w:start w:val="1"/>
      <w:numFmt w:val="lowerLetter"/>
      <w:lvlText w:val="%2."/>
      <w:lvlJc w:val="left"/>
      <w:pPr>
        <w:ind w:left="1080" w:hanging="360"/>
      </w:pPr>
    </w:lvl>
    <w:lvl w:ilvl="2" w:tplc="E9C0170C">
      <w:start w:val="1"/>
      <w:numFmt w:val="lowerRoman"/>
      <w:lvlText w:val="%3."/>
      <w:lvlJc w:val="right"/>
      <w:pPr>
        <w:ind w:left="1800" w:hanging="180"/>
      </w:pPr>
    </w:lvl>
    <w:lvl w:ilvl="3" w:tplc="A50080E8">
      <w:start w:val="1"/>
      <w:numFmt w:val="decimal"/>
      <w:lvlText w:val="%4."/>
      <w:lvlJc w:val="left"/>
      <w:pPr>
        <w:ind w:left="2880" w:hanging="360"/>
      </w:pPr>
    </w:lvl>
    <w:lvl w:ilvl="4" w:tplc="BFB074C0">
      <w:start w:val="1"/>
      <w:numFmt w:val="lowerLetter"/>
      <w:lvlText w:val="%5."/>
      <w:lvlJc w:val="left"/>
      <w:pPr>
        <w:ind w:left="3600" w:hanging="360"/>
      </w:pPr>
    </w:lvl>
    <w:lvl w:ilvl="5" w:tplc="4828B854">
      <w:start w:val="1"/>
      <w:numFmt w:val="lowerRoman"/>
      <w:lvlText w:val="%6."/>
      <w:lvlJc w:val="right"/>
      <w:pPr>
        <w:ind w:left="4320" w:hanging="180"/>
      </w:pPr>
    </w:lvl>
    <w:lvl w:ilvl="6" w:tplc="E8E8B134">
      <w:start w:val="1"/>
      <w:numFmt w:val="decimal"/>
      <w:lvlText w:val="%7."/>
      <w:lvlJc w:val="left"/>
      <w:pPr>
        <w:ind w:left="5040" w:hanging="360"/>
      </w:pPr>
    </w:lvl>
    <w:lvl w:ilvl="7" w:tplc="834A4766">
      <w:start w:val="1"/>
      <w:numFmt w:val="lowerLetter"/>
      <w:lvlText w:val="%8."/>
      <w:lvlJc w:val="left"/>
      <w:pPr>
        <w:ind w:left="5760" w:hanging="360"/>
      </w:pPr>
    </w:lvl>
    <w:lvl w:ilvl="8" w:tplc="7AFA4010">
      <w:start w:val="1"/>
      <w:numFmt w:val="lowerRoman"/>
      <w:lvlText w:val="%9."/>
      <w:lvlJc w:val="right"/>
      <w:pPr>
        <w:ind w:left="6480" w:hanging="180"/>
      </w:pPr>
    </w:lvl>
  </w:abstractNum>
  <w:abstractNum w:abstractNumId="262" w15:restartNumberingAfterBreak="0">
    <w:nsid w:val="37742E75"/>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63" w15:restartNumberingAfterBreak="0">
    <w:nsid w:val="3795116B"/>
    <w:multiLevelType w:val="multilevel"/>
    <w:tmpl w:val="B55C38CE"/>
    <w:numStyleLink w:val="SchB"/>
  </w:abstractNum>
  <w:abstractNum w:abstractNumId="264" w15:restartNumberingAfterBreak="0">
    <w:nsid w:val="379F119A"/>
    <w:multiLevelType w:val="multilevel"/>
    <w:tmpl w:val="C86A375C"/>
    <w:numStyleLink w:val="SchH"/>
  </w:abstractNum>
  <w:abstractNum w:abstractNumId="265" w15:restartNumberingAfterBreak="0">
    <w:nsid w:val="37B26D00"/>
    <w:multiLevelType w:val="hybridMultilevel"/>
    <w:tmpl w:val="E142508E"/>
    <w:lvl w:ilvl="0" w:tplc="FFFFFFFF">
      <w:start w:val="1"/>
      <w:numFmt w:val="lowerLetter"/>
      <w:lvlText w:val="%1."/>
      <w:lvlJc w:val="left"/>
      <w:pPr>
        <w:ind w:left="144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6" w15:restartNumberingAfterBreak="0">
    <w:nsid w:val="37CE1931"/>
    <w:multiLevelType w:val="multilevel"/>
    <w:tmpl w:val="7EA0589E"/>
    <w:styleLink w:val="Style1"/>
    <w:lvl w:ilvl="0">
      <w:start w:val="1"/>
      <w:numFmt w:val="decimal"/>
      <w:lvlText w:val="A%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67" w15:restartNumberingAfterBreak="0">
    <w:nsid w:val="38014D2E"/>
    <w:multiLevelType w:val="multilevel"/>
    <w:tmpl w:val="05E69A80"/>
    <w:numStyleLink w:val="SchI"/>
  </w:abstractNum>
  <w:abstractNum w:abstractNumId="268" w15:restartNumberingAfterBreak="0">
    <w:nsid w:val="387467A8"/>
    <w:multiLevelType w:val="multilevel"/>
    <w:tmpl w:val="FA006918"/>
    <w:numStyleLink w:val="SchA"/>
  </w:abstractNum>
  <w:abstractNum w:abstractNumId="269" w15:restartNumberingAfterBreak="0">
    <w:nsid w:val="38D617E0"/>
    <w:multiLevelType w:val="multilevel"/>
    <w:tmpl w:val="C86A375C"/>
    <w:numStyleLink w:val="SchH"/>
  </w:abstractNum>
  <w:abstractNum w:abstractNumId="270" w15:restartNumberingAfterBreak="0">
    <w:nsid w:val="39083062"/>
    <w:multiLevelType w:val="multilevel"/>
    <w:tmpl w:val="9D2084D2"/>
    <w:numStyleLink w:val="SchC"/>
  </w:abstractNum>
  <w:abstractNum w:abstractNumId="271" w15:restartNumberingAfterBreak="0">
    <w:nsid w:val="392F0E00"/>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72" w15:restartNumberingAfterBreak="0">
    <w:nsid w:val="3A9C3F44"/>
    <w:multiLevelType w:val="multilevel"/>
    <w:tmpl w:val="B55C38CE"/>
    <w:numStyleLink w:val="SchB"/>
  </w:abstractNum>
  <w:abstractNum w:abstractNumId="273" w15:restartNumberingAfterBreak="0">
    <w:nsid w:val="3AB33211"/>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74" w15:restartNumberingAfterBreak="0">
    <w:nsid w:val="3ABB5C2B"/>
    <w:multiLevelType w:val="multilevel"/>
    <w:tmpl w:val="DCA66DBC"/>
    <w:lvl w:ilvl="0">
      <w:start w:val="1"/>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75" w15:restartNumberingAfterBreak="0">
    <w:nsid w:val="3AE06EF9"/>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76" w15:restartNumberingAfterBreak="0">
    <w:nsid w:val="3B0A39D8"/>
    <w:multiLevelType w:val="multilevel"/>
    <w:tmpl w:val="44D8870E"/>
    <w:numStyleLink w:val="SchJ"/>
  </w:abstractNum>
  <w:abstractNum w:abstractNumId="277" w15:restartNumberingAfterBreak="0">
    <w:nsid w:val="3B171F54"/>
    <w:multiLevelType w:val="multilevel"/>
    <w:tmpl w:val="025E1700"/>
    <w:lvl w:ilvl="0">
      <w:start w:val="1"/>
      <w:numFmt w:val="decimal"/>
      <w:lvlText w:val="%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78" w15:restartNumberingAfterBreak="0">
    <w:nsid w:val="3B7F34B2"/>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79" w15:restartNumberingAfterBreak="0">
    <w:nsid w:val="3B8473D0"/>
    <w:multiLevelType w:val="multilevel"/>
    <w:tmpl w:val="A8EAC78A"/>
    <w:lvl w:ilvl="0">
      <w:start w:val="1"/>
      <w:numFmt w:val="decimal"/>
      <w:lvlText w:val="B%1."/>
      <w:lvlJc w:val="left"/>
      <w:pPr>
        <w:ind w:left="709" w:hanging="709"/>
      </w:pPr>
      <w:rPr>
        <w:rFonts w:ascii="Calibri" w:hAnsi="Calibri" w:hint="default"/>
        <w:b w:val="0"/>
        <w:i w:val="0"/>
        <w:sz w:val="24"/>
      </w:rPr>
    </w:lvl>
    <w:lvl w:ilvl="1">
      <w:start w:val="13"/>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0" w15:restartNumberingAfterBreak="0">
    <w:nsid w:val="3BA7347F"/>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81" w15:restartNumberingAfterBreak="0">
    <w:nsid w:val="3BB83A2D"/>
    <w:multiLevelType w:val="multilevel"/>
    <w:tmpl w:val="B4BE5E82"/>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82" w15:restartNumberingAfterBreak="0">
    <w:nsid w:val="3C0956FF"/>
    <w:multiLevelType w:val="multilevel"/>
    <w:tmpl w:val="9D2084D2"/>
    <w:numStyleLink w:val="SchC"/>
  </w:abstractNum>
  <w:abstractNum w:abstractNumId="283" w15:restartNumberingAfterBreak="0">
    <w:nsid w:val="3CA07F79"/>
    <w:multiLevelType w:val="multilevel"/>
    <w:tmpl w:val="9A9A9648"/>
    <w:lvl w:ilvl="0">
      <w:start w:val="33"/>
      <w:numFmt w:val="decimal"/>
      <w:lvlText w:val="J%1."/>
      <w:lvlJc w:val="left"/>
      <w:pPr>
        <w:ind w:left="709" w:hanging="709"/>
      </w:pPr>
      <w:rPr>
        <w:rFonts w:ascii="Calibri" w:hAnsi="Calibri" w:hint="default"/>
        <w:b w:val="0"/>
        <w:i w:val="0"/>
        <w:sz w:val="24"/>
        <w:szCs w:val="24"/>
      </w:rPr>
    </w:lvl>
    <w:lvl w:ilvl="1">
      <w:start w:val="1"/>
      <w:numFmt w:val="lowerLetter"/>
      <w:lvlText w:val="%2."/>
      <w:lvlJc w:val="left"/>
      <w:pPr>
        <w:tabs>
          <w:tab w:val="num" w:pos="6804"/>
        </w:tabs>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cs="Times New Roman" w:hint="default"/>
        <w:b w:val="0"/>
        <w:i w:val="0"/>
        <w:sz w:val="24"/>
      </w:rPr>
    </w:lvl>
    <w:lvl w:ilvl="3">
      <w:start w:val="1"/>
      <w:numFmt w:val="decimal"/>
      <w:lvlText w:val="%4."/>
      <w:lvlJc w:val="right"/>
      <w:pPr>
        <w:ind w:left="641" w:firstLine="10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1069"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284" w15:restartNumberingAfterBreak="0">
    <w:nsid w:val="3D6B698B"/>
    <w:multiLevelType w:val="hybridMultilevel"/>
    <w:tmpl w:val="32AC590E"/>
    <w:lvl w:ilvl="0" w:tplc="E9E481D4">
      <w:start w:val="1"/>
      <w:numFmt w:val="lowerLetter"/>
      <w:lvlText w:val="%1."/>
      <w:lvlJc w:val="left"/>
      <w:pPr>
        <w:ind w:left="720" w:hanging="360"/>
      </w:pPr>
      <w:rPr>
        <w:rFonts w:ascii="Calibri" w:hAnsi="Calibri" w:hint="default"/>
      </w:rPr>
    </w:lvl>
    <w:lvl w:ilvl="1" w:tplc="A2FAB892">
      <w:start w:val="1"/>
      <w:numFmt w:val="lowerLetter"/>
      <w:lvlText w:val="%2."/>
      <w:lvlJc w:val="left"/>
      <w:pPr>
        <w:ind w:left="1440" w:hanging="360"/>
      </w:pPr>
    </w:lvl>
    <w:lvl w:ilvl="2" w:tplc="52449520">
      <w:start w:val="1"/>
      <w:numFmt w:val="lowerRoman"/>
      <w:lvlText w:val="%3."/>
      <w:lvlJc w:val="right"/>
      <w:pPr>
        <w:ind w:left="2160" w:hanging="180"/>
      </w:pPr>
    </w:lvl>
    <w:lvl w:ilvl="3" w:tplc="56B2857C">
      <w:start w:val="1"/>
      <w:numFmt w:val="decimal"/>
      <w:lvlText w:val="%4."/>
      <w:lvlJc w:val="left"/>
      <w:pPr>
        <w:ind w:left="2880" w:hanging="360"/>
      </w:pPr>
    </w:lvl>
    <w:lvl w:ilvl="4" w:tplc="448615A4">
      <w:start w:val="1"/>
      <w:numFmt w:val="lowerLetter"/>
      <w:lvlText w:val="%5."/>
      <w:lvlJc w:val="left"/>
      <w:pPr>
        <w:ind w:left="3600" w:hanging="360"/>
      </w:pPr>
    </w:lvl>
    <w:lvl w:ilvl="5" w:tplc="89BA4FD2">
      <w:start w:val="1"/>
      <w:numFmt w:val="lowerRoman"/>
      <w:lvlText w:val="%6."/>
      <w:lvlJc w:val="right"/>
      <w:pPr>
        <w:ind w:left="4320" w:hanging="180"/>
      </w:pPr>
    </w:lvl>
    <w:lvl w:ilvl="6" w:tplc="A44A4EEC">
      <w:start w:val="1"/>
      <w:numFmt w:val="decimal"/>
      <w:lvlText w:val="%7."/>
      <w:lvlJc w:val="left"/>
      <w:pPr>
        <w:ind w:left="5040" w:hanging="360"/>
      </w:pPr>
    </w:lvl>
    <w:lvl w:ilvl="7" w:tplc="4544AF6A">
      <w:start w:val="1"/>
      <w:numFmt w:val="lowerLetter"/>
      <w:lvlText w:val="%8."/>
      <w:lvlJc w:val="left"/>
      <w:pPr>
        <w:ind w:left="5760" w:hanging="360"/>
      </w:pPr>
    </w:lvl>
    <w:lvl w:ilvl="8" w:tplc="21A635C2">
      <w:start w:val="1"/>
      <w:numFmt w:val="lowerRoman"/>
      <w:lvlText w:val="%9."/>
      <w:lvlJc w:val="right"/>
      <w:pPr>
        <w:ind w:left="6480" w:hanging="180"/>
      </w:pPr>
    </w:lvl>
  </w:abstractNum>
  <w:abstractNum w:abstractNumId="285" w15:restartNumberingAfterBreak="0">
    <w:nsid w:val="3DD437B4"/>
    <w:multiLevelType w:val="hybridMultilevel"/>
    <w:tmpl w:val="5C7C6F88"/>
    <w:lvl w:ilvl="0" w:tplc="4AD2BB94">
      <w:start w:val="1"/>
      <w:numFmt w:val="decimal"/>
      <w:pStyle w:val="Normalnumbered"/>
      <w:lvlText w:val="A%1."/>
      <w:lvlJc w:val="left"/>
      <w:pPr>
        <w:ind w:left="567" w:hanging="567"/>
      </w:pPr>
      <w:rPr>
        <w:rFonts w:ascii="Calibri" w:hAnsi="Calibri" w:hint="default"/>
      </w:rPr>
    </w:lvl>
    <w:lvl w:ilvl="1" w:tplc="C8226EDA">
      <w:start w:val="1"/>
      <w:numFmt w:val="lowerLetter"/>
      <w:lvlText w:val="%2."/>
      <w:lvlJc w:val="left"/>
      <w:pPr>
        <w:ind w:left="1080" w:hanging="360"/>
      </w:pPr>
    </w:lvl>
    <w:lvl w:ilvl="2" w:tplc="0958CB88">
      <w:start w:val="1"/>
      <w:numFmt w:val="lowerRoman"/>
      <w:lvlText w:val="%3."/>
      <w:lvlJc w:val="right"/>
      <w:pPr>
        <w:ind w:left="1800" w:hanging="180"/>
      </w:pPr>
    </w:lvl>
    <w:lvl w:ilvl="3" w:tplc="A5A4201C">
      <w:start w:val="1"/>
      <w:numFmt w:val="decimal"/>
      <w:lvlText w:val="%4."/>
      <w:lvlJc w:val="left"/>
      <w:pPr>
        <w:ind w:left="2520" w:hanging="360"/>
      </w:pPr>
    </w:lvl>
    <w:lvl w:ilvl="4" w:tplc="23189244">
      <w:start w:val="1"/>
      <w:numFmt w:val="lowerLetter"/>
      <w:lvlText w:val="%5."/>
      <w:lvlJc w:val="left"/>
      <w:pPr>
        <w:ind w:left="4680" w:hanging="360"/>
      </w:pPr>
    </w:lvl>
    <w:lvl w:ilvl="5" w:tplc="D996E51C">
      <w:start w:val="1"/>
      <w:numFmt w:val="lowerRoman"/>
      <w:lvlText w:val="%6."/>
      <w:lvlJc w:val="right"/>
      <w:pPr>
        <w:ind w:left="5400" w:hanging="360"/>
      </w:pPr>
    </w:lvl>
    <w:lvl w:ilvl="6" w:tplc="0F6A99EE">
      <w:start w:val="1"/>
      <w:numFmt w:val="decimal"/>
      <w:lvlText w:val="%7."/>
      <w:lvlJc w:val="left"/>
      <w:pPr>
        <w:ind w:left="4680" w:hanging="360"/>
      </w:pPr>
    </w:lvl>
    <w:lvl w:ilvl="7" w:tplc="EBAE1808">
      <w:start w:val="1"/>
      <w:numFmt w:val="lowerLetter"/>
      <w:lvlText w:val="%8."/>
      <w:lvlJc w:val="left"/>
      <w:pPr>
        <w:ind w:left="5400" w:hanging="360"/>
      </w:pPr>
    </w:lvl>
    <w:lvl w:ilvl="8" w:tplc="52FCFDA0">
      <w:start w:val="1"/>
      <w:numFmt w:val="lowerRoman"/>
      <w:lvlText w:val="%9."/>
      <w:lvlJc w:val="right"/>
      <w:pPr>
        <w:ind w:left="6120" w:hanging="180"/>
      </w:pPr>
    </w:lvl>
  </w:abstractNum>
  <w:abstractNum w:abstractNumId="286" w15:restartNumberingAfterBreak="0">
    <w:nsid w:val="3DE37057"/>
    <w:multiLevelType w:val="hybridMultilevel"/>
    <w:tmpl w:val="20329A8E"/>
    <w:lvl w:ilvl="0" w:tplc="A45A7886">
      <w:start w:val="1"/>
      <w:numFmt w:val="lowerLetter"/>
      <w:lvlText w:val="%1."/>
      <w:lvlJc w:val="left"/>
      <w:pPr>
        <w:ind w:left="1103" w:hanging="360"/>
      </w:pPr>
      <w:rPr>
        <w:rFonts w:ascii="Corbel" w:eastAsia="Corbel" w:hAnsi="Corbel" w:cs="Corbel" w:hint="default"/>
        <w:b w:val="0"/>
        <w:bCs w:val="0"/>
        <w:i w:val="0"/>
        <w:iCs w:val="0"/>
        <w:spacing w:val="-1"/>
        <w:w w:val="100"/>
        <w:sz w:val="24"/>
        <w:szCs w:val="24"/>
        <w:lang w:val="en-US" w:eastAsia="en-US" w:bidi="ar-SA"/>
      </w:rPr>
    </w:lvl>
    <w:lvl w:ilvl="1" w:tplc="3DAC410C">
      <w:numFmt w:val="bullet"/>
      <w:lvlText w:val="•"/>
      <w:lvlJc w:val="left"/>
      <w:pPr>
        <w:ind w:left="1897" w:hanging="360"/>
      </w:pPr>
      <w:rPr>
        <w:rFonts w:hint="default"/>
        <w:lang w:val="en-US" w:eastAsia="en-US" w:bidi="ar-SA"/>
      </w:rPr>
    </w:lvl>
    <w:lvl w:ilvl="2" w:tplc="F6F48640">
      <w:numFmt w:val="bullet"/>
      <w:lvlText w:val="•"/>
      <w:lvlJc w:val="left"/>
      <w:pPr>
        <w:ind w:left="2694" w:hanging="360"/>
      </w:pPr>
      <w:rPr>
        <w:rFonts w:hint="default"/>
        <w:lang w:val="en-US" w:eastAsia="en-US" w:bidi="ar-SA"/>
      </w:rPr>
    </w:lvl>
    <w:lvl w:ilvl="3" w:tplc="D17AF3D2">
      <w:numFmt w:val="bullet"/>
      <w:lvlText w:val="•"/>
      <w:lvlJc w:val="left"/>
      <w:pPr>
        <w:ind w:left="3491" w:hanging="360"/>
      </w:pPr>
      <w:rPr>
        <w:rFonts w:hint="default"/>
        <w:lang w:val="en-US" w:eastAsia="en-US" w:bidi="ar-SA"/>
      </w:rPr>
    </w:lvl>
    <w:lvl w:ilvl="4" w:tplc="88D6245A">
      <w:numFmt w:val="bullet"/>
      <w:lvlText w:val="•"/>
      <w:lvlJc w:val="left"/>
      <w:pPr>
        <w:ind w:left="4288" w:hanging="360"/>
      </w:pPr>
      <w:rPr>
        <w:rFonts w:hint="default"/>
        <w:lang w:val="en-US" w:eastAsia="en-US" w:bidi="ar-SA"/>
      </w:rPr>
    </w:lvl>
    <w:lvl w:ilvl="5" w:tplc="02D627BE">
      <w:numFmt w:val="bullet"/>
      <w:lvlText w:val="•"/>
      <w:lvlJc w:val="left"/>
      <w:pPr>
        <w:ind w:left="5086" w:hanging="360"/>
      </w:pPr>
      <w:rPr>
        <w:rFonts w:hint="default"/>
        <w:lang w:val="en-US" w:eastAsia="en-US" w:bidi="ar-SA"/>
      </w:rPr>
    </w:lvl>
    <w:lvl w:ilvl="6" w:tplc="2F60DD36">
      <w:numFmt w:val="bullet"/>
      <w:lvlText w:val="•"/>
      <w:lvlJc w:val="left"/>
      <w:pPr>
        <w:ind w:left="5883" w:hanging="360"/>
      </w:pPr>
      <w:rPr>
        <w:rFonts w:hint="default"/>
        <w:lang w:val="en-US" w:eastAsia="en-US" w:bidi="ar-SA"/>
      </w:rPr>
    </w:lvl>
    <w:lvl w:ilvl="7" w:tplc="D90427D8">
      <w:numFmt w:val="bullet"/>
      <w:lvlText w:val="•"/>
      <w:lvlJc w:val="left"/>
      <w:pPr>
        <w:ind w:left="6680" w:hanging="360"/>
      </w:pPr>
      <w:rPr>
        <w:rFonts w:hint="default"/>
        <w:lang w:val="en-US" w:eastAsia="en-US" w:bidi="ar-SA"/>
      </w:rPr>
    </w:lvl>
    <w:lvl w:ilvl="8" w:tplc="102E3392">
      <w:numFmt w:val="bullet"/>
      <w:lvlText w:val="•"/>
      <w:lvlJc w:val="left"/>
      <w:pPr>
        <w:ind w:left="7477" w:hanging="360"/>
      </w:pPr>
      <w:rPr>
        <w:rFonts w:hint="default"/>
        <w:lang w:val="en-US" w:eastAsia="en-US" w:bidi="ar-SA"/>
      </w:rPr>
    </w:lvl>
  </w:abstractNum>
  <w:abstractNum w:abstractNumId="287" w15:restartNumberingAfterBreak="0">
    <w:nsid w:val="3E04633A"/>
    <w:multiLevelType w:val="multilevel"/>
    <w:tmpl w:val="D812A814"/>
    <w:numStyleLink w:val="SchF"/>
  </w:abstractNum>
  <w:abstractNum w:abstractNumId="288" w15:restartNumberingAfterBreak="0">
    <w:nsid w:val="3E8B2300"/>
    <w:multiLevelType w:val="multilevel"/>
    <w:tmpl w:val="44D8870E"/>
    <w:numStyleLink w:val="SchJ"/>
  </w:abstractNum>
  <w:abstractNum w:abstractNumId="289" w15:restartNumberingAfterBreak="0">
    <w:nsid w:val="3EDF4208"/>
    <w:multiLevelType w:val="multilevel"/>
    <w:tmpl w:val="23D028A2"/>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90" w15:restartNumberingAfterBreak="0">
    <w:nsid w:val="3EF8630F"/>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91" w15:restartNumberingAfterBreak="0">
    <w:nsid w:val="3FD337D5"/>
    <w:multiLevelType w:val="hybridMultilevel"/>
    <w:tmpl w:val="2C2E51F2"/>
    <w:lvl w:ilvl="0" w:tplc="200CADAE">
      <w:start w:val="1"/>
      <w:numFmt w:val="lowerLetter"/>
      <w:lvlText w:val="%1."/>
      <w:lvlJc w:val="left"/>
      <w:pPr>
        <w:ind w:left="1103" w:hanging="360"/>
      </w:pPr>
      <w:rPr>
        <w:rFonts w:ascii="Book Antiqua" w:eastAsia="Book Antiqua" w:hAnsi="Book Antiqua" w:cs="Book Antiqua" w:hint="default"/>
        <w:b w:val="0"/>
        <w:bCs w:val="0"/>
        <w:i w:val="0"/>
        <w:iCs w:val="0"/>
        <w:spacing w:val="0"/>
        <w:w w:val="100"/>
        <w:sz w:val="24"/>
        <w:szCs w:val="24"/>
        <w:lang w:val="en-US" w:eastAsia="en-US" w:bidi="ar-SA"/>
      </w:rPr>
    </w:lvl>
    <w:lvl w:ilvl="1" w:tplc="9CA4BF12">
      <w:numFmt w:val="bullet"/>
      <w:lvlText w:val="•"/>
      <w:lvlJc w:val="left"/>
      <w:pPr>
        <w:ind w:left="1897" w:hanging="360"/>
      </w:pPr>
      <w:rPr>
        <w:rFonts w:hint="default"/>
        <w:lang w:val="en-US" w:eastAsia="en-US" w:bidi="ar-SA"/>
      </w:rPr>
    </w:lvl>
    <w:lvl w:ilvl="2" w:tplc="9E467022">
      <w:numFmt w:val="bullet"/>
      <w:lvlText w:val="•"/>
      <w:lvlJc w:val="left"/>
      <w:pPr>
        <w:ind w:left="2694" w:hanging="360"/>
      </w:pPr>
      <w:rPr>
        <w:rFonts w:hint="default"/>
        <w:lang w:val="en-US" w:eastAsia="en-US" w:bidi="ar-SA"/>
      </w:rPr>
    </w:lvl>
    <w:lvl w:ilvl="3" w:tplc="631EEA8A">
      <w:numFmt w:val="bullet"/>
      <w:lvlText w:val="•"/>
      <w:lvlJc w:val="left"/>
      <w:pPr>
        <w:ind w:left="3491" w:hanging="360"/>
      </w:pPr>
      <w:rPr>
        <w:rFonts w:hint="default"/>
        <w:lang w:val="en-US" w:eastAsia="en-US" w:bidi="ar-SA"/>
      </w:rPr>
    </w:lvl>
    <w:lvl w:ilvl="4" w:tplc="336E91F4">
      <w:numFmt w:val="bullet"/>
      <w:lvlText w:val="•"/>
      <w:lvlJc w:val="left"/>
      <w:pPr>
        <w:ind w:left="4288" w:hanging="360"/>
      </w:pPr>
      <w:rPr>
        <w:rFonts w:hint="default"/>
        <w:lang w:val="en-US" w:eastAsia="en-US" w:bidi="ar-SA"/>
      </w:rPr>
    </w:lvl>
    <w:lvl w:ilvl="5" w:tplc="C494DE6A">
      <w:numFmt w:val="bullet"/>
      <w:lvlText w:val="•"/>
      <w:lvlJc w:val="left"/>
      <w:pPr>
        <w:ind w:left="5086" w:hanging="360"/>
      </w:pPr>
      <w:rPr>
        <w:rFonts w:hint="default"/>
        <w:lang w:val="en-US" w:eastAsia="en-US" w:bidi="ar-SA"/>
      </w:rPr>
    </w:lvl>
    <w:lvl w:ilvl="6" w:tplc="2098E3F6">
      <w:numFmt w:val="bullet"/>
      <w:lvlText w:val="•"/>
      <w:lvlJc w:val="left"/>
      <w:pPr>
        <w:ind w:left="5883" w:hanging="360"/>
      </w:pPr>
      <w:rPr>
        <w:rFonts w:hint="default"/>
        <w:lang w:val="en-US" w:eastAsia="en-US" w:bidi="ar-SA"/>
      </w:rPr>
    </w:lvl>
    <w:lvl w:ilvl="7" w:tplc="FAE26394">
      <w:numFmt w:val="bullet"/>
      <w:lvlText w:val="•"/>
      <w:lvlJc w:val="left"/>
      <w:pPr>
        <w:ind w:left="6680" w:hanging="360"/>
      </w:pPr>
      <w:rPr>
        <w:rFonts w:hint="default"/>
        <w:lang w:val="en-US" w:eastAsia="en-US" w:bidi="ar-SA"/>
      </w:rPr>
    </w:lvl>
    <w:lvl w:ilvl="8" w:tplc="AD0E9A98">
      <w:numFmt w:val="bullet"/>
      <w:lvlText w:val="•"/>
      <w:lvlJc w:val="left"/>
      <w:pPr>
        <w:ind w:left="7477" w:hanging="360"/>
      </w:pPr>
      <w:rPr>
        <w:rFonts w:hint="default"/>
        <w:lang w:val="en-US" w:eastAsia="en-US" w:bidi="ar-SA"/>
      </w:rPr>
    </w:lvl>
  </w:abstractNum>
  <w:abstractNum w:abstractNumId="292" w15:restartNumberingAfterBreak="0">
    <w:nsid w:val="40401F99"/>
    <w:multiLevelType w:val="multilevel"/>
    <w:tmpl w:val="B55C38CE"/>
    <w:numStyleLink w:val="SchB"/>
  </w:abstractNum>
  <w:abstractNum w:abstractNumId="293" w15:restartNumberingAfterBreak="0">
    <w:nsid w:val="404F5A59"/>
    <w:multiLevelType w:val="multilevel"/>
    <w:tmpl w:val="FA006918"/>
    <w:numStyleLink w:val="SchA"/>
  </w:abstractNum>
  <w:abstractNum w:abstractNumId="294" w15:restartNumberingAfterBreak="0">
    <w:nsid w:val="40AAB0A4"/>
    <w:multiLevelType w:val="hybridMultilevel"/>
    <w:tmpl w:val="FC32B90C"/>
    <w:lvl w:ilvl="0" w:tplc="FD3C7A3C">
      <w:start w:val="1"/>
      <w:numFmt w:val="decimal"/>
      <w:lvlText w:val="%1."/>
      <w:lvlJc w:val="left"/>
      <w:pPr>
        <w:ind w:left="720" w:hanging="360"/>
      </w:pPr>
    </w:lvl>
    <w:lvl w:ilvl="1" w:tplc="A4FCC814">
      <w:start w:val="1"/>
      <w:numFmt w:val="lowerLetter"/>
      <w:lvlText w:val="%2."/>
      <w:lvlJc w:val="left"/>
      <w:pPr>
        <w:ind w:left="1080" w:hanging="360"/>
      </w:pPr>
      <w:rPr>
        <w:rFonts w:ascii="Calibri" w:hAnsi="Calibri" w:cs="Calibri" w:hint="default"/>
      </w:rPr>
    </w:lvl>
    <w:lvl w:ilvl="2" w:tplc="08B4540A">
      <w:start w:val="1"/>
      <w:numFmt w:val="lowerRoman"/>
      <w:lvlText w:val="%3."/>
      <w:lvlJc w:val="right"/>
      <w:pPr>
        <w:ind w:left="2160" w:hanging="180"/>
      </w:pPr>
    </w:lvl>
    <w:lvl w:ilvl="3" w:tplc="9F400996">
      <w:start w:val="1"/>
      <w:numFmt w:val="decimal"/>
      <w:lvlText w:val="%4."/>
      <w:lvlJc w:val="left"/>
      <w:pPr>
        <w:ind w:left="2880" w:hanging="360"/>
      </w:pPr>
    </w:lvl>
    <w:lvl w:ilvl="4" w:tplc="0E0072E8">
      <w:start w:val="1"/>
      <w:numFmt w:val="lowerLetter"/>
      <w:lvlText w:val="%5."/>
      <w:lvlJc w:val="left"/>
      <w:pPr>
        <w:ind w:left="3600" w:hanging="360"/>
      </w:pPr>
    </w:lvl>
    <w:lvl w:ilvl="5" w:tplc="92D47BF8">
      <w:start w:val="1"/>
      <w:numFmt w:val="lowerRoman"/>
      <w:lvlText w:val="%6."/>
      <w:lvlJc w:val="right"/>
      <w:pPr>
        <w:ind w:left="4320" w:hanging="180"/>
      </w:pPr>
    </w:lvl>
    <w:lvl w:ilvl="6" w:tplc="373EC04C">
      <w:start w:val="1"/>
      <w:numFmt w:val="decimal"/>
      <w:lvlText w:val="%7."/>
      <w:lvlJc w:val="left"/>
      <w:pPr>
        <w:ind w:left="5040" w:hanging="360"/>
      </w:pPr>
    </w:lvl>
    <w:lvl w:ilvl="7" w:tplc="A5BC98BA">
      <w:start w:val="1"/>
      <w:numFmt w:val="lowerLetter"/>
      <w:lvlText w:val="%8."/>
      <w:lvlJc w:val="left"/>
      <w:pPr>
        <w:ind w:left="5760" w:hanging="360"/>
      </w:pPr>
    </w:lvl>
    <w:lvl w:ilvl="8" w:tplc="C21C1CA8">
      <w:start w:val="1"/>
      <w:numFmt w:val="lowerRoman"/>
      <w:lvlText w:val="%9."/>
      <w:lvlJc w:val="right"/>
      <w:pPr>
        <w:ind w:left="6480" w:hanging="180"/>
      </w:pPr>
    </w:lvl>
  </w:abstractNum>
  <w:abstractNum w:abstractNumId="295" w15:restartNumberingAfterBreak="0">
    <w:nsid w:val="40C45809"/>
    <w:multiLevelType w:val="multilevel"/>
    <w:tmpl w:val="FA006918"/>
    <w:numStyleLink w:val="SchA"/>
  </w:abstractNum>
  <w:abstractNum w:abstractNumId="296" w15:restartNumberingAfterBreak="0">
    <w:nsid w:val="40D606AA"/>
    <w:multiLevelType w:val="multilevel"/>
    <w:tmpl w:val="EE025996"/>
    <w:styleLink w:val="Appendix"/>
    <w:lvl w:ilvl="0">
      <w:start w:val="1"/>
      <w:numFmt w:val="upperLetter"/>
      <w:lvlText w:val="%1."/>
      <w:lvlJc w:val="left"/>
      <w:pPr>
        <w:ind w:left="709" w:hanging="709"/>
      </w:pPr>
      <w:rPr>
        <w:rFonts w:ascii="Calibri" w:hAnsi="Calibri" w:hint="default"/>
        <w:b w:val="0"/>
        <w:i w:val="0"/>
        <w:sz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7" w15:restartNumberingAfterBreak="0">
    <w:nsid w:val="40E60188"/>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98" w15:restartNumberingAfterBreak="0">
    <w:nsid w:val="40F83BA3"/>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99" w15:restartNumberingAfterBreak="0">
    <w:nsid w:val="4137128B"/>
    <w:multiLevelType w:val="multilevel"/>
    <w:tmpl w:val="FA006918"/>
    <w:numStyleLink w:val="SchA"/>
  </w:abstractNum>
  <w:abstractNum w:abstractNumId="300" w15:restartNumberingAfterBreak="0">
    <w:nsid w:val="4161755A"/>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01" w15:restartNumberingAfterBreak="0">
    <w:nsid w:val="41A51C28"/>
    <w:multiLevelType w:val="multilevel"/>
    <w:tmpl w:val="05E69A80"/>
    <w:numStyleLink w:val="SchI"/>
  </w:abstractNum>
  <w:abstractNum w:abstractNumId="302" w15:restartNumberingAfterBreak="0">
    <w:nsid w:val="41FA4D28"/>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03" w15:restartNumberingAfterBreak="0">
    <w:nsid w:val="42353E13"/>
    <w:multiLevelType w:val="hybridMultilevel"/>
    <w:tmpl w:val="E142508E"/>
    <w:lvl w:ilvl="0" w:tplc="CD7E09EE">
      <w:start w:val="1"/>
      <w:numFmt w:val="lowerLetter"/>
      <w:lvlText w:val="%1."/>
      <w:lvlJc w:val="left"/>
      <w:pPr>
        <w:ind w:left="144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4" w15:restartNumberingAfterBreak="0">
    <w:nsid w:val="42805BB1"/>
    <w:multiLevelType w:val="hybridMultilevel"/>
    <w:tmpl w:val="E25A136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5" w15:restartNumberingAfterBreak="0">
    <w:nsid w:val="42935139"/>
    <w:multiLevelType w:val="multilevel"/>
    <w:tmpl w:val="2196E198"/>
    <w:lvl w:ilvl="0">
      <w:start w:val="6"/>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hint="default"/>
        <w:sz w:val="24"/>
        <w:szCs w:val="24"/>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06" w15:restartNumberingAfterBreak="0">
    <w:nsid w:val="42B61380"/>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07" w15:restartNumberingAfterBreak="0">
    <w:nsid w:val="43013C60"/>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08" w15:restartNumberingAfterBreak="0">
    <w:nsid w:val="43444889"/>
    <w:multiLevelType w:val="multilevel"/>
    <w:tmpl w:val="025E1700"/>
    <w:lvl w:ilvl="0">
      <w:start w:val="1"/>
      <w:numFmt w:val="decimal"/>
      <w:lvlText w:val="%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09" w15:restartNumberingAfterBreak="0">
    <w:nsid w:val="43C05DB8"/>
    <w:multiLevelType w:val="multilevel"/>
    <w:tmpl w:val="73226B68"/>
    <w:styleLink w:val="Style21"/>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10" w15:restartNumberingAfterBreak="0">
    <w:nsid w:val="43C21C12"/>
    <w:multiLevelType w:val="multilevel"/>
    <w:tmpl w:val="44D8870E"/>
    <w:numStyleLink w:val="SchJ"/>
  </w:abstractNum>
  <w:abstractNum w:abstractNumId="311" w15:restartNumberingAfterBreak="0">
    <w:nsid w:val="43DD4A53"/>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12" w15:restartNumberingAfterBreak="0">
    <w:nsid w:val="441110BA"/>
    <w:multiLevelType w:val="multilevel"/>
    <w:tmpl w:val="6C16FA6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13" w15:restartNumberingAfterBreak="0">
    <w:nsid w:val="44570205"/>
    <w:multiLevelType w:val="multilevel"/>
    <w:tmpl w:val="EE1EADE2"/>
    <w:numStyleLink w:val="SchD"/>
  </w:abstractNum>
  <w:abstractNum w:abstractNumId="314" w15:restartNumberingAfterBreak="0">
    <w:nsid w:val="449372B0"/>
    <w:multiLevelType w:val="multilevel"/>
    <w:tmpl w:val="C86A375C"/>
    <w:numStyleLink w:val="SchH"/>
  </w:abstractNum>
  <w:abstractNum w:abstractNumId="315" w15:restartNumberingAfterBreak="0">
    <w:nsid w:val="44C16C86"/>
    <w:multiLevelType w:val="multilevel"/>
    <w:tmpl w:val="524A469C"/>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1210"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927"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16" w15:restartNumberingAfterBreak="0">
    <w:nsid w:val="44C6294A"/>
    <w:multiLevelType w:val="multilevel"/>
    <w:tmpl w:val="7EA0589E"/>
    <w:lvl w:ilvl="0">
      <w:start w:val="1"/>
      <w:numFmt w:val="decimal"/>
      <w:lvlText w:val="A%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17" w15:restartNumberingAfterBreak="0">
    <w:nsid w:val="4542313E"/>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18" w15:restartNumberingAfterBreak="0">
    <w:nsid w:val="45797B81"/>
    <w:multiLevelType w:val="multilevel"/>
    <w:tmpl w:val="B55C38CE"/>
    <w:numStyleLink w:val="SchB"/>
  </w:abstractNum>
  <w:abstractNum w:abstractNumId="319" w15:restartNumberingAfterBreak="0">
    <w:nsid w:val="45825231"/>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20" w15:restartNumberingAfterBreak="0">
    <w:nsid w:val="45C42C0E"/>
    <w:multiLevelType w:val="hybridMultilevel"/>
    <w:tmpl w:val="E142508E"/>
    <w:lvl w:ilvl="0" w:tplc="FFFFFFFF">
      <w:start w:val="1"/>
      <w:numFmt w:val="lowerLetter"/>
      <w:lvlText w:val="%1."/>
      <w:lvlJc w:val="left"/>
      <w:pPr>
        <w:ind w:left="144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1" w15:restartNumberingAfterBreak="0">
    <w:nsid w:val="45E80AE1"/>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22" w15:restartNumberingAfterBreak="0">
    <w:nsid w:val="45FE7166"/>
    <w:multiLevelType w:val="multilevel"/>
    <w:tmpl w:val="FA006918"/>
    <w:numStyleLink w:val="SchA"/>
  </w:abstractNum>
  <w:abstractNum w:abstractNumId="323" w15:restartNumberingAfterBreak="0">
    <w:nsid w:val="46322C65"/>
    <w:multiLevelType w:val="multilevel"/>
    <w:tmpl w:val="FA006918"/>
    <w:numStyleLink w:val="SchA"/>
  </w:abstractNum>
  <w:abstractNum w:abstractNumId="324" w15:restartNumberingAfterBreak="0">
    <w:nsid w:val="46520408"/>
    <w:multiLevelType w:val="multilevel"/>
    <w:tmpl w:val="2196E198"/>
    <w:lvl w:ilvl="0">
      <w:start w:val="6"/>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hint="default"/>
        <w:sz w:val="24"/>
        <w:szCs w:val="24"/>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25" w15:restartNumberingAfterBreak="0">
    <w:nsid w:val="47176F99"/>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26" w15:restartNumberingAfterBreak="0">
    <w:nsid w:val="4774783B"/>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27" w15:restartNumberingAfterBreak="0">
    <w:nsid w:val="47A07CE6"/>
    <w:multiLevelType w:val="multilevel"/>
    <w:tmpl w:val="05E69A80"/>
    <w:numStyleLink w:val="SchI"/>
  </w:abstractNum>
  <w:abstractNum w:abstractNumId="328" w15:restartNumberingAfterBreak="0">
    <w:nsid w:val="47B93BFC"/>
    <w:multiLevelType w:val="multilevel"/>
    <w:tmpl w:val="6C16FA6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29" w15:restartNumberingAfterBreak="0">
    <w:nsid w:val="47C8172C"/>
    <w:multiLevelType w:val="multilevel"/>
    <w:tmpl w:val="C86A375C"/>
    <w:numStyleLink w:val="SchH"/>
  </w:abstractNum>
  <w:abstractNum w:abstractNumId="330" w15:restartNumberingAfterBreak="0">
    <w:nsid w:val="47D74711"/>
    <w:multiLevelType w:val="multilevel"/>
    <w:tmpl w:val="05E69A80"/>
    <w:numStyleLink w:val="SchI"/>
  </w:abstractNum>
  <w:abstractNum w:abstractNumId="331" w15:restartNumberingAfterBreak="0">
    <w:nsid w:val="48037198"/>
    <w:multiLevelType w:val="multilevel"/>
    <w:tmpl w:val="FA006918"/>
    <w:numStyleLink w:val="SchA"/>
  </w:abstractNum>
  <w:abstractNum w:abstractNumId="332" w15:restartNumberingAfterBreak="0">
    <w:nsid w:val="480C462D"/>
    <w:multiLevelType w:val="multilevel"/>
    <w:tmpl w:val="EE1EADE2"/>
    <w:styleLink w:val="SchD"/>
    <w:lvl w:ilvl="0">
      <w:start w:val="1"/>
      <w:numFmt w:val="decimal"/>
      <w:lvlText w:val="D%1."/>
      <w:lvlJc w:val="left"/>
      <w:pPr>
        <w:ind w:left="709" w:hanging="709"/>
      </w:pPr>
      <w:rPr>
        <w:rFonts w:ascii="Calibri" w:hAnsi="Calibri" w:hint="default"/>
        <w:b w:val="0"/>
        <w:i w:val="0"/>
        <w:sz w:val="24"/>
        <w:szCs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cs="Times New Roman" w:hint="default"/>
        <w:b w:val="0"/>
        <w:i w:val="0"/>
        <w:sz w:val="24"/>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33" w15:restartNumberingAfterBreak="0">
    <w:nsid w:val="480D68C7"/>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34" w15:restartNumberingAfterBreak="0">
    <w:nsid w:val="485352B5"/>
    <w:multiLevelType w:val="multilevel"/>
    <w:tmpl w:val="7EA0589E"/>
    <w:lvl w:ilvl="0">
      <w:start w:val="1"/>
      <w:numFmt w:val="decimal"/>
      <w:lvlText w:val="A%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35" w15:restartNumberingAfterBreak="0">
    <w:nsid w:val="49800A81"/>
    <w:multiLevelType w:val="multilevel"/>
    <w:tmpl w:val="6C16FA6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36" w15:restartNumberingAfterBreak="0">
    <w:nsid w:val="4985372C"/>
    <w:multiLevelType w:val="multilevel"/>
    <w:tmpl w:val="05E69A80"/>
    <w:numStyleLink w:val="SchI"/>
  </w:abstractNum>
  <w:abstractNum w:abstractNumId="337" w15:restartNumberingAfterBreak="0">
    <w:nsid w:val="498B2A1B"/>
    <w:multiLevelType w:val="multilevel"/>
    <w:tmpl w:val="2196E198"/>
    <w:lvl w:ilvl="0">
      <w:start w:val="6"/>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hint="default"/>
        <w:sz w:val="24"/>
        <w:szCs w:val="24"/>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38" w15:restartNumberingAfterBreak="0">
    <w:nsid w:val="4A9E52C4"/>
    <w:multiLevelType w:val="multilevel"/>
    <w:tmpl w:val="FA006918"/>
    <w:numStyleLink w:val="SchA"/>
  </w:abstractNum>
  <w:abstractNum w:abstractNumId="339" w15:restartNumberingAfterBreak="0">
    <w:nsid w:val="4B5542AD"/>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40" w15:restartNumberingAfterBreak="0">
    <w:nsid w:val="4B780A39"/>
    <w:multiLevelType w:val="multilevel"/>
    <w:tmpl w:val="44D8870E"/>
    <w:numStyleLink w:val="SchJ"/>
  </w:abstractNum>
  <w:abstractNum w:abstractNumId="341" w15:restartNumberingAfterBreak="0">
    <w:nsid w:val="4BF54DDA"/>
    <w:multiLevelType w:val="multilevel"/>
    <w:tmpl w:val="FA006918"/>
    <w:numStyleLink w:val="SchA"/>
  </w:abstractNum>
  <w:abstractNum w:abstractNumId="342" w15:restartNumberingAfterBreak="0">
    <w:nsid w:val="4C132C2A"/>
    <w:multiLevelType w:val="hybridMultilevel"/>
    <w:tmpl w:val="077C5DE0"/>
    <w:lvl w:ilvl="0" w:tplc="D0666524">
      <w:start w:val="1"/>
      <w:numFmt w:val="decimal"/>
      <w:lvlText w:val="%1."/>
      <w:lvlJc w:val="left"/>
      <w:pPr>
        <w:ind w:left="720" w:hanging="360"/>
      </w:pPr>
    </w:lvl>
    <w:lvl w:ilvl="1" w:tplc="E6284CCC">
      <w:start w:val="1"/>
      <w:numFmt w:val="lowerRoman"/>
      <w:lvlText w:val="%2."/>
      <w:lvlJc w:val="right"/>
      <w:pPr>
        <w:ind w:left="1800" w:hanging="360"/>
      </w:pPr>
      <w:rPr>
        <w:rFonts w:ascii="Calibri" w:hAnsi="Calibri" w:cs="Calibri" w:hint="default"/>
      </w:rPr>
    </w:lvl>
    <w:lvl w:ilvl="2" w:tplc="559E105A">
      <w:start w:val="1"/>
      <w:numFmt w:val="lowerRoman"/>
      <w:lvlText w:val="%3."/>
      <w:lvlJc w:val="right"/>
      <w:pPr>
        <w:ind w:left="2160" w:hanging="180"/>
      </w:pPr>
    </w:lvl>
    <w:lvl w:ilvl="3" w:tplc="CF0CA562">
      <w:start w:val="1"/>
      <w:numFmt w:val="decimal"/>
      <w:lvlText w:val="%4."/>
      <w:lvlJc w:val="left"/>
      <w:pPr>
        <w:ind w:left="2880" w:hanging="360"/>
      </w:pPr>
    </w:lvl>
    <w:lvl w:ilvl="4" w:tplc="370AF0EC">
      <w:start w:val="1"/>
      <w:numFmt w:val="lowerLetter"/>
      <w:lvlText w:val="%5."/>
      <w:lvlJc w:val="left"/>
      <w:pPr>
        <w:ind w:left="3600" w:hanging="360"/>
      </w:pPr>
    </w:lvl>
    <w:lvl w:ilvl="5" w:tplc="3A68244E">
      <w:start w:val="1"/>
      <w:numFmt w:val="lowerRoman"/>
      <w:lvlText w:val="%6."/>
      <w:lvlJc w:val="right"/>
      <w:pPr>
        <w:ind w:left="4320" w:hanging="180"/>
      </w:pPr>
    </w:lvl>
    <w:lvl w:ilvl="6" w:tplc="4510C4DE">
      <w:start w:val="1"/>
      <w:numFmt w:val="decimal"/>
      <w:lvlText w:val="%7."/>
      <w:lvlJc w:val="left"/>
      <w:pPr>
        <w:ind w:left="5040" w:hanging="360"/>
      </w:pPr>
    </w:lvl>
    <w:lvl w:ilvl="7" w:tplc="21308236">
      <w:start w:val="1"/>
      <w:numFmt w:val="lowerLetter"/>
      <w:lvlText w:val="%8."/>
      <w:lvlJc w:val="left"/>
      <w:pPr>
        <w:ind w:left="5760" w:hanging="360"/>
      </w:pPr>
    </w:lvl>
    <w:lvl w:ilvl="8" w:tplc="F640B524">
      <w:start w:val="1"/>
      <w:numFmt w:val="lowerRoman"/>
      <w:lvlText w:val="%9."/>
      <w:lvlJc w:val="right"/>
      <w:pPr>
        <w:ind w:left="6480" w:hanging="180"/>
      </w:pPr>
    </w:lvl>
  </w:abstractNum>
  <w:abstractNum w:abstractNumId="343" w15:restartNumberingAfterBreak="0">
    <w:nsid w:val="4C312A2F"/>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44" w15:restartNumberingAfterBreak="0">
    <w:nsid w:val="4CAA5C68"/>
    <w:multiLevelType w:val="multilevel"/>
    <w:tmpl w:val="05E69A80"/>
    <w:numStyleLink w:val="SchI"/>
  </w:abstractNum>
  <w:abstractNum w:abstractNumId="345" w15:restartNumberingAfterBreak="0">
    <w:nsid w:val="4CE06931"/>
    <w:multiLevelType w:val="singleLevel"/>
    <w:tmpl w:val="4366EF18"/>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346" w15:restartNumberingAfterBreak="0">
    <w:nsid w:val="4E031710"/>
    <w:multiLevelType w:val="multilevel"/>
    <w:tmpl w:val="E138C41A"/>
    <w:lvl w:ilvl="0">
      <w:start w:val="1"/>
      <w:numFmt w:val="decimal"/>
      <w:lvlText w:val="B%1."/>
      <w:lvlJc w:val="left"/>
      <w:pPr>
        <w:ind w:left="709" w:hanging="709"/>
      </w:pPr>
      <w:rPr>
        <w:rFonts w:ascii="Calibri" w:hAnsi="Calibri" w:hint="default"/>
        <w:b w:val="0"/>
        <w:i w:val="0"/>
        <w:sz w:val="24"/>
      </w:rPr>
    </w:lvl>
    <w:lvl w:ilvl="1">
      <w:start w:val="9"/>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7" w15:restartNumberingAfterBreak="0">
    <w:nsid w:val="4E8A3AF4"/>
    <w:multiLevelType w:val="multilevel"/>
    <w:tmpl w:val="44D8870E"/>
    <w:numStyleLink w:val="SchJ"/>
  </w:abstractNum>
  <w:abstractNum w:abstractNumId="348" w15:restartNumberingAfterBreak="0">
    <w:nsid w:val="4F594E23"/>
    <w:multiLevelType w:val="multilevel"/>
    <w:tmpl w:val="DF80DB60"/>
    <w:numStyleLink w:val="SchG"/>
  </w:abstractNum>
  <w:abstractNum w:abstractNumId="349" w15:restartNumberingAfterBreak="0">
    <w:nsid w:val="4FA40E0C"/>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50" w15:restartNumberingAfterBreak="0">
    <w:nsid w:val="4FA818F4"/>
    <w:multiLevelType w:val="multilevel"/>
    <w:tmpl w:val="FA006918"/>
    <w:numStyleLink w:val="SchA"/>
  </w:abstractNum>
  <w:abstractNum w:abstractNumId="351" w15:restartNumberingAfterBreak="0">
    <w:nsid w:val="50272562"/>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52" w15:restartNumberingAfterBreak="0">
    <w:nsid w:val="502B1D93"/>
    <w:multiLevelType w:val="multilevel"/>
    <w:tmpl w:val="D812A814"/>
    <w:numStyleLink w:val="SchF"/>
  </w:abstractNum>
  <w:abstractNum w:abstractNumId="353" w15:restartNumberingAfterBreak="0">
    <w:nsid w:val="5182396F"/>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54" w15:restartNumberingAfterBreak="0">
    <w:nsid w:val="51B30107"/>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55" w15:restartNumberingAfterBreak="0">
    <w:nsid w:val="51BA0EC9"/>
    <w:multiLevelType w:val="multilevel"/>
    <w:tmpl w:val="FA006918"/>
    <w:numStyleLink w:val="SchA"/>
  </w:abstractNum>
  <w:abstractNum w:abstractNumId="356" w15:restartNumberingAfterBreak="0">
    <w:nsid w:val="51C362B2"/>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57" w15:restartNumberingAfterBreak="0">
    <w:nsid w:val="51F16074"/>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58" w15:restartNumberingAfterBreak="0">
    <w:nsid w:val="52136E38"/>
    <w:multiLevelType w:val="hybridMultilevel"/>
    <w:tmpl w:val="61043724"/>
    <w:lvl w:ilvl="0" w:tplc="785A7F1C">
      <w:start w:val="1"/>
      <w:numFmt w:val="bullet"/>
      <w:lvlText w:val=""/>
      <w:lvlJc w:val="left"/>
      <w:pPr>
        <w:ind w:left="1004" w:hanging="360"/>
      </w:pPr>
      <w:rPr>
        <w:rFonts w:ascii="Symbol" w:hAnsi="Symbol" w:hint="default"/>
      </w:rPr>
    </w:lvl>
    <w:lvl w:ilvl="1" w:tplc="DD5CB220">
      <w:start w:val="1"/>
      <w:numFmt w:val="bullet"/>
      <w:lvlText w:val="o"/>
      <w:lvlJc w:val="left"/>
      <w:pPr>
        <w:ind w:left="1724" w:hanging="360"/>
      </w:pPr>
      <w:rPr>
        <w:rFonts w:ascii="Courier New" w:hAnsi="Courier New" w:hint="default"/>
      </w:rPr>
    </w:lvl>
    <w:lvl w:ilvl="2" w:tplc="08202D54">
      <w:start w:val="1"/>
      <w:numFmt w:val="bullet"/>
      <w:lvlText w:val=""/>
      <w:lvlJc w:val="left"/>
      <w:pPr>
        <w:ind w:left="2444" w:hanging="360"/>
      </w:pPr>
      <w:rPr>
        <w:rFonts w:ascii="Wingdings" w:hAnsi="Wingdings" w:hint="default"/>
      </w:rPr>
    </w:lvl>
    <w:lvl w:ilvl="3" w:tplc="38740576" w:tentative="1">
      <w:start w:val="1"/>
      <w:numFmt w:val="bullet"/>
      <w:lvlText w:val=""/>
      <w:lvlJc w:val="left"/>
      <w:pPr>
        <w:ind w:left="3164" w:hanging="360"/>
      </w:pPr>
      <w:rPr>
        <w:rFonts w:ascii="Symbol" w:hAnsi="Symbol" w:hint="default"/>
      </w:rPr>
    </w:lvl>
    <w:lvl w:ilvl="4" w:tplc="03821076" w:tentative="1">
      <w:start w:val="1"/>
      <w:numFmt w:val="bullet"/>
      <w:lvlText w:val="o"/>
      <w:lvlJc w:val="left"/>
      <w:pPr>
        <w:ind w:left="3884" w:hanging="360"/>
      </w:pPr>
      <w:rPr>
        <w:rFonts w:ascii="Courier New" w:hAnsi="Courier New" w:hint="default"/>
      </w:rPr>
    </w:lvl>
    <w:lvl w:ilvl="5" w:tplc="DA4C350E" w:tentative="1">
      <w:start w:val="1"/>
      <w:numFmt w:val="bullet"/>
      <w:lvlText w:val=""/>
      <w:lvlJc w:val="left"/>
      <w:pPr>
        <w:ind w:left="4604" w:hanging="360"/>
      </w:pPr>
      <w:rPr>
        <w:rFonts w:ascii="Wingdings" w:hAnsi="Wingdings" w:hint="default"/>
      </w:rPr>
    </w:lvl>
    <w:lvl w:ilvl="6" w:tplc="C0BA2F60" w:tentative="1">
      <w:start w:val="1"/>
      <w:numFmt w:val="bullet"/>
      <w:lvlText w:val=""/>
      <w:lvlJc w:val="left"/>
      <w:pPr>
        <w:ind w:left="5324" w:hanging="360"/>
      </w:pPr>
      <w:rPr>
        <w:rFonts w:ascii="Symbol" w:hAnsi="Symbol" w:hint="default"/>
      </w:rPr>
    </w:lvl>
    <w:lvl w:ilvl="7" w:tplc="E46E1330" w:tentative="1">
      <w:start w:val="1"/>
      <w:numFmt w:val="bullet"/>
      <w:lvlText w:val="o"/>
      <w:lvlJc w:val="left"/>
      <w:pPr>
        <w:ind w:left="6044" w:hanging="360"/>
      </w:pPr>
      <w:rPr>
        <w:rFonts w:ascii="Courier New" w:hAnsi="Courier New" w:hint="default"/>
      </w:rPr>
    </w:lvl>
    <w:lvl w:ilvl="8" w:tplc="934658E2" w:tentative="1">
      <w:start w:val="1"/>
      <w:numFmt w:val="bullet"/>
      <w:lvlText w:val=""/>
      <w:lvlJc w:val="left"/>
      <w:pPr>
        <w:ind w:left="6764" w:hanging="360"/>
      </w:pPr>
      <w:rPr>
        <w:rFonts w:ascii="Wingdings" w:hAnsi="Wingdings" w:hint="default"/>
      </w:rPr>
    </w:lvl>
  </w:abstractNum>
  <w:abstractNum w:abstractNumId="359" w15:restartNumberingAfterBreak="0">
    <w:nsid w:val="525F4C29"/>
    <w:multiLevelType w:val="multilevel"/>
    <w:tmpl w:val="D812A814"/>
    <w:styleLink w:val="SchF"/>
    <w:lvl w:ilvl="0">
      <w:start w:val="1"/>
      <w:numFmt w:val="decimal"/>
      <w:lvlText w:val="F%1."/>
      <w:lvlJc w:val="left"/>
      <w:pPr>
        <w:ind w:left="709" w:hanging="709"/>
      </w:pPr>
      <w:rPr>
        <w:rFonts w:ascii="Calibri" w:hAnsi="Calibri" w:hint="default"/>
        <w:b w:val="0"/>
        <w:i w:val="0"/>
        <w:sz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360" w15:restartNumberingAfterBreak="0">
    <w:nsid w:val="527A6B6D"/>
    <w:multiLevelType w:val="multilevel"/>
    <w:tmpl w:val="EE025996"/>
    <w:numStyleLink w:val="Appendix"/>
  </w:abstractNum>
  <w:abstractNum w:abstractNumId="361" w15:restartNumberingAfterBreak="0">
    <w:nsid w:val="528C7FF1"/>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62" w15:restartNumberingAfterBreak="0">
    <w:nsid w:val="529C7FF3"/>
    <w:multiLevelType w:val="hybridMultilevel"/>
    <w:tmpl w:val="E142508E"/>
    <w:lvl w:ilvl="0" w:tplc="FFFFFFFF">
      <w:start w:val="1"/>
      <w:numFmt w:val="lowerLetter"/>
      <w:lvlText w:val="%1."/>
      <w:lvlJc w:val="left"/>
      <w:pPr>
        <w:ind w:left="1440" w:hanging="360"/>
      </w:pPr>
      <w:rPr>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3" w15:restartNumberingAfterBreak="0">
    <w:nsid w:val="52C17F4E"/>
    <w:multiLevelType w:val="multilevel"/>
    <w:tmpl w:val="44D8870E"/>
    <w:numStyleLink w:val="SchJ"/>
  </w:abstractNum>
  <w:abstractNum w:abstractNumId="364" w15:restartNumberingAfterBreak="0">
    <w:nsid w:val="536B77C0"/>
    <w:multiLevelType w:val="multilevel"/>
    <w:tmpl w:val="C86A375C"/>
    <w:numStyleLink w:val="SchH"/>
  </w:abstractNum>
  <w:abstractNum w:abstractNumId="365" w15:restartNumberingAfterBreak="0">
    <w:nsid w:val="53871CA1"/>
    <w:multiLevelType w:val="multilevel"/>
    <w:tmpl w:val="FA006918"/>
    <w:numStyleLink w:val="SchA"/>
  </w:abstractNum>
  <w:abstractNum w:abstractNumId="366" w15:restartNumberingAfterBreak="0">
    <w:nsid w:val="53A36928"/>
    <w:multiLevelType w:val="multilevel"/>
    <w:tmpl w:val="9D2084D2"/>
    <w:numStyleLink w:val="SchC"/>
  </w:abstractNum>
  <w:abstractNum w:abstractNumId="367" w15:restartNumberingAfterBreak="0">
    <w:nsid w:val="53C27DCE"/>
    <w:multiLevelType w:val="multilevel"/>
    <w:tmpl w:val="C86A375C"/>
    <w:numStyleLink w:val="SchH"/>
  </w:abstractNum>
  <w:abstractNum w:abstractNumId="368" w15:restartNumberingAfterBreak="0">
    <w:nsid w:val="53E00624"/>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69" w15:restartNumberingAfterBreak="0">
    <w:nsid w:val="54161F2E"/>
    <w:multiLevelType w:val="multilevel"/>
    <w:tmpl w:val="C86A375C"/>
    <w:numStyleLink w:val="SchH"/>
  </w:abstractNum>
  <w:abstractNum w:abstractNumId="370" w15:restartNumberingAfterBreak="0">
    <w:nsid w:val="54644865"/>
    <w:multiLevelType w:val="multilevel"/>
    <w:tmpl w:val="025E1700"/>
    <w:lvl w:ilvl="0">
      <w:start w:val="1"/>
      <w:numFmt w:val="decimal"/>
      <w:lvlText w:val="%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71" w15:restartNumberingAfterBreak="0">
    <w:nsid w:val="548656D9"/>
    <w:multiLevelType w:val="multilevel"/>
    <w:tmpl w:val="DF80DB60"/>
    <w:numStyleLink w:val="SchG"/>
  </w:abstractNum>
  <w:abstractNum w:abstractNumId="372" w15:restartNumberingAfterBreak="0">
    <w:nsid w:val="54A34559"/>
    <w:multiLevelType w:val="multilevel"/>
    <w:tmpl w:val="B55C38CE"/>
    <w:numStyleLink w:val="SchB"/>
  </w:abstractNum>
  <w:abstractNum w:abstractNumId="373" w15:restartNumberingAfterBreak="0">
    <w:nsid w:val="54A51439"/>
    <w:multiLevelType w:val="multilevel"/>
    <w:tmpl w:val="2196E198"/>
    <w:lvl w:ilvl="0">
      <w:start w:val="6"/>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hint="default"/>
        <w:sz w:val="24"/>
        <w:szCs w:val="24"/>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74" w15:restartNumberingAfterBreak="0">
    <w:nsid w:val="54F2090D"/>
    <w:multiLevelType w:val="multilevel"/>
    <w:tmpl w:val="FA006918"/>
    <w:numStyleLink w:val="SchA"/>
  </w:abstractNum>
  <w:abstractNum w:abstractNumId="375" w15:restartNumberingAfterBreak="0">
    <w:nsid w:val="555D1074"/>
    <w:multiLevelType w:val="multilevel"/>
    <w:tmpl w:val="B55C38CE"/>
    <w:numStyleLink w:val="SchB"/>
  </w:abstractNum>
  <w:abstractNum w:abstractNumId="376" w15:restartNumberingAfterBreak="0">
    <w:nsid w:val="5579388E"/>
    <w:multiLevelType w:val="multilevel"/>
    <w:tmpl w:val="44D8870E"/>
    <w:styleLink w:val="SchJ"/>
    <w:lvl w:ilvl="0">
      <w:start w:val="1"/>
      <w:numFmt w:val="decimal"/>
      <w:lvlText w:val="J%1."/>
      <w:lvlJc w:val="left"/>
      <w:pPr>
        <w:ind w:left="709" w:hanging="709"/>
      </w:pPr>
      <w:rPr>
        <w:rFonts w:ascii="Calibri" w:hAnsi="Calibri" w:hint="default"/>
        <w:b w:val="0"/>
        <w:i w:val="0"/>
        <w:sz w:val="24"/>
        <w:szCs w:val="24"/>
      </w:rPr>
    </w:lvl>
    <w:lvl w:ilvl="1">
      <w:start w:val="1"/>
      <w:numFmt w:val="lowerLetter"/>
      <w:lvlText w:val="%2."/>
      <w:lvlJc w:val="left"/>
      <w:pPr>
        <w:tabs>
          <w:tab w:val="num" w:pos="6804"/>
        </w:tabs>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cs="Times New Roman" w:hint="default"/>
        <w:b w:val="0"/>
        <w:i w:val="0"/>
        <w:sz w:val="24"/>
      </w:rPr>
    </w:lvl>
    <w:lvl w:ilvl="3">
      <w:start w:val="1"/>
      <w:numFmt w:val="decimal"/>
      <w:lvlText w:val="%4."/>
      <w:lvlJc w:val="right"/>
      <w:pPr>
        <w:ind w:left="641" w:firstLine="10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1069"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377" w15:restartNumberingAfterBreak="0">
    <w:nsid w:val="557C4752"/>
    <w:multiLevelType w:val="multilevel"/>
    <w:tmpl w:val="A99A057C"/>
    <w:lvl w:ilvl="0">
      <w:start w:val="1"/>
      <w:numFmt w:val="decimal"/>
      <w:lvlText w:val="X%1."/>
      <w:lvlJc w:val="left"/>
      <w:pPr>
        <w:ind w:left="567" w:hanging="567"/>
      </w:pPr>
      <w:rPr>
        <w:rFonts w:ascii="Calibri" w:hAnsi="Calibri" w:cs="Times New Roman" w:hint="default"/>
        <w:sz w:val="24"/>
        <w:szCs w:val="24"/>
      </w:rPr>
    </w:lvl>
    <w:lvl w:ilvl="1">
      <w:start w:val="1"/>
      <w:numFmt w:val="lowerLetter"/>
      <w:lvlText w:val="%2."/>
      <w:lvlJc w:val="left"/>
      <w:pPr>
        <w:ind w:left="107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78" w15:restartNumberingAfterBreak="0">
    <w:nsid w:val="56471780"/>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79" w15:restartNumberingAfterBreak="0">
    <w:nsid w:val="5686288C"/>
    <w:multiLevelType w:val="multilevel"/>
    <w:tmpl w:val="A30A63A4"/>
    <w:numStyleLink w:val="SchE"/>
  </w:abstractNum>
  <w:abstractNum w:abstractNumId="380" w15:restartNumberingAfterBreak="0">
    <w:nsid w:val="56A137F3"/>
    <w:multiLevelType w:val="multilevel"/>
    <w:tmpl w:val="9D2084D2"/>
    <w:numStyleLink w:val="SchC"/>
  </w:abstractNum>
  <w:abstractNum w:abstractNumId="381" w15:restartNumberingAfterBreak="0">
    <w:nsid w:val="57133797"/>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82" w15:restartNumberingAfterBreak="0">
    <w:nsid w:val="576470D9"/>
    <w:multiLevelType w:val="hybridMultilevel"/>
    <w:tmpl w:val="05D6222A"/>
    <w:lvl w:ilvl="0" w:tplc="FFFFFFFF">
      <w:start w:val="1"/>
      <w:numFmt w:val="lowerLetter"/>
      <w:lvlText w:val="%1."/>
      <w:lvlJc w:val="left"/>
      <w:pPr>
        <w:ind w:left="1080" w:hanging="360"/>
      </w:pPr>
      <w:rPr>
        <w:rFonts w:ascii="Calibri" w:hAnsi="Calibri" w:cs="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3" w15:restartNumberingAfterBreak="0">
    <w:nsid w:val="577E459A"/>
    <w:multiLevelType w:val="multilevel"/>
    <w:tmpl w:val="5DD8B72C"/>
    <w:numStyleLink w:val="Preliminaries"/>
  </w:abstractNum>
  <w:abstractNum w:abstractNumId="384" w15:restartNumberingAfterBreak="0">
    <w:nsid w:val="579958B9"/>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85"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386" w15:restartNumberingAfterBreak="0">
    <w:nsid w:val="58933A2B"/>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87" w15:restartNumberingAfterBreak="0">
    <w:nsid w:val="58991C80"/>
    <w:multiLevelType w:val="multilevel"/>
    <w:tmpl w:val="C86A375C"/>
    <w:numStyleLink w:val="SchH"/>
  </w:abstractNum>
  <w:abstractNum w:abstractNumId="388" w15:restartNumberingAfterBreak="0">
    <w:nsid w:val="58AB5288"/>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89" w15:restartNumberingAfterBreak="0">
    <w:nsid w:val="58F56B94"/>
    <w:multiLevelType w:val="multilevel"/>
    <w:tmpl w:val="A00C76A4"/>
    <w:lvl w:ilvl="0">
      <w:start w:val="1"/>
      <w:numFmt w:val="decimal"/>
      <w:lvlText w:val="B%1."/>
      <w:lvlJc w:val="left"/>
      <w:pPr>
        <w:ind w:left="709" w:hanging="709"/>
      </w:pPr>
      <w:rPr>
        <w:rFonts w:ascii="Calibri" w:hAnsi="Calibri" w:hint="default"/>
        <w:b w:val="0"/>
        <w:i w:val="0"/>
        <w:sz w:val="24"/>
      </w:rPr>
    </w:lvl>
    <w:lvl w:ilvl="1">
      <w:start w:val="4"/>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0" w15:restartNumberingAfterBreak="0">
    <w:nsid w:val="59457B39"/>
    <w:multiLevelType w:val="multilevel"/>
    <w:tmpl w:val="44D8870E"/>
    <w:numStyleLink w:val="SchJ"/>
  </w:abstractNum>
  <w:abstractNum w:abstractNumId="391" w15:restartNumberingAfterBreak="0">
    <w:nsid w:val="595425BC"/>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92" w15:restartNumberingAfterBreak="0">
    <w:nsid w:val="59740479"/>
    <w:multiLevelType w:val="multilevel"/>
    <w:tmpl w:val="75D27AD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93" w15:restartNumberingAfterBreak="0">
    <w:nsid w:val="59803E4E"/>
    <w:multiLevelType w:val="multilevel"/>
    <w:tmpl w:val="9D2084D2"/>
    <w:numStyleLink w:val="SchC"/>
  </w:abstractNum>
  <w:abstractNum w:abstractNumId="394" w15:restartNumberingAfterBreak="0">
    <w:nsid w:val="59834304"/>
    <w:multiLevelType w:val="multilevel"/>
    <w:tmpl w:val="FA006918"/>
    <w:numStyleLink w:val="SchA"/>
  </w:abstractNum>
  <w:abstractNum w:abstractNumId="395" w15:restartNumberingAfterBreak="0">
    <w:nsid w:val="599502F5"/>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96" w15:restartNumberingAfterBreak="0">
    <w:nsid w:val="59B70749"/>
    <w:multiLevelType w:val="multilevel"/>
    <w:tmpl w:val="E9BA4D48"/>
    <w:lvl w:ilvl="0">
      <w:start w:val="1"/>
      <w:numFmt w:val="lowerLetter"/>
      <w:lvlRestart w:val="0"/>
      <w:pStyle w:val="AlphaParagraph"/>
      <w:lvlText w:val="(%1)"/>
      <w:lvlJc w:val="left"/>
      <w:pPr>
        <w:tabs>
          <w:tab w:val="num" w:pos="567"/>
        </w:tabs>
        <w:ind w:left="567" w:hanging="567"/>
      </w:pPr>
      <w:rPr>
        <w:rFonts w:cs="Times New Roman" w:hint="default"/>
        <w:b w:val="0"/>
        <w:i w:val="0"/>
        <w:color w:val="000000"/>
      </w:rPr>
    </w:lvl>
    <w:lvl w:ilvl="1">
      <w:start w:val="1"/>
      <w:numFmt w:val="decimal"/>
      <w:lvlText w:val="%2"/>
      <w:lvlJc w:val="left"/>
      <w:pPr>
        <w:tabs>
          <w:tab w:val="num" w:pos="567"/>
        </w:tabs>
        <w:ind w:left="567" w:hanging="567"/>
      </w:pPr>
      <w:rPr>
        <w:rFonts w:cs="Times New Roman" w:hint="default"/>
        <w:b w:val="0"/>
        <w:i w:val="0"/>
        <w:color w:val="000000"/>
      </w:rPr>
    </w:lvl>
    <w:lvl w:ilvl="2">
      <w:start w:val="1"/>
      <w:numFmt w:val="decimal"/>
      <w:lvlText w:val="%3"/>
      <w:lvlJc w:val="left"/>
      <w:pPr>
        <w:tabs>
          <w:tab w:val="num" w:pos="1134"/>
        </w:tabs>
        <w:ind w:left="1134" w:hanging="567"/>
      </w:pPr>
      <w:rPr>
        <w:rFonts w:cs="Times New Roman" w:hint="default"/>
        <w:b w:val="0"/>
        <w:i w:val="0"/>
        <w:color w:val="000000"/>
      </w:rPr>
    </w:lvl>
    <w:lvl w:ilvl="3">
      <w:start w:val="1"/>
      <w:numFmt w:val="decimal"/>
      <w:lvlText w:val="%4"/>
      <w:lvlJc w:val="left"/>
      <w:pPr>
        <w:tabs>
          <w:tab w:val="num" w:pos="1701"/>
        </w:tabs>
        <w:ind w:left="1701" w:hanging="567"/>
      </w:pPr>
      <w:rPr>
        <w:rFonts w:cs="Times New Roman" w:hint="default"/>
        <w:b w:val="0"/>
        <w:i w:val="0"/>
        <w:color w:val="000000"/>
      </w:rPr>
    </w:lvl>
    <w:lvl w:ilvl="4">
      <w:start w:val="1"/>
      <w:numFmt w:val="decimal"/>
      <w:lvlText w:val="%5"/>
      <w:lvlJc w:val="left"/>
      <w:pPr>
        <w:tabs>
          <w:tab w:val="num" w:pos="2268"/>
        </w:tabs>
        <w:ind w:left="2268" w:hanging="567"/>
      </w:pPr>
      <w:rPr>
        <w:rFonts w:cs="Times New Roman" w:hint="default"/>
        <w:b w:val="0"/>
        <w:i w:val="0"/>
        <w:color w:val="000000"/>
      </w:rPr>
    </w:lvl>
    <w:lvl w:ilvl="5">
      <w:start w:val="1"/>
      <w:numFmt w:val="decimal"/>
      <w:lvlText w:val="%6"/>
      <w:lvlJc w:val="left"/>
      <w:pPr>
        <w:tabs>
          <w:tab w:val="num" w:pos="2835"/>
        </w:tabs>
        <w:ind w:left="2835" w:hanging="567"/>
      </w:pPr>
      <w:rPr>
        <w:rFonts w:cs="Times New Roman" w:hint="default"/>
        <w:b w:val="0"/>
        <w:i w:val="0"/>
        <w:color w:val="000000"/>
      </w:rPr>
    </w:lvl>
    <w:lvl w:ilvl="6">
      <w:start w:val="1"/>
      <w:numFmt w:val="decimal"/>
      <w:lvlText w:val="%7"/>
      <w:lvlJc w:val="left"/>
      <w:pPr>
        <w:tabs>
          <w:tab w:val="num" w:pos="3402"/>
        </w:tabs>
        <w:ind w:left="3402" w:hanging="567"/>
      </w:pPr>
      <w:rPr>
        <w:rFonts w:cs="Times New Roman" w:hint="default"/>
        <w:b w:val="0"/>
        <w:i w:val="0"/>
        <w:color w:val="000000"/>
      </w:rPr>
    </w:lvl>
    <w:lvl w:ilvl="7">
      <w:start w:val="1"/>
      <w:numFmt w:val="decimal"/>
      <w:lvlText w:val="%8"/>
      <w:lvlJc w:val="left"/>
      <w:pPr>
        <w:tabs>
          <w:tab w:val="num" w:pos="3969"/>
        </w:tabs>
        <w:ind w:left="3969" w:hanging="567"/>
      </w:pPr>
      <w:rPr>
        <w:rFonts w:cs="Times New Roman" w:hint="default"/>
        <w:b w:val="0"/>
        <w:i w:val="0"/>
        <w:color w:val="000000"/>
      </w:rPr>
    </w:lvl>
    <w:lvl w:ilvl="8">
      <w:start w:val="1"/>
      <w:numFmt w:val="decimal"/>
      <w:lvlText w:val="%9"/>
      <w:lvlJc w:val="left"/>
      <w:pPr>
        <w:tabs>
          <w:tab w:val="num" w:pos="4536"/>
        </w:tabs>
        <w:ind w:left="4536" w:hanging="567"/>
      </w:pPr>
      <w:rPr>
        <w:rFonts w:cs="Times New Roman" w:hint="default"/>
        <w:b w:val="0"/>
        <w:i w:val="0"/>
        <w:color w:val="000000"/>
      </w:rPr>
    </w:lvl>
  </w:abstractNum>
  <w:abstractNum w:abstractNumId="397" w15:restartNumberingAfterBreak="0">
    <w:nsid w:val="59D91C03"/>
    <w:multiLevelType w:val="multilevel"/>
    <w:tmpl w:val="9D2084D2"/>
    <w:numStyleLink w:val="SchC"/>
  </w:abstractNum>
  <w:abstractNum w:abstractNumId="398" w15:restartNumberingAfterBreak="0">
    <w:nsid w:val="59ED11AF"/>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99" w15:restartNumberingAfterBreak="0">
    <w:nsid w:val="59F432C9"/>
    <w:multiLevelType w:val="multilevel"/>
    <w:tmpl w:val="C86A375C"/>
    <w:numStyleLink w:val="SchH"/>
  </w:abstractNum>
  <w:abstractNum w:abstractNumId="400" w15:restartNumberingAfterBreak="0">
    <w:nsid w:val="5A204A7C"/>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01" w15:restartNumberingAfterBreak="0">
    <w:nsid w:val="5A8C06E2"/>
    <w:multiLevelType w:val="hybridMultilevel"/>
    <w:tmpl w:val="9104BF58"/>
    <w:lvl w:ilvl="0" w:tplc="E4AAE090">
      <w:start w:val="1"/>
      <w:numFmt w:val="decimal"/>
      <w:pStyle w:val="ScheduleA"/>
      <w:lvlText w:val="A%1."/>
      <w:lvlJc w:val="left"/>
      <w:pPr>
        <w:ind w:left="720" w:hanging="360"/>
      </w:pPr>
      <w:rPr>
        <w:rFonts w:ascii="Calibri" w:hAnsi="Calibri" w:cs="Times New Roman" w:hint="default"/>
      </w:rPr>
    </w:lvl>
    <w:lvl w:ilvl="1" w:tplc="7072652C">
      <w:start w:val="1"/>
      <w:numFmt w:val="lowerLetter"/>
      <w:lvlText w:val="%2."/>
      <w:lvlJc w:val="left"/>
      <w:pPr>
        <w:ind w:left="1440" w:hanging="360"/>
      </w:pPr>
    </w:lvl>
    <w:lvl w:ilvl="2" w:tplc="C538ABE6" w:tentative="1">
      <w:start w:val="1"/>
      <w:numFmt w:val="lowerRoman"/>
      <w:lvlText w:val="%3."/>
      <w:lvlJc w:val="right"/>
      <w:pPr>
        <w:ind w:left="2160" w:hanging="180"/>
      </w:pPr>
    </w:lvl>
    <w:lvl w:ilvl="3" w:tplc="20246E90" w:tentative="1">
      <w:start w:val="1"/>
      <w:numFmt w:val="decimal"/>
      <w:lvlText w:val="%4."/>
      <w:lvlJc w:val="left"/>
      <w:pPr>
        <w:ind w:left="2880" w:hanging="360"/>
      </w:pPr>
    </w:lvl>
    <w:lvl w:ilvl="4" w:tplc="0150CC20" w:tentative="1">
      <w:start w:val="1"/>
      <w:numFmt w:val="lowerLetter"/>
      <w:lvlText w:val="%5."/>
      <w:lvlJc w:val="left"/>
      <w:pPr>
        <w:ind w:left="3600" w:hanging="360"/>
      </w:pPr>
    </w:lvl>
    <w:lvl w:ilvl="5" w:tplc="945051C6" w:tentative="1">
      <w:start w:val="1"/>
      <w:numFmt w:val="lowerRoman"/>
      <w:lvlText w:val="%6."/>
      <w:lvlJc w:val="right"/>
      <w:pPr>
        <w:ind w:left="4320" w:hanging="180"/>
      </w:pPr>
    </w:lvl>
    <w:lvl w:ilvl="6" w:tplc="7DEEB04A" w:tentative="1">
      <w:start w:val="1"/>
      <w:numFmt w:val="decimal"/>
      <w:lvlText w:val="%7."/>
      <w:lvlJc w:val="left"/>
      <w:pPr>
        <w:ind w:left="5040" w:hanging="360"/>
      </w:pPr>
    </w:lvl>
    <w:lvl w:ilvl="7" w:tplc="955C77C6" w:tentative="1">
      <w:start w:val="1"/>
      <w:numFmt w:val="lowerLetter"/>
      <w:lvlText w:val="%8."/>
      <w:lvlJc w:val="left"/>
      <w:pPr>
        <w:ind w:left="5760" w:hanging="360"/>
      </w:pPr>
    </w:lvl>
    <w:lvl w:ilvl="8" w:tplc="653ABA8A" w:tentative="1">
      <w:start w:val="1"/>
      <w:numFmt w:val="lowerRoman"/>
      <w:lvlText w:val="%9."/>
      <w:lvlJc w:val="right"/>
      <w:pPr>
        <w:ind w:left="6480" w:hanging="180"/>
      </w:pPr>
    </w:lvl>
  </w:abstractNum>
  <w:abstractNum w:abstractNumId="402" w15:restartNumberingAfterBreak="0">
    <w:nsid w:val="5B1908B1"/>
    <w:multiLevelType w:val="multilevel"/>
    <w:tmpl w:val="EE025996"/>
    <w:numStyleLink w:val="Appendix"/>
  </w:abstractNum>
  <w:abstractNum w:abstractNumId="403" w15:restartNumberingAfterBreak="0">
    <w:nsid w:val="5B202BE1"/>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04" w15:restartNumberingAfterBreak="0">
    <w:nsid w:val="5B2A2AF1"/>
    <w:multiLevelType w:val="hybridMultilevel"/>
    <w:tmpl w:val="E142508E"/>
    <w:lvl w:ilvl="0" w:tplc="FFFFFFFF">
      <w:start w:val="1"/>
      <w:numFmt w:val="lowerLetter"/>
      <w:lvlText w:val="%1."/>
      <w:lvlJc w:val="left"/>
      <w:pPr>
        <w:ind w:left="1440" w:hanging="360"/>
      </w:pPr>
      <w:rPr>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5" w15:restartNumberingAfterBreak="0">
    <w:nsid w:val="5BA2129F"/>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06" w15:restartNumberingAfterBreak="0">
    <w:nsid w:val="5BEB09D9"/>
    <w:multiLevelType w:val="multilevel"/>
    <w:tmpl w:val="9E46612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sz w:val="24"/>
        <w:szCs w:val="24"/>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07" w15:restartNumberingAfterBreak="0">
    <w:nsid w:val="5C614E9F"/>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08" w15:restartNumberingAfterBreak="0">
    <w:nsid w:val="5CE16F20"/>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09" w15:restartNumberingAfterBreak="0">
    <w:nsid w:val="5D3047B3"/>
    <w:multiLevelType w:val="multilevel"/>
    <w:tmpl w:val="C86A375C"/>
    <w:numStyleLink w:val="SchH"/>
  </w:abstractNum>
  <w:abstractNum w:abstractNumId="410" w15:restartNumberingAfterBreak="0">
    <w:nsid w:val="5D500269"/>
    <w:multiLevelType w:val="multilevel"/>
    <w:tmpl w:val="C86A375C"/>
    <w:numStyleLink w:val="SchH"/>
  </w:abstractNum>
  <w:abstractNum w:abstractNumId="411" w15:restartNumberingAfterBreak="0">
    <w:nsid w:val="5D682CAC"/>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12" w15:restartNumberingAfterBreak="0">
    <w:nsid w:val="5D913E24"/>
    <w:multiLevelType w:val="multilevel"/>
    <w:tmpl w:val="EE025996"/>
    <w:numStyleLink w:val="Appendix"/>
  </w:abstractNum>
  <w:abstractNum w:abstractNumId="413" w15:restartNumberingAfterBreak="0">
    <w:nsid w:val="5DB11E03"/>
    <w:multiLevelType w:val="multilevel"/>
    <w:tmpl w:val="9D2084D2"/>
    <w:styleLink w:val="SchC"/>
    <w:lvl w:ilvl="0">
      <w:start w:val="1"/>
      <w:numFmt w:val="decimal"/>
      <w:lvlText w:val="C%1."/>
      <w:lvlJc w:val="left"/>
      <w:pPr>
        <w:ind w:left="709" w:hanging="709"/>
      </w:pPr>
      <w:rPr>
        <w:rFonts w:ascii="Calibri" w:hAnsi="Calibri" w:hint="default"/>
        <w:b w:val="0"/>
        <w:i w:val="0"/>
        <w:sz w:val="24"/>
        <w:szCs w:val="24"/>
      </w:rPr>
    </w:lvl>
    <w:lvl w:ilvl="1">
      <w:start w:val="1"/>
      <w:numFmt w:val="lowerLetter"/>
      <w:lvlText w:val="%2."/>
      <w:lvlJc w:val="left"/>
      <w:pPr>
        <w:tabs>
          <w:tab w:val="num" w:pos="12474"/>
        </w:tabs>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14" w15:restartNumberingAfterBreak="0">
    <w:nsid w:val="5DFF45A0"/>
    <w:multiLevelType w:val="multilevel"/>
    <w:tmpl w:val="B55C38CE"/>
    <w:numStyleLink w:val="SchB"/>
  </w:abstractNum>
  <w:abstractNum w:abstractNumId="415" w15:restartNumberingAfterBreak="0">
    <w:nsid w:val="5E0A6F8D"/>
    <w:multiLevelType w:val="multilevel"/>
    <w:tmpl w:val="51941ED6"/>
    <w:lvl w:ilvl="0">
      <w:start w:val="1"/>
      <w:numFmt w:val="bullet"/>
      <w:lvlRestart w:val="0"/>
      <w:pStyle w:val="RecommendationBullet"/>
      <w:lvlText w:val="•"/>
      <w:lvlJc w:val="left"/>
      <w:pPr>
        <w:tabs>
          <w:tab w:val="num" w:pos="283"/>
        </w:tabs>
        <w:ind w:left="283" w:hanging="283"/>
      </w:pPr>
      <w:rPr>
        <w:b w:val="0"/>
        <w:i w:val="0"/>
      </w:rPr>
    </w:lvl>
    <w:lvl w:ilvl="1">
      <w:start w:val="1"/>
      <w:numFmt w:val="bullet"/>
      <w:pStyle w:val="RecommendationDash"/>
      <w:lvlText w:val="–"/>
      <w:lvlJc w:val="left"/>
      <w:pPr>
        <w:tabs>
          <w:tab w:val="num" w:pos="567"/>
        </w:tabs>
        <w:ind w:left="567" w:hanging="284"/>
      </w:pPr>
      <w:rPr>
        <w:b w:val="0"/>
        <w:i w:val="0"/>
      </w:rPr>
    </w:lvl>
    <w:lvl w:ilvl="2">
      <w:start w:val="1"/>
      <w:numFmt w:val="bullet"/>
      <w:pStyle w:val="Recommendation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416" w15:restartNumberingAfterBreak="0">
    <w:nsid w:val="5E4926CF"/>
    <w:multiLevelType w:val="hybridMultilevel"/>
    <w:tmpl w:val="51686EAC"/>
    <w:lvl w:ilvl="0" w:tplc="1406A402">
      <w:start w:val="82"/>
      <w:numFmt w:val="decimal"/>
      <w:lvlText w:val="B%1."/>
      <w:lvlJc w:val="left"/>
      <w:pPr>
        <w:ind w:left="360" w:hanging="360"/>
      </w:pPr>
      <w:rPr>
        <w:rFonts w:ascii="Corbel,Calibri" w:hAnsi="Corbel,Calibri" w:hint="default"/>
      </w:rPr>
    </w:lvl>
    <w:lvl w:ilvl="1" w:tplc="600AC0E2">
      <w:start w:val="1"/>
      <w:numFmt w:val="lowerLetter"/>
      <w:lvlText w:val="%2."/>
      <w:lvlJc w:val="left"/>
      <w:pPr>
        <w:ind w:left="1440" w:hanging="360"/>
      </w:pPr>
    </w:lvl>
    <w:lvl w:ilvl="2" w:tplc="316A2658">
      <w:start w:val="1"/>
      <w:numFmt w:val="lowerRoman"/>
      <w:lvlText w:val="%3."/>
      <w:lvlJc w:val="right"/>
      <w:pPr>
        <w:ind w:left="2160" w:hanging="180"/>
      </w:pPr>
    </w:lvl>
    <w:lvl w:ilvl="3" w:tplc="7B8652A2">
      <w:start w:val="1"/>
      <w:numFmt w:val="decimal"/>
      <w:lvlText w:val="%4."/>
      <w:lvlJc w:val="left"/>
      <w:pPr>
        <w:ind w:left="2880" w:hanging="360"/>
      </w:pPr>
    </w:lvl>
    <w:lvl w:ilvl="4" w:tplc="966A0FDC">
      <w:start w:val="1"/>
      <w:numFmt w:val="lowerLetter"/>
      <w:lvlText w:val="%5."/>
      <w:lvlJc w:val="left"/>
      <w:pPr>
        <w:ind w:left="3600" w:hanging="360"/>
      </w:pPr>
    </w:lvl>
    <w:lvl w:ilvl="5" w:tplc="E6F87B80">
      <w:start w:val="1"/>
      <w:numFmt w:val="lowerRoman"/>
      <w:lvlText w:val="%6."/>
      <w:lvlJc w:val="right"/>
      <w:pPr>
        <w:ind w:left="4320" w:hanging="180"/>
      </w:pPr>
    </w:lvl>
    <w:lvl w:ilvl="6" w:tplc="849A8A4A">
      <w:start w:val="1"/>
      <w:numFmt w:val="decimal"/>
      <w:lvlText w:val="%7."/>
      <w:lvlJc w:val="left"/>
      <w:pPr>
        <w:ind w:left="5040" w:hanging="360"/>
      </w:pPr>
    </w:lvl>
    <w:lvl w:ilvl="7" w:tplc="9D204150">
      <w:start w:val="1"/>
      <w:numFmt w:val="lowerLetter"/>
      <w:lvlText w:val="%8."/>
      <w:lvlJc w:val="left"/>
      <w:pPr>
        <w:ind w:left="5760" w:hanging="360"/>
      </w:pPr>
    </w:lvl>
    <w:lvl w:ilvl="8" w:tplc="15B63B72">
      <w:start w:val="1"/>
      <w:numFmt w:val="lowerRoman"/>
      <w:lvlText w:val="%9."/>
      <w:lvlJc w:val="right"/>
      <w:pPr>
        <w:ind w:left="6480" w:hanging="180"/>
      </w:pPr>
    </w:lvl>
  </w:abstractNum>
  <w:abstractNum w:abstractNumId="417" w15:restartNumberingAfterBreak="0">
    <w:nsid w:val="5ED67B10"/>
    <w:multiLevelType w:val="multilevel"/>
    <w:tmpl w:val="FA006918"/>
    <w:numStyleLink w:val="SchA"/>
  </w:abstractNum>
  <w:abstractNum w:abstractNumId="418" w15:restartNumberingAfterBreak="0">
    <w:nsid w:val="5F14FD34"/>
    <w:multiLevelType w:val="hybridMultilevel"/>
    <w:tmpl w:val="DA56B72A"/>
    <w:lvl w:ilvl="0" w:tplc="F01615A4">
      <w:start w:val="1"/>
      <w:numFmt w:val="decimal"/>
      <w:lvlText w:val="%1."/>
      <w:lvlJc w:val="left"/>
      <w:pPr>
        <w:ind w:left="720" w:hanging="360"/>
      </w:pPr>
    </w:lvl>
    <w:lvl w:ilvl="1" w:tplc="525E69FE">
      <w:start w:val="1"/>
      <w:numFmt w:val="lowerRoman"/>
      <w:lvlText w:val="%2."/>
      <w:lvlJc w:val="right"/>
      <w:pPr>
        <w:ind w:left="1800" w:hanging="360"/>
      </w:pPr>
      <w:rPr>
        <w:rFonts w:ascii="Calibri" w:hAnsi="Calibri" w:cs="Calibri" w:hint="default"/>
      </w:rPr>
    </w:lvl>
    <w:lvl w:ilvl="2" w:tplc="4106F872">
      <w:start w:val="1"/>
      <w:numFmt w:val="lowerRoman"/>
      <w:lvlText w:val="%3."/>
      <w:lvlJc w:val="right"/>
      <w:pPr>
        <w:ind w:left="2160" w:hanging="180"/>
      </w:pPr>
    </w:lvl>
    <w:lvl w:ilvl="3" w:tplc="F7C49B8A">
      <w:start w:val="1"/>
      <w:numFmt w:val="decimal"/>
      <w:lvlText w:val="%4."/>
      <w:lvlJc w:val="left"/>
      <w:pPr>
        <w:ind w:left="2880" w:hanging="360"/>
      </w:pPr>
    </w:lvl>
    <w:lvl w:ilvl="4" w:tplc="7ADA667A">
      <w:start w:val="1"/>
      <w:numFmt w:val="lowerLetter"/>
      <w:lvlText w:val="%5."/>
      <w:lvlJc w:val="left"/>
      <w:pPr>
        <w:ind w:left="3600" w:hanging="360"/>
      </w:pPr>
    </w:lvl>
    <w:lvl w:ilvl="5" w:tplc="C6E855D8">
      <w:start w:val="1"/>
      <w:numFmt w:val="lowerRoman"/>
      <w:lvlText w:val="%6."/>
      <w:lvlJc w:val="right"/>
      <w:pPr>
        <w:ind w:left="4320" w:hanging="180"/>
      </w:pPr>
    </w:lvl>
    <w:lvl w:ilvl="6" w:tplc="A38E2A4A">
      <w:start w:val="1"/>
      <w:numFmt w:val="decimal"/>
      <w:lvlText w:val="%7."/>
      <w:lvlJc w:val="left"/>
      <w:pPr>
        <w:ind w:left="5040" w:hanging="360"/>
      </w:pPr>
    </w:lvl>
    <w:lvl w:ilvl="7" w:tplc="C9322DF0">
      <w:start w:val="1"/>
      <w:numFmt w:val="lowerLetter"/>
      <w:lvlText w:val="%8."/>
      <w:lvlJc w:val="left"/>
      <w:pPr>
        <w:ind w:left="5760" w:hanging="360"/>
      </w:pPr>
    </w:lvl>
    <w:lvl w:ilvl="8" w:tplc="A0EAD092">
      <w:start w:val="1"/>
      <w:numFmt w:val="lowerRoman"/>
      <w:lvlText w:val="%9."/>
      <w:lvlJc w:val="right"/>
      <w:pPr>
        <w:ind w:left="6480" w:hanging="180"/>
      </w:pPr>
    </w:lvl>
  </w:abstractNum>
  <w:abstractNum w:abstractNumId="419" w15:restartNumberingAfterBreak="0">
    <w:nsid w:val="5FA86E73"/>
    <w:multiLevelType w:val="multilevel"/>
    <w:tmpl w:val="A30A63A4"/>
    <w:numStyleLink w:val="SchE"/>
  </w:abstractNum>
  <w:abstractNum w:abstractNumId="420" w15:restartNumberingAfterBreak="0">
    <w:nsid w:val="5FCD147C"/>
    <w:multiLevelType w:val="multilevel"/>
    <w:tmpl w:val="05E69A80"/>
    <w:numStyleLink w:val="SchI"/>
  </w:abstractNum>
  <w:abstractNum w:abstractNumId="421" w15:restartNumberingAfterBreak="0">
    <w:nsid w:val="60240052"/>
    <w:multiLevelType w:val="multilevel"/>
    <w:tmpl w:val="05E69A80"/>
    <w:numStyleLink w:val="SchI"/>
  </w:abstractNum>
  <w:abstractNum w:abstractNumId="422" w15:restartNumberingAfterBreak="0">
    <w:nsid w:val="606B34E2"/>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23" w15:restartNumberingAfterBreak="0">
    <w:nsid w:val="60B674E5"/>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24" w15:restartNumberingAfterBreak="0">
    <w:nsid w:val="61153835"/>
    <w:multiLevelType w:val="multilevel"/>
    <w:tmpl w:val="C86A375C"/>
    <w:numStyleLink w:val="SchH"/>
  </w:abstractNum>
  <w:abstractNum w:abstractNumId="425" w15:restartNumberingAfterBreak="0">
    <w:nsid w:val="61194AE4"/>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26" w15:restartNumberingAfterBreak="0">
    <w:nsid w:val="616771B8"/>
    <w:multiLevelType w:val="multilevel"/>
    <w:tmpl w:val="C86A375C"/>
    <w:numStyleLink w:val="SchH"/>
  </w:abstractNum>
  <w:abstractNum w:abstractNumId="427" w15:restartNumberingAfterBreak="0">
    <w:nsid w:val="61DB4768"/>
    <w:multiLevelType w:val="multilevel"/>
    <w:tmpl w:val="2196E198"/>
    <w:lvl w:ilvl="0">
      <w:start w:val="6"/>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hint="default"/>
        <w:sz w:val="24"/>
        <w:szCs w:val="24"/>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28" w15:restartNumberingAfterBreak="0">
    <w:nsid w:val="6225772F"/>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29" w15:restartNumberingAfterBreak="0">
    <w:nsid w:val="62423CA7"/>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30" w15:restartNumberingAfterBreak="0">
    <w:nsid w:val="633B2811"/>
    <w:multiLevelType w:val="multilevel"/>
    <w:tmpl w:val="F4BC99EE"/>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31" w15:restartNumberingAfterBreak="0">
    <w:nsid w:val="639B7F72"/>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32" w15:restartNumberingAfterBreak="0">
    <w:nsid w:val="646FD745"/>
    <w:multiLevelType w:val="hybridMultilevel"/>
    <w:tmpl w:val="323C736E"/>
    <w:lvl w:ilvl="0" w:tplc="ADC88140">
      <w:start w:val="1"/>
      <w:numFmt w:val="lowerRoman"/>
      <w:lvlText w:val="%1."/>
      <w:lvlJc w:val="right"/>
      <w:pPr>
        <w:ind w:left="1800" w:hanging="360"/>
      </w:pPr>
      <w:rPr>
        <w:rFonts w:ascii="Calibri" w:hAnsi="Calibri" w:hint="default"/>
      </w:rPr>
    </w:lvl>
    <w:lvl w:ilvl="1" w:tplc="D92E73F4">
      <w:start w:val="1"/>
      <w:numFmt w:val="lowerLetter"/>
      <w:lvlText w:val="%2."/>
      <w:lvlJc w:val="left"/>
      <w:pPr>
        <w:ind w:left="1440" w:hanging="360"/>
      </w:pPr>
    </w:lvl>
    <w:lvl w:ilvl="2" w:tplc="B9EADCC2">
      <w:start w:val="1"/>
      <w:numFmt w:val="lowerRoman"/>
      <w:lvlText w:val="%3."/>
      <w:lvlJc w:val="right"/>
      <w:pPr>
        <w:ind w:left="2160" w:hanging="180"/>
      </w:pPr>
    </w:lvl>
    <w:lvl w:ilvl="3" w:tplc="B40239EC">
      <w:start w:val="1"/>
      <w:numFmt w:val="decimal"/>
      <w:lvlText w:val="%4."/>
      <w:lvlJc w:val="left"/>
      <w:pPr>
        <w:ind w:left="2880" w:hanging="360"/>
      </w:pPr>
    </w:lvl>
    <w:lvl w:ilvl="4" w:tplc="8500C640">
      <w:start w:val="1"/>
      <w:numFmt w:val="lowerLetter"/>
      <w:lvlText w:val="%5."/>
      <w:lvlJc w:val="left"/>
      <w:pPr>
        <w:ind w:left="3600" w:hanging="360"/>
      </w:pPr>
    </w:lvl>
    <w:lvl w:ilvl="5" w:tplc="15ACB944">
      <w:start w:val="1"/>
      <w:numFmt w:val="lowerRoman"/>
      <w:lvlText w:val="%6."/>
      <w:lvlJc w:val="right"/>
      <w:pPr>
        <w:ind w:left="4320" w:hanging="180"/>
      </w:pPr>
    </w:lvl>
    <w:lvl w:ilvl="6" w:tplc="05ECA03A">
      <w:start w:val="1"/>
      <w:numFmt w:val="decimal"/>
      <w:lvlText w:val="%7."/>
      <w:lvlJc w:val="left"/>
      <w:pPr>
        <w:ind w:left="5040" w:hanging="360"/>
      </w:pPr>
    </w:lvl>
    <w:lvl w:ilvl="7" w:tplc="76FAB784">
      <w:start w:val="1"/>
      <w:numFmt w:val="lowerLetter"/>
      <w:lvlText w:val="%8."/>
      <w:lvlJc w:val="left"/>
      <w:pPr>
        <w:ind w:left="5760" w:hanging="360"/>
      </w:pPr>
    </w:lvl>
    <w:lvl w:ilvl="8" w:tplc="CDDC21AE">
      <w:start w:val="1"/>
      <w:numFmt w:val="lowerRoman"/>
      <w:lvlText w:val="%9."/>
      <w:lvlJc w:val="right"/>
      <w:pPr>
        <w:ind w:left="6480" w:hanging="180"/>
      </w:pPr>
    </w:lvl>
  </w:abstractNum>
  <w:abstractNum w:abstractNumId="433" w15:restartNumberingAfterBreak="0">
    <w:nsid w:val="64960A9B"/>
    <w:multiLevelType w:val="multilevel"/>
    <w:tmpl w:val="C86A375C"/>
    <w:numStyleLink w:val="SchH"/>
  </w:abstractNum>
  <w:abstractNum w:abstractNumId="434" w15:restartNumberingAfterBreak="0">
    <w:nsid w:val="64BA006D"/>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35" w15:restartNumberingAfterBreak="0">
    <w:nsid w:val="64D16000"/>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36" w15:restartNumberingAfterBreak="0">
    <w:nsid w:val="65066A88"/>
    <w:multiLevelType w:val="multilevel"/>
    <w:tmpl w:val="3B9E6760"/>
    <w:lvl w:ilvl="0">
      <w:start w:val="1"/>
      <w:numFmt w:val="decimal"/>
      <w:lvlText w:val="C%1."/>
      <w:lvlJc w:val="left"/>
      <w:pPr>
        <w:ind w:left="567" w:hanging="567"/>
      </w:pPr>
      <w:rPr>
        <w:rFonts w:hint="default"/>
        <w:strike w:val="0"/>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37" w15:restartNumberingAfterBreak="0">
    <w:nsid w:val="65140C93"/>
    <w:multiLevelType w:val="multilevel"/>
    <w:tmpl w:val="9D2084D2"/>
    <w:numStyleLink w:val="SchC"/>
  </w:abstractNum>
  <w:abstractNum w:abstractNumId="438" w15:restartNumberingAfterBreak="0">
    <w:nsid w:val="651D62BB"/>
    <w:multiLevelType w:val="multilevel"/>
    <w:tmpl w:val="D812A814"/>
    <w:numStyleLink w:val="SchF"/>
  </w:abstractNum>
  <w:abstractNum w:abstractNumId="439" w15:restartNumberingAfterBreak="0">
    <w:nsid w:val="65C87692"/>
    <w:multiLevelType w:val="multilevel"/>
    <w:tmpl w:val="2196E198"/>
    <w:lvl w:ilvl="0">
      <w:start w:val="6"/>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hint="default"/>
        <w:sz w:val="24"/>
        <w:szCs w:val="24"/>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40" w15:restartNumberingAfterBreak="0">
    <w:nsid w:val="65E009DA"/>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41" w15:restartNumberingAfterBreak="0">
    <w:nsid w:val="65E60249"/>
    <w:multiLevelType w:val="multilevel"/>
    <w:tmpl w:val="44D8870E"/>
    <w:numStyleLink w:val="SchJ"/>
  </w:abstractNum>
  <w:abstractNum w:abstractNumId="442" w15:restartNumberingAfterBreak="0">
    <w:nsid w:val="65EC5293"/>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43" w15:restartNumberingAfterBreak="0">
    <w:nsid w:val="662C60BA"/>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44" w15:restartNumberingAfterBreak="0">
    <w:nsid w:val="664B1DBA"/>
    <w:multiLevelType w:val="multilevel"/>
    <w:tmpl w:val="025E1700"/>
    <w:lvl w:ilvl="0">
      <w:start w:val="1"/>
      <w:numFmt w:val="decimal"/>
      <w:lvlText w:val="%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45" w15:restartNumberingAfterBreak="0">
    <w:nsid w:val="664E10A4"/>
    <w:multiLevelType w:val="multilevel"/>
    <w:tmpl w:val="44D8870E"/>
    <w:numStyleLink w:val="SchJ"/>
  </w:abstractNum>
  <w:abstractNum w:abstractNumId="446" w15:restartNumberingAfterBreak="0">
    <w:nsid w:val="666752A0"/>
    <w:multiLevelType w:val="multilevel"/>
    <w:tmpl w:val="C86A375C"/>
    <w:numStyleLink w:val="SchH"/>
  </w:abstractNum>
  <w:abstractNum w:abstractNumId="447" w15:restartNumberingAfterBreak="0">
    <w:nsid w:val="66A056AC"/>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48" w15:restartNumberingAfterBreak="0">
    <w:nsid w:val="66B90507"/>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49" w15:restartNumberingAfterBreak="0">
    <w:nsid w:val="683B61ED"/>
    <w:multiLevelType w:val="multilevel"/>
    <w:tmpl w:val="F4BC99EE"/>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50" w15:restartNumberingAfterBreak="0">
    <w:nsid w:val="687F1E06"/>
    <w:multiLevelType w:val="hybridMultilevel"/>
    <w:tmpl w:val="BB86B36E"/>
    <w:lvl w:ilvl="0" w:tplc="FFFFFFFF">
      <w:start w:val="1"/>
      <w:numFmt w:val="lowerRoman"/>
      <w:lvlText w:val="%1."/>
      <w:lvlJc w:val="right"/>
      <w:pPr>
        <w:ind w:left="1800" w:hanging="360"/>
      </w:pPr>
      <w:rPr>
        <w:rFonts w:ascii="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1" w15:restartNumberingAfterBreak="0">
    <w:nsid w:val="68944467"/>
    <w:multiLevelType w:val="hybridMultilevel"/>
    <w:tmpl w:val="BB86B36E"/>
    <w:lvl w:ilvl="0" w:tplc="E6284CCC">
      <w:start w:val="1"/>
      <w:numFmt w:val="lowerRoman"/>
      <w:lvlText w:val="%1."/>
      <w:lvlJc w:val="right"/>
      <w:pPr>
        <w:ind w:left="1800" w:hanging="360"/>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2" w15:restartNumberingAfterBreak="0">
    <w:nsid w:val="68AB3F8C"/>
    <w:multiLevelType w:val="multilevel"/>
    <w:tmpl w:val="B4BE5E82"/>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53" w15:restartNumberingAfterBreak="0">
    <w:nsid w:val="68C21CAB"/>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54" w15:restartNumberingAfterBreak="0">
    <w:nsid w:val="69291395"/>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55" w15:restartNumberingAfterBreak="0">
    <w:nsid w:val="693B5898"/>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56" w15:restartNumberingAfterBreak="0">
    <w:nsid w:val="694428F6"/>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57" w15:restartNumberingAfterBreak="0">
    <w:nsid w:val="69500059"/>
    <w:multiLevelType w:val="multilevel"/>
    <w:tmpl w:val="D68064DA"/>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58" w15:restartNumberingAfterBreak="0">
    <w:nsid w:val="698326C3"/>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59" w15:restartNumberingAfterBreak="0">
    <w:nsid w:val="69930D65"/>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60" w15:restartNumberingAfterBreak="0">
    <w:nsid w:val="69EA0DFA"/>
    <w:multiLevelType w:val="multilevel"/>
    <w:tmpl w:val="9D2084D2"/>
    <w:numStyleLink w:val="SchC"/>
  </w:abstractNum>
  <w:abstractNum w:abstractNumId="461" w15:restartNumberingAfterBreak="0">
    <w:nsid w:val="6A046FDA"/>
    <w:multiLevelType w:val="multilevel"/>
    <w:tmpl w:val="F64C5FBE"/>
    <w:lvl w:ilvl="0">
      <w:start w:val="1"/>
      <w:numFmt w:val="none"/>
      <w:lvlText w:val="%1"/>
      <w:lvlJc w:val="left"/>
      <w:pPr>
        <w:tabs>
          <w:tab w:val="num" w:pos="0"/>
        </w:tabs>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lowerRoman"/>
      <w:lvlText w:val="%3."/>
      <w:lvlJc w:val="right"/>
      <w:pPr>
        <w:tabs>
          <w:tab w:val="num" w:pos="1701"/>
        </w:tabs>
        <w:ind w:left="1701" w:hanging="567"/>
      </w:pPr>
      <w:rPr>
        <w:rFonts w:cs="Times New Roman" w:hint="default"/>
      </w:rPr>
    </w:lvl>
    <w:lvl w:ilvl="3">
      <w:start w:val="1"/>
      <w:numFmt w:val="decimal"/>
      <w:lvlText w:val="%4."/>
      <w:lvlJc w:val="left"/>
      <w:pPr>
        <w:tabs>
          <w:tab w:val="num" w:pos="2313"/>
        </w:tabs>
        <w:ind w:left="2313" w:hanging="360"/>
      </w:pPr>
      <w:rPr>
        <w:rFonts w:cs="Times New Roman" w:hint="default"/>
      </w:r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rPr>
        <w:rFonts w:cs="Times New Roman" w:hint="default"/>
      </w:rPr>
    </w:lvl>
    <w:lvl w:ilvl="6">
      <w:start w:val="1"/>
      <w:numFmt w:val="decimal"/>
      <w:lvlText w:val="%7."/>
      <w:lvlJc w:val="left"/>
      <w:pPr>
        <w:tabs>
          <w:tab w:val="num" w:pos="4473"/>
        </w:tabs>
        <w:ind w:left="4473" w:hanging="360"/>
      </w:pPr>
      <w:rPr>
        <w:rFonts w:cs="Times New Roman" w:hint="default"/>
      </w:rPr>
    </w:lvl>
    <w:lvl w:ilvl="7">
      <w:start w:val="1"/>
      <w:numFmt w:val="lowerLetter"/>
      <w:lvlText w:val="%8."/>
      <w:lvlJc w:val="left"/>
      <w:pPr>
        <w:tabs>
          <w:tab w:val="num" w:pos="5193"/>
        </w:tabs>
        <w:ind w:left="5193" w:hanging="360"/>
      </w:pPr>
      <w:rPr>
        <w:rFonts w:cs="Times New Roman" w:hint="default"/>
      </w:rPr>
    </w:lvl>
    <w:lvl w:ilvl="8">
      <w:start w:val="1"/>
      <w:numFmt w:val="upperLetter"/>
      <w:lvlRestart w:val="0"/>
      <w:pStyle w:val="Heading9"/>
      <w:suff w:val="space"/>
      <w:lvlText w:val="Schedule %9"/>
      <w:lvlJc w:val="left"/>
      <w:rPr>
        <w:rFonts w:cs="Times New Roman" w:hint="default"/>
      </w:rPr>
    </w:lvl>
  </w:abstractNum>
  <w:abstractNum w:abstractNumId="462" w15:restartNumberingAfterBreak="0">
    <w:nsid w:val="6A0D3185"/>
    <w:multiLevelType w:val="multilevel"/>
    <w:tmpl w:val="23B88EFA"/>
    <w:lvl w:ilvl="0">
      <w:start w:val="31"/>
      <w:numFmt w:val="decimal"/>
      <w:lvlText w:val="J%1."/>
      <w:lvlJc w:val="left"/>
      <w:pPr>
        <w:ind w:left="709" w:hanging="709"/>
      </w:pPr>
      <w:rPr>
        <w:rFonts w:ascii="Calibri" w:hAnsi="Calibri" w:hint="default"/>
        <w:b w:val="0"/>
        <w:i w:val="0"/>
        <w:sz w:val="24"/>
        <w:szCs w:val="24"/>
      </w:rPr>
    </w:lvl>
    <w:lvl w:ilvl="1">
      <w:start w:val="1"/>
      <w:numFmt w:val="lowerLetter"/>
      <w:lvlText w:val="%2."/>
      <w:lvlJc w:val="left"/>
      <w:pPr>
        <w:tabs>
          <w:tab w:val="num" w:pos="6804"/>
        </w:tabs>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cs="Times New Roman" w:hint="default"/>
        <w:b w:val="0"/>
        <w:i w:val="0"/>
        <w:sz w:val="24"/>
      </w:rPr>
    </w:lvl>
    <w:lvl w:ilvl="3">
      <w:start w:val="1"/>
      <w:numFmt w:val="decimal"/>
      <w:lvlText w:val="%4."/>
      <w:lvlJc w:val="right"/>
      <w:pPr>
        <w:ind w:left="641" w:firstLine="10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1069"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463" w15:restartNumberingAfterBreak="0">
    <w:nsid w:val="6A1B6355"/>
    <w:multiLevelType w:val="hybridMultilevel"/>
    <w:tmpl w:val="F3408140"/>
    <w:lvl w:ilvl="0" w:tplc="E0000030">
      <w:start w:val="1"/>
      <w:numFmt w:val="lowerLetter"/>
      <w:lvlText w:val="%1."/>
      <w:lvlJc w:val="left"/>
      <w:pPr>
        <w:ind w:left="1080" w:hanging="360"/>
      </w:pPr>
    </w:lvl>
    <w:lvl w:ilvl="1" w:tplc="7FD21692">
      <w:start w:val="1"/>
      <w:numFmt w:val="lowerLetter"/>
      <w:lvlText w:val="%2."/>
      <w:lvlJc w:val="left"/>
      <w:pPr>
        <w:ind w:left="1800" w:hanging="360"/>
      </w:pPr>
    </w:lvl>
    <w:lvl w:ilvl="2" w:tplc="48041AB4">
      <w:start w:val="1"/>
      <w:numFmt w:val="lowerRoman"/>
      <w:lvlText w:val="%3."/>
      <w:lvlJc w:val="right"/>
      <w:pPr>
        <w:ind w:left="2160" w:hanging="180"/>
      </w:pPr>
    </w:lvl>
    <w:lvl w:ilvl="3" w:tplc="AC48B530">
      <w:start w:val="1"/>
      <w:numFmt w:val="decimal"/>
      <w:lvlText w:val="%4."/>
      <w:lvlJc w:val="left"/>
      <w:pPr>
        <w:ind w:left="2880" w:hanging="360"/>
      </w:pPr>
    </w:lvl>
    <w:lvl w:ilvl="4" w:tplc="9A46FA06">
      <w:start w:val="1"/>
      <w:numFmt w:val="lowerLetter"/>
      <w:lvlText w:val="%5."/>
      <w:lvlJc w:val="left"/>
      <w:pPr>
        <w:ind w:left="3600" w:hanging="360"/>
      </w:pPr>
    </w:lvl>
    <w:lvl w:ilvl="5" w:tplc="4836C838">
      <w:start w:val="1"/>
      <w:numFmt w:val="lowerRoman"/>
      <w:lvlText w:val="%6."/>
      <w:lvlJc w:val="right"/>
      <w:pPr>
        <w:ind w:left="4320" w:hanging="180"/>
      </w:pPr>
    </w:lvl>
    <w:lvl w:ilvl="6" w:tplc="94ECA450">
      <w:start w:val="1"/>
      <w:numFmt w:val="decimal"/>
      <w:lvlText w:val="%7."/>
      <w:lvlJc w:val="left"/>
      <w:pPr>
        <w:ind w:left="5040" w:hanging="360"/>
      </w:pPr>
    </w:lvl>
    <w:lvl w:ilvl="7" w:tplc="0EE2624E">
      <w:start w:val="1"/>
      <w:numFmt w:val="lowerLetter"/>
      <w:lvlText w:val="%8."/>
      <w:lvlJc w:val="left"/>
      <w:pPr>
        <w:ind w:left="5760" w:hanging="360"/>
      </w:pPr>
    </w:lvl>
    <w:lvl w:ilvl="8" w:tplc="C0C83EC6">
      <w:start w:val="1"/>
      <w:numFmt w:val="lowerRoman"/>
      <w:lvlText w:val="%9."/>
      <w:lvlJc w:val="right"/>
      <w:pPr>
        <w:ind w:left="6480" w:hanging="180"/>
      </w:pPr>
    </w:lvl>
  </w:abstractNum>
  <w:abstractNum w:abstractNumId="464" w15:restartNumberingAfterBreak="0">
    <w:nsid w:val="6A41001E"/>
    <w:multiLevelType w:val="multilevel"/>
    <w:tmpl w:val="9D2084D2"/>
    <w:numStyleLink w:val="SchC"/>
  </w:abstractNum>
  <w:abstractNum w:abstractNumId="465" w15:restartNumberingAfterBreak="0">
    <w:nsid w:val="6A5E6333"/>
    <w:multiLevelType w:val="hybridMultilevel"/>
    <w:tmpl w:val="88906EB0"/>
    <w:lvl w:ilvl="0" w:tplc="FFFFFFFF">
      <w:start w:val="1"/>
      <w:numFmt w:val="lowerLetter"/>
      <w:lvlText w:val="%1."/>
      <w:lvlJc w:val="left"/>
      <w:pPr>
        <w:ind w:left="107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6" w15:restartNumberingAfterBreak="0">
    <w:nsid w:val="6A8362B0"/>
    <w:multiLevelType w:val="multilevel"/>
    <w:tmpl w:val="FA006918"/>
    <w:numStyleLink w:val="SchA"/>
  </w:abstractNum>
  <w:abstractNum w:abstractNumId="467" w15:restartNumberingAfterBreak="0">
    <w:nsid w:val="6B1314B2"/>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68" w15:restartNumberingAfterBreak="0">
    <w:nsid w:val="6B2000B6"/>
    <w:multiLevelType w:val="multilevel"/>
    <w:tmpl w:val="025E1700"/>
    <w:lvl w:ilvl="0">
      <w:start w:val="1"/>
      <w:numFmt w:val="decimal"/>
      <w:lvlText w:val="%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69" w15:restartNumberingAfterBreak="0">
    <w:nsid w:val="6B2B24FD"/>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70" w15:restartNumberingAfterBreak="0">
    <w:nsid w:val="6B8816F7"/>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71" w15:restartNumberingAfterBreak="0">
    <w:nsid w:val="6BA01949"/>
    <w:multiLevelType w:val="multilevel"/>
    <w:tmpl w:val="A1A49E88"/>
    <w:lvl w:ilvl="0">
      <w:start w:val="37"/>
      <w:numFmt w:val="decimal"/>
      <w:lvlText w:val="I%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72" w15:restartNumberingAfterBreak="0">
    <w:nsid w:val="6BBD5A40"/>
    <w:multiLevelType w:val="hybridMultilevel"/>
    <w:tmpl w:val="CAEC524A"/>
    <w:lvl w:ilvl="0" w:tplc="7C10D54C">
      <w:start w:val="1"/>
      <w:numFmt w:val="lowerLetter"/>
      <w:lvlText w:val="%1."/>
      <w:lvlJc w:val="left"/>
      <w:pPr>
        <w:ind w:left="1080" w:hanging="360"/>
      </w:pPr>
      <w:rPr>
        <w:rFonts w:ascii="Calibri" w:hAnsi="Calibri" w:cs="Calibri" w:hint="default"/>
      </w:rPr>
    </w:lvl>
    <w:lvl w:ilvl="1" w:tplc="6E2E7B48">
      <w:start w:val="1"/>
      <w:numFmt w:val="lowerLetter"/>
      <w:lvlText w:val="%2."/>
      <w:lvlJc w:val="left"/>
      <w:pPr>
        <w:ind w:left="1440" w:hanging="360"/>
      </w:pPr>
    </w:lvl>
    <w:lvl w:ilvl="2" w:tplc="01A6B814">
      <w:start w:val="1"/>
      <w:numFmt w:val="lowerRoman"/>
      <w:lvlText w:val="%3."/>
      <w:lvlJc w:val="right"/>
      <w:pPr>
        <w:ind w:left="2160" w:hanging="180"/>
      </w:pPr>
    </w:lvl>
    <w:lvl w:ilvl="3" w:tplc="74A8B098">
      <w:start w:val="1"/>
      <w:numFmt w:val="decimal"/>
      <w:lvlText w:val="%4."/>
      <w:lvlJc w:val="left"/>
      <w:pPr>
        <w:ind w:left="2880" w:hanging="360"/>
      </w:pPr>
    </w:lvl>
    <w:lvl w:ilvl="4" w:tplc="243C8C94">
      <w:start w:val="1"/>
      <w:numFmt w:val="lowerLetter"/>
      <w:lvlText w:val="%5."/>
      <w:lvlJc w:val="left"/>
      <w:pPr>
        <w:ind w:left="3600" w:hanging="360"/>
      </w:pPr>
    </w:lvl>
    <w:lvl w:ilvl="5" w:tplc="B686A982">
      <w:start w:val="1"/>
      <w:numFmt w:val="lowerRoman"/>
      <w:lvlText w:val="%6."/>
      <w:lvlJc w:val="right"/>
      <w:pPr>
        <w:ind w:left="4320" w:hanging="180"/>
      </w:pPr>
    </w:lvl>
    <w:lvl w:ilvl="6" w:tplc="6244467E">
      <w:start w:val="1"/>
      <w:numFmt w:val="decimal"/>
      <w:lvlText w:val="%7."/>
      <w:lvlJc w:val="left"/>
      <w:pPr>
        <w:ind w:left="5040" w:hanging="360"/>
      </w:pPr>
    </w:lvl>
    <w:lvl w:ilvl="7" w:tplc="A2504464">
      <w:start w:val="1"/>
      <w:numFmt w:val="lowerLetter"/>
      <w:lvlText w:val="%8."/>
      <w:lvlJc w:val="left"/>
      <w:pPr>
        <w:ind w:left="5760" w:hanging="360"/>
      </w:pPr>
    </w:lvl>
    <w:lvl w:ilvl="8" w:tplc="0C9AAB48">
      <w:start w:val="1"/>
      <w:numFmt w:val="lowerRoman"/>
      <w:lvlText w:val="%9."/>
      <w:lvlJc w:val="right"/>
      <w:pPr>
        <w:ind w:left="6480" w:hanging="180"/>
      </w:pPr>
    </w:lvl>
  </w:abstractNum>
  <w:abstractNum w:abstractNumId="473" w15:restartNumberingAfterBreak="0">
    <w:nsid w:val="6BDF24CD"/>
    <w:multiLevelType w:val="multilevel"/>
    <w:tmpl w:val="FA006918"/>
    <w:numStyleLink w:val="SchA"/>
  </w:abstractNum>
  <w:abstractNum w:abstractNumId="474" w15:restartNumberingAfterBreak="0">
    <w:nsid w:val="6C511B3A"/>
    <w:multiLevelType w:val="multilevel"/>
    <w:tmpl w:val="025E1700"/>
    <w:lvl w:ilvl="0">
      <w:start w:val="1"/>
      <w:numFmt w:val="decimal"/>
      <w:lvlText w:val="%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75" w15:restartNumberingAfterBreak="0">
    <w:nsid w:val="6C570CBE"/>
    <w:multiLevelType w:val="multilevel"/>
    <w:tmpl w:val="B55C38CE"/>
    <w:numStyleLink w:val="SchB"/>
  </w:abstractNum>
  <w:abstractNum w:abstractNumId="476" w15:restartNumberingAfterBreak="0">
    <w:nsid w:val="6C7B7E6D"/>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77" w15:restartNumberingAfterBreak="0">
    <w:nsid w:val="6C9C78A4"/>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78" w15:restartNumberingAfterBreak="0">
    <w:nsid w:val="6CA82C33"/>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79" w15:restartNumberingAfterBreak="0">
    <w:nsid w:val="6CAA0FAD"/>
    <w:multiLevelType w:val="multilevel"/>
    <w:tmpl w:val="05E69A80"/>
    <w:numStyleLink w:val="SchI"/>
  </w:abstractNum>
  <w:abstractNum w:abstractNumId="480" w15:restartNumberingAfterBreak="0">
    <w:nsid w:val="6CE55C96"/>
    <w:multiLevelType w:val="multilevel"/>
    <w:tmpl w:val="9D2084D2"/>
    <w:numStyleLink w:val="SchC"/>
  </w:abstractNum>
  <w:abstractNum w:abstractNumId="481" w15:restartNumberingAfterBreak="0">
    <w:nsid w:val="6D3D0955"/>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82" w15:restartNumberingAfterBreak="0">
    <w:nsid w:val="6D4125BC"/>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83" w15:restartNumberingAfterBreak="0">
    <w:nsid w:val="6D6E53AA"/>
    <w:multiLevelType w:val="multilevel"/>
    <w:tmpl w:val="05E69A80"/>
    <w:numStyleLink w:val="SchI"/>
  </w:abstractNum>
  <w:abstractNum w:abstractNumId="484" w15:restartNumberingAfterBreak="0">
    <w:nsid w:val="6D9538FD"/>
    <w:multiLevelType w:val="multilevel"/>
    <w:tmpl w:val="B55C38CE"/>
    <w:numStyleLink w:val="SchB"/>
  </w:abstractNum>
  <w:abstractNum w:abstractNumId="485" w15:restartNumberingAfterBreak="0">
    <w:nsid w:val="6DB7661C"/>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86" w15:restartNumberingAfterBreak="0">
    <w:nsid w:val="6DC86736"/>
    <w:multiLevelType w:val="multilevel"/>
    <w:tmpl w:val="FFD89C72"/>
    <w:lvl w:ilvl="0">
      <w:start w:val="1"/>
      <w:numFmt w:val="decimal"/>
      <w:lvlText w:val="C%1."/>
      <w:lvlJc w:val="left"/>
      <w:pPr>
        <w:ind w:left="851"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87" w15:restartNumberingAfterBreak="0">
    <w:nsid w:val="6E366251"/>
    <w:multiLevelType w:val="multilevel"/>
    <w:tmpl w:val="AE160D64"/>
    <w:lvl w:ilvl="0">
      <w:start w:val="1"/>
      <w:numFmt w:val="decimal"/>
      <w:lvlText w:val="G%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88" w15:restartNumberingAfterBreak="0">
    <w:nsid w:val="6E534359"/>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89" w15:restartNumberingAfterBreak="0">
    <w:nsid w:val="6E725570"/>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90" w15:restartNumberingAfterBreak="0">
    <w:nsid w:val="6E754626"/>
    <w:multiLevelType w:val="multilevel"/>
    <w:tmpl w:val="613CC802"/>
    <w:lvl w:ilvl="0">
      <w:start w:val="57"/>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91" w15:restartNumberingAfterBreak="0">
    <w:nsid w:val="6E9A698D"/>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92" w15:restartNumberingAfterBreak="0">
    <w:nsid w:val="6E9B0426"/>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93" w15:restartNumberingAfterBreak="0">
    <w:nsid w:val="6EB311F7"/>
    <w:multiLevelType w:val="multilevel"/>
    <w:tmpl w:val="C86A375C"/>
    <w:numStyleLink w:val="SchH"/>
  </w:abstractNum>
  <w:abstractNum w:abstractNumId="494" w15:restartNumberingAfterBreak="0">
    <w:nsid w:val="6EC70A68"/>
    <w:multiLevelType w:val="multilevel"/>
    <w:tmpl w:val="9D2084D2"/>
    <w:numStyleLink w:val="SchC"/>
  </w:abstractNum>
  <w:abstractNum w:abstractNumId="495" w15:restartNumberingAfterBreak="0">
    <w:nsid w:val="700716E4"/>
    <w:multiLevelType w:val="multilevel"/>
    <w:tmpl w:val="D68064DA"/>
    <w:styleLink w:val="Style2"/>
    <w:lvl w:ilvl="0">
      <w:start w:val="1"/>
      <w:numFmt w:val="decimal"/>
      <w:lvlText w:val="B%1."/>
      <w:lvlJc w:val="left"/>
      <w:pPr>
        <w:ind w:left="567" w:hanging="567"/>
      </w:pPr>
      <w:rPr>
        <w:rFonts w:ascii="Calibri" w:hAnsi="Calibri"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96" w15:restartNumberingAfterBreak="0">
    <w:nsid w:val="70A41B0B"/>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97" w15:restartNumberingAfterBreak="0">
    <w:nsid w:val="70AF484D"/>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98" w15:restartNumberingAfterBreak="0">
    <w:nsid w:val="70F94287"/>
    <w:multiLevelType w:val="multilevel"/>
    <w:tmpl w:val="FA006918"/>
    <w:numStyleLink w:val="SchA"/>
  </w:abstractNum>
  <w:abstractNum w:abstractNumId="499" w15:restartNumberingAfterBreak="0">
    <w:nsid w:val="717348E9"/>
    <w:multiLevelType w:val="hybridMultilevel"/>
    <w:tmpl w:val="F134F0B2"/>
    <w:lvl w:ilvl="0" w:tplc="5F06F4E6">
      <w:start w:val="1"/>
      <w:numFmt w:val="decimal"/>
      <w:lvlText w:val="%1."/>
      <w:lvlJc w:val="left"/>
      <w:pPr>
        <w:ind w:left="720" w:hanging="360"/>
      </w:pPr>
    </w:lvl>
    <w:lvl w:ilvl="1" w:tplc="5BB81AE0">
      <w:start w:val="1"/>
      <w:numFmt w:val="lowerRoman"/>
      <w:lvlText w:val="%2."/>
      <w:lvlJc w:val="right"/>
      <w:pPr>
        <w:ind w:left="1800" w:hanging="360"/>
      </w:pPr>
      <w:rPr>
        <w:rFonts w:ascii="Calibri" w:hAnsi="Calibri" w:cs="Calibri" w:hint="default"/>
      </w:rPr>
    </w:lvl>
    <w:lvl w:ilvl="2" w:tplc="B824C71E">
      <w:start w:val="1"/>
      <w:numFmt w:val="lowerRoman"/>
      <w:lvlText w:val="%3."/>
      <w:lvlJc w:val="right"/>
      <w:pPr>
        <w:ind w:left="2160" w:hanging="180"/>
      </w:pPr>
    </w:lvl>
    <w:lvl w:ilvl="3" w:tplc="49C2E930">
      <w:start w:val="1"/>
      <w:numFmt w:val="decimal"/>
      <w:lvlText w:val="%4."/>
      <w:lvlJc w:val="left"/>
      <w:pPr>
        <w:ind w:left="2880" w:hanging="360"/>
      </w:pPr>
    </w:lvl>
    <w:lvl w:ilvl="4" w:tplc="58DE9772">
      <w:start w:val="1"/>
      <w:numFmt w:val="lowerLetter"/>
      <w:lvlText w:val="%5."/>
      <w:lvlJc w:val="left"/>
      <w:pPr>
        <w:ind w:left="3600" w:hanging="360"/>
      </w:pPr>
    </w:lvl>
    <w:lvl w:ilvl="5" w:tplc="5B4E1610">
      <w:start w:val="1"/>
      <w:numFmt w:val="lowerRoman"/>
      <w:lvlText w:val="%6."/>
      <w:lvlJc w:val="right"/>
      <w:pPr>
        <w:ind w:left="4320" w:hanging="180"/>
      </w:pPr>
    </w:lvl>
    <w:lvl w:ilvl="6" w:tplc="E3105CA0">
      <w:start w:val="1"/>
      <w:numFmt w:val="decimal"/>
      <w:lvlText w:val="%7."/>
      <w:lvlJc w:val="left"/>
      <w:pPr>
        <w:ind w:left="5040" w:hanging="360"/>
      </w:pPr>
    </w:lvl>
    <w:lvl w:ilvl="7" w:tplc="DC52B15A">
      <w:start w:val="1"/>
      <w:numFmt w:val="lowerLetter"/>
      <w:lvlText w:val="%8."/>
      <w:lvlJc w:val="left"/>
      <w:pPr>
        <w:ind w:left="5760" w:hanging="360"/>
      </w:pPr>
    </w:lvl>
    <w:lvl w:ilvl="8" w:tplc="4B568F2C">
      <w:start w:val="1"/>
      <w:numFmt w:val="lowerRoman"/>
      <w:lvlText w:val="%9."/>
      <w:lvlJc w:val="right"/>
      <w:pPr>
        <w:ind w:left="6480" w:hanging="180"/>
      </w:pPr>
    </w:lvl>
  </w:abstractNum>
  <w:abstractNum w:abstractNumId="500" w15:restartNumberingAfterBreak="0">
    <w:nsid w:val="71BD2514"/>
    <w:multiLevelType w:val="multilevel"/>
    <w:tmpl w:val="44D8870E"/>
    <w:numStyleLink w:val="SchJ"/>
  </w:abstractNum>
  <w:abstractNum w:abstractNumId="501" w15:restartNumberingAfterBreak="0">
    <w:nsid w:val="71DC469F"/>
    <w:multiLevelType w:val="multilevel"/>
    <w:tmpl w:val="FA006918"/>
    <w:numStyleLink w:val="SchA"/>
  </w:abstractNum>
  <w:abstractNum w:abstractNumId="502" w15:restartNumberingAfterBreak="0">
    <w:nsid w:val="71FA5237"/>
    <w:multiLevelType w:val="multilevel"/>
    <w:tmpl w:val="613CC802"/>
    <w:lvl w:ilvl="0">
      <w:start w:val="57"/>
      <w:numFmt w:val="decimal"/>
      <w:lvlText w:val="D%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03" w15:restartNumberingAfterBreak="0">
    <w:nsid w:val="727A0F85"/>
    <w:multiLevelType w:val="multilevel"/>
    <w:tmpl w:val="FFD89C72"/>
    <w:lvl w:ilvl="0">
      <w:start w:val="1"/>
      <w:numFmt w:val="decimal"/>
      <w:lvlText w:val="C%1."/>
      <w:lvlJc w:val="left"/>
      <w:pPr>
        <w:ind w:left="851"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04" w15:restartNumberingAfterBreak="0">
    <w:nsid w:val="727E2A1B"/>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05" w15:restartNumberingAfterBreak="0">
    <w:nsid w:val="72E041D4"/>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06" w15:restartNumberingAfterBreak="0">
    <w:nsid w:val="730B4896"/>
    <w:multiLevelType w:val="multilevel"/>
    <w:tmpl w:val="FA006918"/>
    <w:numStyleLink w:val="SchA"/>
  </w:abstractNum>
  <w:abstractNum w:abstractNumId="507" w15:restartNumberingAfterBreak="0">
    <w:nsid w:val="73183682"/>
    <w:multiLevelType w:val="multilevel"/>
    <w:tmpl w:val="B55C38CE"/>
    <w:styleLink w:val="SchB"/>
    <w:lvl w:ilvl="0">
      <w:start w:val="1"/>
      <w:numFmt w:val="decimal"/>
      <w:lvlText w:val="B%1."/>
      <w:lvlJc w:val="left"/>
      <w:pPr>
        <w:ind w:left="709" w:hanging="709"/>
      </w:pPr>
      <w:rPr>
        <w:rFonts w:ascii="Calibri" w:hAnsi="Calibri" w:hint="default"/>
        <w:b w:val="0"/>
        <w:i w:val="0"/>
        <w:sz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8" w15:restartNumberingAfterBreak="0">
    <w:nsid w:val="73FC5A86"/>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09" w15:restartNumberingAfterBreak="0">
    <w:nsid w:val="744129D8"/>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10" w15:restartNumberingAfterBreak="0">
    <w:nsid w:val="745943A9"/>
    <w:multiLevelType w:val="multilevel"/>
    <w:tmpl w:val="B55C38CE"/>
    <w:numStyleLink w:val="SchB"/>
  </w:abstractNum>
  <w:abstractNum w:abstractNumId="511" w15:restartNumberingAfterBreak="0">
    <w:nsid w:val="747E5DFD"/>
    <w:multiLevelType w:val="multilevel"/>
    <w:tmpl w:val="FFD89C72"/>
    <w:lvl w:ilvl="0">
      <w:start w:val="1"/>
      <w:numFmt w:val="decimal"/>
      <w:lvlText w:val="C%1."/>
      <w:lvlJc w:val="left"/>
      <w:pPr>
        <w:ind w:left="851"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12" w15:restartNumberingAfterBreak="0">
    <w:nsid w:val="749F50CC"/>
    <w:multiLevelType w:val="multilevel"/>
    <w:tmpl w:val="44D8870E"/>
    <w:numStyleLink w:val="SchJ"/>
  </w:abstractNum>
  <w:abstractNum w:abstractNumId="513" w15:restartNumberingAfterBreak="0">
    <w:nsid w:val="75296854"/>
    <w:multiLevelType w:val="multilevel"/>
    <w:tmpl w:val="B55C38CE"/>
    <w:numStyleLink w:val="SchB"/>
  </w:abstractNum>
  <w:abstractNum w:abstractNumId="514" w15:restartNumberingAfterBreak="0">
    <w:nsid w:val="754D6AF3"/>
    <w:multiLevelType w:val="multilevel"/>
    <w:tmpl w:val="EE025996"/>
    <w:numStyleLink w:val="Appendix"/>
  </w:abstractNum>
  <w:abstractNum w:abstractNumId="515" w15:restartNumberingAfterBreak="0">
    <w:nsid w:val="757C6787"/>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16" w15:restartNumberingAfterBreak="0">
    <w:nsid w:val="759643F8"/>
    <w:multiLevelType w:val="multilevel"/>
    <w:tmpl w:val="FA006918"/>
    <w:numStyleLink w:val="SchA"/>
  </w:abstractNum>
  <w:abstractNum w:abstractNumId="517" w15:restartNumberingAfterBreak="0">
    <w:nsid w:val="75C55832"/>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18" w15:restartNumberingAfterBreak="0">
    <w:nsid w:val="75D835B0"/>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19" w15:restartNumberingAfterBreak="0">
    <w:nsid w:val="75F15F7D"/>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20" w15:restartNumberingAfterBreak="0">
    <w:nsid w:val="76765AEE"/>
    <w:multiLevelType w:val="hybridMultilevel"/>
    <w:tmpl w:val="44643690"/>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21" w15:restartNumberingAfterBreak="0">
    <w:nsid w:val="76864CE2"/>
    <w:multiLevelType w:val="multilevel"/>
    <w:tmpl w:val="9D2084D2"/>
    <w:numStyleLink w:val="SchC"/>
  </w:abstractNum>
  <w:abstractNum w:abstractNumId="522" w15:restartNumberingAfterBreak="0">
    <w:nsid w:val="76DE63F8"/>
    <w:multiLevelType w:val="multilevel"/>
    <w:tmpl w:val="7A185874"/>
    <w:lvl w:ilvl="0">
      <w:start w:val="1"/>
      <w:numFmt w:val="decimal"/>
      <w:lvlText w:val="C%1."/>
      <w:lvlJc w:val="left"/>
      <w:pPr>
        <w:ind w:left="567"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23" w15:restartNumberingAfterBreak="0">
    <w:nsid w:val="76F26231"/>
    <w:multiLevelType w:val="multilevel"/>
    <w:tmpl w:val="73226B68"/>
    <w:styleLink w:val="Style11"/>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24" w15:restartNumberingAfterBreak="0">
    <w:nsid w:val="77CC1B92"/>
    <w:multiLevelType w:val="multilevel"/>
    <w:tmpl w:val="02863EF2"/>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78436881"/>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26" w15:restartNumberingAfterBreak="0">
    <w:nsid w:val="7846709D"/>
    <w:multiLevelType w:val="hybridMultilevel"/>
    <w:tmpl w:val="E142508E"/>
    <w:lvl w:ilvl="0" w:tplc="FFFFFFFF">
      <w:start w:val="1"/>
      <w:numFmt w:val="lowerLetter"/>
      <w:lvlText w:val="%1."/>
      <w:lvlJc w:val="left"/>
      <w:pPr>
        <w:ind w:left="1440" w:hanging="360"/>
      </w:pPr>
      <w:rPr>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7" w15:restartNumberingAfterBreak="0">
    <w:nsid w:val="787D31A2"/>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28" w15:restartNumberingAfterBreak="0">
    <w:nsid w:val="78C87130"/>
    <w:multiLevelType w:val="multilevel"/>
    <w:tmpl w:val="C86A375C"/>
    <w:numStyleLink w:val="SchH"/>
  </w:abstractNum>
  <w:abstractNum w:abstractNumId="529" w15:restartNumberingAfterBreak="0">
    <w:nsid w:val="794517B2"/>
    <w:multiLevelType w:val="multilevel"/>
    <w:tmpl w:val="47B6A746"/>
    <w:lvl w:ilvl="0">
      <w:start w:val="1"/>
      <w:numFmt w:val="decimal"/>
      <w:lvlText w:val="C%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30" w15:restartNumberingAfterBreak="0">
    <w:nsid w:val="797556DE"/>
    <w:multiLevelType w:val="multilevel"/>
    <w:tmpl w:val="FFD89C72"/>
    <w:lvl w:ilvl="0">
      <w:start w:val="1"/>
      <w:numFmt w:val="decimal"/>
      <w:lvlText w:val="C%1."/>
      <w:lvlJc w:val="left"/>
      <w:pPr>
        <w:ind w:left="851" w:hanging="567"/>
      </w:pPr>
      <w:rPr>
        <w:rFonts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31" w15:restartNumberingAfterBreak="0">
    <w:nsid w:val="798E12CC"/>
    <w:multiLevelType w:val="multilevel"/>
    <w:tmpl w:val="B55C38CE"/>
    <w:numStyleLink w:val="SchB"/>
  </w:abstractNum>
  <w:abstractNum w:abstractNumId="532" w15:restartNumberingAfterBreak="0">
    <w:nsid w:val="79A34790"/>
    <w:multiLevelType w:val="multilevel"/>
    <w:tmpl w:val="C86A375C"/>
    <w:numStyleLink w:val="SchH"/>
  </w:abstractNum>
  <w:abstractNum w:abstractNumId="533" w15:restartNumberingAfterBreak="0">
    <w:nsid w:val="7A1E19C5"/>
    <w:multiLevelType w:val="multilevel"/>
    <w:tmpl w:val="B55C38CE"/>
    <w:numStyleLink w:val="SchB"/>
  </w:abstractNum>
  <w:abstractNum w:abstractNumId="534" w15:restartNumberingAfterBreak="0">
    <w:nsid w:val="7AEC077B"/>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35" w15:restartNumberingAfterBreak="0">
    <w:nsid w:val="7B245CC0"/>
    <w:multiLevelType w:val="multilevel"/>
    <w:tmpl w:val="B55C38CE"/>
    <w:numStyleLink w:val="SchB"/>
  </w:abstractNum>
  <w:abstractNum w:abstractNumId="536" w15:restartNumberingAfterBreak="0">
    <w:nsid w:val="7B6B1CD7"/>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37" w15:restartNumberingAfterBreak="0">
    <w:nsid w:val="7C0B7717"/>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38" w15:restartNumberingAfterBreak="0">
    <w:nsid w:val="7C6D33C4"/>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39" w15:restartNumberingAfterBreak="0">
    <w:nsid w:val="7C8F4729"/>
    <w:multiLevelType w:val="multilevel"/>
    <w:tmpl w:val="05E69A80"/>
    <w:numStyleLink w:val="SchI"/>
  </w:abstractNum>
  <w:abstractNum w:abstractNumId="540" w15:restartNumberingAfterBreak="0">
    <w:nsid w:val="7CA107D6"/>
    <w:multiLevelType w:val="multilevel"/>
    <w:tmpl w:val="9D2084D2"/>
    <w:numStyleLink w:val="SchC"/>
  </w:abstractNum>
  <w:abstractNum w:abstractNumId="541" w15:restartNumberingAfterBreak="0">
    <w:nsid w:val="7D644215"/>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42" w15:restartNumberingAfterBreak="0">
    <w:nsid w:val="7D7F484D"/>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43" w15:restartNumberingAfterBreak="0">
    <w:nsid w:val="7D8A5C7B"/>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44" w15:restartNumberingAfterBreak="0">
    <w:nsid w:val="7DBC5764"/>
    <w:multiLevelType w:val="hybridMultilevel"/>
    <w:tmpl w:val="E142508E"/>
    <w:lvl w:ilvl="0" w:tplc="FFFFFFFF">
      <w:start w:val="1"/>
      <w:numFmt w:val="lowerLetter"/>
      <w:lvlText w:val="%1."/>
      <w:lvlJc w:val="left"/>
      <w:pPr>
        <w:ind w:left="144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5" w15:restartNumberingAfterBreak="0">
    <w:nsid w:val="7DBC63F0"/>
    <w:multiLevelType w:val="multilevel"/>
    <w:tmpl w:val="C86A375C"/>
    <w:numStyleLink w:val="SchH"/>
  </w:abstractNum>
  <w:abstractNum w:abstractNumId="546" w15:restartNumberingAfterBreak="0">
    <w:nsid w:val="7DCB2164"/>
    <w:multiLevelType w:val="multilevel"/>
    <w:tmpl w:val="73226B68"/>
    <w:lvl w:ilvl="0">
      <w:start w:val="1"/>
      <w:numFmt w:val="decimal"/>
      <w:lvlText w:val="E%1."/>
      <w:lvlJc w:val="left"/>
      <w:pPr>
        <w:ind w:left="786" w:hanging="360"/>
      </w:pPr>
      <w:rPr>
        <w:rFonts w:hint="default"/>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47" w15:restartNumberingAfterBreak="0">
    <w:nsid w:val="7DD65D1E"/>
    <w:multiLevelType w:val="multilevel"/>
    <w:tmpl w:val="A30A63A4"/>
    <w:styleLink w:val="SchE"/>
    <w:lvl w:ilvl="0">
      <w:start w:val="1"/>
      <w:numFmt w:val="decimal"/>
      <w:lvlText w:val="E%1."/>
      <w:lvlJc w:val="left"/>
      <w:pPr>
        <w:ind w:left="709" w:hanging="709"/>
      </w:pPr>
      <w:rPr>
        <w:rFonts w:ascii="Calibri" w:hAnsi="Calibri" w:hint="default"/>
        <w:b w:val="0"/>
        <w:i w:val="0"/>
        <w:sz w:val="24"/>
        <w:szCs w:val="24"/>
      </w:rPr>
    </w:lvl>
    <w:lvl w:ilvl="1">
      <w:start w:val="1"/>
      <w:numFmt w:val="lowerLetter"/>
      <w:lvlText w:val="%2."/>
      <w:lvlJc w:val="left"/>
      <w:pPr>
        <w:ind w:left="1134" w:hanging="425"/>
      </w:pPr>
      <w:rPr>
        <w:rFonts w:ascii="Calibri" w:hAnsi="Calibri" w:hint="default"/>
        <w:b w:val="0"/>
        <w:i w:val="0"/>
        <w:sz w:val="24"/>
      </w:rPr>
    </w:lvl>
    <w:lvl w:ilvl="2">
      <w:start w:val="1"/>
      <w:numFmt w:val="lowerRoman"/>
      <w:lvlText w:val="%3."/>
      <w:lvlJc w:val="right"/>
      <w:pPr>
        <w:ind w:left="1843" w:hanging="182"/>
      </w:pPr>
      <w:rPr>
        <w:rFonts w:ascii="Calibri" w:hAnsi="Calibri" w:hint="default"/>
        <w:b w:val="0"/>
        <w:i w:val="0"/>
        <w:sz w:val="24"/>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48" w15:restartNumberingAfterBreak="0">
    <w:nsid w:val="7E100251"/>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49" w15:restartNumberingAfterBreak="0">
    <w:nsid w:val="7E3059E4"/>
    <w:multiLevelType w:val="multilevel"/>
    <w:tmpl w:val="B55C38CE"/>
    <w:numStyleLink w:val="SchB"/>
  </w:abstractNum>
  <w:abstractNum w:abstractNumId="550" w15:restartNumberingAfterBreak="0">
    <w:nsid w:val="7E9F6DB2"/>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51" w15:restartNumberingAfterBreak="0">
    <w:nsid w:val="7ECE704D"/>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52" w15:restartNumberingAfterBreak="0">
    <w:nsid w:val="7EF676BB"/>
    <w:multiLevelType w:val="multilevel"/>
    <w:tmpl w:val="C86A375C"/>
    <w:numStyleLink w:val="SchH"/>
  </w:abstractNum>
  <w:abstractNum w:abstractNumId="553" w15:restartNumberingAfterBreak="0">
    <w:nsid w:val="7F006EBA"/>
    <w:multiLevelType w:val="multilevel"/>
    <w:tmpl w:val="A30A63A4"/>
    <w:numStyleLink w:val="SchE"/>
  </w:abstractNum>
  <w:abstractNum w:abstractNumId="554" w15:restartNumberingAfterBreak="0">
    <w:nsid w:val="7F9B27C5"/>
    <w:multiLevelType w:val="multilevel"/>
    <w:tmpl w:val="DDF82736"/>
    <w:lvl w:ilvl="0">
      <w:start w:val="1"/>
      <w:numFmt w:val="decimal"/>
      <w:lvlText w:val="F%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55" w15:restartNumberingAfterBreak="0">
    <w:nsid w:val="7FDA2755"/>
    <w:multiLevelType w:val="multilevel"/>
    <w:tmpl w:val="C8C6E8D4"/>
    <w:lvl w:ilvl="0">
      <w:start w:val="1"/>
      <w:numFmt w:val="decimal"/>
      <w:lvlText w:val="A%1."/>
      <w:lvlJc w:val="left"/>
      <w:pPr>
        <w:ind w:left="567" w:hanging="567"/>
      </w:pPr>
      <w:rPr>
        <w:rFonts w:ascii="Calibri" w:hAnsi="Calibri"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16cid:durableId="1632707810">
    <w:abstractNumId w:val="523"/>
  </w:num>
  <w:num w:numId="2" w16cid:durableId="2052487177">
    <w:abstractNumId w:val="193"/>
  </w:num>
  <w:num w:numId="3" w16cid:durableId="1017272190">
    <w:abstractNumId w:val="512"/>
  </w:num>
  <w:num w:numId="4" w16cid:durableId="714739874">
    <w:abstractNumId w:val="197"/>
  </w:num>
  <w:num w:numId="5" w16cid:durableId="2091194746">
    <w:abstractNumId w:val="183"/>
  </w:num>
  <w:num w:numId="6" w16cid:durableId="321088657">
    <w:abstractNumId w:val="345"/>
  </w:num>
  <w:num w:numId="7" w16cid:durableId="122501906">
    <w:abstractNumId w:val="385"/>
  </w:num>
  <w:num w:numId="8" w16cid:durableId="1833793775">
    <w:abstractNumId w:val="123"/>
  </w:num>
  <w:num w:numId="9" w16cid:durableId="517500458">
    <w:abstractNumId w:val="415"/>
  </w:num>
  <w:num w:numId="10" w16cid:durableId="1614091409">
    <w:abstractNumId w:val="198"/>
  </w:num>
  <w:num w:numId="11" w16cid:durableId="1130517176">
    <w:abstractNumId w:val="245"/>
  </w:num>
  <w:num w:numId="12" w16cid:durableId="1493642794">
    <w:abstractNumId w:val="149"/>
  </w:num>
  <w:num w:numId="13" w16cid:durableId="311521837">
    <w:abstractNumId w:val="59"/>
  </w:num>
  <w:num w:numId="14" w16cid:durableId="2016566783">
    <w:abstractNumId w:val="396"/>
  </w:num>
  <w:num w:numId="15" w16cid:durableId="273024094">
    <w:abstractNumId w:val="401"/>
  </w:num>
  <w:num w:numId="16" w16cid:durableId="396325017">
    <w:abstractNumId w:val="285"/>
    <w:lvlOverride w:ilvl="0">
      <w:lvl w:ilvl="0" w:tplc="4AD2BB94">
        <w:numFmt w:val="decimal"/>
        <w:pStyle w:val="Normalnumbered"/>
        <w:lvlText w:val="%1."/>
        <w:lvlJc w:val="left"/>
        <w:pPr>
          <w:ind w:left="360" w:hanging="360"/>
        </w:pPr>
        <w:rPr>
          <w:rFonts w:hint="default"/>
        </w:rPr>
      </w:lvl>
    </w:lvlOverride>
    <w:lvlOverride w:ilvl="1">
      <w:lvl w:ilvl="1" w:tplc="C8226EDA">
        <w:numFmt w:val="lowerLetter"/>
        <w:lvlText w:val="%2."/>
        <w:lvlJc w:val="left"/>
        <w:pPr>
          <w:ind w:left="1080" w:hanging="360"/>
        </w:pPr>
        <w:rPr>
          <w:rFonts w:hint="default"/>
        </w:rPr>
      </w:lvl>
    </w:lvlOverride>
    <w:lvlOverride w:ilvl="2">
      <w:lvl w:ilvl="2" w:tplc="0958CB88">
        <w:numFmt w:val="lowerRoman"/>
        <w:lvlText w:val="%3."/>
        <w:lvlJc w:val="right"/>
        <w:pPr>
          <w:ind w:left="1800" w:hanging="180"/>
        </w:pPr>
        <w:rPr>
          <w:rFonts w:hint="default"/>
        </w:rPr>
      </w:lvl>
    </w:lvlOverride>
    <w:lvlOverride w:ilvl="3">
      <w:lvl w:ilvl="3" w:tplc="A5A4201C">
        <w:numFmt w:val="decimal"/>
        <w:lvlText w:val="%4."/>
        <w:lvlJc w:val="left"/>
        <w:pPr>
          <w:ind w:left="2520" w:hanging="360"/>
        </w:pPr>
        <w:rPr>
          <w:rFonts w:hint="default"/>
        </w:rPr>
      </w:lvl>
    </w:lvlOverride>
    <w:lvlOverride w:ilvl="4">
      <w:lvl w:ilvl="4" w:tplc="23189244">
        <w:numFmt w:val="lowerLetter"/>
        <w:lvlText w:val="%5."/>
        <w:lvlJc w:val="left"/>
        <w:pPr>
          <w:ind w:left="3240" w:hanging="360"/>
        </w:pPr>
        <w:rPr>
          <w:rFonts w:hint="default"/>
        </w:rPr>
      </w:lvl>
    </w:lvlOverride>
    <w:lvlOverride w:ilvl="5">
      <w:lvl w:ilvl="5" w:tplc="D996E51C">
        <w:numFmt w:val="lowerRoman"/>
        <w:lvlText w:val="%6."/>
        <w:lvlJc w:val="right"/>
        <w:pPr>
          <w:ind w:left="3960" w:hanging="180"/>
        </w:pPr>
        <w:rPr>
          <w:rFonts w:hint="default"/>
        </w:rPr>
      </w:lvl>
    </w:lvlOverride>
    <w:lvlOverride w:ilvl="6">
      <w:lvl w:ilvl="6" w:tplc="0F6A99EE">
        <w:numFmt w:val="decimal"/>
        <w:lvlText w:val="%7."/>
        <w:lvlJc w:val="left"/>
        <w:pPr>
          <w:ind w:left="4680" w:hanging="360"/>
        </w:pPr>
        <w:rPr>
          <w:rFonts w:hint="default"/>
        </w:rPr>
      </w:lvl>
    </w:lvlOverride>
    <w:lvlOverride w:ilvl="7">
      <w:lvl w:ilvl="7" w:tplc="EBAE1808">
        <w:numFmt w:val="lowerLetter"/>
        <w:lvlText w:val="%8."/>
        <w:lvlJc w:val="left"/>
        <w:pPr>
          <w:ind w:left="5400" w:hanging="360"/>
        </w:pPr>
        <w:rPr>
          <w:rFonts w:hint="default"/>
        </w:rPr>
      </w:lvl>
    </w:lvlOverride>
    <w:lvlOverride w:ilvl="8">
      <w:lvl w:ilvl="8" w:tplc="52FCFDA0">
        <w:numFmt w:val="lowerRoman"/>
        <w:lvlText w:val="%9."/>
        <w:lvlJc w:val="right"/>
        <w:pPr>
          <w:ind w:left="6120" w:hanging="180"/>
        </w:pPr>
        <w:rPr>
          <w:rFonts w:hint="default"/>
        </w:rPr>
      </w:lvl>
    </w:lvlOverride>
  </w:num>
  <w:num w:numId="17" w16cid:durableId="185489816">
    <w:abstractNumId w:val="420"/>
  </w:num>
  <w:num w:numId="18" w16cid:durableId="114178449">
    <w:abstractNumId w:val="387"/>
  </w:num>
  <w:num w:numId="19" w16cid:durableId="634068679">
    <w:abstractNumId w:val="309"/>
  </w:num>
  <w:num w:numId="20" w16cid:durableId="833685943">
    <w:abstractNumId w:val="266"/>
  </w:num>
  <w:num w:numId="21" w16cid:durableId="2040623117">
    <w:abstractNumId w:val="122"/>
    <w:lvlOverride w:ilvl="0">
      <w:lvl w:ilvl="0">
        <w:start w:val="1"/>
        <w:numFmt w:val="decimal"/>
        <w:lvlText w:val="E%1."/>
        <w:lvlJc w:val="left"/>
        <w:pPr>
          <w:ind w:left="709" w:hanging="709"/>
        </w:pPr>
        <w:rPr>
          <w:rFonts w:ascii="Calibri" w:hAnsi="Calibri" w:hint="default"/>
          <w:b w:val="0"/>
          <w:i w:val="0"/>
          <w:sz w:val="24"/>
          <w:szCs w:val="24"/>
        </w:rPr>
      </w:lvl>
    </w:lvlOverride>
    <w:lvlOverride w:ilvl="1">
      <w:lvl w:ilvl="1">
        <w:start w:val="1"/>
        <w:numFmt w:val="lowerLetter"/>
        <w:lvlText w:val="%2."/>
        <w:lvlJc w:val="left"/>
        <w:pPr>
          <w:ind w:left="1134" w:hanging="425"/>
        </w:pPr>
        <w:rPr>
          <w:rFonts w:ascii="Calibri" w:hAnsi="Calibri" w:hint="default"/>
          <w:b w:val="0"/>
          <w:i w:val="0"/>
          <w:sz w:val="24"/>
        </w:rPr>
      </w:lvl>
    </w:lvlOverride>
  </w:num>
  <w:num w:numId="22" w16cid:durableId="1051001441">
    <w:abstractNumId w:val="480"/>
    <w:lvlOverride w:ilvl="0">
      <w:lvl w:ilvl="0">
        <w:start w:val="1"/>
        <w:numFmt w:val="decimal"/>
        <w:lvlText w:val="C%1."/>
        <w:lvlJc w:val="left"/>
        <w:pPr>
          <w:ind w:left="709" w:hanging="709"/>
        </w:pPr>
        <w:rPr>
          <w:rFonts w:ascii="Calibri" w:hAnsi="Calibri" w:hint="default"/>
          <w:b w:val="0"/>
          <w:i w:val="0"/>
          <w:sz w:val="24"/>
          <w:szCs w:val="24"/>
        </w:rPr>
      </w:lvl>
    </w:lvlOverride>
  </w:num>
  <w:num w:numId="23" w16cid:durableId="1727022820">
    <w:abstractNumId w:val="495"/>
  </w:num>
  <w:num w:numId="24" w16cid:durableId="1901791771">
    <w:abstractNumId w:val="388"/>
  </w:num>
  <w:num w:numId="25" w16cid:durableId="1415859132">
    <w:abstractNumId w:val="238"/>
  </w:num>
  <w:num w:numId="26" w16cid:durableId="10105397">
    <w:abstractNumId w:val="555"/>
  </w:num>
  <w:num w:numId="27" w16cid:durableId="881525222">
    <w:abstractNumId w:val="466"/>
  </w:num>
  <w:num w:numId="28" w16cid:durableId="533661566">
    <w:abstractNumId w:val="34"/>
  </w:num>
  <w:num w:numId="29" w16cid:durableId="2047637904">
    <w:abstractNumId w:val="155"/>
  </w:num>
  <w:num w:numId="30" w16cid:durableId="220404357">
    <w:abstractNumId w:val="70"/>
    <w:lvlOverride w:ilvl="2">
      <w:lvl w:ilvl="2">
        <w:start w:val="1"/>
        <w:numFmt w:val="lowerRoman"/>
        <w:lvlText w:val="%3."/>
        <w:lvlJc w:val="right"/>
        <w:pPr>
          <w:ind w:left="1843" w:hanging="182"/>
        </w:pPr>
        <w:rPr>
          <w:rFonts w:ascii="Calibri" w:hAnsi="Calibri" w:hint="default"/>
          <w:b w:val="0"/>
          <w:i w:val="0"/>
          <w:sz w:val="24"/>
        </w:rPr>
      </w:lvl>
    </w:lvlOverride>
  </w:num>
  <w:num w:numId="31" w16cid:durableId="175194273">
    <w:abstractNumId w:val="371"/>
  </w:num>
  <w:num w:numId="32" w16cid:durableId="1361785746">
    <w:abstractNumId w:val="181"/>
  </w:num>
  <w:num w:numId="33" w16cid:durableId="33238763">
    <w:abstractNumId w:val="227"/>
  </w:num>
  <w:num w:numId="34" w16cid:durableId="1380784735">
    <w:abstractNumId w:val="461"/>
  </w:num>
  <w:num w:numId="35" w16cid:durableId="1489783048">
    <w:abstractNumId w:val="265"/>
  </w:num>
  <w:num w:numId="36" w16cid:durableId="683673252">
    <w:abstractNumId w:val="87"/>
  </w:num>
  <w:num w:numId="37" w16cid:durableId="851070497">
    <w:abstractNumId w:val="84"/>
  </w:num>
  <w:num w:numId="38" w16cid:durableId="1835342084">
    <w:abstractNumId w:val="52"/>
  </w:num>
  <w:num w:numId="39" w16cid:durableId="978026343">
    <w:abstractNumId w:val="358"/>
  </w:num>
  <w:num w:numId="40" w16cid:durableId="1283002790">
    <w:abstractNumId w:val="304"/>
  </w:num>
  <w:num w:numId="41" w16cid:durableId="1842427075">
    <w:abstractNumId w:val="352"/>
  </w:num>
  <w:num w:numId="42" w16cid:durableId="380710254">
    <w:abstractNumId w:val="165"/>
    <w:lvlOverride w:ilvl="0"/>
    <w:lvlOverride w:ilvl="1">
      <w:startOverride w:val="1"/>
    </w:lvlOverride>
  </w:num>
  <w:num w:numId="43" w16cid:durableId="1261178968">
    <w:abstractNumId w:val="163"/>
  </w:num>
  <w:num w:numId="44" w16cid:durableId="1470854836">
    <w:abstractNumId w:val="524"/>
  </w:num>
  <w:num w:numId="45" w16cid:durableId="489685178">
    <w:abstractNumId w:val="209"/>
  </w:num>
  <w:num w:numId="46" w16cid:durableId="496310358">
    <w:abstractNumId w:val="43"/>
  </w:num>
  <w:num w:numId="47" w16cid:durableId="115223580">
    <w:abstractNumId w:val="22"/>
  </w:num>
  <w:num w:numId="48" w16cid:durableId="1021082407">
    <w:abstractNumId w:val="416"/>
  </w:num>
  <w:num w:numId="49" w16cid:durableId="1491100683">
    <w:abstractNumId w:val="506"/>
  </w:num>
  <w:num w:numId="50" w16cid:durableId="1453596114">
    <w:abstractNumId w:val="56"/>
  </w:num>
  <w:num w:numId="51" w16cid:durableId="1018654078">
    <w:abstractNumId w:val="383"/>
  </w:num>
  <w:num w:numId="52" w16cid:durableId="222180255">
    <w:abstractNumId w:val="151"/>
    <w:lvlOverride w:ilvl="1">
      <w:lvl w:ilvl="1">
        <w:start w:val="1"/>
        <w:numFmt w:val="lowerLetter"/>
        <w:lvlText w:val="%2."/>
        <w:lvlJc w:val="left"/>
        <w:pPr>
          <w:ind w:left="1134" w:hanging="425"/>
        </w:pPr>
        <w:rPr>
          <w:rFonts w:ascii="Calibri" w:hAnsi="Calibri" w:hint="default"/>
          <w:b w:val="0"/>
          <w:i w:val="0"/>
          <w:sz w:val="24"/>
        </w:rPr>
      </w:lvl>
    </w:lvlOverride>
    <w:lvlOverride w:ilvl="2">
      <w:lvl w:ilvl="2">
        <w:start w:val="1"/>
        <w:numFmt w:val="lowerRoman"/>
        <w:lvlText w:val="%3."/>
        <w:lvlJc w:val="right"/>
        <w:pPr>
          <w:ind w:left="1843" w:hanging="182"/>
        </w:pPr>
        <w:rPr>
          <w:rFonts w:ascii="Calibri" w:hAnsi="Calibri" w:hint="default"/>
          <w:b w:val="0"/>
          <w:i w:val="0"/>
          <w:sz w:val="24"/>
        </w:rPr>
      </w:lvl>
    </w:lvlOverride>
  </w:num>
  <w:num w:numId="53" w16cid:durableId="1592546585">
    <w:abstractNumId w:val="150"/>
  </w:num>
  <w:num w:numId="54" w16cid:durableId="106002000">
    <w:abstractNumId w:val="257"/>
    <w:lvlOverride w:ilvl="0">
      <w:lvl w:ilvl="0">
        <w:start w:val="1"/>
        <w:numFmt w:val="decimal"/>
        <w:lvlText w:val="A%1."/>
        <w:lvlJc w:val="left"/>
        <w:pPr>
          <w:ind w:left="709" w:hanging="709"/>
        </w:pPr>
        <w:rPr>
          <w:rFonts w:ascii="Calibri" w:hAnsi="Calibri" w:hint="default"/>
          <w:b w:val="0"/>
          <w:i w:val="0"/>
          <w:sz w:val="24"/>
          <w:szCs w:val="24"/>
        </w:rPr>
      </w:lvl>
    </w:lvlOverride>
    <w:lvlOverride w:ilvl="1">
      <w:lvl w:ilvl="1">
        <w:start w:val="1"/>
        <w:numFmt w:val="lowerLetter"/>
        <w:lvlText w:val="%2."/>
        <w:lvlJc w:val="left"/>
        <w:pPr>
          <w:ind w:left="1134" w:hanging="425"/>
        </w:pPr>
        <w:rPr>
          <w:rFonts w:ascii="Calibri" w:hAnsi="Calibri" w:hint="default"/>
          <w:b w:val="0"/>
          <w:i w:val="0"/>
          <w:sz w:val="24"/>
        </w:rPr>
      </w:lvl>
    </w:lvlOverride>
    <w:lvlOverride w:ilvl="2">
      <w:lvl w:ilvl="2">
        <w:start w:val="1"/>
        <w:numFmt w:val="lowerRoman"/>
        <w:lvlText w:val="%3."/>
        <w:lvlJc w:val="right"/>
        <w:pPr>
          <w:ind w:left="1843" w:hanging="182"/>
        </w:pPr>
        <w:rPr>
          <w:rFonts w:ascii="Calibri" w:hAnsi="Calibri" w:hint="default"/>
          <w:b w:val="0"/>
          <w:i w:val="0"/>
          <w:sz w:val="24"/>
        </w:rPr>
      </w:lvl>
    </w:lvlOverride>
    <w:lvlOverride w:ilvl="3">
      <w:lvl w:ilvl="3">
        <w:start w:val="1"/>
        <w:numFmt w:val="decimal"/>
        <w:lvlText w:val="%4."/>
        <w:lvlJc w:val="left"/>
        <w:pPr>
          <w:ind w:left="2946" w:hanging="360"/>
        </w:pPr>
        <w:rPr>
          <w:rFonts w:hint="default"/>
        </w:rPr>
      </w:lvl>
    </w:lvlOverride>
    <w:lvlOverride w:ilvl="4">
      <w:lvl w:ilvl="4">
        <w:start w:val="1"/>
        <w:numFmt w:val="lowerLetter"/>
        <w:lvlText w:val="%5."/>
        <w:lvlJc w:val="left"/>
        <w:pPr>
          <w:ind w:left="3666" w:hanging="360"/>
        </w:pPr>
        <w:rPr>
          <w:rFonts w:hint="default"/>
        </w:rPr>
      </w:lvl>
    </w:lvlOverride>
    <w:lvlOverride w:ilvl="5">
      <w:lvl w:ilvl="5">
        <w:start w:val="1"/>
        <w:numFmt w:val="lowerRoman"/>
        <w:lvlText w:val="%6."/>
        <w:lvlJc w:val="right"/>
        <w:pPr>
          <w:ind w:left="4386" w:hanging="180"/>
        </w:pPr>
        <w:rPr>
          <w:rFonts w:hint="default"/>
        </w:rPr>
      </w:lvl>
    </w:lvlOverride>
    <w:lvlOverride w:ilvl="6">
      <w:lvl w:ilvl="6">
        <w:start w:val="1"/>
        <w:numFmt w:val="decimal"/>
        <w:lvlText w:val="%7."/>
        <w:lvlJc w:val="left"/>
        <w:pPr>
          <w:ind w:left="5106" w:hanging="360"/>
        </w:pPr>
        <w:rPr>
          <w:rFonts w:hint="default"/>
        </w:rPr>
      </w:lvl>
    </w:lvlOverride>
    <w:lvlOverride w:ilvl="7">
      <w:lvl w:ilvl="7">
        <w:start w:val="1"/>
        <w:numFmt w:val="lowerLetter"/>
        <w:lvlText w:val="%8."/>
        <w:lvlJc w:val="left"/>
        <w:pPr>
          <w:ind w:left="5826" w:hanging="360"/>
        </w:pPr>
        <w:rPr>
          <w:rFonts w:hint="default"/>
        </w:rPr>
      </w:lvl>
    </w:lvlOverride>
    <w:lvlOverride w:ilvl="8">
      <w:lvl w:ilvl="8">
        <w:start w:val="1"/>
        <w:numFmt w:val="lowerRoman"/>
        <w:lvlText w:val="%9."/>
        <w:lvlJc w:val="right"/>
        <w:pPr>
          <w:ind w:left="6546" w:hanging="180"/>
        </w:pPr>
        <w:rPr>
          <w:rFonts w:hint="default"/>
        </w:rPr>
      </w:lvl>
    </w:lvlOverride>
  </w:num>
  <w:num w:numId="55" w16cid:durableId="1009064489">
    <w:abstractNumId w:val="341"/>
    <w:lvlOverride w:ilvl="2">
      <w:lvl w:ilvl="2">
        <w:start w:val="1"/>
        <w:numFmt w:val="lowerRoman"/>
        <w:lvlText w:val="%3."/>
        <w:lvlJc w:val="right"/>
        <w:pPr>
          <w:ind w:left="1843" w:hanging="182"/>
        </w:pPr>
        <w:rPr>
          <w:rFonts w:ascii="Calibri" w:hAnsi="Calibri" w:hint="default"/>
          <w:b w:val="0"/>
          <w:i w:val="0"/>
          <w:sz w:val="24"/>
        </w:rPr>
      </w:lvl>
    </w:lvlOverride>
  </w:num>
  <w:num w:numId="56" w16cid:durableId="636421226">
    <w:abstractNumId w:val="62"/>
  </w:num>
  <w:num w:numId="57" w16cid:durableId="1253586878">
    <w:abstractNumId w:val="179"/>
  </w:num>
  <w:num w:numId="58" w16cid:durableId="1949392508">
    <w:abstractNumId w:val="39"/>
  </w:num>
  <w:num w:numId="59" w16cid:durableId="279144473">
    <w:abstractNumId w:val="394"/>
  </w:num>
  <w:num w:numId="60" w16cid:durableId="1939556017">
    <w:abstractNumId w:val="20"/>
  </w:num>
  <w:num w:numId="61" w16cid:durableId="185606084">
    <w:abstractNumId w:val="331"/>
  </w:num>
  <w:num w:numId="62" w16cid:durableId="1502161656">
    <w:abstractNumId w:val="216"/>
  </w:num>
  <w:num w:numId="63" w16cid:durableId="55444609">
    <w:abstractNumId w:val="473"/>
    <w:lvlOverride w:ilvl="1">
      <w:lvl w:ilvl="1">
        <w:start w:val="1"/>
        <w:numFmt w:val="lowerLetter"/>
        <w:lvlText w:val="%2."/>
        <w:lvlJc w:val="left"/>
        <w:pPr>
          <w:ind w:left="1134" w:hanging="425"/>
        </w:pPr>
        <w:rPr>
          <w:rFonts w:ascii="Calibri" w:hAnsi="Calibri" w:hint="default"/>
          <w:b w:val="0"/>
          <w:i w:val="0"/>
          <w:sz w:val="24"/>
        </w:rPr>
      </w:lvl>
    </w:lvlOverride>
  </w:num>
  <w:num w:numId="64" w16cid:durableId="1456287598">
    <w:abstractNumId w:val="322"/>
  </w:num>
  <w:num w:numId="65" w16cid:durableId="1538619169">
    <w:abstractNumId w:val="501"/>
  </w:num>
  <w:num w:numId="66" w16cid:durableId="1628853400">
    <w:abstractNumId w:val="31"/>
  </w:num>
  <w:num w:numId="67" w16cid:durableId="1436169314">
    <w:abstractNumId w:val="295"/>
  </w:num>
  <w:num w:numId="68" w16cid:durableId="1589346291">
    <w:abstractNumId w:val="350"/>
  </w:num>
  <w:num w:numId="69" w16cid:durableId="1679649916">
    <w:abstractNumId w:val="189"/>
  </w:num>
  <w:num w:numId="70" w16cid:durableId="1365716340">
    <w:abstractNumId w:val="18"/>
  </w:num>
  <w:num w:numId="71" w16cid:durableId="1885483676">
    <w:abstractNumId w:val="299"/>
    <w:lvlOverride w:ilvl="1">
      <w:lvl w:ilvl="1">
        <w:start w:val="1"/>
        <w:numFmt w:val="lowerLetter"/>
        <w:lvlText w:val="%2."/>
        <w:lvlJc w:val="left"/>
        <w:pPr>
          <w:ind w:left="1134" w:hanging="425"/>
        </w:pPr>
        <w:rPr>
          <w:rFonts w:ascii="Calibri" w:hAnsi="Calibri" w:hint="default"/>
          <w:b w:val="0"/>
          <w:i w:val="0"/>
          <w:sz w:val="24"/>
        </w:rPr>
      </w:lvl>
    </w:lvlOverride>
  </w:num>
  <w:num w:numId="72" w16cid:durableId="729183860">
    <w:abstractNumId w:val="162"/>
  </w:num>
  <w:num w:numId="73" w16cid:durableId="1398630770">
    <w:abstractNumId w:val="40"/>
  </w:num>
  <w:num w:numId="74" w16cid:durableId="195318781">
    <w:abstractNumId w:val="417"/>
    <w:lvlOverride w:ilvl="1">
      <w:lvl w:ilvl="1">
        <w:start w:val="1"/>
        <w:numFmt w:val="lowerLetter"/>
        <w:lvlText w:val="%2."/>
        <w:lvlJc w:val="left"/>
        <w:pPr>
          <w:ind w:left="1134" w:hanging="425"/>
        </w:pPr>
        <w:rPr>
          <w:rFonts w:ascii="Calibri" w:hAnsi="Calibri" w:hint="default"/>
          <w:b w:val="0"/>
          <w:i w:val="0"/>
          <w:sz w:val="24"/>
        </w:rPr>
      </w:lvl>
    </w:lvlOverride>
  </w:num>
  <w:num w:numId="75" w16cid:durableId="433210584">
    <w:abstractNumId w:val="355"/>
    <w:lvlOverride w:ilvl="2">
      <w:lvl w:ilvl="2">
        <w:start w:val="1"/>
        <w:numFmt w:val="lowerRoman"/>
        <w:lvlText w:val="%3."/>
        <w:lvlJc w:val="right"/>
        <w:pPr>
          <w:ind w:left="1843" w:hanging="182"/>
        </w:pPr>
        <w:rPr>
          <w:rFonts w:ascii="Calibri" w:hAnsi="Calibri" w:hint="default"/>
          <w:b w:val="0"/>
          <w:i w:val="0"/>
          <w:sz w:val="24"/>
        </w:rPr>
      </w:lvl>
    </w:lvlOverride>
  </w:num>
  <w:num w:numId="76" w16cid:durableId="728307703">
    <w:abstractNumId w:val="92"/>
  </w:num>
  <w:num w:numId="77" w16cid:durableId="1786732394">
    <w:abstractNumId w:val="293"/>
  </w:num>
  <w:num w:numId="78" w16cid:durableId="1432625495">
    <w:abstractNumId w:val="268"/>
  </w:num>
  <w:num w:numId="79" w16cid:durableId="459736382">
    <w:abstractNumId w:val="374"/>
  </w:num>
  <w:num w:numId="80" w16cid:durableId="142891972">
    <w:abstractNumId w:val="338"/>
  </w:num>
  <w:num w:numId="81" w16cid:durableId="1372456826">
    <w:abstractNumId w:val="516"/>
  </w:num>
  <w:num w:numId="82" w16cid:durableId="1998610288">
    <w:abstractNumId w:val="104"/>
  </w:num>
  <w:num w:numId="83" w16cid:durableId="1203010508">
    <w:abstractNumId w:val="142"/>
  </w:num>
  <w:num w:numId="84" w16cid:durableId="709647024">
    <w:abstractNumId w:val="365"/>
    <w:lvlOverride w:ilvl="1">
      <w:lvl w:ilvl="1">
        <w:start w:val="1"/>
        <w:numFmt w:val="lowerLetter"/>
        <w:lvlText w:val="%2."/>
        <w:lvlJc w:val="left"/>
        <w:pPr>
          <w:ind w:left="1134" w:hanging="425"/>
        </w:pPr>
        <w:rPr>
          <w:rFonts w:ascii="Calibri" w:hAnsi="Calibri" w:hint="default"/>
          <w:b w:val="0"/>
          <w:i w:val="0"/>
          <w:sz w:val="24"/>
        </w:rPr>
      </w:lvl>
    </w:lvlOverride>
  </w:num>
  <w:num w:numId="85" w16cid:durableId="1620526929">
    <w:abstractNumId w:val="221"/>
  </w:num>
  <w:num w:numId="86" w16cid:durableId="2089616317">
    <w:abstractNumId w:val="161"/>
  </w:num>
  <w:num w:numId="87" w16cid:durableId="831214755">
    <w:abstractNumId w:val="223"/>
  </w:num>
  <w:num w:numId="88" w16cid:durableId="858083982">
    <w:abstractNumId w:val="323"/>
    <w:lvlOverride w:ilvl="1">
      <w:lvl w:ilvl="1">
        <w:start w:val="1"/>
        <w:numFmt w:val="lowerLetter"/>
        <w:lvlText w:val="%2."/>
        <w:lvlJc w:val="left"/>
        <w:pPr>
          <w:ind w:left="1134" w:hanging="425"/>
        </w:pPr>
        <w:rPr>
          <w:rFonts w:ascii="Calibri" w:hAnsi="Calibri" w:hint="default"/>
          <w:b w:val="0"/>
          <w:i w:val="0"/>
          <w:sz w:val="24"/>
        </w:rPr>
      </w:lvl>
    </w:lvlOverride>
  </w:num>
  <w:num w:numId="89" w16cid:durableId="585650293">
    <w:abstractNumId w:val="507"/>
  </w:num>
  <w:num w:numId="90" w16cid:durableId="668214973">
    <w:abstractNumId w:val="414"/>
    <w:lvlOverride w:ilvl="0">
      <w:lvl w:ilvl="0">
        <w:start w:val="1"/>
        <w:numFmt w:val="decimal"/>
        <w:lvlText w:val="B%1."/>
        <w:lvlJc w:val="left"/>
        <w:pPr>
          <w:ind w:left="709" w:hanging="709"/>
        </w:pPr>
        <w:rPr>
          <w:rFonts w:ascii="Calibri" w:hAnsi="Calibri" w:hint="default"/>
          <w:b w:val="0"/>
          <w:i w:val="0"/>
          <w:sz w:val="24"/>
        </w:rPr>
      </w:lvl>
    </w:lvlOverride>
    <w:lvlOverride w:ilvl="1">
      <w:lvl w:ilvl="1">
        <w:start w:val="1"/>
        <w:numFmt w:val="lowerLetter"/>
        <w:lvlText w:val="%2."/>
        <w:lvlJc w:val="left"/>
        <w:pPr>
          <w:ind w:left="1134" w:hanging="425"/>
        </w:pPr>
        <w:rPr>
          <w:rFonts w:ascii="Calibri" w:hAnsi="Calibri" w:hint="default"/>
          <w:b w:val="0"/>
          <w:i w:val="0"/>
          <w:sz w:val="24"/>
        </w:rPr>
      </w:lvl>
    </w:lvlOverride>
    <w:lvlOverride w:ilvl="2">
      <w:lvl w:ilvl="2">
        <w:start w:val="1"/>
        <w:numFmt w:val="lowerRoman"/>
        <w:lvlText w:val="%3."/>
        <w:lvlJc w:val="right"/>
        <w:pPr>
          <w:ind w:left="1843" w:hanging="182"/>
        </w:pPr>
        <w:rPr>
          <w:rFonts w:ascii="Calibri" w:hAnsi="Calibri" w:hint="default"/>
          <w:b w:val="0"/>
          <w:i w:val="0"/>
          <w:sz w:val="24"/>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91" w16cid:durableId="375544531">
    <w:abstractNumId w:val="144"/>
    <w:lvlOverride w:ilvl="1">
      <w:lvl w:ilvl="1">
        <w:start w:val="1"/>
        <w:numFmt w:val="lowerLetter"/>
        <w:lvlText w:val="%2."/>
        <w:lvlJc w:val="left"/>
        <w:pPr>
          <w:ind w:left="1134" w:hanging="425"/>
        </w:pPr>
        <w:rPr>
          <w:rFonts w:ascii="Calibri" w:hAnsi="Calibri" w:hint="default"/>
          <w:b w:val="0"/>
          <w:i w:val="0"/>
          <w:sz w:val="24"/>
        </w:rPr>
      </w:lvl>
    </w:lvlOverride>
  </w:num>
  <w:num w:numId="92" w16cid:durableId="921836813">
    <w:abstractNumId w:val="318"/>
    <w:lvlOverride w:ilvl="1">
      <w:lvl w:ilvl="1">
        <w:start w:val="1"/>
        <w:numFmt w:val="lowerLetter"/>
        <w:lvlText w:val="%2."/>
        <w:lvlJc w:val="left"/>
        <w:pPr>
          <w:ind w:left="1134" w:hanging="425"/>
        </w:pPr>
        <w:rPr>
          <w:rFonts w:ascii="Calibri" w:hAnsi="Calibri" w:hint="default"/>
          <w:b w:val="0"/>
          <w:i w:val="0"/>
          <w:sz w:val="24"/>
        </w:rPr>
      </w:lvl>
    </w:lvlOverride>
  </w:num>
  <w:num w:numId="93" w16cid:durableId="161119513">
    <w:abstractNumId w:val="475"/>
    <w:lvlOverride w:ilvl="0">
      <w:lvl w:ilvl="0">
        <w:start w:val="1"/>
        <w:numFmt w:val="decimal"/>
        <w:lvlText w:val="B%1."/>
        <w:lvlJc w:val="left"/>
        <w:pPr>
          <w:ind w:left="709" w:hanging="709"/>
        </w:pPr>
        <w:rPr>
          <w:rFonts w:ascii="Calibri" w:hAnsi="Calibri" w:hint="default"/>
          <w:b w:val="0"/>
          <w:i w:val="0"/>
          <w:sz w:val="24"/>
        </w:rPr>
      </w:lvl>
    </w:lvlOverride>
    <w:lvlOverride w:ilvl="1">
      <w:lvl w:ilvl="1">
        <w:start w:val="1"/>
        <w:numFmt w:val="lowerLetter"/>
        <w:lvlText w:val="%2."/>
        <w:lvlJc w:val="left"/>
        <w:pPr>
          <w:ind w:left="1134" w:hanging="425"/>
        </w:pPr>
        <w:rPr>
          <w:rFonts w:ascii="Calibri" w:hAnsi="Calibri" w:hint="default"/>
          <w:b w:val="0"/>
          <w:i w:val="0"/>
          <w:sz w:val="24"/>
        </w:rPr>
      </w:lvl>
    </w:lvlOverride>
    <w:lvlOverride w:ilvl="2">
      <w:lvl w:ilvl="2">
        <w:start w:val="1"/>
        <w:numFmt w:val="lowerRoman"/>
        <w:lvlText w:val="%3."/>
        <w:lvlJc w:val="right"/>
        <w:pPr>
          <w:ind w:left="1843" w:hanging="182"/>
        </w:pPr>
        <w:rPr>
          <w:rFonts w:ascii="Calibri" w:hAnsi="Calibri" w:hint="default"/>
          <w:b w:val="0"/>
          <w:i w:val="0"/>
          <w:sz w:val="24"/>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94" w16cid:durableId="1006784217">
    <w:abstractNumId w:val="158"/>
  </w:num>
  <w:num w:numId="95" w16cid:durableId="727189770">
    <w:abstractNumId w:val="549"/>
  </w:num>
  <w:num w:numId="96" w16cid:durableId="1282422441">
    <w:abstractNumId w:val="272"/>
  </w:num>
  <w:num w:numId="97" w16cid:durableId="1110127591">
    <w:abstractNumId w:val="510"/>
    <w:lvlOverride w:ilvl="2">
      <w:lvl w:ilvl="2">
        <w:start w:val="1"/>
        <w:numFmt w:val="lowerRoman"/>
        <w:lvlText w:val="%3."/>
        <w:lvlJc w:val="right"/>
        <w:pPr>
          <w:ind w:left="1843" w:hanging="182"/>
        </w:pPr>
        <w:rPr>
          <w:rFonts w:ascii="Calibri" w:hAnsi="Calibri" w:hint="default"/>
          <w:b w:val="0"/>
          <w:i w:val="0"/>
          <w:sz w:val="24"/>
        </w:rPr>
      </w:lvl>
    </w:lvlOverride>
  </w:num>
  <w:num w:numId="98" w16cid:durableId="2043826619">
    <w:abstractNumId w:val="200"/>
    <w:lvlOverride w:ilvl="2">
      <w:lvl w:ilvl="2">
        <w:start w:val="1"/>
        <w:numFmt w:val="lowerRoman"/>
        <w:lvlText w:val="%3."/>
        <w:lvlJc w:val="right"/>
        <w:pPr>
          <w:ind w:left="1843" w:hanging="182"/>
        </w:pPr>
        <w:rPr>
          <w:rFonts w:ascii="Calibri" w:hAnsi="Calibri" w:hint="default"/>
          <w:b w:val="0"/>
          <w:i w:val="0"/>
          <w:sz w:val="24"/>
        </w:rPr>
      </w:lvl>
    </w:lvlOverride>
  </w:num>
  <w:num w:numId="99" w16cid:durableId="453181672">
    <w:abstractNumId w:val="533"/>
    <w:lvlOverride w:ilvl="2">
      <w:lvl w:ilvl="2">
        <w:start w:val="1"/>
        <w:numFmt w:val="lowerRoman"/>
        <w:lvlText w:val="%3."/>
        <w:lvlJc w:val="right"/>
        <w:pPr>
          <w:ind w:left="1843" w:hanging="182"/>
        </w:pPr>
        <w:rPr>
          <w:rFonts w:ascii="Calibri" w:hAnsi="Calibri" w:hint="default"/>
          <w:b w:val="0"/>
          <w:i w:val="0"/>
          <w:sz w:val="24"/>
        </w:rPr>
      </w:lvl>
    </w:lvlOverride>
  </w:num>
  <w:num w:numId="100" w16cid:durableId="255751853">
    <w:abstractNumId w:val="68"/>
    <w:lvlOverride w:ilvl="2">
      <w:lvl w:ilvl="2">
        <w:start w:val="1"/>
        <w:numFmt w:val="lowerRoman"/>
        <w:lvlText w:val="%3."/>
        <w:lvlJc w:val="right"/>
        <w:pPr>
          <w:ind w:left="1843" w:hanging="182"/>
        </w:pPr>
        <w:rPr>
          <w:rFonts w:ascii="Calibri" w:hAnsi="Calibri" w:hint="default"/>
          <w:b w:val="0"/>
          <w:i w:val="0"/>
          <w:sz w:val="24"/>
        </w:rPr>
      </w:lvl>
    </w:lvlOverride>
  </w:num>
  <w:num w:numId="101" w16cid:durableId="2060084148">
    <w:abstractNumId w:val="263"/>
  </w:num>
  <w:num w:numId="102" w16cid:durableId="1385983515">
    <w:abstractNumId w:val="292"/>
  </w:num>
  <w:num w:numId="103" w16cid:durableId="1000542471">
    <w:abstractNumId w:val="535"/>
  </w:num>
  <w:num w:numId="104" w16cid:durableId="504787597">
    <w:abstractNumId w:val="484"/>
    <w:lvlOverride w:ilvl="2">
      <w:lvl w:ilvl="2">
        <w:start w:val="1"/>
        <w:numFmt w:val="lowerRoman"/>
        <w:lvlText w:val="%3."/>
        <w:lvlJc w:val="right"/>
        <w:pPr>
          <w:ind w:left="1843" w:hanging="182"/>
        </w:pPr>
        <w:rPr>
          <w:rFonts w:ascii="Calibri" w:hAnsi="Calibri" w:hint="default"/>
          <w:b w:val="0"/>
          <w:i w:val="0"/>
          <w:sz w:val="24"/>
        </w:rPr>
      </w:lvl>
    </w:lvlOverride>
  </w:num>
  <w:num w:numId="105" w16cid:durableId="207568741">
    <w:abstractNumId w:val="372"/>
  </w:num>
  <w:num w:numId="106" w16cid:durableId="87233078">
    <w:abstractNumId w:val="389"/>
  </w:num>
  <w:num w:numId="107" w16cid:durableId="1123229384">
    <w:abstractNumId w:val="49"/>
    <w:lvlOverride w:ilvl="2">
      <w:lvl w:ilvl="2">
        <w:start w:val="1"/>
        <w:numFmt w:val="lowerRoman"/>
        <w:lvlText w:val="%3."/>
        <w:lvlJc w:val="right"/>
        <w:pPr>
          <w:ind w:left="1843" w:hanging="182"/>
        </w:pPr>
        <w:rPr>
          <w:rFonts w:ascii="Calibri" w:hAnsi="Calibri" w:hint="default"/>
          <w:b w:val="0"/>
          <w:i w:val="0"/>
          <w:sz w:val="24"/>
        </w:rPr>
      </w:lvl>
    </w:lvlOverride>
  </w:num>
  <w:num w:numId="108" w16cid:durableId="761950309">
    <w:abstractNumId w:val="159"/>
  </w:num>
  <w:num w:numId="109" w16cid:durableId="767506379">
    <w:abstractNumId w:val="210"/>
  </w:num>
  <w:num w:numId="110" w16cid:durableId="920796944">
    <w:abstractNumId w:val="137"/>
  </w:num>
  <w:num w:numId="111" w16cid:durableId="1560170962">
    <w:abstractNumId w:val="201"/>
  </w:num>
  <w:num w:numId="112" w16cid:durableId="160855783">
    <w:abstractNumId w:val="375"/>
    <w:lvlOverride w:ilvl="2">
      <w:lvl w:ilvl="2">
        <w:start w:val="1"/>
        <w:numFmt w:val="lowerRoman"/>
        <w:lvlText w:val="%3."/>
        <w:lvlJc w:val="right"/>
        <w:pPr>
          <w:ind w:left="1843" w:hanging="182"/>
        </w:pPr>
        <w:rPr>
          <w:rFonts w:ascii="Calibri" w:hAnsi="Calibri" w:hint="default"/>
          <w:b w:val="0"/>
          <w:i w:val="0"/>
          <w:sz w:val="24"/>
        </w:rPr>
      </w:lvl>
    </w:lvlOverride>
  </w:num>
  <w:num w:numId="113" w16cid:durableId="1656958657">
    <w:abstractNumId w:val="346"/>
  </w:num>
  <w:num w:numId="114" w16cid:durableId="465858009">
    <w:abstractNumId w:val="513"/>
  </w:num>
  <w:num w:numId="115" w16cid:durableId="1347559116">
    <w:abstractNumId w:val="279"/>
  </w:num>
  <w:num w:numId="116" w16cid:durableId="14691763">
    <w:abstractNumId w:val="531"/>
  </w:num>
  <w:num w:numId="117" w16cid:durableId="2048794576">
    <w:abstractNumId w:val="212"/>
  </w:num>
  <w:num w:numId="118" w16cid:durableId="2096123538">
    <w:abstractNumId w:val="413"/>
  </w:num>
  <w:num w:numId="119" w16cid:durableId="785781347">
    <w:abstractNumId w:val="152"/>
  </w:num>
  <w:num w:numId="120" w16cid:durableId="291520226">
    <w:abstractNumId w:val="136"/>
  </w:num>
  <w:num w:numId="121" w16cid:durableId="547449006">
    <w:abstractNumId w:val="145"/>
  </w:num>
  <w:num w:numId="122" w16cid:durableId="855652864">
    <w:abstractNumId w:val="397"/>
  </w:num>
  <w:num w:numId="123" w16cid:durableId="1384450375">
    <w:abstractNumId w:val="213"/>
  </w:num>
  <w:num w:numId="124" w16cid:durableId="1014960686">
    <w:abstractNumId w:val="251"/>
  </w:num>
  <w:num w:numId="125" w16cid:durableId="715011614">
    <w:abstractNumId w:val="460"/>
  </w:num>
  <w:num w:numId="126" w16cid:durableId="1629629765">
    <w:abstractNumId w:val="540"/>
  </w:num>
  <w:num w:numId="127" w16cid:durableId="794564404">
    <w:abstractNumId w:val="380"/>
  </w:num>
  <w:num w:numId="128" w16cid:durableId="1341590377">
    <w:abstractNumId w:val="464"/>
  </w:num>
  <w:num w:numId="129" w16cid:durableId="1301695395">
    <w:abstractNumId w:val="494"/>
  </w:num>
  <w:num w:numId="130" w16cid:durableId="1135025988">
    <w:abstractNumId w:val="191"/>
  </w:num>
  <w:num w:numId="131" w16cid:durableId="1266843309">
    <w:abstractNumId w:val="50"/>
  </w:num>
  <w:num w:numId="132" w16cid:durableId="1432818199">
    <w:abstractNumId w:val="270"/>
  </w:num>
  <w:num w:numId="133" w16cid:durableId="560097696">
    <w:abstractNumId w:val="437"/>
  </w:num>
  <w:num w:numId="134" w16cid:durableId="1145200935">
    <w:abstractNumId w:val="393"/>
  </w:num>
  <w:num w:numId="135" w16cid:durableId="264389067">
    <w:abstractNumId w:val="366"/>
  </w:num>
  <w:num w:numId="136" w16cid:durableId="1699891656">
    <w:abstractNumId w:val="250"/>
  </w:num>
  <w:num w:numId="137" w16cid:durableId="2021397042">
    <w:abstractNumId w:val="282"/>
    <w:lvlOverride w:ilvl="2">
      <w:lvl w:ilvl="2">
        <w:start w:val="1"/>
        <w:numFmt w:val="lowerRoman"/>
        <w:lvlText w:val="%3."/>
        <w:lvlJc w:val="right"/>
        <w:pPr>
          <w:ind w:left="1843" w:hanging="182"/>
        </w:pPr>
        <w:rPr>
          <w:rFonts w:ascii="Calibri" w:hAnsi="Calibri" w:hint="default"/>
          <w:b w:val="0"/>
          <w:i w:val="0"/>
          <w:sz w:val="24"/>
        </w:rPr>
      </w:lvl>
    </w:lvlOverride>
  </w:num>
  <w:num w:numId="138" w16cid:durableId="779959389">
    <w:abstractNumId w:val="521"/>
  </w:num>
  <w:num w:numId="139" w16cid:durableId="140511470">
    <w:abstractNumId w:val="332"/>
  </w:num>
  <w:num w:numId="140" w16cid:durableId="250741932">
    <w:abstractNumId w:val="547"/>
  </w:num>
  <w:num w:numId="141" w16cid:durableId="137236258">
    <w:abstractNumId w:val="225"/>
  </w:num>
  <w:num w:numId="142" w16cid:durableId="1896430230">
    <w:abstractNumId w:val="379"/>
    <w:lvlOverride w:ilvl="1">
      <w:lvl w:ilvl="1">
        <w:start w:val="1"/>
        <w:numFmt w:val="lowerLetter"/>
        <w:lvlText w:val="%2."/>
        <w:lvlJc w:val="left"/>
        <w:pPr>
          <w:ind w:left="1134" w:hanging="425"/>
        </w:pPr>
        <w:rPr>
          <w:rFonts w:ascii="Calibri" w:hAnsi="Calibri" w:hint="default"/>
          <w:b w:val="0"/>
          <w:i w:val="0"/>
          <w:sz w:val="24"/>
        </w:rPr>
      </w:lvl>
    </w:lvlOverride>
  </w:num>
  <w:num w:numId="143" w16cid:durableId="1888831345">
    <w:abstractNumId w:val="553"/>
  </w:num>
  <w:num w:numId="144" w16cid:durableId="520050573">
    <w:abstractNumId w:val="80"/>
  </w:num>
  <w:num w:numId="145" w16cid:durableId="1927422531">
    <w:abstractNumId w:val="171"/>
  </w:num>
  <w:num w:numId="146" w16cid:durableId="897014373">
    <w:abstractNumId w:val="73"/>
  </w:num>
  <w:num w:numId="147" w16cid:durableId="2046710299">
    <w:abstractNumId w:val="199"/>
  </w:num>
  <w:num w:numId="148" w16cid:durableId="415397452">
    <w:abstractNumId w:val="55"/>
  </w:num>
  <w:num w:numId="149" w16cid:durableId="2061707677">
    <w:abstractNumId w:val="196"/>
  </w:num>
  <w:num w:numId="150" w16cid:durableId="1901987085">
    <w:abstractNumId w:val="14"/>
  </w:num>
  <w:num w:numId="151" w16cid:durableId="644630766">
    <w:abstractNumId w:val="113"/>
  </w:num>
  <w:num w:numId="152" w16cid:durableId="661927494">
    <w:abstractNumId w:val="419"/>
  </w:num>
  <w:num w:numId="153" w16cid:durableId="1045525168">
    <w:abstractNumId w:val="208"/>
  </w:num>
  <w:num w:numId="154" w16cid:durableId="2016884942">
    <w:abstractNumId w:val="359"/>
  </w:num>
  <w:num w:numId="155" w16cid:durableId="1845782005">
    <w:abstractNumId w:val="287"/>
  </w:num>
  <w:num w:numId="156" w16cid:durableId="1336373162">
    <w:abstractNumId w:val="215"/>
  </w:num>
  <w:num w:numId="157" w16cid:durableId="592973258">
    <w:abstractNumId w:val="202"/>
  </w:num>
  <w:num w:numId="158" w16cid:durableId="1581985425">
    <w:abstractNumId w:val="157"/>
  </w:num>
  <w:num w:numId="159" w16cid:durableId="467750220">
    <w:abstractNumId w:val="86"/>
  </w:num>
  <w:num w:numId="160" w16cid:durableId="48194373">
    <w:abstractNumId w:val="120"/>
  </w:num>
  <w:num w:numId="161" w16cid:durableId="969166134">
    <w:abstractNumId w:val="438"/>
  </w:num>
  <w:num w:numId="162" w16cid:durableId="1267424025">
    <w:abstractNumId w:val="190"/>
  </w:num>
  <w:num w:numId="163" w16cid:durableId="1124270095">
    <w:abstractNumId w:val="186"/>
  </w:num>
  <w:num w:numId="164" w16cid:durableId="1487744826">
    <w:abstractNumId w:val="237"/>
  </w:num>
  <w:num w:numId="165" w16cid:durableId="1532721351">
    <w:abstractNumId w:val="329"/>
  </w:num>
  <w:num w:numId="166" w16cid:durableId="901479029">
    <w:abstractNumId w:val="135"/>
  </w:num>
  <w:num w:numId="167" w16cid:durableId="207375932">
    <w:abstractNumId w:val="146"/>
  </w:num>
  <w:num w:numId="168" w16cid:durableId="886530998">
    <w:abstractNumId w:val="545"/>
  </w:num>
  <w:num w:numId="169" w16cid:durableId="1150754269">
    <w:abstractNumId w:val="433"/>
  </w:num>
  <w:num w:numId="170" w16cid:durableId="992872581">
    <w:abstractNumId w:val="90"/>
  </w:num>
  <w:num w:numId="171" w16cid:durableId="1213736434">
    <w:abstractNumId w:val="532"/>
  </w:num>
  <w:num w:numId="172" w16cid:durableId="1191451391">
    <w:abstractNumId w:val="399"/>
  </w:num>
  <w:num w:numId="173" w16cid:durableId="1727876473">
    <w:abstractNumId w:val="426"/>
  </w:num>
  <w:num w:numId="174" w16cid:durableId="1226843525">
    <w:abstractNumId w:val="130"/>
  </w:num>
  <w:num w:numId="175" w16cid:durableId="919021726">
    <w:abstractNumId w:val="446"/>
  </w:num>
  <w:num w:numId="176" w16cid:durableId="894857820">
    <w:abstractNumId w:val="26"/>
  </w:num>
  <w:num w:numId="177" w16cid:durableId="1659308255">
    <w:abstractNumId w:val="552"/>
  </w:num>
  <w:num w:numId="178" w16cid:durableId="1187714808">
    <w:abstractNumId w:val="409"/>
  </w:num>
  <w:num w:numId="179" w16cid:durableId="661127742">
    <w:abstractNumId w:val="314"/>
  </w:num>
  <w:num w:numId="180" w16cid:durableId="653878056">
    <w:abstractNumId w:val="364"/>
  </w:num>
  <w:num w:numId="181" w16cid:durableId="164445637">
    <w:abstractNumId w:val="0"/>
  </w:num>
  <w:num w:numId="182" w16cid:durableId="574239023">
    <w:abstractNumId w:val="154"/>
  </w:num>
  <w:num w:numId="183" w16cid:durableId="1951400397">
    <w:abstractNumId w:val="264"/>
  </w:num>
  <w:num w:numId="184" w16cid:durableId="1851140903">
    <w:abstractNumId w:val="269"/>
  </w:num>
  <w:num w:numId="185" w16cid:durableId="1701783473">
    <w:abstractNumId w:val="424"/>
  </w:num>
  <w:num w:numId="186" w16cid:durableId="948660934">
    <w:abstractNumId w:val="528"/>
  </w:num>
  <w:num w:numId="187" w16cid:durableId="1153643735">
    <w:abstractNumId w:val="410"/>
  </w:num>
  <w:num w:numId="188" w16cid:durableId="1446584611">
    <w:abstractNumId w:val="36"/>
  </w:num>
  <w:num w:numId="189" w16cid:durableId="1476142332">
    <w:abstractNumId w:val="60"/>
  </w:num>
  <w:num w:numId="190" w16cid:durableId="315959007">
    <w:abstractNumId w:val="493"/>
  </w:num>
  <w:num w:numId="191" w16cid:durableId="522672873">
    <w:abstractNumId w:val="367"/>
  </w:num>
  <w:num w:numId="192" w16cid:durableId="1392844398">
    <w:abstractNumId w:val="61"/>
  </w:num>
  <w:num w:numId="193" w16cid:durableId="1110709070">
    <w:abstractNumId w:val="369"/>
  </w:num>
  <w:num w:numId="194" w16cid:durableId="179898107">
    <w:abstractNumId w:val="169"/>
  </w:num>
  <w:num w:numId="195" w16cid:durableId="1682704569">
    <w:abstractNumId w:val="330"/>
  </w:num>
  <w:num w:numId="196" w16cid:durableId="461732342">
    <w:abstractNumId w:val="103"/>
  </w:num>
  <w:num w:numId="197" w16cid:durableId="805506440">
    <w:abstractNumId w:val="327"/>
  </w:num>
  <w:num w:numId="198" w16cid:durableId="2142917411">
    <w:abstractNumId w:val="234"/>
  </w:num>
  <w:num w:numId="199" w16cid:durableId="1928078973">
    <w:abstractNumId w:val="301"/>
  </w:num>
  <w:num w:numId="200" w16cid:durableId="1608853198">
    <w:abstractNumId w:val="421"/>
  </w:num>
  <w:num w:numId="201" w16cid:durableId="1235243229">
    <w:abstractNumId w:val="483"/>
  </w:num>
  <w:num w:numId="202" w16cid:durableId="1905023692">
    <w:abstractNumId w:val="99"/>
  </w:num>
  <w:num w:numId="203" w16cid:durableId="1697189835">
    <w:abstractNumId w:val="74"/>
  </w:num>
  <w:num w:numId="204" w16cid:durableId="1933587733">
    <w:abstractNumId w:val="255"/>
  </w:num>
  <w:num w:numId="205" w16cid:durableId="1802528147">
    <w:abstractNumId w:val="51"/>
  </w:num>
  <w:num w:numId="206" w16cid:durableId="1004816826">
    <w:abstractNumId w:val="153"/>
  </w:num>
  <w:num w:numId="207" w16cid:durableId="657391836">
    <w:abstractNumId w:val="175"/>
  </w:num>
  <w:num w:numId="208" w16cid:durableId="730032305">
    <w:abstractNumId w:val="194"/>
  </w:num>
  <w:num w:numId="209" w16cid:durableId="91051106">
    <w:abstractNumId w:val="479"/>
  </w:num>
  <w:num w:numId="210" w16cid:durableId="502865746">
    <w:abstractNumId w:val="336"/>
  </w:num>
  <w:num w:numId="211" w16cid:durableId="1632327033">
    <w:abstractNumId w:val="344"/>
  </w:num>
  <w:num w:numId="212" w16cid:durableId="1977710656">
    <w:abstractNumId w:val="67"/>
  </w:num>
  <w:num w:numId="213" w16cid:durableId="1159154934">
    <w:abstractNumId w:val="267"/>
  </w:num>
  <w:num w:numId="214" w16cid:durableId="1417020650">
    <w:abstractNumId w:val="260"/>
  </w:num>
  <w:num w:numId="215" w16cid:durableId="305280557">
    <w:abstractNumId w:val="185"/>
  </w:num>
  <w:num w:numId="216" w16cid:durableId="1440220737">
    <w:abstractNumId w:val="129"/>
  </w:num>
  <w:num w:numId="217" w16cid:durableId="1562207998">
    <w:abstractNumId w:val="539"/>
  </w:num>
  <w:num w:numId="218" w16cid:durableId="1508905494">
    <w:abstractNumId w:val="127"/>
  </w:num>
  <w:num w:numId="219" w16cid:durableId="969938118">
    <w:abstractNumId w:val="192"/>
  </w:num>
  <w:num w:numId="220" w16cid:durableId="74596650">
    <w:abstractNumId w:val="177"/>
  </w:num>
  <w:num w:numId="221" w16cid:durableId="1427263923">
    <w:abstractNumId w:val="4"/>
  </w:num>
  <w:num w:numId="222" w16cid:durableId="1623413267">
    <w:abstractNumId w:val="376"/>
  </w:num>
  <w:num w:numId="223" w16cid:durableId="1948853159">
    <w:abstractNumId w:val="500"/>
  </w:num>
  <w:num w:numId="224" w16cid:durableId="37900308">
    <w:abstractNumId w:val="445"/>
  </w:num>
  <w:num w:numId="225" w16cid:durableId="68381448">
    <w:abstractNumId w:val="363"/>
  </w:num>
  <w:num w:numId="226" w16cid:durableId="1720740634">
    <w:abstractNumId w:val="109"/>
  </w:num>
  <w:num w:numId="227" w16cid:durableId="928081574">
    <w:abstractNumId w:val="288"/>
  </w:num>
  <w:num w:numId="228" w16cid:durableId="790367274">
    <w:abstractNumId w:val="390"/>
  </w:num>
  <w:num w:numId="229" w16cid:durableId="777214130">
    <w:abstractNumId w:val="441"/>
  </w:num>
  <w:num w:numId="230" w16cid:durableId="1154443791">
    <w:abstractNumId w:val="126"/>
  </w:num>
  <w:num w:numId="231" w16cid:durableId="239214759">
    <w:abstractNumId w:val="347"/>
  </w:num>
  <w:num w:numId="232" w16cid:durableId="823544848">
    <w:abstractNumId w:val="340"/>
  </w:num>
  <w:num w:numId="233" w16cid:durableId="213590835">
    <w:abstractNumId w:val="115"/>
  </w:num>
  <w:num w:numId="234" w16cid:durableId="1581715538">
    <w:abstractNumId w:val="310"/>
  </w:num>
  <w:num w:numId="235" w16cid:durableId="569078335">
    <w:abstractNumId w:val="276"/>
  </w:num>
  <w:num w:numId="236" w16cid:durableId="504789584">
    <w:abstractNumId w:val="296"/>
  </w:num>
  <w:num w:numId="237" w16cid:durableId="1321692950">
    <w:abstractNumId w:val="412"/>
  </w:num>
  <w:num w:numId="238" w16cid:durableId="470251265">
    <w:abstractNumId w:val="224"/>
  </w:num>
  <w:num w:numId="239" w16cid:durableId="279804084">
    <w:abstractNumId w:val="360"/>
  </w:num>
  <w:num w:numId="240" w16cid:durableId="2025134797">
    <w:abstractNumId w:val="402"/>
  </w:num>
  <w:num w:numId="241" w16cid:durableId="114830001">
    <w:abstractNumId w:val="514"/>
  </w:num>
  <w:num w:numId="242" w16cid:durableId="1087073923">
    <w:abstractNumId w:val="187"/>
  </w:num>
  <w:num w:numId="243" w16cid:durableId="1976981993">
    <w:abstractNumId w:val="476"/>
  </w:num>
  <w:num w:numId="244" w16cid:durableId="1963875511">
    <w:abstractNumId w:val="78"/>
  </w:num>
  <w:num w:numId="245" w16cid:durableId="1999990300">
    <w:abstractNumId w:val="498"/>
  </w:num>
  <w:num w:numId="246" w16cid:durableId="1128162798">
    <w:abstractNumId w:val="112"/>
  </w:num>
  <w:num w:numId="247" w16cid:durableId="1438404556">
    <w:abstractNumId w:val="492"/>
  </w:num>
  <w:num w:numId="248" w16cid:durableId="1498302519">
    <w:abstractNumId w:val="391"/>
  </w:num>
  <w:num w:numId="249" w16cid:durableId="868645932">
    <w:abstractNumId w:val="89"/>
  </w:num>
  <w:num w:numId="250" w16cid:durableId="1094474856">
    <w:abstractNumId w:val="378"/>
  </w:num>
  <w:num w:numId="251" w16cid:durableId="433283608">
    <w:abstractNumId w:val="431"/>
  </w:num>
  <w:num w:numId="252" w16cid:durableId="565333921">
    <w:abstractNumId w:val="133"/>
  </w:num>
  <w:num w:numId="253" w16cid:durableId="1110777195">
    <w:abstractNumId w:val="107"/>
  </w:num>
  <w:num w:numId="254" w16cid:durableId="641614644">
    <w:abstractNumId w:val="505"/>
  </w:num>
  <w:num w:numId="255" w16cid:durableId="1387340868">
    <w:abstractNumId w:val="2"/>
  </w:num>
  <w:num w:numId="256" w16cid:durableId="1385638441">
    <w:abstractNumId w:val="518"/>
  </w:num>
  <w:num w:numId="257" w16cid:durableId="1053039833">
    <w:abstractNumId w:val="235"/>
  </w:num>
  <w:num w:numId="258" w16cid:durableId="982386863">
    <w:abstractNumId w:val="313"/>
    <w:lvlOverride w:ilvl="1">
      <w:lvl w:ilvl="1">
        <w:start w:val="1"/>
        <w:numFmt w:val="lowerLetter"/>
        <w:lvlText w:val="%2."/>
        <w:lvlJc w:val="left"/>
        <w:pPr>
          <w:ind w:left="1134" w:hanging="425"/>
        </w:pPr>
        <w:rPr>
          <w:rFonts w:ascii="Calibri" w:hAnsi="Calibri" w:hint="default"/>
          <w:b w:val="0"/>
          <w:i w:val="0"/>
          <w:sz w:val="24"/>
        </w:rPr>
      </w:lvl>
    </w:lvlOverride>
  </w:num>
  <w:num w:numId="259" w16cid:durableId="660693437">
    <w:abstractNumId w:val="348"/>
  </w:num>
  <w:num w:numId="260" w16cid:durableId="568662107">
    <w:abstractNumId w:val="15"/>
  </w:num>
  <w:num w:numId="261" w16cid:durableId="311065377">
    <w:abstractNumId w:val="538"/>
  </w:num>
  <w:num w:numId="262" w16cid:durableId="816654710">
    <w:abstractNumId w:val="256"/>
  </w:num>
  <w:num w:numId="263" w16cid:durableId="903444957">
    <w:abstractNumId w:val="543"/>
  </w:num>
  <w:num w:numId="264" w16cid:durableId="1792704337">
    <w:abstractNumId w:val="64"/>
  </w:num>
  <w:num w:numId="265" w16cid:durableId="2124155230">
    <w:abstractNumId w:val="77"/>
  </w:num>
  <w:num w:numId="266" w16cid:durableId="1086533792">
    <w:abstractNumId w:val="134"/>
    <w:lvlOverride w:ilvl="2">
      <w:lvl w:ilvl="2">
        <w:start w:val="1"/>
        <w:numFmt w:val="lowerRoman"/>
        <w:lvlText w:val="%3."/>
        <w:lvlJc w:val="right"/>
        <w:pPr>
          <w:ind w:left="1843" w:hanging="182"/>
        </w:pPr>
        <w:rPr>
          <w:rFonts w:ascii="Calibri" w:hAnsi="Calibri" w:hint="default"/>
          <w:b w:val="0"/>
          <w:i w:val="0"/>
          <w:sz w:val="24"/>
        </w:rPr>
      </w:lvl>
    </w:lvlOverride>
  </w:num>
  <w:num w:numId="267" w16cid:durableId="945581282">
    <w:abstractNumId w:val="93"/>
  </w:num>
  <w:num w:numId="268" w16cid:durableId="675109689">
    <w:abstractNumId w:val="469"/>
  </w:num>
  <w:num w:numId="269" w16cid:durableId="2045205455">
    <w:abstractNumId w:val="49"/>
  </w:num>
  <w:num w:numId="270" w16cid:durableId="1014914850">
    <w:abstractNumId w:val="462"/>
  </w:num>
  <w:num w:numId="271" w16cid:durableId="2002418967">
    <w:abstractNumId w:val="283"/>
  </w:num>
  <w:num w:numId="272" w16cid:durableId="1175458115">
    <w:abstractNumId w:val="82"/>
  </w:num>
  <w:num w:numId="273" w16cid:durableId="2104298153">
    <w:abstractNumId w:val="286"/>
  </w:num>
  <w:num w:numId="274" w16cid:durableId="352463383">
    <w:abstractNumId w:val="291"/>
  </w:num>
  <w:num w:numId="275" w16cid:durableId="748844602">
    <w:abstractNumId w:val="285"/>
    <w:lvlOverride w:ilvl="0">
      <w:lvl w:ilvl="0" w:tplc="4AD2BB94">
        <w:numFmt w:val="decimal"/>
        <w:pStyle w:val="Normalnumbered"/>
        <w:lvlText w:val="%1."/>
        <w:lvlJc w:val="left"/>
        <w:pPr>
          <w:ind w:left="360" w:hanging="360"/>
        </w:pPr>
        <w:rPr>
          <w:rFonts w:ascii="Calibri" w:hAnsi="Calibri" w:hint="default"/>
          <w:color w:val="auto"/>
          <w:sz w:val="24"/>
        </w:rPr>
      </w:lvl>
    </w:lvlOverride>
    <w:lvlOverride w:ilvl="1">
      <w:lvl w:ilvl="1" w:tplc="C8226EDA">
        <w:numFmt w:val="lowerLetter"/>
        <w:lvlText w:val="%2."/>
        <w:lvlJc w:val="left"/>
        <w:pPr>
          <w:ind w:left="1080" w:hanging="360"/>
        </w:pPr>
        <w:rPr>
          <w:rFonts w:hint="default"/>
        </w:rPr>
      </w:lvl>
    </w:lvlOverride>
    <w:lvlOverride w:ilvl="2">
      <w:lvl w:ilvl="2" w:tplc="0958CB88">
        <w:numFmt w:val="lowerRoman"/>
        <w:lvlText w:val="%3."/>
        <w:lvlJc w:val="right"/>
        <w:pPr>
          <w:ind w:left="1800" w:hanging="180"/>
        </w:pPr>
        <w:rPr>
          <w:rFonts w:hint="default"/>
        </w:rPr>
      </w:lvl>
    </w:lvlOverride>
    <w:lvlOverride w:ilvl="3">
      <w:lvl w:ilvl="3" w:tplc="A5A4201C">
        <w:numFmt w:val="decimal"/>
        <w:lvlText w:val="%4."/>
        <w:lvlJc w:val="left"/>
        <w:pPr>
          <w:ind w:left="2520" w:hanging="360"/>
        </w:pPr>
        <w:rPr>
          <w:rFonts w:hint="default"/>
        </w:rPr>
      </w:lvl>
    </w:lvlOverride>
    <w:lvlOverride w:ilvl="4">
      <w:lvl w:ilvl="4" w:tplc="23189244">
        <w:numFmt w:val="lowerLetter"/>
        <w:lvlText w:val="%5."/>
        <w:lvlJc w:val="left"/>
        <w:pPr>
          <w:ind w:left="3240" w:hanging="360"/>
        </w:pPr>
        <w:rPr>
          <w:rFonts w:hint="default"/>
        </w:rPr>
      </w:lvl>
    </w:lvlOverride>
    <w:lvlOverride w:ilvl="5">
      <w:lvl w:ilvl="5" w:tplc="D996E51C">
        <w:numFmt w:val="lowerRoman"/>
        <w:lvlText w:val="%6."/>
        <w:lvlJc w:val="right"/>
        <w:pPr>
          <w:ind w:left="3960" w:hanging="180"/>
        </w:pPr>
        <w:rPr>
          <w:rFonts w:hint="default"/>
        </w:rPr>
      </w:lvl>
    </w:lvlOverride>
    <w:lvlOverride w:ilvl="6">
      <w:lvl w:ilvl="6" w:tplc="0F6A99EE">
        <w:numFmt w:val="decimal"/>
        <w:lvlText w:val="%7."/>
        <w:lvlJc w:val="left"/>
        <w:pPr>
          <w:ind w:left="4680" w:hanging="360"/>
        </w:pPr>
        <w:rPr>
          <w:rFonts w:hint="default"/>
        </w:rPr>
      </w:lvl>
    </w:lvlOverride>
    <w:lvlOverride w:ilvl="7">
      <w:lvl w:ilvl="7" w:tplc="EBAE1808">
        <w:numFmt w:val="lowerLetter"/>
        <w:lvlText w:val="%8."/>
        <w:lvlJc w:val="left"/>
        <w:pPr>
          <w:ind w:left="5400" w:hanging="360"/>
        </w:pPr>
        <w:rPr>
          <w:rFonts w:hint="default"/>
        </w:rPr>
      </w:lvl>
    </w:lvlOverride>
    <w:lvlOverride w:ilvl="8">
      <w:lvl w:ilvl="8" w:tplc="52FCFDA0">
        <w:numFmt w:val="lowerRoman"/>
        <w:lvlText w:val="%9."/>
        <w:lvlJc w:val="right"/>
        <w:pPr>
          <w:ind w:left="6120" w:hanging="180"/>
        </w:pPr>
        <w:rPr>
          <w:rFonts w:hint="default"/>
        </w:rPr>
      </w:lvl>
    </w:lvlOverride>
  </w:num>
  <w:num w:numId="276" w16cid:durableId="1455707331">
    <w:abstractNumId w:val="184"/>
  </w:num>
  <w:num w:numId="277" w16cid:durableId="1885675164">
    <w:abstractNumId w:val="47"/>
  </w:num>
  <w:num w:numId="278" w16cid:durableId="1775126703">
    <w:abstractNumId w:val="487"/>
  </w:num>
  <w:num w:numId="279" w16cid:durableId="1366447178">
    <w:abstractNumId w:val="306"/>
  </w:num>
  <w:num w:numId="280" w16cid:durableId="1630285687">
    <w:abstractNumId w:val="118"/>
  </w:num>
  <w:num w:numId="281" w16cid:durableId="138040751">
    <w:abstractNumId w:val="233"/>
  </w:num>
  <w:num w:numId="282" w16cid:durableId="153299428">
    <w:abstractNumId w:val="1"/>
  </w:num>
  <w:num w:numId="283" w16cid:durableId="1860122773">
    <w:abstractNumId w:val="319"/>
  </w:num>
  <w:num w:numId="284" w16cid:durableId="997617484">
    <w:abstractNumId w:val="114"/>
  </w:num>
  <w:num w:numId="285" w16cid:durableId="1790316400">
    <w:abstractNumId w:val="273"/>
  </w:num>
  <w:num w:numId="286" w16cid:durableId="1056856026">
    <w:abstractNumId w:val="423"/>
  </w:num>
  <w:num w:numId="287" w16cid:durableId="1291594654">
    <w:abstractNumId w:val="351"/>
  </w:num>
  <w:num w:numId="288" w16cid:durableId="940338742">
    <w:abstractNumId w:val="19"/>
  </w:num>
  <w:num w:numId="289" w16cid:durableId="1136069925">
    <w:abstractNumId w:val="386"/>
  </w:num>
  <w:num w:numId="290" w16cid:durableId="244000874">
    <w:abstractNumId w:val="428"/>
  </w:num>
  <w:num w:numId="291" w16cid:durableId="2021731467">
    <w:abstractNumId w:val="407"/>
  </w:num>
  <w:num w:numId="292" w16cid:durableId="1988432687">
    <w:abstractNumId w:val="477"/>
  </w:num>
  <w:num w:numId="293" w16cid:durableId="440994894">
    <w:abstractNumId w:val="247"/>
  </w:num>
  <w:num w:numId="294" w16cid:durableId="492992013">
    <w:abstractNumId w:val="207"/>
  </w:num>
  <w:num w:numId="295" w16cid:durableId="1206870125">
    <w:abstractNumId w:val="254"/>
  </w:num>
  <w:num w:numId="296" w16cid:durableId="212162634">
    <w:abstractNumId w:val="140"/>
  </w:num>
  <w:num w:numId="297" w16cid:durableId="1925912928">
    <w:abstractNumId w:val="37"/>
  </w:num>
  <w:num w:numId="298" w16cid:durableId="1776174526">
    <w:abstractNumId w:val="334"/>
  </w:num>
  <w:num w:numId="299" w16cid:durableId="1321271604">
    <w:abstractNumId w:val="11"/>
  </w:num>
  <w:num w:numId="300" w16cid:durableId="1177304465">
    <w:abstractNumId w:val="21"/>
  </w:num>
  <w:num w:numId="301" w16cid:durableId="1612513727">
    <w:abstractNumId w:val="79"/>
  </w:num>
  <w:num w:numId="302" w16cid:durableId="24985931">
    <w:abstractNumId w:val="481"/>
  </w:num>
  <w:num w:numId="303" w16cid:durableId="1266766503">
    <w:abstractNumId w:val="214"/>
  </w:num>
  <w:num w:numId="304" w16cid:durableId="1637104732">
    <w:abstractNumId w:val="430"/>
  </w:num>
  <w:num w:numId="305" w16cid:durableId="524177194">
    <w:abstractNumId w:val="66"/>
  </w:num>
  <w:num w:numId="306" w16cid:durableId="391078620">
    <w:abstractNumId w:val="449"/>
  </w:num>
  <w:num w:numId="307" w16cid:durableId="1627203483">
    <w:abstractNumId w:val="497"/>
  </w:num>
  <w:num w:numId="308" w16cid:durableId="310642688">
    <w:abstractNumId w:val="361"/>
  </w:num>
  <w:num w:numId="309" w16cid:durableId="190848732">
    <w:abstractNumId w:val="406"/>
  </w:num>
  <w:num w:numId="310" w16cid:durableId="277953529">
    <w:abstractNumId w:val="277"/>
  </w:num>
  <w:num w:numId="311" w16cid:durableId="2146005264">
    <w:abstractNumId w:val="58"/>
  </w:num>
  <w:num w:numId="312" w16cid:durableId="925503473">
    <w:abstractNumId w:val="252"/>
  </w:num>
  <w:num w:numId="313" w16cid:durableId="935216174">
    <w:abstractNumId w:val="297"/>
  </w:num>
  <w:num w:numId="314" w16cid:durableId="1322125576">
    <w:abstractNumId w:val="515"/>
  </w:num>
  <w:num w:numId="315" w16cid:durableId="733087228">
    <w:abstractNumId w:val="517"/>
  </w:num>
  <w:num w:numId="316" w16cid:durableId="826286981">
    <w:abstractNumId w:val="456"/>
  </w:num>
  <w:num w:numId="317" w16cid:durableId="2044013329">
    <w:abstractNumId w:val="244"/>
  </w:num>
  <w:num w:numId="318" w16cid:durableId="1836530617">
    <w:abstractNumId w:val="262"/>
  </w:num>
  <w:num w:numId="319" w16cid:durableId="195853392">
    <w:abstractNumId w:val="343"/>
  </w:num>
  <w:num w:numId="320" w16cid:durableId="1532038115">
    <w:abstractNumId w:val="110"/>
  </w:num>
  <w:num w:numId="321" w16cid:durableId="2057587431">
    <w:abstractNumId w:val="448"/>
  </w:num>
  <w:num w:numId="322" w16cid:durableId="1160924011">
    <w:abstractNumId w:val="188"/>
  </w:num>
  <w:num w:numId="323" w16cid:durableId="1303654413">
    <w:abstractNumId w:val="172"/>
  </w:num>
  <w:num w:numId="324" w16cid:durableId="1256935889">
    <w:abstractNumId w:val="278"/>
  </w:num>
  <w:num w:numId="325" w16cid:durableId="205719678">
    <w:abstractNumId w:val="356"/>
  </w:num>
  <w:num w:numId="326" w16cid:durableId="132408821">
    <w:abstractNumId w:val="485"/>
  </w:num>
  <w:num w:numId="327" w16cid:durableId="349988201">
    <w:abstractNumId w:val="7"/>
  </w:num>
  <w:num w:numId="328" w16cid:durableId="288974573">
    <w:abstractNumId w:val="353"/>
  </w:num>
  <w:num w:numId="329" w16cid:durableId="1812288396">
    <w:abstractNumId w:val="333"/>
  </w:num>
  <w:num w:numId="330" w16cid:durableId="530605854">
    <w:abstractNumId w:val="403"/>
  </w:num>
  <w:num w:numId="331" w16cid:durableId="1814131730">
    <w:abstractNumId w:val="489"/>
  </w:num>
  <w:num w:numId="332" w16cid:durableId="2004235406">
    <w:abstractNumId w:val="408"/>
  </w:num>
  <w:num w:numId="333" w16cid:durableId="1553544048">
    <w:abstractNumId w:val="167"/>
  </w:num>
  <w:num w:numId="334" w16cid:durableId="462776271">
    <w:abstractNumId w:val="357"/>
  </w:num>
  <w:num w:numId="335" w16cid:durableId="514537709">
    <w:abstractNumId w:val="440"/>
  </w:num>
  <w:num w:numId="336" w16cid:durableId="913703725">
    <w:abstractNumId w:val="125"/>
  </w:num>
  <w:num w:numId="337" w16cid:durableId="829519171">
    <w:abstractNumId w:val="204"/>
  </w:num>
  <w:num w:numId="338" w16cid:durableId="1395617195">
    <w:abstractNumId w:val="368"/>
  </w:num>
  <w:num w:numId="339" w16cid:durableId="1089043043">
    <w:abstractNumId w:val="326"/>
  </w:num>
  <w:num w:numId="340" w16cid:durableId="1775440121">
    <w:abstractNumId w:val="478"/>
  </w:num>
  <w:num w:numId="341" w16cid:durableId="129373206">
    <w:abstractNumId w:val="491"/>
  </w:num>
  <w:num w:numId="342" w16cid:durableId="727996179">
    <w:abstractNumId w:val="246"/>
  </w:num>
  <w:num w:numId="343" w16cid:durableId="100224655">
    <w:abstractNumId w:val="138"/>
  </w:num>
  <w:num w:numId="344" w16cid:durableId="439499014">
    <w:abstractNumId w:val="405"/>
  </w:num>
  <w:num w:numId="345" w16cid:durableId="1054543902">
    <w:abstractNumId w:val="29"/>
  </w:num>
  <w:num w:numId="346" w16cid:durableId="1129976020">
    <w:abstractNumId w:val="546"/>
  </w:num>
  <w:num w:numId="347" w16cid:durableId="775906351">
    <w:abstractNumId w:val="132"/>
  </w:num>
  <w:num w:numId="348" w16cid:durableId="734277859">
    <w:abstractNumId w:val="298"/>
  </w:num>
  <w:num w:numId="349" w16cid:durableId="1942183912">
    <w:abstractNumId w:val="457"/>
  </w:num>
  <w:num w:numId="350" w16cid:durableId="1493763810">
    <w:abstractNumId w:val="218"/>
  </w:num>
  <w:num w:numId="351" w16cid:durableId="996572075">
    <w:abstractNumId w:val="258"/>
  </w:num>
  <w:num w:numId="352" w16cid:durableId="1086222981">
    <w:abstractNumId w:val="271"/>
  </w:num>
  <w:num w:numId="353" w16cid:durableId="601687058">
    <w:abstractNumId w:val="392"/>
  </w:num>
  <w:num w:numId="354" w16cid:durableId="1294870980">
    <w:abstractNumId w:val="317"/>
  </w:num>
  <w:num w:numId="355" w16cid:durableId="1268121754">
    <w:abstractNumId w:val="174"/>
  </w:num>
  <w:num w:numId="356" w16cid:durableId="485435667">
    <w:abstractNumId w:val="459"/>
  </w:num>
  <w:num w:numId="357" w16cid:durableId="1441796102">
    <w:abstractNumId w:val="119"/>
  </w:num>
  <w:num w:numId="358" w16cid:durableId="332491607">
    <w:abstractNumId w:val="173"/>
  </w:num>
  <w:num w:numId="359" w16cid:durableId="837963880">
    <w:abstractNumId w:val="529"/>
  </w:num>
  <w:num w:numId="360" w16cid:durableId="65306393">
    <w:abstractNumId w:val="41"/>
  </w:num>
  <w:num w:numId="361" w16cid:durableId="876746493">
    <w:abstractNumId w:val="25"/>
  </w:num>
  <w:num w:numId="362" w16cid:durableId="128018526">
    <w:abstractNumId w:val="384"/>
  </w:num>
  <w:num w:numId="363" w16cid:durableId="1303463869">
    <w:abstractNumId w:val="300"/>
  </w:num>
  <w:num w:numId="364" w16cid:durableId="1734157025">
    <w:abstractNumId w:val="33"/>
  </w:num>
  <w:num w:numId="365" w16cid:durableId="1169248427">
    <w:abstractNumId w:val="398"/>
  </w:num>
  <w:num w:numId="366" w16cid:durableId="194732328">
    <w:abstractNumId w:val="24"/>
  </w:num>
  <w:num w:numId="367" w16cid:durableId="705568487">
    <w:abstractNumId w:val="211"/>
  </w:num>
  <w:num w:numId="368" w16cid:durableId="1830906901">
    <w:abstractNumId w:val="511"/>
  </w:num>
  <w:num w:numId="369" w16cid:durableId="1814760623">
    <w:abstractNumId w:val="305"/>
  </w:num>
  <w:num w:numId="370" w16cid:durableId="265890187">
    <w:abstractNumId w:val="13"/>
  </w:num>
  <w:num w:numId="371" w16cid:durableId="148057447">
    <w:abstractNumId w:val="439"/>
  </w:num>
  <w:num w:numId="372" w16cid:durableId="1943878816">
    <w:abstractNumId w:val="160"/>
  </w:num>
  <w:num w:numId="373" w16cid:durableId="534584555">
    <w:abstractNumId w:val="427"/>
  </w:num>
  <w:num w:numId="374" w16cid:durableId="1977030137">
    <w:abstractNumId w:val="468"/>
  </w:num>
  <w:num w:numId="375" w16cid:durableId="230698900">
    <w:abstractNumId w:val="370"/>
  </w:num>
  <w:num w:numId="376" w16cid:durableId="1215897198">
    <w:abstractNumId w:val="124"/>
  </w:num>
  <w:num w:numId="377" w16cid:durableId="603994595">
    <w:abstractNumId w:val="444"/>
  </w:num>
  <w:num w:numId="378" w16cid:durableId="369037810">
    <w:abstractNumId w:val="243"/>
  </w:num>
  <w:num w:numId="379" w16cid:durableId="1891725795">
    <w:abstractNumId w:val="373"/>
  </w:num>
  <w:num w:numId="380" w16cid:durableId="1073235781">
    <w:abstractNumId w:val="248"/>
  </w:num>
  <w:num w:numId="381" w16cid:durableId="77823632">
    <w:abstractNumId w:val="308"/>
  </w:num>
  <w:num w:numId="382" w16cid:durableId="791945654">
    <w:abstractNumId w:val="10"/>
  </w:num>
  <w:num w:numId="383" w16cid:durableId="335034513">
    <w:abstractNumId w:val="203"/>
  </w:num>
  <w:num w:numId="384" w16cid:durableId="1389381666">
    <w:abstractNumId w:val="490"/>
  </w:num>
  <w:num w:numId="385" w16cid:durableId="2139688249">
    <w:abstractNumId w:val="147"/>
  </w:num>
  <w:num w:numId="386" w16cid:durableId="1559173449">
    <w:abstractNumId w:val="471"/>
  </w:num>
  <w:num w:numId="387" w16cid:durableId="120853040">
    <w:abstractNumId w:val="91"/>
  </w:num>
  <w:num w:numId="388" w16cid:durableId="951715693">
    <w:abstractNumId w:val="307"/>
  </w:num>
  <w:num w:numId="389" w16cid:durableId="1679850265">
    <w:abstractNumId w:val="281"/>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794253768">
    <w:abstractNumId w:val="102"/>
  </w:num>
  <w:num w:numId="391" w16cid:durableId="325018077">
    <w:abstractNumId w:val="17"/>
  </w:num>
  <w:num w:numId="392" w16cid:durableId="291181732">
    <w:abstractNumId w:val="520"/>
  </w:num>
  <w:num w:numId="393" w16cid:durableId="294338842">
    <w:abstractNumId w:val="240"/>
  </w:num>
  <w:num w:numId="394" w16cid:durableId="1822114235">
    <w:abstractNumId w:val="303"/>
  </w:num>
  <w:num w:numId="395" w16cid:durableId="1984389099">
    <w:abstractNumId w:val="542"/>
  </w:num>
  <w:num w:numId="396" w16cid:durableId="2025353024">
    <w:abstractNumId w:val="328"/>
  </w:num>
  <w:num w:numId="397" w16cid:durableId="2118135630">
    <w:abstractNumId w:val="239"/>
  </w:num>
  <w:num w:numId="398" w16cid:durableId="800802312">
    <w:abstractNumId w:val="275"/>
  </w:num>
  <w:num w:numId="399" w16cid:durableId="1363818753">
    <w:abstractNumId w:val="536"/>
  </w:num>
  <w:num w:numId="400" w16cid:durableId="501699077">
    <w:abstractNumId w:val="442"/>
  </w:num>
  <w:num w:numId="401" w16cid:durableId="1090152590">
    <w:abstractNumId w:val="551"/>
  </w:num>
  <w:num w:numId="402" w16cid:durableId="1129475356">
    <w:abstractNumId w:val="316"/>
  </w:num>
  <w:num w:numId="403" w16cid:durableId="1878393516">
    <w:abstractNumId w:val="339"/>
  </w:num>
  <w:num w:numId="404" w16cid:durableId="1698192720">
    <w:abstractNumId w:val="253"/>
  </w:num>
  <w:num w:numId="405" w16cid:durableId="362485558">
    <w:abstractNumId w:val="349"/>
  </w:num>
  <w:num w:numId="406" w16cid:durableId="1490244427">
    <w:abstractNumId w:val="530"/>
  </w:num>
  <w:num w:numId="407" w16cid:durableId="456529748">
    <w:abstractNumId w:val="6"/>
  </w:num>
  <w:num w:numId="408" w16cid:durableId="707219117">
    <w:abstractNumId w:val="452"/>
  </w:num>
  <w:num w:numId="409" w16cid:durableId="1618102761">
    <w:abstractNumId w:val="131"/>
  </w:num>
  <w:num w:numId="410" w16cid:durableId="1168326912">
    <w:abstractNumId w:val="69"/>
  </w:num>
  <w:num w:numId="411" w16cid:durableId="778725147">
    <w:abstractNumId w:val="302"/>
  </w:num>
  <w:num w:numId="412" w16cid:durableId="538394682">
    <w:abstractNumId w:val="395"/>
  </w:num>
  <w:num w:numId="413" w16cid:durableId="235092288">
    <w:abstractNumId w:val="230"/>
  </w:num>
  <w:num w:numId="414" w16cid:durableId="1553611161">
    <w:abstractNumId w:val="525"/>
  </w:num>
  <w:num w:numId="415" w16cid:durableId="360714662">
    <w:abstractNumId w:val="65"/>
  </w:num>
  <w:num w:numId="416" w16cid:durableId="305664416">
    <w:abstractNumId w:val="42"/>
  </w:num>
  <w:num w:numId="417" w16cid:durableId="1484272284">
    <w:abstractNumId w:val="436"/>
  </w:num>
  <w:num w:numId="418" w16cid:durableId="88427471">
    <w:abstractNumId w:val="241"/>
  </w:num>
  <w:num w:numId="419" w16cid:durableId="178204385">
    <w:abstractNumId w:val="550"/>
  </w:num>
  <w:num w:numId="420" w16cid:durableId="392392933">
    <w:abstractNumId w:val="467"/>
  </w:num>
  <w:num w:numId="421" w16cid:durableId="899294480">
    <w:abstractNumId w:val="280"/>
  </w:num>
  <w:num w:numId="422" w16cid:durableId="1788886317">
    <w:abstractNumId w:val="465"/>
  </w:num>
  <w:num w:numId="423" w16cid:durableId="2095781833">
    <w:abstractNumId w:val="434"/>
  </w:num>
  <w:num w:numId="424" w16cid:durableId="36590288">
    <w:abstractNumId w:val="548"/>
  </w:num>
  <w:num w:numId="425" w16cid:durableId="369571490">
    <w:abstractNumId w:val="128"/>
  </w:num>
  <w:num w:numId="426" w16cid:durableId="1550992500">
    <w:abstractNumId w:val="143"/>
  </w:num>
  <w:num w:numId="427" w16cid:durableId="1595624930">
    <w:abstractNumId w:val="27"/>
  </w:num>
  <w:num w:numId="428" w16cid:durableId="873885439">
    <w:abstractNumId w:val="534"/>
  </w:num>
  <w:num w:numId="429" w16cid:durableId="1698892176">
    <w:abstractNumId w:val="85"/>
  </w:num>
  <w:num w:numId="430" w16cid:durableId="46808789">
    <w:abstractNumId w:val="249"/>
  </w:num>
  <w:num w:numId="431" w16cid:durableId="541327480">
    <w:abstractNumId w:val="166"/>
  </w:num>
  <w:num w:numId="432" w16cid:durableId="962535026">
    <w:abstractNumId w:val="229"/>
  </w:num>
  <w:num w:numId="433" w16cid:durableId="1993754978">
    <w:abstractNumId w:val="121"/>
  </w:num>
  <w:num w:numId="434" w16cid:durableId="94443254">
    <w:abstractNumId w:val="354"/>
  </w:num>
  <w:num w:numId="435" w16cid:durableId="1148127946">
    <w:abstractNumId w:val="105"/>
  </w:num>
  <w:num w:numId="436" w16cid:durableId="1238396602">
    <w:abstractNumId w:val="139"/>
  </w:num>
  <w:num w:numId="437" w16cid:durableId="224919764">
    <w:abstractNumId w:val="101"/>
  </w:num>
  <w:num w:numId="438" w16cid:durableId="1838500004">
    <w:abstractNumId w:val="108"/>
  </w:num>
  <w:num w:numId="439" w16cid:durableId="1728262671">
    <w:abstractNumId w:val="38"/>
  </w:num>
  <w:num w:numId="440" w16cid:durableId="955986102">
    <w:abstractNumId w:val="435"/>
  </w:num>
  <w:num w:numId="441" w16cid:durableId="2083333735">
    <w:abstractNumId w:val="453"/>
  </w:num>
  <w:num w:numId="442" w16cid:durableId="466514456">
    <w:abstractNumId w:val="519"/>
  </w:num>
  <w:num w:numId="443" w16cid:durableId="327364052">
    <w:abstractNumId w:val="96"/>
  </w:num>
  <w:num w:numId="444" w16cid:durableId="326253199">
    <w:abstractNumId w:val="289"/>
  </w:num>
  <w:num w:numId="445" w16cid:durableId="23559980">
    <w:abstractNumId w:val="443"/>
  </w:num>
  <w:num w:numId="446" w16cid:durableId="1595362801">
    <w:abstractNumId w:val="527"/>
  </w:num>
  <w:num w:numId="447" w16cid:durableId="904947694">
    <w:abstractNumId w:val="496"/>
  </w:num>
  <w:num w:numId="448" w16cid:durableId="1096289502">
    <w:abstractNumId w:val="458"/>
  </w:num>
  <w:num w:numId="449" w16cid:durableId="378550373">
    <w:abstractNumId w:val="315"/>
  </w:num>
  <w:num w:numId="450" w16cid:durableId="1377662963">
    <w:abstractNumId w:val="486"/>
  </w:num>
  <w:num w:numId="451" w16cid:durableId="38942078">
    <w:abstractNumId w:val="503"/>
  </w:num>
  <w:num w:numId="452" w16cid:durableId="1718968156">
    <w:abstractNumId w:val="381"/>
  </w:num>
  <w:num w:numId="453" w16cid:durableId="2022387958">
    <w:abstractNumId w:val="321"/>
  </w:num>
  <w:num w:numId="454" w16cid:durableId="45837866">
    <w:abstractNumId w:val="176"/>
  </w:num>
  <w:num w:numId="455" w16cid:durableId="1635989932">
    <w:abstractNumId w:val="544"/>
  </w:num>
  <w:num w:numId="456" w16cid:durableId="1366370617">
    <w:abstractNumId w:val="320"/>
  </w:num>
  <w:num w:numId="457" w16cid:durableId="673142840">
    <w:abstractNumId w:val="9"/>
  </w:num>
  <w:num w:numId="458" w16cid:durableId="604732285">
    <w:abstractNumId w:val="81"/>
  </w:num>
  <w:num w:numId="459" w16cid:durableId="57284984">
    <w:abstractNumId w:val="526"/>
  </w:num>
  <w:num w:numId="460" w16cid:durableId="151869791">
    <w:abstractNumId w:val="404"/>
  </w:num>
  <w:num w:numId="461" w16cid:durableId="1327972428">
    <w:abstractNumId w:val="362"/>
  </w:num>
  <w:num w:numId="462" w16cid:durableId="94791683">
    <w:abstractNumId w:val="5"/>
  </w:num>
  <w:num w:numId="463" w16cid:durableId="525601681">
    <w:abstractNumId w:val="100"/>
  </w:num>
  <w:num w:numId="464" w16cid:durableId="1473403554">
    <w:abstractNumId w:val="48"/>
  </w:num>
  <w:num w:numId="465" w16cid:durableId="883634473">
    <w:abstractNumId w:val="474"/>
  </w:num>
  <w:num w:numId="466" w16cid:durableId="251549823">
    <w:abstractNumId w:val="504"/>
  </w:num>
  <w:num w:numId="467" w16cid:durableId="2079091515">
    <w:abstractNumId w:val="337"/>
  </w:num>
  <w:num w:numId="468" w16cid:durableId="641232232">
    <w:abstractNumId w:val="32"/>
  </w:num>
  <w:num w:numId="469" w16cid:durableId="1339500912">
    <w:abstractNumId w:val="541"/>
  </w:num>
  <w:num w:numId="470" w16cid:durableId="1538353804">
    <w:abstractNumId w:val="44"/>
  </w:num>
  <w:num w:numId="471" w16cid:durableId="641035195">
    <w:abstractNumId w:val="217"/>
  </w:num>
  <w:num w:numId="472" w16cid:durableId="789204781">
    <w:abstractNumId w:val="274"/>
  </w:num>
  <w:num w:numId="473" w16cid:durableId="1889412628">
    <w:abstractNumId w:val="8"/>
  </w:num>
  <w:num w:numId="474" w16cid:durableId="308829041">
    <w:abstractNumId w:val="98"/>
  </w:num>
  <w:num w:numId="475" w16cid:durableId="1561089015">
    <w:abstractNumId w:val="312"/>
  </w:num>
  <w:num w:numId="476" w16cid:durableId="429278081">
    <w:abstractNumId w:val="76"/>
  </w:num>
  <w:num w:numId="477" w16cid:durableId="2098279932">
    <w:abstractNumId w:val="290"/>
  </w:num>
  <w:num w:numId="478" w16cid:durableId="1313169492">
    <w:abstractNumId w:val="220"/>
  </w:num>
  <w:num w:numId="479" w16cid:durableId="1522355258">
    <w:abstractNumId w:val="522"/>
  </w:num>
  <w:num w:numId="480" w16cid:durableId="539050500">
    <w:abstractNumId w:val="325"/>
  </w:num>
  <w:num w:numId="481" w16cid:durableId="1608803924">
    <w:abstractNumId w:val="454"/>
  </w:num>
  <w:num w:numId="482" w16cid:durableId="183519631">
    <w:abstractNumId w:val="46"/>
  </w:num>
  <w:num w:numId="483" w16cid:durableId="2095665734">
    <w:abstractNumId w:val="422"/>
  </w:num>
  <w:num w:numId="484" w16cid:durableId="2025784781">
    <w:abstractNumId w:val="222"/>
  </w:num>
  <w:num w:numId="485" w16cid:durableId="616764751">
    <w:abstractNumId w:val="429"/>
  </w:num>
  <w:num w:numId="486" w16cid:durableId="1315260557">
    <w:abstractNumId w:val="95"/>
  </w:num>
  <w:num w:numId="487" w16cid:durableId="1367487947">
    <w:abstractNumId w:val="232"/>
  </w:num>
  <w:num w:numId="488" w16cid:durableId="684866759">
    <w:abstractNumId w:val="28"/>
  </w:num>
  <w:num w:numId="489" w16cid:durableId="7294713">
    <w:abstractNumId w:val="219"/>
  </w:num>
  <w:num w:numId="490" w16cid:durableId="1170634551">
    <w:abstractNumId w:val="57"/>
  </w:num>
  <w:num w:numId="491" w16cid:durableId="308440161">
    <w:abstractNumId w:val="35"/>
  </w:num>
  <w:num w:numId="492" w16cid:durableId="1251810940">
    <w:abstractNumId w:val="342"/>
  </w:num>
  <w:num w:numId="493" w16cid:durableId="150560991">
    <w:abstractNumId w:val="499"/>
  </w:num>
  <w:num w:numId="494" w16cid:durableId="2020346616">
    <w:abstractNumId w:val="418"/>
  </w:num>
  <w:num w:numId="495" w16cid:durableId="486627629">
    <w:abstractNumId w:val="463"/>
  </w:num>
  <w:num w:numId="496" w16cid:durableId="183907418">
    <w:abstractNumId w:val="206"/>
  </w:num>
  <w:num w:numId="497" w16cid:durableId="1371766630">
    <w:abstractNumId w:val="117"/>
  </w:num>
  <w:num w:numId="498" w16cid:durableId="565997831">
    <w:abstractNumId w:val="294"/>
  </w:num>
  <w:num w:numId="499" w16cid:durableId="1941523174">
    <w:abstractNumId w:val="180"/>
  </w:num>
  <w:num w:numId="500" w16cid:durableId="248194285">
    <w:abstractNumId w:val="432"/>
  </w:num>
  <w:num w:numId="501" w16cid:durableId="899636236">
    <w:abstractNumId w:val="284"/>
  </w:num>
  <w:num w:numId="502" w16cid:durableId="2110539350">
    <w:abstractNumId w:val="170"/>
  </w:num>
  <w:num w:numId="503" w16cid:durableId="2133287140">
    <w:abstractNumId w:val="226"/>
  </w:num>
  <w:num w:numId="504" w16cid:durableId="703868127">
    <w:abstractNumId w:val="53"/>
  </w:num>
  <w:num w:numId="505" w16cid:durableId="1734157777">
    <w:abstractNumId w:val="472"/>
  </w:num>
  <w:num w:numId="506" w16cid:durableId="1306355834">
    <w:abstractNumId w:val="261"/>
  </w:num>
  <w:num w:numId="507" w16cid:durableId="1588928678">
    <w:abstractNumId w:val="75"/>
  </w:num>
  <w:num w:numId="508" w16cid:durableId="1210217413">
    <w:abstractNumId w:val="482"/>
  </w:num>
  <w:num w:numId="509" w16cid:durableId="1569685027">
    <w:abstractNumId w:val="554"/>
  </w:num>
  <w:num w:numId="510" w16cid:durableId="1947231437">
    <w:abstractNumId w:val="451"/>
  </w:num>
  <w:num w:numId="511" w16cid:durableId="94519791">
    <w:abstractNumId w:val="450"/>
  </w:num>
  <w:num w:numId="512" w16cid:durableId="1719354234">
    <w:abstractNumId w:val="236"/>
  </w:num>
  <w:num w:numId="513" w16cid:durableId="1105806536">
    <w:abstractNumId w:val="116"/>
  </w:num>
  <w:num w:numId="514" w16cid:durableId="832716942">
    <w:abstractNumId w:val="71"/>
  </w:num>
  <w:num w:numId="515" w16cid:durableId="919484726">
    <w:abstractNumId w:val="45"/>
  </w:num>
  <w:num w:numId="516" w16cid:durableId="2094425356">
    <w:abstractNumId w:val="259"/>
  </w:num>
  <w:num w:numId="517" w16cid:durableId="1346060393">
    <w:abstractNumId w:val="377"/>
  </w:num>
  <w:num w:numId="518" w16cid:durableId="2126653079">
    <w:abstractNumId w:val="455"/>
  </w:num>
  <w:num w:numId="519" w16cid:durableId="524027345">
    <w:abstractNumId w:val="54"/>
  </w:num>
  <w:num w:numId="520" w16cid:durableId="851727462">
    <w:abstractNumId w:val="12"/>
  </w:num>
  <w:num w:numId="521" w16cid:durableId="1494101221">
    <w:abstractNumId w:val="168"/>
  </w:num>
  <w:num w:numId="522" w16cid:durableId="1911575830">
    <w:abstractNumId w:val="97"/>
  </w:num>
  <w:num w:numId="523" w16cid:durableId="572739339">
    <w:abstractNumId w:val="178"/>
  </w:num>
  <w:num w:numId="524" w16cid:durableId="1365322922">
    <w:abstractNumId w:val="72"/>
  </w:num>
  <w:num w:numId="525" w16cid:durableId="451631302">
    <w:abstractNumId w:val="311"/>
  </w:num>
  <w:num w:numId="526" w16cid:durableId="1004405881">
    <w:abstractNumId w:val="470"/>
  </w:num>
  <w:num w:numId="527" w16cid:durableId="1417170560">
    <w:abstractNumId w:val="83"/>
  </w:num>
  <w:num w:numId="528" w16cid:durableId="654454498">
    <w:abstractNumId w:val="164"/>
  </w:num>
  <w:num w:numId="529" w16cid:durableId="526335293">
    <w:abstractNumId w:val="182"/>
  </w:num>
  <w:num w:numId="530" w16cid:durableId="2122718389">
    <w:abstractNumId w:val="242"/>
  </w:num>
  <w:num w:numId="531" w16cid:durableId="1974216298">
    <w:abstractNumId w:val="23"/>
  </w:num>
  <w:num w:numId="532" w16cid:durableId="551889444">
    <w:abstractNumId w:val="94"/>
  </w:num>
  <w:num w:numId="533" w16cid:durableId="301421094">
    <w:abstractNumId w:val="537"/>
  </w:num>
  <w:num w:numId="534" w16cid:durableId="433479274">
    <w:abstractNumId w:val="111"/>
  </w:num>
  <w:num w:numId="535" w16cid:durableId="1345748935">
    <w:abstractNumId w:val="63"/>
  </w:num>
  <w:num w:numId="536" w16cid:durableId="271589988">
    <w:abstractNumId w:val="205"/>
  </w:num>
  <w:num w:numId="537" w16cid:durableId="1429348767">
    <w:abstractNumId w:val="447"/>
  </w:num>
  <w:num w:numId="538" w16cid:durableId="468598073">
    <w:abstractNumId w:val="30"/>
  </w:num>
  <w:num w:numId="539" w16cid:durableId="749422489">
    <w:abstractNumId w:val="3"/>
  </w:num>
  <w:num w:numId="540" w16cid:durableId="888422340">
    <w:abstractNumId w:val="400"/>
  </w:num>
  <w:num w:numId="541" w16cid:durableId="60249637">
    <w:abstractNumId w:val="141"/>
  </w:num>
  <w:num w:numId="542" w16cid:durableId="1901087913">
    <w:abstractNumId w:val="509"/>
  </w:num>
  <w:num w:numId="543" w16cid:durableId="501747578">
    <w:abstractNumId w:val="508"/>
  </w:num>
  <w:num w:numId="544" w16cid:durableId="1474328996">
    <w:abstractNumId w:val="16"/>
  </w:num>
  <w:num w:numId="545" w16cid:durableId="43530781">
    <w:abstractNumId w:val="488"/>
  </w:num>
  <w:num w:numId="546" w16cid:durableId="1323659035">
    <w:abstractNumId w:val="228"/>
  </w:num>
  <w:num w:numId="547" w16cid:durableId="1648319329">
    <w:abstractNumId w:val="156"/>
  </w:num>
  <w:num w:numId="548" w16cid:durableId="1892302135">
    <w:abstractNumId w:val="411"/>
  </w:num>
  <w:num w:numId="549" w16cid:durableId="1110395634">
    <w:abstractNumId w:val="425"/>
  </w:num>
  <w:num w:numId="550" w16cid:durableId="2129270937">
    <w:abstractNumId w:val="382"/>
  </w:num>
  <w:num w:numId="551" w16cid:durableId="328559432">
    <w:abstractNumId w:val="106"/>
  </w:num>
  <w:num w:numId="552" w16cid:durableId="1435517220">
    <w:abstractNumId w:val="324"/>
  </w:num>
  <w:num w:numId="553" w16cid:durableId="1272587189">
    <w:abstractNumId w:val="502"/>
  </w:num>
  <w:num w:numId="554" w16cid:durableId="455569425">
    <w:abstractNumId w:val="148"/>
  </w:num>
  <w:num w:numId="555" w16cid:durableId="92022503">
    <w:abstractNumId w:val="195"/>
  </w:num>
  <w:num w:numId="556" w16cid:durableId="680619208">
    <w:abstractNumId w:val="335"/>
  </w:num>
  <w:num w:numId="557" w16cid:durableId="474612582">
    <w:abstractNumId w:val="231"/>
  </w:num>
  <w:num w:numId="558" w16cid:durableId="59327289">
    <w:abstractNumId w:val="88"/>
  </w:num>
  <w:numIdMacAtCleanup w:val="5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379"/>
    <w:rsid w:val="00000052"/>
    <w:rsid w:val="0000007D"/>
    <w:rsid w:val="000001AB"/>
    <w:rsid w:val="00000372"/>
    <w:rsid w:val="00000451"/>
    <w:rsid w:val="00000580"/>
    <w:rsid w:val="000005C3"/>
    <w:rsid w:val="000005EB"/>
    <w:rsid w:val="00000635"/>
    <w:rsid w:val="000006D8"/>
    <w:rsid w:val="00000748"/>
    <w:rsid w:val="00000752"/>
    <w:rsid w:val="000007C3"/>
    <w:rsid w:val="000007E3"/>
    <w:rsid w:val="000008A3"/>
    <w:rsid w:val="00000985"/>
    <w:rsid w:val="000009CB"/>
    <w:rsid w:val="00000A01"/>
    <w:rsid w:val="00000A0D"/>
    <w:rsid w:val="00000A32"/>
    <w:rsid w:val="00000A61"/>
    <w:rsid w:val="00000A78"/>
    <w:rsid w:val="00000C91"/>
    <w:rsid w:val="00000D07"/>
    <w:rsid w:val="00000E7A"/>
    <w:rsid w:val="00000F3E"/>
    <w:rsid w:val="00001001"/>
    <w:rsid w:val="00001006"/>
    <w:rsid w:val="00001135"/>
    <w:rsid w:val="000011AA"/>
    <w:rsid w:val="0000120D"/>
    <w:rsid w:val="00001211"/>
    <w:rsid w:val="0000127D"/>
    <w:rsid w:val="00001307"/>
    <w:rsid w:val="000013A4"/>
    <w:rsid w:val="000013AD"/>
    <w:rsid w:val="000013D9"/>
    <w:rsid w:val="0000153B"/>
    <w:rsid w:val="0000174C"/>
    <w:rsid w:val="00001817"/>
    <w:rsid w:val="0000181F"/>
    <w:rsid w:val="00001898"/>
    <w:rsid w:val="000018CD"/>
    <w:rsid w:val="00001951"/>
    <w:rsid w:val="00001952"/>
    <w:rsid w:val="0000196A"/>
    <w:rsid w:val="00001A56"/>
    <w:rsid w:val="00001A74"/>
    <w:rsid w:val="00001B6B"/>
    <w:rsid w:val="00001BEA"/>
    <w:rsid w:val="00001C06"/>
    <w:rsid w:val="00001C0E"/>
    <w:rsid w:val="00001C3C"/>
    <w:rsid w:val="00001C49"/>
    <w:rsid w:val="00001C8C"/>
    <w:rsid w:val="00001CA0"/>
    <w:rsid w:val="00001D8D"/>
    <w:rsid w:val="00001D8F"/>
    <w:rsid w:val="00001EB3"/>
    <w:rsid w:val="00001EF4"/>
    <w:rsid w:val="00002034"/>
    <w:rsid w:val="00002039"/>
    <w:rsid w:val="000020C5"/>
    <w:rsid w:val="000021E3"/>
    <w:rsid w:val="00002214"/>
    <w:rsid w:val="00002257"/>
    <w:rsid w:val="00002269"/>
    <w:rsid w:val="0000229B"/>
    <w:rsid w:val="000022D7"/>
    <w:rsid w:val="0000233B"/>
    <w:rsid w:val="00002498"/>
    <w:rsid w:val="00002D54"/>
    <w:rsid w:val="00002E0A"/>
    <w:rsid w:val="00002E11"/>
    <w:rsid w:val="00002F50"/>
    <w:rsid w:val="00002FDE"/>
    <w:rsid w:val="000030CB"/>
    <w:rsid w:val="000030FC"/>
    <w:rsid w:val="000031EA"/>
    <w:rsid w:val="000031F5"/>
    <w:rsid w:val="0000326D"/>
    <w:rsid w:val="00003387"/>
    <w:rsid w:val="000033AB"/>
    <w:rsid w:val="000034BF"/>
    <w:rsid w:val="000034D2"/>
    <w:rsid w:val="00003753"/>
    <w:rsid w:val="00003794"/>
    <w:rsid w:val="000037C5"/>
    <w:rsid w:val="00003995"/>
    <w:rsid w:val="00003B65"/>
    <w:rsid w:val="00003BA9"/>
    <w:rsid w:val="00003C7B"/>
    <w:rsid w:val="00003CF5"/>
    <w:rsid w:val="00003DA8"/>
    <w:rsid w:val="00004039"/>
    <w:rsid w:val="000040FE"/>
    <w:rsid w:val="00004159"/>
    <w:rsid w:val="000041DF"/>
    <w:rsid w:val="000041EC"/>
    <w:rsid w:val="0000420B"/>
    <w:rsid w:val="00004226"/>
    <w:rsid w:val="000042E5"/>
    <w:rsid w:val="000043CC"/>
    <w:rsid w:val="000043D6"/>
    <w:rsid w:val="0000441B"/>
    <w:rsid w:val="0000444B"/>
    <w:rsid w:val="00004462"/>
    <w:rsid w:val="00004491"/>
    <w:rsid w:val="000044F1"/>
    <w:rsid w:val="00004511"/>
    <w:rsid w:val="00004627"/>
    <w:rsid w:val="000046D1"/>
    <w:rsid w:val="00004846"/>
    <w:rsid w:val="00004944"/>
    <w:rsid w:val="000049E1"/>
    <w:rsid w:val="00004A72"/>
    <w:rsid w:val="00004B5A"/>
    <w:rsid w:val="00004D70"/>
    <w:rsid w:val="00004DC9"/>
    <w:rsid w:val="00004E35"/>
    <w:rsid w:val="00004F4E"/>
    <w:rsid w:val="00004F56"/>
    <w:rsid w:val="00004F5B"/>
    <w:rsid w:val="00004FF0"/>
    <w:rsid w:val="000050B0"/>
    <w:rsid w:val="00005217"/>
    <w:rsid w:val="0000530E"/>
    <w:rsid w:val="000053BE"/>
    <w:rsid w:val="000053CF"/>
    <w:rsid w:val="000053D8"/>
    <w:rsid w:val="000054DA"/>
    <w:rsid w:val="000054F8"/>
    <w:rsid w:val="000055D9"/>
    <w:rsid w:val="00005630"/>
    <w:rsid w:val="0000570D"/>
    <w:rsid w:val="00005968"/>
    <w:rsid w:val="000059CC"/>
    <w:rsid w:val="000059FC"/>
    <w:rsid w:val="00005A87"/>
    <w:rsid w:val="00005BD1"/>
    <w:rsid w:val="00005D52"/>
    <w:rsid w:val="00005E33"/>
    <w:rsid w:val="00005E55"/>
    <w:rsid w:val="00005E85"/>
    <w:rsid w:val="00005EA4"/>
    <w:rsid w:val="00005FD9"/>
    <w:rsid w:val="00006117"/>
    <w:rsid w:val="00006238"/>
    <w:rsid w:val="00006265"/>
    <w:rsid w:val="0000626D"/>
    <w:rsid w:val="0000631C"/>
    <w:rsid w:val="000063F8"/>
    <w:rsid w:val="00006464"/>
    <w:rsid w:val="0000646D"/>
    <w:rsid w:val="00006612"/>
    <w:rsid w:val="000066D9"/>
    <w:rsid w:val="00006AA8"/>
    <w:rsid w:val="00006AB6"/>
    <w:rsid w:val="00006AC1"/>
    <w:rsid w:val="00006AC7"/>
    <w:rsid w:val="00006B43"/>
    <w:rsid w:val="00006D37"/>
    <w:rsid w:val="00006D7D"/>
    <w:rsid w:val="00006E2A"/>
    <w:rsid w:val="00006E35"/>
    <w:rsid w:val="00007001"/>
    <w:rsid w:val="0000707E"/>
    <w:rsid w:val="0000708E"/>
    <w:rsid w:val="000072B9"/>
    <w:rsid w:val="000073D5"/>
    <w:rsid w:val="00007410"/>
    <w:rsid w:val="00007429"/>
    <w:rsid w:val="00007503"/>
    <w:rsid w:val="000075B1"/>
    <w:rsid w:val="00007706"/>
    <w:rsid w:val="00007732"/>
    <w:rsid w:val="00007887"/>
    <w:rsid w:val="000078F3"/>
    <w:rsid w:val="00007916"/>
    <w:rsid w:val="00007928"/>
    <w:rsid w:val="00007A0E"/>
    <w:rsid w:val="00007A49"/>
    <w:rsid w:val="00007AA6"/>
    <w:rsid w:val="00007AC2"/>
    <w:rsid w:val="00007BAA"/>
    <w:rsid w:val="00007D17"/>
    <w:rsid w:val="00007E67"/>
    <w:rsid w:val="00007F96"/>
    <w:rsid w:val="00007FF5"/>
    <w:rsid w:val="00010037"/>
    <w:rsid w:val="0001007D"/>
    <w:rsid w:val="000100D7"/>
    <w:rsid w:val="00010121"/>
    <w:rsid w:val="000102BB"/>
    <w:rsid w:val="000102E7"/>
    <w:rsid w:val="000102FE"/>
    <w:rsid w:val="00010409"/>
    <w:rsid w:val="00010453"/>
    <w:rsid w:val="0001047F"/>
    <w:rsid w:val="00010526"/>
    <w:rsid w:val="000105FF"/>
    <w:rsid w:val="00010707"/>
    <w:rsid w:val="00010885"/>
    <w:rsid w:val="000108D3"/>
    <w:rsid w:val="000108FF"/>
    <w:rsid w:val="000109E9"/>
    <w:rsid w:val="00010A8C"/>
    <w:rsid w:val="00010AC3"/>
    <w:rsid w:val="00010B0B"/>
    <w:rsid w:val="00010BC4"/>
    <w:rsid w:val="00010BC8"/>
    <w:rsid w:val="00010FD5"/>
    <w:rsid w:val="00010FF4"/>
    <w:rsid w:val="0001102B"/>
    <w:rsid w:val="0001104A"/>
    <w:rsid w:val="00011091"/>
    <w:rsid w:val="000110FF"/>
    <w:rsid w:val="00011115"/>
    <w:rsid w:val="000114C2"/>
    <w:rsid w:val="00011582"/>
    <w:rsid w:val="00011744"/>
    <w:rsid w:val="000117A4"/>
    <w:rsid w:val="00011860"/>
    <w:rsid w:val="000118E9"/>
    <w:rsid w:val="000118F5"/>
    <w:rsid w:val="00011AB9"/>
    <w:rsid w:val="00011BF2"/>
    <w:rsid w:val="00011CC7"/>
    <w:rsid w:val="00011CE0"/>
    <w:rsid w:val="00011E61"/>
    <w:rsid w:val="00011EFF"/>
    <w:rsid w:val="00011FEC"/>
    <w:rsid w:val="00012124"/>
    <w:rsid w:val="0001218F"/>
    <w:rsid w:val="00012296"/>
    <w:rsid w:val="0001231F"/>
    <w:rsid w:val="00012368"/>
    <w:rsid w:val="000123F0"/>
    <w:rsid w:val="0001240B"/>
    <w:rsid w:val="0001249C"/>
    <w:rsid w:val="000125BE"/>
    <w:rsid w:val="000128FD"/>
    <w:rsid w:val="00012B3E"/>
    <w:rsid w:val="00012BCA"/>
    <w:rsid w:val="00012BD0"/>
    <w:rsid w:val="00012BDB"/>
    <w:rsid w:val="00012BE3"/>
    <w:rsid w:val="00012C1D"/>
    <w:rsid w:val="00012D77"/>
    <w:rsid w:val="00012E0F"/>
    <w:rsid w:val="00012E7F"/>
    <w:rsid w:val="00013010"/>
    <w:rsid w:val="0001306A"/>
    <w:rsid w:val="0001313D"/>
    <w:rsid w:val="00013146"/>
    <w:rsid w:val="00013429"/>
    <w:rsid w:val="00013471"/>
    <w:rsid w:val="000134CC"/>
    <w:rsid w:val="0001351D"/>
    <w:rsid w:val="00013591"/>
    <w:rsid w:val="00013606"/>
    <w:rsid w:val="000136BB"/>
    <w:rsid w:val="00013704"/>
    <w:rsid w:val="0001380A"/>
    <w:rsid w:val="00013839"/>
    <w:rsid w:val="000138B5"/>
    <w:rsid w:val="000138BF"/>
    <w:rsid w:val="0001399E"/>
    <w:rsid w:val="00013A0F"/>
    <w:rsid w:val="00013C38"/>
    <w:rsid w:val="00013CC7"/>
    <w:rsid w:val="00013ED4"/>
    <w:rsid w:val="00013ED8"/>
    <w:rsid w:val="00013F23"/>
    <w:rsid w:val="000140C3"/>
    <w:rsid w:val="000141A4"/>
    <w:rsid w:val="000141B8"/>
    <w:rsid w:val="0001423D"/>
    <w:rsid w:val="000142B2"/>
    <w:rsid w:val="0001446C"/>
    <w:rsid w:val="000146A1"/>
    <w:rsid w:val="0001478E"/>
    <w:rsid w:val="00014918"/>
    <w:rsid w:val="00014965"/>
    <w:rsid w:val="00014A90"/>
    <w:rsid w:val="00014AAA"/>
    <w:rsid w:val="00014AF5"/>
    <w:rsid w:val="00014B2A"/>
    <w:rsid w:val="00014B87"/>
    <w:rsid w:val="00014BC2"/>
    <w:rsid w:val="00014BDF"/>
    <w:rsid w:val="00014C03"/>
    <w:rsid w:val="00014F41"/>
    <w:rsid w:val="00015008"/>
    <w:rsid w:val="000150B0"/>
    <w:rsid w:val="000151AA"/>
    <w:rsid w:val="000151EF"/>
    <w:rsid w:val="00015227"/>
    <w:rsid w:val="00015284"/>
    <w:rsid w:val="00015301"/>
    <w:rsid w:val="00015347"/>
    <w:rsid w:val="000153CC"/>
    <w:rsid w:val="00015516"/>
    <w:rsid w:val="00015574"/>
    <w:rsid w:val="0001572B"/>
    <w:rsid w:val="00015943"/>
    <w:rsid w:val="000159EA"/>
    <w:rsid w:val="00015A92"/>
    <w:rsid w:val="00015BF0"/>
    <w:rsid w:val="00015C45"/>
    <w:rsid w:val="00015CF0"/>
    <w:rsid w:val="00015D5E"/>
    <w:rsid w:val="00015F1E"/>
    <w:rsid w:val="00015F62"/>
    <w:rsid w:val="00015FAE"/>
    <w:rsid w:val="0001604C"/>
    <w:rsid w:val="000160AC"/>
    <w:rsid w:val="00016156"/>
    <w:rsid w:val="000161E3"/>
    <w:rsid w:val="000162F4"/>
    <w:rsid w:val="0001638C"/>
    <w:rsid w:val="000163A1"/>
    <w:rsid w:val="000164D6"/>
    <w:rsid w:val="00016560"/>
    <w:rsid w:val="00016678"/>
    <w:rsid w:val="0001683C"/>
    <w:rsid w:val="000169B4"/>
    <w:rsid w:val="00016BF0"/>
    <w:rsid w:val="00016C4A"/>
    <w:rsid w:val="00016CAE"/>
    <w:rsid w:val="00016D09"/>
    <w:rsid w:val="00016D1A"/>
    <w:rsid w:val="00016D66"/>
    <w:rsid w:val="00016DDC"/>
    <w:rsid w:val="00016E01"/>
    <w:rsid w:val="00016ECF"/>
    <w:rsid w:val="00016EE8"/>
    <w:rsid w:val="00016F31"/>
    <w:rsid w:val="00016F50"/>
    <w:rsid w:val="00016FB6"/>
    <w:rsid w:val="00016FF6"/>
    <w:rsid w:val="00017011"/>
    <w:rsid w:val="000170BB"/>
    <w:rsid w:val="000170D8"/>
    <w:rsid w:val="0001711D"/>
    <w:rsid w:val="00017354"/>
    <w:rsid w:val="000173B5"/>
    <w:rsid w:val="000173CB"/>
    <w:rsid w:val="000175BE"/>
    <w:rsid w:val="00017697"/>
    <w:rsid w:val="00017745"/>
    <w:rsid w:val="000177B9"/>
    <w:rsid w:val="0001786F"/>
    <w:rsid w:val="000179B3"/>
    <w:rsid w:val="00017A6E"/>
    <w:rsid w:val="00017BE2"/>
    <w:rsid w:val="00017C11"/>
    <w:rsid w:val="00017D6B"/>
    <w:rsid w:val="00017E28"/>
    <w:rsid w:val="00017E3F"/>
    <w:rsid w:val="00017ED1"/>
    <w:rsid w:val="00017F2A"/>
    <w:rsid w:val="00020072"/>
    <w:rsid w:val="00020075"/>
    <w:rsid w:val="00020148"/>
    <w:rsid w:val="0002017F"/>
    <w:rsid w:val="00020243"/>
    <w:rsid w:val="0002024C"/>
    <w:rsid w:val="000202E9"/>
    <w:rsid w:val="000203BD"/>
    <w:rsid w:val="00020419"/>
    <w:rsid w:val="00020422"/>
    <w:rsid w:val="0002058D"/>
    <w:rsid w:val="00020853"/>
    <w:rsid w:val="0002088C"/>
    <w:rsid w:val="000208AD"/>
    <w:rsid w:val="000208CE"/>
    <w:rsid w:val="000208DC"/>
    <w:rsid w:val="000209B2"/>
    <w:rsid w:val="000209C4"/>
    <w:rsid w:val="00020A13"/>
    <w:rsid w:val="00020A21"/>
    <w:rsid w:val="00020A67"/>
    <w:rsid w:val="00020B12"/>
    <w:rsid w:val="00020B91"/>
    <w:rsid w:val="00020C82"/>
    <w:rsid w:val="00020D0F"/>
    <w:rsid w:val="00021030"/>
    <w:rsid w:val="000210AB"/>
    <w:rsid w:val="000211B3"/>
    <w:rsid w:val="000212B4"/>
    <w:rsid w:val="0002131C"/>
    <w:rsid w:val="0002131E"/>
    <w:rsid w:val="000213D7"/>
    <w:rsid w:val="00021505"/>
    <w:rsid w:val="000215CF"/>
    <w:rsid w:val="000215F1"/>
    <w:rsid w:val="00021667"/>
    <w:rsid w:val="000216F3"/>
    <w:rsid w:val="00021747"/>
    <w:rsid w:val="00021820"/>
    <w:rsid w:val="00021907"/>
    <w:rsid w:val="00021945"/>
    <w:rsid w:val="00021961"/>
    <w:rsid w:val="00021B91"/>
    <w:rsid w:val="00021C9E"/>
    <w:rsid w:val="00021DE3"/>
    <w:rsid w:val="00021EAA"/>
    <w:rsid w:val="00021EB2"/>
    <w:rsid w:val="00021F63"/>
    <w:rsid w:val="00022016"/>
    <w:rsid w:val="000220F9"/>
    <w:rsid w:val="00022298"/>
    <w:rsid w:val="000223C6"/>
    <w:rsid w:val="000223F3"/>
    <w:rsid w:val="00022434"/>
    <w:rsid w:val="0002245E"/>
    <w:rsid w:val="00022508"/>
    <w:rsid w:val="000226E9"/>
    <w:rsid w:val="000226EC"/>
    <w:rsid w:val="000227E7"/>
    <w:rsid w:val="000227EC"/>
    <w:rsid w:val="000227F3"/>
    <w:rsid w:val="00022884"/>
    <w:rsid w:val="0002290B"/>
    <w:rsid w:val="000229FB"/>
    <w:rsid w:val="00022A43"/>
    <w:rsid w:val="00022A47"/>
    <w:rsid w:val="00022A81"/>
    <w:rsid w:val="00022B4F"/>
    <w:rsid w:val="00022C97"/>
    <w:rsid w:val="00022DF6"/>
    <w:rsid w:val="00022E1F"/>
    <w:rsid w:val="00022E21"/>
    <w:rsid w:val="00022E91"/>
    <w:rsid w:val="00022ECE"/>
    <w:rsid w:val="00022F69"/>
    <w:rsid w:val="00023000"/>
    <w:rsid w:val="000230C4"/>
    <w:rsid w:val="000232F8"/>
    <w:rsid w:val="0002334B"/>
    <w:rsid w:val="000233C7"/>
    <w:rsid w:val="00023441"/>
    <w:rsid w:val="0002353B"/>
    <w:rsid w:val="000237A6"/>
    <w:rsid w:val="00023822"/>
    <w:rsid w:val="000238B1"/>
    <w:rsid w:val="00023A23"/>
    <w:rsid w:val="00023AA1"/>
    <w:rsid w:val="00023B14"/>
    <w:rsid w:val="00023BDE"/>
    <w:rsid w:val="00023C10"/>
    <w:rsid w:val="00023C80"/>
    <w:rsid w:val="00023DC8"/>
    <w:rsid w:val="00023E56"/>
    <w:rsid w:val="00023F10"/>
    <w:rsid w:val="00024085"/>
    <w:rsid w:val="00024143"/>
    <w:rsid w:val="000241A9"/>
    <w:rsid w:val="0002428A"/>
    <w:rsid w:val="0002431B"/>
    <w:rsid w:val="00024332"/>
    <w:rsid w:val="00024425"/>
    <w:rsid w:val="00024430"/>
    <w:rsid w:val="000245DC"/>
    <w:rsid w:val="00024811"/>
    <w:rsid w:val="00024885"/>
    <w:rsid w:val="00024952"/>
    <w:rsid w:val="0002498E"/>
    <w:rsid w:val="000249F5"/>
    <w:rsid w:val="00024B47"/>
    <w:rsid w:val="00024CB9"/>
    <w:rsid w:val="00024E80"/>
    <w:rsid w:val="00024F25"/>
    <w:rsid w:val="00025099"/>
    <w:rsid w:val="000250A9"/>
    <w:rsid w:val="000250B2"/>
    <w:rsid w:val="000250EF"/>
    <w:rsid w:val="00025128"/>
    <w:rsid w:val="00025154"/>
    <w:rsid w:val="00025197"/>
    <w:rsid w:val="000251C0"/>
    <w:rsid w:val="00025235"/>
    <w:rsid w:val="0002528B"/>
    <w:rsid w:val="00025463"/>
    <w:rsid w:val="000254D4"/>
    <w:rsid w:val="000254FD"/>
    <w:rsid w:val="0002554D"/>
    <w:rsid w:val="00025578"/>
    <w:rsid w:val="00025719"/>
    <w:rsid w:val="00025723"/>
    <w:rsid w:val="0002574D"/>
    <w:rsid w:val="00025789"/>
    <w:rsid w:val="000257A9"/>
    <w:rsid w:val="00025915"/>
    <w:rsid w:val="00025931"/>
    <w:rsid w:val="000259EA"/>
    <w:rsid w:val="00025A6A"/>
    <w:rsid w:val="00025A8D"/>
    <w:rsid w:val="00025C9A"/>
    <w:rsid w:val="00025D33"/>
    <w:rsid w:val="00025D5A"/>
    <w:rsid w:val="00025E74"/>
    <w:rsid w:val="00025E9E"/>
    <w:rsid w:val="00025F28"/>
    <w:rsid w:val="00025F36"/>
    <w:rsid w:val="00025FC4"/>
    <w:rsid w:val="0002600B"/>
    <w:rsid w:val="0002608B"/>
    <w:rsid w:val="0002618A"/>
    <w:rsid w:val="000261C6"/>
    <w:rsid w:val="00026365"/>
    <w:rsid w:val="00026499"/>
    <w:rsid w:val="00026504"/>
    <w:rsid w:val="000267C7"/>
    <w:rsid w:val="00026929"/>
    <w:rsid w:val="000269E6"/>
    <w:rsid w:val="00026A42"/>
    <w:rsid w:val="00026B3B"/>
    <w:rsid w:val="00026CA2"/>
    <w:rsid w:val="00026CB9"/>
    <w:rsid w:val="00026D24"/>
    <w:rsid w:val="00026D30"/>
    <w:rsid w:val="00026E52"/>
    <w:rsid w:val="00026E61"/>
    <w:rsid w:val="00026EED"/>
    <w:rsid w:val="00027080"/>
    <w:rsid w:val="000271AB"/>
    <w:rsid w:val="000271DA"/>
    <w:rsid w:val="000273F8"/>
    <w:rsid w:val="0002741F"/>
    <w:rsid w:val="00027505"/>
    <w:rsid w:val="00027571"/>
    <w:rsid w:val="00027577"/>
    <w:rsid w:val="000275C0"/>
    <w:rsid w:val="000275D3"/>
    <w:rsid w:val="00027633"/>
    <w:rsid w:val="000277F3"/>
    <w:rsid w:val="000278EA"/>
    <w:rsid w:val="000279F7"/>
    <w:rsid w:val="00027A36"/>
    <w:rsid w:val="00027ADB"/>
    <w:rsid w:val="00027B2E"/>
    <w:rsid w:val="00027B90"/>
    <w:rsid w:val="00027C3A"/>
    <w:rsid w:val="00027C75"/>
    <w:rsid w:val="00027CAF"/>
    <w:rsid w:val="00027D86"/>
    <w:rsid w:val="00027DAB"/>
    <w:rsid w:val="00027EC1"/>
    <w:rsid w:val="00027F0A"/>
    <w:rsid w:val="00027F6C"/>
    <w:rsid w:val="0002FAF4"/>
    <w:rsid w:val="0003000D"/>
    <w:rsid w:val="00030179"/>
    <w:rsid w:val="00030334"/>
    <w:rsid w:val="0003042B"/>
    <w:rsid w:val="00030487"/>
    <w:rsid w:val="0003049D"/>
    <w:rsid w:val="00030686"/>
    <w:rsid w:val="00030784"/>
    <w:rsid w:val="0003084D"/>
    <w:rsid w:val="0003086F"/>
    <w:rsid w:val="000308CF"/>
    <w:rsid w:val="00030906"/>
    <w:rsid w:val="00030970"/>
    <w:rsid w:val="00030AD5"/>
    <w:rsid w:val="00030BB7"/>
    <w:rsid w:val="00030BFB"/>
    <w:rsid w:val="00030DF7"/>
    <w:rsid w:val="00030DFF"/>
    <w:rsid w:val="00030F24"/>
    <w:rsid w:val="00031032"/>
    <w:rsid w:val="000311F0"/>
    <w:rsid w:val="000311F4"/>
    <w:rsid w:val="00031223"/>
    <w:rsid w:val="00031255"/>
    <w:rsid w:val="00031343"/>
    <w:rsid w:val="00031359"/>
    <w:rsid w:val="000313CF"/>
    <w:rsid w:val="0003148B"/>
    <w:rsid w:val="000314B9"/>
    <w:rsid w:val="000314F4"/>
    <w:rsid w:val="00031532"/>
    <w:rsid w:val="0003154C"/>
    <w:rsid w:val="000315EB"/>
    <w:rsid w:val="00031600"/>
    <w:rsid w:val="0003171B"/>
    <w:rsid w:val="0003171C"/>
    <w:rsid w:val="0003185E"/>
    <w:rsid w:val="00031991"/>
    <w:rsid w:val="000319A0"/>
    <w:rsid w:val="000319B2"/>
    <w:rsid w:val="000319E9"/>
    <w:rsid w:val="00031B80"/>
    <w:rsid w:val="00031BC9"/>
    <w:rsid w:val="00031BDC"/>
    <w:rsid w:val="00031C26"/>
    <w:rsid w:val="00031C2E"/>
    <w:rsid w:val="00031C32"/>
    <w:rsid w:val="00031C84"/>
    <w:rsid w:val="00031FE8"/>
    <w:rsid w:val="00032096"/>
    <w:rsid w:val="000320D3"/>
    <w:rsid w:val="0003218E"/>
    <w:rsid w:val="000321A5"/>
    <w:rsid w:val="00032292"/>
    <w:rsid w:val="000323AA"/>
    <w:rsid w:val="000323EA"/>
    <w:rsid w:val="000324E6"/>
    <w:rsid w:val="000325D0"/>
    <w:rsid w:val="0003272F"/>
    <w:rsid w:val="00032925"/>
    <w:rsid w:val="0003292C"/>
    <w:rsid w:val="00032A8C"/>
    <w:rsid w:val="00032B39"/>
    <w:rsid w:val="00032B3E"/>
    <w:rsid w:val="00032E6F"/>
    <w:rsid w:val="00032F1F"/>
    <w:rsid w:val="00032FEC"/>
    <w:rsid w:val="00033046"/>
    <w:rsid w:val="000330E4"/>
    <w:rsid w:val="000330E8"/>
    <w:rsid w:val="000330EC"/>
    <w:rsid w:val="00033143"/>
    <w:rsid w:val="00033274"/>
    <w:rsid w:val="0003331E"/>
    <w:rsid w:val="000333C4"/>
    <w:rsid w:val="000333F0"/>
    <w:rsid w:val="0003357C"/>
    <w:rsid w:val="00033587"/>
    <w:rsid w:val="000335FE"/>
    <w:rsid w:val="00033763"/>
    <w:rsid w:val="00033843"/>
    <w:rsid w:val="000338BC"/>
    <w:rsid w:val="000338FD"/>
    <w:rsid w:val="00033919"/>
    <w:rsid w:val="00033A45"/>
    <w:rsid w:val="00033AD2"/>
    <w:rsid w:val="00033B0F"/>
    <w:rsid w:val="00033B30"/>
    <w:rsid w:val="00033B31"/>
    <w:rsid w:val="00033B6C"/>
    <w:rsid w:val="00033BB0"/>
    <w:rsid w:val="00033D1B"/>
    <w:rsid w:val="00033D20"/>
    <w:rsid w:val="00033DE2"/>
    <w:rsid w:val="00033E23"/>
    <w:rsid w:val="00033EB0"/>
    <w:rsid w:val="00033F2F"/>
    <w:rsid w:val="00034076"/>
    <w:rsid w:val="000340C3"/>
    <w:rsid w:val="00034100"/>
    <w:rsid w:val="0003419A"/>
    <w:rsid w:val="000341FD"/>
    <w:rsid w:val="000342AA"/>
    <w:rsid w:val="000342C1"/>
    <w:rsid w:val="000342F7"/>
    <w:rsid w:val="00034318"/>
    <w:rsid w:val="00034535"/>
    <w:rsid w:val="00034563"/>
    <w:rsid w:val="000345B2"/>
    <w:rsid w:val="0003467C"/>
    <w:rsid w:val="000346DC"/>
    <w:rsid w:val="00034797"/>
    <w:rsid w:val="000347AC"/>
    <w:rsid w:val="000347D3"/>
    <w:rsid w:val="00034909"/>
    <w:rsid w:val="0003493E"/>
    <w:rsid w:val="000349E5"/>
    <w:rsid w:val="00034A71"/>
    <w:rsid w:val="00034AD0"/>
    <w:rsid w:val="00034B39"/>
    <w:rsid w:val="00034FD3"/>
    <w:rsid w:val="00035113"/>
    <w:rsid w:val="000351B4"/>
    <w:rsid w:val="000351BC"/>
    <w:rsid w:val="0003520B"/>
    <w:rsid w:val="00035212"/>
    <w:rsid w:val="00035228"/>
    <w:rsid w:val="000353DA"/>
    <w:rsid w:val="0003553E"/>
    <w:rsid w:val="00035625"/>
    <w:rsid w:val="000356AC"/>
    <w:rsid w:val="000356E6"/>
    <w:rsid w:val="00035703"/>
    <w:rsid w:val="00035721"/>
    <w:rsid w:val="0003577A"/>
    <w:rsid w:val="000359E1"/>
    <w:rsid w:val="00035B3C"/>
    <w:rsid w:val="00035CAA"/>
    <w:rsid w:val="00035D55"/>
    <w:rsid w:val="00035D83"/>
    <w:rsid w:val="00035E5D"/>
    <w:rsid w:val="00035F07"/>
    <w:rsid w:val="00035F0E"/>
    <w:rsid w:val="0003601B"/>
    <w:rsid w:val="0003605F"/>
    <w:rsid w:val="00036062"/>
    <w:rsid w:val="00036125"/>
    <w:rsid w:val="000361CC"/>
    <w:rsid w:val="00036278"/>
    <w:rsid w:val="0003627B"/>
    <w:rsid w:val="000362CA"/>
    <w:rsid w:val="000363AD"/>
    <w:rsid w:val="000363FA"/>
    <w:rsid w:val="00036502"/>
    <w:rsid w:val="000365E8"/>
    <w:rsid w:val="0003688D"/>
    <w:rsid w:val="00036A90"/>
    <w:rsid w:val="00036A9C"/>
    <w:rsid w:val="00036B9D"/>
    <w:rsid w:val="00036DBA"/>
    <w:rsid w:val="00036DD3"/>
    <w:rsid w:val="00036DE5"/>
    <w:rsid w:val="00036E61"/>
    <w:rsid w:val="00036F4D"/>
    <w:rsid w:val="00036F66"/>
    <w:rsid w:val="00037133"/>
    <w:rsid w:val="000371C6"/>
    <w:rsid w:val="000372D5"/>
    <w:rsid w:val="0003734C"/>
    <w:rsid w:val="0003738B"/>
    <w:rsid w:val="000373A7"/>
    <w:rsid w:val="000373C5"/>
    <w:rsid w:val="00037523"/>
    <w:rsid w:val="00037621"/>
    <w:rsid w:val="00037622"/>
    <w:rsid w:val="000376B3"/>
    <w:rsid w:val="000377AF"/>
    <w:rsid w:val="000378F6"/>
    <w:rsid w:val="0003790E"/>
    <w:rsid w:val="000379AB"/>
    <w:rsid w:val="00037AC0"/>
    <w:rsid w:val="00037B09"/>
    <w:rsid w:val="00037DFA"/>
    <w:rsid w:val="00037E79"/>
    <w:rsid w:val="00040069"/>
    <w:rsid w:val="0004009E"/>
    <w:rsid w:val="00040335"/>
    <w:rsid w:val="000403C6"/>
    <w:rsid w:val="000403CD"/>
    <w:rsid w:val="00040412"/>
    <w:rsid w:val="00040431"/>
    <w:rsid w:val="00040601"/>
    <w:rsid w:val="0004070A"/>
    <w:rsid w:val="00040856"/>
    <w:rsid w:val="0004094C"/>
    <w:rsid w:val="00040A52"/>
    <w:rsid w:val="00040E21"/>
    <w:rsid w:val="00040F3F"/>
    <w:rsid w:val="000410B5"/>
    <w:rsid w:val="000411B6"/>
    <w:rsid w:val="00041258"/>
    <w:rsid w:val="0004126C"/>
    <w:rsid w:val="00041332"/>
    <w:rsid w:val="000413C6"/>
    <w:rsid w:val="0004140E"/>
    <w:rsid w:val="000414D7"/>
    <w:rsid w:val="00041586"/>
    <w:rsid w:val="000415FE"/>
    <w:rsid w:val="00041878"/>
    <w:rsid w:val="000418DF"/>
    <w:rsid w:val="0004199E"/>
    <w:rsid w:val="00041A99"/>
    <w:rsid w:val="00041AFC"/>
    <w:rsid w:val="00041C87"/>
    <w:rsid w:val="00041CE1"/>
    <w:rsid w:val="00041EEF"/>
    <w:rsid w:val="00041EF8"/>
    <w:rsid w:val="00041F30"/>
    <w:rsid w:val="00041F97"/>
    <w:rsid w:val="0004239D"/>
    <w:rsid w:val="0004268F"/>
    <w:rsid w:val="000426C4"/>
    <w:rsid w:val="0004287E"/>
    <w:rsid w:val="000429BC"/>
    <w:rsid w:val="00042CBC"/>
    <w:rsid w:val="00042E18"/>
    <w:rsid w:val="00042F68"/>
    <w:rsid w:val="00042FC5"/>
    <w:rsid w:val="00042FC9"/>
    <w:rsid w:val="00043077"/>
    <w:rsid w:val="00043203"/>
    <w:rsid w:val="000433E3"/>
    <w:rsid w:val="00043412"/>
    <w:rsid w:val="0004343C"/>
    <w:rsid w:val="00043531"/>
    <w:rsid w:val="00043631"/>
    <w:rsid w:val="00043642"/>
    <w:rsid w:val="00043652"/>
    <w:rsid w:val="00043920"/>
    <w:rsid w:val="000439C6"/>
    <w:rsid w:val="00043BDE"/>
    <w:rsid w:val="00043C8A"/>
    <w:rsid w:val="00043CA3"/>
    <w:rsid w:val="00043CB9"/>
    <w:rsid w:val="00043CE7"/>
    <w:rsid w:val="00043E2A"/>
    <w:rsid w:val="00043EA1"/>
    <w:rsid w:val="00043FC0"/>
    <w:rsid w:val="00044062"/>
    <w:rsid w:val="00044096"/>
    <w:rsid w:val="00044205"/>
    <w:rsid w:val="000442B8"/>
    <w:rsid w:val="000444F8"/>
    <w:rsid w:val="00044513"/>
    <w:rsid w:val="00044526"/>
    <w:rsid w:val="0004470C"/>
    <w:rsid w:val="000449B7"/>
    <w:rsid w:val="00044B8C"/>
    <w:rsid w:val="00044C56"/>
    <w:rsid w:val="00044D62"/>
    <w:rsid w:val="00044D7F"/>
    <w:rsid w:val="00044DC3"/>
    <w:rsid w:val="00044E30"/>
    <w:rsid w:val="00044EC9"/>
    <w:rsid w:val="00044F4E"/>
    <w:rsid w:val="00044FF2"/>
    <w:rsid w:val="00045035"/>
    <w:rsid w:val="000450B0"/>
    <w:rsid w:val="000454B7"/>
    <w:rsid w:val="00045510"/>
    <w:rsid w:val="00045618"/>
    <w:rsid w:val="00045625"/>
    <w:rsid w:val="00045A3C"/>
    <w:rsid w:val="00045A72"/>
    <w:rsid w:val="00045CEB"/>
    <w:rsid w:val="00045DC5"/>
    <w:rsid w:val="00045DE5"/>
    <w:rsid w:val="00045DFC"/>
    <w:rsid w:val="00045E7C"/>
    <w:rsid w:val="00045EAC"/>
    <w:rsid w:val="00045F1C"/>
    <w:rsid w:val="00045F94"/>
    <w:rsid w:val="00046014"/>
    <w:rsid w:val="00046139"/>
    <w:rsid w:val="000463C1"/>
    <w:rsid w:val="00046469"/>
    <w:rsid w:val="000464EE"/>
    <w:rsid w:val="00046667"/>
    <w:rsid w:val="0004666A"/>
    <w:rsid w:val="0004670C"/>
    <w:rsid w:val="0004671D"/>
    <w:rsid w:val="00046726"/>
    <w:rsid w:val="000467F3"/>
    <w:rsid w:val="0004684A"/>
    <w:rsid w:val="000469C7"/>
    <w:rsid w:val="00046B9C"/>
    <w:rsid w:val="00046D2F"/>
    <w:rsid w:val="00046E4D"/>
    <w:rsid w:val="00046E86"/>
    <w:rsid w:val="0004700D"/>
    <w:rsid w:val="00047035"/>
    <w:rsid w:val="000472A1"/>
    <w:rsid w:val="00047344"/>
    <w:rsid w:val="00047655"/>
    <w:rsid w:val="00047887"/>
    <w:rsid w:val="000479F9"/>
    <w:rsid w:val="00047A13"/>
    <w:rsid w:val="00047A24"/>
    <w:rsid w:val="00047B69"/>
    <w:rsid w:val="00047BD5"/>
    <w:rsid w:val="00047C1E"/>
    <w:rsid w:val="00047C7F"/>
    <w:rsid w:val="00047CE4"/>
    <w:rsid w:val="00047DB8"/>
    <w:rsid w:val="00050100"/>
    <w:rsid w:val="00050113"/>
    <w:rsid w:val="00050132"/>
    <w:rsid w:val="000501FA"/>
    <w:rsid w:val="0005052C"/>
    <w:rsid w:val="0005057A"/>
    <w:rsid w:val="00050596"/>
    <w:rsid w:val="00050611"/>
    <w:rsid w:val="00050764"/>
    <w:rsid w:val="0005076B"/>
    <w:rsid w:val="00050787"/>
    <w:rsid w:val="000507DA"/>
    <w:rsid w:val="0005093A"/>
    <w:rsid w:val="00050A1F"/>
    <w:rsid w:val="00050AE0"/>
    <w:rsid w:val="00050AFD"/>
    <w:rsid w:val="00050B10"/>
    <w:rsid w:val="00050BC6"/>
    <w:rsid w:val="00050D78"/>
    <w:rsid w:val="00050DE0"/>
    <w:rsid w:val="00050E93"/>
    <w:rsid w:val="00050E9A"/>
    <w:rsid w:val="00050EAE"/>
    <w:rsid w:val="00050EB7"/>
    <w:rsid w:val="00051122"/>
    <w:rsid w:val="0005117D"/>
    <w:rsid w:val="00051233"/>
    <w:rsid w:val="0005129D"/>
    <w:rsid w:val="0005132B"/>
    <w:rsid w:val="00051424"/>
    <w:rsid w:val="0005143E"/>
    <w:rsid w:val="0005145B"/>
    <w:rsid w:val="00051493"/>
    <w:rsid w:val="000514AD"/>
    <w:rsid w:val="000515CD"/>
    <w:rsid w:val="000517AE"/>
    <w:rsid w:val="00051968"/>
    <w:rsid w:val="000519C4"/>
    <w:rsid w:val="00051B4D"/>
    <w:rsid w:val="00051B76"/>
    <w:rsid w:val="00051C7B"/>
    <w:rsid w:val="00051CCB"/>
    <w:rsid w:val="00051E69"/>
    <w:rsid w:val="00051F2D"/>
    <w:rsid w:val="00051F43"/>
    <w:rsid w:val="000520BA"/>
    <w:rsid w:val="000521C0"/>
    <w:rsid w:val="0005231B"/>
    <w:rsid w:val="00052399"/>
    <w:rsid w:val="00052456"/>
    <w:rsid w:val="0005245F"/>
    <w:rsid w:val="000524AE"/>
    <w:rsid w:val="00052507"/>
    <w:rsid w:val="00052526"/>
    <w:rsid w:val="00052589"/>
    <w:rsid w:val="0005275E"/>
    <w:rsid w:val="000527A4"/>
    <w:rsid w:val="00052917"/>
    <w:rsid w:val="00052966"/>
    <w:rsid w:val="00052996"/>
    <w:rsid w:val="000529F1"/>
    <w:rsid w:val="000529FE"/>
    <w:rsid w:val="00052A7B"/>
    <w:rsid w:val="00052A7C"/>
    <w:rsid w:val="00052B21"/>
    <w:rsid w:val="00052C66"/>
    <w:rsid w:val="00052C82"/>
    <w:rsid w:val="00052CC3"/>
    <w:rsid w:val="00052EB9"/>
    <w:rsid w:val="00052F8C"/>
    <w:rsid w:val="00053173"/>
    <w:rsid w:val="00053217"/>
    <w:rsid w:val="00053345"/>
    <w:rsid w:val="0005335E"/>
    <w:rsid w:val="00053377"/>
    <w:rsid w:val="00053394"/>
    <w:rsid w:val="00053456"/>
    <w:rsid w:val="00053466"/>
    <w:rsid w:val="00053570"/>
    <w:rsid w:val="0005358D"/>
    <w:rsid w:val="0005359F"/>
    <w:rsid w:val="000535E1"/>
    <w:rsid w:val="000536A3"/>
    <w:rsid w:val="000536D7"/>
    <w:rsid w:val="000536D9"/>
    <w:rsid w:val="000536DB"/>
    <w:rsid w:val="00053715"/>
    <w:rsid w:val="000537D4"/>
    <w:rsid w:val="00053813"/>
    <w:rsid w:val="00053A82"/>
    <w:rsid w:val="00053AE6"/>
    <w:rsid w:val="00053B4A"/>
    <w:rsid w:val="00053BB6"/>
    <w:rsid w:val="00053BF9"/>
    <w:rsid w:val="00053D20"/>
    <w:rsid w:val="00053D7A"/>
    <w:rsid w:val="00053E11"/>
    <w:rsid w:val="00053FC9"/>
    <w:rsid w:val="00054068"/>
    <w:rsid w:val="00054103"/>
    <w:rsid w:val="0005424E"/>
    <w:rsid w:val="00054351"/>
    <w:rsid w:val="000543C6"/>
    <w:rsid w:val="0005440A"/>
    <w:rsid w:val="00054430"/>
    <w:rsid w:val="00054473"/>
    <w:rsid w:val="000544A2"/>
    <w:rsid w:val="00054574"/>
    <w:rsid w:val="000545D6"/>
    <w:rsid w:val="00054620"/>
    <w:rsid w:val="0005475E"/>
    <w:rsid w:val="000547A0"/>
    <w:rsid w:val="000547B6"/>
    <w:rsid w:val="00054817"/>
    <w:rsid w:val="0005494F"/>
    <w:rsid w:val="000549C9"/>
    <w:rsid w:val="000549FC"/>
    <w:rsid w:val="00054A83"/>
    <w:rsid w:val="00054B40"/>
    <w:rsid w:val="00054C23"/>
    <w:rsid w:val="00054C25"/>
    <w:rsid w:val="00054C6A"/>
    <w:rsid w:val="00054CFA"/>
    <w:rsid w:val="00054D10"/>
    <w:rsid w:val="00054D17"/>
    <w:rsid w:val="00054D1A"/>
    <w:rsid w:val="00054D20"/>
    <w:rsid w:val="00054F9F"/>
    <w:rsid w:val="0005504F"/>
    <w:rsid w:val="000550F4"/>
    <w:rsid w:val="00055222"/>
    <w:rsid w:val="00055256"/>
    <w:rsid w:val="0005527B"/>
    <w:rsid w:val="000552FF"/>
    <w:rsid w:val="00055321"/>
    <w:rsid w:val="00055342"/>
    <w:rsid w:val="000553A3"/>
    <w:rsid w:val="000553F5"/>
    <w:rsid w:val="00055405"/>
    <w:rsid w:val="00055415"/>
    <w:rsid w:val="00055467"/>
    <w:rsid w:val="000554F0"/>
    <w:rsid w:val="00055520"/>
    <w:rsid w:val="00055788"/>
    <w:rsid w:val="000558A8"/>
    <w:rsid w:val="000558BA"/>
    <w:rsid w:val="000558CC"/>
    <w:rsid w:val="00055905"/>
    <w:rsid w:val="0005590D"/>
    <w:rsid w:val="000559C8"/>
    <w:rsid w:val="00055A03"/>
    <w:rsid w:val="00055A06"/>
    <w:rsid w:val="00055B55"/>
    <w:rsid w:val="00055D5B"/>
    <w:rsid w:val="00055DC3"/>
    <w:rsid w:val="00055E29"/>
    <w:rsid w:val="00055F8A"/>
    <w:rsid w:val="00056108"/>
    <w:rsid w:val="0005611B"/>
    <w:rsid w:val="000561AC"/>
    <w:rsid w:val="00056270"/>
    <w:rsid w:val="0005643B"/>
    <w:rsid w:val="00056465"/>
    <w:rsid w:val="00056551"/>
    <w:rsid w:val="00056683"/>
    <w:rsid w:val="00056732"/>
    <w:rsid w:val="000567B5"/>
    <w:rsid w:val="0005685C"/>
    <w:rsid w:val="0005689B"/>
    <w:rsid w:val="000568F0"/>
    <w:rsid w:val="000569B3"/>
    <w:rsid w:val="00056A05"/>
    <w:rsid w:val="00056A0B"/>
    <w:rsid w:val="00056A26"/>
    <w:rsid w:val="00056A66"/>
    <w:rsid w:val="00056ACF"/>
    <w:rsid w:val="00056B52"/>
    <w:rsid w:val="00056D22"/>
    <w:rsid w:val="0005703E"/>
    <w:rsid w:val="0005709A"/>
    <w:rsid w:val="0005712D"/>
    <w:rsid w:val="0005726E"/>
    <w:rsid w:val="000572FA"/>
    <w:rsid w:val="00057560"/>
    <w:rsid w:val="0005765B"/>
    <w:rsid w:val="00057676"/>
    <w:rsid w:val="000576AB"/>
    <w:rsid w:val="000577AA"/>
    <w:rsid w:val="000577BF"/>
    <w:rsid w:val="00057803"/>
    <w:rsid w:val="00057962"/>
    <w:rsid w:val="00057A97"/>
    <w:rsid w:val="00057AD5"/>
    <w:rsid w:val="00057B33"/>
    <w:rsid w:val="00057CA8"/>
    <w:rsid w:val="00057CB6"/>
    <w:rsid w:val="00057D8E"/>
    <w:rsid w:val="00057EA7"/>
    <w:rsid w:val="00057EF3"/>
    <w:rsid w:val="00057F30"/>
    <w:rsid w:val="00057F48"/>
    <w:rsid w:val="00057F7D"/>
    <w:rsid w:val="000602D3"/>
    <w:rsid w:val="0006041D"/>
    <w:rsid w:val="00060438"/>
    <w:rsid w:val="00060481"/>
    <w:rsid w:val="000605AC"/>
    <w:rsid w:val="00060699"/>
    <w:rsid w:val="00060883"/>
    <w:rsid w:val="000608CE"/>
    <w:rsid w:val="000608F0"/>
    <w:rsid w:val="00060BD2"/>
    <w:rsid w:val="00060F69"/>
    <w:rsid w:val="00060F7A"/>
    <w:rsid w:val="00060FAD"/>
    <w:rsid w:val="00061017"/>
    <w:rsid w:val="0006103E"/>
    <w:rsid w:val="0006107E"/>
    <w:rsid w:val="000610B7"/>
    <w:rsid w:val="00061102"/>
    <w:rsid w:val="0006112A"/>
    <w:rsid w:val="0006119E"/>
    <w:rsid w:val="000613D8"/>
    <w:rsid w:val="000613DD"/>
    <w:rsid w:val="000613F0"/>
    <w:rsid w:val="00061416"/>
    <w:rsid w:val="000614D7"/>
    <w:rsid w:val="000614D9"/>
    <w:rsid w:val="0006157E"/>
    <w:rsid w:val="000615A3"/>
    <w:rsid w:val="000615E1"/>
    <w:rsid w:val="00061685"/>
    <w:rsid w:val="000617DB"/>
    <w:rsid w:val="0006185E"/>
    <w:rsid w:val="0006197B"/>
    <w:rsid w:val="00061D8F"/>
    <w:rsid w:val="00061EB2"/>
    <w:rsid w:val="0006218A"/>
    <w:rsid w:val="000621A9"/>
    <w:rsid w:val="000621F0"/>
    <w:rsid w:val="000622C1"/>
    <w:rsid w:val="00062345"/>
    <w:rsid w:val="000624F6"/>
    <w:rsid w:val="00062550"/>
    <w:rsid w:val="00062580"/>
    <w:rsid w:val="000625D2"/>
    <w:rsid w:val="0006261D"/>
    <w:rsid w:val="00062681"/>
    <w:rsid w:val="0006268B"/>
    <w:rsid w:val="000627AA"/>
    <w:rsid w:val="000627C0"/>
    <w:rsid w:val="000627CE"/>
    <w:rsid w:val="00062808"/>
    <w:rsid w:val="0006291C"/>
    <w:rsid w:val="00062928"/>
    <w:rsid w:val="000629BD"/>
    <w:rsid w:val="00062B14"/>
    <w:rsid w:val="00062BBD"/>
    <w:rsid w:val="00062C16"/>
    <w:rsid w:val="00062F1F"/>
    <w:rsid w:val="00062FE7"/>
    <w:rsid w:val="00063241"/>
    <w:rsid w:val="00063322"/>
    <w:rsid w:val="00063526"/>
    <w:rsid w:val="000635DF"/>
    <w:rsid w:val="000636BA"/>
    <w:rsid w:val="0006372F"/>
    <w:rsid w:val="000637F1"/>
    <w:rsid w:val="000638BF"/>
    <w:rsid w:val="000638C1"/>
    <w:rsid w:val="000638F1"/>
    <w:rsid w:val="00063B02"/>
    <w:rsid w:val="00063BA8"/>
    <w:rsid w:val="00063C39"/>
    <w:rsid w:val="00063C5E"/>
    <w:rsid w:val="00063CE4"/>
    <w:rsid w:val="00063CF2"/>
    <w:rsid w:val="00063DAA"/>
    <w:rsid w:val="00063DB9"/>
    <w:rsid w:val="00063ED4"/>
    <w:rsid w:val="00064059"/>
    <w:rsid w:val="00064224"/>
    <w:rsid w:val="000645BF"/>
    <w:rsid w:val="000646AD"/>
    <w:rsid w:val="000646D5"/>
    <w:rsid w:val="00064A88"/>
    <w:rsid w:val="00064DDB"/>
    <w:rsid w:val="0006521F"/>
    <w:rsid w:val="00065229"/>
    <w:rsid w:val="00065331"/>
    <w:rsid w:val="0006538E"/>
    <w:rsid w:val="000653A5"/>
    <w:rsid w:val="00065400"/>
    <w:rsid w:val="000654F7"/>
    <w:rsid w:val="0006567D"/>
    <w:rsid w:val="00065846"/>
    <w:rsid w:val="0006586B"/>
    <w:rsid w:val="000658E5"/>
    <w:rsid w:val="00065B07"/>
    <w:rsid w:val="00065DA8"/>
    <w:rsid w:val="00065EEA"/>
    <w:rsid w:val="00065EFD"/>
    <w:rsid w:val="00065F10"/>
    <w:rsid w:val="00065FA3"/>
    <w:rsid w:val="00065FD1"/>
    <w:rsid w:val="000660DC"/>
    <w:rsid w:val="0006611C"/>
    <w:rsid w:val="00066137"/>
    <w:rsid w:val="00066160"/>
    <w:rsid w:val="000662D8"/>
    <w:rsid w:val="0006640F"/>
    <w:rsid w:val="00066448"/>
    <w:rsid w:val="000666B7"/>
    <w:rsid w:val="00066782"/>
    <w:rsid w:val="000667F1"/>
    <w:rsid w:val="00066834"/>
    <w:rsid w:val="000668E2"/>
    <w:rsid w:val="00066934"/>
    <w:rsid w:val="00066946"/>
    <w:rsid w:val="0006696B"/>
    <w:rsid w:val="000669CC"/>
    <w:rsid w:val="00066AA2"/>
    <w:rsid w:val="00066AA7"/>
    <w:rsid w:val="00066B30"/>
    <w:rsid w:val="00066B84"/>
    <w:rsid w:val="00066BC7"/>
    <w:rsid w:val="00066D75"/>
    <w:rsid w:val="00066D94"/>
    <w:rsid w:val="00066E60"/>
    <w:rsid w:val="00066FCE"/>
    <w:rsid w:val="00067051"/>
    <w:rsid w:val="000670DA"/>
    <w:rsid w:val="000672A4"/>
    <w:rsid w:val="000672F6"/>
    <w:rsid w:val="0006732D"/>
    <w:rsid w:val="00067359"/>
    <w:rsid w:val="000673E8"/>
    <w:rsid w:val="00067486"/>
    <w:rsid w:val="000674A9"/>
    <w:rsid w:val="000675A2"/>
    <w:rsid w:val="0006765D"/>
    <w:rsid w:val="0006772A"/>
    <w:rsid w:val="00067748"/>
    <w:rsid w:val="000677AF"/>
    <w:rsid w:val="0006784B"/>
    <w:rsid w:val="00067944"/>
    <w:rsid w:val="000679B6"/>
    <w:rsid w:val="000679FF"/>
    <w:rsid w:val="00067A02"/>
    <w:rsid w:val="00067A93"/>
    <w:rsid w:val="00067CED"/>
    <w:rsid w:val="00067D17"/>
    <w:rsid w:val="00067E5F"/>
    <w:rsid w:val="00067ED0"/>
    <w:rsid w:val="00067F4B"/>
    <w:rsid w:val="00067F82"/>
    <w:rsid w:val="0007004F"/>
    <w:rsid w:val="0007035B"/>
    <w:rsid w:val="000703B0"/>
    <w:rsid w:val="0007040C"/>
    <w:rsid w:val="00070462"/>
    <w:rsid w:val="00070508"/>
    <w:rsid w:val="000705E5"/>
    <w:rsid w:val="00070794"/>
    <w:rsid w:val="000707B3"/>
    <w:rsid w:val="00070811"/>
    <w:rsid w:val="00070822"/>
    <w:rsid w:val="00070921"/>
    <w:rsid w:val="00070928"/>
    <w:rsid w:val="000709B1"/>
    <w:rsid w:val="000709C9"/>
    <w:rsid w:val="000709F4"/>
    <w:rsid w:val="00070B57"/>
    <w:rsid w:val="00070C48"/>
    <w:rsid w:val="00070CAE"/>
    <w:rsid w:val="00070E2E"/>
    <w:rsid w:val="00070E57"/>
    <w:rsid w:val="00070E6D"/>
    <w:rsid w:val="0007101A"/>
    <w:rsid w:val="0007105A"/>
    <w:rsid w:val="000711F6"/>
    <w:rsid w:val="0007122B"/>
    <w:rsid w:val="00071278"/>
    <w:rsid w:val="00071322"/>
    <w:rsid w:val="00071345"/>
    <w:rsid w:val="0007147D"/>
    <w:rsid w:val="00071666"/>
    <w:rsid w:val="00071727"/>
    <w:rsid w:val="000718BD"/>
    <w:rsid w:val="000719E8"/>
    <w:rsid w:val="000719FF"/>
    <w:rsid w:val="00071A6B"/>
    <w:rsid w:val="00071A95"/>
    <w:rsid w:val="00071D54"/>
    <w:rsid w:val="00071D85"/>
    <w:rsid w:val="00071DCD"/>
    <w:rsid w:val="00072049"/>
    <w:rsid w:val="0007232B"/>
    <w:rsid w:val="00072399"/>
    <w:rsid w:val="000723F2"/>
    <w:rsid w:val="00072492"/>
    <w:rsid w:val="000724FD"/>
    <w:rsid w:val="0007255F"/>
    <w:rsid w:val="000725B4"/>
    <w:rsid w:val="00072610"/>
    <w:rsid w:val="0007261F"/>
    <w:rsid w:val="00072730"/>
    <w:rsid w:val="00072735"/>
    <w:rsid w:val="0007273E"/>
    <w:rsid w:val="000727B8"/>
    <w:rsid w:val="000727CB"/>
    <w:rsid w:val="000728EA"/>
    <w:rsid w:val="00072AE4"/>
    <w:rsid w:val="00072B96"/>
    <w:rsid w:val="00072C77"/>
    <w:rsid w:val="00072D0E"/>
    <w:rsid w:val="00072D2D"/>
    <w:rsid w:val="00072DA0"/>
    <w:rsid w:val="00072DA5"/>
    <w:rsid w:val="00072E29"/>
    <w:rsid w:val="00072E89"/>
    <w:rsid w:val="00073028"/>
    <w:rsid w:val="00073156"/>
    <w:rsid w:val="00073168"/>
    <w:rsid w:val="000731E5"/>
    <w:rsid w:val="000731F3"/>
    <w:rsid w:val="00073419"/>
    <w:rsid w:val="0007355D"/>
    <w:rsid w:val="0007356C"/>
    <w:rsid w:val="0007373F"/>
    <w:rsid w:val="00073750"/>
    <w:rsid w:val="000737D0"/>
    <w:rsid w:val="00073891"/>
    <w:rsid w:val="000738CE"/>
    <w:rsid w:val="000739F5"/>
    <w:rsid w:val="00073AB7"/>
    <w:rsid w:val="00073ACB"/>
    <w:rsid w:val="00073AE8"/>
    <w:rsid w:val="00073B88"/>
    <w:rsid w:val="00073B97"/>
    <w:rsid w:val="00073DE9"/>
    <w:rsid w:val="00073E15"/>
    <w:rsid w:val="00073E8F"/>
    <w:rsid w:val="00073F2C"/>
    <w:rsid w:val="00073F81"/>
    <w:rsid w:val="00073FF4"/>
    <w:rsid w:val="000740F9"/>
    <w:rsid w:val="00074261"/>
    <w:rsid w:val="0007427C"/>
    <w:rsid w:val="00074317"/>
    <w:rsid w:val="00074350"/>
    <w:rsid w:val="00074394"/>
    <w:rsid w:val="000743F5"/>
    <w:rsid w:val="00074455"/>
    <w:rsid w:val="000744C6"/>
    <w:rsid w:val="000744D9"/>
    <w:rsid w:val="0007455E"/>
    <w:rsid w:val="000746AD"/>
    <w:rsid w:val="00074723"/>
    <w:rsid w:val="0007473E"/>
    <w:rsid w:val="00074999"/>
    <w:rsid w:val="00074A8A"/>
    <w:rsid w:val="00074C5D"/>
    <w:rsid w:val="00074DC8"/>
    <w:rsid w:val="00074DE5"/>
    <w:rsid w:val="00074E94"/>
    <w:rsid w:val="00074EF4"/>
    <w:rsid w:val="00074EFE"/>
    <w:rsid w:val="00074F18"/>
    <w:rsid w:val="000750D7"/>
    <w:rsid w:val="000750EE"/>
    <w:rsid w:val="0007531C"/>
    <w:rsid w:val="000753CA"/>
    <w:rsid w:val="00075409"/>
    <w:rsid w:val="0007548B"/>
    <w:rsid w:val="00075627"/>
    <w:rsid w:val="00075667"/>
    <w:rsid w:val="000757AB"/>
    <w:rsid w:val="00075985"/>
    <w:rsid w:val="00075AB8"/>
    <w:rsid w:val="00075AC0"/>
    <w:rsid w:val="00075B83"/>
    <w:rsid w:val="00075C1C"/>
    <w:rsid w:val="00075E69"/>
    <w:rsid w:val="00075E9A"/>
    <w:rsid w:val="00075EE8"/>
    <w:rsid w:val="00075EF1"/>
    <w:rsid w:val="00075F3B"/>
    <w:rsid w:val="0007609B"/>
    <w:rsid w:val="000760DB"/>
    <w:rsid w:val="0007610D"/>
    <w:rsid w:val="00076168"/>
    <w:rsid w:val="00076251"/>
    <w:rsid w:val="000762F9"/>
    <w:rsid w:val="00076425"/>
    <w:rsid w:val="00076429"/>
    <w:rsid w:val="0007649D"/>
    <w:rsid w:val="000765D3"/>
    <w:rsid w:val="00076904"/>
    <w:rsid w:val="00076B00"/>
    <w:rsid w:val="00076C05"/>
    <w:rsid w:val="00076C77"/>
    <w:rsid w:val="00076CB3"/>
    <w:rsid w:val="00076FDD"/>
    <w:rsid w:val="00077067"/>
    <w:rsid w:val="000770AD"/>
    <w:rsid w:val="000770E0"/>
    <w:rsid w:val="000770FC"/>
    <w:rsid w:val="0007725B"/>
    <w:rsid w:val="00077297"/>
    <w:rsid w:val="000772A2"/>
    <w:rsid w:val="00077462"/>
    <w:rsid w:val="0007746B"/>
    <w:rsid w:val="00077549"/>
    <w:rsid w:val="000775A5"/>
    <w:rsid w:val="00077717"/>
    <w:rsid w:val="000777C8"/>
    <w:rsid w:val="00077826"/>
    <w:rsid w:val="000779BA"/>
    <w:rsid w:val="00077A3E"/>
    <w:rsid w:val="00077AFB"/>
    <w:rsid w:val="00077C4D"/>
    <w:rsid w:val="00077CF3"/>
    <w:rsid w:val="00077E4D"/>
    <w:rsid w:val="00077ECF"/>
    <w:rsid w:val="00080083"/>
    <w:rsid w:val="0008014B"/>
    <w:rsid w:val="000801AD"/>
    <w:rsid w:val="00080267"/>
    <w:rsid w:val="000802C6"/>
    <w:rsid w:val="0008036B"/>
    <w:rsid w:val="00080446"/>
    <w:rsid w:val="00080457"/>
    <w:rsid w:val="000804D1"/>
    <w:rsid w:val="00080551"/>
    <w:rsid w:val="00080653"/>
    <w:rsid w:val="000806C4"/>
    <w:rsid w:val="00080739"/>
    <w:rsid w:val="00080747"/>
    <w:rsid w:val="0008075A"/>
    <w:rsid w:val="0008090D"/>
    <w:rsid w:val="00080A05"/>
    <w:rsid w:val="00080BC5"/>
    <w:rsid w:val="00080BD5"/>
    <w:rsid w:val="00080CD8"/>
    <w:rsid w:val="00080CD9"/>
    <w:rsid w:val="00080D96"/>
    <w:rsid w:val="00080E97"/>
    <w:rsid w:val="00080EC2"/>
    <w:rsid w:val="00080FB0"/>
    <w:rsid w:val="00081061"/>
    <w:rsid w:val="00081127"/>
    <w:rsid w:val="0008121B"/>
    <w:rsid w:val="00081282"/>
    <w:rsid w:val="000812BB"/>
    <w:rsid w:val="00081483"/>
    <w:rsid w:val="000814D0"/>
    <w:rsid w:val="0008152C"/>
    <w:rsid w:val="0008162B"/>
    <w:rsid w:val="00081715"/>
    <w:rsid w:val="000817F8"/>
    <w:rsid w:val="000818FD"/>
    <w:rsid w:val="0008194B"/>
    <w:rsid w:val="00081970"/>
    <w:rsid w:val="000819A2"/>
    <w:rsid w:val="00081A3E"/>
    <w:rsid w:val="00081A9C"/>
    <w:rsid w:val="00081B39"/>
    <w:rsid w:val="00081BD0"/>
    <w:rsid w:val="00081C88"/>
    <w:rsid w:val="00081CBD"/>
    <w:rsid w:val="00081D1C"/>
    <w:rsid w:val="00081EF5"/>
    <w:rsid w:val="000821A9"/>
    <w:rsid w:val="0008224C"/>
    <w:rsid w:val="0008238E"/>
    <w:rsid w:val="0008248D"/>
    <w:rsid w:val="000824BD"/>
    <w:rsid w:val="00082515"/>
    <w:rsid w:val="0008253C"/>
    <w:rsid w:val="00082558"/>
    <w:rsid w:val="000825BA"/>
    <w:rsid w:val="000825F3"/>
    <w:rsid w:val="00082662"/>
    <w:rsid w:val="000826CB"/>
    <w:rsid w:val="00082886"/>
    <w:rsid w:val="00082901"/>
    <w:rsid w:val="00082978"/>
    <w:rsid w:val="00082987"/>
    <w:rsid w:val="000829CD"/>
    <w:rsid w:val="00082A20"/>
    <w:rsid w:val="00082A97"/>
    <w:rsid w:val="00082AE2"/>
    <w:rsid w:val="00082B62"/>
    <w:rsid w:val="00082B86"/>
    <w:rsid w:val="00082BF7"/>
    <w:rsid w:val="00082BFD"/>
    <w:rsid w:val="00082C13"/>
    <w:rsid w:val="00082DF5"/>
    <w:rsid w:val="00082E67"/>
    <w:rsid w:val="0008307C"/>
    <w:rsid w:val="00083164"/>
    <w:rsid w:val="000831C1"/>
    <w:rsid w:val="000831FC"/>
    <w:rsid w:val="00083290"/>
    <w:rsid w:val="000832CB"/>
    <w:rsid w:val="00083342"/>
    <w:rsid w:val="00083366"/>
    <w:rsid w:val="00083367"/>
    <w:rsid w:val="00083393"/>
    <w:rsid w:val="000833FB"/>
    <w:rsid w:val="000834F2"/>
    <w:rsid w:val="0008350E"/>
    <w:rsid w:val="000835A0"/>
    <w:rsid w:val="000835CA"/>
    <w:rsid w:val="00083611"/>
    <w:rsid w:val="00083844"/>
    <w:rsid w:val="0008385C"/>
    <w:rsid w:val="0008394D"/>
    <w:rsid w:val="00083984"/>
    <w:rsid w:val="000839B8"/>
    <w:rsid w:val="00083A80"/>
    <w:rsid w:val="00083AC5"/>
    <w:rsid w:val="00083AD2"/>
    <w:rsid w:val="00083B04"/>
    <w:rsid w:val="00083BF8"/>
    <w:rsid w:val="00083CD3"/>
    <w:rsid w:val="00083D39"/>
    <w:rsid w:val="00083D40"/>
    <w:rsid w:val="00083D7A"/>
    <w:rsid w:val="00083DCA"/>
    <w:rsid w:val="00083DDA"/>
    <w:rsid w:val="00083E05"/>
    <w:rsid w:val="00083E29"/>
    <w:rsid w:val="00083E30"/>
    <w:rsid w:val="00083E31"/>
    <w:rsid w:val="00083EAB"/>
    <w:rsid w:val="00083FDB"/>
    <w:rsid w:val="00084039"/>
    <w:rsid w:val="000840DD"/>
    <w:rsid w:val="000840ED"/>
    <w:rsid w:val="00084128"/>
    <w:rsid w:val="00084132"/>
    <w:rsid w:val="000841F9"/>
    <w:rsid w:val="000843C9"/>
    <w:rsid w:val="000844CD"/>
    <w:rsid w:val="00084506"/>
    <w:rsid w:val="00084539"/>
    <w:rsid w:val="00084602"/>
    <w:rsid w:val="000846FF"/>
    <w:rsid w:val="0008482D"/>
    <w:rsid w:val="00084898"/>
    <w:rsid w:val="00084A7C"/>
    <w:rsid w:val="00084B25"/>
    <w:rsid w:val="00084B5D"/>
    <w:rsid w:val="00084B66"/>
    <w:rsid w:val="00084B7F"/>
    <w:rsid w:val="00084BDA"/>
    <w:rsid w:val="00084BF6"/>
    <w:rsid w:val="00084D0A"/>
    <w:rsid w:val="00084DCC"/>
    <w:rsid w:val="00084F12"/>
    <w:rsid w:val="00084FB4"/>
    <w:rsid w:val="00084FCE"/>
    <w:rsid w:val="00085020"/>
    <w:rsid w:val="000851EC"/>
    <w:rsid w:val="00085258"/>
    <w:rsid w:val="00085345"/>
    <w:rsid w:val="000855D8"/>
    <w:rsid w:val="0008560E"/>
    <w:rsid w:val="000856D8"/>
    <w:rsid w:val="00085744"/>
    <w:rsid w:val="0008596C"/>
    <w:rsid w:val="000859BD"/>
    <w:rsid w:val="00085BEA"/>
    <w:rsid w:val="00085C27"/>
    <w:rsid w:val="00085D3E"/>
    <w:rsid w:val="00085D42"/>
    <w:rsid w:val="00085DC1"/>
    <w:rsid w:val="00085DF2"/>
    <w:rsid w:val="00085E88"/>
    <w:rsid w:val="00085F14"/>
    <w:rsid w:val="00085FA8"/>
    <w:rsid w:val="00085FBA"/>
    <w:rsid w:val="00085FC6"/>
    <w:rsid w:val="0008608F"/>
    <w:rsid w:val="000860A4"/>
    <w:rsid w:val="000860D2"/>
    <w:rsid w:val="000862A5"/>
    <w:rsid w:val="000862CD"/>
    <w:rsid w:val="00086573"/>
    <w:rsid w:val="000865B5"/>
    <w:rsid w:val="000865B7"/>
    <w:rsid w:val="000865D8"/>
    <w:rsid w:val="00086641"/>
    <w:rsid w:val="00086822"/>
    <w:rsid w:val="0008698D"/>
    <w:rsid w:val="00086A60"/>
    <w:rsid w:val="00086C7B"/>
    <w:rsid w:val="00086D0C"/>
    <w:rsid w:val="00086DCA"/>
    <w:rsid w:val="00086DD4"/>
    <w:rsid w:val="00086F17"/>
    <w:rsid w:val="0008703A"/>
    <w:rsid w:val="00087046"/>
    <w:rsid w:val="0008707B"/>
    <w:rsid w:val="00087260"/>
    <w:rsid w:val="00087297"/>
    <w:rsid w:val="000872E4"/>
    <w:rsid w:val="0008743D"/>
    <w:rsid w:val="00087539"/>
    <w:rsid w:val="000875CF"/>
    <w:rsid w:val="000877B7"/>
    <w:rsid w:val="000877CF"/>
    <w:rsid w:val="000877FB"/>
    <w:rsid w:val="00087993"/>
    <w:rsid w:val="00087B62"/>
    <w:rsid w:val="00087B69"/>
    <w:rsid w:val="00087BD4"/>
    <w:rsid w:val="00087BEF"/>
    <w:rsid w:val="00087C00"/>
    <w:rsid w:val="00087C16"/>
    <w:rsid w:val="00087C25"/>
    <w:rsid w:val="00087C5E"/>
    <w:rsid w:val="00087D07"/>
    <w:rsid w:val="00087D34"/>
    <w:rsid w:val="00087D7E"/>
    <w:rsid w:val="00087F37"/>
    <w:rsid w:val="00087FA5"/>
    <w:rsid w:val="00090043"/>
    <w:rsid w:val="0009004E"/>
    <w:rsid w:val="000901D0"/>
    <w:rsid w:val="000901F2"/>
    <w:rsid w:val="000903D4"/>
    <w:rsid w:val="000903F4"/>
    <w:rsid w:val="00090479"/>
    <w:rsid w:val="00090604"/>
    <w:rsid w:val="0009064D"/>
    <w:rsid w:val="00090728"/>
    <w:rsid w:val="00090747"/>
    <w:rsid w:val="00090781"/>
    <w:rsid w:val="00090786"/>
    <w:rsid w:val="0009084E"/>
    <w:rsid w:val="00090855"/>
    <w:rsid w:val="00090861"/>
    <w:rsid w:val="00090964"/>
    <w:rsid w:val="000909AB"/>
    <w:rsid w:val="000909F1"/>
    <w:rsid w:val="00090AC9"/>
    <w:rsid w:val="00090AFA"/>
    <w:rsid w:val="00090B01"/>
    <w:rsid w:val="00090C79"/>
    <w:rsid w:val="00090D97"/>
    <w:rsid w:val="00090DAE"/>
    <w:rsid w:val="00090ED2"/>
    <w:rsid w:val="00090F94"/>
    <w:rsid w:val="0009101F"/>
    <w:rsid w:val="00091059"/>
    <w:rsid w:val="0009110A"/>
    <w:rsid w:val="00091227"/>
    <w:rsid w:val="00091446"/>
    <w:rsid w:val="00091683"/>
    <w:rsid w:val="0009168A"/>
    <w:rsid w:val="000917AE"/>
    <w:rsid w:val="00091860"/>
    <w:rsid w:val="00091895"/>
    <w:rsid w:val="000918EA"/>
    <w:rsid w:val="00091AC7"/>
    <w:rsid w:val="00091CFE"/>
    <w:rsid w:val="00091E79"/>
    <w:rsid w:val="00092286"/>
    <w:rsid w:val="0009232C"/>
    <w:rsid w:val="000923F9"/>
    <w:rsid w:val="00092407"/>
    <w:rsid w:val="00092420"/>
    <w:rsid w:val="000924F6"/>
    <w:rsid w:val="0009254B"/>
    <w:rsid w:val="000926B3"/>
    <w:rsid w:val="000926CA"/>
    <w:rsid w:val="000926CB"/>
    <w:rsid w:val="000927F2"/>
    <w:rsid w:val="00092843"/>
    <w:rsid w:val="000928CB"/>
    <w:rsid w:val="00092A00"/>
    <w:rsid w:val="00092A86"/>
    <w:rsid w:val="00092B53"/>
    <w:rsid w:val="00092BA9"/>
    <w:rsid w:val="00092C3C"/>
    <w:rsid w:val="00092CB8"/>
    <w:rsid w:val="00092CDE"/>
    <w:rsid w:val="00092E27"/>
    <w:rsid w:val="00092E3D"/>
    <w:rsid w:val="00092EA0"/>
    <w:rsid w:val="00092EB2"/>
    <w:rsid w:val="00092EF0"/>
    <w:rsid w:val="00092FFD"/>
    <w:rsid w:val="00093160"/>
    <w:rsid w:val="00093436"/>
    <w:rsid w:val="00093490"/>
    <w:rsid w:val="000934A8"/>
    <w:rsid w:val="00093555"/>
    <w:rsid w:val="0009357B"/>
    <w:rsid w:val="000935C0"/>
    <w:rsid w:val="00093620"/>
    <w:rsid w:val="000936B0"/>
    <w:rsid w:val="000936D0"/>
    <w:rsid w:val="0009374C"/>
    <w:rsid w:val="00093810"/>
    <w:rsid w:val="00093B46"/>
    <w:rsid w:val="00093C21"/>
    <w:rsid w:val="00093C65"/>
    <w:rsid w:val="00093CCA"/>
    <w:rsid w:val="00093D49"/>
    <w:rsid w:val="00093EFE"/>
    <w:rsid w:val="00093F09"/>
    <w:rsid w:val="00094019"/>
    <w:rsid w:val="000940B7"/>
    <w:rsid w:val="000940C7"/>
    <w:rsid w:val="000941BD"/>
    <w:rsid w:val="00094452"/>
    <w:rsid w:val="000944AD"/>
    <w:rsid w:val="00094554"/>
    <w:rsid w:val="00094562"/>
    <w:rsid w:val="00094579"/>
    <w:rsid w:val="000945F8"/>
    <w:rsid w:val="00094604"/>
    <w:rsid w:val="000946BF"/>
    <w:rsid w:val="000946F3"/>
    <w:rsid w:val="0009472E"/>
    <w:rsid w:val="000949CC"/>
    <w:rsid w:val="000949CF"/>
    <w:rsid w:val="00094A8F"/>
    <w:rsid w:val="00094AF5"/>
    <w:rsid w:val="00094BCF"/>
    <w:rsid w:val="00094D11"/>
    <w:rsid w:val="00094D3D"/>
    <w:rsid w:val="00094D56"/>
    <w:rsid w:val="00094D6A"/>
    <w:rsid w:val="00094E11"/>
    <w:rsid w:val="00094FB5"/>
    <w:rsid w:val="0009504D"/>
    <w:rsid w:val="00095218"/>
    <w:rsid w:val="00095296"/>
    <w:rsid w:val="000952B1"/>
    <w:rsid w:val="000953BF"/>
    <w:rsid w:val="00095441"/>
    <w:rsid w:val="00095465"/>
    <w:rsid w:val="00095863"/>
    <w:rsid w:val="0009589E"/>
    <w:rsid w:val="00095A22"/>
    <w:rsid w:val="00095B4B"/>
    <w:rsid w:val="00095B61"/>
    <w:rsid w:val="00095B86"/>
    <w:rsid w:val="00095B8E"/>
    <w:rsid w:val="00095B99"/>
    <w:rsid w:val="00095C15"/>
    <w:rsid w:val="00095C39"/>
    <w:rsid w:val="00095CCF"/>
    <w:rsid w:val="00095FB6"/>
    <w:rsid w:val="000961F6"/>
    <w:rsid w:val="00096237"/>
    <w:rsid w:val="0009636A"/>
    <w:rsid w:val="000963B5"/>
    <w:rsid w:val="0009648B"/>
    <w:rsid w:val="00096520"/>
    <w:rsid w:val="00096610"/>
    <w:rsid w:val="0009667F"/>
    <w:rsid w:val="00096784"/>
    <w:rsid w:val="000967F9"/>
    <w:rsid w:val="00096820"/>
    <w:rsid w:val="00096A2D"/>
    <w:rsid w:val="00096A96"/>
    <w:rsid w:val="00096B85"/>
    <w:rsid w:val="00096B89"/>
    <w:rsid w:val="00096C0C"/>
    <w:rsid w:val="00096E1C"/>
    <w:rsid w:val="00096E84"/>
    <w:rsid w:val="00096EB7"/>
    <w:rsid w:val="00097160"/>
    <w:rsid w:val="00097258"/>
    <w:rsid w:val="000974D6"/>
    <w:rsid w:val="0009750A"/>
    <w:rsid w:val="00097558"/>
    <w:rsid w:val="0009765B"/>
    <w:rsid w:val="000976A8"/>
    <w:rsid w:val="000977CB"/>
    <w:rsid w:val="0009780D"/>
    <w:rsid w:val="00097868"/>
    <w:rsid w:val="000978DB"/>
    <w:rsid w:val="00097929"/>
    <w:rsid w:val="00097B0B"/>
    <w:rsid w:val="00097B3D"/>
    <w:rsid w:val="00097C4E"/>
    <w:rsid w:val="00097D7D"/>
    <w:rsid w:val="00097DBC"/>
    <w:rsid w:val="00097EBA"/>
    <w:rsid w:val="00097EF5"/>
    <w:rsid w:val="00097F23"/>
    <w:rsid w:val="00097FC4"/>
    <w:rsid w:val="00097FE0"/>
    <w:rsid w:val="000A000C"/>
    <w:rsid w:val="000A0063"/>
    <w:rsid w:val="000A00A7"/>
    <w:rsid w:val="000A0119"/>
    <w:rsid w:val="000A03BF"/>
    <w:rsid w:val="000A0556"/>
    <w:rsid w:val="000A077C"/>
    <w:rsid w:val="000A0791"/>
    <w:rsid w:val="000A07A4"/>
    <w:rsid w:val="000A086F"/>
    <w:rsid w:val="000A09AB"/>
    <w:rsid w:val="000A0A0E"/>
    <w:rsid w:val="000A0B7A"/>
    <w:rsid w:val="000A0BEB"/>
    <w:rsid w:val="000A0D21"/>
    <w:rsid w:val="000A0D27"/>
    <w:rsid w:val="000A0D31"/>
    <w:rsid w:val="000A0D5C"/>
    <w:rsid w:val="000A0DDA"/>
    <w:rsid w:val="000A11F3"/>
    <w:rsid w:val="000A1204"/>
    <w:rsid w:val="000A1258"/>
    <w:rsid w:val="000A12F1"/>
    <w:rsid w:val="000A1375"/>
    <w:rsid w:val="000A13A2"/>
    <w:rsid w:val="000A13DC"/>
    <w:rsid w:val="000A1412"/>
    <w:rsid w:val="000A14BC"/>
    <w:rsid w:val="000A154F"/>
    <w:rsid w:val="000A1622"/>
    <w:rsid w:val="000A16C9"/>
    <w:rsid w:val="000A1847"/>
    <w:rsid w:val="000A197E"/>
    <w:rsid w:val="000A19CF"/>
    <w:rsid w:val="000A1AEB"/>
    <w:rsid w:val="000A1CFD"/>
    <w:rsid w:val="000A1DBE"/>
    <w:rsid w:val="000A1EFE"/>
    <w:rsid w:val="000A1F47"/>
    <w:rsid w:val="000A1FAE"/>
    <w:rsid w:val="000A1FC6"/>
    <w:rsid w:val="000A2067"/>
    <w:rsid w:val="000A2068"/>
    <w:rsid w:val="000A21E0"/>
    <w:rsid w:val="000A21F5"/>
    <w:rsid w:val="000A220B"/>
    <w:rsid w:val="000A22C4"/>
    <w:rsid w:val="000A232A"/>
    <w:rsid w:val="000A23CC"/>
    <w:rsid w:val="000A248A"/>
    <w:rsid w:val="000A2536"/>
    <w:rsid w:val="000A257E"/>
    <w:rsid w:val="000A285B"/>
    <w:rsid w:val="000A28C6"/>
    <w:rsid w:val="000A2A2D"/>
    <w:rsid w:val="000A2A95"/>
    <w:rsid w:val="000A2B8E"/>
    <w:rsid w:val="000A2BCB"/>
    <w:rsid w:val="000A2C76"/>
    <w:rsid w:val="000A2C81"/>
    <w:rsid w:val="000A2CE6"/>
    <w:rsid w:val="000A2D32"/>
    <w:rsid w:val="000A2E10"/>
    <w:rsid w:val="000A2EE3"/>
    <w:rsid w:val="000A3026"/>
    <w:rsid w:val="000A30B9"/>
    <w:rsid w:val="000A30C9"/>
    <w:rsid w:val="000A312C"/>
    <w:rsid w:val="000A312D"/>
    <w:rsid w:val="000A31BC"/>
    <w:rsid w:val="000A31E4"/>
    <w:rsid w:val="000A32E2"/>
    <w:rsid w:val="000A332D"/>
    <w:rsid w:val="000A344E"/>
    <w:rsid w:val="000A34C4"/>
    <w:rsid w:val="000A357E"/>
    <w:rsid w:val="000A35C6"/>
    <w:rsid w:val="000A36B6"/>
    <w:rsid w:val="000A36C8"/>
    <w:rsid w:val="000A379B"/>
    <w:rsid w:val="000A3A40"/>
    <w:rsid w:val="000A3A6C"/>
    <w:rsid w:val="000A3EDA"/>
    <w:rsid w:val="000A3F0F"/>
    <w:rsid w:val="000A4012"/>
    <w:rsid w:val="000A4074"/>
    <w:rsid w:val="000A40AA"/>
    <w:rsid w:val="000A40B0"/>
    <w:rsid w:val="000A40B1"/>
    <w:rsid w:val="000A41F1"/>
    <w:rsid w:val="000A43F9"/>
    <w:rsid w:val="000A45CB"/>
    <w:rsid w:val="000A45EA"/>
    <w:rsid w:val="000A463F"/>
    <w:rsid w:val="000A473C"/>
    <w:rsid w:val="000A48D6"/>
    <w:rsid w:val="000A48F5"/>
    <w:rsid w:val="000A49E6"/>
    <w:rsid w:val="000A4A2D"/>
    <w:rsid w:val="000A4A91"/>
    <w:rsid w:val="000A4B4B"/>
    <w:rsid w:val="000A4E22"/>
    <w:rsid w:val="000A4E51"/>
    <w:rsid w:val="000A4E9C"/>
    <w:rsid w:val="000A4FC9"/>
    <w:rsid w:val="000A5016"/>
    <w:rsid w:val="000A5017"/>
    <w:rsid w:val="000A5099"/>
    <w:rsid w:val="000A5125"/>
    <w:rsid w:val="000A5137"/>
    <w:rsid w:val="000A517C"/>
    <w:rsid w:val="000A51FA"/>
    <w:rsid w:val="000A5370"/>
    <w:rsid w:val="000A5410"/>
    <w:rsid w:val="000A55D1"/>
    <w:rsid w:val="000A560E"/>
    <w:rsid w:val="000A5621"/>
    <w:rsid w:val="000A5660"/>
    <w:rsid w:val="000A567F"/>
    <w:rsid w:val="000A56A2"/>
    <w:rsid w:val="000A574F"/>
    <w:rsid w:val="000A5790"/>
    <w:rsid w:val="000A5863"/>
    <w:rsid w:val="000A587D"/>
    <w:rsid w:val="000A5A2C"/>
    <w:rsid w:val="000A5C95"/>
    <w:rsid w:val="000A5E9A"/>
    <w:rsid w:val="000A5EC1"/>
    <w:rsid w:val="000A5F0E"/>
    <w:rsid w:val="000A5F86"/>
    <w:rsid w:val="000A5FF4"/>
    <w:rsid w:val="000A6010"/>
    <w:rsid w:val="000A6071"/>
    <w:rsid w:val="000A60CE"/>
    <w:rsid w:val="000A6103"/>
    <w:rsid w:val="000A61BC"/>
    <w:rsid w:val="000A6223"/>
    <w:rsid w:val="000A624F"/>
    <w:rsid w:val="000A62A1"/>
    <w:rsid w:val="000A638A"/>
    <w:rsid w:val="000A6391"/>
    <w:rsid w:val="000A6423"/>
    <w:rsid w:val="000A6640"/>
    <w:rsid w:val="000A66A4"/>
    <w:rsid w:val="000A6749"/>
    <w:rsid w:val="000A67CA"/>
    <w:rsid w:val="000A6853"/>
    <w:rsid w:val="000A6902"/>
    <w:rsid w:val="000A6928"/>
    <w:rsid w:val="000A697D"/>
    <w:rsid w:val="000A6A90"/>
    <w:rsid w:val="000A6AA7"/>
    <w:rsid w:val="000A6AF0"/>
    <w:rsid w:val="000A6B77"/>
    <w:rsid w:val="000A6BCA"/>
    <w:rsid w:val="000A6CA1"/>
    <w:rsid w:val="000A6E49"/>
    <w:rsid w:val="000A6E56"/>
    <w:rsid w:val="000A6E58"/>
    <w:rsid w:val="000A6F8F"/>
    <w:rsid w:val="000A6FEB"/>
    <w:rsid w:val="000A7059"/>
    <w:rsid w:val="000A713C"/>
    <w:rsid w:val="000A717C"/>
    <w:rsid w:val="000A7216"/>
    <w:rsid w:val="000A72C0"/>
    <w:rsid w:val="000A7345"/>
    <w:rsid w:val="000A73DD"/>
    <w:rsid w:val="000A7445"/>
    <w:rsid w:val="000A7558"/>
    <w:rsid w:val="000A756F"/>
    <w:rsid w:val="000A76B0"/>
    <w:rsid w:val="000A7723"/>
    <w:rsid w:val="000A77CB"/>
    <w:rsid w:val="000A784E"/>
    <w:rsid w:val="000A789D"/>
    <w:rsid w:val="000A7912"/>
    <w:rsid w:val="000A7981"/>
    <w:rsid w:val="000A7B7C"/>
    <w:rsid w:val="000A7BAD"/>
    <w:rsid w:val="000A7C50"/>
    <w:rsid w:val="000A7CB6"/>
    <w:rsid w:val="000A7DBA"/>
    <w:rsid w:val="000A7E49"/>
    <w:rsid w:val="000A7F2E"/>
    <w:rsid w:val="000A7F9E"/>
    <w:rsid w:val="000A7FBC"/>
    <w:rsid w:val="000A7FF9"/>
    <w:rsid w:val="000B0052"/>
    <w:rsid w:val="000B0295"/>
    <w:rsid w:val="000B035D"/>
    <w:rsid w:val="000B04DE"/>
    <w:rsid w:val="000B0506"/>
    <w:rsid w:val="000B0534"/>
    <w:rsid w:val="000B05C9"/>
    <w:rsid w:val="000B063E"/>
    <w:rsid w:val="000B07B8"/>
    <w:rsid w:val="000B07BE"/>
    <w:rsid w:val="000B0A1E"/>
    <w:rsid w:val="000B0C99"/>
    <w:rsid w:val="000B0D6E"/>
    <w:rsid w:val="000B0DBE"/>
    <w:rsid w:val="000B0DFA"/>
    <w:rsid w:val="000B0E34"/>
    <w:rsid w:val="000B0F2B"/>
    <w:rsid w:val="000B0FA6"/>
    <w:rsid w:val="000B0FAE"/>
    <w:rsid w:val="000B0FC7"/>
    <w:rsid w:val="000B10CC"/>
    <w:rsid w:val="000B10D9"/>
    <w:rsid w:val="000B1157"/>
    <w:rsid w:val="000B1224"/>
    <w:rsid w:val="000B126F"/>
    <w:rsid w:val="000B1281"/>
    <w:rsid w:val="000B129C"/>
    <w:rsid w:val="000B12A2"/>
    <w:rsid w:val="000B1323"/>
    <w:rsid w:val="000B1334"/>
    <w:rsid w:val="000B1486"/>
    <w:rsid w:val="000B1538"/>
    <w:rsid w:val="000B1926"/>
    <w:rsid w:val="000B1A00"/>
    <w:rsid w:val="000B1A4C"/>
    <w:rsid w:val="000B1A72"/>
    <w:rsid w:val="000B1A8A"/>
    <w:rsid w:val="000B1A94"/>
    <w:rsid w:val="000B1A9D"/>
    <w:rsid w:val="000B1BEC"/>
    <w:rsid w:val="000B1EF8"/>
    <w:rsid w:val="000B1FA6"/>
    <w:rsid w:val="000B217C"/>
    <w:rsid w:val="000B21D0"/>
    <w:rsid w:val="000B23D9"/>
    <w:rsid w:val="000B252B"/>
    <w:rsid w:val="000B2733"/>
    <w:rsid w:val="000B27A4"/>
    <w:rsid w:val="000B282A"/>
    <w:rsid w:val="000B283D"/>
    <w:rsid w:val="000B2872"/>
    <w:rsid w:val="000B2A4A"/>
    <w:rsid w:val="000B2A8A"/>
    <w:rsid w:val="000B2B0C"/>
    <w:rsid w:val="000B2B22"/>
    <w:rsid w:val="000B2B2D"/>
    <w:rsid w:val="000B2C09"/>
    <w:rsid w:val="000B2C6A"/>
    <w:rsid w:val="000B2C77"/>
    <w:rsid w:val="000B2CB7"/>
    <w:rsid w:val="000B2CFA"/>
    <w:rsid w:val="000B2DB4"/>
    <w:rsid w:val="000B2ECA"/>
    <w:rsid w:val="000B317E"/>
    <w:rsid w:val="000B3229"/>
    <w:rsid w:val="000B326E"/>
    <w:rsid w:val="000B3384"/>
    <w:rsid w:val="000B3425"/>
    <w:rsid w:val="000B3442"/>
    <w:rsid w:val="000B3466"/>
    <w:rsid w:val="000B3467"/>
    <w:rsid w:val="000B34BA"/>
    <w:rsid w:val="000B352F"/>
    <w:rsid w:val="000B354C"/>
    <w:rsid w:val="000B35E1"/>
    <w:rsid w:val="000B369A"/>
    <w:rsid w:val="000B36B1"/>
    <w:rsid w:val="000B3772"/>
    <w:rsid w:val="000B3780"/>
    <w:rsid w:val="000B38DE"/>
    <w:rsid w:val="000B397F"/>
    <w:rsid w:val="000B3AA3"/>
    <w:rsid w:val="000B3ACF"/>
    <w:rsid w:val="000B3ADB"/>
    <w:rsid w:val="000B3C18"/>
    <w:rsid w:val="000B3C1C"/>
    <w:rsid w:val="000B3D0F"/>
    <w:rsid w:val="000B3D3E"/>
    <w:rsid w:val="000B3D86"/>
    <w:rsid w:val="000B3E20"/>
    <w:rsid w:val="000B4024"/>
    <w:rsid w:val="000B4066"/>
    <w:rsid w:val="000B41F1"/>
    <w:rsid w:val="000B4227"/>
    <w:rsid w:val="000B425F"/>
    <w:rsid w:val="000B4283"/>
    <w:rsid w:val="000B4341"/>
    <w:rsid w:val="000B43CA"/>
    <w:rsid w:val="000B43E9"/>
    <w:rsid w:val="000B4417"/>
    <w:rsid w:val="000B44EF"/>
    <w:rsid w:val="000B450B"/>
    <w:rsid w:val="000B49E5"/>
    <w:rsid w:val="000B49EC"/>
    <w:rsid w:val="000B4A29"/>
    <w:rsid w:val="000B4A59"/>
    <w:rsid w:val="000B4ADF"/>
    <w:rsid w:val="000B4B0B"/>
    <w:rsid w:val="000B4B1F"/>
    <w:rsid w:val="000B4C1C"/>
    <w:rsid w:val="000B4CB3"/>
    <w:rsid w:val="000B4E0D"/>
    <w:rsid w:val="000B4E2F"/>
    <w:rsid w:val="000B4E50"/>
    <w:rsid w:val="000B4F82"/>
    <w:rsid w:val="000B5054"/>
    <w:rsid w:val="000B50B2"/>
    <w:rsid w:val="000B517A"/>
    <w:rsid w:val="000B51B0"/>
    <w:rsid w:val="000B52BF"/>
    <w:rsid w:val="000B5417"/>
    <w:rsid w:val="000B5499"/>
    <w:rsid w:val="000B55AA"/>
    <w:rsid w:val="000B5618"/>
    <w:rsid w:val="000B566E"/>
    <w:rsid w:val="000B56F0"/>
    <w:rsid w:val="000B5700"/>
    <w:rsid w:val="000B58A4"/>
    <w:rsid w:val="000B5AA4"/>
    <w:rsid w:val="000B5C2A"/>
    <w:rsid w:val="000B5C76"/>
    <w:rsid w:val="000B5D69"/>
    <w:rsid w:val="000B5E39"/>
    <w:rsid w:val="000B5EE3"/>
    <w:rsid w:val="000B5F4C"/>
    <w:rsid w:val="000B5FD6"/>
    <w:rsid w:val="000B608F"/>
    <w:rsid w:val="000B6156"/>
    <w:rsid w:val="000B616E"/>
    <w:rsid w:val="000B61A2"/>
    <w:rsid w:val="000B6212"/>
    <w:rsid w:val="000B6275"/>
    <w:rsid w:val="000B63A2"/>
    <w:rsid w:val="000B643B"/>
    <w:rsid w:val="000B65A2"/>
    <w:rsid w:val="000B65C8"/>
    <w:rsid w:val="000B6698"/>
    <w:rsid w:val="000B686F"/>
    <w:rsid w:val="000B6911"/>
    <w:rsid w:val="000B6AD6"/>
    <w:rsid w:val="000B6C89"/>
    <w:rsid w:val="000B7045"/>
    <w:rsid w:val="000B707B"/>
    <w:rsid w:val="000B70A7"/>
    <w:rsid w:val="000B70AF"/>
    <w:rsid w:val="000B70F4"/>
    <w:rsid w:val="000B718A"/>
    <w:rsid w:val="000B721A"/>
    <w:rsid w:val="000B7291"/>
    <w:rsid w:val="000B72EB"/>
    <w:rsid w:val="000B753E"/>
    <w:rsid w:val="000B759A"/>
    <w:rsid w:val="000B75C6"/>
    <w:rsid w:val="000B7704"/>
    <w:rsid w:val="000B7917"/>
    <w:rsid w:val="000B7A71"/>
    <w:rsid w:val="000B7B75"/>
    <w:rsid w:val="000B7C85"/>
    <w:rsid w:val="000B7D44"/>
    <w:rsid w:val="000B7E9E"/>
    <w:rsid w:val="000B7EA3"/>
    <w:rsid w:val="000B7F46"/>
    <w:rsid w:val="000C0056"/>
    <w:rsid w:val="000C006D"/>
    <w:rsid w:val="000C0120"/>
    <w:rsid w:val="000C0147"/>
    <w:rsid w:val="000C01BD"/>
    <w:rsid w:val="000C02BC"/>
    <w:rsid w:val="000C0309"/>
    <w:rsid w:val="000C043A"/>
    <w:rsid w:val="000C066B"/>
    <w:rsid w:val="000C06B9"/>
    <w:rsid w:val="000C078B"/>
    <w:rsid w:val="000C0860"/>
    <w:rsid w:val="000C0895"/>
    <w:rsid w:val="000C08CE"/>
    <w:rsid w:val="000C0AEA"/>
    <w:rsid w:val="000C0AF2"/>
    <w:rsid w:val="000C0BF4"/>
    <w:rsid w:val="000C0E3F"/>
    <w:rsid w:val="000C0FAB"/>
    <w:rsid w:val="000C10C8"/>
    <w:rsid w:val="000C1154"/>
    <w:rsid w:val="000C1365"/>
    <w:rsid w:val="000C144D"/>
    <w:rsid w:val="000C148F"/>
    <w:rsid w:val="000C14DC"/>
    <w:rsid w:val="000C1550"/>
    <w:rsid w:val="000C16B6"/>
    <w:rsid w:val="000C1775"/>
    <w:rsid w:val="000C184A"/>
    <w:rsid w:val="000C18AB"/>
    <w:rsid w:val="000C1914"/>
    <w:rsid w:val="000C1957"/>
    <w:rsid w:val="000C19DD"/>
    <w:rsid w:val="000C19DE"/>
    <w:rsid w:val="000C1A7E"/>
    <w:rsid w:val="000C1AB2"/>
    <w:rsid w:val="000C1B3F"/>
    <w:rsid w:val="000C1BA2"/>
    <w:rsid w:val="000C1BD3"/>
    <w:rsid w:val="000C1D65"/>
    <w:rsid w:val="000C1E68"/>
    <w:rsid w:val="000C1FC9"/>
    <w:rsid w:val="000C21A5"/>
    <w:rsid w:val="000C2486"/>
    <w:rsid w:val="000C27CA"/>
    <w:rsid w:val="000C2A2E"/>
    <w:rsid w:val="000C2CD1"/>
    <w:rsid w:val="000C2D01"/>
    <w:rsid w:val="000C2D66"/>
    <w:rsid w:val="000C2D8A"/>
    <w:rsid w:val="000C2E1A"/>
    <w:rsid w:val="000C31E5"/>
    <w:rsid w:val="000C321C"/>
    <w:rsid w:val="000C32B7"/>
    <w:rsid w:val="000C32D2"/>
    <w:rsid w:val="000C333D"/>
    <w:rsid w:val="000C3340"/>
    <w:rsid w:val="000C33DE"/>
    <w:rsid w:val="000C356C"/>
    <w:rsid w:val="000C35CD"/>
    <w:rsid w:val="000C36C3"/>
    <w:rsid w:val="000C36C5"/>
    <w:rsid w:val="000C3772"/>
    <w:rsid w:val="000C37AA"/>
    <w:rsid w:val="000C3841"/>
    <w:rsid w:val="000C3863"/>
    <w:rsid w:val="000C38AD"/>
    <w:rsid w:val="000C3973"/>
    <w:rsid w:val="000C39CC"/>
    <w:rsid w:val="000C3A7E"/>
    <w:rsid w:val="000C3BC8"/>
    <w:rsid w:val="000C3C5A"/>
    <w:rsid w:val="000C3CFA"/>
    <w:rsid w:val="000C3D1D"/>
    <w:rsid w:val="000C3D29"/>
    <w:rsid w:val="000C3DF9"/>
    <w:rsid w:val="000C3F50"/>
    <w:rsid w:val="000C3F7D"/>
    <w:rsid w:val="000C3F94"/>
    <w:rsid w:val="000C3FAF"/>
    <w:rsid w:val="000C3FEF"/>
    <w:rsid w:val="000C402B"/>
    <w:rsid w:val="000C402C"/>
    <w:rsid w:val="000C4124"/>
    <w:rsid w:val="000C433E"/>
    <w:rsid w:val="000C4425"/>
    <w:rsid w:val="000C4542"/>
    <w:rsid w:val="000C45EE"/>
    <w:rsid w:val="000C46DE"/>
    <w:rsid w:val="000C4715"/>
    <w:rsid w:val="000C4725"/>
    <w:rsid w:val="000C4743"/>
    <w:rsid w:val="000C4769"/>
    <w:rsid w:val="000C47A2"/>
    <w:rsid w:val="000C4848"/>
    <w:rsid w:val="000C48E2"/>
    <w:rsid w:val="000C4978"/>
    <w:rsid w:val="000C4B47"/>
    <w:rsid w:val="000C4CA7"/>
    <w:rsid w:val="000C4CE4"/>
    <w:rsid w:val="000C4CF1"/>
    <w:rsid w:val="000C4D73"/>
    <w:rsid w:val="000C4DED"/>
    <w:rsid w:val="000C4F1C"/>
    <w:rsid w:val="000C5055"/>
    <w:rsid w:val="000C5063"/>
    <w:rsid w:val="000C514C"/>
    <w:rsid w:val="000C5333"/>
    <w:rsid w:val="000C5364"/>
    <w:rsid w:val="000C538E"/>
    <w:rsid w:val="000C5404"/>
    <w:rsid w:val="000C544A"/>
    <w:rsid w:val="000C55CA"/>
    <w:rsid w:val="000C5666"/>
    <w:rsid w:val="000C5740"/>
    <w:rsid w:val="000C57BA"/>
    <w:rsid w:val="000C592F"/>
    <w:rsid w:val="000C5996"/>
    <w:rsid w:val="000C59CA"/>
    <w:rsid w:val="000C5AD3"/>
    <w:rsid w:val="000C5BA7"/>
    <w:rsid w:val="000C5BA9"/>
    <w:rsid w:val="000C5BFA"/>
    <w:rsid w:val="000C5C0B"/>
    <w:rsid w:val="000C5C24"/>
    <w:rsid w:val="000C5D19"/>
    <w:rsid w:val="000C5E43"/>
    <w:rsid w:val="000C5E8E"/>
    <w:rsid w:val="000C5ECF"/>
    <w:rsid w:val="000C5F2B"/>
    <w:rsid w:val="000C5FB5"/>
    <w:rsid w:val="000C6003"/>
    <w:rsid w:val="000C602F"/>
    <w:rsid w:val="000C6147"/>
    <w:rsid w:val="000C62C7"/>
    <w:rsid w:val="000C635F"/>
    <w:rsid w:val="000C64D9"/>
    <w:rsid w:val="000C6570"/>
    <w:rsid w:val="000C6612"/>
    <w:rsid w:val="000C6650"/>
    <w:rsid w:val="000C671F"/>
    <w:rsid w:val="000C6758"/>
    <w:rsid w:val="000C6867"/>
    <w:rsid w:val="000C691B"/>
    <w:rsid w:val="000C6955"/>
    <w:rsid w:val="000C6A69"/>
    <w:rsid w:val="000C6B09"/>
    <w:rsid w:val="000C6B17"/>
    <w:rsid w:val="000C6CB9"/>
    <w:rsid w:val="000C6D5F"/>
    <w:rsid w:val="000C6DD2"/>
    <w:rsid w:val="000C6EE5"/>
    <w:rsid w:val="000C6F62"/>
    <w:rsid w:val="000C6FCE"/>
    <w:rsid w:val="000C703E"/>
    <w:rsid w:val="000C70CC"/>
    <w:rsid w:val="000C71B9"/>
    <w:rsid w:val="000C7223"/>
    <w:rsid w:val="000C72CC"/>
    <w:rsid w:val="000C736A"/>
    <w:rsid w:val="000C7450"/>
    <w:rsid w:val="000C74BF"/>
    <w:rsid w:val="000C74D0"/>
    <w:rsid w:val="000C7567"/>
    <w:rsid w:val="000C7733"/>
    <w:rsid w:val="000C7851"/>
    <w:rsid w:val="000C78F5"/>
    <w:rsid w:val="000C7A09"/>
    <w:rsid w:val="000C7ABE"/>
    <w:rsid w:val="000C7B1E"/>
    <w:rsid w:val="000C7BCA"/>
    <w:rsid w:val="000C7BD6"/>
    <w:rsid w:val="000C7BFF"/>
    <w:rsid w:val="000C7C45"/>
    <w:rsid w:val="000C7C6F"/>
    <w:rsid w:val="000C7DB5"/>
    <w:rsid w:val="000C7DC4"/>
    <w:rsid w:val="000C7E33"/>
    <w:rsid w:val="000C7FC0"/>
    <w:rsid w:val="000D002F"/>
    <w:rsid w:val="000D0140"/>
    <w:rsid w:val="000D024F"/>
    <w:rsid w:val="000D048B"/>
    <w:rsid w:val="000D04B4"/>
    <w:rsid w:val="000D0A37"/>
    <w:rsid w:val="000D0D6E"/>
    <w:rsid w:val="000D0F10"/>
    <w:rsid w:val="000D1207"/>
    <w:rsid w:val="000D1367"/>
    <w:rsid w:val="000D13EE"/>
    <w:rsid w:val="000D13F3"/>
    <w:rsid w:val="000D15A5"/>
    <w:rsid w:val="000D15CC"/>
    <w:rsid w:val="000D15CE"/>
    <w:rsid w:val="000D164B"/>
    <w:rsid w:val="000D165B"/>
    <w:rsid w:val="000D165E"/>
    <w:rsid w:val="000D16B6"/>
    <w:rsid w:val="000D1753"/>
    <w:rsid w:val="000D1856"/>
    <w:rsid w:val="000D1919"/>
    <w:rsid w:val="000D1B10"/>
    <w:rsid w:val="000D1B36"/>
    <w:rsid w:val="000D1C02"/>
    <w:rsid w:val="000D1C22"/>
    <w:rsid w:val="000D1D37"/>
    <w:rsid w:val="000D1D62"/>
    <w:rsid w:val="000D1E8F"/>
    <w:rsid w:val="000D1F87"/>
    <w:rsid w:val="000D1FCD"/>
    <w:rsid w:val="000D2093"/>
    <w:rsid w:val="000D20E6"/>
    <w:rsid w:val="000D23BF"/>
    <w:rsid w:val="000D2437"/>
    <w:rsid w:val="000D24FA"/>
    <w:rsid w:val="000D2696"/>
    <w:rsid w:val="000D26B1"/>
    <w:rsid w:val="000D2715"/>
    <w:rsid w:val="000D2827"/>
    <w:rsid w:val="000D28F0"/>
    <w:rsid w:val="000D2974"/>
    <w:rsid w:val="000D2A58"/>
    <w:rsid w:val="000D2B09"/>
    <w:rsid w:val="000D2B0E"/>
    <w:rsid w:val="000D2B5F"/>
    <w:rsid w:val="000D2BC3"/>
    <w:rsid w:val="000D2C03"/>
    <w:rsid w:val="000D2C9F"/>
    <w:rsid w:val="000D2DE3"/>
    <w:rsid w:val="000D2E42"/>
    <w:rsid w:val="000D2E7B"/>
    <w:rsid w:val="000D2F02"/>
    <w:rsid w:val="000D2FA3"/>
    <w:rsid w:val="000D2FFB"/>
    <w:rsid w:val="000D300B"/>
    <w:rsid w:val="000D3170"/>
    <w:rsid w:val="000D3232"/>
    <w:rsid w:val="000D33D7"/>
    <w:rsid w:val="000D34D0"/>
    <w:rsid w:val="000D3534"/>
    <w:rsid w:val="000D355D"/>
    <w:rsid w:val="000D35B8"/>
    <w:rsid w:val="000D3633"/>
    <w:rsid w:val="000D3688"/>
    <w:rsid w:val="000D36CC"/>
    <w:rsid w:val="000D36E2"/>
    <w:rsid w:val="000D372E"/>
    <w:rsid w:val="000D37A1"/>
    <w:rsid w:val="000D3B65"/>
    <w:rsid w:val="000D3B78"/>
    <w:rsid w:val="000D3BC5"/>
    <w:rsid w:val="000D3E0C"/>
    <w:rsid w:val="000D4111"/>
    <w:rsid w:val="000D4196"/>
    <w:rsid w:val="000D41A1"/>
    <w:rsid w:val="000D4259"/>
    <w:rsid w:val="000D427D"/>
    <w:rsid w:val="000D42A0"/>
    <w:rsid w:val="000D435A"/>
    <w:rsid w:val="000D4374"/>
    <w:rsid w:val="000D438A"/>
    <w:rsid w:val="000D453B"/>
    <w:rsid w:val="000D45AB"/>
    <w:rsid w:val="000D46A4"/>
    <w:rsid w:val="000D48C1"/>
    <w:rsid w:val="000D494E"/>
    <w:rsid w:val="000D49B4"/>
    <w:rsid w:val="000D49B8"/>
    <w:rsid w:val="000D4AA2"/>
    <w:rsid w:val="000D4B4E"/>
    <w:rsid w:val="000D4BBB"/>
    <w:rsid w:val="000D4BDD"/>
    <w:rsid w:val="000D4BEE"/>
    <w:rsid w:val="000D4C29"/>
    <w:rsid w:val="000D4C54"/>
    <w:rsid w:val="000D4C71"/>
    <w:rsid w:val="000D4E0D"/>
    <w:rsid w:val="000D4E8E"/>
    <w:rsid w:val="000D4EDC"/>
    <w:rsid w:val="000D4EF5"/>
    <w:rsid w:val="000D4F3D"/>
    <w:rsid w:val="000D4F94"/>
    <w:rsid w:val="000D51B5"/>
    <w:rsid w:val="000D53D0"/>
    <w:rsid w:val="000D5451"/>
    <w:rsid w:val="000D55AB"/>
    <w:rsid w:val="000D5643"/>
    <w:rsid w:val="000D57B5"/>
    <w:rsid w:val="000D585D"/>
    <w:rsid w:val="000D58AC"/>
    <w:rsid w:val="000D58F4"/>
    <w:rsid w:val="000D58F5"/>
    <w:rsid w:val="000D592C"/>
    <w:rsid w:val="000D5950"/>
    <w:rsid w:val="000D5A1B"/>
    <w:rsid w:val="000D5A6A"/>
    <w:rsid w:val="000D5A95"/>
    <w:rsid w:val="000D5B23"/>
    <w:rsid w:val="000D5C5C"/>
    <w:rsid w:val="000D5C64"/>
    <w:rsid w:val="000D5CBC"/>
    <w:rsid w:val="000D5DBF"/>
    <w:rsid w:val="000D5DFD"/>
    <w:rsid w:val="000D5E97"/>
    <w:rsid w:val="000D5FFC"/>
    <w:rsid w:val="000D6009"/>
    <w:rsid w:val="000D6176"/>
    <w:rsid w:val="000D61C9"/>
    <w:rsid w:val="000D62A3"/>
    <w:rsid w:val="000D64B5"/>
    <w:rsid w:val="000D64E8"/>
    <w:rsid w:val="000D65F8"/>
    <w:rsid w:val="000D66DA"/>
    <w:rsid w:val="000D674D"/>
    <w:rsid w:val="000D67FD"/>
    <w:rsid w:val="000D6869"/>
    <w:rsid w:val="000D686C"/>
    <w:rsid w:val="000D69B9"/>
    <w:rsid w:val="000D6B23"/>
    <w:rsid w:val="000D6D9A"/>
    <w:rsid w:val="000D6E41"/>
    <w:rsid w:val="000D6E87"/>
    <w:rsid w:val="000D6EAF"/>
    <w:rsid w:val="000D6F6D"/>
    <w:rsid w:val="000D6FA1"/>
    <w:rsid w:val="000D6FC7"/>
    <w:rsid w:val="000D71FC"/>
    <w:rsid w:val="000D720E"/>
    <w:rsid w:val="000D7278"/>
    <w:rsid w:val="000D7279"/>
    <w:rsid w:val="000D73C6"/>
    <w:rsid w:val="000D7429"/>
    <w:rsid w:val="000D76CE"/>
    <w:rsid w:val="000D777D"/>
    <w:rsid w:val="000D784C"/>
    <w:rsid w:val="000D7887"/>
    <w:rsid w:val="000D788F"/>
    <w:rsid w:val="000D78FB"/>
    <w:rsid w:val="000D7B1E"/>
    <w:rsid w:val="000D7BBD"/>
    <w:rsid w:val="000D7BD3"/>
    <w:rsid w:val="000D7C09"/>
    <w:rsid w:val="000D7E4C"/>
    <w:rsid w:val="000D7E6C"/>
    <w:rsid w:val="000D7EA8"/>
    <w:rsid w:val="000D7EB4"/>
    <w:rsid w:val="000D7F06"/>
    <w:rsid w:val="000DFD56"/>
    <w:rsid w:val="000E02BE"/>
    <w:rsid w:val="000E03C5"/>
    <w:rsid w:val="000E0401"/>
    <w:rsid w:val="000E048E"/>
    <w:rsid w:val="000E0607"/>
    <w:rsid w:val="000E081F"/>
    <w:rsid w:val="000E0959"/>
    <w:rsid w:val="000E095C"/>
    <w:rsid w:val="000E09A6"/>
    <w:rsid w:val="000E0AC1"/>
    <w:rsid w:val="000E0AC6"/>
    <w:rsid w:val="000E0B0B"/>
    <w:rsid w:val="000E0B22"/>
    <w:rsid w:val="000E0C02"/>
    <w:rsid w:val="000E0C6C"/>
    <w:rsid w:val="000E0CBA"/>
    <w:rsid w:val="000E0E12"/>
    <w:rsid w:val="000E0E61"/>
    <w:rsid w:val="000E0E64"/>
    <w:rsid w:val="000E0EA9"/>
    <w:rsid w:val="000E0F98"/>
    <w:rsid w:val="000E10E5"/>
    <w:rsid w:val="000E1151"/>
    <w:rsid w:val="000E12D6"/>
    <w:rsid w:val="000E1366"/>
    <w:rsid w:val="000E13F7"/>
    <w:rsid w:val="000E1426"/>
    <w:rsid w:val="000E15DE"/>
    <w:rsid w:val="000E1619"/>
    <w:rsid w:val="000E176D"/>
    <w:rsid w:val="000E1811"/>
    <w:rsid w:val="000E18D3"/>
    <w:rsid w:val="000E1967"/>
    <w:rsid w:val="000E1A71"/>
    <w:rsid w:val="000E1A98"/>
    <w:rsid w:val="000E1B30"/>
    <w:rsid w:val="000E1B43"/>
    <w:rsid w:val="000E1B78"/>
    <w:rsid w:val="000E1BD7"/>
    <w:rsid w:val="000E1C4F"/>
    <w:rsid w:val="000E1CF7"/>
    <w:rsid w:val="000E1DB0"/>
    <w:rsid w:val="000E1E10"/>
    <w:rsid w:val="000E1E96"/>
    <w:rsid w:val="000E1EC4"/>
    <w:rsid w:val="000E1F0E"/>
    <w:rsid w:val="000E1F2D"/>
    <w:rsid w:val="000E2042"/>
    <w:rsid w:val="000E204A"/>
    <w:rsid w:val="000E205C"/>
    <w:rsid w:val="000E208C"/>
    <w:rsid w:val="000E2124"/>
    <w:rsid w:val="000E2197"/>
    <w:rsid w:val="000E21DB"/>
    <w:rsid w:val="000E2236"/>
    <w:rsid w:val="000E22A5"/>
    <w:rsid w:val="000E22B5"/>
    <w:rsid w:val="000E2349"/>
    <w:rsid w:val="000E25FC"/>
    <w:rsid w:val="000E2669"/>
    <w:rsid w:val="000E26AC"/>
    <w:rsid w:val="000E2762"/>
    <w:rsid w:val="000E27AE"/>
    <w:rsid w:val="000E28D7"/>
    <w:rsid w:val="000E2A3D"/>
    <w:rsid w:val="000E2B60"/>
    <w:rsid w:val="000E2B7F"/>
    <w:rsid w:val="000E2BBF"/>
    <w:rsid w:val="000E2BDB"/>
    <w:rsid w:val="000E2D2D"/>
    <w:rsid w:val="000E2D91"/>
    <w:rsid w:val="000E2DCD"/>
    <w:rsid w:val="000E2E87"/>
    <w:rsid w:val="000E316A"/>
    <w:rsid w:val="000E316D"/>
    <w:rsid w:val="000E3305"/>
    <w:rsid w:val="000E3342"/>
    <w:rsid w:val="000E335B"/>
    <w:rsid w:val="000E3511"/>
    <w:rsid w:val="000E3539"/>
    <w:rsid w:val="000E353F"/>
    <w:rsid w:val="000E3658"/>
    <w:rsid w:val="000E3693"/>
    <w:rsid w:val="000E369D"/>
    <w:rsid w:val="000E36C4"/>
    <w:rsid w:val="000E3748"/>
    <w:rsid w:val="000E376C"/>
    <w:rsid w:val="000E37C9"/>
    <w:rsid w:val="000E3929"/>
    <w:rsid w:val="000E394C"/>
    <w:rsid w:val="000E39D5"/>
    <w:rsid w:val="000E3BF1"/>
    <w:rsid w:val="000E3D78"/>
    <w:rsid w:val="000E3DCE"/>
    <w:rsid w:val="000E3DE3"/>
    <w:rsid w:val="000E3E55"/>
    <w:rsid w:val="000E3FD3"/>
    <w:rsid w:val="000E4019"/>
    <w:rsid w:val="000E4050"/>
    <w:rsid w:val="000E4079"/>
    <w:rsid w:val="000E4228"/>
    <w:rsid w:val="000E42A8"/>
    <w:rsid w:val="000E4384"/>
    <w:rsid w:val="000E43ED"/>
    <w:rsid w:val="000E4431"/>
    <w:rsid w:val="000E44AB"/>
    <w:rsid w:val="000E4641"/>
    <w:rsid w:val="000E4654"/>
    <w:rsid w:val="000E4655"/>
    <w:rsid w:val="000E46CF"/>
    <w:rsid w:val="000E46D5"/>
    <w:rsid w:val="000E4958"/>
    <w:rsid w:val="000E4A9A"/>
    <w:rsid w:val="000E4AA5"/>
    <w:rsid w:val="000E4ADC"/>
    <w:rsid w:val="000E4B9E"/>
    <w:rsid w:val="000E4DBB"/>
    <w:rsid w:val="000E4E10"/>
    <w:rsid w:val="000E4E7A"/>
    <w:rsid w:val="000E4F2A"/>
    <w:rsid w:val="000E4FFD"/>
    <w:rsid w:val="000E50C6"/>
    <w:rsid w:val="000E53AA"/>
    <w:rsid w:val="000E53EB"/>
    <w:rsid w:val="000E543C"/>
    <w:rsid w:val="000E54C5"/>
    <w:rsid w:val="000E55A7"/>
    <w:rsid w:val="000E5795"/>
    <w:rsid w:val="000E57A1"/>
    <w:rsid w:val="000E5841"/>
    <w:rsid w:val="000E5870"/>
    <w:rsid w:val="000E59CB"/>
    <w:rsid w:val="000E5ACD"/>
    <w:rsid w:val="000E5AE9"/>
    <w:rsid w:val="000E5B25"/>
    <w:rsid w:val="000E5BDC"/>
    <w:rsid w:val="000E5C28"/>
    <w:rsid w:val="000E5C3C"/>
    <w:rsid w:val="000E5C64"/>
    <w:rsid w:val="000E5CD9"/>
    <w:rsid w:val="000E5D68"/>
    <w:rsid w:val="000E5DCD"/>
    <w:rsid w:val="000E5DDB"/>
    <w:rsid w:val="000E5DFC"/>
    <w:rsid w:val="000E5E12"/>
    <w:rsid w:val="000E5EB0"/>
    <w:rsid w:val="000E5EC1"/>
    <w:rsid w:val="000E609F"/>
    <w:rsid w:val="000E61B3"/>
    <w:rsid w:val="000E646D"/>
    <w:rsid w:val="000E653D"/>
    <w:rsid w:val="000E66F4"/>
    <w:rsid w:val="000E676B"/>
    <w:rsid w:val="000E67AF"/>
    <w:rsid w:val="000E686C"/>
    <w:rsid w:val="000E6A0A"/>
    <w:rsid w:val="000E6AF2"/>
    <w:rsid w:val="000E6BDF"/>
    <w:rsid w:val="000E6C5D"/>
    <w:rsid w:val="000E6D48"/>
    <w:rsid w:val="000E6EB9"/>
    <w:rsid w:val="000E6EE2"/>
    <w:rsid w:val="000E6F9D"/>
    <w:rsid w:val="000E6FD7"/>
    <w:rsid w:val="000E7020"/>
    <w:rsid w:val="000E7151"/>
    <w:rsid w:val="000E718A"/>
    <w:rsid w:val="000E71B8"/>
    <w:rsid w:val="000E71C8"/>
    <w:rsid w:val="000E7258"/>
    <w:rsid w:val="000E725A"/>
    <w:rsid w:val="000E7277"/>
    <w:rsid w:val="000E727C"/>
    <w:rsid w:val="000E730C"/>
    <w:rsid w:val="000E73EB"/>
    <w:rsid w:val="000E7461"/>
    <w:rsid w:val="000E76D7"/>
    <w:rsid w:val="000E77DD"/>
    <w:rsid w:val="000E7876"/>
    <w:rsid w:val="000E7AB2"/>
    <w:rsid w:val="000E7AF5"/>
    <w:rsid w:val="000E7D01"/>
    <w:rsid w:val="000E7D35"/>
    <w:rsid w:val="000E7D96"/>
    <w:rsid w:val="000E7F23"/>
    <w:rsid w:val="000F0088"/>
    <w:rsid w:val="000F0160"/>
    <w:rsid w:val="000F01A1"/>
    <w:rsid w:val="000F01B5"/>
    <w:rsid w:val="000F020D"/>
    <w:rsid w:val="000F0218"/>
    <w:rsid w:val="000F0322"/>
    <w:rsid w:val="000F0329"/>
    <w:rsid w:val="000F0390"/>
    <w:rsid w:val="000F04E1"/>
    <w:rsid w:val="000F051A"/>
    <w:rsid w:val="000F0527"/>
    <w:rsid w:val="000F057D"/>
    <w:rsid w:val="000F0608"/>
    <w:rsid w:val="000F06BF"/>
    <w:rsid w:val="000F0817"/>
    <w:rsid w:val="000F0A7F"/>
    <w:rsid w:val="000F0A92"/>
    <w:rsid w:val="000F0BCA"/>
    <w:rsid w:val="000F0CBC"/>
    <w:rsid w:val="000F0CD4"/>
    <w:rsid w:val="000F0D17"/>
    <w:rsid w:val="000F0DA3"/>
    <w:rsid w:val="000F0E5F"/>
    <w:rsid w:val="000F0E64"/>
    <w:rsid w:val="000F0EB2"/>
    <w:rsid w:val="000F0EE1"/>
    <w:rsid w:val="000F0F5C"/>
    <w:rsid w:val="000F0FB6"/>
    <w:rsid w:val="000F0FC6"/>
    <w:rsid w:val="000F11CE"/>
    <w:rsid w:val="000F1201"/>
    <w:rsid w:val="000F1379"/>
    <w:rsid w:val="000F13A3"/>
    <w:rsid w:val="000F14EF"/>
    <w:rsid w:val="000F155E"/>
    <w:rsid w:val="000F161B"/>
    <w:rsid w:val="000F16A2"/>
    <w:rsid w:val="000F16EF"/>
    <w:rsid w:val="000F19AC"/>
    <w:rsid w:val="000F1A23"/>
    <w:rsid w:val="000F1AE9"/>
    <w:rsid w:val="000F1C05"/>
    <w:rsid w:val="000F1C48"/>
    <w:rsid w:val="000F1C63"/>
    <w:rsid w:val="000F1D14"/>
    <w:rsid w:val="000F1D7A"/>
    <w:rsid w:val="000F1D99"/>
    <w:rsid w:val="000F1E9D"/>
    <w:rsid w:val="000F1EB0"/>
    <w:rsid w:val="000F1EFE"/>
    <w:rsid w:val="000F224C"/>
    <w:rsid w:val="000F240C"/>
    <w:rsid w:val="000F247B"/>
    <w:rsid w:val="000F24F6"/>
    <w:rsid w:val="000F25C1"/>
    <w:rsid w:val="000F25E7"/>
    <w:rsid w:val="000F2647"/>
    <w:rsid w:val="000F264F"/>
    <w:rsid w:val="000F26D8"/>
    <w:rsid w:val="000F2B6C"/>
    <w:rsid w:val="000F2CC2"/>
    <w:rsid w:val="000F2D3F"/>
    <w:rsid w:val="000F2E2C"/>
    <w:rsid w:val="000F2EBB"/>
    <w:rsid w:val="000F2FF9"/>
    <w:rsid w:val="000F303D"/>
    <w:rsid w:val="000F3058"/>
    <w:rsid w:val="000F30BE"/>
    <w:rsid w:val="000F30DD"/>
    <w:rsid w:val="000F3245"/>
    <w:rsid w:val="000F33FE"/>
    <w:rsid w:val="000F347E"/>
    <w:rsid w:val="000F3493"/>
    <w:rsid w:val="000F3556"/>
    <w:rsid w:val="000F3583"/>
    <w:rsid w:val="000F376A"/>
    <w:rsid w:val="000F3831"/>
    <w:rsid w:val="000F38B1"/>
    <w:rsid w:val="000F38F0"/>
    <w:rsid w:val="000F3AA1"/>
    <w:rsid w:val="000F3B8C"/>
    <w:rsid w:val="000F3BD9"/>
    <w:rsid w:val="000F3DB9"/>
    <w:rsid w:val="000F3E58"/>
    <w:rsid w:val="000F3E65"/>
    <w:rsid w:val="000F3EB1"/>
    <w:rsid w:val="000F3F76"/>
    <w:rsid w:val="000F40E1"/>
    <w:rsid w:val="000F41F8"/>
    <w:rsid w:val="000F421C"/>
    <w:rsid w:val="000F428E"/>
    <w:rsid w:val="000F44DE"/>
    <w:rsid w:val="000F44EA"/>
    <w:rsid w:val="000F4596"/>
    <w:rsid w:val="000F45A5"/>
    <w:rsid w:val="000F45D7"/>
    <w:rsid w:val="000F4651"/>
    <w:rsid w:val="000F46B1"/>
    <w:rsid w:val="000F484D"/>
    <w:rsid w:val="000F4852"/>
    <w:rsid w:val="000F49A7"/>
    <w:rsid w:val="000F4B38"/>
    <w:rsid w:val="000F4B75"/>
    <w:rsid w:val="000F4D88"/>
    <w:rsid w:val="000F4E41"/>
    <w:rsid w:val="000F4E6F"/>
    <w:rsid w:val="000F512C"/>
    <w:rsid w:val="000F513E"/>
    <w:rsid w:val="000F527C"/>
    <w:rsid w:val="000F5284"/>
    <w:rsid w:val="000F5333"/>
    <w:rsid w:val="000F53BB"/>
    <w:rsid w:val="000F54BD"/>
    <w:rsid w:val="000F54BF"/>
    <w:rsid w:val="000F557D"/>
    <w:rsid w:val="000F5819"/>
    <w:rsid w:val="000F58CE"/>
    <w:rsid w:val="000F5980"/>
    <w:rsid w:val="000F5A9D"/>
    <w:rsid w:val="000F5AE4"/>
    <w:rsid w:val="000F5B81"/>
    <w:rsid w:val="000F5C86"/>
    <w:rsid w:val="000F5D37"/>
    <w:rsid w:val="000F5DA6"/>
    <w:rsid w:val="000F5E0D"/>
    <w:rsid w:val="000F5FE7"/>
    <w:rsid w:val="000F6129"/>
    <w:rsid w:val="000F6135"/>
    <w:rsid w:val="000F617C"/>
    <w:rsid w:val="000F6324"/>
    <w:rsid w:val="000F6565"/>
    <w:rsid w:val="000F65B5"/>
    <w:rsid w:val="000F662B"/>
    <w:rsid w:val="000F6642"/>
    <w:rsid w:val="000F6818"/>
    <w:rsid w:val="000F6A8D"/>
    <w:rsid w:val="000F6AFA"/>
    <w:rsid w:val="000F6CA1"/>
    <w:rsid w:val="000F6D2E"/>
    <w:rsid w:val="000F6D3A"/>
    <w:rsid w:val="000F6F6C"/>
    <w:rsid w:val="000F6F97"/>
    <w:rsid w:val="000F70E4"/>
    <w:rsid w:val="000F71B0"/>
    <w:rsid w:val="000F7240"/>
    <w:rsid w:val="000F73CB"/>
    <w:rsid w:val="000F7404"/>
    <w:rsid w:val="000F7417"/>
    <w:rsid w:val="000F7507"/>
    <w:rsid w:val="000F750C"/>
    <w:rsid w:val="000F76D1"/>
    <w:rsid w:val="000F76F0"/>
    <w:rsid w:val="000F78FB"/>
    <w:rsid w:val="000F7955"/>
    <w:rsid w:val="000F79D9"/>
    <w:rsid w:val="000F79E4"/>
    <w:rsid w:val="000F79F2"/>
    <w:rsid w:val="000F7B07"/>
    <w:rsid w:val="000F7B5B"/>
    <w:rsid w:val="000F7B91"/>
    <w:rsid w:val="000F7BE6"/>
    <w:rsid w:val="000F7C0F"/>
    <w:rsid w:val="000F7DBE"/>
    <w:rsid w:val="001002CD"/>
    <w:rsid w:val="001002FD"/>
    <w:rsid w:val="00100322"/>
    <w:rsid w:val="0010045C"/>
    <w:rsid w:val="00100489"/>
    <w:rsid w:val="00100597"/>
    <w:rsid w:val="001005DD"/>
    <w:rsid w:val="001006B1"/>
    <w:rsid w:val="001006D1"/>
    <w:rsid w:val="00100742"/>
    <w:rsid w:val="001007A5"/>
    <w:rsid w:val="001007A9"/>
    <w:rsid w:val="00100897"/>
    <w:rsid w:val="00100A57"/>
    <w:rsid w:val="00100B3C"/>
    <w:rsid w:val="00100B78"/>
    <w:rsid w:val="00100CB6"/>
    <w:rsid w:val="00100D0F"/>
    <w:rsid w:val="00100D19"/>
    <w:rsid w:val="00100DC5"/>
    <w:rsid w:val="00100DF7"/>
    <w:rsid w:val="00100E05"/>
    <w:rsid w:val="00100E63"/>
    <w:rsid w:val="00100FF3"/>
    <w:rsid w:val="00101035"/>
    <w:rsid w:val="001010E7"/>
    <w:rsid w:val="0010123A"/>
    <w:rsid w:val="0010139A"/>
    <w:rsid w:val="00101525"/>
    <w:rsid w:val="0010152B"/>
    <w:rsid w:val="00101546"/>
    <w:rsid w:val="00101612"/>
    <w:rsid w:val="00101645"/>
    <w:rsid w:val="00101648"/>
    <w:rsid w:val="001016C6"/>
    <w:rsid w:val="00101716"/>
    <w:rsid w:val="00101752"/>
    <w:rsid w:val="00101810"/>
    <w:rsid w:val="0010189D"/>
    <w:rsid w:val="00101978"/>
    <w:rsid w:val="00101997"/>
    <w:rsid w:val="00101B06"/>
    <w:rsid w:val="00101C32"/>
    <w:rsid w:val="00101CB0"/>
    <w:rsid w:val="00101E5A"/>
    <w:rsid w:val="00101E67"/>
    <w:rsid w:val="00102076"/>
    <w:rsid w:val="0010208A"/>
    <w:rsid w:val="00102256"/>
    <w:rsid w:val="00102302"/>
    <w:rsid w:val="001025AD"/>
    <w:rsid w:val="0010260A"/>
    <w:rsid w:val="00102636"/>
    <w:rsid w:val="001027CF"/>
    <w:rsid w:val="001027D3"/>
    <w:rsid w:val="00102803"/>
    <w:rsid w:val="00102823"/>
    <w:rsid w:val="001028C2"/>
    <w:rsid w:val="00102A2A"/>
    <w:rsid w:val="00102D69"/>
    <w:rsid w:val="00102DD6"/>
    <w:rsid w:val="00102F23"/>
    <w:rsid w:val="00102F73"/>
    <w:rsid w:val="00103317"/>
    <w:rsid w:val="0010352A"/>
    <w:rsid w:val="001035B4"/>
    <w:rsid w:val="001037DA"/>
    <w:rsid w:val="001037E5"/>
    <w:rsid w:val="001037F9"/>
    <w:rsid w:val="001039C4"/>
    <w:rsid w:val="001039C5"/>
    <w:rsid w:val="00103A58"/>
    <w:rsid w:val="00103A5A"/>
    <w:rsid w:val="00103A77"/>
    <w:rsid w:val="00103A86"/>
    <w:rsid w:val="00103ACA"/>
    <w:rsid w:val="00103C67"/>
    <w:rsid w:val="00103CA2"/>
    <w:rsid w:val="00103DF9"/>
    <w:rsid w:val="00103F07"/>
    <w:rsid w:val="00103FD7"/>
    <w:rsid w:val="00103FFB"/>
    <w:rsid w:val="00104098"/>
    <w:rsid w:val="0010409C"/>
    <w:rsid w:val="001040AD"/>
    <w:rsid w:val="00104243"/>
    <w:rsid w:val="001042AB"/>
    <w:rsid w:val="0010431F"/>
    <w:rsid w:val="001044AD"/>
    <w:rsid w:val="001044F8"/>
    <w:rsid w:val="00104657"/>
    <w:rsid w:val="001047DE"/>
    <w:rsid w:val="001047E9"/>
    <w:rsid w:val="0010490C"/>
    <w:rsid w:val="001049A6"/>
    <w:rsid w:val="001049E7"/>
    <w:rsid w:val="00104C0F"/>
    <w:rsid w:val="00104C54"/>
    <w:rsid w:val="00104C93"/>
    <w:rsid w:val="00104CCD"/>
    <w:rsid w:val="00104D8F"/>
    <w:rsid w:val="00104DA1"/>
    <w:rsid w:val="00104DE8"/>
    <w:rsid w:val="00104E00"/>
    <w:rsid w:val="00104EE5"/>
    <w:rsid w:val="00105382"/>
    <w:rsid w:val="001053E8"/>
    <w:rsid w:val="001054A0"/>
    <w:rsid w:val="001054AF"/>
    <w:rsid w:val="0010551C"/>
    <w:rsid w:val="00105748"/>
    <w:rsid w:val="00105827"/>
    <w:rsid w:val="0010582B"/>
    <w:rsid w:val="001058D2"/>
    <w:rsid w:val="00105955"/>
    <w:rsid w:val="00105971"/>
    <w:rsid w:val="00105A5C"/>
    <w:rsid w:val="00105B30"/>
    <w:rsid w:val="00105B50"/>
    <w:rsid w:val="00105D28"/>
    <w:rsid w:val="00105D2B"/>
    <w:rsid w:val="00105DE6"/>
    <w:rsid w:val="00105F3D"/>
    <w:rsid w:val="00105FC8"/>
    <w:rsid w:val="00105FE3"/>
    <w:rsid w:val="00106095"/>
    <w:rsid w:val="001060B2"/>
    <w:rsid w:val="00106141"/>
    <w:rsid w:val="001061C2"/>
    <w:rsid w:val="001061C4"/>
    <w:rsid w:val="001062A5"/>
    <w:rsid w:val="00106421"/>
    <w:rsid w:val="00106479"/>
    <w:rsid w:val="001064FA"/>
    <w:rsid w:val="001066CA"/>
    <w:rsid w:val="001066CB"/>
    <w:rsid w:val="001066D8"/>
    <w:rsid w:val="00106731"/>
    <w:rsid w:val="001067F0"/>
    <w:rsid w:val="001067F2"/>
    <w:rsid w:val="0010698D"/>
    <w:rsid w:val="00106A55"/>
    <w:rsid w:val="00106C0B"/>
    <w:rsid w:val="00106C13"/>
    <w:rsid w:val="00106C30"/>
    <w:rsid w:val="00106C5B"/>
    <w:rsid w:val="00106E22"/>
    <w:rsid w:val="00106E6F"/>
    <w:rsid w:val="00106E80"/>
    <w:rsid w:val="00106FBB"/>
    <w:rsid w:val="0010706C"/>
    <w:rsid w:val="00107172"/>
    <w:rsid w:val="0010721B"/>
    <w:rsid w:val="0010734F"/>
    <w:rsid w:val="0010747F"/>
    <w:rsid w:val="0010748B"/>
    <w:rsid w:val="001074DA"/>
    <w:rsid w:val="001074F1"/>
    <w:rsid w:val="001075F9"/>
    <w:rsid w:val="001076D1"/>
    <w:rsid w:val="001076DF"/>
    <w:rsid w:val="00107707"/>
    <w:rsid w:val="0010787A"/>
    <w:rsid w:val="0010788D"/>
    <w:rsid w:val="0010791D"/>
    <w:rsid w:val="00107990"/>
    <w:rsid w:val="0010799B"/>
    <w:rsid w:val="00107BB2"/>
    <w:rsid w:val="00107C2B"/>
    <w:rsid w:val="00107C56"/>
    <w:rsid w:val="00107CFF"/>
    <w:rsid w:val="00107DD4"/>
    <w:rsid w:val="00107EB2"/>
    <w:rsid w:val="00107F09"/>
    <w:rsid w:val="00107F53"/>
    <w:rsid w:val="00107F93"/>
    <w:rsid w:val="0011007E"/>
    <w:rsid w:val="00110103"/>
    <w:rsid w:val="00110156"/>
    <w:rsid w:val="00110178"/>
    <w:rsid w:val="00110288"/>
    <w:rsid w:val="001102A4"/>
    <w:rsid w:val="001103AD"/>
    <w:rsid w:val="00110479"/>
    <w:rsid w:val="00110586"/>
    <w:rsid w:val="001105DC"/>
    <w:rsid w:val="00110686"/>
    <w:rsid w:val="00110756"/>
    <w:rsid w:val="001108FB"/>
    <w:rsid w:val="00110A15"/>
    <w:rsid w:val="00110AE6"/>
    <w:rsid w:val="00110BA9"/>
    <w:rsid w:val="00110BC0"/>
    <w:rsid w:val="00110D82"/>
    <w:rsid w:val="00110EA1"/>
    <w:rsid w:val="00110F13"/>
    <w:rsid w:val="00111008"/>
    <w:rsid w:val="0011100C"/>
    <w:rsid w:val="0011117A"/>
    <w:rsid w:val="00111393"/>
    <w:rsid w:val="0011139A"/>
    <w:rsid w:val="001114D9"/>
    <w:rsid w:val="001114F7"/>
    <w:rsid w:val="0011152E"/>
    <w:rsid w:val="00111538"/>
    <w:rsid w:val="0011154A"/>
    <w:rsid w:val="001116F9"/>
    <w:rsid w:val="001116FC"/>
    <w:rsid w:val="00111722"/>
    <w:rsid w:val="0011172A"/>
    <w:rsid w:val="00111784"/>
    <w:rsid w:val="00111821"/>
    <w:rsid w:val="001118EF"/>
    <w:rsid w:val="0011190C"/>
    <w:rsid w:val="00111A79"/>
    <w:rsid w:val="00111AA3"/>
    <w:rsid w:val="00111B8C"/>
    <w:rsid w:val="00111C95"/>
    <w:rsid w:val="00111CA3"/>
    <w:rsid w:val="00111CBC"/>
    <w:rsid w:val="00111EC9"/>
    <w:rsid w:val="00111FF4"/>
    <w:rsid w:val="0011202F"/>
    <w:rsid w:val="00112101"/>
    <w:rsid w:val="00112326"/>
    <w:rsid w:val="001123D4"/>
    <w:rsid w:val="001123F5"/>
    <w:rsid w:val="0011251F"/>
    <w:rsid w:val="00112698"/>
    <w:rsid w:val="0011274E"/>
    <w:rsid w:val="00112B33"/>
    <w:rsid w:val="00112BB2"/>
    <w:rsid w:val="00112C16"/>
    <w:rsid w:val="00112C60"/>
    <w:rsid w:val="00112D27"/>
    <w:rsid w:val="00112E08"/>
    <w:rsid w:val="00112E5D"/>
    <w:rsid w:val="00112F1C"/>
    <w:rsid w:val="00112FC4"/>
    <w:rsid w:val="001130FF"/>
    <w:rsid w:val="00113123"/>
    <w:rsid w:val="00113199"/>
    <w:rsid w:val="00113206"/>
    <w:rsid w:val="001132C7"/>
    <w:rsid w:val="001133B7"/>
    <w:rsid w:val="001134B8"/>
    <w:rsid w:val="001134E4"/>
    <w:rsid w:val="001135AB"/>
    <w:rsid w:val="001135E4"/>
    <w:rsid w:val="0011368D"/>
    <w:rsid w:val="00113780"/>
    <w:rsid w:val="00113AA9"/>
    <w:rsid w:val="00113ACF"/>
    <w:rsid w:val="00113CC1"/>
    <w:rsid w:val="00113D8A"/>
    <w:rsid w:val="00113D96"/>
    <w:rsid w:val="00113EE6"/>
    <w:rsid w:val="00113F05"/>
    <w:rsid w:val="00113F6A"/>
    <w:rsid w:val="00114002"/>
    <w:rsid w:val="00114017"/>
    <w:rsid w:val="001140A7"/>
    <w:rsid w:val="0011422D"/>
    <w:rsid w:val="00114234"/>
    <w:rsid w:val="0011428D"/>
    <w:rsid w:val="001143E4"/>
    <w:rsid w:val="001144BB"/>
    <w:rsid w:val="001144D1"/>
    <w:rsid w:val="001144F5"/>
    <w:rsid w:val="00114594"/>
    <w:rsid w:val="00114640"/>
    <w:rsid w:val="001146AA"/>
    <w:rsid w:val="0011479F"/>
    <w:rsid w:val="001148EC"/>
    <w:rsid w:val="00114A3C"/>
    <w:rsid w:val="00114A7C"/>
    <w:rsid w:val="00114AA4"/>
    <w:rsid w:val="00114B29"/>
    <w:rsid w:val="00114C5D"/>
    <w:rsid w:val="00114CF3"/>
    <w:rsid w:val="00114D29"/>
    <w:rsid w:val="00114D2B"/>
    <w:rsid w:val="00114DCA"/>
    <w:rsid w:val="00114DD7"/>
    <w:rsid w:val="00114E54"/>
    <w:rsid w:val="00115074"/>
    <w:rsid w:val="00115081"/>
    <w:rsid w:val="00115094"/>
    <w:rsid w:val="001150C3"/>
    <w:rsid w:val="00115129"/>
    <w:rsid w:val="00115138"/>
    <w:rsid w:val="0011557C"/>
    <w:rsid w:val="00115612"/>
    <w:rsid w:val="00115804"/>
    <w:rsid w:val="0011596D"/>
    <w:rsid w:val="00115AA5"/>
    <w:rsid w:val="00115AD2"/>
    <w:rsid w:val="00115C66"/>
    <w:rsid w:val="00115DF0"/>
    <w:rsid w:val="00115FA7"/>
    <w:rsid w:val="001161C2"/>
    <w:rsid w:val="00116234"/>
    <w:rsid w:val="001162E7"/>
    <w:rsid w:val="00116433"/>
    <w:rsid w:val="001164A5"/>
    <w:rsid w:val="001166A9"/>
    <w:rsid w:val="001166D4"/>
    <w:rsid w:val="001167D1"/>
    <w:rsid w:val="001167D6"/>
    <w:rsid w:val="00116930"/>
    <w:rsid w:val="001169F5"/>
    <w:rsid w:val="00116B46"/>
    <w:rsid w:val="00116B56"/>
    <w:rsid w:val="00116CA9"/>
    <w:rsid w:val="00116CE3"/>
    <w:rsid w:val="00116D11"/>
    <w:rsid w:val="00116D30"/>
    <w:rsid w:val="00116EAB"/>
    <w:rsid w:val="00116EB1"/>
    <w:rsid w:val="00116F4F"/>
    <w:rsid w:val="0011715C"/>
    <w:rsid w:val="00117218"/>
    <w:rsid w:val="00117565"/>
    <w:rsid w:val="001175F0"/>
    <w:rsid w:val="001176BF"/>
    <w:rsid w:val="00117726"/>
    <w:rsid w:val="001177CE"/>
    <w:rsid w:val="00117942"/>
    <w:rsid w:val="00117A13"/>
    <w:rsid w:val="00117A3B"/>
    <w:rsid w:val="00117AAA"/>
    <w:rsid w:val="00117ACB"/>
    <w:rsid w:val="00117C4D"/>
    <w:rsid w:val="00117CBC"/>
    <w:rsid w:val="00117D76"/>
    <w:rsid w:val="00117EE8"/>
    <w:rsid w:val="00117F06"/>
    <w:rsid w:val="00117F19"/>
    <w:rsid w:val="00117F76"/>
    <w:rsid w:val="00117FA8"/>
    <w:rsid w:val="00120060"/>
    <w:rsid w:val="0012017C"/>
    <w:rsid w:val="00120180"/>
    <w:rsid w:val="001201AA"/>
    <w:rsid w:val="00120341"/>
    <w:rsid w:val="00120424"/>
    <w:rsid w:val="001205B4"/>
    <w:rsid w:val="00120657"/>
    <w:rsid w:val="0012068F"/>
    <w:rsid w:val="001206B9"/>
    <w:rsid w:val="001206E8"/>
    <w:rsid w:val="0012089E"/>
    <w:rsid w:val="00120993"/>
    <w:rsid w:val="00120A1D"/>
    <w:rsid w:val="00120AE1"/>
    <w:rsid w:val="00120C67"/>
    <w:rsid w:val="00120CEB"/>
    <w:rsid w:val="00120D3D"/>
    <w:rsid w:val="00120F3C"/>
    <w:rsid w:val="00120F5B"/>
    <w:rsid w:val="001210DD"/>
    <w:rsid w:val="00121173"/>
    <w:rsid w:val="001211DF"/>
    <w:rsid w:val="001211F4"/>
    <w:rsid w:val="00121371"/>
    <w:rsid w:val="00121385"/>
    <w:rsid w:val="00121404"/>
    <w:rsid w:val="00121651"/>
    <w:rsid w:val="00121652"/>
    <w:rsid w:val="00121791"/>
    <w:rsid w:val="001217C0"/>
    <w:rsid w:val="00121864"/>
    <w:rsid w:val="00121929"/>
    <w:rsid w:val="00121947"/>
    <w:rsid w:val="00121A8F"/>
    <w:rsid w:val="00121AAF"/>
    <w:rsid w:val="00121AE6"/>
    <w:rsid w:val="00121B9C"/>
    <w:rsid w:val="00121BF3"/>
    <w:rsid w:val="00121E66"/>
    <w:rsid w:val="00121E85"/>
    <w:rsid w:val="00121EE7"/>
    <w:rsid w:val="00121FB6"/>
    <w:rsid w:val="0012203D"/>
    <w:rsid w:val="001220F3"/>
    <w:rsid w:val="00122122"/>
    <w:rsid w:val="00122300"/>
    <w:rsid w:val="00122323"/>
    <w:rsid w:val="0012232A"/>
    <w:rsid w:val="0012236D"/>
    <w:rsid w:val="0012238D"/>
    <w:rsid w:val="001224A9"/>
    <w:rsid w:val="001224D0"/>
    <w:rsid w:val="001225AF"/>
    <w:rsid w:val="001227BE"/>
    <w:rsid w:val="00122863"/>
    <w:rsid w:val="00122877"/>
    <w:rsid w:val="0012288C"/>
    <w:rsid w:val="001228AC"/>
    <w:rsid w:val="001228E0"/>
    <w:rsid w:val="00122A40"/>
    <w:rsid w:val="00122A6C"/>
    <w:rsid w:val="00122B18"/>
    <w:rsid w:val="00122C0C"/>
    <w:rsid w:val="00122D52"/>
    <w:rsid w:val="00122D68"/>
    <w:rsid w:val="00122DA4"/>
    <w:rsid w:val="00122E22"/>
    <w:rsid w:val="00122E7A"/>
    <w:rsid w:val="00122ECF"/>
    <w:rsid w:val="00122F6C"/>
    <w:rsid w:val="00122FC8"/>
    <w:rsid w:val="00123005"/>
    <w:rsid w:val="0012318F"/>
    <w:rsid w:val="00123203"/>
    <w:rsid w:val="0012329E"/>
    <w:rsid w:val="00123336"/>
    <w:rsid w:val="001233AB"/>
    <w:rsid w:val="001234DC"/>
    <w:rsid w:val="001234FD"/>
    <w:rsid w:val="0012352E"/>
    <w:rsid w:val="00123671"/>
    <w:rsid w:val="001236E3"/>
    <w:rsid w:val="00123737"/>
    <w:rsid w:val="001237B7"/>
    <w:rsid w:val="001237E7"/>
    <w:rsid w:val="001238BA"/>
    <w:rsid w:val="001238ED"/>
    <w:rsid w:val="00123A8F"/>
    <w:rsid w:val="00123B8A"/>
    <w:rsid w:val="00123BCA"/>
    <w:rsid w:val="00123C01"/>
    <w:rsid w:val="00123CFD"/>
    <w:rsid w:val="00123DE4"/>
    <w:rsid w:val="00124378"/>
    <w:rsid w:val="00124413"/>
    <w:rsid w:val="001244E5"/>
    <w:rsid w:val="00124696"/>
    <w:rsid w:val="00124821"/>
    <w:rsid w:val="001249D8"/>
    <w:rsid w:val="00124ACD"/>
    <w:rsid w:val="00124C5F"/>
    <w:rsid w:val="00124F8C"/>
    <w:rsid w:val="001250EE"/>
    <w:rsid w:val="00125127"/>
    <w:rsid w:val="001251D5"/>
    <w:rsid w:val="00125200"/>
    <w:rsid w:val="0012521C"/>
    <w:rsid w:val="00125370"/>
    <w:rsid w:val="001253B5"/>
    <w:rsid w:val="001253D5"/>
    <w:rsid w:val="00125444"/>
    <w:rsid w:val="00125448"/>
    <w:rsid w:val="00125475"/>
    <w:rsid w:val="00125520"/>
    <w:rsid w:val="001255B3"/>
    <w:rsid w:val="0012583F"/>
    <w:rsid w:val="001258F7"/>
    <w:rsid w:val="0012596A"/>
    <w:rsid w:val="0012596F"/>
    <w:rsid w:val="00125A4B"/>
    <w:rsid w:val="00125AF8"/>
    <w:rsid w:val="00125B11"/>
    <w:rsid w:val="00125B54"/>
    <w:rsid w:val="00125B65"/>
    <w:rsid w:val="00125E0F"/>
    <w:rsid w:val="00125F67"/>
    <w:rsid w:val="00126033"/>
    <w:rsid w:val="0012604D"/>
    <w:rsid w:val="00126131"/>
    <w:rsid w:val="001265CE"/>
    <w:rsid w:val="001265DF"/>
    <w:rsid w:val="00126711"/>
    <w:rsid w:val="00126759"/>
    <w:rsid w:val="00126776"/>
    <w:rsid w:val="001267A5"/>
    <w:rsid w:val="0012682A"/>
    <w:rsid w:val="0012683C"/>
    <w:rsid w:val="001269D4"/>
    <w:rsid w:val="001269E3"/>
    <w:rsid w:val="00126A87"/>
    <w:rsid w:val="00126AD2"/>
    <w:rsid w:val="00126B19"/>
    <w:rsid w:val="00126C1F"/>
    <w:rsid w:val="00126C92"/>
    <w:rsid w:val="00126CF0"/>
    <w:rsid w:val="00126CF5"/>
    <w:rsid w:val="00126E64"/>
    <w:rsid w:val="00126EB5"/>
    <w:rsid w:val="00126F29"/>
    <w:rsid w:val="00126FD3"/>
    <w:rsid w:val="0012701F"/>
    <w:rsid w:val="001270AC"/>
    <w:rsid w:val="001270B2"/>
    <w:rsid w:val="001271E0"/>
    <w:rsid w:val="0012726B"/>
    <w:rsid w:val="001273B4"/>
    <w:rsid w:val="001274BB"/>
    <w:rsid w:val="001274E6"/>
    <w:rsid w:val="001275EB"/>
    <w:rsid w:val="0012765F"/>
    <w:rsid w:val="00127875"/>
    <w:rsid w:val="00127907"/>
    <w:rsid w:val="0012791B"/>
    <w:rsid w:val="0012798F"/>
    <w:rsid w:val="00127A19"/>
    <w:rsid w:val="00127A79"/>
    <w:rsid w:val="00127AF4"/>
    <w:rsid w:val="00127C09"/>
    <w:rsid w:val="00127C1C"/>
    <w:rsid w:val="00127C20"/>
    <w:rsid w:val="00127CA2"/>
    <w:rsid w:val="00127D9B"/>
    <w:rsid w:val="00127F5C"/>
    <w:rsid w:val="00130066"/>
    <w:rsid w:val="001300C9"/>
    <w:rsid w:val="001300D0"/>
    <w:rsid w:val="001300D1"/>
    <w:rsid w:val="00130193"/>
    <w:rsid w:val="001301D3"/>
    <w:rsid w:val="0013050E"/>
    <w:rsid w:val="0013051A"/>
    <w:rsid w:val="0013051D"/>
    <w:rsid w:val="0013052C"/>
    <w:rsid w:val="001305E1"/>
    <w:rsid w:val="001305F4"/>
    <w:rsid w:val="001306A5"/>
    <w:rsid w:val="001307F5"/>
    <w:rsid w:val="00130879"/>
    <w:rsid w:val="001308DD"/>
    <w:rsid w:val="00130990"/>
    <w:rsid w:val="001309F6"/>
    <w:rsid w:val="00130AC7"/>
    <w:rsid w:val="00130B16"/>
    <w:rsid w:val="00130B40"/>
    <w:rsid w:val="00130BA2"/>
    <w:rsid w:val="00130BE9"/>
    <w:rsid w:val="00130D32"/>
    <w:rsid w:val="00130D78"/>
    <w:rsid w:val="00130DDE"/>
    <w:rsid w:val="00130E07"/>
    <w:rsid w:val="00130EFE"/>
    <w:rsid w:val="00130F08"/>
    <w:rsid w:val="00130F15"/>
    <w:rsid w:val="00130F7E"/>
    <w:rsid w:val="001310AB"/>
    <w:rsid w:val="00131104"/>
    <w:rsid w:val="0013112E"/>
    <w:rsid w:val="001311B0"/>
    <w:rsid w:val="001311F2"/>
    <w:rsid w:val="0013125D"/>
    <w:rsid w:val="001312D9"/>
    <w:rsid w:val="00131421"/>
    <w:rsid w:val="00131474"/>
    <w:rsid w:val="00131507"/>
    <w:rsid w:val="0013151F"/>
    <w:rsid w:val="0013163D"/>
    <w:rsid w:val="0013174A"/>
    <w:rsid w:val="0013177A"/>
    <w:rsid w:val="001317DC"/>
    <w:rsid w:val="001318D6"/>
    <w:rsid w:val="00131932"/>
    <w:rsid w:val="0013196D"/>
    <w:rsid w:val="0013197C"/>
    <w:rsid w:val="00131A22"/>
    <w:rsid w:val="00131C82"/>
    <w:rsid w:val="00131EFF"/>
    <w:rsid w:val="00131F1C"/>
    <w:rsid w:val="00132186"/>
    <w:rsid w:val="0013231F"/>
    <w:rsid w:val="00132354"/>
    <w:rsid w:val="0013258A"/>
    <w:rsid w:val="001325E1"/>
    <w:rsid w:val="00132714"/>
    <w:rsid w:val="00132736"/>
    <w:rsid w:val="00132776"/>
    <w:rsid w:val="001327AA"/>
    <w:rsid w:val="001329D3"/>
    <w:rsid w:val="00132A95"/>
    <w:rsid w:val="00132C5E"/>
    <w:rsid w:val="00132CBF"/>
    <w:rsid w:val="00132DCB"/>
    <w:rsid w:val="00132E90"/>
    <w:rsid w:val="00132F41"/>
    <w:rsid w:val="00132F91"/>
    <w:rsid w:val="00133037"/>
    <w:rsid w:val="0013303B"/>
    <w:rsid w:val="0013308D"/>
    <w:rsid w:val="0013315A"/>
    <w:rsid w:val="001331A8"/>
    <w:rsid w:val="001331C6"/>
    <w:rsid w:val="0013330C"/>
    <w:rsid w:val="00133362"/>
    <w:rsid w:val="001333C4"/>
    <w:rsid w:val="00133420"/>
    <w:rsid w:val="001334AF"/>
    <w:rsid w:val="001335DA"/>
    <w:rsid w:val="001335EB"/>
    <w:rsid w:val="00133705"/>
    <w:rsid w:val="0013376E"/>
    <w:rsid w:val="00133774"/>
    <w:rsid w:val="001337B1"/>
    <w:rsid w:val="001337CC"/>
    <w:rsid w:val="00133811"/>
    <w:rsid w:val="00133995"/>
    <w:rsid w:val="001339B3"/>
    <w:rsid w:val="00133A00"/>
    <w:rsid w:val="00133A10"/>
    <w:rsid w:val="00133A37"/>
    <w:rsid w:val="00133A86"/>
    <w:rsid w:val="00133B77"/>
    <w:rsid w:val="00133B7D"/>
    <w:rsid w:val="00133BF7"/>
    <w:rsid w:val="00133C6F"/>
    <w:rsid w:val="00133EB1"/>
    <w:rsid w:val="00133EB4"/>
    <w:rsid w:val="00133ED0"/>
    <w:rsid w:val="00133F01"/>
    <w:rsid w:val="00133F2F"/>
    <w:rsid w:val="00133F59"/>
    <w:rsid w:val="00133F6D"/>
    <w:rsid w:val="00133FAC"/>
    <w:rsid w:val="00134021"/>
    <w:rsid w:val="00134062"/>
    <w:rsid w:val="0013413C"/>
    <w:rsid w:val="0013414C"/>
    <w:rsid w:val="001341ED"/>
    <w:rsid w:val="00134312"/>
    <w:rsid w:val="00134361"/>
    <w:rsid w:val="00134410"/>
    <w:rsid w:val="001344C5"/>
    <w:rsid w:val="0013450E"/>
    <w:rsid w:val="00134599"/>
    <w:rsid w:val="001345BF"/>
    <w:rsid w:val="0013485D"/>
    <w:rsid w:val="00134879"/>
    <w:rsid w:val="001349FB"/>
    <w:rsid w:val="00134BB2"/>
    <w:rsid w:val="00134C12"/>
    <w:rsid w:val="00134CCD"/>
    <w:rsid w:val="00134CE1"/>
    <w:rsid w:val="00134D1C"/>
    <w:rsid w:val="00134D66"/>
    <w:rsid w:val="00134D6E"/>
    <w:rsid w:val="00134E45"/>
    <w:rsid w:val="00134E95"/>
    <w:rsid w:val="00134EAA"/>
    <w:rsid w:val="00134F30"/>
    <w:rsid w:val="00135092"/>
    <w:rsid w:val="0013513D"/>
    <w:rsid w:val="0013524C"/>
    <w:rsid w:val="001352D6"/>
    <w:rsid w:val="0013539B"/>
    <w:rsid w:val="00135455"/>
    <w:rsid w:val="001355E7"/>
    <w:rsid w:val="00135819"/>
    <w:rsid w:val="00135834"/>
    <w:rsid w:val="0013583F"/>
    <w:rsid w:val="00135899"/>
    <w:rsid w:val="00135909"/>
    <w:rsid w:val="00135A5E"/>
    <w:rsid w:val="00135C05"/>
    <w:rsid w:val="00135C8B"/>
    <w:rsid w:val="00135CD9"/>
    <w:rsid w:val="00135D8A"/>
    <w:rsid w:val="00135DED"/>
    <w:rsid w:val="00135F04"/>
    <w:rsid w:val="00135F11"/>
    <w:rsid w:val="00135F47"/>
    <w:rsid w:val="00135FEF"/>
    <w:rsid w:val="00136100"/>
    <w:rsid w:val="00136129"/>
    <w:rsid w:val="00136142"/>
    <w:rsid w:val="001361E6"/>
    <w:rsid w:val="0013657E"/>
    <w:rsid w:val="001365F2"/>
    <w:rsid w:val="00136611"/>
    <w:rsid w:val="001366A7"/>
    <w:rsid w:val="001368E4"/>
    <w:rsid w:val="00136A0C"/>
    <w:rsid w:val="00136A8E"/>
    <w:rsid w:val="00136BD3"/>
    <w:rsid w:val="00136CDE"/>
    <w:rsid w:val="00136E0E"/>
    <w:rsid w:val="00136F4D"/>
    <w:rsid w:val="001370A6"/>
    <w:rsid w:val="00137120"/>
    <w:rsid w:val="001371DB"/>
    <w:rsid w:val="00137261"/>
    <w:rsid w:val="00137411"/>
    <w:rsid w:val="00137595"/>
    <w:rsid w:val="001375C8"/>
    <w:rsid w:val="00137623"/>
    <w:rsid w:val="00137653"/>
    <w:rsid w:val="00137682"/>
    <w:rsid w:val="00137699"/>
    <w:rsid w:val="001378E6"/>
    <w:rsid w:val="00137903"/>
    <w:rsid w:val="001379F5"/>
    <w:rsid w:val="00137A6C"/>
    <w:rsid w:val="00137A8F"/>
    <w:rsid w:val="00137BAE"/>
    <w:rsid w:val="00137CC9"/>
    <w:rsid w:val="00137CDD"/>
    <w:rsid w:val="00137E8C"/>
    <w:rsid w:val="00137FDB"/>
    <w:rsid w:val="0014006E"/>
    <w:rsid w:val="00140220"/>
    <w:rsid w:val="00140367"/>
    <w:rsid w:val="001403D0"/>
    <w:rsid w:val="001404F2"/>
    <w:rsid w:val="001404FC"/>
    <w:rsid w:val="0014057D"/>
    <w:rsid w:val="00140688"/>
    <w:rsid w:val="0014069D"/>
    <w:rsid w:val="001407A7"/>
    <w:rsid w:val="001408BF"/>
    <w:rsid w:val="00140A8D"/>
    <w:rsid w:val="00140BB9"/>
    <w:rsid w:val="00140D22"/>
    <w:rsid w:val="00140D6B"/>
    <w:rsid w:val="00140DF1"/>
    <w:rsid w:val="00140E8E"/>
    <w:rsid w:val="00140F15"/>
    <w:rsid w:val="00141178"/>
    <w:rsid w:val="0014129C"/>
    <w:rsid w:val="001413EF"/>
    <w:rsid w:val="001413F3"/>
    <w:rsid w:val="00141497"/>
    <w:rsid w:val="001414D7"/>
    <w:rsid w:val="00141588"/>
    <w:rsid w:val="00141681"/>
    <w:rsid w:val="00141747"/>
    <w:rsid w:val="00141777"/>
    <w:rsid w:val="0014192C"/>
    <w:rsid w:val="0014193A"/>
    <w:rsid w:val="00141A20"/>
    <w:rsid w:val="00141CB0"/>
    <w:rsid w:val="00141D4E"/>
    <w:rsid w:val="00141F18"/>
    <w:rsid w:val="00141F58"/>
    <w:rsid w:val="00142237"/>
    <w:rsid w:val="00142240"/>
    <w:rsid w:val="00142270"/>
    <w:rsid w:val="0014237A"/>
    <w:rsid w:val="001423B8"/>
    <w:rsid w:val="001423EA"/>
    <w:rsid w:val="00142629"/>
    <w:rsid w:val="001426BF"/>
    <w:rsid w:val="0014275D"/>
    <w:rsid w:val="0014298D"/>
    <w:rsid w:val="00142C4B"/>
    <w:rsid w:val="00142DF8"/>
    <w:rsid w:val="00142F2F"/>
    <w:rsid w:val="00142F5D"/>
    <w:rsid w:val="00142FBA"/>
    <w:rsid w:val="001431D4"/>
    <w:rsid w:val="0014320B"/>
    <w:rsid w:val="001432DC"/>
    <w:rsid w:val="001433CF"/>
    <w:rsid w:val="00143407"/>
    <w:rsid w:val="001434EE"/>
    <w:rsid w:val="001435F7"/>
    <w:rsid w:val="00143650"/>
    <w:rsid w:val="00143671"/>
    <w:rsid w:val="001436AF"/>
    <w:rsid w:val="00143773"/>
    <w:rsid w:val="001437E6"/>
    <w:rsid w:val="001439EE"/>
    <w:rsid w:val="00143A18"/>
    <w:rsid w:val="00143A70"/>
    <w:rsid w:val="00143A9A"/>
    <w:rsid w:val="00143AC0"/>
    <w:rsid w:val="00143BD1"/>
    <w:rsid w:val="00143C05"/>
    <w:rsid w:val="00143D29"/>
    <w:rsid w:val="00143DC1"/>
    <w:rsid w:val="00143E13"/>
    <w:rsid w:val="00143E5E"/>
    <w:rsid w:val="00143EC4"/>
    <w:rsid w:val="00143F7B"/>
    <w:rsid w:val="0014421E"/>
    <w:rsid w:val="00144287"/>
    <w:rsid w:val="001442AB"/>
    <w:rsid w:val="001442D1"/>
    <w:rsid w:val="001444FA"/>
    <w:rsid w:val="00144541"/>
    <w:rsid w:val="00144548"/>
    <w:rsid w:val="00144653"/>
    <w:rsid w:val="00144751"/>
    <w:rsid w:val="001447B5"/>
    <w:rsid w:val="001447E1"/>
    <w:rsid w:val="00144A27"/>
    <w:rsid w:val="00144A73"/>
    <w:rsid w:val="00144AC6"/>
    <w:rsid w:val="00144B61"/>
    <w:rsid w:val="00144B75"/>
    <w:rsid w:val="00144BF3"/>
    <w:rsid w:val="00144C19"/>
    <w:rsid w:val="00144C1D"/>
    <w:rsid w:val="00144C3F"/>
    <w:rsid w:val="00144CF9"/>
    <w:rsid w:val="00144DCC"/>
    <w:rsid w:val="00144E28"/>
    <w:rsid w:val="00144E5D"/>
    <w:rsid w:val="00144FD8"/>
    <w:rsid w:val="001450BC"/>
    <w:rsid w:val="00145160"/>
    <w:rsid w:val="0014518F"/>
    <w:rsid w:val="001452C2"/>
    <w:rsid w:val="0014535A"/>
    <w:rsid w:val="001453A6"/>
    <w:rsid w:val="001453B1"/>
    <w:rsid w:val="00145603"/>
    <w:rsid w:val="001456F0"/>
    <w:rsid w:val="00145839"/>
    <w:rsid w:val="001459C8"/>
    <w:rsid w:val="00145A04"/>
    <w:rsid w:val="00145A16"/>
    <w:rsid w:val="00145B24"/>
    <w:rsid w:val="00145C6F"/>
    <w:rsid w:val="00145CA4"/>
    <w:rsid w:val="00145DEA"/>
    <w:rsid w:val="00145F49"/>
    <w:rsid w:val="00145F5C"/>
    <w:rsid w:val="00145FB1"/>
    <w:rsid w:val="0014602A"/>
    <w:rsid w:val="00146031"/>
    <w:rsid w:val="00146061"/>
    <w:rsid w:val="001463FF"/>
    <w:rsid w:val="00146457"/>
    <w:rsid w:val="001464C3"/>
    <w:rsid w:val="0014659A"/>
    <w:rsid w:val="00146642"/>
    <w:rsid w:val="00146650"/>
    <w:rsid w:val="00146761"/>
    <w:rsid w:val="001467A9"/>
    <w:rsid w:val="0014685E"/>
    <w:rsid w:val="001469A3"/>
    <w:rsid w:val="001469F0"/>
    <w:rsid w:val="00146A6E"/>
    <w:rsid w:val="00146BA9"/>
    <w:rsid w:val="00146D09"/>
    <w:rsid w:val="00146E90"/>
    <w:rsid w:val="00146EB9"/>
    <w:rsid w:val="00146FC3"/>
    <w:rsid w:val="0014702C"/>
    <w:rsid w:val="00147035"/>
    <w:rsid w:val="001470A2"/>
    <w:rsid w:val="00147148"/>
    <w:rsid w:val="0014722E"/>
    <w:rsid w:val="001472F8"/>
    <w:rsid w:val="00147310"/>
    <w:rsid w:val="00147312"/>
    <w:rsid w:val="001473B8"/>
    <w:rsid w:val="001474AC"/>
    <w:rsid w:val="001474D4"/>
    <w:rsid w:val="001474FE"/>
    <w:rsid w:val="0014759F"/>
    <w:rsid w:val="00147613"/>
    <w:rsid w:val="00147696"/>
    <w:rsid w:val="001476BA"/>
    <w:rsid w:val="00147703"/>
    <w:rsid w:val="001478AA"/>
    <w:rsid w:val="00147A1D"/>
    <w:rsid w:val="00147A4A"/>
    <w:rsid w:val="00147AA9"/>
    <w:rsid w:val="00147C0C"/>
    <w:rsid w:val="00147D57"/>
    <w:rsid w:val="00147D88"/>
    <w:rsid w:val="00147DC9"/>
    <w:rsid w:val="00147E3C"/>
    <w:rsid w:val="00147E54"/>
    <w:rsid w:val="00147EE5"/>
    <w:rsid w:val="0014F322"/>
    <w:rsid w:val="00150000"/>
    <w:rsid w:val="00150132"/>
    <w:rsid w:val="0015013A"/>
    <w:rsid w:val="001501EC"/>
    <w:rsid w:val="001502F5"/>
    <w:rsid w:val="00150360"/>
    <w:rsid w:val="00150403"/>
    <w:rsid w:val="00150417"/>
    <w:rsid w:val="001505F9"/>
    <w:rsid w:val="00150639"/>
    <w:rsid w:val="001506FF"/>
    <w:rsid w:val="001507E6"/>
    <w:rsid w:val="001508B1"/>
    <w:rsid w:val="00150A10"/>
    <w:rsid w:val="00150A9A"/>
    <w:rsid w:val="00150B38"/>
    <w:rsid w:val="00150D14"/>
    <w:rsid w:val="00150E90"/>
    <w:rsid w:val="00150F2A"/>
    <w:rsid w:val="00151042"/>
    <w:rsid w:val="001514D0"/>
    <w:rsid w:val="001515C0"/>
    <w:rsid w:val="001516D9"/>
    <w:rsid w:val="001517A4"/>
    <w:rsid w:val="00151842"/>
    <w:rsid w:val="00151A00"/>
    <w:rsid w:val="00151B82"/>
    <w:rsid w:val="00151C12"/>
    <w:rsid w:val="00151C48"/>
    <w:rsid w:val="00151C91"/>
    <w:rsid w:val="00151CB8"/>
    <w:rsid w:val="00151CC9"/>
    <w:rsid w:val="00151D52"/>
    <w:rsid w:val="00151D89"/>
    <w:rsid w:val="00151DB9"/>
    <w:rsid w:val="00151DDC"/>
    <w:rsid w:val="00151E6A"/>
    <w:rsid w:val="00151F1E"/>
    <w:rsid w:val="00151F6A"/>
    <w:rsid w:val="00151F6D"/>
    <w:rsid w:val="00152050"/>
    <w:rsid w:val="001522B3"/>
    <w:rsid w:val="00152606"/>
    <w:rsid w:val="001526B5"/>
    <w:rsid w:val="001528B7"/>
    <w:rsid w:val="00152953"/>
    <w:rsid w:val="00152A80"/>
    <w:rsid w:val="00152B09"/>
    <w:rsid w:val="00152B90"/>
    <w:rsid w:val="00152BA7"/>
    <w:rsid w:val="00152C06"/>
    <w:rsid w:val="00152C4E"/>
    <w:rsid w:val="00152C4F"/>
    <w:rsid w:val="00152C63"/>
    <w:rsid w:val="00152C69"/>
    <w:rsid w:val="00152D26"/>
    <w:rsid w:val="00152D28"/>
    <w:rsid w:val="00152F6A"/>
    <w:rsid w:val="00153076"/>
    <w:rsid w:val="001531D4"/>
    <w:rsid w:val="0015327F"/>
    <w:rsid w:val="001532AB"/>
    <w:rsid w:val="00153345"/>
    <w:rsid w:val="001533A2"/>
    <w:rsid w:val="001534E4"/>
    <w:rsid w:val="00153501"/>
    <w:rsid w:val="001535B0"/>
    <w:rsid w:val="001536CA"/>
    <w:rsid w:val="0015378B"/>
    <w:rsid w:val="001538AB"/>
    <w:rsid w:val="00153927"/>
    <w:rsid w:val="00153A4E"/>
    <w:rsid w:val="00153B08"/>
    <w:rsid w:val="00153BFC"/>
    <w:rsid w:val="00153CDC"/>
    <w:rsid w:val="00153D13"/>
    <w:rsid w:val="00153ED6"/>
    <w:rsid w:val="00153F27"/>
    <w:rsid w:val="00153F56"/>
    <w:rsid w:val="00154101"/>
    <w:rsid w:val="001541B4"/>
    <w:rsid w:val="001541E0"/>
    <w:rsid w:val="0015430B"/>
    <w:rsid w:val="001545A2"/>
    <w:rsid w:val="0015464E"/>
    <w:rsid w:val="00154A11"/>
    <w:rsid w:val="00154B59"/>
    <w:rsid w:val="00154D29"/>
    <w:rsid w:val="00154DC9"/>
    <w:rsid w:val="00154EA9"/>
    <w:rsid w:val="00154F33"/>
    <w:rsid w:val="00154F8D"/>
    <w:rsid w:val="001550E0"/>
    <w:rsid w:val="001551A9"/>
    <w:rsid w:val="001552C4"/>
    <w:rsid w:val="0015536D"/>
    <w:rsid w:val="0015542C"/>
    <w:rsid w:val="00155447"/>
    <w:rsid w:val="00155453"/>
    <w:rsid w:val="001554C2"/>
    <w:rsid w:val="001555DA"/>
    <w:rsid w:val="00155604"/>
    <w:rsid w:val="0015561D"/>
    <w:rsid w:val="00155623"/>
    <w:rsid w:val="00155696"/>
    <w:rsid w:val="00155756"/>
    <w:rsid w:val="00155774"/>
    <w:rsid w:val="0015578C"/>
    <w:rsid w:val="001557A3"/>
    <w:rsid w:val="00155888"/>
    <w:rsid w:val="001558AC"/>
    <w:rsid w:val="00155A35"/>
    <w:rsid w:val="00155B62"/>
    <w:rsid w:val="00155CE1"/>
    <w:rsid w:val="00155D22"/>
    <w:rsid w:val="00155D78"/>
    <w:rsid w:val="0015600F"/>
    <w:rsid w:val="00156084"/>
    <w:rsid w:val="0015614B"/>
    <w:rsid w:val="0015615F"/>
    <w:rsid w:val="001563E6"/>
    <w:rsid w:val="0015645F"/>
    <w:rsid w:val="0015646B"/>
    <w:rsid w:val="00156554"/>
    <w:rsid w:val="00156666"/>
    <w:rsid w:val="00156671"/>
    <w:rsid w:val="00156703"/>
    <w:rsid w:val="00156723"/>
    <w:rsid w:val="0015673B"/>
    <w:rsid w:val="00156759"/>
    <w:rsid w:val="00156788"/>
    <w:rsid w:val="001567AE"/>
    <w:rsid w:val="001568A8"/>
    <w:rsid w:val="001568BA"/>
    <w:rsid w:val="00156921"/>
    <w:rsid w:val="00156971"/>
    <w:rsid w:val="001569DE"/>
    <w:rsid w:val="00156A07"/>
    <w:rsid w:val="00156A69"/>
    <w:rsid w:val="00156AAD"/>
    <w:rsid w:val="00156B8C"/>
    <w:rsid w:val="00156C0D"/>
    <w:rsid w:val="00156CD1"/>
    <w:rsid w:val="00156CD5"/>
    <w:rsid w:val="00156D40"/>
    <w:rsid w:val="00156D57"/>
    <w:rsid w:val="00156DCD"/>
    <w:rsid w:val="00156F31"/>
    <w:rsid w:val="00156FC6"/>
    <w:rsid w:val="001570CA"/>
    <w:rsid w:val="00157252"/>
    <w:rsid w:val="001572F0"/>
    <w:rsid w:val="00157379"/>
    <w:rsid w:val="0015742E"/>
    <w:rsid w:val="001574C8"/>
    <w:rsid w:val="0015751D"/>
    <w:rsid w:val="001575F8"/>
    <w:rsid w:val="0015765B"/>
    <w:rsid w:val="00157673"/>
    <w:rsid w:val="001577FA"/>
    <w:rsid w:val="00157885"/>
    <w:rsid w:val="0015795C"/>
    <w:rsid w:val="001579BE"/>
    <w:rsid w:val="00157AFC"/>
    <w:rsid w:val="00157B07"/>
    <w:rsid w:val="00157B0E"/>
    <w:rsid w:val="00157B27"/>
    <w:rsid w:val="00157CC1"/>
    <w:rsid w:val="00157EAB"/>
    <w:rsid w:val="00157F5A"/>
    <w:rsid w:val="001582A7"/>
    <w:rsid w:val="0016016D"/>
    <w:rsid w:val="00160290"/>
    <w:rsid w:val="0016033D"/>
    <w:rsid w:val="001603CD"/>
    <w:rsid w:val="00160559"/>
    <w:rsid w:val="00160758"/>
    <w:rsid w:val="0016077C"/>
    <w:rsid w:val="00160858"/>
    <w:rsid w:val="001608A4"/>
    <w:rsid w:val="00160B80"/>
    <w:rsid w:val="00160D1C"/>
    <w:rsid w:val="00160DAB"/>
    <w:rsid w:val="001611D6"/>
    <w:rsid w:val="00161408"/>
    <w:rsid w:val="00161494"/>
    <w:rsid w:val="001614D0"/>
    <w:rsid w:val="00161511"/>
    <w:rsid w:val="00161642"/>
    <w:rsid w:val="001616B9"/>
    <w:rsid w:val="001616F6"/>
    <w:rsid w:val="00161700"/>
    <w:rsid w:val="001617B7"/>
    <w:rsid w:val="00161847"/>
    <w:rsid w:val="0016189D"/>
    <w:rsid w:val="001618AD"/>
    <w:rsid w:val="00161953"/>
    <w:rsid w:val="00161A92"/>
    <w:rsid w:val="00161BDE"/>
    <w:rsid w:val="00161C5C"/>
    <w:rsid w:val="00161C5F"/>
    <w:rsid w:val="00161E01"/>
    <w:rsid w:val="00161F17"/>
    <w:rsid w:val="00162047"/>
    <w:rsid w:val="0016204B"/>
    <w:rsid w:val="0016217C"/>
    <w:rsid w:val="0016217E"/>
    <w:rsid w:val="001621EB"/>
    <w:rsid w:val="001621ED"/>
    <w:rsid w:val="0016228A"/>
    <w:rsid w:val="00162317"/>
    <w:rsid w:val="001623B4"/>
    <w:rsid w:val="00162499"/>
    <w:rsid w:val="001624B3"/>
    <w:rsid w:val="0016257C"/>
    <w:rsid w:val="001625DC"/>
    <w:rsid w:val="001626B7"/>
    <w:rsid w:val="0016284B"/>
    <w:rsid w:val="001628F6"/>
    <w:rsid w:val="00162963"/>
    <w:rsid w:val="001629BB"/>
    <w:rsid w:val="00162AEB"/>
    <w:rsid w:val="00162B7B"/>
    <w:rsid w:val="00162C2D"/>
    <w:rsid w:val="00162D96"/>
    <w:rsid w:val="00162F2D"/>
    <w:rsid w:val="0016301E"/>
    <w:rsid w:val="00163056"/>
    <w:rsid w:val="00163131"/>
    <w:rsid w:val="0016315D"/>
    <w:rsid w:val="00163271"/>
    <w:rsid w:val="00163338"/>
    <w:rsid w:val="0016334A"/>
    <w:rsid w:val="00163432"/>
    <w:rsid w:val="0016344A"/>
    <w:rsid w:val="00163563"/>
    <w:rsid w:val="00163A3F"/>
    <w:rsid w:val="00163A60"/>
    <w:rsid w:val="00163B2C"/>
    <w:rsid w:val="00163C45"/>
    <w:rsid w:val="00163C6C"/>
    <w:rsid w:val="00164047"/>
    <w:rsid w:val="00164208"/>
    <w:rsid w:val="00164274"/>
    <w:rsid w:val="0016429E"/>
    <w:rsid w:val="001642C7"/>
    <w:rsid w:val="00164353"/>
    <w:rsid w:val="001644C4"/>
    <w:rsid w:val="0016455D"/>
    <w:rsid w:val="001647A5"/>
    <w:rsid w:val="00164832"/>
    <w:rsid w:val="00164A30"/>
    <w:rsid w:val="00164B9E"/>
    <w:rsid w:val="00164BF5"/>
    <w:rsid w:val="00164D35"/>
    <w:rsid w:val="00164FB4"/>
    <w:rsid w:val="00165071"/>
    <w:rsid w:val="00165094"/>
    <w:rsid w:val="00165096"/>
    <w:rsid w:val="00165182"/>
    <w:rsid w:val="00165274"/>
    <w:rsid w:val="00165332"/>
    <w:rsid w:val="001653ED"/>
    <w:rsid w:val="001653F0"/>
    <w:rsid w:val="0016544C"/>
    <w:rsid w:val="0016548A"/>
    <w:rsid w:val="001654E8"/>
    <w:rsid w:val="00165540"/>
    <w:rsid w:val="0016555D"/>
    <w:rsid w:val="0016558C"/>
    <w:rsid w:val="00165715"/>
    <w:rsid w:val="00165806"/>
    <w:rsid w:val="0016580A"/>
    <w:rsid w:val="001658E1"/>
    <w:rsid w:val="00165974"/>
    <w:rsid w:val="00165A00"/>
    <w:rsid w:val="00165C5D"/>
    <w:rsid w:val="00165E9C"/>
    <w:rsid w:val="00165EDA"/>
    <w:rsid w:val="001661A2"/>
    <w:rsid w:val="001662E9"/>
    <w:rsid w:val="00166323"/>
    <w:rsid w:val="001663D3"/>
    <w:rsid w:val="001663F8"/>
    <w:rsid w:val="0016640A"/>
    <w:rsid w:val="00166452"/>
    <w:rsid w:val="0016645D"/>
    <w:rsid w:val="001664E3"/>
    <w:rsid w:val="0016655F"/>
    <w:rsid w:val="0016662E"/>
    <w:rsid w:val="001666CB"/>
    <w:rsid w:val="00166776"/>
    <w:rsid w:val="00166778"/>
    <w:rsid w:val="00166795"/>
    <w:rsid w:val="00166AE2"/>
    <w:rsid w:val="00166AFC"/>
    <w:rsid w:val="00166B8E"/>
    <w:rsid w:val="00166C34"/>
    <w:rsid w:val="00167036"/>
    <w:rsid w:val="0016703A"/>
    <w:rsid w:val="0016703B"/>
    <w:rsid w:val="0016704E"/>
    <w:rsid w:val="001670C4"/>
    <w:rsid w:val="001670C7"/>
    <w:rsid w:val="00167210"/>
    <w:rsid w:val="00167298"/>
    <w:rsid w:val="0016738D"/>
    <w:rsid w:val="001673C8"/>
    <w:rsid w:val="0016742F"/>
    <w:rsid w:val="001674BC"/>
    <w:rsid w:val="00167575"/>
    <w:rsid w:val="001676BB"/>
    <w:rsid w:val="00167702"/>
    <w:rsid w:val="00167726"/>
    <w:rsid w:val="001677F9"/>
    <w:rsid w:val="0016786E"/>
    <w:rsid w:val="00167AE7"/>
    <w:rsid w:val="00167D8F"/>
    <w:rsid w:val="00167DE7"/>
    <w:rsid w:val="0016CCAB"/>
    <w:rsid w:val="00170070"/>
    <w:rsid w:val="0017007F"/>
    <w:rsid w:val="001700F8"/>
    <w:rsid w:val="00170258"/>
    <w:rsid w:val="001702D8"/>
    <w:rsid w:val="00170322"/>
    <w:rsid w:val="0017045A"/>
    <w:rsid w:val="00170548"/>
    <w:rsid w:val="00170585"/>
    <w:rsid w:val="001705ED"/>
    <w:rsid w:val="0017063C"/>
    <w:rsid w:val="00170645"/>
    <w:rsid w:val="001706A0"/>
    <w:rsid w:val="001706E6"/>
    <w:rsid w:val="00170719"/>
    <w:rsid w:val="0017076D"/>
    <w:rsid w:val="0017077D"/>
    <w:rsid w:val="001707C7"/>
    <w:rsid w:val="001708A2"/>
    <w:rsid w:val="001708F0"/>
    <w:rsid w:val="001709A6"/>
    <w:rsid w:val="001709A7"/>
    <w:rsid w:val="00170ABB"/>
    <w:rsid w:val="00170B5A"/>
    <w:rsid w:val="00170D6B"/>
    <w:rsid w:val="00170DA0"/>
    <w:rsid w:val="00170DF3"/>
    <w:rsid w:val="00170E97"/>
    <w:rsid w:val="00170EDE"/>
    <w:rsid w:val="00170EE2"/>
    <w:rsid w:val="00171019"/>
    <w:rsid w:val="001712D9"/>
    <w:rsid w:val="00171353"/>
    <w:rsid w:val="0017153C"/>
    <w:rsid w:val="0017159F"/>
    <w:rsid w:val="001715BF"/>
    <w:rsid w:val="00171721"/>
    <w:rsid w:val="00171758"/>
    <w:rsid w:val="0017176B"/>
    <w:rsid w:val="0017180F"/>
    <w:rsid w:val="00171823"/>
    <w:rsid w:val="001718C3"/>
    <w:rsid w:val="001718D2"/>
    <w:rsid w:val="0017190F"/>
    <w:rsid w:val="00171950"/>
    <w:rsid w:val="00171968"/>
    <w:rsid w:val="00171A56"/>
    <w:rsid w:val="00171A9F"/>
    <w:rsid w:val="00171BA5"/>
    <w:rsid w:val="00171BF8"/>
    <w:rsid w:val="00171C9B"/>
    <w:rsid w:val="00171E07"/>
    <w:rsid w:val="00171EAE"/>
    <w:rsid w:val="00171EEE"/>
    <w:rsid w:val="00171FB1"/>
    <w:rsid w:val="00172070"/>
    <w:rsid w:val="0017208B"/>
    <w:rsid w:val="00172095"/>
    <w:rsid w:val="001720E5"/>
    <w:rsid w:val="00172144"/>
    <w:rsid w:val="00172266"/>
    <w:rsid w:val="001722C3"/>
    <w:rsid w:val="001722E5"/>
    <w:rsid w:val="0017231D"/>
    <w:rsid w:val="00172349"/>
    <w:rsid w:val="0017234B"/>
    <w:rsid w:val="001723BE"/>
    <w:rsid w:val="00172506"/>
    <w:rsid w:val="001725B3"/>
    <w:rsid w:val="0017273D"/>
    <w:rsid w:val="001727D2"/>
    <w:rsid w:val="0017288C"/>
    <w:rsid w:val="001728A1"/>
    <w:rsid w:val="001728C2"/>
    <w:rsid w:val="001728E0"/>
    <w:rsid w:val="001728E2"/>
    <w:rsid w:val="0017292E"/>
    <w:rsid w:val="00172A4E"/>
    <w:rsid w:val="00172A89"/>
    <w:rsid w:val="00172AE9"/>
    <w:rsid w:val="00172B7E"/>
    <w:rsid w:val="00172C28"/>
    <w:rsid w:val="00172CC0"/>
    <w:rsid w:val="00172DB6"/>
    <w:rsid w:val="00172F65"/>
    <w:rsid w:val="00172FBA"/>
    <w:rsid w:val="001730A1"/>
    <w:rsid w:val="001732C8"/>
    <w:rsid w:val="00173375"/>
    <w:rsid w:val="0017338B"/>
    <w:rsid w:val="0017351B"/>
    <w:rsid w:val="00173640"/>
    <w:rsid w:val="001737F9"/>
    <w:rsid w:val="00173877"/>
    <w:rsid w:val="00173A4E"/>
    <w:rsid w:val="00173AE3"/>
    <w:rsid w:val="00173B18"/>
    <w:rsid w:val="00173B22"/>
    <w:rsid w:val="00173BC0"/>
    <w:rsid w:val="00173C15"/>
    <w:rsid w:val="00173CE5"/>
    <w:rsid w:val="00173E72"/>
    <w:rsid w:val="00173F3D"/>
    <w:rsid w:val="00174153"/>
    <w:rsid w:val="00174182"/>
    <w:rsid w:val="00174247"/>
    <w:rsid w:val="0017426F"/>
    <w:rsid w:val="00174336"/>
    <w:rsid w:val="00174368"/>
    <w:rsid w:val="00174394"/>
    <w:rsid w:val="00174466"/>
    <w:rsid w:val="00174602"/>
    <w:rsid w:val="00174A3C"/>
    <w:rsid w:val="00174A6E"/>
    <w:rsid w:val="00174AB5"/>
    <w:rsid w:val="00174B0B"/>
    <w:rsid w:val="00174B6B"/>
    <w:rsid w:val="00174BF5"/>
    <w:rsid w:val="00174DA6"/>
    <w:rsid w:val="00174E83"/>
    <w:rsid w:val="00174FA1"/>
    <w:rsid w:val="0017508F"/>
    <w:rsid w:val="0017509D"/>
    <w:rsid w:val="001750C7"/>
    <w:rsid w:val="001750CB"/>
    <w:rsid w:val="001751C9"/>
    <w:rsid w:val="0017535C"/>
    <w:rsid w:val="001753F9"/>
    <w:rsid w:val="00175471"/>
    <w:rsid w:val="0017549A"/>
    <w:rsid w:val="001754D4"/>
    <w:rsid w:val="001755AD"/>
    <w:rsid w:val="00175672"/>
    <w:rsid w:val="001756E7"/>
    <w:rsid w:val="00175747"/>
    <w:rsid w:val="0017579A"/>
    <w:rsid w:val="00175A3F"/>
    <w:rsid w:val="00175B10"/>
    <w:rsid w:val="00175B3A"/>
    <w:rsid w:val="00175BCA"/>
    <w:rsid w:val="00175CEE"/>
    <w:rsid w:val="00175D3E"/>
    <w:rsid w:val="00175E76"/>
    <w:rsid w:val="00175EDC"/>
    <w:rsid w:val="00175F9F"/>
    <w:rsid w:val="00176153"/>
    <w:rsid w:val="00176154"/>
    <w:rsid w:val="0017631A"/>
    <w:rsid w:val="0017632E"/>
    <w:rsid w:val="001763EF"/>
    <w:rsid w:val="00176402"/>
    <w:rsid w:val="00176581"/>
    <w:rsid w:val="001765B3"/>
    <w:rsid w:val="00176661"/>
    <w:rsid w:val="0017667D"/>
    <w:rsid w:val="0017680B"/>
    <w:rsid w:val="00176845"/>
    <w:rsid w:val="0017699B"/>
    <w:rsid w:val="001769B5"/>
    <w:rsid w:val="00176A08"/>
    <w:rsid w:val="00176A5A"/>
    <w:rsid w:val="00176B67"/>
    <w:rsid w:val="00176B6E"/>
    <w:rsid w:val="00176BDF"/>
    <w:rsid w:val="00176C58"/>
    <w:rsid w:val="00176EAA"/>
    <w:rsid w:val="00176ECB"/>
    <w:rsid w:val="00177083"/>
    <w:rsid w:val="0017712B"/>
    <w:rsid w:val="0017715B"/>
    <w:rsid w:val="001771BB"/>
    <w:rsid w:val="001771BD"/>
    <w:rsid w:val="001772B9"/>
    <w:rsid w:val="0017747A"/>
    <w:rsid w:val="00177752"/>
    <w:rsid w:val="00177759"/>
    <w:rsid w:val="00177791"/>
    <w:rsid w:val="001777BD"/>
    <w:rsid w:val="001777DD"/>
    <w:rsid w:val="0017784F"/>
    <w:rsid w:val="00177896"/>
    <w:rsid w:val="001778A1"/>
    <w:rsid w:val="0017797F"/>
    <w:rsid w:val="00177B74"/>
    <w:rsid w:val="00177BCC"/>
    <w:rsid w:val="00177BE1"/>
    <w:rsid w:val="00177C37"/>
    <w:rsid w:val="00177CE8"/>
    <w:rsid w:val="00177D40"/>
    <w:rsid w:val="00177E16"/>
    <w:rsid w:val="00177E18"/>
    <w:rsid w:val="00177E2B"/>
    <w:rsid w:val="00177E7D"/>
    <w:rsid w:val="00177F68"/>
    <w:rsid w:val="0018000B"/>
    <w:rsid w:val="001800FC"/>
    <w:rsid w:val="0018014D"/>
    <w:rsid w:val="001801B9"/>
    <w:rsid w:val="00180273"/>
    <w:rsid w:val="001802F9"/>
    <w:rsid w:val="00180305"/>
    <w:rsid w:val="00180355"/>
    <w:rsid w:val="00180376"/>
    <w:rsid w:val="001803A9"/>
    <w:rsid w:val="0018049B"/>
    <w:rsid w:val="001804BB"/>
    <w:rsid w:val="0018058A"/>
    <w:rsid w:val="0018062C"/>
    <w:rsid w:val="00180673"/>
    <w:rsid w:val="001806A6"/>
    <w:rsid w:val="001807BF"/>
    <w:rsid w:val="001807FE"/>
    <w:rsid w:val="0018093B"/>
    <w:rsid w:val="00180943"/>
    <w:rsid w:val="00180A75"/>
    <w:rsid w:val="00180B43"/>
    <w:rsid w:val="00180C41"/>
    <w:rsid w:val="00180C9E"/>
    <w:rsid w:val="00180DF1"/>
    <w:rsid w:val="00180F13"/>
    <w:rsid w:val="00180F96"/>
    <w:rsid w:val="0018102F"/>
    <w:rsid w:val="00181165"/>
    <w:rsid w:val="001811E9"/>
    <w:rsid w:val="00181423"/>
    <w:rsid w:val="00181458"/>
    <w:rsid w:val="00181465"/>
    <w:rsid w:val="00181583"/>
    <w:rsid w:val="00181588"/>
    <w:rsid w:val="00181618"/>
    <w:rsid w:val="00181763"/>
    <w:rsid w:val="001818BF"/>
    <w:rsid w:val="0018192D"/>
    <w:rsid w:val="00181A1E"/>
    <w:rsid w:val="00181C70"/>
    <w:rsid w:val="00181D03"/>
    <w:rsid w:val="00181D55"/>
    <w:rsid w:val="00181D72"/>
    <w:rsid w:val="00181E72"/>
    <w:rsid w:val="00181E91"/>
    <w:rsid w:val="00181FFA"/>
    <w:rsid w:val="00181FFD"/>
    <w:rsid w:val="00182011"/>
    <w:rsid w:val="001821F8"/>
    <w:rsid w:val="0018223F"/>
    <w:rsid w:val="00182240"/>
    <w:rsid w:val="001822CE"/>
    <w:rsid w:val="0018240E"/>
    <w:rsid w:val="00182414"/>
    <w:rsid w:val="00182438"/>
    <w:rsid w:val="00182451"/>
    <w:rsid w:val="0018246E"/>
    <w:rsid w:val="00182527"/>
    <w:rsid w:val="00182567"/>
    <w:rsid w:val="001825C3"/>
    <w:rsid w:val="001826FD"/>
    <w:rsid w:val="0018271D"/>
    <w:rsid w:val="00182979"/>
    <w:rsid w:val="00182AA9"/>
    <w:rsid w:val="00182B02"/>
    <w:rsid w:val="00182B65"/>
    <w:rsid w:val="00182C6E"/>
    <w:rsid w:val="00182CC7"/>
    <w:rsid w:val="00182D70"/>
    <w:rsid w:val="00182E37"/>
    <w:rsid w:val="00182E8F"/>
    <w:rsid w:val="00183019"/>
    <w:rsid w:val="0018301F"/>
    <w:rsid w:val="0018308A"/>
    <w:rsid w:val="001830A4"/>
    <w:rsid w:val="00183118"/>
    <w:rsid w:val="0018314A"/>
    <w:rsid w:val="00183161"/>
    <w:rsid w:val="001831CD"/>
    <w:rsid w:val="001833D5"/>
    <w:rsid w:val="00183493"/>
    <w:rsid w:val="00183544"/>
    <w:rsid w:val="00183582"/>
    <w:rsid w:val="001836D8"/>
    <w:rsid w:val="0018378E"/>
    <w:rsid w:val="001837C6"/>
    <w:rsid w:val="0018391C"/>
    <w:rsid w:val="0018397F"/>
    <w:rsid w:val="00183BBE"/>
    <w:rsid w:val="00183BC3"/>
    <w:rsid w:val="00183BE8"/>
    <w:rsid w:val="00183C70"/>
    <w:rsid w:val="00183D94"/>
    <w:rsid w:val="00183DCB"/>
    <w:rsid w:val="00183E41"/>
    <w:rsid w:val="00183EB2"/>
    <w:rsid w:val="00183F04"/>
    <w:rsid w:val="00183F63"/>
    <w:rsid w:val="00183FFE"/>
    <w:rsid w:val="0018404A"/>
    <w:rsid w:val="001840F3"/>
    <w:rsid w:val="0018414C"/>
    <w:rsid w:val="00184225"/>
    <w:rsid w:val="0018422C"/>
    <w:rsid w:val="0018423E"/>
    <w:rsid w:val="00184387"/>
    <w:rsid w:val="0018439E"/>
    <w:rsid w:val="001843E0"/>
    <w:rsid w:val="0018454F"/>
    <w:rsid w:val="00184736"/>
    <w:rsid w:val="00184758"/>
    <w:rsid w:val="0018475D"/>
    <w:rsid w:val="001847BA"/>
    <w:rsid w:val="001848E0"/>
    <w:rsid w:val="00184A92"/>
    <w:rsid w:val="00184B64"/>
    <w:rsid w:val="00184D1A"/>
    <w:rsid w:val="00184E9D"/>
    <w:rsid w:val="00184EBE"/>
    <w:rsid w:val="00184F75"/>
    <w:rsid w:val="00185048"/>
    <w:rsid w:val="00185102"/>
    <w:rsid w:val="001851E3"/>
    <w:rsid w:val="001851EC"/>
    <w:rsid w:val="001851FB"/>
    <w:rsid w:val="00185291"/>
    <w:rsid w:val="001853DB"/>
    <w:rsid w:val="00185422"/>
    <w:rsid w:val="001854C7"/>
    <w:rsid w:val="001855C6"/>
    <w:rsid w:val="001855EE"/>
    <w:rsid w:val="00185610"/>
    <w:rsid w:val="00185658"/>
    <w:rsid w:val="00185698"/>
    <w:rsid w:val="00185713"/>
    <w:rsid w:val="001857A0"/>
    <w:rsid w:val="0018586F"/>
    <w:rsid w:val="00185894"/>
    <w:rsid w:val="001859AD"/>
    <w:rsid w:val="00185C10"/>
    <w:rsid w:val="00185C63"/>
    <w:rsid w:val="00185E97"/>
    <w:rsid w:val="00185EEB"/>
    <w:rsid w:val="00185FB0"/>
    <w:rsid w:val="00186162"/>
    <w:rsid w:val="001861EB"/>
    <w:rsid w:val="0018620D"/>
    <w:rsid w:val="0018623B"/>
    <w:rsid w:val="00186254"/>
    <w:rsid w:val="0018628B"/>
    <w:rsid w:val="0018633F"/>
    <w:rsid w:val="001863B6"/>
    <w:rsid w:val="00186466"/>
    <w:rsid w:val="001864EA"/>
    <w:rsid w:val="00186604"/>
    <w:rsid w:val="00186657"/>
    <w:rsid w:val="0018667F"/>
    <w:rsid w:val="001866AC"/>
    <w:rsid w:val="001866BF"/>
    <w:rsid w:val="001866D2"/>
    <w:rsid w:val="00186926"/>
    <w:rsid w:val="001869B6"/>
    <w:rsid w:val="00186B77"/>
    <w:rsid w:val="00186BC6"/>
    <w:rsid w:val="00186C68"/>
    <w:rsid w:val="00186C72"/>
    <w:rsid w:val="00186CA7"/>
    <w:rsid w:val="00186CE4"/>
    <w:rsid w:val="00186D5E"/>
    <w:rsid w:val="00186E3D"/>
    <w:rsid w:val="00186EF5"/>
    <w:rsid w:val="00186FB8"/>
    <w:rsid w:val="00186FC3"/>
    <w:rsid w:val="0018705B"/>
    <w:rsid w:val="00187083"/>
    <w:rsid w:val="001871A5"/>
    <w:rsid w:val="001871BF"/>
    <w:rsid w:val="001872D1"/>
    <w:rsid w:val="001874A6"/>
    <w:rsid w:val="00187610"/>
    <w:rsid w:val="001876E8"/>
    <w:rsid w:val="0018773A"/>
    <w:rsid w:val="0018774E"/>
    <w:rsid w:val="0018775A"/>
    <w:rsid w:val="0018778A"/>
    <w:rsid w:val="001877A2"/>
    <w:rsid w:val="001877B5"/>
    <w:rsid w:val="00187813"/>
    <w:rsid w:val="00187887"/>
    <w:rsid w:val="00187913"/>
    <w:rsid w:val="001879AF"/>
    <w:rsid w:val="00187A5D"/>
    <w:rsid w:val="00187AEE"/>
    <w:rsid w:val="00187B46"/>
    <w:rsid w:val="00187BE0"/>
    <w:rsid w:val="00187D03"/>
    <w:rsid w:val="00187E52"/>
    <w:rsid w:val="00187EFE"/>
    <w:rsid w:val="00190059"/>
    <w:rsid w:val="0019011A"/>
    <w:rsid w:val="0019024E"/>
    <w:rsid w:val="0019024F"/>
    <w:rsid w:val="0019030D"/>
    <w:rsid w:val="001903BF"/>
    <w:rsid w:val="00190874"/>
    <w:rsid w:val="00190BDA"/>
    <w:rsid w:val="00190D89"/>
    <w:rsid w:val="00190E61"/>
    <w:rsid w:val="00190F02"/>
    <w:rsid w:val="00190F23"/>
    <w:rsid w:val="0019105D"/>
    <w:rsid w:val="0019106E"/>
    <w:rsid w:val="001910D3"/>
    <w:rsid w:val="001911DD"/>
    <w:rsid w:val="001912CE"/>
    <w:rsid w:val="0019137B"/>
    <w:rsid w:val="001913B6"/>
    <w:rsid w:val="0019140B"/>
    <w:rsid w:val="00191427"/>
    <w:rsid w:val="00191515"/>
    <w:rsid w:val="00191562"/>
    <w:rsid w:val="00191631"/>
    <w:rsid w:val="00191656"/>
    <w:rsid w:val="00191771"/>
    <w:rsid w:val="001918F5"/>
    <w:rsid w:val="00191913"/>
    <w:rsid w:val="0019199E"/>
    <w:rsid w:val="001919AF"/>
    <w:rsid w:val="00191A31"/>
    <w:rsid w:val="00191A6D"/>
    <w:rsid w:val="00191B61"/>
    <w:rsid w:val="00191C04"/>
    <w:rsid w:val="00191CEB"/>
    <w:rsid w:val="00191D85"/>
    <w:rsid w:val="00191E7D"/>
    <w:rsid w:val="00191F37"/>
    <w:rsid w:val="00191FA6"/>
    <w:rsid w:val="00191FBC"/>
    <w:rsid w:val="00191FF1"/>
    <w:rsid w:val="001920C8"/>
    <w:rsid w:val="001920F9"/>
    <w:rsid w:val="0019221D"/>
    <w:rsid w:val="00192259"/>
    <w:rsid w:val="0019229D"/>
    <w:rsid w:val="001922D7"/>
    <w:rsid w:val="00192337"/>
    <w:rsid w:val="00192358"/>
    <w:rsid w:val="001923BE"/>
    <w:rsid w:val="001924E1"/>
    <w:rsid w:val="0019253D"/>
    <w:rsid w:val="00192682"/>
    <w:rsid w:val="0019272F"/>
    <w:rsid w:val="0019278D"/>
    <w:rsid w:val="001927D4"/>
    <w:rsid w:val="001928E9"/>
    <w:rsid w:val="0019292D"/>
    <w:rsid w:val="00192AF7"/>
    <w:rsid w:val="00192B14"/>
    <w:rsid w:val="00192C16"/>
    <w:rsid w:val="00192D73"/>
    <w:rsid w:val="00192E2C"/>
    <w:rsid w:val="00192E4B"/>
    <w:rsid w:val="00193160"/>
    <w:rsid w:val="0019316C"/>
    <w:rsid w:val="00193528"/>
    <w:rsid w:val="00193554"/>
    <w:rsid w:val="001935DD"/>
    <w:rsid w:val="0019368A"/>
    <w:rsid w:val="001936F2"/>
    <w:rsid w:val="001936F3"/>
    <w:rsid w:val="00193753"/>
    <w:rsid w:val="00193804"/>
    <w:rsid w:val="00193830"/>
    <w:rsid w:val="001939C4"/>
    <w:rsid w:val="00193A24"/>
    <w:rsid w:val="00193AEF"/>
    <w:rsid w:val="00193B21"/>
    <w:rsid w:val="00193B4C"/>
    <w:rsid w:val="00193D13"/>
    <w:rsid w:val="00193D3E"/>
    <w:rsid w:val="00193E55"/>
    <w:rsid w:val="00193E61"/>
    <w:rsid w:val="00193EAD"/>
    <w:rsid w:val="00194043"/>
    <w:rsid w:val="00194050"/>
    <w:rsid w:val="00194099"/>
    <w:rsid w:val="001940BD"/>
    <w:rsid w:val="001941DF"/>
    <w:rsid w:val="00194449"/>
    <w:rsid w:val="00194512"/>
    <w:rsid w:val="00194545"/>
    <w:rsid w:val="00194558"/>
    <w:rsid w:val="001945F2"/>
    <w:rsid w:val="00194625"/>
    <w:rsid w:val="001947CF"/>
    <w:rsid w:val="00194812"/>
    <w:rsid w:val="0019484E"/>
    <w:rsid w:val="001949C4"/>
    <w:rsid w:val="00194A05"/>
    <w:rsid w:val="00194A9C"/>
    <w:rsid w:val="00194B42"/>
    <w:rsid w:val="00194C77"/>
    <w:rsid w:val="00194DB5"/>
    <w:rsid w:val="00194E21"/>
    <w:rsid w:val="00194E7A"/>
    <w:rsid w:val="00194EB8"/>
    <w:rsid w:val="00194EC6"/>
    <w:rsid w:val="00194EEF"/>
    <w:rsid w:val="001950D6"/>
    <w:rsid w:val="00195115"/>
    <w:rsid w:val="0019532F"/>
    <w:rsid w:val="001953C5"/>
    <w:rsid w:val="0019556B"/>
    <w:rsid w:val="001955DD"/>
    <w:rsid w:val="0019560C"/>
    <w:rsid w:val="0019577F"/>
    <w:rsid w:val="00195814"/>
    <w:rsid w:val="001959A6"/>
    <w:rsid w:val="001959E8"/>
    <w:rsid w:val="00195A85"/>
    <w:rsid w:val="00195ACF"/>
    <w:rsid w:val="00195B41"/>
    <w:rsid w:val="00195B65"/>
    <w:rsid w:val="00195BCF"/>
    <w:rsid w:val="00195FAE"/>
    <w:rsid w:val="00195FB4"/>
    <w:rsid w:val="0019610A"/>
    <w:rsid w:val="001961C1"/>
    <w:rsid w:val="00196229"/>
    <w:rsid w:val="0019647D"/>
    <w:rsid w:val="001964A7"/>
    <w:rsid w:val="001965EF"/>
    <w:rsid w:val="00196636"/>
    <w:rsid w:val="0019664C"/>
    <w:rsid w:val="0019673D"/>
    <w:rsid w:val="001967CB"/>
    <w:rsid w:val="001967D4"/>
    <w:rsid w:val="001968C8"/>
    <w:rsid w:val="00196ACC"/>
    <w:rsid w:val="00196B89"/>
    <w:rsid w:val="00196D83"/>
    <w:rsid w:val="00196EE9"/>
    <w:rsid w:val="00196F75"/>
    <w:rsid w:val="00197055"/>
    <w:rsid w:val="00197056"/>
    <w:rsid w:val="001971DE"/>
    <w:rsid w:val="001971E8"/>
    <w:rsid w:val="001972CE"/>
    <w:rsid w:val="001974F4"/>
    <w:rsid w:val="001975D6"/>
    <w:rsid w:val="00197622"/>
    <w:rsid w:val="0019762E"/>
    <w:rsid w:val="00197738"/>
    <w:rsid w:val="00197764"/>
    <w:rsid w:val="00197815"/>
    <w:rsid w:val="00197851"/>
    <w:rsid w:val="00197856"/>
    <w:rsid w:val="0019787E"/>
    <w:rsid w:val="00197A2E"/>
    <w:rsid w:val="00197A7D"/>
    <w:rsid w:val="00197AB5"/>
    <w:rsid w:val="00197BAF"/>
    <w:rsid w:val="00197C47"/>
    <w:rsid w:val="00197D17"/>
    <w:rsid w:val="00197EE8"/>
    <w:rsid w:val="00197FC2"/>
    <w:rsid w:val="00197FFA"/>
    <w:rsid w:val="001A006C"/>
    <w:rsid w:val="001A0181"/>
    <w:rsid w:val="001A0253"/>
    <w:rsid w:val="001A030C"/>
    <w:rsid w:val="001A0495"/>
    <w:rsid w:val="001A04AB"/>
    <w:rsid w:val="001A0653"/>
    <w:rsid w:val="001A066B"/>
    <w:rsid w:val="001A069D"/>
    <w:rsid w:val="001A0755"/>
    <w:rsid w:val="001A0772"/>
    <w:rsid w:val="001A08BA"/>
    <w:rsid w:val="001A09C6"/>
    <w:rsid w:val="001A0B18"/>
    <w:rsid w:val="001A0B21"/>
    <w:rsid w:val="001A0CDC"/>
    <w:rsid w:val="001A0D5D"/>
    <w:rsid w:val="001A0D6E"/>
    <w:rsid w:val="001A0E0E"/>
    <w:rsid w:val="001A0FB0"/>
    <w:rsid w:val="001A102B"/>
    <w:rsid w:val="001A10B2"/>
    <w:rsid w:val="001A10F4"/>
    <w:rsid w:val="001A111E"/>
    <w:rsid w:val="001A1133"/>
    <w:rsid w:val="001A1173"/>
    <w:rsid w:val="001A11B5"/>
    <w:rsid w:val="001A13DA"/>
    <w:rsid w:val="001A1466"/>
    <w:rsid w:val="001A15F2"/>
    <w:rsid w:val="001A1772"/>
    <w:rsid w:val="001A17D5"/>
    <w:rsid w:val="001A18BB"/>
    <w:rsid w:val="001A18D3"/>
    <w:rsid w:val="001A1A19"/>
    <w:rsid w:val="001A1AE9"/>
    <w:rsid w:val="001A1B1E"/>
    <w:rsid w:val="001A1BC3"/>
    <w:rsid w:val="001A1C47"/>
    <w:rsid w:val="001A1DB3"/>
    <w:rsid w:val="001A1DD1"/>
    <w:rsid w:val="001A1FE1"/>
    <w:rsid w:val="001A210C"/>
    <w:rsid w:val="001A21AA"/>
    <w:rsid w:val="001A221C"/>
    <w:rsid w:val="001A226D"/>
    <w:rsid w:val="001A2332"/>
    <w:rsid w:val="001A2342"/>
    <w:rsid w:val="001A2359"/>
    <w:rsid w:val="001A2388"/>
    <w:rsid w:val="001A238D"/>
    <w:rsid w:val="001A23A1"/>
    <w:rsid w:val="001A246C"/>
    <w:rsid w:val="001A2782"/>
    <w:rsid w:val="001A2ABC"/>
    <w:rsid w:val="001A2AEB"/>
    <w:rsid w:val="001A2B37"/>
    <w:rsid w:val="001A2C99"/>
    <w:rsid w:val="001A2CF4"/>
    <w:rsid w:val="001A2E71"/>
    <w:rsid w:val="001A305E"/>
    <w:rsid w:val="001A329A"/>
    <w:rsid w:val="001A329B"/>
    <w:rsid w:val="001A32A4"/>
    <w:rsid w:val="001A32C9"/>
    <w:rsid w:val="001A330D"/>
    <w:rsid w:val="001A332E"/>
    <w:rsid w:val="001A335E"/>
    <w:rsid w:val="001A3478"/>
    <w:rsid w:val="001A3506"/>
    <w:rsid w:val="001A355D"/>
    <w:rsid w:val="001A391C"/>
    <w:rsid w:val="001A3928"/>
    <w:rsid w:val="001A3993"/>
    <w:rsid w:val="001A3AC4"/>
    <w:rsid w:val="001A3AD6"/>
    <w:rsid w:val="001A3AF4"/>
    <w:rsid w:val="001A3B6F"/>
    <w:rsid w:val="001A3E06"/>
    <w:rsid w:val="001A3E5A"/>
    <w:rsid w:val="001A3EE4"/>
    <w:rsid w:val="001A3FEF"/>
    <w:rsid w:val="001A40C5"/>
    <w:rsid w:val="001A41B2"/>
    <w:rsid w:val="001A42FC"/>
    <w:rsid w:val="001A4322"/>
    <w:rsid w:val="001A434A"/>
    <w:rsid w:val="001A445D"/>
    <w:rsid w:val="001A449F"/>
    <w:rsid w:val="001A44A6"/>
    <w:rsid w:val="001A4643"/>
    <w:rsid w:val="001A4698"/>
    <w:rsid w:val="001A46C8"/>
    <w:rsid w:val="001A477D"/>
    <w:rsid w:val="001A47B7"/>
    <w:rsid w:val="001A4839"/>
    <w:rsid w:val="001A4860"/>
    <w:rsid w:val="001A486A"/>
    <w:rsid w:val="001A48AE"/>
    <w:rsid w:val="001A4976"/>
    <w:rsid w:val="001A4A27"/>
    <w:rsid w:val="001A4AC4"/>
    <w:rsid w:val="001A4C11"/>
    <w:rsid w:val="001A4C5C"/>
    <w:rsid w:val="001A4CA8"/>
    <w:rsid w:val="001A4CD5"/>
    <w:rsid w:val="001A4D71"/>
    <w:rsid w:val="001A4DA7"/>
    <w:rsid w:val="001A50A0"/>
    <w:rsid w:val="001A51CA"/>
    <w:rsid w:val="001A5227"/>
    <w:rsid w:val="001A52D6"/>
    <w:rsid w:val="001A538E"/>
    <w:rsid w:val="001A53DE"/>
    <w:rsid w:val="001A5419"/>
    <w:rsid w:val="001A541B"/>
    <w:rsid w:val="001A564E"/>
    <w:rsid w:val="001A569A"/>
    <w:rsid w:val="001A5751"/>
    <w:rsid w:val="001A57A8"/>
    <w:rsid w:val="001A5802"/>
    <w:rsid w:val="001A593C"/>
    <w:rsid w:val="001A5979"/>
    <w:rsid w:val="001A5A36"/>
    <w:rsid w:val="001A5BFE"/>
    <w:rsid w:val="001A5C4C"/>
    <w:rsid w:val="001A5CB8"/>
    <w:rsid w:val="001A5D0D"/>
    <w:rsid w:val="001A5D6E"/>
    <w:rsid w:val="001A5EDB"/>
    <w:rsid w:val="001A5F57"/>
    <w:rsid w:val="001A5FBD"/>
    <w:rsid w:val="001A600C"/>
    <w:rsid w:val="001A6049"/>
    <w:rsid w:val="001A6101"/>
    <w:rsid w:val="001A61A4"/>
    <w:rsid w:val="001A625D"/>
    <w:rsid w:val="001A6281"/>
    <w:rsid w:val="001A6282"/>
    <w:rsid w:val="001A64FF"/>
    <w:rsid w:val="001A66F0"/>
    <w:rsid w:val="001A685B"/>
    <w:rsid w:val="001A6921"/>
    <w:rsid w:val="001A693C"/>
    <w:rsid w:val="001A6975"/>
    <w:rsid w:val="001A6A54"/>
    <w:rsid w:val="001A6AEE"/>
    <w:rsid w:val="001A6BE0"/>
    <w:rsid w:val="001A6C12"/>
    <w:rsid w:val="001A6D16"/>
    <w:rsid w:val="001A6D71"/>
    <w:rsid w:val="001A6EAB"/>
    <w:rsid w:val="001A6EFB"/>
    <w:rsid w:val="001A7159"/>
    <w:rsid w:val="001A720D"/>
    <w:rsid w:val="001A736B"/>
    <w:rsid w:val="001A73E4"/>
    <w:rsid w:val="001A74F5"/>
    <w:rsid w:val="001A7541"/>
    <w:rsid w:val="001A772A"/>
    <w:rsid w:val="001A78B5"/>
    <w:rsid w:val="001A79FA"/>
    <w:rsid w:val="001A7A15"/>
    <w:rsid w:val="001A7B3B"/>
    <w:rsid w:val="001A7B81"/>
    <w:rsid w:val="001A7C46"/>
    <w:rsid w:val="001A7C98"/>
    <w:rsid w:val="001A7CAC"/>
    <w:rsid w:val="001A7CF7"/>
    <w:rsid w:val="001A7F68"/>
    <w:rsid w:val="001B01AD"/>
    <w:rsid w:val="001B01C1"/>
    <w:rsid w:val="001B0278"/>
    <w:rsid w:val="001B03C0"/>
    <w:rsid w:val="001B03C4"/>
    <w:rsid w:val="001B0465"/>
    <w:rsid w:val="001B04A0"/>
    <w:rsid w:val="001B06F0"/>
    <w:rsid w:val="001B07FF"/>
    <w:rsid w:val="001B098B"/>
    <w:rsid w:val="001B099B"/>
    <w:rsid w:val="001B09C3"/>
    <w:rsid w:val="001B0A9F"/>
    <w:rsid w:val="001B0C07"/>
    <w:rsid w:val="001B0F01"/>
    <w:rsid w:val="001B1054"/>
    <w:rsid w:val="001B10FC"/>
    <w:rsid w:val="001B1156"/>
    <w:rsid w:val="001B1218"/>
    <w:rsid w:val="001B130C"/>
    <w:rsid w:val="001B13FE"/>
    <w:rsid w:val="001B14D2"/>
    <w:rsid w:val="001B1543"/>
    <w:rsid w:val="001B15A6"/>
    <w:rsid w:val="001B16B6"/>
    <w:rsid w:val="001B184E"/>
    <w:rsid w:val="001B1909"/>
    <w:rsid w:val="001B1A37"/>
    <w:rsid w:val="001B1A76"/>
    <w:rsid w:val="001B1B10"/>
    <w:rsid w:val="001B1B13"/>
    <w:rsid w:val="001B1C5A"/>
    <w:rsid w:val="001B1CFC"/>
    <w:rsid w:val="001B1DC1"/>
    <w:rsid w:val="001B1DF8"/>
    <w:rsid w:val="001B1E05"/>
    <w:rsid w:val="001B1F55"/>
    <w:rsid w:val="001B1F76"/>
    <w:rsid w:val="001B20DD"/>
    <w:rsid w:val="001B220C"/>
    <w:rsid w:val="001B2218"/>
    <w:rsid w:val="001B223C"/>
    <w:rsid w:val="001B2320"/>
    <w:rsid w:val="001B2353"/>
    <w:rsid w:val="001B2571"/>
    <w:rsid w:val="001B26B6"/>
    <w:rsid w:val="001B28AE"/>
    <w:rsid w:val="001B29BA"/>
    <w:rsid w:val="001B2CCD"/>
    <w:rsid w:val="001B2F5C"/>
    <w:rsid w:val="001B30A0"/>
    <w:rsid w:val="001B3210"/>
    <w:rsid w:val="001B321D"/>
    <w:rsid w:val="001B321E"/>
    <w:rsid w:val="001B3225"/>
    <w:rsid w:val="001B32FE"/>
    <w:rsid w:val="001B33D5"/>
    <w:rsid w:val="001B3475"/>
    <w:rsid w:val="001B3484"/>
    <w:rsid w:val="001B3488"/>
    <w:rsid w:val="001B3596"/>
    <w:rsid w:val="001B359A"/>
    <w:rsid w:val="001B3677"/>
    <w:rsid w:val="001B37D6"/>
    <w:rsid w:val="001B386A"/>
    <w:rsid w:val="001B3884"/>
    <w:rsid w:val="001B3988"/>
    <w:rsid w:val="001B398A"/>
    <w:rsid w:val="001B39AF"/>
    <w:rsid w:val="001B39EA"/>
    <w:rsid w:val="001B3A94"/>
    <w:rsid w:val="001B3AF6"/>
    <w:rsid w:val="001B3C2D"/>
    <w:rsid w:val="001B3D1B"/>
    <w:rsid w:val="001B3D68"/>
    <w:rsid w:val="001B3E5B"/>
    <w:rsid w:val="001B3EA5"/>
    <w:rsid w:val="001B4015"/>
    <w:rsid w:val="001B404C"/>
    <w:rsid w:val="001B418A"/>
    <w:rsid w:val="001B41ED"/>
    <w:rsid w:val="001B42AE"/>
    <w:rsid w:val="001B4391"/>
    <w:rsid w:val="001B43BE"/>
    <w:rsid w:val="001B4463"/>
    <w:rsid w:val="001B447A"/>
    <w:rsid w:val="001B44AF"/>
    <w:rsid w:val="001B44B4"/>
    <w:rsid w:val="001B4598"/>
    <w:rsid w:val="001B4806"/>
    <w:rsid w:val="001B491C"/>
    <w:rsid w:val="001B4B7D"/>
    <w:rsid w:val="001B4CDD"/>
    <w:rsid w:val="001B4D56"/>
    <w:rsid w:val="001B4EA7"/>
    <w:rsid w:val="001B4EAD"/>
    <w:rsid w:val="001B502E"/>
    <w:rsid w:val="001B5135"/>
    <w:rsid w:val="001B513E"/>
    <w:rsid w:val="001B519B"/>
    <w:rsid w:val="001B5217"/>
    <w:rsid w:val="001B528A"/>
    <w:rsid w:val="001B5446"/>
    <w:rsid w:val="001B5447"/>
    <w:rsid w:val="001B556A"/>
    <w:rsid w:val="001B5580"/>
    <w:rsid w:val="001B5671"/>
    <w:rsid w:val="001B567C"/>
    <w:rsid w:val="001B5738"/>
    <w:rsid w:val="001B5740"/>
    <w:rsid w:val="001B57DB"/>
    <w:rsid w:val="001B5873"/>
    <w:rsid w:val="001B598D"/>
    <w:rsid w:val="001B5A38"/>
    <w:rsid w:val="001B5B68"/>
    <w:rsid w:val="001B5C6E"/>
    <w:rsid w:val="001B5C73"/>
    <w:rsid w:val="001B5D3B"/>
    <w:rsid w:val="001B5D86"/>
    <w:rsid w:val="001B5D96"/>
    <w:rsid w:val="001B5F7F"/>
    <w:rsid w:val="001B6009"/>
    <w:rsid w:val="001B6179"/>
    <w:rsid w:val="001B6192"/>
    <w:rsid w:val="001B625B"/>
    <w:rsid w:val="001B6324"/>
    <w:rsid w:val="001B64A2"/>
    <w:rsid w:val="001B6918"/>
    <w:rsid w:val="001B692D"/>
    <w:rsid w:val="001B6A22"/>
    <w:rsid w:val="001B6A97"/>
    <w:rsid w:val="001B6B58"/>
    <w:rsid w:val="001B6C47"/>
    <w:rsid w:val="001B6CE4"/>
    <w:rsid w:val="001B6D51"/>
    <w:rsid w:val="001B6E6B"/>
    <w:rsid w:val="001B6EE0"/>
    <w:rsid w:val="001B6F47"/>
    <w:rsid w:val="001B6F9D"/>
    <w:rsid w:val="001B7015"/>
    <w:rsid w:val="001B7129"/>
    <w:rsid w:val="001B7171"/>
    <w:rsid w:val="001B71D2"/>
    <w:rsid w:val="001B7203"/>
    <w:rsid w:val="001B732C"/>
    <w:rsid w:val="001B73B9"/>
    <w:rsid w:val="001B7441"/>
    <w:rsid w:val="001B76EA"/>
    <w:rsid w:val="001B794F"/>
    <w:rsid w:val="001B79C1"/>
    <w:rsid w:val="001B79E6"/>
    <w:rsid w:val="001B7A3B"/>
    <w:rsid w:val="001B7B1A"/>
    <w:rsid w:val="001B7B45"/>
    <w:rsid w:val="001B7C54"/>
    <w:rsid w:val="001B7C95"/>
    <w:rsid w:val="001B7CDB"/>
    <w:rsid w:val="001B7D39"/>
    <w:rsid w:val="001B7D51"/>
    <w:rsid w:val="001B7F54"/>
    <w:rsid w:val="001C0016"/>
    <w:rsid w:val="001C0037"/>
    <w:rsid w:val="001C027B"/>
    <w:rsid w:val="001C0280"/>
    <w:rsid w:val="001C0353"/>
    <w:rsid w:val="001C0543"/>
    <w:rsid w:val="001C0819"/>
    <w:rsid w:val="001C0AD7"/>
    <w:rsid w:val="001C0B02"/>
    <w:rsid w:val="001C0BC1"/>
    <w:rsid w:val="001C0BC6"/>
    <w:rsid w:val="001C0BCB"/>
    <w:rsid w:val="001C0C02"/>
    <w:rsid w:val="001C0C51"/>
    <w:rsid w:val="001C0C5B"/>
    <w:rsid w:val="001C0CCD"/>
    <w:rsid w:val="001C0D80"/>
    <w:rsid w:val="001C0F62"/>
    <w:rsid w:val="001C0FEC"/>
    <w:rsid w:val="001C1148"/>
    <w:rsid w:val="001C1197"/>
    <w:rsid w:val="001C12F1"/>
    <w:rsid w:val="001C1385"/>
    <w:rsid w:val="001C142E"/>
    <w:rsid w:val="001C149E"/>
    <w:rsid w:val="001C14A1"/>
    <w:rsid w:val="001C14DB"/>
    <w:rsid w:val="001C154C"/>
    <w:rsid w:val="001C1656"/>
    <w:rsid w:val="001C1694"/>
    <w:rsid w:val="001C16C3"/>
    <w:rsid w:val="001C16ED"/>
    <w:rsid w:val="001C184F"/>
    <w:rsid w:val="001C19CB"/>
    <w:rsid w:val="001C1A97"/>
    <w:rsid w:val="001C1AB9"/>
    <w:rsid w:val="001C1B64"/>
    <w:rsid w:val="001C1BA1"/>
    <w:rsid w:val="001C1CF5"/>
    <w:rsid w:val="001C1F47"/>
    <w:rsid w:val="001C1FAB"/>
    <w:rsid w:val="001C20B8"/>
    <w:rsid w:val="001C2205"/>
    <w:rsid w:val="001C227D"/>
    <w:rsid w:val="001C2403"/>
    <w:rsid w:val="001C240B"/>
    <w:rsid w:val="001C24F9"/>
    <w:rsid w:val="001C2689"/>
    <w:rsid w:val="001C26BB"/>
    <w:rsid w:val="001C26D4"/>
    <w:rsid w:val="001C275C"/>
    <w:rsid w:val="001C27CA"/>
    <w:rsid w:val="001C2BD5"/>
    <w:rsid w:val="001C2C17"/>
    <w:rsid w:val="001C2C6F"/>
    <w:rsid w:val="001C2C85"/>
    <w:rsid w:val="001C2DB8"/>
    <w:rsid w:val="001C2ECF"/>
    <w:rsid w:val="001C2F4B"/>
    <w:rsid w:val="001C2FE9"/>
    <w:rsid w:val="001C321D"/>
    <w:rsid w:val="001C3522"/>
    <w:rsid w:val="001C37B7"/>
    <w:rsid w:val="001C382E"/>
    <w:rsid w:val="001C3933"/>
    <w:rsid w:val="001C3941"/>
    <w:rsid w:val="001C3A9B"/>
    <w:rsid w:val="001C3B2C"/>
    <w:rsid w:val="001C3B65"/>
    <w:rsid w:val="001C3C61"/>
    <w:rsid w:val="001C3C99"/>
    <w:rsid w:val="001C3D33"/>
    <w:rsid w:val="001C3E19"/>
    <w:rsid w:val="001C3E27"/>
    <w:rsid w:val="001C3E33"/>
    <w:rsid w:val="001C4006"/>
    <w:rsid w:val="001C4024"/>
    <w:rsid w:val="001C407D"/>
    <w:rsid w:val="001C421A"/>
    <w:rsid w:val="001C4582"/>
    <w:rsid w:val="001C473F"/>
    <w:rsid w:val="001C475D"/>
    <w:rsid w:val="001C4769"/>
    <w:rsid w:val="001C47EC"/>
    <w:rsid w:val="001C47F3"/>
    <w:rsid w:val="001C484D"/>
    <w:rsid w:val="001C48C2"/>
    <w:rsid w:val="001C48F1"/>
    <w:rsid w:val="001C4918"/>
    <w:rsid w:val="001C49E4"/>
    <w:rsid w:val="001C4AA7"/>
    <w:rsid w:val="001C4C34"/>
    <w:rsid w:val="001C4CC7"/>
    <w:rsid w:val="001C4DF4"/>
    <w:rsid w:val="001C4E96"/>
    <w:rsid w:val="001C4EB8"/>
    <w:rsid w:val="001C508B"/>
    <w:rsid w:val="001C50D6"/>
    <w:rsid w:val="001C5134"/>
    <w:rsid w:val="001C5317"/>
    <w:rsid w:val="001C5333"/>
    <w:rsid w:val="001C53AA"/>
    <w:rsid w:val="001C53C6"/>
    <w:rsid w:val="001C54A0"/>
    <w:rsid w:val="001C5687"/>
    <w:rsid w:val="001C572C"/>
    <w:rsid w:val="001C57B3"/>
    <w:rsid w:val="001C588D"/>
    <w:rsid w:val="001C59CF"/>
    <w:rsid w:val="001C59F1"/>
    <w:rsid w:val="001C5B21"/>
    <w:rsid w:val="001C5B57"/>
    <w:rsid w:val="001C5B6E"/>
    <w:rsid w:val="001C5C78"/>
    <w:rsid w:val="001C5D69"/>
    <w:rsid w:val="001C5D6B"/>
    <w:rsid w:val="001C5EF0"/>
    <w:rsid w:val="001C5F16"/>
    <w:rsid w:val="001C5F1B"/>
    <w:rsid w:val="001C603F"/>
    <w:rsid w:val="001C60A7"/>
    <w:rsid w:val="001C619A"/>
    <w:rsid w:val="001C6264"/>
    <w:rsid w:val="001C629E"/>
    <w:rsid w:val="001C62FC"/>
    <w:rsid w:val="001C633A"/>
    <w:rsid w:val="001C6385"/>
    <w:rsid w:val="001C63B9"/>
    <w:rsid w:val="001C63FB"/>
    <w:rsid w:val="001C6521"/>
    <w:rsid w:val="001C6567"/>
    <w:rsid w:val="001C65B7"/>
    <w:rsid w:val="001C6616"/>
    <w:rsid w:val="001C6897"/>
    <w:rsid w:val="001C68A2"/>
    <w:rsid w:val="001C69F3"/>
    <w:rsid w:val="001C6A4B"/>
    <w:rsid w:val="001C6AA5"/>
    <w:rsid w:val="001C6AC1"/>
    <w:rsid w:val="001C6C16"/>
    <w:rsid w:val="001C6CC8"/>
    <w:rsid w:val="001C6F25"/>
    <w:rsid w:val="001C70F0"/>
    <w:rsid w:val="001C71DF"/>
    <w:rsid w:val="001C73A6"/>
    <w:rsid w:val="001C740A"/>
    <w:rsid w:val="001C7416"/>
    <w:rsid w:val="001C750D"/>
    <w:rsid w:val="001C7518"/>
    <w:rsid w:val="001C756F"/>
    <w:rsid w:val="001C7609"/>
    <w:rsid w:val="001C76E6"/>
    <w:rsid w:val="001C76F0"/>
    <w:rsid w:val="001C7771"/>
    <w:rsid w:val="001C77A4"/>
    <w:rsid w:val="001C77B8"/>
    <w:rsid w:val="001C78AE"/>
    <w:rsid w:val="001C7AD5"/>
    <w:rsid w:val="001C7C9C"/>
    <w:rsid w:val="001C7D34"/>
    <w:rsid w:val="001C7D48"/>
    <w:rsid w:val="001C7DE6"/>
    <w:rsid w:val="001C7F2E"/>
    <w:rsid w:val="001D0013"/>
    <w:rsid w:val="001D0074"/>
    <w:rsid w:val="001D020A"/>
    <w:rsid w:val="001D0450"/>
    <w:rsid w:val="001D0530"/>
    <w:rsid w:val="001D054B"/>
    <w:rsid w:val="001D0658"/>
    <w:rsid w:val="001D07D7"/>
    <w:rsid w:val="001D086B"/>
    <w:rsid w:val="001D087B"/>
    <w:rsid w:val="001D08F9"/>
    <w:rsid w:val="001D0937"/>
    <w:rsid w:val="001D093E"/>
    <w:rsid w:val="001D0A43"/>
    <w:rsid w:val="001D0AB1"/>
    <w:rsid w:val="001D0B25"/>
    <w:rsid w:val="001D0B2F"/>
    <w:rsid w:val="001D0B37"/>
    <w:rsid w:val="001D0B3D"/>
    <w:rsid w:val="001D0B68"/>
    <w:rsid w:val="001D0CA0"/>
    <w:rsid w:val="001D0D05"/>
    <w:rsid w:val="001D0D71"/>
    <w:rsid w:val="001D0D80"/>
    <w:rsid w:val="001D0DA4"/>
    <w:rsid w:val="001D0DB5"/>
    <w:rsid w:val="001D0EF6"/>
    <w:rsid w:val="001D0F19"/>
    <w:rsid w:val="001D0F5B"/>
    <w:rsid w:val="001D0FB6"/>
    <w:rsid w:val="001D0FC2"/>
    <w:rsid w:val="001D1060"/>
    <w:rsid w:val="001D117E"/>
    <w:rsid w:val="001D1219"/>
    <w:rsid w:val="001D130C"/>
    <w:rsid w:val="001D16D2"/>
    <w:rsid w:val="001D179B"/>
    <w:rsid w:val="001D17AD"/>
    <w:rsid w:val="001D17B6"/>
    <w:rsid w:val="001D1903"/>
    <w:rsid w:val="001D19E7"/>
    <w:rsid w:val="001D1A82"/>
    <w:rsid w:val="001D1AFD"/>
    <w:rsid w:val="001D1D0F"/>
    <w:rsid w:val="001D1D43"/>
    <w:rsid w:val="001D1DBC"/>
    <w:rsid w:val="001D1DCE"/>
    <w:rsid w:val="001D1E15"/>
    <w:rsid w:val="001D1E41"/>
    <w:rsid w:val="001D1ED9"/>
    <w:rsid w:val="001D1F54"/>
    <w:rsid w:val="001D2179"/>
    <w:rsid w:val="001D223F"/>
    <w:rsid w:val="001D22C5"/>
    <w:rsid w:val="001D2436"/>
    <w:rsid w:val="001D24A9"/>
    <w:rsid w:val="001D24F9"/>
    <w:rsid w:val="001D2588"/>
    <w:rsid w:val="001D2933"/>
    <w:rsid w:val="001D2BA9"/>
    <w:rsid w:val="001D2BC0"/>
    <w:rsid w:val="001D2C1E"/>
    <w:rsid w:val="001D2D52"/>
    <w:rsid w:val="001D2D59"/>
    <w:rsid w:val="001D2D72"/>
    <w:rsid w:val="001D2DC5"/>
    <w:rsid w:val="001D2E9D"/>
    <w:rsid w:val="001D2EA4"/>
    <w:rsid w:val="001D314E"/>
    <w:rsid w:val="001D3215"/>
    <w:rsid w:val="001D32B3"/>
    <w:rsid w:val="001D333E"/>
    <w:rsid w:val="001D33D6"/>
    <w:rsid w:val="001D3414"/>
    <w:rsid w:val="001D34CF"/>
    <w:rsid w:val="001D34F3"/>
    <w:rsid w:val="001D35BD"/>
    <w:rsid w:val="001D35E0"/>
    <w:rsid w:val="001D3600"/>
    <w:rsid w:val="001D3787"/>
    <w:rsid w:val="001D390B"/>
    <w:rsid w:val="001D397C"/>
    <w:rsid w:val="001D398D"/>
    <w:rsid w:val="001D39A5"/>
    <w:rsid w:val="001D3B20"/>
    <w:rsid w:val="001D3C23"/>
    <w:rsid w:val="001D3D1A"/>
    <w:rsid w:val="001D3D25"/>
    <w:rsid w:val="001D3D58"/>
    <w:rsid w:val="001D3F75"/>
    <w:rsid w:val="001D3FA9"/>
    <w:rsid w:val="001D3FDA"/>
    <w:rsid w:val="001D404F"/>
    <w:rsid w:val="001D4116"/>
    <w:rsid w:val="001D4322"/>
    <w:rsid w:val="001D43CE"/>
    <w:rsid w:val="001D4499"/>
    <w:rsid w:val="001D451E"/>
    <w:rsid w:val="001D4574"/>
    <w:rsid w:val="001D469B"/>
    <w:rsid w:val="001D470B"/>
    <w:rsid w:val="001D4793"/>
    <w:rsid w:val="001D4AB1"/>
    <w:rsid w:val="001D4B60"/>
    <w:rsid w:val="001D4BA6"/>
    <w:rsid w:val="001D4BC1"/>
    <w:rsid w:val="001D4D05"/>
    <w:rsid w:val="001D4E06"/>
    <w:rsid w:val="001D4ED8"/>
    <w:rsid w:val="001D4F52"/>
    <w:rsid w:val="001D4FFA"/>
    <w:rsid w:val="001D5050"/>
    <w:rsid w:val="001D512A"/>
    <w:rsid w:val="001D526F"/>
    <w:rsid w:val="001D53A9"/>
    <w:rsid w:val="001D53B8"/>
    <w:rsid w:val="001D53C8"/>
    <w:rsid w:val="001D543D"/>
    <w:rsid w:val="001D5601"/>
    <w:rsid w:val="001D5645"/>
    <w:rsid w:val="001D5699"/>
    <w:rsid w:val="001D579E"/>
    <w:rsid w:val="001D5848"/>
    <w:rsid w:val="001D5910"/>
    <w:rsid w:val="001D5973"/>
    <w:rsid w:val="001D597F"/>
    <w:rsid w:val="001D5BCC"/>
    <w:rsid w:val="001D5D97"/>
    <w:rsid w:val="001D5DD6"/>
    <w:rsid w:val="001D5E91"/>
    <w:rsid w:val="001D600F"/>
    <w:rsid w:val="001D608F"/>
    <w:rsid w:val="001D610F"/>
    <w:rsid w:val="001D6218"/>
    <w:rsid w:val="001D6266"/>
    <w:rsid w:val="001D628C"/>
    <w:rsid w:val="001D62BD"/>
    <w:rsid w:val="001D638A"/>
    <w:rsid w:val="001D6410"/>
    <w:rsid w:val="001D6498"/>
    <w:rsid w:val="001D6534"/>
    <w:rsid w:val="001D6554"/>
    <w:rsid w:val="001D656E"/>
    <w:rsid w:val="001D65A1"/>
    <w:rsid w:val="001D65B9"/>
    <w:rsid w:val="001D6608"/>
    <w:rsid w:val="001D6761"/>
    <w:rsid w:val="001D67C3"/>
    <w:rsid w:val="001D67E8"/>
    <w:rsid w:val="001D6933"/>
    <w:rsid w:val="001D6986"/>
    <w:rsid w:val="001D698B"/>
    <w:rsid w:val="001D6998"/>
    <w:rsid w:val="001D699A"/>
    <w:rsid w:val="001D6A34"/>
    <w:rsid w:val="001D6A60"/>
    <w:rsid w:val="001D6AAB"/>
    <w:rsid w:val="001D6B63"/>
    <w:rsid w:val="001D6BAC"/>
    <w:rsid w:val="001D6BC8"/>
    <w:rsid w:val="001D6C0D"/>
    <w:rsid w:val="001D6DF4"/>
    <w:rsid w:val="001D6EAA"/>
    <w:rsid w:val="001D6F17"/>
    <w:rsid w:val="001D6F28"/>
    <w:rsid w:val="001D6F35"/>
    <w:rsid w:val="001D6F43"/>
    <w:rsid w:val="001D6FEE"/>
    <w:rsid w:val="001D7049"/>
    <w:rsid w:val="001D7179"/>
    <w:rsid w:val="001D7196"/>
    <w:rsid w:val="001D7206"/>
    <w:rsid w:val="001D7260"/>
    <w:rsid w:val="001D72D9"/>
    <w:rsid w:val="001D72EA"/>
    <w:rsid w:val="001D7360"/>
    <w:rsid w:val="001D73B2"/>
    <w:rsid w:val="001D7465"/>
    <w:rsid w:val="001D754A"/>
    <w:rsid w:val="001D7621"/>
    <w:rsid w:val="001D7806"/>
    <w:rsid w:val="001D790F"/>
    <w:rsid w:val="001D798B"/>
    <w:rsid w:val="001D7A70"/>
    <w:rsid w:val="001D7A8F"/>
    <w:rsid w:val="001D7B2C"/>
    <w:rsid w:val="001D7BF7"/>
    <w:rsid w:val="001D7C57"/>
    <w:rsid w:val="001D7CCF"/>
    <w:rsid w:val="001D7DBA"/>
    <w:rsid w:val="001D7EA7"/>
    <w:rsid w:val="001D7EDB"/>
    <w:rsid w:val="001D7EE8"/>
    <w:rsid w:val="001D7FA3"/>
    <w:rsid w:val="001D7FD2"/>
    <w:rsid w:val="001E0125"/>
    <w:rsid w:val="001E0178"/>
    <w:rsid w:val="001E032E"/>
    <w:rsid w:val="001E037C"/>
    <w:rsid w:val="001E0437"/>
    <w:rsid w:val="001E04B6"/>
    <w:rsid w:val="001E0572"/>
    <w:rsid w:val="001E05A0"/>
    <w:rsid w:val="001E0643"/>
    <w:rsid w:val="001E0764"/>
    <w:rsid w:val="001E08A9"/>
    <w:rsid w:val="001E08CA"/>
    <w:rsid w:val="001E094C"/>
    <w:rsid w:val="001E0B51"/>
    <w:rsid w:val="001E0B60"/>
    <w:rsid w:val="001E0B6D"/>
    <w:rsid w:val="001E0C08"/>
    <w:rsid w:val="001E0C34"/>
    <w:rsid w:val="001E0C86"/>
    <w:rsid w:val="001E0EA5"/>
    <w:rsid w:val="001E0EDF"/>
    <w:rsid w:val="001E0F7F"/>
    <w:rsid w:val="001E1011"/>
    <w:rsid w:val="001E10AE"/>
    <w:rsid w:val="001E10B6"/>
    <w:rsid w:val="001E12F4"/>
    <w:rsid w:val="001E1387"/>
    <w:rsid w:val="001E14A3"/>
    <w:rsid w:val="001E15BD"/>
    <w:rsid w:val="001E160B"/>
    <w:rsid w:val="001E1752"/>
    <w:rsid w:val="001E17D8"/>
    <w:rsid w:val="001E1912"/>
    <w:rsid w:val="001E193A"/>
    <w:rsid w:val="001E19A5"/>
    <w:rsid w:val="001E19DD"/>
    <w:rsid w:val="001E1A8D"/>
    <w:rsid w:val="001E1C58"/>
    <w:rsid w:val="001E1C67"/>
    <w:rsid w:val="001E1CA3"/>
    <w:rsid w:val="001E1D0C"/>
    <w:rsid w:val="001E1DB1"/>
    <w:rsid w:val="001E1E6D"/>
    <w:rsid w:val="001E207B"/>
    <w:rsid w:val="001E20D7"/>
    <w:rsid w:val="001E2116"/>
    <w:rsid w:val="001E2170"/>
    <w:rsid w:val="001E21E8"/>
    <w:rsid w:val="001E22E0"/>
    <w:rsid w:val="001E2302"/>
    <w:rsid w:val="001E230B"/>
    <w:rsid w:val="001E2424"/>
    <w:rsid w:val="001E248E"/>
    <w:rsid w:val="001E25F6"/>
    <w:rsid w:val="001E261B"/>
    <w:rsid w:val="001E268A"/>
    <w:rsid w:val="001E2725"/>
    <w:rsid w:val="001E27AB"/>
    <w:rsid w:val="001E280D"/>
    <w:rsid w:val="001E2818"/>
    <w:rsid w:val="001E2854"/>
    <w:rsid w:val="001E2AC6"/>
    <w:rsid w:val="001E2B5A"/>
    <w:rsid w:val="001E2E73"/>
    <w:rsid w:val="001E2E82"/>
    <w:rsid w:val="001E2EAE"/>
    <w:rsid w:val="001E2ED9"/>
    <w:rsid w:val="001E2F2C"/>
    <w:rsid w:val="001E2F34"/>
    <w:rsid w:val="001E2FF7"/>
    <w:rsid w:val="001E3170"/>
    <w:rsid w:val="001E321C"/>
    <w:rsid w:val="001E32DA"/>
    <w:rsid w:val="001E3345"/>
    <w:rsid w:val="001E33F4"/>
    <w:rsid w:val="001E34B9"/>
    <w:rsid w:val="001E34C4"/>
    <w:rsid w:val="001E3510"/>
    <w:rsid w:val="001E365A"/>
    <w:rsid w:val="001E36A2"/>
    <w:rsid w:val="001E36B9"/>
    <w:rsid w:val="001E373A"/>
    <w:rsid w:val="001E379C"/>
    <w:rsid w:val="001E37DD"/>
    <w:rsid w:val="001E3815"/>
    <w:rsid w:val="001E3870"/>
    <w:rsid w:val="001E3955"/>
    <w:rsid w:val="001E3A05"/>
    <w:rsid w:val="001E3A29"/>
    <w:rsid w:val="001E3A4D"/>
    <w:rsid w:val="001E3B8E"/>
    <w:rsid w:val="001E3BC7"/>
    <w:rsid w:val="001E3C63"/>
    <w:rsid w:val="001E3C7D"/>
    <w:rsid w:val="001E3CDB"/>
    <w:rsid w:val="001E3CE0"/>
    <w:rsid w:val="001E3D8A"/>
    <w:rsid w:val="001E3DFB"/>
    <w:rsid w:val="001E3E69"/>
    <w:rsid w:val="001E3E98"/>
    <w:rsid w:val="001E3EB5"/>
    <w:rsid w:val="001E3ECC"/>
    <w:rsid w:val="001E3FDC"/>
    <w:rsid w:val="001E4021"/>
    <w:rsid w:val="001E40A7"/>
    <w:rsid w:val="001E40D1"/>
    <w:rsid w:val="001E42A9"/>
    <w:rsid w:val="001E42BF"/>
    <w:rsid w:val="001E4450"/>
    <w:rsid w:val="001E44CC"/>
    <w:rsid w:val="001E45E1"/>
    <w:rsid w:val="001E4614"/>
    <w:rsid w:val="001E466F"/>
    <w:rsid w:val="001E4720"/>
    <w:rsid w:val="001E4758"/>
    <w:rsid w:val="001E48A6"/>
    <w:rsid w:val="001E48E6"/>
    <w:rsid w:val="001E49CA"/>
    <w:rsid w:val="001E4BAE"/>
    <w:rsid w:val="001E4C2B"/>
    <w:rsid w:val="001E4C8D"/>
    <w:rsid w:val="001E4D88"/>
    <w:rsid w:val="001E4DF2"/>
    <w:rsid w:val="001E4E4E"/>
    <w:rsid w:val="001E4E6A"/>
    <w:rsid w:val="001E4EBD"/>
    <w:rsid w:val="001E4FD6"/>
    <w:rsid w:val="001E5160"/>
    <w:rsid w:val="001E51C7"/>
    <w:rsid w:val="001E52FB"/>
    <w:rsid w:val="001E539F"/>
    <w:rsid w:val="001E54EC"/>
    <w:rsid w:val="001E5682"/>
    <w:rsid w:val="001E56C0"/>
    <w:rsid w:val="001E56C7"/>
    <w:rsid w:val="001E58B2"/>
    <w:rsid w:val="001E5905"/>
    <w:rsid w:val="001E5974"/>
    <w:rsid w:val="001E5A92"/>
    <w:rsid w:val="001E5AEE"/>
    <w:rsid w:val="001E5C17"/>
    <w:rsid w:val="001E5CEB"/>
    <w:rsid w:val="001E5D97"/>
    <w:rsid w:val="001E5E31"/>
    <w:rsid w:val="001E5E76"/>
    <w:rsid w:val="001E5F20"/>
    <w:rsid w:val="001E5F21"/>
    <w:rsid w:val="001E5F25"/>
    <w:rsid w:val="001E6054"/>
    <w:rsid w:val="001E6160"/>
    <w:rsid w:val="001E640D"/>
    <w:rsid w:val="001E6493"/>
    <w:rsid w:val="001E64EF"/>
    <w:rsid w:val="001E6559"/>
    <w:rsid w:val="001E6619"/>
    <w:rsid w:val="001E6738"/>
    <w:rsid w:val="001E673D"/>
    <w:rsid w:val="001E67AF"/>
    <w:rsid w:val="001E681E"/>
    <w:rsid w:val="001E6889"/>
    <w:rsid w:val="001E68A0"/>
    <w:rsid w:val="001E6920"/>
    <w:rsid w:val="001E6A75"/>
    <w:rsid w:val="001E6AD1"/>
    <w:rsid w:val="001E6B9C"/>
    <w:rsid w:val="001E6BBA"/>
    <w:rsid w:val="001E6D6D"/>
    <w:rsid w:val="001E6D99"/>
    <w:rsid w:val="001E6E31"/>
    <w:rsid w:val="001E6F18"/>
    <w:rsid w:val="001E6FF9"/>
    <w:rsid w:val="001E6FFE"/>
    <w:rsid w:val="001E706A"/>
    <w:rsid w:val="001E721C"/>
    <w:rsid w:val="001E7653"/>
    <w:rsid w:val="001E76D2"/>
    <w:rsid w:val="001E76E7"/>
    <w:rsid w:val="001E7771"/>
    <w:rsid w:val="001E7772"/>
    <w:rsid w:val="001E77D7"/>
    <w:rsid w:val="001E7806"/>
    <w:rsid w:val="001E7881"/>
    <w:rsid w:val="001E7887"/>
    <w:rsid w:val="001E78D7"/>
    <w:rsid w:val="001E7925"/>
    <w:rsid w:val="001E7979"/>
    <w:rsid w:val="001E79ED"/>
    <w:rsid w:val="001E7AB4"/>
    <w:rsid w:val="001E7ADC"/>
    <w:rsid w:val="001E7B87"/>
    <w:rsid w:val="001E7E56"/>
    <w:rsid w:val="001E7EA1"/>
    <w:rsid w:val="001E7EC6"/>
    <w:rsid w:val="001E7FC3"/>
    <w:rsid w:val="001E7FF6"/>
    <w:rsid w:val="001F00A3"/>
    <w:rsid w:val="001F00A5"/>
    <w:rsid w:val="001F0121"/>
    <w:rsid w:val="001F0187"/>
    <w:rsid w:val="001F02C4"/>
    <w:rsid w:val="001F035B"/>
    <w:rsid w:val="001F0373"/>
    <w:rsid w:val="001F04E8"/>
    <w:rsid w:val="001F05D8"/>
    <w:rsid w:val="001F063C"/>
    <w:rsid w:val="001F0684"/>
    <w:rsid w:val="001F06C1"/>
    <w:rsid w:val="001F0743"/>
    <w:rsid w:val="001F07C2"/>
    <w:rsid w:val="001F0823"/>
    <w:rsid w:val="001F08C9"/>
    <w:rsid w:val="001F0946"/>
    <w:rsid w:val="001F0A1D"/>
    <w:rsid w:val="001F0A2E"/>
    <w:rsid w:val="001F0A59"/>
    <w:rsid w:val="001F0BA0"/>
    <w:rsid w:val="001F0BFC"/>
    <w:rsid w:val="001F0C10"/>
    <w:rsid w:val="001F0E5A"/>
    <w:rsid w:val="001F0E8D"/>
    <w:rsid w:val="001F0EBE"/>
    <w:rsid w:val="001F0F40"/>
    <w:rsid w:val="001F0F9B"/>
    <w:rsid w:val="001F0FA9"/>
    <w:rsid w:val="001F1155"/>
    <w:rsid w:val="001F12D4"/>
    <w:rsid w:val="001F13C1"/>
    <w:rsid w:val="001F15BC"/>
    <w:rsid w:val="001F15BF"/>
    <w:rsid w:val="001F1610"/>
    <w:rsid w:val="001F16AE"/>
    <w:rsid w:val="001F16B0"/>
    <w:rsid w:val="001F171E"/>
    <w:rsid w:val="001F186F"/>
    <w:rsid w:val="001F188E"/>
    <w:rsid w:val="001F1999"/>
    <w:rsid w:val="001F1AC8"/>
    <w:rsid w:val="001F1B10"/>
    <w:rsid w:val="001F1B9C"/>
    <w:rsid w:val="001F1BAC"/>
    <w:rsid w:val="001F1C0F"/>
    <w:rsid w:val="001F1ECA"/>
    <w:rsid w:val="001F1F93"/>
    <w:rsid w:val="001F1FF6"/>
    <w:rsid w:val="001F2003"/>
    <w:rsid w:val="001F2037"/>
    <w:rsid w:val="001F20B9"/>
    <w:rsid w:val="001F2285"/>
    <w:rsid w:val="001F2400"/>
    <w:rsid w:val="001F245B"/>
    <w:rsid w:val="001F2536"/>
    <w:rsid w:val="001F2595"/>
    <w:rsid w:val="001F2597"/>
    <w:rsid w:val="001F25A2"/>
    <w:rsid w:val="001F26E9"/>
    <w:rsid w:val="001F27E0"/>
    <w:rsid w:val="001F2855"/>
    <w:rsid w:val="001F292F"/>
    <w:rsid w:val="001F2959"/>
    <w:rsid w:val="001F295B"/>
    <w:rsid w:val="001F29F7"/>
    <w:rsid w:val="001F2B51"/>
    <w:rsid w:val="001F2C5A"/>
    <w:rsid w:val="001F2C9E"/>
    <w:rsid w:val="001F2D13"/>
    <w:rsid w:val="001F2D1F"/>
    <w:rsid w:val="001F2D6D"/>
    <w:rsid w:val="001F2E7F"/>
    <w:rsid w:val="001F2E98"/>
    <w:rsid w:val="001F2F59"/>
    <w:rsid w:val="001F2FE2"/>
    <w:rsid w:val="001F301F"/>
    <w:rsid w:val="001F30E4"/>
    <w:rsid w:val="001F337D"/>
    <w:rsid w:val="001F33EB"/>
    <w:rsid w:val="001F33FC"/>
    <w:rsid w:val="001F344E"/>
    <w:rsid w:val="001F3587"/>
    <w:rsid w:val="001F3779"/>
    <w:rsid w:val="001F3877"/>
    <w:rsid w:val="001F390B"/>
    <w:rsid w:val="001F392F"/>
    <w:rsid w:val="001F39A9"/>
    <w:rsid w:val="001F3A49"/>
    <w:rsid w:val="001F3A70"/>
    <w:rsid w:val="001F3B6A"/>
    <w:rsid w:val="001F3CF4"/>
    <w:rsid w:val="001F3D00"/>
    <w:rsid w:val="001F3E9D"/>
    <w:rsid w:val="001F3F03"/>
    <w:rsid w:val="001F3F25"/>
    <w:rsid w:val="001F401B"/>
    <w:rsid w:val="001F403C"/>
    <w:rsid w:val="001F4239"/>
    <w:rsid w:val="001F438A"/>
    <w:rsid w:val="001F4391"/>
    <w:rsid w:val="001F43F5"/>
    <w:rsid w:val="001F4432"/>
    <w:rsid w:val="001F4553"/>
    <w:rsid w:val="001F4588"/>
    <w:rsid w:val="001F45C4"/>
    <w:rsid w:val="001F462C"/>
    <w:rsid w:val="001F47C1"/>
    <w:rsid w:val="001F4808"/>
    <w:rsid w:val="001F490D"/>
    <w:rsid w:val="001F4915"/>
    <w:rsid w:val="001F49A8"/>
    <w:rsid w:val="001F4A45"/>
    <w:rsid w:val="001F4AB4"/>
    <w:rsid w:val="001F4ADB"/>
    <w:rsid w:val="001F4CD2"/>
    <w:rsid w:val="001F4E8D"/>
    <w:rsid w:val="001F4F0B"/>
    <w:rsid w:val="001F4F25"/>
    <w:rsid w:val="001F4F57"/>
    <w:rsid w:val="001F4FF5"/>
    <w:rsid w:val="001F5007"/>
    <w:rsid w:val="001F5008"/>
    <w:rsid w:val="001F5258"/>
    <w:rsid w:val="001F549E"/>
    <w:rsid w:val="001F54CA"/>
    <w:rsid w:val="001F552D"/>
    <w:rsid w:val="001F55A5"/>
    <w:rsid w:val="001F56AD"/>
    <w:rsid w:val="001F56C7"/>
    <w:rsid w:val="001F56D9"/>
    <w:rsid w:val="001F571E"/>
    <w:rsid w:val="001F5755"/>
    <w:rsid w:val="001F57C7"/>
    <w:rsid w:val="001F5BC1"/>
    <w:rsid w:val="001F5BC3"/>
    <w:rsid w:val="001F5C19"/>
    <w:rsid w:val="001F5C57"/>
    <w:rsid w:val="001F5C9A"/>
    <w:rsid w:val="001F5E2C"/>
    <w:rsid w:val="001F5E41"/>
    <w:rsid w:val="001F5EC9"/>
    <w:rsid w:val="001F5F09"/>
    <w:rsid w:val="001F6005"/>
    <w:rsid w:val="001F607B"/>
    <w:rsid w:val="001F6086"/>
    <w:rsid w:val="001F60D4"/>
    <w:rsid w:val="001F61CD"/>
    <w:rsid w:val="001F6227"/>
    <w:rsid w:val="001F6450"/>
    <w:rsid w:val="001F6541"/>
    <w:rsid w:val="001F654A"/>
    <w:rsid w:val="001F66BC"/>
    <w:rsid w:val="001F6770"/>
    <w:rsid w:val="001F6785"/>
    <w:rsid w:val="001F6A55"/>
    <w:rsid w:val="001F6BB5"/>
    <w:rsid w:val="001F6D8C"/>
    <w:rsid w:val="001F6F0F"/>
    <w:rsid w:val="001F6F8A"/>
    <w:rsid w:val="001F7125"/>
    <w:rsid w:val="001F71AB"/>
    <w:rsid w:val="001F724C"/>
    <w:rsid w:val="001F724F"/>
    <w:rsid w:val="001F7250"/>
    <w:rsid w:val="001F72A6"/>
    <w:rsid w:val="001F72FE"/>
    <w:rsid w:val="001F73B7"/>
    <w:rsid w:val="001F73BC"/>
    <w:rsid w:val="001F73D4"/>
    <w:rsid w:val="001F7495"/>
    <w:rsid w:val="001F751D"/>
    <w:rsid w:val="001F7537"/>
    <w:rsid w:val="001F760F"/>
    <w:rsid w:val="001F76E0"/>
    <w:rsid w:val="001F772C"/>
    <w:rsid w:val="001F779C"/>
    <w:rsid w:val="001F782E"/>
    <w:rsid w:val="001F78CA"/>
    <w:rsid w:val="001F7AC4"/>
    <w:rsid w:val="001F7ADC"/>
    <w:rsid w:val="001F7BB7"/>
    <w:rsid w:val="001F7CAA"/>
    <w:rsid w:val="001F7D84"/>
    <w:rsid w:val="001F7DB6"/>
    <w:rsid w:val="001F7ECA"/>
    <w:rsid w:val="00200123"/>
    <w:rsid w:val="00200148"/>
    <w:rsid w:val="002001CF"/>
    <w:rsid w:val="002002DE"/>
    <w:rsid w:val="0020046A"/>
    <w:rsid w:val="002004FE"/>
    <w:rsid w:val="00200691"/>
    <w:rsid w:val="002006D1"/>
    <w:rsid w:val="00200737"/>
    <w:rsid w:val="00200826"/>
    <w:rsid w:val="002008A8"/>
    <w:rsid w:val="00200900"/>
    <w:rsid w:val="00200911"/>
    <w:rsid w:val="00200A0A"/>
    <w:rsid w:val="00200B52"/>
    <w:rsid w:val="00200C1E"/>
    <w:rsid w:val="00200DEB"/>
    <w:rsid w:val="002010E8"/>
    <w:rsid w:val="0020118D"/>
    <w:rsid w:val="00201312"/>
    <w:rsid w:val="002014B4"/>
    <w:rsid w:val="002014DE"/>
    <w:rsid w:val="0020152C"/>
    <w:rsid w:val="0020164B"/>
    <w:rsid w:val="0020172D"/>
    <w:rsid w:val="0020178C"/>
    <w:rsid w:val="00201799"/>
    <w:rsid w:val="00201901"/>
    <w:rsid w:val="00201911"/>
    <w:rsid w:val="00201B01"/>
    <w:rsid w:val="00201B58"/>
    <w:rsid w:val="00201C45"/>
    <w:rsid w:val="00201C63"/>
    <w:rsid w:val="00201CE6"/>
    <w:rsid w:val="00201D2A"/>
    <w:rsid w:val="00201EA9"/>
    <w:rsid w:val="00202048"/>
    <w:rsid w:val="00202071"/>
    <w:rsid w:val="002020DE"/>
    <w:rsid w:val="0020215E"/>
    <w:rsid w:val="0020216F"/>
    <w:rsid w:val="00202309"/>
    <w:rsid w:val="002024B2"/>
    <w:rsid w:val="002024FD"/>
    <w:rsid w:val="00202579"/>
    <w:rsid w:val="00202589"/>
    <w:rsid w:val="00202639"/>
    <w:rsid w:val="002026AB"/>
    <w:rsid w:val="00202762"/>
    <w:rsid w:val="00202780"/>
    <w:rsid w:val="002027EA"/>
    <w:rsid w:val="00202A3F"/>
    <w:rsid w:val="00202D13"/>
    <w:rsid w:val="00202D16"/>
    <w:rsid w:val="00202D3D"/>
    <w:rsid w:val="00202E15"/>
    <w:rsid w:val="00202F93"/>
    <w:rsid w:val="00202FB9"/>
    <w:rsid w:val="00202FBA"/>
    <w:rsid w:val="00203143"/>
    <w:rsid w:val="0020314F"/>
    <w:rsid w:val="0020319A"/>
    <w:rsid w:val="002031E5"/>
    <w:rsid w:val="002032DE"/>
    <w:rsid w:val="002032F6"/>
    <w:rsid w:val="00203343"/>
    <w:rsid w:val="002033A6"/>
    <w:rsid w:val="002033D9"/>
    <w:rsid w:val="002033EC"/>
    <w:rsid w:val="0020341F"/>
    <w:rsid w:val="002034E1"/>
    <w:rsid w:val="00203603"/>
    <w:rsid w:val="002036AF"/>
    <w:rsid w:val="00203802"/>
    <w:rsid w:val="002038B6"/>
    <w:rsid w:val="002038CA"/>
    <w:rsid w:val="002038D9"/>
    <w:rsid w:val="00203B33"/>
    <w:rsid w:val="00203B7D"/>
    <w:rsid w:val="00203BED"/>
    <w:rsid w:val="00203C81"/>
    <w:rsid w:val="00203D6E"/>
    <w:rsid w:val="00203E1C"/>
    <w:rsid w:val="00203E2E"/>
    <w:rsid w:val="00203FD3"/>
    <w:rsid w:val="00204084"/>
    <w:rsid w:val="00204151"/>
    <w:rsid w:val="002042DB"/>
    <w:rsid w:val="0020434D"/>
    <w:rsid w:val="002043F2"/>
    <w:rsid w:val="00204456"/>
    <w:rsid w:val="00204583"/>
    <w:rsid w:val="00204624"/>
    <w:rsid w:val="00204628"/>
    <w:rsid w:val="00204639"/>
    <w:rsid w:val="0020468A"/>
    <w:rsid w:val="002046A9"/>
    <w:rsid w:val="002046B3"/>
    <w:rsid w:val="002046EC"/>
    <w:rsid w:val="002047E0"/>
    <w:rsid w:val="002047FA"/>
    <w:rsid w:val="00204820"/>
    <w:rsid w:val="00204883"/>
    <w:rsid w:val="00204977"/>
    <w:rsid w:val="002049C6"/>
    <w:rsid w:val="00204AB2"/>
    <w:rsid w:val="00204B3C"/>
    <w:rsid w:val="00204C0F"/>
    <w:rsid w:val="00204C6F"/>
    <w:rsid w:val="00204C82"/>
    <w:rsid w:val="00204E13"/>
    <w:rsid w:val="00204EBF"/>
    <w:rsid w:val="00204FE1"/>
    <w:rsid w:val="0020501D"/>
    <w:rsid w:val="00205125"/>
    <w:rsid w:val="002051D2"/>
    <w:rsid w:val="00205268"/>
    <w:rsid w:val="00205283"/>
    <w:rsid w:val="0020529E"/>
    <w:rsid w:val="0020534A"/>
    <w:rsid w:val="0020538A"/>
    <w:rsid w:val="0020543C"/>
    <w:rsid w:val="002054DD"/>
    <w:rsid w:val="002054FE"/>
    <w:rsid w:val="00205518"/>
    <w:rsid w:val="002056E7"/>
    <w:rsid w:val="00205700"/>
    <w:rsid w:val="00205706"/>
    <w:rsid w:val="002057AC"/>
    <w:rsid w:val="002057E7"/>
    <w:rsid w:val="00205897"/>
    <w:rsid w:val="0020593F"/>
    <w:rsid w:val="00205976"/>
    <w:rsid w:val="00205AA8"/>
    <w:rsid w:val="00205C9C"/>
    <w:rsid w:val="00205F70"/>
    <w:rsid w:val="00206035"/>
    <w:rsid w:val="0020617C"/>
    <w:rsid w:val="002062D5"/>
    <w:rsid w:val="002062FD"/>
    <w:rsid w:val="002063C5"/>
    <w:rsid w:val="002063D1"/>
    <w:rsid w:val="00206410"/>
    <w:rsid w:val="0020643C"/>
    <w:rsid w:val="00206447"/>
    <w:rsid w:val="00206462"/>
    <w:rsid w:val="002065A1"/>
    <w:rsid w:val="002065F9"/>
    <w:rsid w:val="00206602"/>
    <w:rsid w:val="002066B3"/>
    <w:rsid w:val="002067AB"/>
    <w:rsid w:val="002067B5"/>
    <w:rsid w:val="002069AC"/>
    <w:rsid w:val="00206C1E"/>
    <w:rsid w:val="00206CF0"/>
    <w:rsid w:val="00206D5C"/>
    <w:rsid w:val="00206F20"/>
    <w:rsid w:val="002071D1"/>
    <w:rsid w:val="002071F5"/>
    <w:rsid w:val="002072D2"/>
    <w:rsid w:val="002073EF"/>
    <w:rsid w:val="00207455"/>
    <w:rsid w:val="0020749E"/>
    <w:rsid w:val="00207543"/>
    <w:rsid w:val="002075A3"/>
    <w:rsid w:val="002075DD"/>
    <w:rsid w:val="002076B0"/>
    <w:rsid w:val="00207794"/>
    <w:rsid w:val="00207819"/>
    <w:rsid w:val="00207831"/>
    <w:rsid w:val="00207895"/>
    <w:rsid w:val="002078A8"/>
    <w:rsid w:val="002078A9"/>
    <w:rsid w:val="002078D0"/>
    <w:rsid w:val="002079EB"/>
    <w:rsid w:val="00207A49"/>
    <w:rsid w:val="00207ADE"/>
    <w:rsid w:val="00207AE7"/>
    <w:rsid w:val="00207C74"/>
    <w:rsid w:val="00207DCD"/>
    <w:rsid w:val="00207DDE"/>
    <w:rsid w:val="00207E14"/>
    <w:rsid w:val="00207F7A"/>
    <w:rsid w:val="002100E1"/>
    <w:rsid w:val="00210104"/>
    <w:rsid w:val="0021010F"/>
    <w:rsid w:val="0021019E"/>
    <w:rsid w:val="0021025F"/>
    <w:rsid w:val="002102E6"/>
    <w:rsid w:val="00210331"/>
    <w:rsid w:val="0021052C"/>
    <w:rsid w:val="0021052F"/>
    <w:rsid w:val="0021054D"/>
    <w:rsid w:val="002106B1"/>
    <w:rsid w:val="0021085D"/>
    <w:rsid w:val="00210993"/>
    <w:rsid w:val="002109A7"/>
    <w:rsid w:val="00210A60"/>
    <w:rsid w:val="00210B9D"/>
    <w:rsid w:val="00210C31"/>
    <w:rsid w:val="00210C98"/>
    <w:rsid w:val="00210DB4"/>
    <w:rsid w:val="00210DC8"/>
    <w:rsid w:val="00210EB8"/>
    <w:rsid w:val="00210F9C"/>
    <w:rsid w:val="002111E7"/>
    <w:rsid w:val="002111F0"/>
    <w:rsid w:val="00211257"/>
    <w:rsid w:val="00211414"/>
    <w:rsid w:val="00211426"/>
    <w:rsid w:val="0021144E"/>
    <w:rsid w:val="002114E0"/>
    <w:rsid w:val="002115DD"/>
    <w:rsid w:val="00211655"/>
    <w:rsid w:val="002117A4"/>
    <w:rsid w:val="00211AFD"/>
    <w:rsid w:val="00211B20"/>
    <w:rsid w:val="00211B21"/>
    <w:rsid w:val="00211CB5"/>
    <w:rsid w:val="00211D03"/>
    <w:rsid w:val="00211E66"/>
    <w:rsid w:val="002121DF"/>
    <w:rsid w:val="00212203"/>
    <w:rsid w:val="002122DD"/>
    <w:rsid w:val="0021231A"/>
    <w:rsid w:val="00212331"/>
    <w:rsid w:val="00212397"/>
    <w:rsid w:val="00212432"/>
    <w:rsid w:val="00212452"/>
    <w:rsid w:val="002124D3"/>
    <w:rsid w:val="00212520"/>
    <w:rsid w:val="002126AE"/>
    <w:rsid w:val="002126C4"/>
    <w:rsid w:val="00212706"/>
    <w:rsid w:val="002127F6"/>
    <w:rsid w:val="00212A54"/>
    <w:rsid w:val="00212AFB"/>
    <w:rsid w:val="00212B8E"/>
    <w:rsid w:val="00212B9C"/>
    <w:rsid w:val="00212CDC"/>
    <w:rsid w:val="00212D2D"/>
    <w:rsid w:val="00212D5A"/>
    <w:rsid w:val="00212D7A"/>
    <w:rsid w:val="002130A9"/>
    <w:rsid w:val="00213279"/>
    <w:rsid w:val="00213335"/>
    <w:rsid w:val="00213370"/>
    <w:rsid w:val="00213428"/>
    <w:rsid w:val="00213441"/>
    <w:rsid w:val="0021365D"/>
    <w:rsid w:val="0021369B"/>
    <w:rsid w:val="002136BC"/>
    <w:rsid w:val="00213754"/>
    <w:rsid w:val="002137C6"/>
    <w:rsid w:val="002137F3"/>
    <w:rsid w:val="002139E5"/>
    <w:rsid w:val="00213A79"/>
    <w:rsid w:val="00213B0F"/>
    <w:rsid w:val="00213BE0"/>
    <w:rsid w:val="00213C88"/>
    <w:rsid w:val="00213C89"/>
    <w:rsid w:val="00213D04"/>
    <w:rsid w:val="00213D30"/>
    <w:rsid w:val="00213E0D"/>
    <w:rsid w:val="00213FCE"/>
    <w:rsid w:val="00214037"/>
    <w:rsid w:val="00214191"/>
    <w:rsid w:val="002141B3"/>
    <w:rsid w:val="00214202"/>
    <w:rsid w:val="0021426B"/>
    <w:rsid w:val="00214405"/>
    <w:rsid w:val="00214513"/>
    <w:rsid w:val="0021452D"/>
    <w:rsid w:val="002145C6"/>
    <w:rsid w:val="0021462A"/>
    <w:rsid w:val="0021478D"/>
    <w:rsid w:val="0021478F"/>
    <w:rsid w:val="00214799"/>
    <w:rsid w:val="00214952"/>
    <w:rsid w:val="00214BF6"/>
    <w:rsid w:val="00214C3E"/>
    <w:rsid w:val="00214D7F"/>
    <w:rsid w:val="00214EAE"/>
    <w:rsid w:val="00214EC1"/>
    <w:rsid w:val="00214F0C"/>
    <w:rsid w:val="00214F8B"/>
    <w:rsid w:val="00214FF9"/>
    <w:rsid w:val="002150DF"/>
    <w:rsid w:val="002151F2"/>
    <w:rsid w:val="0021533F"/>
    <w:rsid w:val="00215491"/>
    <w:rsid w:val="002155BF"/>
    <w:rsid w:val="002155DB"/>
    <w:rsid w:val="002155E6"/>
    <w:rsid w:val="002157A7"/>
    <w:rsid w:val="002157E7"/>
    <w:rsid w:val="0021580D"/>
    <w:rsid w:val="0021581C"/>
    <w:rsid w:val="002158DD"/>
    <w:rsid w:val="0021599D"/>
    <w:rsid w:val="00215ABB"/>
    <w:rsid w:val="00215B1C"/>
    <w:rsid w:val="00215B33"/>
    <w:rsid w:val="00215B5F"/>
    <w:rsid w:val="00215D53"/>
    <w:rsid w:val="00215DAA"/>
    <w:rsid w:val="00215DF3"/>
    <w:rsid w:val="00215DF9"/>
    <w:rsid w:val="00215E02"/>
    <w:rsid w:val="00215E15"/>
    <w:rsid w:val="00215E1E"/>
    <w:rsid w:val="00215E86"/>
    <w:rsid w:val="00215F33"/>
    <w:rsid w:val="00215FBF"/>
    <w:rsid w:val="00216017"/>
    <w:rsid w:val="00216046"/>
    <w:rsid w:val="0021605E"/>
    <w:rsid w:val="002160E9"/>
    <w:rsid w:val="00216203"/>
    <w:rsid w:val="002163B8"/>
    <w:rsid w:val="002164AA"/>
    <w:rsid w:val="0021655A"/>
    <w:rsid w:val="0021659F"/>
    <w:rsid w:val="002169A7"/>
    <w:rsid w:val="00216AAB"/>
    <w:rsid w:val="00216BFA"/>
    <w:rsid w:val="00216C77"/>
    <w:rsid w:val="00216D0D"/>
    <w:rsid w:val="00216D98"/>
    <w:rsid w:val="00216DC3"/>
    <w:rsid w:val="00216E1D"/>
    <w:rsid w:val="00216E34"/>
    <w:rsid w:val="00216E61"/>
    <w:rsid w:val="00216F27"/>
    <w:rsid w:val="00217089"/>
    <w:rsid w:val="00217108"/>
    <w:rsid w:val="00217183"/>
    <w:rsid w:val="002171A3"/>
    <w:rsid w:val="002171B3"/>
    <w:rsid w:val="002171FA"/>
    <w:rsid w:val="00217244"/>
    <w:rsid w:val="002172C8"/>
    <w:rsid w:val="0021730D"/>
    <w:rsid w:val="0021738B"/>
    <w:rsid w:val="002173AF"/>
    <w:rsid w:val="0021748F"/>
    <w:rsid w:val="002175AD"/>
    <w:rsid w:val="002175BE"/>
    <w:rsid w:val="0021767B"/>
    <w:rsid w:val="002176CA"/>
    <w:rsid w:val="002176EC"/>
    <w:rsid w:val="00217775"/>
    <w:rsid w:val="0021792F"/>
    <w:rsid w:val="00217A62"/>
    <w:rsid w:val="00217DFA"/>
    <w:rsid w:val="00217EC6"/>
    <w:rsid w:val="00217FE9"/>
    <w:rsid w:val="0022016C"/>
    <w:rsid w:val="00220237"/>
    <w:rsid w:val="002203F9"/>
    <w:rsid w:val="00220542"/>
    <w:rsid w:val="002205D1"/>
    <w:rsid w:val="00220661"/>
    <w:rsid w:val="002206E4"/>
    <w:rsid w:val="0022095C"/>
    <w:rsid w:val="002209C1"/>
    <w:rsid w:val="002209DA"/>
    <w:rsid w:val="00220A33"/>
    <w:rsid w:val="00220B5E"/>
    <w:rsid w:val="00220C54"/>
    <w:rsid w:val="00220D5E"/>
    <w:rsid w:val="00220D8B"/>
    <w:rsid w:val="00220ECC"/>
    <w:rsid w:val="00221019"/>
    <w:rsid w:val="00221049"/>
    <w:rsid w:val="002211B9"/>
    <w:rsid w:val="00221432"/>
    <w:rsid w:val="0022143C"/>
    <w:rsid w:val="00221531"/>
    <w:rsid w:val="0022156B"/>
    <w:rsid w:val="002215B2"/>
    <w:rsid w:val="00221717"/>
    <w:rsid w:val="002218A9"/>
    <w:rsid w:val="002218BA"/>
    <w:rsid w:val="00221913"/>
    <w:rsid w:val="00221951"/>
    <w:rsid w:val="00221A81"/>
    <w:rsid w:val="00221D40"/>
    <w:rsid w:val="00221E0D"/>
    <w:rsid w:val="00221F13"/>
    <w:rsid w:val="00221FE0"/>
    <w:rsid w:val="0022224F"/>
    <w:rsid w:val="0022227E"/>
    <w:rsid w:val="00222299"/>
    <w:rsid w:val="002222A6"/>
    <w:rsid w:val="002222C1"/>
    <w:rsid w:val="00222416"/>
    <w:rsid w:val="002224D8"/>
    <w:rsid w:val="00222516"/>
    <w:rsid w:val="002225F8"/>
    <w:rsid w:val="002226BD"/>
    <w:rsid w:val="00222718"/>
    <w:rsid w:val="00222874"/>
    <w:rsid w:val="002228DA"/>
    <w:rsid w:val="0022294B"/>
    <w:rsid w:val="00222A40"/>
    <w:rsid w:val="00222A6B"/>
    <w:rsid w:val="00222BBE"/>
    <w:rsid w:val="00222BFE"/>
    <w:rsid w:val="00222C5C"/>
    <w:rsid w:val="00222CA3"/>
    <w:rsid w:val="00222CD3"/>
    <w:rsid w:val="00222D3F"/>
    <w:rsid w:val="00222D45"/>
    <w:rsid w:val="00222D46"/>
    <w:rsid w:val="00222D84"/>
    <w:rsid w:val="00222E25"/>
    <w:rsid w:val="00222EF5"/>
    <w:rsid w:val="00222F06"/>
    <w:rsid w:val="00222F73"/>
    <w:rsid w:val="00222F92"/>
    <w:rsid w:val="00222FB8"/>
    <w:rsid w:val="002230DE"/>
    <w:rsid w:val="00223170"/>
    <w:rsid w:val="0022328F"/>
    <w:rsid w:val="0022332B"/>
    <w:rsid w:val="00223339"/>
    <w:rsid w:val="002233BA"/>
    <w:rsid w:val="002235CE"/>
    <w:rsid w:val="0022363A"/>
    <w:rsid w:val="002236B2"/>
    <w:rsid w:val="0022377B"/>
    <w:rsid w:val="00223B56"/>
    <w:rsid w:val="00223C28"/>
    <w:rsid w:val="00223C6B"/>
    <w:rsid w:val="00223E08"/>
    <w:rsid w:val="00223FBB"/>
    <w:rsid w:val="002240DE"/>
    <w:rsid w:val="002240EA"/>
    <w:rsid w:val="00224140"/>
    <w:rsid w:val="002241DD"/>
    <w:rsid w:val="00224541"/>
    <w:rsid w:val="002246BD"/>
    <w:rsid w:val="002246EC"/>
    <w:rsid w:val="00224743"/>
    <w:rsid w:val="00224882"/>
    <w:rsid w:val="00224894"/>
    <w:rsid w:val="00224AFB"/>
    <w:rsid w:val="00224B40"/>
    <w:rsid w:val="00224BAC"/>
    <w:rsid w:val="00224CC2"/>
    <w:rsid w:val="00224CE8"/>
    <w:rsid w:val="00224D09"/>
    <w:rsid w:val="00224DAE"/>
    <w:rsid w:val="00224E28"/>
    <w:rsid w:val="00224E3D"/>
    <w:rsid w:val="00224E8A"/>
    <w:rsid w:val="00225002"/>
    <w:rsid w:val="00225077"/>
    <w:rsid w:val="002250B0"/>
    <w:rsid w:val="002251AD"/>
    <w:rsid w:val="002251C6"/>
    <w:rsid w:val="00225202"/>
    <w:rsid w:val="0022525C"/>
    <w:rsid w:val="00225261"/>
    <w:rsid w:val="00225359"/>
    <w:rsid w:val="002253F1"/>
    <w:rsid w:val="00225419"/>
    <w:rsid w:val="00225470"/>
    <w:rsid w:val="002254C4"/>
    <w:rsid w:val="002254F0"/>
    <w:rsid w:val="002255EC"/>
    <w:rsid w:val="0022566D"/>
    <w:rsid w:val="002256EC"/>
    <w:rsid w:val="00225788"/>
    <w:rsid w:val="002257AE"/>
    <w:rsid w:val="002257E2"/>
    <w:rsid w:val="002257FC"/>
    <w:rsid w:val="002258C3"/>
    <w:rsid w:val="00225919"/>
    <w:rsid w:val="00225B2B"/>
    <w:rsid w:val="00225BE2"/>
    <w:rsid w:val="00225C2A"/>
    <w:rsid w:val="00225C34"/>
    <w:rsid w:val="00225C88"/>
    <w:rsid w:val="00225CD3"/>
    <w:rsid w:val="00225D1E"/>
    <w:rsid w:val="00225E1B"/>
    <w:rsid w:val="00225F17"/>
    <w:rsid w:val="00225F19"/>
    <w:rsid w:val="0022615C"/>
    <w:rsid w:val="002261C2"/>
    <w:rsid w:val="00226274"/>
    <w:rsid w:val="0022635E"/>
    <w:rsid w:val="00226386"/>
    <w:rsid w:val="0022638A"/>
    <w:rsid w:val="002264A6"/>
    <w:rsid w:val="0022651A"/>
    <w:rsid w:val="0022656A"/>
    <w:rsid w:val="0022674F"/>
    <w:rsid w:val="00226811"/>
    <w:rsid w:val="00226960"/>
    <w:rsid w:val="00226AC8"/>
    <w:rsid w:val="00226AD0"/>
    <w:rsid w:val="00226E6E"/>
    <w:rsid w:val="00227129"/>
    <w:rsid w:val="00227180"/>
    <w:rsid w:val="002272E8"/>
    <w:rsid w:val="00227394"/>
    <w:rsid w:val="002273F6"/>
    <w:rsid w:val="0022748B"/>
    <w:rsid w:val="0022756F"/>
    <w:rsid w:val="00227742"/>
    <w:rsid w:val="00227895"/>
    <w:rsid w:val="002278B3"/>
    <w:rsid w:val="00227A07"/>
    <w:rsid w:val="00227AA0"/>
    <w:rsid w:val="00227C39"/>
    <w:rsid w:val="00227C69"/>
    <w:rsid w:val="00227CA7"/>
    <w:rsid w:val="00227CE9"/>
    <w:rsid w:val="00227D74"/>
    <w:rsid w:val="00227D93"/>
    <w:rsid w:val="00227DD2"/>
    <w:rsid w:val="00227F27"/>
    <w:rsid w:val="00227F53"/>
    <w:rsid w:val="00227F6E"/>
    <w:rsid w:val="00230014"/>
    <w:rsid w:val="00230094"/>
    <w:rsid w:val="0023009E"/>
    <w:rsid w:val="00230110"/>
    <w:rsid w:val="002302D9"/>
    <w:rsid w:val="002302DA"/>
    <w:rsid w:val="00230372"/>
    <w:rsid w:val="0023039A"/>
    <w:rsid w:val="00230400"/>
    <w:rsid w:val="002305BC"/>
    <w:rsid w:val="0023077E"/>
    <w:rsid w:val="0023086D"/>
    <w:rsid w:val="002309B1"/>
    <w:rsid w:val="00230AAD"/>
    <w:rsid w:val="00230AE3"/>
    <w:rsid w:val="00230B62"/>
    <w:rsid w:val="00230B79"/>
    <w:rsid w:val="00230B83"/>
    <w:rsid w:val="00230B9F"/>
    <w:rsid w:val="00230BCE"/>
    <w:rsid w:val="00230EE9"/>
    <w:rsid w:val="00230F88"/>
    <w:rsid w:val="00230F9D"/>
    <w:rsid w:val="00230FA9"/>
    <w:rsid w:val="00230FCD"/>
    <w:rsid w:val="0023105B"/>
    <w:rsid w:val="002310D0"/>
    <w:rsid w:val="002310DB"/>
    <w:rsid w:val="002310F1"/>
    <w:rsid w:val="0023120F"/>
    <w:rsid w:val="00231333"/>
    <w:rsid w:val="00231388"/>
    <w:rsid w:val="00231401"/>
    <w:rsid w:val="0023146D"/>
    <w:rsid w:val="00231501"/>
    <w:rsid w:val="0023153D"/>
    <w:rsid w:val="00231552"/>
    <w:rsid w:val="002317AC"/>
    <w:rsid w:val="002317EB"/>
    <w:rsid w:val="00231A6F"/>
    <w:rsid w:val="00231B8B"/>
    <w:rsid w:val="00231C26"/>
    <w:rsid w:val="00231C7C"/>
    <w:rsid w:val="00231D3D"/>
    <w:rsid w:val="00231D5C"/>
    <w:rsid w:val="00231E1C"/>
    <w:rsid w:val="00231EE2"/>
    <w:rsid w:val="0023200C"/>
    <w:rsid w:val="0023202F"/>
    <w:rsid w:val="002320E2"/>
    <w:rsid w:val="00232209"/>
    <w:rsid w:val="00232234"/>
    <w:rsid w:val="00232244"/>
    <w:rsid w:val="00232412"/>
    <w:rsid w:val="002324D2"/>
    <w:rsid w:val="002325F3"/>
    <w:rsid w:val="0023266E"/>
    <w:rsid w:val="00232769"/>
    <w:rsid w:val="00232797"/>
    <w:rsid w:val="0023291A"/>
    <w:rsid w:val="002329D4"/>
    <w:rsid w:val="002329DB"/>
    <w:rsid w:val="00232AD0"/>
    <w:rsid w:val="00232B86"/>
    <w:rsid w:val="00232B8B"/>
    <w:rsid w:val="00232C17"/>
    <w:rsid w:val="00232DB9"/>
    <w:rsid w:val="00232E52"/>
    <w:rsid w:val="00232E99"/>
    <w:rsid w:val="00232EA8"/>
    <w:rsid w:val="00232F68"/>
    <w:rsid w:val="002330B4"/>
    <w:rsid w:val="002330CF"/>
    <w:rsid w:val="00233110"/>
    <w:rsid w:val="00233159"/>
    <w:rsid w:val="00233166"/>
    <w:rsid w:val="0023322C"/>
    <w:rsid w:val="00233327"/>
    <w:rsid w:val="0023347B"/>
    <w:rsid w:val="002336AD"/>
    <w:rsid w:val="002336CB"/>
    <w:rsid w:val="00233762"/>
    <w:rsid w:val="002338F4"/>
    <w:rsid w:val="002339ED"/>
    <w:rsid w:val="002339F9"/>
    <w:rsid w:val="00233A8F"/>
    <w:rsid w:val="00233AF3"/>
    <w:rsid w:val="00233B79"/>
    <w:rsid w:val="00233BF9"/>
    <w:rsid w:val="00233E0A"/>
    <w:rsid w:val="00233E62"/>
    <w:rsid w:val="00233F6B"/>
    <w:rsid w:val="00233FBD"/>
    <w:rsid w:val="00233FD0"/>
    <w:rsid w:val="002342D2"/>
    <w:rsid w:val="002342E1"/>
    <w:rsid w:val="00234317"/>
    <w:rsid w:val="0023435E"/>
    <w:rsid w:val="002343FA"/>
    <w:rsid w:val="00234405"/>
    <w:rsid w:val="002344EC"/>
    <w:rsid w:val="00234556"/>
    <w:rsid w:val="002345DD"/>
    <w:rsid w:val="00234682"/>
    <w:rsid w:val="00234847"/>
    <w:rsid w:val="002349FB"/>
    <w:rsid w:val="00234AF4"/>
    <w:rsid w:val="00234B2D"/>
    <w:rsid w:val="00234B3D"/>
    <w:rsid w:val="00234BDA"/>
    <w:rsid w:val="00234C93"/>
    <w:rsid w:val="00234D0A"/>
    <w:rsid w:val="00234D58"/>
    <w:rsid w:val="00234D6F"/>
    <w:rsid w:val="00234DFB"/>
    <w:rsid w:val="00234E5B"/>
    <w:rsid w:val="00234EA8"/>
    <w:rsid w:val="00234F66"/>
    <w:rsid w:val="00234F6F"/>
    <w:rsid w:val="00235070"/>
    <w:rsid w:val="002350B8"/>
    <w:rsid w:val="0023517B"/>
    <w:rsid w:val="002352D9"/>
    <w:rsid w:val="00235334"/>
    <w:rsid w:val="00235400"/>
    <w:rsid w:val="00235534"/>
    <w:rsid w:val="00235873"/>
    <w:rsid w:val="002358E1"/>
    <w:rsid w:val="00235AE6"/>
    <w:rsid w:val="00235B73"/>
    <w:rsid w:val="00235C58"/>
    <w:rsid w:val="00235CCA"/>
    <w:rsid w:val="00235DB2"/>
    <w:rsid w:val="00235F7D"/>
    <w:rsid w:val="00236015"/>
    <w:rsid w:val="002360F3"/>
    <w:rsid w:val="0023623A"/>
    <w:rsid w:val="002364C8"/>
    <w:rsid w:val="002367D5"/>
    <w:rsid w:val="002368F2"/>
    <w:rsid w:val="002368F6"/>
    <w:rsid w:val="00236909"/>
    <w:rsid w:val="00236964"/>
    <w:rsid w:val="00236989"/>
    <w:rsid w:val="002369D7"/>
    <w:rsid w:val="00236A3F"/>
    <w:rsid w:val="00236BF3"/>
    <w:rsid w:val="00236EEC"/>
    <w:rsid w:val="00236EF2"/>
    <w:rsid w:val="00236F58"/>
    <w:rsid w:val="00237026"/>
    <w:rsid w:val="0023710A"/>
    <w:rsid w:val="00237120"/>
    <w:rsid w:val="00237188"/>
    <w:rsid w:val="00237194"/>
    <w:rsid w:val="002371BE"/>
    <w:rsid w:val="002373F4"/>
    <w:rsid w:val="0023743A"/>
    <w:rsid w:val="002374C5"/>
    <w:rsid w:val="002375C4"/>
    <w:rsid w:val="002375D2"/>
    <w:rsid w:val="002378D7"/>
    <w:rsid w:val="0023796F"/>
    <w:rsid w:val="00237AC5"/>
    <w:rsid w:val="00237BE5"/>
    <w:rsid w:val="00237BFC"/>
    <w:rsid w:val="00237CC0"/>
    <w:rsid w:val="00237D3B"/>
    <w:rsid w:val="00237D9A"/>
    <w:rsid w:val="00237F2B"/>
    <w:rsid w:val="0023B7A9"/>
    <w:rsid w:val="0024006B"/>
    <w:rsid w:val="00240365"/>
    <w:rsid w:val="00240420"/>
    <w:rsid w:val="002404BA"/>
    <w:rsid w:val="002404C6"/>
    <w:rsid w:val="002404CA"/>
    <w:rsid w:val="002404FD"/>
    <w:rsid w:val="00240779"/>
    <w:rsid w:val="002407A8"/>
    <w:rsid w:val="00240882"/>
    <w:rsid w:val="002409A2"/>
    <w:rsid w:val="00240A52"/>
    <w:rsid w:val="00240A73"/>
    <w:rsid w:val="00240AA3"/>
    <w:rsid w:val="00240AD7"/>
    <w:rsid w:val="00240B7C"/>
    <w:rsid w:val="00240CD2"/>
    <w:rsid w:val="00240F09"/>
    <w:rsid w:val="002410C4"/>
    <w:rsid w:val="002415AF"/>
    <w:rsid w:val="0024163D"/>
    <w:rsid w:val="00241643"/>
    <w:rsid w:val="002416AC"/>
    <w:rsid w:val="002416C7"/>
    <w:rsid w:val="002416DE"/>
    <w:rsid w:val="00241863"/>
    <w:rsid w:val="00241B28"/>
    <w:rsid w:val="00241B84"/>
    <w:rsid w:val="00241C29"/>
    <w:rsid w:val="00241C6E"/>
    <w:rsid w:val="00241C9A"/>
    <w:rsid w:val="00241DC4"/>
    <w:rsid w:val="00241ED9"/>
    <w:rsid w:val="002420D3"/>
    <w:rsid w:val="002420D9"/>
    <w:rsid w:val="00242175"/>
    <w:rsid w:val="00242192"/>
    <w:rsid w:val="002421F6"/>
    <w:rsid w:val="00242207"/>
    <w:rsid w:val="00242247"/>
    <w:rsid w:val="0024228E"/>
    <w:rsid w:val="002422AF"/>
    <w:rsid w:val="0024239F"/>
    <w:rsid w:val="00242418"/>
    <w:rsid w:val="00242427"/>
    <w:rsid w:val="00242478"/>
    <w:rsid w:val="00242568"/>
    <w:rsid w:val="0024257E"/>
    <w:rsid w:val="0024261B"/>
    <w:rsid w:val="0024273C"/>
    <w:rsid w:val="0024289B"/>
    <w:rsid w:val="00242B21"/>
    <w:rsid w:val="00242C18"/>
    <w:rsid w:val="00242C69"/>
    <w:rsid w:val="00242EB2"/>
    <w:rsid w:val="00242F06"/>
    <w:rsid w:val="00242F28"/>
    <w:rsid w:val="0024322C"/>
    <w:rsid w:val="00243288"/>
    <w:rsid w:val="002432B2"/>
    <w:rsid w:val="00243448"/>
    <w:rsid w:val="002435A5"/>
    <w:rsid w:val="002435BE"/>
    <w:rsid w:val="0024369F"/>
    <w:rsid w:val="0024374D"/>
    <w:rsid w:val="002437A4"/>
    <w:rsid w:val="002438B6"/>
    <w:rsid w:val="002438E6"/>
    <w:rsid w:val="00243994"/>
    <w:rsid w:val="002439E2"/>
    <w:rsid w:val="00243AE2"/>
    <w:rsid w:val="00243C4A"/>
    <w:rsid w:val="00243E87"/>
    <w:rsid w:val="00243F45"/>
    <w:rsid w:val="00243F4E"/>
    <w:rsid w:val="002440E8"/>
    <w:rsid w:val="0024413A"/>
    <w:rsid w:val="00244171"/>
    <w:rsid w:val="00244217"/>
    <w:rsid w:val="002442DA"/>
    <w:rsid w:val="0024430C"/>
    <w:rsid w:val="002443C3"/>
    <w:rsid w:val="002443DD"/>
    <w:rsid w:val="00244553"/>
    <w:rsid w:val="002445CF"/>
    <w:rsid w:val="00244621"/>
    <w:rsid w:val="0024476A"/>
    <w:rsid w:val="00244771"/>
    <w:rsid w:val="002447B7"/>
    <w:rsid w:val="0024486F"/>
    <w:rsid w:val="002449A5"/>
    <w:rsid w:val="002449B4"/>
    <w:rsid w:val="00244CAD"/>
    <w:rsid w:val="00244D5B"/>
    <w:rsid w:val="00244D66"/>
    <w:rsid w:val="00244DA0"/>
    <w:rsid w:val="00244E70"/>
    <w:rsid w:val="00244EFC"/>
    <w:rsid w:val="00244F38"/>
    <w:rsid w:val="0024503D"/>
    <w:rsid w:val="00245240"/>
    <w:rsid w:val="0024524B"/>
    <w:rsid w:val="0024529D"/>
    <w:rsid w:val="002452C9"/>
    <w:rsid w:val="0024536C"/>
    <w:rsid w:val="00245407"/>
    <w:rsid w:val="00245489"/>
    <w:rsid w:val="002454D8"/>
    <w:rsid w:val="002455C4"/>
    <w:rsid w:val="002455E5"/>
    <w:rsid w:val="002455F3"/>
    <w:rsid w:val="00245664"/>
    <w:rsid w:val="00245694"/>
    <w:rsid w:val="002456FD"/>
    <w:rsid w:val="00245833"/>
    <w:rsid w:val="002458C2"/>
    <w:rsid w:val="002458EE"/>
    <w:rsid w:val="002458F3"/>
    <w:rsid w:val="00245909"/>
    <w:rsid w:val="00245977"/>
    <w:rsid w:val="00245A5B"/>
    <w:rsid w:val="00245AEB"/>
    <w:rsid w:val="00245DED"/>
    <w:rsid w:val="00245FB7"/>
    <w:rsid w:val="00245FBD"/>
    <w:rsid w:val="00245FDC"/>
    <w:rsid w:val="0024602B"/>
    <w:rsid w:val="0024606E"/>
    <w:rsid w:val="00246073"/>
    <w:rsid w:val="0024608F"/>
    <w:rsid w:val="002461C9"/>
    <w:rsid w:val="002462AA"/>
    <w:rsid w:val="00246385"/>
    <w:rsid w:val="00246396"/>
    <w:rsid w:val="002463F7"/>
    <w:rsid w:val="0024646E"/>
    <w:rsid w:val="002465EF"/>
    <w:rsid w:val="002466B2"/>
    <w:rsid w:val="0024673B"/>
    <w:rsid w:val="0024676E"/>
    <w:rsid w:val="0024681A"/>
    <w:rsid w:val="002468EB"/>
    <w:rsid w:val="00246AD7"/>
    <w:rsid w:val="00246ADA"/>
    <w:rsid w:val="00246ADF"/>
    <w:rsid w:val="00246E33"/>
    <w:rsid w:val="00246EB2"/>
    <w:rsid w:val="00247360"/>
    <w:rsid w:val="0024746C"/>
    <w:rsid w:val="00247470"/>
    <w:rsid w:val="002474C4"/>
    <w:rsid w:val="00247652"/>
    <w:rsid w:val="0024769D"/>
    <w:rsid w:val="0024771F"/>
    <w:rsid w:val="00247821"/>
    <w:rsid w:val="0024784E"/>
    <w:rsid w:val="0024789F"/>
    <w:rsid w:val="002478EA"/>
    <w:rsid w:val="00247928"/>
    <w:rsid w:val="0024794C"/>
    <w:rsid w:val="002479B4"/>
    <w:rsid w:val="00247A2A"/>
    <w:rsid w:val="00247AFE"/>
    <w:rsid w:val="00247BA5"/>
    <w:rsid w:val="00247C55"/>
    <w:rsid w:val="00247C67"/>
    <w:rsid w:val="00247DA3"/>
    <w:rsid w:val="00247DD5"/>
    <w:rsid w:val="00247E00"/>
    <w:rsid w:val="00247E68"/>
    <w:rsid w:val="00247EF0"/>
    <w:rsid w:val="00247F82"/>
    <w:rsid w:val="0025000A"/>
    <w:rsid w:val="002500BD"/>
    <w:rsid w:val="002500F0"/>
    <w:rsid w:val="00250108"/>
    <w:rsid w:val="00250302"/>
    <w:rsid w:val="00250505"/>
    <w:rsid w:val="0025063E"/>
    <w:rsid w:val="00250653"/>
    <w:rsid w:val="002506D0"/>
    <w:rsid w:val="00250745"/>
    <w:rsid w:val="0025076A"/>
    <w:rsid w:val="002507AA"/>
    <w:rsid w:val="002509BF"/>
    <w:rsid w:val="00250A6D"/>
    <w:rsid w:val="00250A75"/>
    <w:rsid w:val="00250ACC"/>
    <w:rsid w:val="00250B14"/>
    <w:rsid w:val="00250B9F"/>
    <w:rsid w:val="00250C77"/>
    <w:rsid w:val="00251109"/>
    <w:rsid w:val="00251145"/>
    <w:rsid w:val="00251280"/>
    <w:rsid w:val="00251396"/>
    <w:rsid w:val="00251400"/>
    <w:rsid w:val="00251452"/>
    <w:rsid w:val="002516A1"/>
    <w:rsid w:val="002516CE"/>
    <w:rsid w:val="00251715"/>
    <w:rsid w:val="0025183F"/>
    <w:rsid w:val="00251904"/>
    <w:rsid w:val="002519C2"/>
    <w:rsid w:val="00251A84"/>
    <w:rsid w:val="00251B2D"/>
    <w:rsid w:val="00251BD7"/>
    <w:rsid w:val="00251C17"/>
    <w:rsid w:val="00251F0F"/>
    <w:rsid w:val="00252016"/>
    <w:rsid w:val="002520AF"/>
    <w:rsid w:val="002520D2"/>
    <w:rsid w:val="002520F0"/>
    <w:rsid w:val="002521B8"/>
    <w:rsid w:val="00252299"/>
    <w:rsid w:val="002522B7"/>
    <w:rsid w:val="00252323"/>
    <w:rsid w:val="00252346"/>
    <w:rsid w:val="002523C2"/>
    <w:rsid w:val="002525E8"/>
    <w:rsid w:val="00252687"/>
    <w:rsid w:val="00252738"/>
    <w:rsid w:val="002528A3"/>
    <w:rsid w:val="002529BE"/>
    <w:rsid w:val="00252B81"/>
    <w:rsid w:val="00252DE9"/>
    <w:rsid w:val="00252E13"/>
    <w:rsid w:val="00252E32"/>
    <w:rsid w:val="00252FB9"/>
    <w:rsid w:val="00252FF2"/>
    <w:rsid w:val="0025310B"/>
    <w:rsid w:val="0025319A"/>
    <w:rsid w:val="002531A3"/>
    <w:rsid w:val="00253205"/>
    <w:rsid w:val="00253212"/>
    <w:rsid w:val="0025325B"/>
    <w:rsid w:val="00253281"/>
    <w:rsid w:val="002532BA"/>
    <w:rsid w:val="002532C4"/>
    <w:rsid w:val="002533CC"/>
    <w:rsid w:val="002533EB"/>
    <w:rsid w:val="002535DA"/>
    <w:rsid w:val="00253687"/>
    <w:rsid w:val="00253777"/>
    <w:rsid w:val="00253847"/>
    <w:rsid w:val="002538BA"/>
    <w:rsid w:val="00253BC8"/>
    <w:rsid w:val="00253CC9"/>
    <w:rsid w:val="00253DB0"/>
    <w:rsid w:val="00253E23"/>
    <w:rsid w:val="00253E48"/>
    <w:rsid w:val="00253F0D"/>
    <w:rsid w:val="002540D9"/>
    <w:rsid w:val="00254132"/>
    <w:rsid w:val="002543E4"/>
    <w:rsid w:val="00254440"/>
    <w:rsid w:val="0025447F"/>
    <w:rsid w:val="002544A6"/>
    <w:rsid w:val="00254595"/>
    <w:rsid w:val="0025460C"/>
    <w:rsid w:val="00254626"/>
    <w:rsid w:val="00254663"/>
    <w:rsid w:val="002546AD"/>
    <w:rsid w:val="00254814"/>
    <w:rsid w:val="0025482E"/>
    <w:rsid w:val="00254972"/>
    <w:rsid w:val="00254B32"/>
    <w:rsid w:val="00254B87"/>
    <w:rsid w:val="00254BA1"/>
    <w:rsid w:val="00254C6E"/>
    <w:rsid w:val="00254C87"/>
    <w:rsid w:val="00254D3E"/>
    <w:rsid w:val="00254E88"/>
    <w:rsid w:val="00254EA1"/>
    <w:rsid w:val="00254EEC"/>
    <w:rsid w:val="00254F54"/>
    <w:rsid w:val="00254FBC"/>
    <w:rsid w:val="00255138"/>
    <w:rsid w:val="00255165"/>
    <w:rsid w:val="002551C6"/>
    <w:rsid w:val="0025520B"/>
    <w:rsid w:val="0025526F"/>
    <w:rsid w:val="0025531D"/>
    <w:rsid w:val="0025533C"/>
    <w:rsid w:val="00255698"/>
    <w:rsid w:val="002559CB"/>
    <w:rsid w:val="00255B02"/>
    <w:rsid w:val="00255DAD"/>
    <w:rsid w:val="00255F03"/>
    <w:rsid w:val="00255F0E"/>
    <w:rsid w:val="00255F99"/>
    <w:rsid w:val="00255FFD"/>
    <w:rsid w:val="00255FFF"/>
    <w:rsid w:val="00256196"/>
    <w:rsid w:val="002563D3"/>
    <w:rsid w:val="002563EA"/>
    <w:rsid w:val="00256680"/>
    <w:rsid w:val="002567A7"/>
    <w:rsid w:val="002567DC"/>
    <w:rsid w:val="00256839"/>
    <w:rsid w:val="00256AB1"/>
    <w:rsid w:val="00256ABF"/>
    <w:rsid w:val="00256B0D"/>
    <w:rsid w:val="00256B0E"/>
    <w:rsid w:val="00256B4B"/>
    <w:rsid w:val="00256BDC"/>
    <w:rsid w:val="00256D4E"/>
    <w:rsid w:val="00256DE8"/>
    <w:rsid w:val="00256DF0"/>
    <w:rsid w:val="00256E1E"/>
    <w:rsid w:val="00256F10"/>
    <w:rsid w:val="00256FD2"/>
    <w:rsid w:val="00256FEC"/>
    <w:rsid w:val="00256FFF"/>
    <w:rsid w:val="00257032"/>
    <w:rsid w:val="002570CA"/>
    <w:rsid w:val="00257196"/>
    <w:rsid w:val="00257227"/>
    <w:rsid w:val="00257259"/>
    <w:rsid w:val="0025727D"/>
    <w:rsid w:val="002572EC"/>
    <w:rsid w:val="0025741A"/>
    <w:rsid w:val="00257491"/>
    <w:rsid w:val="0025751F"/>
    <w:rsid w:val="00257545"/>
    <w:rsid w:val="00257694"/>
    <w:rsid w:val="002576EE"/>
    <w:rsid w:val="0025772C"/>
    <w:rsid w:val="00257776"/>
    <w:rsid w:val="002577F5"/>
    <w:rsid w:val="00257920"/>
    <w:rsid w:val="00257960"/>
    <w:rsid w:val="002579C0"/>
    <w:rsid w:val="00257A6F"/>
    <w:rsid w:val="00257C13"/>
    <w:rsid w:val="00257CB5"/>
    <w:rsid w:val="00257CED"/>
    <w:rsid w:val="00257D0D"/>
    <w:rsid w:val="00257DDF"/>
    <w:rsid w:val="00257E21"/>
    <w:rsid w:val="00257E7E"/>
    <w:rsid w:val="00257F14"/>
    <w:rsid w:val="00257F41"/>
    <w:rsid w:val="00260040"/>
    <w:rsid w:val="00260135"/>
    <w:rsid w:val="0026013E"/>
    <w:rsid w:val="0026014C"/>
    <w:rsid w:val="002601DE"/>
    <w:rsid w:val="00260326"/>
    <w:rsid w:val="00260328"/>
    <w:rsid w:val="0026043A"/>
    <w:rsid w:val="00260592"/>
    <w:rsid w:val="002605F2"/>
    <w:rsid w:val="0026075A"/>
    <w:rsid w:val="002608B0"/>
    <w:rsid w:val="00260986"/>
    <w:rsid w:val="00260995"/>
    <w:rsid w:val="002609EA"/>
    <w:rsid w:val="00260AEB"/>
    <w:rsid w:val="00260B0E"/>
    <w:rsid w:val="00260B9D"/>
    <w:rsid w:val="00260BBB"/>
    <w:rsid w:val="00260C3F"/>
    <w:rsid w:val="00260E67"/>
    <w:rsid w:val="00260F34"/>
    <w:rsid w:val="002610C2"/>
    <w:rsid w:val="00261129"/>
    <w:rsid w:val="0026116B"/>
    <w:rsid w:val="00261307"/>
    <w:rsid w:val="0026141D"/>
    <w:rsid w:val="0026148A"/>
    <w:rsid w:val="00261507"/>
    <w:rsid w:val="0026152C"/>
    <w:rsid w:val="00261575"/>
    <w:rsid w:val="002615A1"/>
    <w:rsid w:val="002616B6"/>
    <w:rsid w:val="002616CE"/>
    <w:rsid w:val="00261741"/>
    <w:rsid w:val="0026177C"/>
    <w:rsid w:val="002617BF"/>
    <w:rsid w:val="00261842"/>
    <w:rsid w:val="00261903"/>
    <w:rsid w:val="002619C2"/>
    <w:rsid w:val="00261BB3"/>
    <w:rsid w:val="00261C0D"/>
    <w:rsid w:val="00261C59"/>
    <w:rsid w:val="00261C60"/>
    <w:rsid w:val="00261D13"/>
    <w:rsid w:val="00261E8B"/>
    <w:rsid w:val="00261F72"/>
    <w:rsid w:val="00261F76"/>
    <w:rsid w:val="00262149"/>
    <w:rsid w:val="00262182"/>
    <w:rsid w:val="002621A3"/>
    <w:rsid w:val="002621E3"/>
    <w:rsid w:val="002622F9"/>
    <w:rsid w:val="00262476"/>
    <w:rsid w:val="0026262D"/>
    <w:rsid w:val="0026269D"/>
    <w:rsid w:val="002627BF"/>
    <w:rsid w:val="002627F0"/>
    <w:rsid w:val="0026281E"/>
    <w:rsid w:val="002628AB"/>
    <w:rsid w:val="002628EB"/>
    <w:rsid w:val="00262A11"/>
    <w:rsid w:val="00262A80"/>
    <w:rsid w:val="00262C03"/>
    <w:rsid w:val="00262CC0"/>
    <w:rsid w:val="00262D29"/>
    <w:rsid w:val="00262E4C"/>
    <w:rsid w:val="00262E9E"/>
    <w:rsid w:val="0026314A"/>
    <w:rsid w:val="00263156"/>
    <w:rsid w:val="002631C1"/>
    <w:rsid w:val="00263372"/>
    <w:rsid w:val="002633F9"/>
    <w:rsid w:val="00263533"/>
    <w:rsid w:val="00263591"/>
    <w:rsid w:val="0026359A"/>
    <w:rsid w:val="0026370A"/>
    <w:rsid w:val="0026379A"/>
    <w:rsid w:val="00263871"/>
    <w:rsid w:val="00263872"/>
    <w:rsid w:val="002638C5"/>
    <w:rsid w:val="00263A9B"/>
    <w:rsid w:val="00263B00"/>
    <w:rsid w:val="00263B83"/>
    <w:rsid w:val="00263D75"/>
    <w:rsid w:val="00263E27"/>
    <w:rsid w:val="00263E55"/>
    <w:rsid w:val="00263E70"/>
    <w:rsid w:val="00263EFB"/>
    <w:rsid w:val="00263FCD"/>
    <w:rsid w:val="0026402F"/>
    <w:rsid w:val="0026408E"/>
    <w:rsid w:val="00264117"/>
    <w:rsid w:val="00264219"/>
    <w:rsid w:val="00264294"/>
    <w:rsid w:val="002642A8"/>
    <w:rsid w:val="002643AD"/>
    <w:rsid w:val="002643C5"/>
    <w:rsid w:val="00264514"/>
    <w:rsid w:val="002647A3"/>
    <w:rsid w:val="002649EE"/>
    <w:rsid w:val="00264A1D"/>
    <w:rsid w:val="00264AF7"/>
    <w:rsid w:val="00264B79"/>
    <w:rsid w:val="00264CD8"/>
    <w:rsid w:val="00264DF5"/>
    <w:rsid w:val="00264E3E"/>
    <w:rsid w:val="00265078"/>
    <w:rsid w:val="0026513A"/>
    <w:rsid w:val="002652D4"/>
    <w:rsid w:val="002652DD"/>
    <w:rsid w:val="002653A2"/>
    <w:rsid w:val="00265495"/>
    <w:rsid w:val="002654E3"/>
    <w:rsid w:val="002655DA"/>
    <w:rsid w:val="00265617"/>
    <w:rsid w:val="0026573A"/>
    <w:rsid w:val="00265845"/>
    <w:rsid w:val="00265916"/>
    <w:rsid w:val="00265A89"/>
    <w:rsid w:val="00265AFD"/>
    <w:rsid w:val="00265BDA"/>
    <w:rsid w:val="00265E58"/>
    <w:rsid w:val="00265F43"/>
    <w:rsid w:val="00265F61"/>
    <w:rsid w:val="00265FA7"/>
    <w:rsid w:val="00265FE7"/>
    <w:rsid w:val="0026621B"/>
    <w:rsid w:val="0026626C"/>
    <w:rsid w:val="002663CC"/>
    <w:rsid w:val="00266453"/>
    <w:rsid w:val="002664A4"/>
    <w:rsid w:val="002664CA"/>
    <w:rsid w:val="002664E1"/>
    <w:rsid w:val="00266564"/>
    <w:rsid w:val="002665C9"/>
    <w:rsid w:val="00266859"/>
    <w:rsid w:val="002668FC"/>
    <w:rsid w:val="00266953"/>
    <w:rsid w:val="00266A26"/>
    <w:rsid w:val="00266B28"/>
    <w:rsid w:val="00266B5E"/>
    <w:rsid w:val="00266CBA"/>
    <w:rsid w:val="00266EE5"/>
    <w:rsid w:val="0026728D"/>
    <w:rsid w:val="002672D5"/>
    <w:rsid w:val="002673B4"/>
    <w:rsid w:val="002673B6"/>
    <w:rsid w:val="002674EB"/>
    <w:rsid w:val="00267527"/>
    <w:rsid w:val="0026756A"/>
    <w:rsid w:val="002675A2"/>
    <w:rsid w:val="002679ED"/>
    <w:rsid w:val="00267A30"/>
    <w:rsid w:val="00267AD3"/>
    <w:rsid w:val="00267BBA"/>
    <w:rsid w:val="00267BCB"/>
    <w:rsid w:val="00267BD3"/>
    <w:rsid w:val="00267BEC"/>
    <w:rsid w:val="00267C6B"/>
    <w:rsid w:val="00267D4F"/>
    <w:rsid w:val="00267E72"/>
    <w:rsid w:val="00267E82"/>
    <w:rsid w:val="00267F08"/>
    <w:rsid w:val="00267F0D"/>
    <w:rsid w:val="00267F12"/>
    <w:rsid w:val="00270047"/>
    <w:rsid w:val="00270066"/>
    <w:rsid w:val="002701C2"/>
    <w:rsid w:val="002701CF"/>
    <w:rsid w:val="00270305"/>
    <w:rsid w:val="00270344"/>
    <w:rsid w:val="002703AC"/>
    <w:rsid w:val="0027047A"/>
    <w:rsid w:val="0027049F"/>
    <w:rsid w:val="002705B5"/>
    <w:rsid w:val="00270786"/>
    <w:rsid w:val="002707C1"/>
    <w:rsid w:val="002707DD"/>
    <w:rsid w:val="002707EF"/>
    <w:rsid w:val="00270860"/>
    <w:rsid w:val="002708EC"/>
    <w:rsid w:val="00270A5F"/>
    <w:rsid w:val="00270A90"/>
    <w:rsid w:val="00270AAC"/>
    <w:rsid w:val="00270CAD"/>
    <w:rsid w:val="00270CD1"/>
    <w:rsid w:val="00270CD6"/>
    <w:rsid w:val="00270D5A"/>
    <w:rsid w:val="00270E0C"/>
    <w:rsid w:val="00270ED1"/>
    <w:rsid w:val="00270F24"/>
    <w:rsid w:val="00270F2A"/>
    <w:rsid w:val="00270F5F"/>
    <w:rsid w:val="00270FAA"/>
    <w:rsid w:val="002710F9"/>
    <w:rsid w:val="0027113E"/>
    <w:rsid w:val="00271275"/>
    <w:rsid w:val="00271288"/>
    <w:rsid w:val="00271330"/>
    <w:rsid w:val="00271381"/>
    <w:rsid w:val="00271448"/>
    <w:rsid w:val="00271494"/>
    <w:rsid w:val="00271599"/>
    <w:rsid w:val="002715BF"/>
    <w:rsid w:val="002715DF"/>
    <w:rsid w:val="00271601"/>
    <w:rsid w:val="00271655"/>
    <w:rsid w:val="0027172D"/>
    <w:rsid w:val="0027177F"/>
    <w:rsid w:val="002717E0"/>
    <w:rsid w:val="00271836"/>
    <w:rsid w:val="00271865"/>
    <w:rsid w:val="00271A2A"/>
    <w:rsid w:val="00271BE6"/>
    <w:rsid w:val="00271C45"/>
    <w:rsid w:val="00271DA5"/>
    <w:rsid w:val="00271DF0"/>
    <w:rsid w:val="00271DF4"/>
    <w:rsid w:val="00271E8A"/>
    <w:rsid w:val="00271EC6"/>
    <w:rsid w:val="00271F41"/>
    <w:rsid w:val="00271FD5"/>
    <w:rsid w:val="002720F4"/>
    <w:rsid w:val="002721D9"/>
    <w:rsid w:val="00272266"/>
    <w:rsid w:val="00272282"/>
    <w:rsid w:val="00272343"/>
    <w:rsid w:val="00272356"/>
    <w:rsid w:val="00272359"/>
    <w:rsid w:val="00272510"/>
    <w:rsid w:val="00272521"/>
    <w:rsid w:val="00272568"/>
    <w:rsid w:val="002726B8"/>
    <w:rsid w:val="002726E7"/>
    <w:rsid w:val="00272701"/>
    <w:rsid w:val="002727BC"/>
    <w:rsid w:val="002728D7"/>
    <w:rsid w:val="00272A30"/>
    <w:rsid w:val="00272A81"/>
    <w:rsid w:val="00272AF3"/>
    <w:rsid w:val="00272C1F"/>
    <w:rsid w:val="00272CAD"/>
    <w:rsid w:val="00272E77"/>
    <w:rsid w:val="00272FE5"/>
    <w:rsid w:val="0027305F"/>
    <w:rsid w:val="002730E8"/>
    <w:rsid w:val="00273302"/>
    <w:rsid w:val="00273359"/>
    <w:rsid w:val="002734EB"/>
    <w:rsid w:val="0027351F"/>
    <w:rsid w:val="00273592"/>
    <w:rsid w:val="00273932"/>
    <w:rsid w:val="0027396F"/>
    <w:rsid w:val="002739B7"/>
    <w:rsid w:val="002739DE"/>
    <w:rsid w:val="00273B70"/>
    <w:rsid w:val="00273BB8"/>
    <w:rsid w:val="00273C0E"/>
    <w:rsid w:val="00273C63"/>
    <w:rsid w:val="00273E40"/>
    <w:rsid w:val="00273EF2"/>
    <w:rsid w:val="00273F75"/>
    <w:rsid w:val="00273FBD"/>
    <w:rsid w:val="0027405B"/>
    <w:rsid w:val="0027408B"/>
    <w:rsid w:val="002740DA"/>
    <w:rsid w:val="0027427A"/>
    <w:rsid w:val="0027436D"/>
    <w:rsid w:val="00274499"/>
    <w:rsid w:val="002744EF"/>
    <w:rsid w:val="00274569"/>
    <w:rsid w:val="00274599"/>
    <w:rsid w:val="002745D3"/>
    <w:rsid w:val="00274643"/>
    <w:rsid w:val="00274690"/>
    <w:rsid w:val="0027477C"/>
    <w:rsid w:val="002749A1"/>
    <w:rsid w:val="00274A16"/>
    <w:rsid w:val="00274AD5"/>
    <w:rsid w:val="00274C22"/>
    <w:rsid w:val="00274DAE"/>
    <w:rsid w:val="00274DF2"/>
    <w:rsid w:val="00274E1D"/>
    <w:rsid w:val="00274EC8"/>
    <w:rsid w:val="00274F63"/>
    <w:rsid w:val="00274FAA"/>
    <w:rsid w:val="002750D9"/>
    <w:rsid w:val="002750EC"/>
    <w:rsid w:val="00275160"/>
    <w:rsid w:val="00275167"/>
    <w:rsid w:val="0027522C"/>
    <w:rsid w:val="00275282"/>
    <w:rsid w:val="002752C7"/>
    <w:rsid w:val="00275470"/>
    <w:rsid w:val="002754AB"/>
    <w:rsid w:val="00275821"/>
    <w:rsid w:val="00275824"/>
    <w:rsid w:val="0027582C"/>
    <w:rsid w:val="00275895"/>
    <w:rsid w:val="002758C5"/>
    <w:rsid w:val="00275943"/>
    <w:rsid w:val="0027597E"/>
    <w:rsid w:val="002759FE"/>
    <w:rsid w:val="00275AE1"/>
    <w:rsid w:val="00275B38"/>
    <w:rsid w:val="00275B86"/>
    <w:rsid w:val="00275C75"/>
    <w:rsid w:val="00275CEE"/>
    <w:rsid w:val="00275D33"/>
    <w:rsid w:val="00275D39"/>
    <w:rsid w:val="00275F11"/>
    <w:rsid w:val="00275F32"/>
    <w:rsid w:val="00276074"/>
    <w:rsid w:val="002760DA"/>
    <w:rsid w:val="00276107"/>
    <w:rsid w:val="0027615A"/>
    <w:rsid w:val="002761D7"/>
    <w:rsid w:val="00276349"/>
    <w:rsid w:val="00276399"/>
    <w:rsid w:val="002763F0"/>
    <w:rsid w:val="00276445"/>
    <w:rsid w:val="00276460"/>
    <w:rsid w:val="002764A0"/>
    <w:rsid w:val="00276544"/>
    <w:rsid w:val="00276555"/>
    <w:rsid w:val="0027658A"/>
    <w:rsid w:val="002765F8"/>
    <w:rsid w:val="00276754"/>
    <w:rsid w:val="002768B4"/>
    <w:rsid w:val="00276A21"/>
    <w:rsid w:val="00276A97"/>
    <w:rsid w:val="00276B4A"/>
    <w:rsid w:val="00276BF5"/>
    <w:rsid w:val="00276C21"/>
    <w:rsid w:val="00276C3B"/>
    <w:rsid w:val="00276EFD"/>
    <w:rsid w:val="00276FA2"/>
    <w:rsid w:val="00277127"/>
    <w:rsid w:val="00277160"/>
    <w:rsid w:val="00277180"/>
    <w:rsid w:val="002771F3"/>
    <w:rsid w:val="00277351"/>
    <w:rsid w:val="0027746F"/>
    <w:rsid w:val="002775BD"/>
    <w:rsid w:val="00277928"/>
    <w:rsid w:val="0027794E"/>
    <w:rsid w:val="002779D8"/>
    <w:rsid w:val="00277A05"/>
    <w:rsid w:val="00277A10"/>
    <w:rsid w:val="00277B0B"/>
    <w:rsid w:val="00277D79"/>
    <w:rsid w:val="00277EDB"/>
    <w:rsid w:val="00277F1C"/>
    <w:rsid w:val="0028013D"/>
    <w:rsid w:val="002801D0"/>
    <w:rsid w:val="00280279"/>
    <w:rsid w:val="0028032A"/>
    <w:rsid w:val="00280398"/>
    <w:rsid w:val="0028039D"/>
    <w:rsid w:val="0028042D"/>
    <w:rsid w:val="0028047C"/>
    <w:rsid w:val="002804B3"/>
    <w:rsid w:val="002804EF"/>
    <w:rsid w:val="00280556"/>
    <w:rsid w:val="0028055E"/>
    <w:rsid w:val="002805A4"/>
    <w:rsid w:val="0028071B"/>
    <w:rsid w:val="00280795"/>
    <w:rsid w:val="00280799"/>
    <w:rsid w:val="002807A5"/>
    <w:rsid w:val="002807E1"/>
    <w:rsid w:val="00280827"/>
    <w:rsid w:val="00280855"/>
    <w:rsid w:val="0028091D"/>
    <w:rsid w:val="0028092E"/>
    <w:rsid w:val="002809CF"/>
    <w:rsid w:val="00280B60"/>
    <w:rsid w:val="00280BA6"/>
    <w:rsid w:val="00280BDD"/>
    <w:rsid w:val="00280C3F"/>
    <w:rsid w:val="00280D53"/>
    <w:rsid w:val="00280D87"/>
    <w:rsid w:val="00280E5F"/>
    <w:rsid w:val="0028101D"/>
    <w:rsid w:val="0028105E"/>
    <w:rsid w:val="002810DF"/>
    <w:rsid w:val="00281229"/>
    <w:rsid w:val="0028123D"/>
    <w:rsid w:val="00281263"/>
    <w:rsid w:val="00281583"/>
    <w:rsid w:val="00281630"/>
    <w:rsid w:val="002816F2"/>
    <w:rsid w:val="002818C8"/>
    <w:rsid w:val="00281941"/>
    <w:rsid w:val="00281AFD"/>
    <w:rsid w:val="00281B0A"/>
    <w:rsid w:val="00281B21"/>
    <w:rsid w:val="00281B72"/>
    <w:rsid w:val="00281BFC"/>
    <w:rsid w:val="00281CE8"/>
    <w:rsid w:val="00281D11"/>
    <w:rsid w:val="00281D3E"/>
    <w:rsid w:val="00281D9E"/>
    <w:rsid w:val="00281E95"/>
    <w:rsid w:val="00281EA7"/>
    <w:rsid w:val="00282081"/>
    <w:rsid w:val="00282331"/>
    <w:rsid w:val="002824C2"/>
    <w:rsid w:val="002824C8"/>
    <w:rsid w:val="00282527"/>
    <w:rsid w:val="00282579"/>
    <w:rsid w:val="00282659"/>
    <w:rsid w:val="002826F4"/>
    <w:rsid w:val="0028270E"/>
    <w:rsid w:val="0028275E"/>
    <w:rsid w:val="002827F8"/>
    <w:rsid w:val="0028280D"/>
    <w:rsid w:val="002828AB"/>
    <w:rsid w:val="002828B7"/>
    <w:rsid w:val="002828F7"/>
    <w:rsid w:val="0028291E"/>
    <w:rsid w:val="00282936"/>
    <w:rsid w:val="00282AE7"/>
    <w:rsid w:val="00282B10"/>
    <w:rsid w:val="00282C2C"/>
    <w:rsid w:val="00282ED4"/>
    <w:rsid w:val="00282FC2"/>
    <w:rsid w:val="00283034"/>
    <w:rsid w:val="002830DB"/>
    <w:rsid w:val="00283114"/>
    <w:rsid w:val="0028313B"/>
    <w:rsid w:val="0028317A"/>
    <w:rsid w:val="0028324D"/>
    <w:rsid w:val="002832D8"/>
    <w:rsid w:val="00283417"/>
    <w:rsid w:val="0028342A"/>
    <w:rsid w:val="00283484"/>
    <w:rsid w:val="002834C4"/>
    <w:rsid w:val="00283537"/>
    <w:rsid w:val="002835C0"/>
    <w:rsid w:val="0028360E"/>
    <w:rsid w:val="00283646"/>
    <w:rsid w:val="00283680"/>
    <w:rsid w:val="0028373E"/>
    <w:rsid w:val="0028382A"/>
    <w:rsid w:val="00283ACA"/>
    <w:rsid w:val="00283BAA"/>
    <w:rsid w:val="00283D0A"/>
    <w:rsid w:val="00283D4D"/>
    <w:rsid w:val="00283DE9"/>
    <w:rsid w:val="00283EFC"/>
    <w:rsid w:val="00284095"/>
    <w:rsid w:val="002840FD"/>
    <w:rsid w:val="0028416B"/>
    <w:rsid w:val="0028436B"/>
    <w:rsid w:val="00284611"/>
    <w:rsid w:val="0028479C"/>
    <w:rsid w:val="0028485F"/>
    <w:rsid w:val="00284862"/>
    <w:rsid w:val="00284887"/>
    <w:rsid w:val="00284ADB"/>
    <w:rsid w:val="00284B24"/>
    <w:rsid w:val="00284D0E"/>
    <w:rsid w:val="00284D8A"/>
    <w:rsid w:val="00284DC4"/>
    <w:rsid w:val="00284DEB"/>
    <w:rsid w:val="00284E15"/>
    <w:rsid w:val="00284E8F"/>
    <w:rsid w:val="00284EE0"/>
    <w:rsid w:val="00284F18"/>
    <w:rsid w:val="002850A1"/>
    <w:rsid w:val="002851D1"/>
    <w:rsid w:val="0028521F"/>
    <w:rsid w:val="00285230"/>
    <w:rsid w:val="00285337"/>
    <w:rsid w:val="002853E1"/>
    <w:rsid w:val="0028543A"/>
    <w:rsid w:val="002857DB"/>
    <w:rsid w:val="002857E8"/>
    <w:rsid w:val="00285804"/>
    <w:rsid w:val="002859BC"/>
    <w:rsid w:val="002859EC"/>
    <w:rsid w:val="00285A59"/>
    <w:rsid w:val="00285B37"/>
    <w:rsid w:val="00285C9F"/>
    <w:rsid w:val="00285CB4"/>
    <w:rsid w:val="00285DBC"/>
    <w:rsid w:val="00285DF6"/>
    <w:rsid w:val="00285E52"/>
    <w:rsid w:val="00286004"/>
    <w:rsid w:val="0028625A"/>
    <w:rsid w:val="00286395"/>
    <w:rsid w:val="00286396"/>
    <w:rsid w:val="00286401"/>
    <w:rsid w:val="00286480"/>
    <w:rsid w:val="002864A4"/>
    <w:rsid w:val="002864BE"/>
    <w:rsid w:val="00286579"/>
    <w:rsid w:val="002865D8"/>
    <w:rsid w:val="002865F7"/>
    <w:rsid w:val="002866F3"/>
    <w:rsid w:val="0028682A"/>
    <w:rsid w:val="0028685B"/>
    <w:rsid w:val="00286966"/>
    <w:rsid w:val="002869FE"/>
    <w:rsid w:val="00286A53"/>
    <w:rsid w:val="00286AB5"/>
    <w:rsid w:val="00286AF5"/>
    <w:rsid w:val="00286BCF"/>
    <w:rsid w:val="00286BEA"/>
    <w:rsid w:val="00286C34"/>
    <w:rsid w:val="00286C3B"/>
    <w:rsid w:val="00286C84"/>
    <w:rsid w:val="00286E0D"/>
    <w:rsid w:val="00286F0B"/>
    <w:rsid w:val="00286F26"/>
    <w:rsid w:val="0028703B"/>
    <w:rsid w:val="00287082"/>
    <w:rsid w:val="00287331"/>
    <w:rsid w:val="002873C6"/>
    <w:rsid w:val="002873DF"/>
    <w:rsid w:val="00287485"/>
    <w:rsid w:val="00287590"/>
    <w:rsid w:val="002876D7"/>
    <w:rsid w:val="002876E5"/>
    <w:rsid w:val="002877E5"/>
    <w:rsid w:val="002877FD"/>
    <w:rsid w:val="00287883"/>
    <w:rsid w:val="002878A2"/>
    <w:rsid w:val="002879D0"/>
    <w:rsid w:val="002879E9"/>
    <w:rsid w:val="00287B45"/>
    <w:rsid w:val="00287B57"/>
    <w:rsid w:val="00287C89"/>
    <w:rsid w:val="00287D25"/>
    <w:rsid w:val="00287D30"/>
    <w:rsid w:val="00287DD6"/>
    <w:rsid w:val="00287F3D"/>
    <w:rsid w:val="00290018"/>
    <w:rsid w:val="00290160"/>
    <w:rsid w:val="00290228"/>
    <w:rsid w:val="00290336"/>
    <w:rsid w:val="00290410"/>
    <w:rsid w:val="00290433"/>
    <w:rsid w:val="0029047B"/>
    <w:rsid w:val="002904D1"/>
    <w:rsid w:val="002904E6"/>
    <w:rsid w:val="0029054A"/>
    <w:rsid w:val="002905A6"/>
    <w:rsid w:val="00290681"/>
    <w:rsid w:val="00290684"/>
    <w:rsid w:val="0029069A"/>
    <w:rsid w:val="00290714"/>
    <w:rsid w:val="0029071B"/>
    <w:rsid w:val="0029089E"/>
    <w:rsid w:val="0029094F"/>
    <w:rsid w:val="0029097D"/>
    <w:rsid w:val="00290B06"/>
    <w:rsid w:val="00290B4F"/>
    <w:rsid w:val="00290B68"/>
    <w:rsid w:val="00290C19"/>
    <w:rsid w:val="00290C42"/>
    <w:rsid w:val="00290D1C"/>
    <w:rsid w:val="00290E1D"/>
    <w:rsid w:val="00290EC4"/>
    <w:rsid w:val="00290EC8"/>
    <w:rsid w:val="00290F27"/>
    <w:rsid w:val="00290FFC"/>
    <w:rsid w:val="0029111A"/>
    <w:rsid w:val="00291122"/>
    <w:rsid w:val="00291128"/>
    <w:rsid w:val="002911BD"/>
    <w:rsid w:val="002911D9"/>
    <w:rsid w:val="002912A5"/>
    <w:rsid w:val="002915B5"/>
    <w:rsid w:val="00291629"/>
    <w:rsid w:val="0029164E"/>
    <w:rsid w:val="00291666"/>
    <w:rsid w:val="00291677"/>
    <w:rsid w:val="002916A6"/>
    <w:rsid w:val="00291887"/>
    <w:rsid w:val="002918C0"/>
    <w:rsid w:val="002918C2"/>
    <w:rsid w:val="002918EA"/>
    <w:rsid w:val="00291937"/>
    <w:rsid w:val="00291AAC"/>
    <w:rsid w:val="00291AE9"/>
    <w:rsid w:val="00291B27"/>
    <w:rsid w:val="00291B4C"/>
    <w:rsid w:val="00291C41"/>
    <w:rsid w:val="00291C5C"/>
    <w:rsid w:val="00291C73"/>
    <w:rsid w:val="00291D23"/>
    <w:rsid w:val="00291DCD"/>
    <w:rsid w:val="00291EE9"/>
    <w:rsid w:val="00291EF4"/>
    <w:rsid w:val="00291F4A"/>
    <w:rsid w:val="00292031"/>
    <w:rsid w:val="002920AB"/>
    <w:rsid w:val="00292140"/>
    <w:rsid w:val="00292233"/>
    <w:rsid w:val="002923AB"/>
    <w:rsid w:val="00292431"/>
    <w:rsid w:val="00292457"/>
    <w:rsid w:val="0029261D"/>
    <w:rsid w:val="00292635"/>
    <w:rsid w:val="0029263D"/>
    <w:rsid w:val="00292646"/>
    <w:rsid w:val="0029286E"/>
    <w:rsid w:val="002928A0"/>
    <w:rsid w:val="00292A28"/>
    <w:rsid w:val="00292C12"/>
    <w:rsid w:val="00292C23"/>
    <w:rsid w:val="00292D14"/>
    <w:rsid w:val="00292D75"/>
    <w:rsid w:val="00292D89"/>
    <w:rsid w:val="00292E85"/>
    <w:rsid w:val="00292F7C"/>
    <w:rsid w:val="00292FB1"/>
    <w:rsid w:val="0029315A"/>
    <w:rsid w:val="0029323E"/>
    <w:rsid w:val="00293386"/>
    <w:rsid w:val="002935D0"/>
    <w:rsid w:val="002935F7"/>
    <w:rsid w:val="00293607"/>
    <w:rsid w:val="00293644"/>
    <w:rsid w:val="00293667"/>
    <w:rsid w:val="0029370F"/>
    <w:rsid w:val="002938C2"/>
    <w:rsid w:val="002938CC"/>
    <w:rsid w:val="002938E3"/>
    <w:rsid w:val="00293998"/>
    <w:rsid w:val="002939EE"/>
    <w:rsid w:val="00293A06"/>
    <w:rsid w:val="00293BD9"/>
    <w:rsid w:val="00293C15"/>
    <w:rsid w:val="00293C5D"/>
    <w:rsid w:val="00293D4E"/>
    <w:rsid w:val="00293DA4"/>
    <w:rsid w:val="00293E2B"/>
    <w:rsid w:val="00293EDE"/>
    <w:rsid w:val="00293F3E"/>
    <w:rsid w:val="00293F6D"/>
    <w:rsid w:val="00294020"/>
    <w:rsid w:val="0029406A"/>
    <w:rsid w:val="002941BC"/>
    <w:rsid w:val="0029433F"/>
    <w:rsid w:val="0029441F"/>
    <w:rsid w:val="0029444F"/>
    <w:rsid w:val="0029453E"/>
    <w:rsid w:val="00294649"/>
    <w:rsid w:val="002946A9"/>
    <w:rsid w:val="002946B1"/>
    <w:rsid w:val="0029477B"/>
    <w:rsid w:val="00294852"/>
    <w:rsid w:val="002948A9"/>
    <w:rsid w:val="00294924"/>
    <w:rsid w:val="00294B38"/>
    <w:rsid w:val="00294BE8"/>
    <w:rsid w:val="00294F92"/>
    <w:rsid w:val="002950B7"/>
    <w:rsid w:val="002950B8"/>
    <w:rsid w:val="002950D5"/>
    <w:rsid w:val="002950ED"/>
    <w:rsid w:val="00295186"/>
    <w:rsid w:val="00295262"/>
    <w:rsid w:val="00295269"/>
    <w:rsid w:val="0029527C"/>
    <w:rsid w:val="002952D4"/>
    <w:rsid w:val="00295379"/>
    <w:rsid w:val="002953B9"/>
    <w:rsid w:val="0029547E"/>
    <w:rsid w:val="002954C2"/>
    <w:rsid w:val="0029553B"/>
    <w:rsid w:val="0029554B"/>
    <w:rsid w:val="002955E2"/>
    <w:rsid w:val="00295620"/>
    <w:rsid w:val="0029562C"/>
    <w:rsid w:val="002957EF"/>
    <w:rsid w:val="002958BA"/>
    <w:rsid w:val="00295C84"/>
    <w:rsid w:val="00295C85"/>
    <w:rsid w:val="00295E03"/>
    <w:rsid w:val="00295F0E"/>
    <w:rsid w:val="00295F53"/>
    <w:rsid w:val="00295FEC"/>
    <w:rsid w:val="0029612E"/>
    <w:rsid w:val="00296160"/>
    <w:rsid w:val="002961B8"/>
    <w:rsid w:val="002962DF"/>
    <w:rsid w:val="0029631A"/>
    <w:rsid w:val="00296612"/>
    <w:rsid w:val="002967EB"/>
    <w:rsid w:val="002968C2"/>
    <w:rsid w:val="002968F6"/>
    <w:rsid w:val="00296915"/>
    <w:rsid w:val="00296987"/>
    <w:rsid w:val="002969BB"/>
    <w:rsid w:val="00296A4E"/>
    <w:rsid w:val="00296AEA"/>
    <w:rsid w:val="00296BBA"/>
    <w:rsid w:val="00296E2B"/>
    <w:rsid w:val="00296EA4"/>
    <w:rsid w:val="00296ED6"/>
    <w:rsid w:val="00296EFB"/>
    <w:rsid w:val="00296F1D"/>
    <w:rsid w:val="00296FBD"/>
    <w:rsid w:val="0029704C"/>
    <w:rsid w:val="0029706E"/>
    <w:rsid w:val="0029709F"/>
    <w:rsid w:val="002971C2"/>
    <w:rsid w:val="0029746B"/>
    <w:rsid w:val="00297480"/>
    <w:rsid w:val="00297531"/>
    <w:rsid w:val="0029755E"/>
    <w:rsid w:val="0029764C"/>
    <w:rsid w:val="002976B2"/>
    <w:rsid w:val="002977BD"/>
    <w:rsid w:val="00297854"/>
    <w:rsid w:val="0029789A"/>
    <w:rsid w:val="00297C30"/>
    <w:rsid w:val="00297C39"/>
    <w:rsid w:val="00297D95"/>
    <w:rsid w:val="00297E0F"/>
    <w:rsid w:val="00297F4D"/>
    <w:rsid w:val="002A0085"/>
    <w:rsid w:val="002A03DB"/>
    <w:rsid w:val="002A0400"/>
    <w:rsid w:val="002A0405"/>
    <w:rsid w:val="002A0410"/>
    <w:rsid w:val="002A0441"/>
    <w:rsid w:val="002A046A"/>
    <w:rsid w:val="002A0479"/>
    <w:rsid w:val="002A0502"/>
    <w:rsid w:val="002A05FA"/>
    <w:rsid w:val="002A0638"/>
    <w:rsid w:val="002A0680"/>
    <w:rsid w:val="002A0799"/>
    <w:rsid w:val="002A079B"/>
    <w:rsid w:val="002A0803"/>
    <w:rsid w:val="002A08B0"/>
    <w:rsid w:val="002A0935"/>
    <w:rsid w:val="002A0945"/>
    <w:rsid w:val="002A0BA8"/>
    <w:rsid w:val="002A0C57"/>
    <w:rsid w:val="002A0CC7"/>
    <w:rsid w:val="002A0F81"/>
    <w:rsid w:val="002A1005"/>
    <w:rsid w:val="002A101A"/>
    <w:rsid w:val="002A1095"/>
    <w:rsid w:val="002A1171"/>
    <w:rsid w:val="002A11AD"/>
    <w:rsid w:val="002A120F"/>
    <w:rsid w:val="002A131B"/>
    <w:rsid w:val="002A1383"/>
    <w:rsid w:val="002A13AB"/>
    <w:rsid w:val="002A13AC"/>
    <w:rsid w:val="002A15B9"/>
    <w:rsid w:val="002A1669"/>
    <w:rsid w:val="002A1877"/>
    <w:rsid w:val="002A1889"/>
    <w:rsid w:val="002A192C"/>
    <w:rsid w:val="002A19B4"/>
    <w:rsid w:val="002A1A71"/>
    <w:rsid w:val="002A1BAA"/>
    <w:rsid w:val="002A1BC5"/>
    <w:rsid w:val="002A1CCC"/>
    <w:rsid w:val="002A1D59"/>
    <w:rsid w:val="002A2010"/>
    <w:rsid w:val="002A2019"/>
    <w:rsid w:val="002A2071"/>
    <w:rsid w:val="002A207E"/>
    <w:rsid w:val="002A20BE"/>
    <w:rsid w:val="002A21B4"/>
    <w:rsid w:val="002A2243"/>
    <w:rsid w:val="002A2301"/>
    <w:rsid w:val="002A23F7"/>
    <w:rsid w:val="002A2551"/>
    <w:rsid w:val="002A25D5"/>
    <w:rsid w:val="002A2811"/>
    <w:rsid w:val="002A2A7C"/>
    <w:rsid w:val="002A2B0C"/>
    <w:rsid w:val="002A2B2F"/>
    <w:rsid w:val="002A2D89"/>
    <w:rsid w:val="002A2D8C"/>
    <w:rsid w:val="002A2DDB"/>
    <w:rsid w:val="002A2E50"/>
    <w:rsid w:val="002A2F9C"/>
    <w:rsid w:val="002A2FEE"/>
    <w:rsid w:val="002A305B"/>
    <w:rsid w:val="002A318A"/>
    <w:rsid w:val="002A3276"/>
    <w:rsid w:val="002A33C7"/>
    <w:rsid w:val="002A344B"/>
    <w:rsid w:val="002A34DC"/>
    <w:rsid w:val="002A3522"/>
    <w:rsid w:val="002A352C"/>
    <w:rsid w:val="002A36DC"/>
    <w:rsid w:val="002A36E5"/>
    <w:rsid w:val="002A3868"/>
    <w:rsid w:val="002A3871"/>
    <w:rsid w:val="002A3954"/>
    <w:rsid w:val="002A398A"/>
    <w:rsid w:val="002A3B1F"/>
    <w:rsid w:val="002A3D5E"/>
    <w:rsid w:val="002A3D61"/>
    <w:rsid w:val="002A3DD2"/>
    <w:rsid w:val="002A3E55"/>
    <w:rsid w:val="002A3E93"/>
    <w:rsid w:val="002A3F04"/>
    <w:rsid w:val="002A4052"/>
    <w:rsid w:val="002A412B"/>
    <w:rsid w:val="002A42E3"/>
    <w:rsid w:val="002A45BA"/>
    <w:rsid w:val="002A46D3"/>
    <w:rsid w:val="002A474B"/>
    <w:rsid w:val="002A486A"/>
    <w:rsid w:val="002A490F"/>
    <w:rsid w:val="002A494A"/>
    <w:rsid w:val="002A494F"/>
    <w:rsid w:val="002A4976"/>
    <w:rsid w:val="002A4AFB"/>
    <w:rsid w:val="002A4CEF"/>
    <w:rsid w:val="002A4D10"/>
    <w:rsid w:val="002A4D70"/>
    <w:rsid w:val="002A4DC0"/>
    <w:rsid w:val="002A4EFF"/>
    <w:rsid w:val="002A4F7D"/>
    <w:rsid w:val="002A4F8F"/>
    <w:rsid w:val="002A4FBF"/>
    <w:rsid w:val="002A4FCB"/>
    <w:rsid w:val="002A5020"/>
    <w:rsid w:val="002A5040"/>
    <w:rsid w:val="002A5120"/>
    <w:rsid w:val="002A51AB"/>
    <w:rsid w:val="002A51F4"/>
    <w:rsid w:val="002A5456"/>
    <w:rsid w:val="002A545C"/>
    <w:rsid w:val="002A5496"/>
    <w:rsid w:val="002A55B1"/>
    <w:rsid w:val="002A5628"/>
    <w:rsid w:val="002A563D"/>
    <w:rsid w:val="002A56B3"/>
    <w:rsid w:val="002A585F"/>
    <w:rsid w:val="002A5953"/>
    <w:rsid w:val="002A595A"/>
    <w:rsid w:val="002A5A16"/>
    <w:rsid w:val="002A5C00"/>
    <w:rsid w:val="002A5C1D"/>
    <w:rsid w:val="002A5C65"/>
    <w:rsid w:val="002A5D62"/>
    <w:rsid w:val="002A5D89"/>
    <w:rsid w:val="002A5E10"/>
    <w:rsid w:val="002A5F03"/>
    <w:rsid w:val="002A5F2F"/>
    <w:rsid w:val="002A5F72"/>
    <w:rsid w:val="002A60D7"/>
    <w:rsid w:val="002A6109"/>
    <w:rsid w:val="002A6137"/>
    <w:rsid w:val="002A6185"/>
    <w:rsid w:val="002A6244"/>
    <w:rsid w:val="002A6357"/>
    <w:rsid w:val="002A6368"/>
    <w:rsid w:val="002A63F8"/>
    <w:rsid w:val="002A64CE"/>
    <w:rsid w:val="002A656F"/>
    <w:rsid w:val="002A6583"/>
    <w:rsid w:val="002A65BA"/>
    <w:rsid w:val="002A6744"/>
    <w:rsid w:val="002A6A72"/>
    <w:rsid w:val="002A6B38"/>
    <w:rsid w:val="002A6BA0"/>
    <w:rsid w:val="002A6C29"/>
    <w:rsid w:val="002A6D3A"/>
    <w:rsid w:val="002A6E13"/>
    <w:rsid w:val="002A6E25"/>
    <w:rsid w:val="002A6E51"/>
    <w:rsid w:val="002A6EA8"/>
    <w:rsid w:val="002A6F0C"/>
    <w:rsid w:val="002A6F1A"/>
    <w:rsid w:val="002A6F4A"/>
    <w:rsid w:val="002A7026"/>
    <w:rsid w:val="002A7306"/>
    <w:rsid w:val="002A7362"/>
    <w:rsid w:val="002A7430"/>
    <w:rsid w:val="002A74AB"/>
    <w:rsid w:val="002A75C1"/>
    <w:rsid w:val="002A76EB"/>
    <w:rsid w:val="002A7732"/>
    <w:rsid w:val="002A77D0"/>
    <w:rsid w:val="002A7A45"/>
    <w:rsid w:val="002A7AF2"/>
    <w:rsid w:val="002A7B2E"/>
    <w:rsid w:val="002A7BB5"/>
    <w:rsid w:val="002A7CD6"/>
    <w:rsid w:val="002A7E6B"/>
    <w:rsid w:val="002A7E80"/>
    <w:rsid w:val="002A7F11"/>
    <w:rsid w:val="002A7F52"/>
    <w:rsid w:val="002A7F55"/>
    <w:rsid w:val="002A7F5A"/>
    <w:rsid w:val="002B005E"/>
    <w:rsid w:val="002B02E3"/>
    <w:rsid w:val="002B0397"/>
    <w:rsid w:val="002B04B5"/>
    <w:rsid w:val="002B04D7"/>
    <w:rsid w:val="002B05B2"/>
    <w:rsid w:val="002B05C6"/>
    <w:rsid w:val="002B0622"/>
    <w:rsid w:val="002B06A8"/>
    <w:rsid w:val="002B06D7"/>
    <w:rsid w:val="002B0766"/>
    <w:rsid w:val="002B0820"/>
    <w:rsid w:val="002B0876"/>
    <w:rsid w:val="002B08B4"/>
    <w:rsid w:val="002B096C"/>
    <w:rsid w:val="002B09CD"/>
    <w:rsid w:val="002B0AB1"/>
    <w:rsid w:val="002B0B1E"/>
    <w:rsid w:val="002B0B64"/>
    <w:rsid w:val="002B0C0B"/>
    <w:rsid w:val="002B0E39"/>
    <w:rsid w:val="002B0E4F"/>
    <w:rsid w:val="002B0F14"/>
    <w:rsid w:val="002B1193"/>
    <w:rsid w:val="002B1561"/>
    <w:rsid w:val="002B1583"/>
    <w:rsid w:val="002B15FA"/>
    <w:rsid w:val="002B161A"/>
    <w:rsid w:val="002B169D"/>
    <w:rsid w:val="002B16EE"/>
    <w:rsid w:val="002B1887"/>
    <w:rsid w:val="002B1897"/>
    <w:rsid w:val="002B18D2"/>
    <w:rsid w:val="002B18D5"/>
    <w:rsid w:val="002B191A"/>
    <w:rsid w:val="002B19D7"/>
    <w:rsid w:val="002B1A59"/>
    <w:rsid w:val="002B1A6A"/>
    <w:rsid w:val="002B1AAD"/>
    <w:rsid w:val="002B1AB8"/>
    <w:rsid w:val="002B1AD1"/>
    <w:rsid w:val="002B1B7E"/>
    <w:rsid w:val="002B1BDB"/>
    <w:rsid w:val="002B1C47"/>
    <w:rsid w:val="002B1D69"/>
    <w:rsid w:val="002B1D6B"/>
    <w:rsid w:val="002B1D9D"/>
    <w:rsid w:val="002B1DA1"/>
    <w:rsid w:val="002B1E36"/>
    <w:rsid w:val="002B1EDE"/>
    <w:rsid w:val="002B1F67"/>
    <w:rsid w:val="002B2048"/>
    <w:rsid w:val="002B208C"/>
    <w:rsid w:val="002B20FD"/>
    <w:rsid w:val="002B2100"/>
    <w:rsid w:val="002B2146"/>
    <w:rsid w:val="002B2170"/>
    <w:rsid w:val="002B22D2"/>
    <w:rsid w:val="002B2380"/>
    <w:rsid w:val="002B2550"/>
    <w:rsid w:val="002B25E4"/>
    <w:rsid w:val="002B25F0"/>
    <w:rsid w:val="002B264B"/>
    <w:rsid w:val="002B2718"/>
    <w:rsid w:val="002B27A1"/>
    <w:rsid w:val="002B27CE"/>
    <w:rsid w:val="002B27D3"/>
    <w:rsid w:val="002B2904"/>
    <w:rsid w:val="002B2914"/>
    <w:rsid w:val="002B2983"/>
    <w:rsid w:val="002B29B2"/>
    <w:rsid w:val="002B2A53"/>
    <w:rsid w:val="002B2AB0"/>
    <w:rsid w:val="002B2B1E"/>
    <w:rsid w:val="002B2B3F"/>
    <w:rsid w:val="002B2B4D"/>
    <w:rsid w:val="002B2C5F"/>
    <w:rsid w:val="002B2CF6"/>
    <w:rsid w:val="002B2DB6"/>
    <w:rsid w:val="002B2E97"/>
    <w:rsid w:val="002B2FE8"/>
    <w:rsid w:val="002B3013"/>
    <w:rsid w:val="002B310E"/>
    <w:rsid w:val="002B314B"/>
    <w:rsid w:val="002B3177"/>
    <w:rsid w:val="002B32B3"/>
    <w:rsid w:val="002B341C"/>
    <w:rsid w:val="002B34A5"/>
    <w:rsid w:val="002B34DB"/>
    <w:rsid w:val="002B350F"/>
    <w:rsid w:val="002B35F4"/>
    <w:rsid w:val="002B36A8"/>
    <w:rsid w:val="002B36B3"/>
    <w:rsid w:val="002B3724"/>
    <w:rsid w:val="002B37B4"/>
    <w:rsid w:val="002B37C3"/>
    <w:rsid w:val="002B3879"/>
    <w:rsid w:val="002B3892"/>
    <w:rsid w:val="002B3A1E"/>
    <w:rsid w:val="002B3B8A"/>
    <w:rsid w:val="002B3BFF"/>
    <w:rsid w:val="002B3E88"/>
    <w:rsid w:val="002B3EC0"/>
    <w:rsid w:val="002B3F1C"/>
    <w:rsid w:val="002B3F4C"/>
    <w:rsid w:val="002B3FB9"/>
    <w:rsid w:val="002B4071"/>
    <w:rsid w:val="002B42C0"/>
    <w:rsid w:val="002B4431"/>
    <w:rsid w:val="002B4464"/>
    <w:rsid w:val="002B447B"/>
    <w:rsid w:val="002B449A"/>
    <w:rsid w:val="002B472A"/>
    <w:rsid w:val="002B4760"/>
    <w:rsid w:val="002B4765"/>
    <w:rsid w:val="002B47D6"/>
    <w:rsid w:val="002B4807"/>
    <w:rsid w:val="002B4853"/>
    <w:rsid w:val="002B4881"/>
    <w:rsid w:val="002B4A65"/>
    <w:rsid w:val="002B4BA4"/>
    <w:rsid w:val="002B4C3D"/>
    <w:rsid w:val="002B4C61"/>
    <w:rsid w:val="002B4E27"/>
    <w:rsid w:val="002B4ED9"/>
    <w:rsid w:val="002B4F07"/>
    <w:rsid w:val="002B5178"/>
    <w:rsid w:val="002B5252"/>
    <w:rsid w:val="002B5298"/>
    <w:rsid w:val="002B54BE"/>
    <w:rsid w:val="002B5590"/>
    <w:rsid w:val="002B5599"/>
    <w:rsid w:val="002B5641"/>
    <w:rsid w:val="002B5917"/>
    <w:rsid w:val="002B5AD8"/>
    <w:rsid w:val="002B5BC5"/>
    <w:rsid w:val="002B5C38"/>
    <w:rsid w:val="002B5D87"/>
    <w:rsid w:val="002B5D96"/>
    <w:rsid w:val="002B5DDF"/>
    <w:rsid w:val="002B5E0C"/>
    <w:rsid w:val="002B5E29"/>
    <w:rsid w:val="002B5F37"/>
    <w:rsid w:val="002B64EC"/>
    <w:rsid w:val="002B6637"/>
    <w:rsid w:val="002B665E"/>
    <w:rsid w:val="002B669F"/>
    <w:rsid w:val="002B6721"/>
    <w:rsid w:val="002B6785"/>
    <w:rsid w:val="002B67E1"/>
    <w:rsid w:val="002B6A95"/>
    <w:rsid w:val="002B6BB7"/>
    <w:rsid w:val="002B6C31"/>
    <w:rsid w:val="002B6D67"/>
    <w:rsid w:val="002B6DC1"/>
    <w:rsid w:val="002B6DDB"/>
    <w:rsid w:val="002B6DDD"/>
    <w:rsid w:val="002B6E66"/>
    <w:rsid w:val="002B6E6D"/>
    <w:rsid w:val="002B6E73"/>
    <w:rsid w:val="002B6EA4"/>
    <w:rsid w:val="002B6FCE"/>
    <w:rsid w:val="002B70C2"/>
    <w:rsid w:val="002B70E9"/>
    <w:rsid w:val="002B710B"/>
    <w:rsid w:val="002B715E"/>
    <w:rsid w:val="002B722C"/>
    <w:rsid w:val="002B72D3"/>
    <w:rsid w:val="002B767D"/>
    <w:rsid w:val="002B7923"/>
    <w:rsid w:val="002B795E"/>
    <w:rsid w:val="002B7A93"/>
    <w:rsid w:val="002B7C02"/>
    <w:rsid w:val="002B7E34"/>
    <w:rsid w:val="002B7E95"/>
    <w:rsid w:val="002B7F51"/>
    <w:rsid w:val="002C00B2"/>
    <w:rsid w:val="002C00C5"/>
    <w:rsid w:val="002C01D9"/>
    <w:rsid w:val="002C0378"/>
    <w:rsid w:val="002C038A"/>
    <w:rsid w:val="002C04FD"/>
    <w:rsid w:val="002C057D"/>
    <w:rsid w:val="002C073C"/>
    <w:rsid w:val="002C07EB"/>
    <w:rsid w:val="002C0868"/>
    <w:rsid w:val="002C09B7"/>
    <w:rsid w:val="002C09BE"/>
    <w:rsid w:val="002C09E3"/>
    <w:rsid w:val="002C0A2F"/>
    <w:rsid w:val="002C0B63"/>
    <w:rsid w:val="002C0BFA"/>
    <w:rsid w:val="002C0C20"/>
    <w:rsid w:val="002C0D00"/>
    <w:rsid w:val="002C0D85"/>
    <w:rsid w:val="002C0D93"/>
    <w:rsid w:val="002C0E1C"/>
    <w:rsid w:val="002C104C"/>
    <w:rsid w:val="002C107F"/>
    <w:rsid w:val="002C12E4"/>
    <w:rsid w:val="002C132F"/>
    <w:rsid w:val="002C1370"/>
    <w:rsid w:val="002C13FF"/>
    <w:rsid w:val="002C142D"/>
    <w:rsid w:val="002C1457"/>
    <w:rsid w:val="002C14D8"/>
    <w:rsid w:val="002C1511"/>
    <w:rsid w:val="002C165E"/>
    <w:rsid w:val="002C1674"/>
    <w:rsid w:val="002C16B2"/>
    <w:rsid w:val="002C16DF"/>
    <w:rsid w:val="002C16F9"/>
    <w:rsid w:val="002C16FF"/>
    <w:rsid w:val="002C17EB"/>
    <w:rsid w:val="002C1819"/>
    <w:rsid w:val="002C1837"/>
    <w:rsid w:val="002C183D"/>
    <w:rsid w:val="002C18CE"/>
    <w:rsid w:val="002C18F6"/>
    <w:rsid w:val="002C1A7D"/>
    <w:rsid w:val="002C1B45"/>
    <w:rsid w:val="002C1C23"/>
    <w:rsid w:val="002C1C8B"/>
    <w:rsid w:val="002C1D59"/>
    <w:rsid w:val="002C1D90"/>
    <w:rsid w:val="002C1DA6"/>
    <w:rsid w:val="002C1DCF"/>
    <w:rsid w:val="002C1E19"/>
    <w:rsid w:val="002C20D4"/>
    <w:rsid w:val="002C20EE"/>
    <w:rsid w:val="002C21B6"/>
    <w:rsid w:val="002C22B8"/>
    <w:rsid w:val="002C2319"/>
    <w:rsid w:val="002C2368"/>
    <w:rsid w:val="002C252C"/>
    <w:rsid w:val="002C253A"/>
    <w:rsid w:val="002C2655"/>
    <w:rsid w:val="002C27F5"/>
    <w:rsid w:val="002C2837"/>
    <w:rsid w:val="002C2866"/>
    <w:rsid w:val="002C297D"/>
    <w:rsid w:val="002C2987"/>
    <w:rsid w:val="002C29A9"/>
    <w:rsid w:val="002C2AB8"/>
    <w:rsid w:val="002C2AFD"/>
    <w:rsid w:val="002C2B42"/>
    <w:rsid w:val="002C2C8D"/>
    <w:rsid w:val="002C2CA8"/>
    <w:rsid w:val="002C2CCC"/>
    <w:rsid w:val="002C2D05"/>
    <w:rsid w:val="002C2E7D"/>
    <w:rsid w:val="002C306E"/>
    <w:rsid w:val="002C3076"/>
    <w:rsid w:val="002C30FD"/>
    <w:rsid w:val="002C31D6"/>
    <w:rsid w:val="002C3231"/>
    <w:rsid w:val="002C325D"/>
    <w:rsid w:val="002C32F1"/>
    <w:rsid w:val="002C333C"/>
    <w:rsid w:val="002C344A"/>
    <w:rsid w:val="002C3458"/>
    <w:rsid w:val="002C351E"/>
    <w:rsid w:val="002C3764"/>
    <w:rsid w:val="002C37C6"/>
    <w:rsid w:val="002C3809"/>
    <w:rsid w:val="002C3861"/>
    <w:rsid w:val="002C386E"/>
    <w:rsid w:val="002C38EC"/>
    <w:rsid w:val="002C3928"/>
    <w:rsid w:val="002C3959"/>
    <w:rsid w:val="002C3A4F"/>
    <w:rsid w:val="002C3A50"/>
    <w:rsid w:val="002C3AE8"/>
    <w:rsid w:val="002C3B17"/>
    <w:rsid w:val="002C3C76"/>
    <w:rsid w:val="002C3CDA"/>
    <w:rsid w:val="002C3CDD"/>
    <w:rsid w:val="002C3D4A"/>
    <w:rsid w:val="002C3E7D"/>
    <w:rsid w:val="002C3E89"/>
    <w:rsid w:val="002C3F4A"/>
    <w:rsid w:val="002C417D"/>
    <w:rsid w:val="002C4556"/>
    <w:rsid w:val="002C46E2"/>
    <w:rsid w:val="002C47BA"/>
    <w:rsid w:val="002C4823"/>
    <w:rsid w:val="002C4837"/>
    <w:rsid w:val="002C4865"/>
    <w:rsid w:val="002C49DC"/>
    <w:rsid w:val="002C49FB"/>
    <w:rsid w:val="002C4A13"/>
    <w:rsid w:val="002C4A3E"/>
    <w:rsid w:val="002C4AA8"/>
    <w:rsid w:val="002C4B25"/>
    <w:rsid w:val="002C4B76"/>
    <w:rsid w:val="002C4BF6"/>
    <w:rsid w:val="002C4CFB"/>
    <w:rsid w:val="002C4D24"/>
    <w:rsid w:val="002C4D96"/>
    <w:rsid w:val="002C4E35"/>
    <w:rsid w:val="002C4EBB"/>
    <w:rsid w:val="002C4ED5"/>
    <w:rsid w:val="002C4EDB"/>
    <w:rsid w:val="002C4F43"/>
    <w:rsid w:val="002C4FCB"/>
    <w:rsid w:val="002C4FE0"/>
    <w:rsid w:val="002C506F"/>
    <w:rsid w:val="002C5109"/>
    <w:rsid w:val="002C515B"/>
    <w:rsid w:val="002C531D"/>
    <w:rsid w:val="002C5384"/>
    <w:rsid w:val="002C5417"/>
    <w:rsid w:val="002C5448"/>
    <w:rsid w:val="002C5541"/>
    <w:rsid w:val="002C56F6"/>
    <w:rsid w:val="002C573C"/>
    <w:rsid w:val="002C5763"/>
    <w:rsid w:val="002C577B"/>
    <w:rsid w:val="002C585C"/>
    <w:rsid w:val="002C5865"/>
    <w:rsid w:val="002C59F4"/>
    <w:rsid w:val="002C5BD4"/>
    <w:rsid w:val="002C5C56"/>
    <w:rsid w:val="002C5C70"/>
    <w:rsid w:val="002C5CA1"/>
    <w:rsid w:val="002C5D1B"/>
    <w:rsid w:val="002C5DA7"/>
    <w:rsid w:val="002C5EB6"/>
    <w:rsid w:val="002C6056"/>
    <w:rsid w:val="002C606A"/>
    <w:rsid w:val="002C6149"/>
    <w:rsid w:val="002C6254"/>
    <w:rsid w:val="002C63C0"/>
    <w:rsid w:val="002C63C9"/>
    <w:rsid w:val="002C63E3"/>
    <w:rsid w:val="002C643C"/>
    <w:rsid w:val="002C64BE"/>
    <w:rsid w:val="002C654A"/>
    <w:rsid w:val="002C655B"/>
    <w:rsid w:val="002C6765"/>
    <w:rsid w:val="002C67F0"/>
    <w:rsid w:val="002C681F"/>
    <w:rsid w:val="002C6A7E"/>
    <w:rsid w:val="002C6B9C"/>
    <w:rsid w:val="002C6CB0"/>
    <w:rsid w:val="002C6D74"/>
    <w:rsid w:val="002C6D83"/>
    <w:rsid w:val="002C6E5E"/>
    <w:rsid w:val="002C6F57"/>
    <w:rsid w:val="002C6F8B"/>
    <w:rsid w:val="002C7046"/>
    <w:rsid w:val="002C70BC"/>
    <w:rsid w:val="002C719C"/>
    <w:rsid w:val="002C71CF"/>
    <w:rsid w:val="002C7239"/>
    <w:rsid w:val="002C72A8"/>
    <w:rsid w:val="002C739A"/>
    <w:rsid w:val="002C771C"/>
    <w:rsid w:val="002C77D1"/>
    <w:rsid w:val="002C77D3"/>
    <w:rsid w:val="002C791A"/>
    <w:rsid w:val="002C7A2E"/>
    <w:rsid w:val="002C7A69"/>
    <w:rsid w:val="002C7DE0"/>
    <w:rsid w:val="002C7E86"/>
    <w:rsid w:val="002C7F1D"/>
    <w:rsid w:val="002C7F74"/>
    <w:rsid w:val="002C7F7D"/>
    <w:rsid w:val="002D0147"/>
    <w:rsid w:val="002D01C8"/>
    <w:rsid w:val="002D01F0"/>
    <w:rsid w:val="002D0256"/>
    <w:rsid w:val="002D0261"/>
    <w:rsid w:val="002D02A8"/>
    <w:rsid w:val="002D039D"/>
    <w:rsid w:val="002D03E5"/>
    <w:rsid w:val="002D0480"/>
    <w:rsid w:val="002D05E0"/>
    <w:rsid w:val="002D0603"/>
    <w:rsid w:val="002D0617"/>
    <w:rsid w:val="002D092B"/>
    <w:rsid w:val="002D09EA"/>
    <w:rsid w:val="002D0AE2"/>
    <w:rsid w:val="002D0C1F"/>
    <w:rsid w:val="002D0C6D"/>
    <w:rsid w:val="002D0D1B"/>
    <w:rsid w:val="002D0DE7"/>
    <w:rsid w:val="002D0E81"/>
    <w:rsid w:val="002D1084"/>
    <w:rsid w:val="002D1131"/>
    <w:rsid w:val="002D118D"/>
    <w:rsid w:val="002D11FF"/>
    <w:rsid w:val="002D1372"/>
    <w:rsid w:val="002D1385"/>
    <w:rsid w:val="002D14A4"/>
    <w:rsid w:val="002D1584"/>
    <w:rsid w:val="002D15E5"/>
    <w:rsid w:val="002D1659"/>
    <w:rsid w:val="002D16D6"/>
    <w:rsid w:val="002D16F9"/>
    <w:rsid w:val="002D1763"/>
    <w:rsid w:val="002D180E"/>
    <w:rsid w:val="002D183E"/>
    <w:rsid w:val="002D18F9"/>
    <w:rsid w:val="002D1A08"/>
    <w:rsid w:val="002D1C07"/>
    <w:rsid w:val="002D1C9C"/>
    <w:rsid w:val="002D1D73"/>
    <w:rsid w:val="002D1DBE"/>
    <w:rsid w:val="002D1DDE"/>
    <w:rsid w:val="002D1E01"/>
    <w:rsid w:val="002D1E7F"/>
    <w:rsid w:val="002D1EA4"/>
    <w:rsid w:val="002D1FB3"/>
    <w:rsid w:val="002D1FB9"/>
    <w:rsid w:val="002D1FC2"/>
    <w:rsid w:val="002D20A2"/>
    <w:rsid w:val="002D2170"/>
    <w:rsid w:val="002D217A"/>
    <w:rsid w:val="002D218C"/>
    <w:rsid w:val="002D21F4"/>
    <w:rsid w:val="002D2227"/>
    <w:rsid w:val="002D2235"/>
    <w:rsid w:val="002D22C3"/>
    <w:rsid w:val="002D2318"/>
    <w:rsid w:val="002D2603"/>
    <w:rsid w:val="002D263E"/>
    <w:rsid w:val="002D26CC"/>
    <w:rsid w:val="002D26DD"/>
    <w:rsid w:val="002D278E"/>
    <w:rsid w:val="002D2977"/>
    <w:rsid w:val="002D2980"/>
    <w:rsid w:val="002D29D6"/>
    <w:rsid w:val="002D2A0D"/>
    <w:rsid w:val="002D2BBB"/>
    <w:rsid w:val="002D2C9A"/>
    <w:rsid w:val="002D2CD2"/>
    <w:rsid w:val="002D2D20"/>
    <w:rsid w:val="002D2DE9"/>
    <w:rsid w:val="002D2DF2"/>
    <w:rsid w:val="002D2E19"/>
    <w:rsid w:val="002D2E30"/>
    <w:rsid w:val="002D2E44"/>
    <w:rsid w:val="002D2F95"/>
    <w:rsid w:val="002D3057"/>
    <w:rsid w:val="002D312A"/>
    <w:rsid w:val="002D3196"/>
    <w:rsid w:val="002D32CE"/>
    <w:rsid w:val="002D3378"/>
    <w:rsid w:val="002D346A"/>
    <w:rsid w:val="002D35B2"/>
    <w:rsid w:val="002D3645"/>
    <w:rsid w:val="002D3697"/>
    <w:rsid w:val="002D38C6"/>
    <w:rsid w:val="002D38F6"/>
    <w:rsid w:val="002D3910"/>
    <w:rsid w:val="002D3926"/>
    <w:rsid w:val="002D395A"/>
    <w:rsid w:val="002D39B7"/>
    <w:rsid w:val="002D39D4"/>
    <w:rsid w:val="002D3A3A"/>
    <w:rsid w:val="002D3B39"/>
    <w:rsid w:val="002D3B51"/>
    <w:rsid w:val="002D3B8E"/>
    <w:rsid w:val="002D3D05"/>
    <w:rsid w:val="002D3D97"/>
    <w:rsid w:val="002D3EBB"/>
    <w:rsid w:val="002D3ECC"/>
    <w:rsid w:val="002D3FE2"/>
    <w:rsid w:val="002D3FF9"/>
    <w:rsid w:val="002D40DB"/>
    <w:rsid w:val="002D4109"/>
    <w:rsid w:val="002D410C"/>
    <w:rsid w:val="002D4153"/>
    <w:rsid w:val="002D4161"/>
    <w:rsid w:val="002D42A1"/>
    <w:rsid w:val="002D435C"/>
    <w:rsid w:val="002D4385"/>
    <w:rsid w:val="002D4487"/>
    <w:rsid w:val="002D4751"/>
    <w:rsid w:val="002D47C5"/>
    <w:rsid w:val="002D47EE"/>
    <w:rsid w:val="002D4819"/>
    <w:rsid w:val="002D48BB"/>
    <w:rsid w:val="002D497A"/>
    <w:rsid w:val="002D49D2"/>
    <w:rsid w:val="002D4A51"/>
    <w:rsid w:val="002D4A94"/>
    <w:rsid w:val="002D4BC8"/>
    <w:rsid w:val="002D4BEC"/>
    <w:rsid w:val="002D4C75"/>
    <w:rsid w:val="002D4E08"/>
    <w:rsid w:val="002D4EB8"/>
    <w:rsid w:val="002D4EC4"/>
    <w:rsid w:val="002D4ED6"/>
    <w:rsid w:val="002D4F8D"/>
    <w:rsid w:val="002D509F"/>
    <w:rsid w:val="002D50EB"/>
    <w:rsid w:val="002D517C"/>
    <w:rsid w:val="002D51D2"/>
    <w:rsid w:val="002D51E9"/>
    <w:rsid w:val="002D5221"/>
    <w:rsid w:val="002D53C9"/>
    <w:rsid w:val="002D54FF"/>
    <w:rsid w:val="002D5599"/>
    <w:rsid w:val="002D5689"/>
    <w:rsid w:val="002D5721"/>
    <w:rsid w:val="002D57B7"/>
    <w:rsid w:val="002D597D"/>
    <w:rsid w:val="002D5AE6"/>
    <w:rsid w:val="002D5B01"/>
    <w:rsid w:val="002D5CB7"/>
    <w:rsid w:val="002D5D31"/>
    <w:rsid w:val="002D5D4B"/>
    <w:rsid w:val="002D5E8D"/>
    <w:rsid w:val="002D6005"/>
    <w:rsid w:val="002D6118"/>
    <w:rsid w:val="002D61CD"/>
    <w:rsid w:val="002D61FC"/>
    <w:rsid w:val="002D62E1"/>
    <w:rsid w:val="002D6358"/>
    <w:rsid w:val="002D63F1"/>
    <w:rsid w:val="002D6491"/>
    <w:rsid w:val="002D64C4"/>
    <w:rsid w:val="002D65C7"/>
    <w:rsid w:val="002D6600"/>
    <w:rsid w:val="002D6667"/>
    <w:rsid w:val="002D669F"/>
    <w:rsid w:val="002D6747"/>
    <w:rsid w:val="002D687D"/>
    <w:rsid w:val="002D6884"/>
    <w:rsid w:val="002D6980"/>
    <w:rsid w:val="002D69B3"/>
    <w:rsid w:val="002D69BE"/>
    <w:rsid w:val="002D6A5F"/>
    <w:rsid w:val="002D6B2E"/>
    <w:rsid w:val="002D6C04"/>
    <w:rsid w:val="002D6D47"/>
    <w:rsid w:val="002D6E23"/>
    <w:rsid w:val="002D7080"/>
    <w:rsid w:val="002D70BD"/>
    <w:rsid w:val="002D70C0"/>
    <w:rsid w:val="002D715E"/>
    <w:rsid w:val="002D716D"/>
    <w:rsid w:val="002D719E"/>
    <w:rsid w:val="002D71C6"/>
    <w:rsid w:val="002D7208"/>
    <w:rsid w:val="002D73B2"/>
    <w:rsid w:val="002D76BB"/>
    <w:rsid w:val="002D7758"/>
    <w:rsid w:val="002D78F8"/>
    <w:rsid w:val="002D79A4"/>
    <w:rsid w:val="002D7A51"/>
    <w:rsid w:val="002D7A6F"/>
    <w:rsid w:val="002D7B43"/>
    <w:rsid w:val="002D7BF0"/>
    <w:rsid w:val="002D7D5A"/>
    <w:rsid w:val="002D7E38"/>
    <w:rsid w:val="002D7E49"/>
    <w:rsid w:val="002D7E5D"/>
    <w:rsid w:val="002D7FB4"/>
    <w:rsid w:val="002D7FCA"/>
    <w:rsid w:val="002E0128"/>
    <w:rsid w:val="002E0140"/>
    <w:rsid w:val="002E0193"/>
    <w:rsid w:val="002E01EC"/>
    <w:rsid w:val="002E031B"/>
    <w:rsid w:val="002E0370"/>
    <w:rsid w:val="002E03C1"/>
    <w:rsid w:val="002E040B"/>
    <w:rsid w:val="002E06B1"/>
    <w:rsid w:val="002E0799"/>
    <w:rsid w:val="002E0981"/>
    <w:rsid w:val="002E098C"/>
    <w:rsid w:val="002E0A85"/>
    <w:rsid w:val="002E0AAF"/>
    <w:rsid w:val="002E0B7F"/>
    <w:rsid w:val="002E0BEE"/>
    <w:rsid w:val="002E0BFC"/>
    <w:rsid w:val="002E0C14"/>
    <w:rsid w:val="002E0D8A"/>
    <w:rsid w:val="002E0F9E"/>
    <w:rsid w:val="002E0FF5"/>
    <w:rsid w:val="002E10F3"/>
    <w:rsid w:val="002E12B7"/>
    <w:rsid w:val="002E12D8"/>
    <w:rsid w:val="002E1343"/>
    <w:rsid w:val="002E1348"/>
    <w:rsid w:val="002E1565"/>
    <w:rsid w:val="002E1577"/>
    <w:rsid w:val="002E15CA"/>
    <w:rsid w:val="002E1916"/>
    <w:rsid w:val="002E1929"/>
    <w:rsid w:val="002E196B"/>
    <w:rsid w:val="002E1A7F"/>
    <w:rsid w:val="002E1A8A"/>
    <w:rsid w:val="002E1C76"/>
    <w:rsid w:val="002E1C88"/>
    <w:rsid w:val="002E1D68"/>
    <w:rsid w:val="002E1D7B"/>
    <w:rsid w:val="002E1E26"/>
    <w:rsid w:val="002E1E89"/>
    <w:rsid w:val="002E1EAD"/>
    <w:rsid w:val="002E2332"/>
    <w:rsid w:val="002E23AA"/>
    <w:rsid w:val="002E260F"/>
    <w:rsid w:val="002E2630"/>
    <w:rsid w:val="002E263C"/>
    <w:rsid w:val="002E26FC"/>
    <w:rsid w:val="002E283F"/>
    <w:rsid w:val="002E2973"/>
    <w:rsid w:val="002E2B40"/>
    <w:rsid w:val="002E2C05"/>
    <w:rsid w:val="002E2C32"/>
    <w:rsid w:val="002E2C48"/>
    <w:rsid w:val="002E2C5D"/>
    <w:rsid w:val="002E2D0A"/>
    <w:rsid w:val="002E2DDA"/>
    <w:rsid w:val="002E2F46"/>
    <w:rsid w:val="002E2FDF"/>
    <w:rsid w:val="002E31D4"/>
    <w:rsid w:val="002E33CF"/>
    <w:rsid w:val="002E33EF"/>
    <w:rsid w:val="002E3569"/>
    <w:rsid w:val="002E3604"/>
    <w:rsid w:val="002E3763"/>
    <w:rsid w:val="002E399D"/>
    <w:rsid w:val="002E3ABE"/>
    <w:rsid w:val="002E3B38"/>
    <w:rsid w:val="002E3B99"/>
    <w:rsid w:val="002E3C0C"/>
    <w:rsid w:val="002E3CD2"/>
    <w:rsid w:val="002E3D3C"/>
    <w:rsid w:val="002E3E9D"/>
    <w:rsid w:val="002E3E9F"/>
    <w:rsid w:val="002E3FCD"/>
    <w:rsid w:val="002E4045"/>
    <w:rsid w:val="002E4154"/>
    <w:rsid w:val="002E42FA"/>
    <w:rsid w:val="002E4371"/>
    <w:rsid w:val="002E4468"/>
    <w:rsid w:val="002E45B9"/>
    <w:rsid w:val="002E4658"/>
    <w:rsid w:val="002E46DC"/>
    <w:rsid w:val="002E4710"/>
    <w:rsid w:val="002E4808"/>
    <w:rsid w:val="002E48C1"/>
    <w:rsid w:val="002E48D1"/>
    <w:rsid w:val="002E4953"/>
    <w:rsid w:val="002E4A96"/>
    <w:rsid w:val="002E4BF8"/>
    <w:rsid w:val="002E4C3D"/>
    <w:rsid w:val="002E4C65"/>
    <w:rsid w:val="002E4CF4"/>
    <w:rsid w:val="002E4D7D"/>
    <w:rsid w:val="002E4DD6"/>
    <w:rsid w:val="002E4E01"/>
    <w:rsid w:val="002E4F6F"/>
    <w:rsid w:val="002E4F74"/>
    <w:rsid w:val="002E505A"/>
    <w:rsid w:val="002E506B"/>
    <w:rsid w:val="002E5190"/>
    <w:rsid w:val="002E51BF"/>
    <w:rsid w:val="002E52DA"/>
    <w:rsid w:val="002E53F9"/>
    <w:rsid w:val="002E5405"/>
    <w:rsid w:val="002E54A0"/>
    <w:rsid w:val="002E54AD"/>
    <w:rsid w:val="002E54DB"/>
    <w:rsid w:val="002E55E3"/>
    <w:rsid w:val="002E562E"/>
    <w:rsid w:val="002E56C2"/>
    <w:rsid w:val="002E56D0"/>
    <w:rsid w:val="002E56FA"/>
    <w:rsid w:val="002E578C"/>
    <w:rsid w:val="002E57D0"/>
    <w:rsid w:val="002E5902"/>
    <w:rsid w:val="002E594F"/>
    <w:rsid w:val="002E5952"/>
    <w:rsid w:val="002E59EC"/>
    <w:rsid w:val="002E5A2C"/>
    <w:rsid w:val="002E5A5F"/>
    <w:rsid w:val="002E5B82"/>
    <w:rsid w:val="002E5D04"/>
    <w:rsid w:val="002E5D9D"/>
    <w:rsid w:val="002E5EF7"/>
    <w:rsid w:val="002E5F93"/>
    <w:rsid w:val="002E6039"/>
    <w:rsid w:val="002E6074"/>
    <w:rsid w:val="002E60E8"/>
    <w:rsid w:val="002E6172"/>
    <w:rsid w:val="002E6213"/>
    <w:rsid w:val="002E623F"/>
    <w:rsid w:val="002E62ED"/>
    <w:rsid w:val="002E6456"/>
    <w:rsid w:val="002E64FF"/>
    <w:rsid w:val="002E6601"/>
    <w:rsid w:val="002E66AF"/>
    <w:rsid w:val="002E672D"/>
    <w:rsid w:val="002E6812"/>
    <w:rsid w:val="002E6891"/>
    <w:rsid w:val="002E6907"/>
    <w:rsid w:val="002E69B3"/>
    <w:rsid w:val="002E6A1C"/>
    <w:rsid w:val="002E6A9A"/>
    <w:rsid w:val="002E6B4C"/>
    <w:rsid w:val="002E6BBF"/>
    <w:rsid w:val="002E6E62"/>
    <w:rsid w:val="002E6EEA"/>
    <w:rsid w:val="002E6FE3"/>
    <w:rsid w:val="002E7078"/>
    <w:rsid w:val="002E70C8"/>
    <w:rsid w:val="002E72AE"/>
    <w:rsid w:val="002E739F"/>
    <w:rsid w:val="002E73F7"/>
    <w:rsid w:val="002E7420"/>
    <w:rsid w:val="002E74F0"/>
    <w:rsid w:val="002E7573"/>
    <w:rsid w:val="002E768C"/>
    <w:rsid w:val="002E7767"/>
    <w:rsid w:val="002E7A39"/>
    <w:rsid w:val="002E7B82"/>
    <w:rsid w:val="002E7C98"/>
    <w:rsid w:val="002E7CAE"/>
    <w:rsid w:val="002E7DCF"/>
    <w:rsid w:val="002E7EDF"/>
    <w:rsid w:val="002E7FE5"/>
    <w:rsid w:val="002F008C"/>
    <w:rsid w:val="002F00AF"/>
    <w:rsid w:val="002F0124"/>
    <w:rsid w:val="002F01E8"/>
    <w:rsid w:val="002F02CC"/>
    <w:rsid w:val="002F02F1"/>
    <w:rsid w:val="002F0305"/>
    <w:rsid w:val="002F0336"/>
    <w:rsid w:val="002F03B3"/>
    <w:rsid w:val="002F049E"/>
    <w:rsid w:val="002F0791"/>
    <w:rsid w:val="002F07CF"/>
    <w:rsid w:val="002F0944"/>
    <w:rsid w:val="002F097B"/>
    <w:rsid w:val="002F0A5C"/>
    <w:rsid w:val="002F0AAA"/>
    <w:rsid w:val="002F0AB5"/>
    <w:rsid w:val="002F0AB6"/>
    <w:rsid w:val="002F0BAC"/>
    <w:rsid w:val="002F0CF8"/>
    <w:rsid w:val="002F0EA9"/>
    <w:rsid w:val="002F0EEF"/>
    <w:rsid w:val="002F0FDD"/>
    <w:rsid w:val="002F1084"/>
    <w:rsid w:val="002F10F7"/>
    <w:rsid w:val="002F1135"/>
    <w:rsid w:val="002F11D0"/>
    <w:rsid w:val="002F1372"/>
    <w:rsid w:val="002F139A"/>
    <w:rsid w:val="002F13BA"/>
    <w:rsid w:val="002F14EA"/>
    <w:rsid w:val="002F179F"/>
    <w:rsid w:val="002F18A8"/>
    <w:rsid w:val="002F18E3"/>
    <w:rsid w:val="002F1AA0"/>
    <w:rsid w:val="002F1B47"/>
    <w:rsid w:val="002F1B7F"/>
    <w:rsid w:val="002F1C4F"/>
    <w:rsid w:val="002F1C6B"/>
    <w:rsid w:val="002F1C9E"/>
    <w:rsid w:val="002F1CAB"/>
    <w:rsid w:val="002F1CC1"/>
    <w:rsid w:val="002F1F72"/>
    <w:rsid w:val="002F1FF5"/>
    <w:rsid w:val="002F212C"/>
    <w:rsid w:val="002F2145"/>
    <w:rsid w:val="002F2194"/>
    <w:rsid w:val="002F21FD"/>
    <w:rsid w:val="002F22B4"/>
    <w:rsid w:val="002F2332"/>
    <w:rsid w:val="002F2415"/>
    <w:rsid w:val="002F245D"/>
    <w:rsid w:val="002F24C4"/>
    <w:rsid w:val="002F24E0"/>
    <w:rsid w:val="002F2552"/>
    <w:rsid w:val="002F25AF"/>
    <w:rsid w:val="002F2728"/>
    <w:rsid w:val="002F27E7"/>
    <w:rsid w:val="002F28EF"/>
    <w:rsid w:val="002F29C4"/>
    <w:rsid w:val="002F2AA2"/>
    <w:rsid w:val="002F2B33"/>
    <w:rsid w:val="002F2C00"/>
    <w:rsid w:val="002F2CCA"/>
    <w:rsid w:val="002F2D05"/>
    <w:rsid w:val="002F2DFC"/>
    <w:rsid w:val="002F2E0C"/>
    <w:rsid w:val="002F2F1B"/>
    <w:rsid w:val="002F2FB9"/>
    <w:rsid w:val="002F2FF2"/>
    <w:rsid w:val="002F3000"/>
    <w:rsid w:val="002F300B"/>
    <w:rsid w:val="002F3023"/>
    <w:rsid w:val="002F3151"/>
    <w:rsid w:val="002F32FD"/>
    <w:rsid w:val="002F3394"/>
    <w:rsid w:val="002F33BF"/>
    <w:rsid w:val="002F3682"/>
    <w:rsid w:val="002F379F"/>
    <w:rsid w:val="002F37AF"/>
    <w:rsid w:val="002F37FB"/>
    <w:rsid w:val="002F3804"/>
    <w:rsid w:val="002F3835"/>
    <w:rsid w:val="002F38A6"/>
    <w:rsid w:val="002F390B"/>
    <w:rsid w:val="002F3B81"/>
    <w:rsid w:val="002F3C87"/>
    <w:rsid w:val="002F3DF3"/>
    <w:rsid w:val="002F3E1A"/>
    <w:rsid w:val="002F3E27"/>
    <w:rsid w:val="002F3F23"/>
    <w:rsid w:val="002F4019"/>
    <w:rsid w:val="002F413F"/>
    <w:rsid w:val="002F4145"/>
    <w:rsid w:val="002F4151"/>
    <w:rsid w:val="002F43B6"/>
    <w:rsid w:val="002F43F0"/>
    <w:rsid w:val="002F447F"/>
    <w:rsid w:val="002F4540"/>
    <w:rsid w:val="002F4841"/>
    <w:rsid w:val="002F48EC"/>
    <w:rsid w:val="002F4983"/>
    <w:rsid w:val="002F4B5D"/>
    <w:rsid w:val="002F4BCE"/>
    <w:rsid w:val="002F4C90"/>
    <w:rsid w:val="002F4CA7"/>
    <w:rsid w:val="002F4D53"/>
    <w:rsid w:val="002F4E46"/>
    <w:rsid w:val="002F4F47"/>
    <w:rsid w:val="002F4FB6"/>
    <w:rsid w:val="002F5042"/>
    <w:rsid w:val="002F50A3"/>
    <w:rsid w:val="002F511A"/>
    <w:rsid w:val="002F512C"/>
    <w:rsid w:val="002F5239"/>
    <w:rsid w:val="002F527E"/>
    <w:rsid w:val="002F531B"/>
    <w:rsid w:val="002F53F7"/>
    <w:rsid w:val="002F5445"/>
    <w:rsid w:val="002F560B"/>
    <w:rsid w:val="002F5666"/>
    <w:rsid w:val="002F5759"/>
    <w:rsid w:val="002F5846"/>
    <w:rsid w:val="002F58D9"/>
    <w:rsid w:val="002F59DD"/>
    <w:rsid w:val="002F5A07"/>
    <w:rsid w:val="002F5A84"/>
    <w:rsid w:val="002F5BAB"/>
    <w:rsid w:val="002F5BE5"/>
    <w:rsid w:val="002F5D11"/>
    <w:rsid w:val="002F5F1F"/>
    <w:rsid w:val="002F60A3"/>
    <w:rsid w:val="002F60DB"/>
    <w:rsid w:val="002F6128"/>
    <w:rsid w:val="002F612B"/>
    <w:rsid w:val="002F62A2"/>
    <w:rsid w:val="002F62AD"/>
    <w:rsid w:val="002F630C"/>
    <w:rsid w:val="002F63EA"/>
    <w:rsid w:val="002F63FA"/>
    <w:rsid w:val="002F6496"/>
    <w:rsid w:val="002F6609"/>
    <w:rsid w:val="002F669E"/>
    <w:rsid w:val="002F66AC"/>
    <w:rsid w:val="002F66B7"/>
    <w:rsid w:val="002F66CA"/>
    <w:rsid w:val="002F67AE"/>
    <w:rsid w:val="002F68D9"/>
    <w:rsid w:val="002F6A30"/>
    <w:rsid w:val="002F6B46"/>
    <w:rsid w:val="002F6C09"/>
    <w:rsid w:val="002F6C2B"/>
    <w:rsid w:val="002F6C6F"/>
    <w:rsid w:val="002F6CE5"/>
    <w:rsid w:val="002F6D11"/>
    <w:rsid w:val="002F6D3D"/>
    <w:rsid w:val="002F6D58"/>
    <w:rsid w:val="002F6D8A"/>
    <w:rsid w:val="002F6DE3"/>
    <w:rsid w:val="002F6DF0"/>
    <w:rsid w:val="002F6E5A"/>
    <w:rsid w:val="002F6E77"/>
    <w:rsid w:val="002F6E80"/>
    <w:rsid w:val="002F6E85"/>
    <w:rsid w:val="002F6EFD"/>
    <w:rsid w:val="002F6F5F"/>
    <w:rsid w:val="002F70DC"/>
    <w:rsid w:val="002F715D"/>
    <w:rsid w:val="002F7203"/>
    <w:rsid w:val="002F74C5"/>
    <w:rsid w:val="002F74D0"/>
    <w:rsid w:val="002F75B5"/>
    <w:rsid w:val="002F76A1"/>
    <w:rsid w:val="002F76C1"/>
    <w:rsid w:val="002F76EB"/>
    <w:rsid w:val="002F76F6"/>
    <w:rsid w:val="002F771E"/>
    <w:rsid w:val="002F7722"/>
    <w:rsid w:val="002F77D3"/>
    <w:rsid w:val="002F77E2"/>
    <w:rsid w:val="002F78CC"/>
    <w:rsid w:val="002F7AEE"/>
    <w:rsid w:val="002F7B6A"/>
    <w:rsid w:val="002F7BFD"/>
    <w:rsid w:val="002F7CE5"/>
    <w:rsid w:val="002F7D2B"/>
    <w:rsid w:val="002F7D44"/>
    <w:rsid w:val="002F7D6B"/>
    <w:rsid w:val="002F7D6C"/>
    <w:rsid w:val="002F7D85"/>
    <w:rsid w:val="002F7F2A"/>
    <w:rsid w:val="002F7FB4"/>
    <w:rsid w:val="002FC0F5"/>
    <w:rsid w:val="0030002F"/>
    <w:rsid w:val="0030003D"/>
    <w:rsid w:val="003000E2"/>
    <w:rsid w:val="003000E3"/>
    <w:rsid w:val="00300110"/>
    <w:rsid w:val="003001D6"/>
    <w:rsid w:val="00300206"/>
    <w:rsid w:val="00300264"/>
    <w:rsid w:val="00300368"/>
    <w:rsid w:val="0030044D"/>
    <w:rsid w:val="00300570"/>
    <w:rsid w:val="003005BB"/>
    <w:rsid w:val="00300650"/>
    <w:rsid w:val="00300723"/>
    <w:rsid w:val="00300776"/>
    <w:rsid w:val="003007C8"/>
    <w:rsid w:val="003007CA"/>
    <w:rsid w:val="00300918"/>
    <w:rsid w:val="00300A11"/>
    <w:rsid w:val="00300B78"/>
    <w:rsid w:val="00300BC3"/>
    <w:rsid w:val="00300BD0"/>
    <w:rsid w:val="00300E90"/>
    <w:rsid w:val="00300E98"/>
    <w:rsid w:val="00300F03"/>
    <w:rsid w:val="00301000"/>
    <w:rsid w:val="0030102F"/>
    <w:rsid w:val="00301033"/>
    <w:rsid w:val="00301072"/>
    <w:rsid w:val="0030139F"/>
    <w:rsid w:val="0030151F"/>
    <w:rsid w:val="0030163B"/>
    <w:rsid w:val="003016F3"/>
    <w:rsid w:val="00301752"/>
    <w:rsid w:val="00301760"/>
    <w:rsid w:val="00301775"/>
    <w:rsid w:val="003018D9"/>
    <w:rsid w:val="00301980"/>
    <w:rsid w:val="00301A3C"/>
    <w:rsid w:val="00301ADC"/>
    <w:rsid w:val="00301ADD"/>
    <w:rsid w:val="00301B6E"/>
    <w:rsid w:val="00301D2F"/>
    <w:rsid w:val="00301D7C"/>
    <w:rsid w:val="00301F34"/>
    <w:rsid w:val="00301F38"/>
    <w:rsid w:val="00301F93"/>
    <w:rsid w:val="00301FE1"/>
    <w:rsid w:val="003020D9"/>
    <w:rsid w:val="003023DA"/>
    <w:rsid w:val="00302493"/>
    <w:rsid w:val="003024B9"/>
    <w:rsid w:val="003024E2"/>
    <w:rsid w:val="003025BA"/>
    <w:rsid w:val="003025FE"/>
    <w:rsid w:val="003027AA"/>
    <w:rsid w:val="00302834"/>
    <w:rsid w:val="00302920"/>
    <w:rsid w:val="00302C5D"/>
    <w:rsid w:val="00302CB5"/>
    <w:rsid w:val="00302D9D"/>
    <w:rsid w:val="00302E23"/>
    <w:rsid w:val="00302E26"/>
    <w:rsid w:val="003032CC"/>
    <w:rsid w:val="00303366"/>
    <w:rsid w:val="00303388"/>
    <w:rsid w:val="00303483"/>
    <w:rsid w:val="00303510"/>
    <w:rsid w:val="003035AF"/>
    <w:rsid w:val="0030361E"/>
    <w:rsid w:val="00303629"/>
    <w:rsid w:val="00303684"/>
    <w:rsid w:val="00303694"/>
    <w:rsid w:val="003036EF"/>
    <w:rsid w:val="003037A4"/>
    <w:rsid w:val="00303836"/>
    <w:rsid w:val="00303A36"/>
    <w:rsid w:val="00303CD3"/>
    <w:rsid w:val="00303FF5"/>
    <w:rsid w:val="00303FF6"/>
    <w:rsid w:val="003040E9"/>
    <w:rsid w:val="003040F0"/>
    <w:rsid w:val="00304219"/>
    <w:rsid w:val="0030424E"/>
    <w:rsid w:val="00304275"/>
    <w:rsid w:val="0030429C"/>
    <w:rsid w:val="0030431F"/>
    <w:rsid w:val="0030438C"/>
    <w:rsid w:val="003043E0"/>
    <w:rsid w:val="00304423"/>
    <w:rsid w:val="003044B0"/>
    <w:rsid w:val="003045BB"/>
    <w:rsid w:val="00304729"/>
    <w:rsid w:val="003047F9"/>
    <w:rsid w:val="0030483B"/>
    <w:rsid w:val="0030493B"/>
    <w:rsid w:val="003049E0"/>
    <w:rsid w:val="003049FE"/>
    <w:rsid w:val="00304AFD"/>
    <w:rsid w:val="00304B61"/>
    <w:rsid w:val="00304B77"/>
    <w:rsid w:val="00304B85"/>
    <w:rsid w:val="00304BBE"/>
    <w:rsid w:val="00304C3E"/>
    <w:rsid w:val="00304D41"/>
    <w:rsid w:val="00304D51"/>
    <w:rsid w:val="00304DE7"/>
    <w:rsid w:val="00304FB5"/>
    <w:rsid w:val="003050DE"/>
    <w:rsid w:val="003051C7"/>
    <w:rsid w:val="003051D7"/>
    <w:rsid w:val="0030527C"/>
    <w:rsid w:val="00305295"/>
    <w:rsid w:val="0030530A"/>
    <w:rsid w:val="003053F8"/>
    <w:rsid w:val="003054AF"/>
    <w:rsid w:val="003054C2"/>
    <w:rsid w:val="00305591"/>
    <w:rsid w:val="00305769"/>
    <w:rsid w:val="003057EB"/>
    <w:rsid w:val="0030585D"/>
    <w:rsid w:val="003058DF"/>
    <w:rsid w:val="003058FC"/>
    <w:rsid w:val="00305993"/>
    <w:rsid w:val="00305A31"/>
    <w:rsid w:val="00305C09"/>
    <w:rsid w:val="00305C4D"/>
    <w:rsid w:val="00305DAC"/>
    <w:rsid w:val="00305DDA"/>
    <w:rsid w:val="00305E31"/>
    <w:rsid w:val="00305E36"/>
    <w:rsid w:val="00306013"/>
    <w:rsid w:val="00306181"/>
    <w:rsid w:val="00306360"/>
    <w:rsid w:val="0030646D"/>
    <w:rsid w:val="00306577"/>
    <w:rsid w:val="00306656"/>
    <w:rsid w:val="0030678C"/>
    <w:rsid w:val="003067AA"/>
    <w:rsid w:val="0030681B"/>
    <w:rsid w:val="00306857"/>
    <w:rsid w:val="00306A3D"/>
    <w:rsid w:val="00306AE8"/>
    <w:rsid w:val="00306D73"/>
    <w:rsid w:val="00306E78"/>
    <w:rsid w:val="00306F58"/>
    <w:rsid w:val="00307171"/>
    <w:rsid w:val="00307227"/>
    <w:rsid w:val="00307256"/>
    <w:rsid w:val="003073A6"/>
    <w:rsid w:val="0030782D"/>
    <w:rsid w:val="00307961"/>
    <w:rsid w:val="00307AB8"/>
    <w:rsid w:val="00307DA9"/>
    <w:rsid w:val="00307E6F"/>
    <w:rsid w:val="00307ED2"/>
    <w:rsid w:val="00307EFB"/>
    <w:rsid w:val="003100DD"/>
    <w:rsid w:val="003103E7"/>
    <w:rsid w:val="0031059B"/>
    <w:rsid w:val="00310725"/>
    <w:rsid w:val="00310736"/>
    <w:rsid w:val="0031090F"/>
    <w:rsid w:val="00310A79"/>
    <w:rsid w:val="00310AE3"/>
    <w:rsid w:val="00310BF6"/>
    <w:rsid w:val="00310D30"/>
    <w:rsid w:val="00310EF6"/>
    <w:rsid w:val="00310F5A"/>
    <w:rsid w:val="00311127"/>
    <w:rsid w:val="0031115C"/>
    <w:rsid w:val="00311457"/>
    <w:rsid w:val="003114A7"/>
    <w:rsid w:val="00311613"/>
    <w:rsid w:val="00311681"/>
    <w:rsid w:val="003116C8"/>
    <w:rsid w:val="0031182E"/>
    <w:rsid w:val="003118F1"/>
    <w:rsid w:val="00311949"/>
    <w:rsid w:val="00311972"/>
    <w:rsid w:val="0031198D"/>
    <w:rsid w:val="003119F1"/>
    <w:rsid w:val="00311A06"/>
    <w:rsid w:val="00311A0A"/>
    <w:rsid w:val="00311A70"/>
    <w:rsid w:val="00311A9A"/>
    <w:rsid w:val="00311AB1"/>
    <w:rsid w:val="00311B13"/>
    <w:rsid w:val="00311C3C"/>
    <w:rsid w:val="00311CF9"/>
    <w:rsid w:val="00311CFC"/>
    <w:rsid w:val="00311D67"/>
    <w:rsid w:val="00311D74"/>
    <w:rsid w:val="00311ED6"/>
    <w:rsid w:val="00312062"/>
    <w:rsid w:val="0031206E"/>
    <w:rsid w:val="003120F7"/>
    <w:rsid w:val="00312134"/>
    <w:rsid w:val="00312211"/>
    <w:rsid w:val="00312428"/>
    <w:rsid w:val="0031267C"/>
    <w:rsid w:val="0031280B"/>
    <w:rsid w:val="003128DE"/>
    <w:rsid w:val="0031296B"/>
    <w:rsid w:val="00312989"/>
    <w:rsid w:val="00312A7F"/>
    <w:rsid w:val="00312B87"/>
    <w:rsid w:val="00312BBF"/>
    <w:rsid w:val="00312C39"/>
    <w:rsid w:val="00312C57"/>
    <w:rsid w:val="00312C81"/>
    <w:rsid w:val="00312DC5"/>
    <w:rsid w:val="00312E0C"/>
    <w:rsid w:val="00312F1B"/>
    <w:rsid w:val="00312F4B"/>
    <w:rsid w:val="00312FC7"/>
    <w:rsid w:val="00312FDB"/>
    <w:rsid w:val="003131A9"/>
    <w:rsid w:val="00313260"/>
    <w:rsid w:val="00313283"/>
    <w:rsid w:val="003136D1"/>
    <w:rsid w:val="003137E2"/>
    <w:rsid w:val="00313841"/>
    <w:rsid w:val="003138DC"/>
    <w:rsid w:val="00313902"/>
    <w:rsid w:val="003139A9"/>
    <w:rsid w:val="003139C3"/>
    <w:rsid w:val="003139ED"/>
    <w:rsid w:val="00313A30"/>
    <w:rsid w:val="00313A4B"/>
    <w:rsid w:val="00313A53"/>
    <w:rsid w:val="00313ABB"/>
    <w:rsid w:val="00313B53"/>
    <w:rsid w:val="00313B8A"/>
    <w:rsid w:val="00313B90"/>
    <w:rsid w:val="00313C53"/>
    <w:rsid w:val="00313C60"/>
    <w:rsid w:val="00313D9A"/>
    <w:rsid w:val="00313DF2"/>
    <w:rsid w:val="00313EDF"/>
    <w:rsid w:val="00313F65"/>
    <w:rsid w:val="00314034"/>
    <w:rsid w:val="003140C4"/>
    <w:rsid w:val="00314124"/>
    <w:rsid w:val="0031418A"/>
    <w:rsid w:val="003141EB"/>
    <w:rsid w:val="0031439E"/>
    <w:rsid w:val="0031449E"/>
    <w:rsid w:val="003145FD"/>
    <w:rsid w:val="0031466B"/>
    <w:rsid w:val="0031470C"/>
    <w:rsid w:val="00314765"/>
    <w:rsid w:val="0031489E"/>
    <w:rsid w:val="00314AB2"/>
    <w:rsid w:val="00314ABC"/>
    <w:rsid w:val="00314AFA"/>
    <w:rsid w:val="00314B0F"/>
    <w:rsid w:val="00314B17"/>
    <w:rsid w:val="00314B5C"/>
    <w:rsid w:val="00314C04"/>
    <w:rsid w:val="00314D86"/>
    <w:rsid w:val="00314F65"/>
    <w:rsid w:val="0031501C"/>
    <w:rsid w:val="00315037"/>
    <w:rsid w:val="003150FF"/>
    <w:rsid w:val="0031514A"/>
    <w:rsid w:val="00315343"/>
    <w:rsid w:val="003154A0"/>
    <w:rsid w:val="003155A4"/>
    <w:rsid w:val="003156E5"/>
    <w:rsid w:val="003158BF"/>
    <w:rsid w:val="0031590A"/>
    <w:rsid w:val="00315ABC"/>
    <w:rsid w:val="00315B82"/>
    <w:rsid w:val="00315BC0"/>
    <w:rsid w:val="00315DA6"/>
    <w:rsid w:val="00315E4E"/>
    <w:rsid w:val="00315F21"/>
    <w:rsid w:val="00316014"/>
    <w:rsid w:val="003160CD"/>
    <w:rsid w:val="00316161"/>
    <w:rsid w:val="003161AA"/>
    <w:rsid w:val="003162FE"/>
    <w:rsid w:val="00316372"/>
    <w:rsid w:val="003163AD"/>
    <w:rsid w:val="003164C4"/>
    <w:rsid w:val="003166FB"/>
    <w:rsid w:val="00316764"/>
    <w:rsid w:val="00316810"/>
    <w:rsid w:val="003168F0"/>
    <w:rsid w:val="00316926"/>
    <w:rsid w:val="0031694B"/>
    <w:rsid w:val="00316B5D"/>
    <w:rsid w:val="00316BF6"/>
    <w:rsid w:val="00316C3B"/>
    <w:rsid w:val="00316D12"/>
    <w:rsid w:val="00316D3D"/>
    <w:rsid w:val="00316D47"/>
    <w:rsid w:val="00316D98"/>
    <w:rsid w:val="00316EDC"/>
    <w:rsid w:val="00317004"/>
    <w:rsid w:val="00317383"/>
    <w:rsid w:val="003174B1"/>
    <w:rsid w:val="003174B9"/>
    <w:rsid w:val="0031752A"/>
    <w:rsid w:val="0031753B"/>
    <w:rsid w:val="003175C3"/>
    <w:rsid w:val="00317795"/>
    <w:rsid w:val="0031779A"/>
    <w:rsid w:val="00317A0B"/>
    <w:rsid w:val="00317A9A"/>
    <w:rsid w:val="00317B48"/>
    <w:rsid w:val="00317BEF"/>
    <w:rsid w:val="00317C81"/>
    <w:rsid w:val="00317D09"/>
    <w:rsid w:val="00317DA0"/>
    <w:rsid w:val="00317DA6"/>
    <w:rsid w:val="00317DBA"/>
    <w:rsid w:val="00317E6B"/>
    <w:rsid w:val="00317E9E"/>
    <w:rsid w:val="00317EFB"/>
    <w:rsid w:val="00317F4F"/>
    <w:rsid w:val="00317FAA"/>
    <w:rsid w:val="00317FD5"/>
    <w:rsid w:val="0031F4D6"/>
    <w:rsid w:val="003200EE"/>
    <w:rsid w:val="0032016E"/>
    <w:rsid w:val="003201B7"/>
    <w:rsid w:val="003201E9"/>
    <w:rsid w:val="0032024A"/>
    <w:rsid w:val="00320300"/>
    <w:rsid w:val="003204B5"/>
    <w:rsid w:val="0032054A"/>
    <w:rsid w:val="003205DE"/>
    <w:rsid w:val="003205E1"/>
    <w:rsid w:val="00320636"/>
    <w:rsid w:val="00320838"/>
    <w:rsid w:val="0032084E"/>
    <w:rsid w:val="0032087C"/>
    <w:rsid w:val="003208D6"/>
    <w:rsid w:val="00320937"/>
    <w:rsid w:val="00320B2A"/>
    <w:rsid w:val="00320B32"/>
    <w:rsid w:val="00320B97"/>
    <w:rsid w:val="00320C6F"/>
    <w:rsid w:val="00320D5A"/>
    <w:rsid w:val="00320D71"/>
    <w:rsid w:val="00320DAB"/>
    <w:rsid w:val="00320F74"/>
    <w:rsid w:val="00320F78"/>
    <w:rsid w:val="00320FAE"/>
    <w:rsid w:val="00320FC1"/>
    <w:rsid w:val="00321080"/>
    <w:rsid w:val="0032113E"/>
    <w:rsid w:val="0032118F"/>
    <w:rsid w:val="0032125C"/>
    <w:rsid w:val="00321454"/>
    <w:rsid w:val="003214E2"/>
    <w:rsid w:val="0032154D"/>
    <w:rsid w:val="00321633"/>
    <w:rsid w:val="00321635"/>
    <w:rsid w:val="0032172C"/>
    <w:rsid w:val="0032173E"/>
    <w:rsid w:val="00321986"/>
    <w:rsid w:val="003219F1"/>
    <w:rsid w:val="00321A17"/>
    <w:rsid w:val="00321AB6"/>
    <w:rsid w:val="00321C69"/>
    <w:rsid w:val="00321C8E"/>
    <w:rsid w:val="00321D3A"/>
    <w:rsid w:val="00321DC2"/>
    <w:rsid w:val="00321DD5"/>
    <w:rsid w:val="00321DD9"/>
    <w:rsid w:val="00321EAA"/>
    <w:rsid w:val="00321EBC"/>
    <w:rsid w:val="00321EF5"/>
    <w:rsid w:val="00321F6E"/>
    <w:rsid w:val="00321FC0"/>
    <w:rsid w:val="003220A4"/>
    <w:rsid w:val="00322185"/>
    <w:rsid w:val="003222BB"/>
    <w:rsid w:val="003225AD"/>
    <w:rsid w:val="003225FA"/>
    <w:rsid w:val="00322629"/>
    <w:rsid w:val="00322880"/>
    <w:rsid w:val="003228C9"/>
    <w:rsid w:val="00322959"/>
    <w:rsid w:val="003229A9"/>
    <w:rsid w:val="00322A23"/>
    <w:rsid w:val="00322ADA"/>
    <w:rsid w:val="00322C2C"/>
    <w:rsid w:val="00322D2B"/>
    <w:rsid w:val="00322D71"/>
    <w:rsid w:val="00322F22"/>
    <w:rsid w:val="00322FF9"/>
    <w:rsid w:val="00323039"/>
    <w:rsid w:val="0032303A"/>
    <w:rsid w:val="003230AD"/>
    <w:rsid w:val="0032315E"/>
    <w:rsid w:val="0032315F"/>
    <w:rsid w:val="003233CA"/>
    <w:rsid w:val="00323507"/>
    <w:rsid w:val="003235AF"/>
    <w:rsid w:val="0032369E"/>
    <w:rsid w:val="00323708"/>
    <w:rsid w:val="00323869"/>
    <w:rsid w:val="003238A2"/>
    <w:rsid w:val="003238AD"/>
    <w:rsid w:val="003238CE"/>
    <w:rsid w:val="00323986"/>
    <w:rsid w:val="00323A74"/>
    <w:rsid w:val="00323B73"/>
    <w:rsid w:val="00323E67"/>
    <w:rsid w:val="00323F52"/>
    <w:rsid w:val="003240E4"/>
    <w:rsid w:val="00324134"/>
    <w:rsid w:val="00324179"/>
    <w:rsid w:val="003242A5"/>
    <w:rsid w:val="00324431"/>
    <w:rsid w:val="00324466"/>
    <w:rsid w:val="0032449D"/>
    <w:rsid w:val="003244EA"/>
    <w:rsid w:val="00324507"/>
    <w:rsid w:val="00324520"/>
    <w:rsid w:val="00324553"/>
    <w:rsid w:val="003246DD"/>
    <w:rsid w:val="003247F1"/>
    <w:rsid w:val="0032484B"/>
    <w:rsid w:val="00324A3C"/>
    <w:rsid w:val="00324A76"/>
    <w:rsid w:val="00324A8B"/>
    <w:rsid w:val="00324AB1"/>
    <w:rsid w:val="00324AF0"/>
    <w:rsid w:val="00324B0B"/>
    <w:rsid w:val="00324B83"/>
    <w:rsid w:val="00324BB0"/>
    <w:rsid w:val="00324D5F"/>
    <w:rsid w:val="00324EAE"/>
    <w:rsid w:val="0032502A"/>
    <w:rsid w:val="0032502C"/>
    <w:rsid w:val="00325086"/>
    <w:rsid w:val="00325167"/>
    <w:rsid w:val="0032528C"/>
    <w:rsid w:val="00325291"/>
    <w:rsid w:val="003252CE"/>
    <w:rsid w:val="0032546A"/>
    <w:rsid w:val="003254BC"/>
    <w:rsid w:val="003254FC"/>
    <w:rsid w:val="0032551A"/>
    <w:rsid w:val="0032553A"/>
    <w:rsid w:val="0032556E"/>
    <w:rsid w:val="003255FE"/>
    <w:rsid w:val="00325722"/>
    <w:rsid w:val="00325761"/>
    <w:rsid w:val="0032579A"/>
    <w:rsid w:val="00325801"/>
    <w:rsid w:val="0032592E"/>
    <w:rsid w:val="00325B3B"/>
    <w:rsid w:val="00325C2A"/>
    <w:rsid w:val="00325C56"/>
    <w:rsid w:val="00326014"/>
    <w:rsid w:val="0032608B"/>
    <w:rsid w:val="003260B9"/>
    <w:rsid w:val="003260D0"/>
    <w:rsid w:val="00326136"/>
    <w:rsid w:val="00326181"/>
    <w:rsid w:val="003261CC"/>
    <w:rsid w:val="003261CF"/>
    <w:rsid w:val="00326247"/>
    <w:rsid w:val="0032627C"/>
    <w:rsid w:val="0032627D"/>
    <w:rsid w:val="00326563"/>
    <w:rsid w:val="003265B3"/>
    <w:rsid w:val="003267D1"/>
    <w:rsid w:val="00326848"/>
    <w:rsid w:val="003268E2"/>
    <w:rsid w:val="00326990"/>
    <w:rsid w:val="003269FB"/>
    <w:rsid w:val="00326A68"/>
    <w:rsid w:val="00326A7C"/>
    <w:rsid w:val="00326C13"/>
    <w:rsid w:val="00326C32"/>
    <w:rsid w:val="00326E16"/>
    <w:rsid w:val="00326EB8"/>
    <w:rsid w:val="00326F7A"/>
    <w:rsid w:val="00326FA6"/>
    <w:rsid w:val="00327077"/>
    <w:rsid w:val="003270D1"/>
    <w:rsid w:val="003270FE"/>
    <w:rsid w:val="0032735E"/>
    <w:rsid w:val="0032752D"/>
    <w:rsid w:val="00327575"/>
    <w:rsid w:val="0032758D"/>
    <w:rsid w:val="003275E3"/>
    <w:rsid w:val="00327698"/>
    <w:rsid w:val="003276DE"/>
    <w:rsid w:val="003277C7"/>
    <w:rsid w:val="00327807"/>
    <w:rsid w:val="00327A0B"/>
    <w:rsid w:val="00327B0B"/>
    <w:rsid w:val="00327D40"/>
    <w:rsid w:val="00327DA0"/>
    <w:rsid w:val="00327FAD"/>
    <w:rsid w:val="00327FBC"/>
    <w:rsid w:val="0032EC9A"/>
    <w:rsid w:val="00330181"/>
    <w:rsid w:val="00330196"/>
    <w:rsid w:val="00330220"/>
    <w:rsid w:val="0033030C"/>
    <w:rsid w:val="003303A2"/>
    <w:rsid w:val="003303D9"/>
    <w:rsid w:val="00330499"/>
    <w:rsid w:val="003304A8"/>
    <w:rsid w:val="003304FB"/>
    <w:rsid w:val="00330510"/>
    <w:rsid w:val="0033064B"/>
    <w:rsid w:val="0033074E"/>
    <w:rsid w:val="003307C2"/>
    <w:rsid w:val="0033086E"/>
    <w:rsid w:val="0033089C"/>
    <w:rsid w:val="00330997"/>
    <w:rsid w:val="00330A36"/>
    <w:rsid w:val="00330A6D"/>
    <w:rsid w:val="00330AB7"/>
    <w:rsid w:val="00330B0F"/>
    <w:rsid w:val="00330C23"/>
    <w:rsid w:val="00330CD0"/>
    <w:rsid w:val="00330D9C"/>
    <w:rsid w:val="00330DDC"/>
    <w:rsid w:val="00330E28"/>
    <w:rsid w:val="00330E6D"/>
    <w:rsid w:val="00330F55"/>
    <w:rsid w:val="00330F6B"/>
    <w:rsid w:val="0033117A"/>
    <w:rsid w:val="00331202"/>
    <w:rsid w:val="00331287"/>
    <w:rsid w:val="00331413"/>
    <w:rsid w:val="00331478"/>
    <w:rsid w:val="003314F1"/>
    <w:rsid w:val="003315AD"/>
    <w:rsid w:val="003315ED"/>
    <w:rsid w:val="00331728"/>
    <w:rsid w:val="00331760"/>
    <w:rsid w:val="00331936"/>
    <w:rsid w:val="00331A15"/>
    <w:rsid w:val="00331B2C"/>
    <w:rsid w:val="00331D9C"/>
    <w:rsid w:val="00331E26"/>
    <w:rsid w:val="00331E38"/>
    <w:rsid w:val="00331E8A"/>
    <w:rsid w:val="00331F2C"/>
    <w:rsid w:val="00331F67"/>
    <w:rsid w:val="0033205D"/>
    <w:rsid w:val="003320C0"/>
    <w:rsid w:val="00332120"/>
    <w:rsid w:val="00332136"/>
    <w:rsid w:val="0033220F"/>
    <w:rsid w:val="00332435"/>
    <w:rsid w:val="0033246F"/>
    <w:rsid w:val="003324E7"/>
    <w:rsid w:val="0033259A"/>
    <w:rsid w:val="0033268C"/>
    <w:rsid w:val="00332900"/>
    <w:rsid w:val="00332944"/>
    <w:rsid w:val="00332B0A"/>
    <w:rsid w:val="00332F0E"/>
    <w:rsid w:val="00333005"/>
    <w:rsid w:val="003330D1"/>
    <w:rsid w:val="003332C4"/>
    <w:rsid w:val="003332CC"/>
    <w:rsid w:val="0033353A"/>
    <w:rsid w:val="00333716"/>
    <w:rsid w:val="00333836"/>
    <w:rsid w:val="00333876"/>
    <w:rsid w:val="003338F3"/>
    <w:rsid w:val="00333956"/>
    <w:rsid w:val="00333CF3"/>
    <w:rsid w:val="00333D16"/>
    <w:rsid w:val="00333D64"/>
    <w:rsid w:val="00334053"/>
    <w:rsid w:val="003340D5"/>
    <w:rsid w:val="00334170"/>
    <w:rsid w:val="003341D1"/>
    <w:rsid w:val="00334206"/>
    <w:rsid w:val="00334219"/>
    <w:rsid w:val="003342CB"/>
    <w:rsid w:val="00334349"/>
    <w:rsid w:val="003343EB"/>
    <w:rsid w:val="003346D9"/>
    <w:rsid w:val="003346DF"/>
    <w:rsid w:val="003349CA"/>
    <w:rsid w:val="00334B8A"/>
    <w:rsid w:val="00334DF1"/>
    <w:rsid w:val="00334E8C"/>
    <w:rsid w:val="00334E8E"/>
    <w:rsid w:val="00334E9A"/>
    <w:rsid w:val="00334EB4"/>
    <w:rsid w:val="00334F96"/>
    <w:rsid w:val="0033512A"/>
    <w:rsid w:val="00335134"/>
    <w:rsid w:val="00335141"/>
    <w:rsid w:val="0033515D"/>
    <w:rsid w:val="003351C5"/>
    <w:rsid w:val="0033522C"/>
    <w:rsid w:val="0033524F"/>
    <w:rsid w:val="003352B2"/>
    <w:rsid w:val="00335313"/>
    <w:rsid w:val="003353EF"/>
    <w:rsid w:val="00335408"/>
    <w:rsid w:val="00335460"/>
    <w:rsid w:val="003354A5"/>
    <w:rsid w:val="003356B2"/>
    <w:rsid w:val="003356CD"/>
    <w:rsid w:val="003356EC"/>
    <w:rsid w:val="00335A1A"/>
    <w:rsid w:val="00335AAD"/>
    <w:rsid w:val="00335AE6"/>
    <w:rsid w:val="00335B0F"/>
    <w:rsid w:val="00335B43"/>
    <w:rsid w:val="00335C79"/>
    <w:rsid w:val="00335CBC"/>
    <w:rsid w:val="00335CDC"/>
    <w:rsid w:val="00335D7E"/>
    <w:rsid w:val="00335E61"/>
    <w:rsid w:val="00335F78"/>
    <w:rsid w:val="003360F5"/>
    <w:rsid w:val="00336126"/>
    <w:rsid w:val="003361AA"/>
    <w:rsid w:val="00336207"/>
    <w:rsid w:val="0033625E"/>
    <w:rsid w:val="00336462"/>
    <w:rsid w:val="00336575"/>
    <w:rsid w:val="00336912"/>
    <w:rsid w:val="003369B9"/>
    <w:rsid w:val="00336C7D"/>
    <w:rsid w:val="00336DCC"/>
    <w:rsid w:val="00336E42"/>
    <w:rsid w:val="00336EA5"/>
    <w:rsid w:val="00337043"/>
    <w:rsid w:val="00337053"/>
    <w:rsid w:val="003370CA"/>
    <w:rsid w:val="003371AD"/>
    <w:rsid w:val="00337254"/>
    <w:rsid w:val="00337353"/>
    <w:rsid w:val="00337374"/>
    <w:rsid w:val="00337413"/>
    <w:rsid w:val="003374C8"/>
    <w:rsid w:val="003374CC"/>
    <w:rsid w:val="003375BA"/>
    <w:rsid w:val="003375D5"/>
    <w:rsid w:val="00337664"/>
    <w:rsid w:val="003376F3"/>
    <w:rsid w:val="003377C1"/>
    <w:rsid w:val="00337867"/>
    <w:rsid w:val="00337A0B"/>
    <w:rsid w:val="00337B72"/>
    <w:rsid w:val="00337BBB"/>
    <w:rsid w:val="00337BED"/>
    <w:rsid w:val="00337C1F"/>
    <w:rsid w:val="00337CD6"/>
    <w:rsid w:val="00337D12"/>
    <w:rsid w:val="00337D46"/>
    <w:rsid w:val="00337DB5"/>
    <w:rsid w:val="00337E18"/>
    <w:rsid w:val="00337E6B"/>
    <w:rsid w:val="00337EF0"/>
    <w:rsid w:val="00337F20"/>
    <w:rsid w:val="00337FB4"/>
    <w:rsid w:val="00340032"/>
    <w:rsid w:val="0034004F"/>
    <w:rsid w:val="00340140"/>
    <w:rsid w:val="0034026C"/>
    <w:rsid w:val="003402B6"/>
    <w:rsid w:val="00340301"/>
    <w:rsid w:val="003404A0"/>
    <w:rsid w:val="003404AB"/>
    <w:rsid w:val="0034074E"/>
    <w:rsid w:val="00340753"/>
    <w:rsid w:val="0034096E"/>
    <w:rsid w:val="0034099B"/>
    <w:rsid w:val="00340A94"/>
    <w:rsid w:val="00340B30"/>
    <w:rsid w:val="00340EAB"/>
    <w:rsid w:val="00340EBB"/>
    <w:rsid w:val="00340EF3"/>
    <w:rsid w:val="00340FE6"/>
    <w:rsid w:val="00341008"/>
    <w:rsid w:val="003410C9"/>
    <w:rsid w:val="003414A8"/>
    <w:rsid w:val="00341567"/>
    <w:rsid w:val="003415ED"/>
    <w:rsid w:val="0034163F"/>
    <w:rsid w:val="003417DB"/>
    <w:rsid w:val="00341B54"/>
    <w:rsid w:val="00341BB1"/>
    <w:rsid w:val="00341BB8"/>
    <w:rsid w:val="00341CFB"/>
    <w:rsid w:val="00341E97"/>
    <w:rsid w:val="00341F7A"/>
    <w:rsid w:val="00341FF8"/>
    <w:rsid w:val="00342005"/>
    <w:rsid w:val="0034201E"/>
    <w:rsid w:val="0034204A"/>
    <w:rsid w:val="00342072"/>
    <w:rsid w:val="003420A7"/>
    <w:rsid w:val="0034216E"/>
    <w:rsid w:val="0034225D"/>
    <w:rsid w:val="0034233C"/>
    <w:rsid w:val="003424DF"/>
    <w:rsid w:val="003425AF"/>
    <w:rsid w:val="003425EA"/>
    <w:rsid w:val="00342612"/>
    <w:rsid w:val="00342626"/>
    <w:rsid w:val="00342897"/>
    <w:rsid w:val="0034294B"/>
    <w:rsid w:val="0034296A"/>
    <w:rsid w:val="00342B0E"/>
    <w:rsid w:val="00342BC6"/>
    <w:rsid w:val="00342D28"/>
    <w:rsid w:val="00342D36"/>
    <w:rsid w:val="00342D72"/>
    <w:rsid w:val="003430B5"/>
    <w:rsid w:val="003430DA"/>
    <w:rsid w:val="00343216"/>
    <w:rsid w:val="003432DA"/>
    <w:rsid w:val="00343312"/>
    <w:rsid w:val="0034354A"/>
    <w:rsid w:val="003435DF"/>
    <w:rsid w:val="003435E6"/>
    <w:rsid w:val="003437EF"/>
    <w:rsid w:val="00343832"/>
    <w:rsid w:val="00343902"/>
    <w:rsid w:val="003439A5"/>
    <w:rsid w:val="00343ADE"/>
    <w:rsid w:val="00343C12"/>
    <w:rsid w:val="00343CAC"/>
    <w:rsid w:val="00343D9E"/>
    <w:rsid w:val="00343DA1"/>
    <w:rsid w:val="00343E64"/>
    <w:rsid w:val="00343F0A"/>
    <w:rsid w:val="00343FCA"/>
    <w:rsid w:val="0034401D"/>
    <w:rsid w:val="003440F6"/>
    <w:rsid w:val="003440F9"/>
    <w:rsid w:val="0034424A"/>
    <w:rsid w:val="003442AC"/>
    <w:rsid w:val="003442D4"/>
    <w:rsid w:val="003442E1"/>
    <w:rsid w:val="003443CB"/>
    <w:rsid w:val="00344658"/>
    <w:rsid w:val="00344908"/>
    <w:rsid w:val="0034497A"/>
    <w:rsid w:val="00344AA0"/>
    <w:rsid w:val="00344BAA"/>
    <w:rsid w:val="00344C95"/>
    <w:rsid w:val="00344D85"/>
    <w:rsid w:val="00344DB4"/>
    <w:rsid w:val="00344E2B"/>
    <w:rsid w:val="00344E77"/>
    <w:rsid w:val="00344E7B"/>
    <w:rsid w:val="00344E7C"/>
    <w:rsid w:val="00344F17"/>
    <w:rsid w:val="00344FD6"/>
    <w:rsid w:val="003450A5"/>
    <w:rsid w:val="003451DE"/>
    <w:rsid w:val="003453C3"/>
    <w:rsid w:val="003453F4"/>
    <w:rsid w:val="003453F7"/>
    <w:rsid w:val="003454FB"/>
    <w:rsid w:val="0034553F"/>
    <w:rsid w:val="0034558D"/>
    <w:rsid w:val="00345676"/>
    <w:rsid w:val="00345756"/>
    <w:rsid w:val="00345773"/>
    <w:rsid w:val="0034581D"/>
    <w:rsid w:val="0034588A"/>
    <w:rsid w:val="003458A6"/>
    <w:rsid w:val="003458AA"/>
    <w:rsid w:val="003458D9"/>
    <w:rsid w:val="00345961"/>
    <w:rsid w:val="0034597D"/>
    <w:rsid w:val="00345BBA"/>
    <w:rsid w:val="00345C36"/>
    <w:rsid w:val="00345C3A"/>
    <w:rsid w:val="00345CE8"/>
    <w:rsid w:val="00345D28"/>
    <w:rsid w:val="00345D8B"/>
    <w:rsid w:val="00345ECF"/>
    <w:rsid w:val="0034604D"/>
    <w:rsid w:val="003460E9"/>
    <w:rsid w:val="00346103"/>
    <w:rsid w:val="00346157"/>
    <w:rsid w:val="00346218"/>
    <w:rsid w:val="00346285"/>
    <w:rsid w:val="00346367"/>
    <w:rsid w:val="0034637B"/>
    <w:rsid w:val="00346487"/>
    <w:rsid w:val="00346833"/>
    <w:rsid w:val="0034686F"/>
    <w:rsid w:val="0034690C"/>
    <w:rsid w:val="0034695B"/>
    <w:rsid w:val="00346977"/>
    <w:rsid w:val="003469C4"/>
    <w:rsid w:val="00346A42"/>
    <w:rsid w:val="00346BAF"/>
    <w:rsid w:val="00346CD5"/>
    <w:rsid w:val="00346D1F"/>
    <w:rsid w:val="00346D27"/>
    <w:rsid w:val="00346DB1"/>
    <w:rsid w:val="00346E2B"/>
    <w:rsid w:val="00346F1E"/>
    <w:rsid w:val="003470B7"/>
    <w:rsid w:val="00347121"/>
    <w:rsid w:val="00347225"/>
    <w:rsid w:val="00347386"/>
    <w:rsid w:val="003473F9"/>
    <w:rsid w:val="0034748B"/>
    <w:rsid w:val="003474B5"/>
    <w:rsid w:val="003474FB"/>
    <w:rsid w:val="00347500"/>
    <w:rsid w:val="0034761E"/>
    <w:rsid w:val="00347641"/>
    <w:rsid w:val="003477DE"/>
    <w:rsid w:val="003477F8"/>
    <w:rsid w:val="003477FC"/>
    <w:rsid w:val="0034783F"/>
    <w:rsid w:val="003479B3"/>
    <w:rsid w:val="00347A1C"/>
    <w:rsid w:val="00347A5E"/>
    <w:rsid w:val="00347A79"/>
    <w:rsid w:val="00347B64"/>
    <w:rsid w:val="00347B7D"/>
    <w:rsid w:val="00347CAD"/>
    <w:rsid w:val="00347EB9"/>
    <w:rsid w:val="00347F01"/>
    <w:rsid w:val="00347F2A"/>
    <w:rsid w:val="00347F76"/>
    <w:rsid w:val="003500A1"/>
    <w:rsid w:val="003500B4"/>
    <w:rsid w:val="003500EB"/>
    <w:rsid w:val="00350106"/>
    <w:rsid w:val="0035015D"/>
    <w:rsid w:val="003501CA"/>
    <w:rsid w:val="00350240"/>
    <w:rsid w:val="0035026D"/>
    <w:rsid w:val="0035029B"/>
    <w:rsid w:val="003502E5"/>
    <w:rsid w:val="00350482"/>
    <w:rsid w:val="003504B6"/>
    <w:rsid w:val="003505FC"/>
    <w:rsid w:val="00350680"/>
    <w:rsid w:val="00350730"/>
    <w:rsid w:val="003507F9"/>
    <w:rsid w:val="003508C9"/>
    <w:rsid w:val="003508EB"/>
    <w:rsid w:val="00350933"/>
    <w:rsid w:val="00350DE6"/>
    <w:rsid w:val="00350EDC"/>
    <w:rsid w:val="00350F1E"/>
    <w:rsid w:val="00350F91"/>
    <w:rsid w:val="00350F96"/>
    <w:rsid w:val="00350FA8"/>
    <w:rsid w:val="00350FDA"/>
    <w:rsid w:val="0035107D"/>
    <w:rsid w:val="0035109B"/>
    <w:rsid w:val="003510C9"/>
    <w:rsid w:val="003511F6"/>
    <w:rsid w:val="00351252"/>
    <w:rsid w:val="00351323"/>
    <w:rsid w:val="0035133D"/>
    <w:rsid w:val="003514E5"/>
    <w:rsid w:val="00351534"/>
    <w:rsid w:val="00351583"/>
    <w:rsid w:val="00351676"/>
    <w:rsid w:val="0035179B"/>
    <w:rsid w:val="003517B0"/>
    <w:rsid w:val="00351833"/>
    <w:rsid w:val="00351885"/>
    <w:rsid w:val="00351929"/>
    <w:rsid w:val="003519BD"/>
    <w:rsid w:val="00351A59"/>
    <w:rsid w:val="00351BD8"/>
    <w:rsid w:val="00351CCE"/>
    <w:rsid w:val="00351CDD"/>
    <w:rsid w:val="00351CFE"/>
    <w:rsid w:val="0035206A"/>
    <w:rsid w:val="003521C0"/>
    <w:rsid w:val="003522D7"/>
    <w:rsid w:val="003524C4"/>
    <w:rsid w:val="0035263C"/>
    <w:rsid w:val="0035270C"/>
    <w:rsid w:val="003528BF"/>
    <w:rsid w:val="003528D8"/>
    <w:rsid w:val="0035292C"/>
    <w:rsid w:val="00352B1F"/>
    <w:rsid w:val="00352BB0"/>
    <w:rsid w:val="00352BBF"/>
    <w:rsid w:val="00352C2D"/>
    <w:rsid w:val="00352C2E"/>
    <w:rsid w:val="00352D34"/>
    <w:rsid w:val="00352D9D"/>
    <w:rsid w:val="00352DF0"/>
    <w:rsid w:val="00352E5A"/>
    <w:rsid w:val="00352E6E"/>
    <w:rsid w:val="00352ED6"/>
    <w:rsid w:val="00352F9F"/>
    <w:rsid w:val="00353058"/>
    <w:rsid w:val="0035328B"/>
    <w:rsid w:val="003532B0"/>
    <w:rsid w:val="0035334F"/>
    <w:rsid w:val="00353418"/>
    <w:rsid w:val="00353502"/>
    <w:rsid w:val="00353565"/>
    <w:rsid w:val="00353658"/>
    <w:rsid w:val="003537A4"/>
    <w:rsid w:val="003539A6"/>
    <w:rsid w:val="00353A1C"/>
    <w:rsid w:val="00353CF4"/>
    <w:rsid w:val="00353DE5"/>
    <w:rsid w:val="00353E46"/>
    <w:rsid w:val="00353EDE"/>
    <w:rsid w:val="003540B6"/>
    <w:rsid w:val="00354173"/>
    <w:rsid w:val="0035418B"/>
    <w:rsid w:val="00354326"/>
    <w:rsid w:val="00354391"/>
    <w:rsid w:val="0035440B"/>
    <w:rsid w:val="00354419"/>
    <w:rsid w:val="003544E4"/>
    <w:rsid w:val="0035459F"/>
    <w:rsid w:val="0035463B"/>
    <w:rsid w:val="003546A6"/>
    <w:rsid w:val="003546A7"/>
    <w:rsid w:val="003546D2"/>
    <w:rsid w:val="00354722"/>
    <w:rsid w:val="00354782"/>
    <w:rsid w:val="00354826"/>
    <w:rsid w:val="003548E9"/>
    <w:rsid w:val="003549B0"/>
    <w:rsid w:val="00354B29"/>
    <w:rsid w:val="00354C2F"/>
    <w:rsid w:val="00354C36"/>
    <w:rsid w:val="00354EDF"/>
    <w:rsid w:val="00354F32"/>
    <w:rsid w:val="00354FC2"/>
    <w:rsid w:val="003551BE"/>
    <w:rsid w:val="003552E9"/>
    <w:rsid w:val="0035534A"/>
    <w:rsid w:val="0035537F"/>
    <w:rsid w:val="0035547F"/>
    <w:rsid w:val="003554DC"/>
    <w:rsid w:val="00355586"/>
    <w:rsid w:val="00355633"/>
    <w:rsid w:val="00355818"/>
    <w:rsid w:val="00355864"/>
    <w:rsid w:val="00355880"/>
    <w:rsid w:val="003558AB"/>
    <w:rsid w:val="003558CF"/>
    <w:rsid w:val="003558F0"/>
    <w:rsid w:val="00355965"/>
    <w:rsid w:val="00355A9A"/>
    <w:rsid w:val="00355B16"/>
    <w:rsid w:val="00355B30"/>
    <w:rsid w:val="00355BB6"/>
    <w:rsid w:val="00355C3D"/>
    <w:rsid w:val="00355C94"/>
    <w:rsid w:val="00355D06"/>
    <w:rsid w:val="00355D83"/>
    <w:rsid w:val="00355F8D"/>
    <w:rsid w:val="00356089"/>
    <w:rsid w:val="003561E7"/>
    <w:rsid w:val="00356512"/>
    <w:rsid w:val="00356645"/>
    <w:rsid w:val="0035670B"/>
    <w:rsid w:val="003567CD"/>
    <w:rsid w:val="0035684D"/>
    <w:rsid w:val="003569E5"/>
    <w:rsid w:val="00356B12"/>
    <w:rsid w:val="00356B52"/>
    <w:rsid w:val="00356CD0"/>
    <w:rsid w:val="00356E3C"/>
    <w:rsid w:val="00356E99"/>
    <w:rsid w:val="0035744B"/>
    <w:rsid w:val="00357498"/>
    <w:rsid w:val="003575A3"/>
    <w:rsid w:val="0035779E"/>
    <w:rsid w:val="003577D9"/>
    <w:rsid w:val="003577E7"/>
    <w:rsid w:val="00357837"/>
    <w:rsid w:val="00357856"/>
    <w:rsid w:val="00357898"/>
    <w:rsid w:val="00357A54"/>
    <w:rsid w:val="00357BDA"/>
    <w:rsid w:val="00357C42"/>
    <w:rsid w:val="00357DAA"/>
    <w:rsid w:val="00357DE9"/>
    <w:rsid w:val="00357EC6"/>
    <w:rsid w:val="00357ED6"/>
    <w:rsid w:val="00357F98"/>
    <w:rsid w:val="00360009"/>
    <w:rsid w:val="00360061"/>
    <w:rsid w:val="0036008C"/>
    <w:rsid w:val="003601AE"/>
    <w:rsid w:val="003601D5"/>
    <w:rsid w:val="003603EC"/>
    <w:rsid w:val="00360468"/>
    <w:rsid w:val="0036059B"/>
    <w:rsid w:val="003605CB"/>
    <w:rsid w:val="00360616"/>
    <w:rsid w:val="003606DA"/>
    <w:rsid w:val="0036078F"/>
    <w:rsid w:val="003607BB"/>
    <w:rsid w:val="00360823"/>
    <w:rsid w:val="00360868"/>
    <w:rsid w:val="00360911"/>
    <w:rsid w:val="0036096A"/>
    <w:rsid w:val="00360ABA"/>
    <w:rsid w:val="00360B11"/>
    <w:rsid w:val="00360B20"/>
    <w:rsid w:val="00360B42"/>
    <w:rsid w:val="00360D20"/>
    <w:rsid w:val="00360E91"/>
    <w:rsid w:val="00360EAC"/>
    <w:rsid w:val="00361025"/>
    <w:rsid w:val="0036109C"/>
    <w:rsid w:val="00361193"/>
    <w:rsid w:val="003611B7"/>
    <w:rsid w:val="0036123B"/>
    <w:rsid w:val="0036125C"/>
    <w:rsid w:val="003613EB"/>
    <w:rsid w:val="003613FB"/>
    <w:rsid w:val="00361416"/>
    <w:rsid w:val="0036142F"/>
    <w:rsid w:val="00361451"/>
    <w:rsid w:val="0036145B"/>
    <w:rsid w:val="00361513"/>
    <w:rsid w:val="00361539"/>
    <w:rsid w:val="00361619"/>
    <w:rsid w:val="00361634"/>
    <w:rsid w:val="003616D3"/>
    <w:rsid w:val="00361778"/>
    <w:rsid w:val="0036185D"/>
    <w:rsid w:val="00361A1E"/>
    <w:rsid w:val="00361AAE"/>
    <w:rsid w:val="00361DF3"/>
    <w:rsid w:val="00361E46"/>
    <w:rsid w:val="00361EE9"/>
    <w:rsid w:val="00361FE1"/>
    <w:rsid w:val="0036203F"/>
    <w:rsid w:val="003620CD"/>
    <w:rsid w:val="003623AA"/>
    <w:rsid w:val="0036259E"/>
    <w:rsid w:val="00362613"/>
    <w:rsid w:val="003628E7"/>
    <w:rsid w:val="0036298D"/>
    <w:rsid w:val="0036299B"/>
    <w:rsid w:val="003629D8"/>
    <w:rsid w:val="00362B3F"/>
    <w:rsid w:val="00362BBF"/>
    <w:rsid w:val="00362C11"/>
    <w:rsid w:val="00362C85"/>
    <w:rsid w:val="00362C98"/>
    <w:rsid w:val="00362E00"/>
    <w:rsid w:val="00362E5B"/>
    <w:rsid w:val="00362F6C"/>
    <w:rsid w:val="00362F94"/>
    <w:rsid w:val="00363053"/>
    <w:rsid w:val="00363097"/>
    <w:rsid w:val="00363241"/>
    <w:rsid w:val="0036331C"/>
    <w:rsid w:val="00363482"/>
    <w:rsid w:val="003634A6"/>
    <w:rsid w:val="003634AC"/>
    <w:rsid w:val="003634FF"/>
    <w:rsid w:val="0036364C"/>
    <w:rsid w:val="00363790"/>
    <w:rsid w:val="003637D7"/>
    <w:rsid w:val="003639D9"/>
    <w:rsid w:val="00363A32"/>
    <w:rsid w:val="00363BD8"/>
    <w:rsid w:val="00363C75"/>
    <w:rsid w:val="00363D34"/>
    <w:rsid w:val="00363E8B"/>
    <w:rsid w:val="00363EA2"/>
    <w:rsid w:val="00363EE5"/>
    <w:rsid w:val="00363F1B"/>
    <w:rsid w:val="00363F24"/>
    <w:rsid w:val="00363FC1"/>
    <w:rsid w:val="0036405B"/>
    <w:rsid w:val="00364131"/>
    <w:rsid w:val="003641B3"/>
    <w:rsid w:val="0036459B"/>
    <w:rsid w:val="003647DD"/>
    <w:rsid w:val="0036487F"/>
    <w:rsid w:val="0036492C"/>
    <w:rsid w:val="0036499F"/>
    <w:rsid w:val="00364C49"/>
    <w:rsid w:val="00364DDC"/>
    <w:rsid w:val="00364EC5"/>
    <w:rsid w:val="00364EFE"/>
    <w:rsid w:val="00364FE1"/>
    <w:rsid w:val="00365030"/>
    <w:rsid w:val="00365031"/>
    <w:rsid w:val="00365050"/>
    <w:rsid w:val="00365065"/>
    <w:rsid w:val="00365069"/>
    <w:rsid w:val="0036507E"/>
    <w:rsid w:val="0036510B"/>
    <w:rsid w:val="00365145"/>
    <w:rsid w:val="003652CB"/>
    <w:rsid w:val="0036536A"/>
    <w:rsid w:val="003653DA"/>
    <w:rsid w:val="0036548C"/>
    <w:rsid w:val="00365682"/>
    <w:rsid w:val="00365975"/>
    <w:rsid w:val="003659B2"/>
    <w:rsid w:val="003659D9"/>
    <w:rsid w:val="00365AFF"/>
    <w:rsid w:val="00365BCE"/>
    <w:rsid w:val="00365C83"/>
    <w:rsid w:val="00365CE3"/>
    <w:rsid w:val="00365D71"/>
    <w:rsid w:val="00366019"/>
    <w:rsid w:val="003660A9"/>
    <w:rsid w:val="00366148"/>
    <w:rsid w:val="00366158"/>
    <w:rsid w:val="00366277"/>
    <w:rsid w:val="0036630C"/>
    <w:rsid w:val="00366377"/>
    <w:rsid w:val="00366433"/>
    <w:rsid w:val="0036649D"/>
    <w:rsid w:val="003666AD"/>
    <w:rsid w:val="00366746"/>
    <w:rsid w:val="003667D9"/>
    <w:rsid w:val="0036682B"/>
    <w:rsid w:val="0036686F"/>
    <w:rsid w:val="003668DD"/>
    <w:rsid w:val="00366AB0"/>
    <w:rsid w:val="00366AFB"/>
    <w:rsid w:val="00366B3E"/>
    <w:rsid w:val="00366B94"/>
    <w:rsid w:val="00366BE6"/>
    <w:rsid w:val="00366CF0"/>
    <w:rsid w:val="00366D20"/>
    <w:rsid w:val="00366ED6"/>
    <w:rsid w:val="0036715A"/>
    <w:rsid w:val="0036718C"/>
    <w:rsid w:val="003671F6"/>
    <w:rsid w:val="00367287"/>
    <w:rsid w:val="00367312"/>
    <w:rsid w:val="00367398"/>
    <w:rsid w:val="003673E0"/>
    <w:rsid w:val="003674EC"/>
    <w:rsid w:val="003675C2"/>
    <w:rsid w:val="00367670"/>
    <w:rsid w:val="0036784A"/>
    <w:rsid w:val="003678B7"/>
    <w:rsid w:val="00367964"/>
    <w:rsid w:val="00367A60"/>
    <w:rsid w:val="00367ADB"/>
    <w:rsid w:val="00367B22"/>
    <w:rsid w:val="00367B44"/>
    <w:rsid w:val="00367D83"/>
    <w:rsid w:val="00367F46"/>
    <w:rsid w:val="0037007A"/>
    <w:rsid w:val="003700FF"/>
    <w:rsid w:val="00370103"/>
    <w:rsid w:val="00370185"/>
    <w:rsid w:val="00370250"/>
    <w:rsid w:val="003702F1"/>
    <w:rsid w:val="00370347"/>
    <w:rsid w:val="0037045A"/>
    <w:rsid w:val="003704B6"/>
    <w:rsid w:val="003705C3"/>
    <w:rsid w:val="00370605"/>
    <w:rsid w:val="003708AF"/>
    <w:rsid w:val="00370B55"/>
    <w:rsid w:val="00370C60"/>
    <w:rsid w:val="00370CBA"/>
    <w:rsid w:val="00370E94"/>
    <w:rsid w:val="00370FD6"/>
    <w:rsid w:val="00371138"/>
    <w:rsid w:val="0037125A"/>
    <w:rsid w:val="003712FE"/>
    <w:rsid w:val="003714CA"/>
    <w:rsid w:val="003714E0"/>
    <w:rsid w:val="003714E5"/>
    <w:rsid w:val="003716A9"/>
    <w:rsid w:val="00371777"/>
    <w:rsid w:val="00371792"/>
    <w:rsid w:val="00371969"/>
    <w:rsid w:val="0037197F"/>
    <w:rsid w:val="00371AD6"/>
    <w:rsid w:val="00371B07"/>
    <w:rsid w:val="00371B69"/>
    <w:rsid w:val="00371B8E"/>
    <w:rsid w:val="00371BCB"/>
    <w:rsid w:val="00371C89"/>
    <w:rsid w:val="00371C94"/>
    <w:rsid w:val="00371D0D"/>
    <w:rsid w:val="00371D6C"/>
    <w:rsid w:val="003720BD"/>
    <w:rsid w:val="003720FC"/>
    <w:rsid w:val="003721DC"/>
    <w:rsid w:val="00372211"/>
    <w:rsid w:val="00372215"/>
    <w:rsid w:val="00372412"/>
    <w:rsid w:val="00372469"/>
    <w:rsid w:val="0037250D"/>
    <w:rsid w:val="00372593"/>
    <w:rsid w:val="0037261D"/>
    <w:rsid w:val="0037262C"/>
    <w:rsid w:val="003727F7"/>
    <w:rsid w:val="0037282F"/>
    <w:rsid w:val="003728A1"/>
    <w:rsid w:val="0037291E"/>
    <w:rsid w:val="00372B13"/>
    <w:rsid w:val="00372B8D"/>
    <w:rsid w:val="00372C74"/>
    <w:rsid w:val="00372CB8"/>
    <w:rsid w:val="00372D66"/>
    <w:rsid w:val="00372E66"/>
    <w:rsid w:val="00372F42"/>
    <w:rsid w:val="00373098"/>
    <w:rsid w:val="003730A9"/>
    <w:rsid w:val="003730FA"/>
    <w:rsid w:val="00373241"/>
    <w:rsid w:val="00373385"/>
    <w:rsid w:val="003733A0"/>
    <w:rsid w:val="0037344E"/>
    <w:rsid w:val="00373454"/>
    <w:rsid w:val="0037350E"/>
    <w:rsid w:val="00373527"/>
    <w:rsid w:val="0037355A"/>
    <w:rsid w:val="003735B2"/>
    <w:rsid w:val="003735D1"/>
    <w:rsid w:val="0037362F"/>
    <w:rsid w:val="003736BA"/>
    <w:rsid w:val="003736C8"/>
    <w:rsid w:val="003736E3"/>
    <w:rsid w:val="00373732"/>
    <w:rsid w:val="00373852"/>
    <w:rsid w:val="00373936"/>
    <w:rsid w:val="00373ABB"/>
    <w:rsid w:val="00373B03"/>
    <w:rsid w:val="00373B9C"/>
    <w:rsid w:val="00373C02"/>
    <w:rsid w:val="00373C7C"/>
    <w:rsid w:val="00373CC9"/>
    <w:rsid w:val="00373D1B"/>
    <w:rsid w:val="00373D36"/>
    <w:rsid w:val="00373D5E"/>
    <w:rsid w:val="00373D82"/>
    <w:rsid w:val="00373DD9"/>
    <w:rsid w:val="00373E33"/>
    <w:rsid w:val="00373E57"/>
    <w:rsid w:val="00374225"/>
    <w:rsid w:val="0037431B"/>
    <w:rsid w:val="0037431E"/>
    <w:rsid w:val="00374540"/>
    <w:rsid w:val="00374561"/>
    <w:rsid w:val="003745D2"/>
    <w:rsid w:val="003745D9"/>
    <w:rsid w:val="00374733"/>
    <w:rsid w:val="003747C1"/>
    <w:rsid w:val="00374869"/>
    <w:rsid w:val="003748C6"/>
    <w:rsid w:val="00374A49"/>
    <w:rsid w:val="00374B61"/>
    <w:rsid w:val="00374CAA"/>
    <w:rsid w:val="00374D4B"/>
    <w:rsid w:val="00374DC4"/>
    <w:rsid w:val="00374E34"/>
    <w:rsid w:val="00374E75"/>
    <w:rsid w:val="00374EEE"/>
    <w:rsid w:val="00374F45"/>
    <w:rsid w:val="00375050"/>
    <w:rsid w:val="003750A0"/>
    <w:rsid w:val="003751A0"/>
    <w:rsid w:val="003751EF"/>
    <w:rsid w:val="0037541F"/>
    <w:rsid w:val="0037544A"/>
    <w:rsid w:val="00375539"/>
    <w:rsid w:val="00375833"/>
    <w:rsid w:val="00375840"/>
    <w:rsid w:val="00375869"/>
    <w:rsid w:val="00375987"/>
    <w:rsid w:val="00375AB0"/>
    <w:rsid w:val="00375C42"/>
    <w:rsid w:val="00375D96"/>
    <w:rsid w:val="00375DD1"/>
    <w:rsid w:val="00375DDC"/>
    <w:rsid w:val="00375E7B"/>
    <w:rsid w:val="00375EA1"/>
    <w:rsid w:val="00375FAE"/>
    <w:rsid w:val="00376095"/>
    <w:rsid w:val="003760D9"/>
    <w:rsid w:val="003761F7"/>
    <w:rsid w:val="00376200"/>
    <w:rsid w:val="00376232"/>
    <w:rsid w:val="00376272"/>
    <w:rsid w:val="0037627B"/>
    <w:rsid w:val="0037634D"/>
    <w:rsid w:val="003763D1"/>
    <w:rsid w:val="00376455"/>
    <w:rsid w:val="00376642"/>
    <w:rsid w:val="00376676"/>
    <w:rsid w:val="0037673C"/>
    <w:rsid w:val="00376809"/>
    <w:rsid w:val="00376882"/>
    <w:rsid w:val="00376908"/>
    <w:rsid w:val="0037698E"/>
    <w:rsid w:val="003769E4"/>
    <w:rsid w:val="00376A13"/>
    <w:rsid w:val="00376A18"/>
    <w:rsid w:val="00376B70"/>
    <w:rsid w:val="00376BCC"/>
    <w:rsid w:val="00376D4D"/>
    <w:rsid w:val="00376EF9"/>
    <w:rsid w:val="00376F14"/>
    <w:rsid w:val="00376F8C"/>
    <w:rsid w:val="00376FB5"/>
    <w:rsid w:val="00377116"/>
    <w:rsid w:val="00377165"/>
    <w:rsid w:val="003771E2"/>
    <w:rsid w:val="00377225"/>
    <w:rsid w:val="0037729B"/>
    <w:rsid w:val="003772E9"/>
    <w:rsid w:val="003772F9"/>
    <w:rsid w:val="00377300"/>
    <w:rsid w:val="00377311"/>
    <w:rsid w:val="00377379"/>
    <w:rsid w:val="003773BD"/>
    <w:rsid w:val="00377479"/>
    <w:rsid w:val="00377601"/>
    <w:rsid w:val="0037763B"/>
    <w:rsid w:val="00377654"/>
    <w:rsid w:val="003776A9"/>
    <w:rsid w:val="003777A7"/>
    <w:rsid w:val="003777EE"/>
    <w:rsid w:val="00377837"/>
    <w:rsid w:val="00377847"/>
    <w:rsid w:val="00377A9F"/>
    <w:rsid w:val="00377ADB"/>
    <w:rsid w:val="00377E25"/>
    <w:rsid w:val="00377F05"/>
    <w:rsid w:val="00377F2B"/>
    <w:rsid w:val="00377F56"/>
    <w:rsid w:val="0038004B"/>
    <w:rsid w:val="00380064"/>
    <w:rsid w:val="0038006E"/>
    <w:rsid w:val="003800A7"/>
    <w:rsid w:val="00380272"/>
    <w:rsid w:val="00380319"/>
    <w:rsid w:val="00380451"/>
    <w:rsid w:val="00380488"/>
    <w:rsid w:val="003804F7"/>
    <w:rsid w:val="0038054F"/>
    <w:rsid w:val="003805E2"/>
    <w:rsid w:val="00380836"/>
    <w:rsid w:val="003808AE"/>
    <w:rsid w:val="003808B5"/>
    <w:rsid w:val="003808DA"/>
    <w:rsid w:val="0038096D"/>
    <w:rsid w:val="00380A09"/>
    <w:rsid w:val="00380AEA"/>
    <w:rsid w:val="00380B96"/>
    <w:rsid w:val="00380C19"/>
    <w:rsid w:val="00380D46"/>
    <w:rsid w:val="00380D7C"/>
    <w:rsid w:val="00380DCF"/>
    <w:rsid w:val="00380DEB"/>
    <w:rsid w:val="00380E18"/>
    <w:rsid w:val="00380ECA"/>
    <w:rsid w:val="00380F9E"/>
    <w:rsid w:val="00380FBF"/>
    <w:rsid w:val="00380FE7"/>
    <w:rsid w:val="00381241"/>
    <w:rsid w:val="00381255"/>
    <w:rsid w:val="00381336"/>
    <w:rsid w:val="003813A9"/>
    <w:rsid w:val="003813CE"/>
    <w:rsid w:val="003814A0"/>
    <w:rsid w:val="003814F8"/>
    <w:rsid w:val="0038164F"/>
    <w:rsid w:val="00381713"/>
    <w:rsid w:val="003817C9"/>
    <w:rsid w:val="003817CB"/>
    <w:rsid w:val="00381805"/>
    <w:rsid w:val="003818FF"/>
    <w:rsid w:val="003819DD"/>
    <w:rsid w:val="00381AC7"/>
    <w:rsid w:val="00381BA5"/>
    <w:rsid w:val="00381CB1"/>
    <w:rsid w:val="00381D51"/>
    <w:rsid w:val="00381DB5"/>
    <w:rsid w:val="00381E15"/>
    <w:rsid w:val="00381E80"/>
    <w:rsid w:val="00381E94"/>
    <w:rsid w:val="00382071"/>
    <w:rsid w:val="00382085"/>
    <w:rsid w:val="00382095"/>
    <w:rsid w:val="003820C5"/>
    <w:rsid w:val="00382187"/>
    <w:rsid w:val="00382258"/>
    <w:rsid w:val="00382267"/>
    <w:rsid w:val="003822BF"/>
    <w:rsid w:val="003822E2"/>
    <w:rsid w:val="0038236B"/>
    <w:rsid w:val="00382402"/>
    <w:rsid w:val="0038241E"/>
    <w:rsid w:val="00382563"/>
    <w:rsid w:val="003826E2"/>
    <w:rsid w:val="0038275D"/>
    <w:rsid w:val="00382811"/>
    <w:rsid w:val="003828CC"/>
    <w:rsid w:val="003828DC"/>
    <w:rsid w:val="00382AAE"/>
    <w:rsid w:val="00382ABA"/>
    <w:rsid w:val="00382B22"/>
    <w:rsid w:val="00382B9B"/>
    <w:rsid w:val="00382C09"/>
    <w:rsid w:val="00382C62"/>
    <w:rsid w:val="00382C7D"/>
    <w:rsid w:val="00382EF6"/>
    <w:rsid w:val="00382EFF"/>
    <w:rsid w:val="00382FDB"/>
    <w:rsid w:val="00383029"/>
    <w:rsid w:val="0038309E"/>
    <w:rsid w:val="003830B5"/>
    <w:rsid w:val="003830DD"/>
    <w:rsid w:val="00383143"/>
    <w:rsid w:val="0038319B"/>
    <w:rsid w:val="00383202"/>
    <w:rsid w:val="00383271"/>
    <w:rsid w:val="003832E2"/>
    <w:rsid w:val="00383316"/>
    <w:rsid w:val="00383318"/>
    <w:rsid w:val="003833E2"/>
    <w:rsid w:val="0038341C"/>
    <w:rsid w:val="003834C7"/>
    <w:rsid w:val="003834ED"/>
    <w:rsid w:val="00383742"/>
    <w:rsid w:val="00383743"/>
    <w:rsid w:val="003838A7"/>
    <w:rsid w:val="00383994"/>
    <w:rsid w:val="003839A3"/>
    <w:rsid w:val="00383BEC"/>
    <w:rsid w:val="00383D46"/>
    <w:rsid w:val="00383E41"/>
    <w:rsid w:val="00383E76"/>
    <w:rsid w:val="00383F56"/>
    <w:rsid w:val="00383F80"/>
    <w:rsid w:val="00383FBF"/>
    <w:rsid w:val="003840E1"/>
    <w:rsid w:val="0038411E"/>
    <w:rsid w:val="00384158"/>
    <w:rsid w:val="003842CB"/>
    <w:rsid w:val="00384436"/>
    <w:rsid w:val="00384547"/>
    <w:rsid w:val="00384552"/>
    <w:rsid w:val="00384576"/>
    <w:rsid w:val="00384609"/>
    <w:rsid w:val="003846C5"/>
    <w:rsid w:val="00384745"/>
    <w:rsid w:val="003847CF"/>
    <w:rsid w:val="003847E0"/>
    <w:rsid w:val="003847F0"/>
    <w:rsid w:val="00384999"/>
    <w:rsid w:val="003849B2"/>
    <w:rsid w:val="00384A86"/>
    <w:rsid w:val="00384B15"/>
    <w:rsid w:val="00384C0F"/>
    <w:rsid w:val="00384C6E"/>
    <w:rsid w:val="00384C81"/>
    <w:rsid w:val="00384CC7"/>
    <w:rsid w:val="00384D7B"/>
    <w:rsid w:val="00384DA0"/>
    <w:rsid w:val="00384E22"/>
    <w:rsid w:val="00384E96"/>
    <w:rsid w:val="00385023"/>
    <w:rsid w:val="0038502B"/>
    <w:rsid w:val="00385043"/>
    <w:rsid w:val="00385051"/>
    <w:rsid w:val="0038507A"/>
    <w:rsid w:val="00385099"/>
    <w:rsid w:val="003850F2"/>
    <w:rsid w:val="00385191"/>
    <w:rsid w:val="003852D3"/>
    <w:rsid w:val="0038532F"/>
    <w:rsid w:val="0038533F"/>
    <w:rsid w:val="0038537D"/>
    <w:rsid w:val="00385395"/>
    <w:rsid w:val="003853C1"/>
    <w:rsid w:val="003853D2"/>
    <w:rsid w:val="003853E9"/>
    <w:rsid w:val="003854AF"/>
    <w:rsid w:val="00385536"/>
    <w:rsid w:val="003855A6"/>
    <w:rsid w:val="003855C1"/>
    <w:rsid w:val="003855F2"/>
    <w:rsid w:val="00385643"/>
    <w:rsid w:val="00385647"/>
    <w:rsid w:val="00385672"/>
    <w:rsid w:val="00385673"/>
    <w:rsid w:val="00385675"/>
    <w:rsid w:val="00385686"/>
    <w:rsid w:val="00385732"/>
    <w:rsid w:val="0038580B"/>
    <w:rsid w:val="00385837"/>
    <w:rsid w:val="003858C9"/>
    <w:rsid w:val="003858F9"/>
    <w:rsid w:val="00385969"/>
    <w:rsid w:val="003859F0"/>
    <w:rsid w:val="00385A32"/>
    <w:rsid w:val="00385BF9"/>
    <w:rsid w:val="00385C38"/>
    <w:rsid w:val="00385CFA"/>
    <w:rsid w:val="00385D4A"/>
    <w:rsid w:val="00385D80"/>
    <w:rsid w:val="00386037"/>
    <w:rsid w:val="003860E6"/>
    <w:rsid w:val="003861E1"/>
    <w:rsid w:val="0038623C"/>
    <w:rsid w:val="003864B7"/>
    <w:rsid w:val="003864D5"/>
    <w:rsid w:val="003864E6"/>
    <w:rsid w:val="0038667C"/>
    <w:rsid w:val="003866E2"/>
    <w:rsid w:val="003867E1"/>
    <w:rsid w:val="0038685E"/>
    <w:rsid w:val="00386936"/>
    <w:rsid w:val="00386AFB"/>
    <w:rsid w:val="00386BA0"/>
    <w:rsid w:val="00386D27"/>
    <w:rsid w:val="00386D65"/>
    <w:rsid w:val="00386F68"/>
    <w:rsid w:val="00387011"/>
    <w:rsid w:val="00387034"/>
    <w:rsid w:val="003873F7"/>
    <w:rsid w:val="0038741F"/>
    <w:rsid w:val="003874AB"/>
    <w:rsid w:val="00387583"/>
    <w:rsid w:val="00387670"/>
    <w:rsid w:val="0038768E"/>
    <w:rsid w:val="003876D4"/>
    <w:rsid w:val="003876E6"/>
    <w:rsid w:val="003877C2"/>
    <w:rsid w:val="003878D1"/>
    <w:rsid w:val="003879C0"/>
    <w:rsid w:val="00387A71"/>
    <w:rsid w:val="00387D0D"/>
    <w:rsid w:val="00387DE3"/>
    <w:rsid w:val="00387EA4"/>
    <w:rsid w:val="00387EF7"/>
    <w:rsid w:val="00387F2A"/>
    <w:rsid w:val="00387FC0"/>
    <w:rsid w:val="00390043"/>
    <w:rsid w:val="00390133"/>
    <w:rsid w:val="003901AB"/>
    <w:rsid w:val="00390286"/>
    <w:rsid w:val="00390306"/>
    <w:rsid w:val="00390495"/>
    <w:rsid w:val="0039050A"/>
    <w:rsid w:val="00390551"/>
    <w:rsid w:val="00390569"/>
    <w:rsid w:val="00390676"/>
    <w:rsid w:val="00390818"/>
    <w:rsid w:val="00390863"/>
    <w:rsid w:val="00390A00"/>
    <w:rsid w:val="00390A1B"/>
    <w:rsid w:val="00390A29"/>
    <w:rsid w:val="00390B46"/>
    <w:rsid w:val="00390C64"/>
    <w:rsid w:val="00390E74"/>
    <w:rsid w:val="00390F05"/>
    <w:rsid w:val="00390F2D"/>
    <w:rsid w:val="00390F61"/>
    <w:rsid w:val="00391046"/>
    <w:rsid w:val="0039106E"/>
    <w:rsid w:val="00391078"/>
    <w:rsid w:val="00391107"/>
    <w:rsid w:val="003911E0"/>
    <w:rsid w:val="003914A2"/>
    <w:rsid w:val="003914B2"/>
    <w:rsid w:val="0039152E"/>
    <w:rsid w:val="003915AB"/>
    <w:rsid w:val="003915C1"/>
    <w:rsid w:val="0039164B"/>
    <w:rsid w:val="00391695"/>
    <w:rsid w:val="00391743"/>
    <w:rsid w:val="00391803"/>
    <w:rsid w:val="003918DA"/>
    <w:rsid w:val="00391A6D"/>
    <w:rsid w:val="00391AFA"/>
    <w:rsid w:val="00391B57"/>
    <w:rsid w:val="00391C45"/>
    <w:rsid w:val="00391DA1"/>
    <w:rsid w:val="00391E90"/>
    <w:rsid w:val="00391F48"/>
    <w:rsid w:val="00391FC5"/>
    <w:rsid w:val="0039208F"/>
    <w:rsid w:val="0039209B"/>
    <w:rsid w:val="00392268"/>
    <w:rsid w:val="003922F4"/>
    <w:rsid w:val="0039231A"/>
    <w:rsid w:val="00392600"/>
    <w:rsid w:val="003926F9"/>
    <w:rsid w:val="00392806"/>
    <w:rsid w:val="00392821"/>
    <w:rsid w:val="00392841"/>
    <w:rsid w:val="0039297B"/>
    <w:rsid w:val="003929F9"/>
    <w:rsid w:val="00392A4A"/>
    <w:rsid w:val="00392A71"/>
    <w:rsid w:val="00392B44"/>
    <w:rsid w:val="00392C43"/>
    <w:rsid w:val="00392DE5"/>
    <w:rsid w:val="00392EAC"/>
    <w:rsid w:val="00393000"/>
    <w:rsid w:val="003930D7"/>
    <w:rsid w:val="00393170"/>
    <w:rsid w:val="003931E4"/>
    <w:rsid w:val="003931EE"/>
    <w:rsid w:val="00393291"/>
    <w:rsid w:val="00393315"/>
    <w:rsid w:val="00393343"/>
    <w:rsid w:val="0039334E"/>
    <w:rsid w:val="003934A9"/>
    <w:rsid w:val="003934D6"/>
    <w:rsid w:val="00393557"/>
    <w:rsid w:val="0039394C"/>
    <w:rsid w:val="0039398A"/>
    <w:rsid w:val="003939D8"/>
    <w:rsid w:val="00393A04"/>
    <w:rsid w:val="00393BED"/>
    <w:rsid w:val="00393C39"/>
    <w:rsid w:val="00393DA9"/>
    <w:rsid w:val="00393E4F"/>
    <w:rsid w:val="00393ED8"/>
    <w:rsid w:val="00393EFB"/>
    <w:rsid w:val="00393F5D"/>
    <w:rsid w:val="00393F7F"/>
    <w:rsid w:val="00393FAB"/>
    <w:rsid w:val="00394090"/>
    <w:rsid w:val="003940F7"/>
    <w:rsid w:val="00394225"/>
    <w:rsid w:val="0039433F"/>
    <w:rsid w:val="0039438F"/>
    <w:rsid w:val="00394413"/>
    <w:rsid w:val="0039441A"/>
    <w:rsid w:val="003944A9"/>
    <w:rsid w:val="003944DF"/>
    <w:rsid w:val="00394535"/>
    <w:rsid w:val="003945EC"/>
    <w:rsid w:val="0039464B"/>
    <w:rsid w:val="003947D1"/>
    <w:rsid w:val="003947ED"/>
    <w:rsid w:val="00394A15"/>
    <w:rsid w:val="00394BAA"/>
    <w:rsid w:val="00394CDE"/>
    <w:rsid w:val="00394DE1"/>
    <w:rsid w:val="00394DFF"/>
    <w:rsid w:val="00394E74"/>
    <w:rsid w:val="00394E99"/>
    <w:rsid w:val="00394ECD"/>
    <w:rsid w:val="0039519C"/>
    <w:rsid w:val="0039524A"/>
    <w:rsid w:val="003952A2"/>
    <w:rsid w:val="00395300"/>
    <w:rsid w:val="00395374"/>
    <w:rsid w:val="00395446"/>
    <w:rsid w:val="00395483"/>
    <w:rsid w:val="0039549A"/>
    <w:rsid w:val="0039556F"/>
    <w:rsid w:val="0039566F"/>
    <w:rsid w:val="00395818"/>
    <w:rsid w:val="0039582B"/>
    <w:rsid w:val="003958FE"/>
    <w:rsid w:val="00395991"/>
    <w:rsid w:val="003959E9"/>
    <w:rsid w:val="00395A4D"/>
    <w:rsid w:val="00395B03"/>
    <w:rsid w:val="00395B7C"/>
    <w:rsid w:val="00395BF1"/>
    <w:rsid w:val="00395C9E"/>
    <w:rsid w:val="00395D26"/>
    <w:rsid w:val="00395D67"/>
    <w:rsid w:val="00395DEC"/>
    <w:rsid w:val="00395ECC"/>
    <w:rsid w:val="00395F2E"/>
    <w:rsid w:val="003960CC"/>
    <w:rsid w:val="003960E4"/>
    <w:rsid w:val="003960FF"/>
    <w:rsid w:val="00396238"/>
    <w:rsid w:val="0039625D"/>
    <w:rsid w:val="00396316"/>
    <w:rsid w:val="003964F7"/>
    <w:rsid w:val="00396515"/>
    <w:rsid w:val="00396566"/>
    <w:rsid w:val="00396582"/>
    <w:rsid w:val="00396623"/>
    <w:rsid w:val="0039672D"/>
    <w:rsid w:val="0039674A"/>
    <w:rsid w:val="0039677B"/>
    <w:rsid w:val="003967EE"/>
    <w:rsid w:val="003968EB"/>
    <w:rsid w:val="00396909"/>
    <w:rsid w:val="00396B01"/>
    <w:rsid w:val="00396BF4"/>
    <w:rsid w:val="00396D33"/>
    <w:rsid w:val="00396D36"/>
    <w:rsid w:val="00396DCE"/>
    <w:rsid w:val="00396DE0"/>
    <w:rsid w:val="00396DF9"/>
    <w:rsid w:val="00396E99"/>
    <w:rsid w:val="00396F24"/>
    <w:rsid w:val="00396F5B"/>
    <w:rsid w:val="00397168"/>
    <w:rsid w:val="003972AE"/>
    <w:rsid w:val="00397407"/>
    <w:rsid w:val="00397409"/>
    <w:rsid w:val="003974F2"/>
    <w:rsid w:val="003975A7"/>
    <w:rsid w:val="003975EA"/>
    <w:rsid w:val="0039783B"/>
    <w:rsid w:val="00397849"/>
    <w:rsid w:val="003978D2"/>
    <w:rsid w:val="00397A0C"/>
    <w:rsid w:val="00397A2A"/>
    <w:rsid w:val="00397ABA"/>
    <w:rsid w:val="00397B36"/>
    <w:rsid w:val="00397BA8"/>
    <w:rsid w:val="00397D02"/>
    <w:rsid w:val="00397D0F"/>
    <w:rsid w:val="00397D21"/>
    <w:rsid w:val="00397E2D"/>
    <w:rsid w:val="00397EDA"/>
    <w:rsid w:val="00397EE7"/>
    <w:rsid w:val="00397FF6"/>
    <w:rsid w:val="003A00D9"/>
    <w:rsid w:val="003A00DD"/>
    <w:rsid w:val="003A01C3"/>
    <w:rsid w:val="003A01F3"/>
    <w:rsid w:val="003A0217"/>
    <w:rsid w:val="003A02E2"/>
    <w:rsid w:val="003A03D4"/>
    <w:rsid w:val="003A048E"/>
    <w:rsid w:val="003A0495"/>
    <w:rsid w:val="003A04D9"/>
    <w:rsid w:val="003A0504"/>
    <w:rsid w:val="003A063D"/>
    <w:rsid w:val="003A065F"/>
    <w:rsid w:val="003A0728"/>
    <w:rsid w:val="003A084B"/>
    <w:rsid w:val="003A09A0"/>
    <w:rsid w:val="003A0AEB"/>
    <w:rsid w:val="003A0B53"/>
    <w:rsid w:val="003A0B86"/>
    <w:rsid w:val="003A0C9F"/>
    <w:rsid w:val="003A0CAF"/>
    <w:rsid w:val="003A0FA6"/>
    <w:rsid w:val="003A10DC"/>
    <w:rsid w:val="003A10E3"/>
    <w:rsid w:val="003A117D"/>
    <w:rsid w:val="003A1206"/>
    <w:rsid w:val="003A1245"/>
    <w:rsid w:val="003A1351"/>
    <w:rsid w:val="003A14C1"/>
    <w:rsid w:val="003A14EC"/>
    <w:rsid w:val="003A150B"/>
    <w:rsid w:val="003A1652"/>
    <w:rsid w:val="003A16D0"/>
    <w:rsid w:val="003A178A"/>
    <w:rsid w:val="003A17E8"/>
    <w:rsid w:val="003A196A"/>
    <w:rsid w:val="003A1AB2"/>
    <w:rsid w:val="003A1ADE"/>
    <w:rsid w:val="003A1AFB"/>
    <w:rsid w:val="003A1B67"/>
    <w:rsid w:val="003A1D59"/>
    <w:rsid w:val="003A1DAD"/>
    <w:rsid w:val="003A1E86"/>
    <w:rsid w:val="003A1EC8"/>
    <w:rsid w:val="003A1EE5"/>
    <w:rsid w:val="003A1F12"/>
    <w:rsid w:val="003A1FC0"/>
    <w:rsid w:val="003A22A4"/>
    <w:rsid w:val="003A22D1"/>
    <w:rsid w:val="003A22EA"/>
    <w:rsid w:val="003A2328"/>
    <w:rsid w:val="003A24BD"/>
    <w:rsid w:val="003A254A"/>
    <w:rsid w:val="003A2613"/>
    <w:rsid w:val="003A267F"/>
    <w:rsid w:val="003A2866"/>
    <w:rsid w:val="003A2873"/>
    <w:rsid w:val="003A2887"/>
    <w:rsid w:val="003A2960"/>
    <w:rsid w:val="003A2CB3"/>
    <w:rsid w:val="003A2CFA"/>
    <w:rsid w:val="003A2F0A"/>
    <w:rsid w:val="003A2FCE"/>
    <w:rsid w:val="003A2FE8"/>
    <w:rsid w:val="003A2FEC"/>
    <w:rsid w:val="003A3195"/>
    <w:rsid w:val="003A3236"/>
    <w:rsid w:val="003A3330"/>
    <w:rsid w:val="003A3417"/>
    <w:rsid w:val="003A3507"/>
    <w:rsid w:val="003A365F"/>
    <w:rsid w:val="003A3836"/>
    <w:rsid w:val="003A38B1"/>
    <w:rsid w:val="003A3997"/>
    <w:rsid w:val="003A3A13"/>
    <w:rsid w:val="003A3C8F"/>
    <w:rsid w:val="003A3CDA"/>
    <w:rsid w:val="003A3CED"/>
    <w:rsid w:val="003A3D8B"/>
    <w:rsid w:val="003A3E40"/>
    <w:rsid w:val="003A3E9D"/>
    <w:rsid w:val="003A3FBE"/>
    <w:rsid w:val="003A4007"/>
    <w:rsid w:val="003A40A9"/>
    <w:rsid w:val="003A40BD"/>
    <w:rsid w:val="003A4255"/>
    <w:rsid w:val="003A4356"/>
    <w:rsid w:val="003A43E8"/>
    <w:rsid w:val="003A44BC"/>
    <w:rsid w:val="003A45A6"/>
    <w:rsid w:val="003A45F1"/>
    <w:rsid w:val="003A478A"/>
    <w:rsid w:val="003A4796"/>
    <w:rsid w:val="003A47A2"/>
    <w:rsid w:val="003A4809"/>
    <w:rsid w:val="003A488F"/>
    <w:rsid w:val="003A48AC"/>
    <w:rsid w:val="003A4A49"/>
    <w:rsid w:val="003A4A7E"/>
    <w:rsid w:val="003A4AD6"/>
    <w:rsid w:val="003A4B3F"/>
    <w:rsid w:val="003A4C61"/>
    <w:rsid w:val="003A4D08"/>
    <w:rsid w:val="003A4DAE"/>
    <w:rsid w:val="003A4F8A"/>
    <w:rsid w:val="003A4FAF"/>
    <w:rsid w:val="003A4FBF"/>
    <w:rsid w:val="003A5061"/>
    <w:rsid w:val="003A5090"/>
    <w:rsid w:val="003A512E"/>
    <w:rsid w:val="003A51FE"/>
    <w:rsid w:val="003A523B"/>
    <w:rsid w:val="003A5458"/>
    <w:rsid w:val="003A54A8"/>
    <w:rsid w:val="003A5582"/>
    <w:rsid w:val="003A56CE"/>
    <w:rsid w:val="003A56D7"/>
    <w:rsid w:val="003A582C"/>
    <w:rsid w:val="003A592A"/>
    <w:rsid w:val="003A59C6"/>
    <w:rsid w:val="003A5BC3"/>
    <w:rsid w:val="003A5BD6"/>
    <w:rsid w:val="003A5CFC"/>
    <w:rsid w:val="003A5D4E"/>
    <w:rsid w:val="003A5E66"/>
    <w:rsid w:val="003A5E6F"/>
    <w:rsid w:val="003A5EBB"/>
    <w:rsid w:val="003A6189"/>
    <w:rsid w:val="003A6244"/>
    <w:rsid w:val="003A62CA"/>
    <w:rsid w:val="003A631A"/>
    <w:rsid w:val="003A63F4"/>
    <w:rsid w:val="003A6403"/>
    <w:rsid w:val="003A649C"/>
    <w:rsid w:val="003A64EC"/>
    <w:rsid w:val="003A675D"/>
    <w:rsid w:val="003A676F"/>
    <w:rsid w:val="003A6820"/>
    <w:rsid w:val="003A682E"/>
    <w:rsid w:val="003A68A8"/>
    <w:rsid w:val="003A68CC"/>
    <w:rsid w:val="003A6A14"/>
    <w:rsid w:val="003A6A3B"/>
    <w:rsid w:val="003A6ACA"/>
    <w:rsid w:val="003A6D3B"/>
    <w:rsid w:val="003A6D50"/>
    <w:rsid w:val="003A6DC8"/>
    <w:rsid w:val="003A6E64"/>
    <w:rsid w:val="003A6FB9"/>
    <w:rsid w:val="003A7091"/>
    <w:rsid w:val="003A712E"/>
    <w:rsid w:val="003A7262"/>
    <w:rsid w:val="003A72EF"/>
    <w:rsid w:val="003A730B"/>
    <w:rsid w:val="003A741B"/>
    <w:rsid w:val="003A7480"/>
    <w:rsid w:val="003A74BE"/>
    <w:rsid w:val="003A7500"/>
    <w:rsid w:val="003A769E"/>
    <w:rsid w:val="003A77F2"/>
    <w:rsid w:val="003A7879"/>
    <w:rsid w:val="003A7901"/>
    <w:rsid w:val="003A7AB6"/>
    <w:rsid w:val="003A7ABD"/>
    <w:rsid w:val="003A7AF2"/>
    <w:rsid w:val="003A7C02"/>
    <w:rsid w:val="003A7C25"/>
    <w:rsid w:val="003A7CC6"/>
    <w:rsid w:val="003A7E45"/>
    <w:rsid w:val="003A7E53"/>
    <w:rsid w:val="003A7F85"/>
    <w:rsid w:val="003A7FF0"/>
    <w:rsid w:val="003A7FFB"/>
    <w:rsid w:val="003B00FB"/>
    <w:rsid w:val="003B0146"/>
    <w:rsid w:val="003B01E1"/>
    <w:rsid w:val="003B024C"/>
    <w:rsid w:val="003B0275"/>
    <w:rsid w:val="003B0280"/>
    <w:rsid w:val="003B0360"/>
    <w:rsid w:val="003B03D4"/>
    <w:rsid w:val="003B03E7"/>
    <w:rsid w:val="003B054E"/>
    <w:rsid w:val="003B055C"/>
    <w:rsid w:val="003B056E"/>
    <w:rsid w:val="003B0661"/>
    <w:rsid w:val="003B06A1"/>
    <w:rsid w:val="003B07DE"/>
    <w:rsid w:val="003B0953"/>
    <w:rsid w:val="003B0960"/>
    <w:rsid w:val="003B0978"/>
    <w:rsid w:val="003B0AD0"/>
    <w:rsid w:val="003B0C09"/>
    <w:rsid w:val="003B0C19"/>
    <w:rsid w:val="003B0CD8"/>
    <w:rsid w:val="003B0E82"/>
    <w:rsid w:val="003B0FBE"/>
    <w:rsid w:val="003B108F"/>
    <w:rsid w:val="003B1329"/>
    <w:rsid w:val="003B1542"/>
    <w:rsid w:val="003B15B6"/>
    <w:rsid w:val="003B15C4"/>
    <w:rsid w:val="003B15DD"/>
    <w:rsid w:val="003B1613"/>
    <w:rsid w:val="003B1622"/>
    <w:rsid w:val="003B162A"/>
    <w:rsid w:val="003B1635"/>
    <w:rsid w:val="003B165F"/>
    <w:rsid w:val="003B16EF"/>
    <w:rsid w:val="003B16F7"/>
    <w:rsid w:val="003B176A"/>
    <w:rsid w:val="003B177B"/>
    <w:rsid w:val="003B17B8"/>
    <w:rsid w:val="003B1853"/>
    <w:rsid w:val="003B18C2"/>
    <w:rsid w:val="003B1A17"/>
    <w:rsid w:val="003B1B61"/>
    <w:rsid w:val="003B1BCB"/>
    <w:rsid w:val="003B1CE2"/>
    <w:rsid w:val="003B1D13"/>
    <w:rsid w:val="003B1D2A"/>
    <w:rsid w:val="003B1D60"/>
    <w:rsid w:val="003B1D7B"/>
    <w:rsid w:val="003B1EFA"/>
    <w:rsid w:val="003B1F82"/>
    <w:rsid w:val="003B224B"/>
    <w:rsid w:val="003B232A"/>
    <w:rsid w:val="003B2502"/>
    <w:rsid w:val="003B253A"/>
    <w:rsid w:val="003B2620"/>
    <w:rsid w:val="003B277E"/>
    <w:rsid w:val="003B293A"/>
    <w:rsid w:val="003B2BB5"/>
    <w:rsid w:val="003B2D07"/>
    <w:rsid w:val="003B2D4B"/>
    <w:rsid w:val="003B2FF2"/>
    <w:rsid w:val="003B300E"/>
    <w:rsid w:val="003B302F"/>
    <w:rsid w:val="003B3262"/>
    <w:rsid w:val="003B3462"/>
    <w:rsid w:val="003B35DA"/>
    <w:rsid w:val="003B3809"/>
    <w:rsid w:val="003B3876"/>
    <w:rsid w:val="003B3939"/>
    <w:rsid w:val="003B39D3"/>
    <w:rsid w:val="003B3D2B"/>
    <w:rsid w:val="003B3D83"/>
    <w:rsid w:val="003B3DF9"/>
    <w:rsid w:val="003B3F7A"/>
    <w:rsid w:val="003B4075"/>
    <w:rsid w:val="003B40EF"/>
    <w:rsid w:val="003B4140"/>
    <w:rsid w:val="003B417C"/>
    <w:rsid w:val="003B418A"/>
    <w:rsid w:val="003B449E"/>
    <w:rsid w:val="003B4537"/>
    <w:rsid w:val="003B4547"/>
    <w:rsid w:val="003B45CE"/>
    <w:rsid w:val="003B468A"/>
    <w:rsid w:val="003B472E"/>
    <w:rsid w:val="003B476D"/>
    <w:rsid w:val="003B4798"/>
    <w:rsid w:val="003B47D5"/>
    <w:rsid w:val="003B4835"/>
    <w:rsid w:val="003B48DF"/>
    <w:rsid w:val="003B495E"/>
    <w:rsid w:val="003B4A59"/>
    <w:rsid w:val="003B4B11"/>
    <w:rsid w:val="003B4BD7"/>
    <w:rsid w:val="003B4C1F"/>
    <w:rsid w:val="003B4CDB"/>
    <w:rsid w:val="003B4CE6"/>
    <w:rsid w:val="003B4E0F"/>
    <w:rsid w:val="003B4F47"/>
    <w:rsid w:val="003B4F68"/>
    <w:rsid w:val="003B4F84"/>
    <w:rsid w:val="003B4FDC"/>
    <w:rsid w:val="003B4FDE"/>
    <w:rsid w:val="003B5013"/>
    <w:rsid w:val="003B5089"/>
    <w:rsid w:val="003B50A5"/>
    <w:rsid w:val="003B50AD"/>
    <w:rsid w:val="003B511A"/>
    <w:rsid w:val="003B535B"/>
    <w:rsid w:val="003B536A"/>
    <w:rsid w:val="003B536B"/>
    <w:rsid w:val="003B5372"/>
    <w:rsid w:val="003B5436"/>
    <w:rsid w:val="003B5438"/>
    <w:rsid w:val="003B5737"/>
    <w:rsid w:val="003B5743"/>
    <w:rsid w:val="003B588D"/>
    <w:rsid w:val="003B5A3F"/>
    <w:rsid w:val="003B5A5A"/>
    <w:rsid w:val="003B5A9F"/>
    <w:rsid w:val="003B5AA4"/>
    <w:rsid w:val="003B5B8D"/>
    <w:rsid w:val="003B5BD9"/>
    <w:rsid w:val="003B5CBF"/>
    <w:rsid w:val="003B5D11"/>
    <w:rsid w:val="003B5D95"/>
    <w:rsid w:val="003B5E1F"/>
    <w:rsid w:val="003B5F8E"/>
    <w:rsid w:val="003B6028"/>
    <w:rsid w:val="003B602D"/>
    <w:rsid w:val="003B6042"/>
    <w:rsid w:val="003B612D"/>
    <w:rsid w:val="003B6168"/>
    <w:rsid w:val="003B61E4"/>
    <w:rsid w:val="003B6361"/>
    <w:rsid w:val="003B6421"/>
    <w:rsid w:val="003B6431"/>
    <w:rsid w:val="003B6459"/>
    <w:rsid w:val="003B64F1"/>
    <w:rsid w:val="003B6544"/>
    <w:rsid w:val="003B6575"/>
    <w:rsid w:val="003B65A7"/>
    <w:rsid w:val="003B6636"/>
    <w:rsid w:val="003B67EE"/>
    <w:rsid w:val="003B6849"/>
    <w:rsid w:val="003B689E"/>
    <w:rsid w:val="003B69DC"/>
    <w:rsid w:val="003B69FD"/>
    <w:rsid w:val="003B6A18"/>
    <w:rsid w:val="003B6A47"/>
    <w:rsid w:val="003B6AC5"/>
    <w:rsid w:val="003B6AC7"/>
    <w:rsid w:val="003B6AD0"/>
    <w:rsid w:val="003B6CFD"/>
    <w:rsid w:val="003B6D53"/>
    <w:rsid w:val="003B6D73"/>
    <w:rsid w:val="003B6D8B"/>
    <w:rsid w:val="003B6DD6"/>
    <w:rsid w:val="003B6F96"/>
    <w:rsid w:val="003B7074"/>
    <w:rsid w:val="003B714F"/>
    <w:rsid w:val="003B719D"/>
    <w:rsid w:val="003B7426"/>
    <w:rsid w:val="003B75E3"/>
    <w:rsid w:val="003B75F6"/>
    <w:rsid w:val="003B76A5"/>
    <w:rsid w:val="003B76E9"/>
    <w:rsid w:val="003B78EE"/>
    <w:rsid w:val="003B79A2"/>
    <w:rsid w:val="003B7A01"/>
    <w:rsid w:val="003B7A3A"/>
    <w:rsid w:val="003B7C45"/>
    <w:rsid w:val="003B7D0E"/>
    <w:rsid w:val="003B7E09"/>
    <w:rsid w:val="003B7E33"/>
    <w:rsid w:val="003B7F88"/>
    <w:rsid w:val="003C0029"/>
    <w:rsid w:val="003C00D2"/>
    <w:rsid w:val="003C01E0"/>
    <w:rsid w:val="003C025A"/>
    <w:rsid w:val="003C0402"/>
    <w:rsid w:val="003C042B"/>
    <w:rsid w:val="003C04A0"/>
    <w:rsid w:val="003C0550"/>
    <w:rsid w:val="003C05C2"/>
    <w:rsid w:val="003C0641"/>
    <w:rsid w:val="003C0643"/>
    <w:rsid w:val="003C06AB"/>
    <w:rsid w:val="003C073F"/>
    <w:rsid w:val="003C075F"/>
    <w:rsid w:val="003C07DA"/>
    <w:rsid w:val="003C0B2E"/>
    <w:rsid w:val="003C0C1F"/>
    <w:rsid w:val="003C0CBC"/>
    <w:rsid w:val="003C0CC0"/>
    <w:rsid w:val="003C0D0F"/>
    <w:rsid w:val="003C0D8D"/>
    <w:rsid w:val="003C0DCD"/>
    <w:rsid w:val="003C0E95"/>
    <w:rsid w:val="003C0F91"/>
    <w:rsid w:val="003C10CF"/>
    <w:rsid w:val="003C10E1"/>
    <w:rsid w:val="003C10E7"/>
    <w:rsid w:val="003C1145"/>
    <w:rsid w:val="003C114B"/>
    <w:rsid w:val="003C11C8"/>
    <w:rsid w:val="003C123A"/>
    <w:rsid w:val="003C12BC"/>
    <w:rsid w:val="003C1383"/>
    <w:rsid w:val="003C155E"/>
    <w:rsid w:val="003C16D3"/>
    <w:rsid w:val="003C16D7"/>
    <w:rsid w:val="003C17E5"/>
    <w:rsid w:val="003C1803"/>
    <w:rsid w:val="003C1888"/>
    <w:rsid w:val="003C18A8"/>
    <w:rsid w:val="003C1908"/>
    <w:rsid w:val="003C1928"/>
    <w:rsid w:val="003C19DD"/>
    <w:rsid w:val="003C1A40"/>
    <w:rsid w:val="003C1A74"/>
    <w:rsid w:val="003C1A90"/>
    <w:rsid w:val="003C1B34"/>
    <w:rsid w:val="003C1B96"/>
    <w:rsid w:val="003C1C7F"/>
    <w:rsid w:val="003C1C96"/>
    <w:rsid w:val="003C1CF6"/>
    <w:rsid w:val="003C1DD6"/>
    <w:rsid w:val="003C1F04"/>
    <w:rsid w:val="003C1F26"/>
    <w:rsid w:val="003C1FA9"/>
    <w:rsid w:val="003C2027"/>
    <w:rsid w:val="003C202E"/>
    <w:rsid w:val="003C20C1"/>
    <w:rsid w:val="003C22C1"/>
    <w:rsid w:val="003C2317"/>
    <w:rsid w:val="003C241E"/>
    <w:rsid w:val="003C246A"/>
    <w:rsid w:val="003C24C0"/>
    <w:rsid w:val="003C2559"/>
    <w:rsid w:val="003C25A9"/>
    <w:rsid w:val="003C2609"/>
    <w:rsid w:val="003C2673"/>
    <w:rsid w:val="003C26C7"/>
    <w:rsid w:val="003C276A"/>
    <w:rsid w:val="003C28A6"/>
    <w:rsid w:val="003C28B3"/>
    <w:rsid w:val="003C2995"/>
    <w:rsid w:val="003C2BA7"/>
    <w:rsid w:val="003C2C91"/>
    <w:rsid w:val="003C2D90"/>
    <w:rsid w:val="003C2FA4"/>
    <w:rsid w:val="003C30DA"/>
    <w:rsid w:val="003C31D0"/>
    <w:rsid w:val="003C3260"/>
    <w:rsid w:val="003C365F"/>
    <w:rsid w:val="003C3721"/>
    <w:rsid w:val="003C38E4"/>
    <w:rsid w:val="003C3ABA"/>
    <w:rsid w:val="003C3B2E"/>
    <w:rsid w:val="003C3BCB"/>
    <w:rsid w:val="003C3D0C"/>
    <w:rsid w:val="003C3D4F"/>
    <w:rsid w:val="003C3F4E"/>
    <w:rsid w:val="003C3F50"/>
    <w:rsid w:val="003C3FB6"/>
    <w:rsid w:val="003C41EC"/>
    <w:rsid w:val="003C4236"/>
    <w:rsid w:val="003C42F6"/>
    <w:rsid w:val="003C45B8"/>
    <w:rsid w:val="003C4693"/>
    <w:rsid w:val="003C4755"/>
    <w:rsid w:val="003C487E"/>
    <w:rsid w:val="003C48E6"/>
    <w:rsid w:val="003C491C"/>
    <w:rsid w:val="003C4962"/>
    <w:rsid w:val="003C49D2"/>
    <w:rsid w:val="003C4A04"/>
    <w:rsid w:val="003C4B90"/>
    <w:rsid w:val="003C4CD9"/>
    <w:rsid w:val="003C4EDA"/>
    <w:rsid w:val="003C4EDC"/>
    <w:rsid w:val="003C500A"/>
    <w:rsid w:val="003C5103"/>
    <w:rsid w:val="003C5213"/>
    <w:rsid w:val="003C52B6"/>
    <w:rsid w:val="003C52CB"/>
    <w:rsid w:val="003C52DA"/>
    <w:rsid w:val="003C5377"/>
    <w:rsid w:val="003C5386"/>
    <w:rsid w:val="003C53EE"/>
    <w:rsid w:val="003C542F"/>
    <w:rsid w:val="003C54FE"/>
    <w:rsid w:val="003C561F"/>
    <w:rsid w:val="003C5751"/>
    <w:rsid w:val="003C5766"/>
    <w:rsid w:val="003C57E7"/>
    <w:rsid w:val="003C5874"/>
    <w:rsid w:val="003C5898"/>
    <w:rsid w:val="003C58E3"/>
    <w:rsid w:val="003C5D8D"/>
    <w:rsid w:val="003C60D5"/>
    <w:rsid w:val="003C61B8"/>
    <w:rsid w:val="003C6244"/>
    <w:rsid w:val="003C627F"/>
    <w:rsid w:val="003C6526"/>
    <w:rsid w:val="003C652E"/>
    <w:rsid w:val="003C6545"/>
    <w:rsid w:val="003C65AB"/>
    <w:rsid w:val="003C667E"/>
    <w:rsid w:val="003C66B2"/>
    <w:rsid w:val="003C66F8"/>
    <w:rsid w:val="003C6855"/>
    <w:rsid w:val="003C68F3"/>
    <w:rsid w:val="003C6962"/>
    <w:rsid w:val="003C6A30"/>
    <w:rsid w:val="003C6A44"/>
    <w:rsid w:val="003C6A83"/>
    <w:rsid w:val="003C6A9F"/>
    <w:rsid w:val="003C6AFB"/>
    <w:rsid w:val="003C6B28"/>
    <w:rsid w:val="003C6B43"/>
    <w:rsid w:val="003C6CAD"/>
    <w:rsid w:val="003C6DDE"/>
    <w:rsid w:val="003C6E7C"/>
    <w:rsid w:val="003C72B6"/>
    <w:rsid w:val="003C72BD"/>
    <w:rsid w:val="003C72C5"/>
    <w:rsid w:val="003C750A"/>
    <w:rsid w:val="003C75F1"/>
    <w:rsid w:val="003C7758"/>
    <w:rsid w:val="003C779D"/>
    <w:rsid w:val="003C786A"/>
    <w:rsid w:val="003C78E6"/>
    <w:rsid w:val="003C7A10"/>
    <w:rsid w:val="003C7A99"/>
    <w:rsid w:val="003C7B51"/>
    <w:rsid w:val="003C7C2F"/>
    <w:rsid w:val="003C7CDA"/>
    <w:rsid w:val="003C7D0E"/>
    <w:rsid w:val="003C7EC8"/>
    <w:rsid w:val="003C7FF4"/>
    <w:rsid w:val="003D021B"/>
    <w:rsid w:val="003D0390"/>
    <w:rsid w:val="003D03B0"/>
    <w:rsid w:val="003D0431"/>
    <w:rsid w:val="003D051E"/>
    <w:rsid w:val="003D0621"/>
    <w:rsid w:val="003D0887"/>
    <w:rsid w:val="003D0950"/>
    <w:rsid w:val="003D0B83"/>
    <w:rsid w:val="003D0C0D"/>
    <w:rsid w:val="003D0C1B"/>
    <w:rsid w:val="003D0C3A"/>
    <w:rsid w:val="003D0C44"/>
    <w:rsid w:val="003D0C70"/>
    <w:rsid w:val="003D0CB3"/>
    <w:rsid w:val="003D0D28"/>
    <w:rsid w:val="003D0DC1"/>
    <w:rsid w:val="003D0F06"/>
    <w:rsid w:val="003D0FFF"/>
    <w:rsid w:val="003D1042"/>
    <w:rsid w:val="003D104A"/>
    <w:rsid w:val="003D1069"/>
    <w:rsid w:val="003D1351"/>
    <w:rsid w:val="003D14B2"/>
    <w:rsid w:val="003D14ED"/>
    <w:rsid w:val="003D15D2"/>
    <w:rsid w:val="003D1626"/>
    <w:rsid w:val="003D1628"/>
    <w:rsid w:val="003D168C"/>
    <w:rsid w:val="003D16ED"/>
    <w:rsid w:val="003D170C"/>
    <w:rsid w:val="003D180B"/>
    <w:rsid w:val="003D1817"/>
    <w:rsid w:val="003D18AD"/>
    <w:rsid w:val="003D1BE6"/>
    <w:rsid w:val="003D1C15"/>
    <w:rsid w:val="003D1D69"/>
    <w:rsid w:val="003D1E43"/>
    <w:rsid w:val="003D1E8D"/>
    <w:rsid w:val="003D1EB5"/>
    <w:rsid w:val="003D2054"/>
    <w:rsid w:val="003D2173"/>
    <w:rsid w:val="003D22EB"/>
    <w:rsid w:val="003D2311"/>
    <w:rsid w:val="003D2322"/>
    <w:rsid w:val="003D23A8"/>
    <w:rsid w:val="003D23D4"/>
    <w:rsid w:val="003D2447"/>
    <w:rsid w:val="003D2473"/>
    <w:rsid w:val="003D24A5"/>
    <w:rsid w:val="003D2521"/>
    <w:rsid w:val="003D2548"/>
    <w:rsid w:val="003D2571"/>
    <w:rsid w:val="003D26AC"/>
    <w:rsid w:val="003D26CD"/>
    <w:rsid w:val="003D2702"/>
    <w:rsid w:val="003D2974"/>
    <w:rsid w:val="003D29ED"/>
    <w:rsid w:val="003D2A98"/>
    <w:rsid w:val="003D2ADF"/>
    <w:rsid w:val="003D2AE0"/>
    <w:rsid w:val="003D2B3D"/>
    <w:rsid w:val="003D2B98"/>
    <w:rsid w:val="003D2BFF"/>
    <w:rsid w:val="003D2CA9"/>
    <w:rsid w:val="003D2E18"/>
    <w:rsid w:val="003D2F22"/>
    <w:rsid w:val="003D31C7"/>
    <w:rsid w:val="003D31CD"/>
    <w:rsid w:val="003D33CB"/>
    <w:rsid w:val="003D349E"/>
    <w:rsid w:val="003D3515"/>
    <w:rsid w:val="003D371C"/>
    <w:rsid w:val="003D37BB"/>
    <w:rsid w:val="003D3842"/>
    <w:rsid w:val="003D3BDB"/>
    <w:rsid w:val="003D3C05"/>
    <w:rsid w:val="003D3C5E"/>
    <w:rsid w:val="003D3CF3"/>
    <w:rsid w:val="003D3D70"/>
    <w:rsid w:val="003D3FEC"/>
    <w:rsid w:val="003D4022"/>
    <w:rsid w:val="003D4032"/>
    <w:rsid w:val="003D4074"/>
    <w:rsid w:val="003D41CF"/>
    <w:rsid w:val="003D4203"/>
    <w:rsid w:val="003D4245"/>
    <w:rsid w:val="003D42D3"/>
    <w:rsid w:val="003D431C"/>
    <w:rsid w:val="003D434C"/>
    <w:rsid w:val="003D4352"/>
    <w:rsid w:val="003D4383"/>
    <w:rsid w:val="003D43E3"/>
    <w:rsid w:val="003D43F3"/>
    <w:rsid w:val="003D443D"/>
    <w:rsid w:val="003D4475"/>
    <w:rsid w:val="003D450C"/>
    <w:rsid w:val="003D48B0"/>
    <w:rsid w:val="003D48E9"/>
    <w:rsid w:val="003D49C8"/>
    <w:rsid w:val="003D4A8C"/>
    <w:rsid w:val="003D4AC7"/>
    <w:rsid w:val="003D4B5F"/>
    <w:rsid w:val="003D4B8F"/>
    <w:rsid w:val="003D4D87"/>
    <w:rsid w:val="003D4D99"/>
    <w:rsid w:val="003D4FC0"/>
    <w:rsid w:val="003D51A0"/>
    <w:rsid w:val="003D56BA"/>
    <w:rsid w:val="003D579D"/>
    <w:rsid w:val="003D582C"/>
    <w:rsid w:val="003D5869"/>
    <w:rsid w:val="003D5892"/>
    <w:rsid w:val="003D58B3"/>
    <w:rsid w:val="003D5970"/>
    <w:rsid w:val="003D597B"/>
    <w:rsid w:val="003D5A86"/>
    <w:rsid w:val="003D5C82"/>
    <w:rsid w:val="003D5D88"/>
    <w:rsid w:val="003D5E83"/>
    <w:rsid w:val="003D6001"/>
    <w:rsid w:val="003D60DD"/>
    <w:rsid w:val="003D60DE"/>
    <w:rsid w:val="003D60E0"/>
    <w:rsid w:val="003D6215"/>
    <w:rsid w:val="003D622C"/>
    <w:rsid w:val="003D6239"/>
    <w:rsid w:val="003D6376"/>
    <w:rsid w:val="003D645E"/>
    <w:rsid w:val="003D64AC"/>
    <w:rsid w:val="003D64D4"/>
    <w:rsid w:val="003D6561"/>
    <w:rsid w:val="003D65E6"/>
    <w:rsid w:val="003D6636"/>
    <w:rsid w:val="003D67C9"/>
    <w:rsid w:val="003D67F5"/>
    <w:rsid w:val="003D67FA"/>
    <w:rsid w:val="003D6A79"/>
    <w:rsid w:val="003D6A86"/>
    <w:rsid w:val="003D6A92"/>
    <w:rsid w:val="003D6AAA"/>
    <w:rsid w:val="003D6B45"/>
    <w:rsid w:val="003D6C9D"/>
    <w:rsid w:val="003D6D09"/>
    <w:rsid w:val="003D6D13"/>
    <w:rsid w:val="003D6D5A"/>
    <w:rsid w:val="003D6E15"/>
    <w:rsid w:val="003D6E17"/>
    <w:rsid w:val="003D6F4D"/>
    <w:rsid w:val="003D7008"/>
    <w:rsid w:val="003D7046"/>
    <w:rsid w:val="003D7077"/>
    <w:rsid w:val="003D7180"/>
    <w:rsid w:val="003D7201"/>
    <w:rsid w:val="003D7308"/>
    <w:rsid w:val="003D738B"/>
    <w:rsid w:val="003D7544"/>
    <w:rsid w:val="003D777E"/>
    <w:rsid w:val="003D7800"/>
    <w:rsid w:val="003D7AB5"/>
    <w:rsid w:val="003D7B19"/>
    <w:rsid w:val="003D7B43"/>
    <w:rsid w:val="003D7B9E"/>
    <w:rsid w:val="003D7BA5"/>
    <w:rsid w:val="003D7E25"/>
    <w:rsid w:val="003E0039"/>
    <w:rsid w:val="003E0074"/>
    <w:rsid w:val="003E00E0"/>
    <w:rsid w:val="003E01D5"/>
    <w:rsid w:val="003E0395"/>
    <w:rsid w:val="003E04CD"/>
    <w:rsid w:val="003E0541"/>
    <w:rsid w:val="003E05D2"/>
    <w:rsid w:val="003E067D"/>
    <w:rsid w:val="003E07BC"/>
    <w:rsid w:val="003E0807"/>
    <w:rsid w:val="003E0852"/>
    <w:rsid w:val="003E09AE"/>
    <w:rsid w:val="003E09CF"/>
    <w:rsid w:val="003E0B8B"/>
    <w:rsid w:val="003E0C11"/>
    <w:rsid w:val="003E0E05"/>
    <w:rsid w:val="003E0E87"/>
    <w:rsid w:val="003E0F48"/>
    <w:rsid w:val="003E0F9A"/>
    <w:rsid w:val="003E101E"/>
    <w:rsid w:val="003E1171"/>
    <w:rsid w:val="003E1475"/>
    <w:rsid w:val="003E151F"/>
    <w:rsid w:val="003E1643"/>
    <w:rsid w:val="003E1B23"/>
    <w:rsid w:val="003E1B2A"/>
    <w:rsid w:val="003E1B96"/>
    <w:rsid w:val="003E1BCB"/>
    <w:rsid w:val="003E1CE1"/>
    <w:rsid w:val="003E1D86"/>
    <w:rsid w:val="003E1E2D"/>
    <w:rsid w:val="003E1E3F"/>
    <w:rsid w:val="003E1E91"/>
    <w:rsid w:val="003E1EB7"/>
    <w:rsid w:val="003E212C"/>
    <w:rsid w:val="003E2194"/>
    <w:rsid w:val="003E2213"/>
    <w:rsid w:val="003E22AA"/>
    <w:rsid w:val="003E2479"/>
    <w:rsid w:val="003E24F2"/>
    <w:rsid w:val="003E2506"/>
    <w:rsid w:val="003E2531"/>
    <w:rsid w:val="003E254F"/>
    <w:rsid w:val="003E2591"/>
    <w:rsid w:val="003E25B5"/>
    <w:rsid w:val="003E25EE"/>
    <w:rsid w:val="003E2640"/>
    <w:rsid w:val="003E2680"/>
    <w:rsid w:val="003E268F"/>
    <w:rsid w:val="003E283E"/>
    <w:rsid w:val="003E288F"/>
    <w:rsid w:val="003E28B2"/>
    <w:rsid w:val="003E2922"/>
    <w:rsid w:val="003E298B"/>
    <w:rsid w:val="003E2A2D"/>
    <w:rsid w:val="003E2AB1"/>
    <w:rsid w:val="003E2B49"/>
    <w:rsid w:val="003E2B6C"/>
    <w:rsid w:val="003E2BB2"/>
    <w:rsid w:val="003E2C06"/>
    <w:rsid w:val="003E2C40"/>
    <w:rsid w:val="003E2CB0"/>
    <w:rsid w:val="003E2CB2"/>
    <w:rsid w:val="003E2D3B"/>
    <w:rsid w:val="003E2F9B"/>
    <w:rsid w:val="003E2FFA"/>
    <w:rsid w:val="003E322D"/>
    <w:rsid w:val="003E326F"/>
    <w:rsid w:val="003E328D"/>
    <w:rsid w:val="003E32AE"/>
    <w:rsid w:val="003E32CD"/>
    <w:rsid w:val="003E3373"/>
    <w:rsid w:val="003E337B"/>
    <w:rsid w:val="003E3487"/>
    <w:rsid w:val="003E34F5"/>
    <w:rsid w:val="003E35DB"/>
    <w:rsid w:val="003E3742"/>
    <w:rsid w:val="003E37AA"/>
    <w:rsid w:val="003E382C"/>
    <w:rsid w:val="003E3974"/>
    <w:rsid w:val="003E3986"/>
    <w:rsid w:val="003E39AA"/>
    <w:rsid w:val="003E3A06"/>
    <w:rsid w:val="003E3A3C"/>
    <w:rsid w:val="003E3A44"/>
    <w:rsid w:val="003E3AE1"/>
    <w:rsid w:val="003E3B20"/>
    <w:rsid w:val="003E3B3B"/>
    <w:rsid w:val="003E3B46"/>
    <w:rsid w:val="003E3B4C"/>
    <w:rsid w:val="003E3B79"/>
    <w:rsid w:val="003E3F2D"/>
    <w:rsid w:val="003E3F3B"/>
    <w:rsid w:val="003E4010"/>
    <w:rsid w:val="003E40F9"/>
    <w:rsid w:val="003E4176"/>
    <w:rsid w:val="003E4189"/>
    <w:rsid w:val="003E41DE"/>
    <w:rsid w:val="003E42F7"/>
    <w:rsid w:val="003E440E"/>
    <w:rsid w:val="003E445C"/>
    <w:rsid w:val="003E4595"/>
    <w:rsid w:val="003E45C1"/>
    <w:rsid w:val="003E4636"/>
    <w:rsid w:val="003E4652"/>
    <w:rsid w:val="003E46FF"/>
    <w:rsid w:val="003E4789"/>
    <w:rsid w:val="003E4794"/>
    <w:rsid w:val="003E482D"/>
    <w:rsid w:val="003E4A58"/>
    <w:rsid w:val="003E4ADB"/>
    <w:rsid w:val="003E4B30"/>
    <w:rsid w:val="003E4B75"/>
    <w:rsid w:val="003E4C2F"/>
    <w:rsid w:val="003E4E07"/>
    <w:rsid w:val="003E4EC3"/>
    <w:rsid w:val="003E4F1B"/>
    <w:rsid w:val="003E51EE"/>
    <w:rsid w:val="003E5259"/>
    <w:rsid w:val="003E5287"/>
    <w:rsid w:val="003E531B"/>
    <w:rsid w:val="003E537C"/>
    <w:rsid w:val="003E538D"/>
    <w:rsid w:val="003E550A"/>
    <w:rsid w:val="003E5542"/>
    <w:rsid w:val="003E55A2"/>
    <w:rsid w:val="003E57B4"/>
    <w:rsid w:val="003E5858"/>
    <w:rsid w:val="003E596F"/>
    <w:rsid w:val="003E5A54"/>
    <w:rsid w:val="003E5B01"/>
    <w:rsid w:val="003E5B26"/>
    <w:rsid w:val="003E5BA2"/>
    <w:rsid w:val="003E5CDF"/>
    <w:rsid w:val="003E5CE8"/>
    <w:rsid w:val="003E5D2A"/>
    <w:rsid w:val="003E5F79"/>
    <w:rsid w:val="003E5FD1"/>
    <w:rsid w:val="003E60DD"/>
    <w:rsid w:val="003E6110"/>
    <w:rsid w:val="003E611E"/>
    <w:rsid w:val="003E617F"/>
    <w:rsid w:val="003E62AC"/>
    <w:rsid w:val="003E6316"/>
    <w:rsid w:val="003E632B"/>
    <w:rsid w:val="003E63DD"/>
    <w:rsid w:val="003E643D"/>
    <w:rsid w:val="003E647F"/>
    <w:rsid w:val="003E6483"/>
    <w:rsid w:val="003E649D"/>
    <w:rsid w:val="003E64A4"/>
    <w:rsid w:val="003E64AB"/>
    <w:rsid w:val="003E6534"/>
    <w:rsid w:val="003E659D"/>
    <w:rsid w:val="003E65EA"/>
    <w:rsid w:val="003E6733"/>
    <w:rsid w:val="003E67D9"/>
    <w:rsid w:val="003E681B"/>
    <w:rsid w:val="003E6981"/>
    <w:rsid w:val="003E699E"/>
    <w:rsid w:val="003E6A99"/>
    <w:rsid w:val="003E6B40"/>
    <w:rsid w:val="003E6B41"/>
    <w:rsid w:val="003E6BA4"/>
    <w:rsid w:val="003E6CFD"/>
    <w:rsid w:val="003E6FB7"/>
    <w:rsid w:val="003E7222"/>
    <w:rsid w:val="003E73A0"/>
    <w:rsid w:val="003E7400"/>
    <w:rsid w:val="003E7518"/>
    <w:rsid w:val="003E75AE"/>
    <w:rsid w:val="003E7724"/>
    <w:rsid w:val="003E780C"/>
    <w:rsid w:val="003E7876"/>
    <w:rsid w:val="003E7878"/>
    <w:rsid w:val="003E79B7"/>
    <w:rsid w:val="003E7A12"/>
    <w:rsid w:val="003E7A77"/>
    <w:rsid w:val="003E7AAA"/>
    <w:rsid w:val="003E7B47"/>
    <w:rsid w:val="003E7B53"/>
    <w:rsid w:val="003E7D65"/>
    <w:rsid w:val="003E7D7A"/>
    <w:rsid w:val="003E7E82"/>
    <w:rsid w:val="003E7EE2"/>
    <w:rsid w:val="003E7F70"/>
    <w:rsid w:val="003F005E"/>
    <w:rsid w:val="003F00D0"/>
    <w:rsid w:val="003F01B4"/>
    <w:rsid w:val="003F01B6"/>
    <w:rsid w:val="003F028A"/>
    <w:rsid w:val="003F03AC"/>
    <w:rsid w:val="003F0487"/>
    <w:rsid w:val="003F04E0"/>
    <w:rsid w:val="003F0522"/>
    <w:rsid w:val="003F061C"/>
    <w:rsid w:val="003F081B"/>
    <w:rsid w:val="003F0985"/>
    <w:rsid w:val="003F0B72"/>
    <w:rsid w:val="003F0D44"/>
    <w:rsid w:val="003F0D6C"/>
    <w:rsid w:val="003F0E48"/>
    <w:rsid w:val="003F0E74"/>
    <w:rsid w:val="003F0EFF"/>
    <w:rsid w:val="003F10B9"/>
    <w:rsid w:val="003F111B"/>
    <w:rsid w:val="003F1140"/>
    <w:rsid w:val="003F1161"/>
    <w:rsid w:val="003F1167"/>
    <w:rsid w:val="003F11CD"/>
    <w:rsid w:val="003F125A"/>
    <w:rsid w:val="003F1262"/>
    <w:rsid w:val="003F12CA"/>
    <w:rsid w:val="003F12EB"/>
    <w:rsid w:val="003F1370"/>
    <w:rsid w:val="003F13E3"/>
    <w:rsid w:val="003F147B"/>
    <w:rsid w:val="003F14CE"/>
    <w:rsid w:val="003F1620"/>
    <w:rsid w:val="003F18DB"/>
    <w:rsid w:val="003F1A28"/>
    <w:rsid w:val="003F1AE4"/>
    <w:rsid w:val="003F1B10"/>
    <w:rsid w:val="003F1CAA"/>
    <w:rsid w:val="003F1CAB"/>
    <w:rsid w:val="003F1CB9"/>
    <w:rsid w:val="003F1E00"/>
    <w:rsid w:val="003F1E9D"/>
    <w:rsid w:val="003F1EFA"/>
    <w:rsid w:val="003F2091"/>
    <w:rsid w:val="003F20A4"/>
    <w:rsid w:val="003F20DC"/>
    <w:rsid w:val="003F22A9"/>
    <w:rsid w:val="003F230B"/>
    <w:rsid w:val="003F23D0"/>
    <w:rsid w:val="003F23F9"/>
    <w:rsid w:val="003F244D"/>
    <w:rsid w:val="003F2580"/>
    <w:rsid w:val="003F26B9"/>
    <w:rsid w:val="003F280F"/>
    <w:rsid w:val="003F284D"/>
    <w:rsid w:val="003F2B40"/>
    <w:rsid w:val="003F2BD3"/>
    <w:rsid w:val="003F2C3D"/>
    <w:rsid w:val="003F2EF0"/>
    <w:rsid w:val="003F30AC"/>
    <w:rsid w:val="003F30EB"/>
    <w:rsid w:val="003F3267"/>
    <w:rsid w:val="003F3283"/>
    <w:rsid w:val="003F3359"/>
    <w:rsid w:val="003F337D"/>
    <w:rsid w:val="003F3389"/>
    <w:rsid w:val="003F357C"/>
    <w:rsid w:val="003F35C1"/>
    <w:rsid w:val="003F360D"/>
    <w:rsid w:val="003F36E4"/>
    <w:rsid w:val="003F3726"/>
    <w:rsid w:val="003F3830"/>
    <w:rsid w:val="003F38F4"/>
    <w:rsid w:val="003F3965"/>
    <w:rsid w:val="003F39E6"/>
    <w:rsid w:val="003F3A0D"/>
    <w:rsid w:val="003F3B35"/>
    <w:rsid w:val="003F3BE2"/>
    <w:rsid w:val="003F3C08"/>
    <w:rsid w:val="003F3CF6"/>
    <w:rsid w:val="003F3D2A"/>
    <w:rsid w:val="003F3D49"/>
    <w:rsid w:val="003F3D87"/>
    <w:rsid w:val="003F3D94"/>
    <w:rsid w:val="003F3EB6"/>
    <w:rsid w:val="003F40D9"/>
    <w:rsid w:val="003F4109"/>
    <w:rsid w:val="003F4139"/>
    <w:rsid w:val="003F4209"/>
    <w:rsid w:val="003F4373"/>
    <w:rsid w:val="003F4389"/>
    <w:rsid w:val="003F43BA"/>
    <w:rsid w:val="003F43FD"/>
    <w:rsid w:val="003F44B5"/>
    <w:rsid w:val="003F458E"/>
    <w:rsid w:val="003F4855"/>
    <w:rsid w:val="003F4B4A"/>
    <w:rsid w:val="003F4B9B"/>
    <w:rsid w:val="003F4CBC"/>
    <w:rsid w:val="003F4E27"/>
    <w:rsid w:val="003F501B"/>
    <w:rsid w:val="003F516A"/>
    <w:rsid w:val="003F52CB"/>
    <w:rsid w:val="003F532E"/>
    <w:rsid w:val="003F545D"/>
    <w:rsid w:val="003F5476"/>
    <w:rsid w:val="003F562A"/>
    <w:rsid w:val="003F5650"/>
    <w:rsid w:val="003F571A"/>
    <w:rsid w:val="003F58F2"/>
    <w:rsid w:val="003F595A"/>
    <w:rsid w:val="003F5960"/>
    <w:rsid w:val="003F5AF4"/>
    <w:rsid w:val="003F5B50"/>
    <w:rsid w:val="003F5D64"/>
    <w:rsid w:val="003F5E17"/>
    <w:rsid w:val="003F5E56"/>
    <w:rsid w:val="003F5FBF"/>
    <w:rsid w:val="003F6197"/>
    <w:rsid w:val="003F622D"/>
    <w:rsid w:val="003F6235"/>
    <w:rsid w:val="003F62A7"/>
    <w:rsid w:val="003F6467"/>
    <w:rsid w:val="003F647B"/>
    <w:rsid w:val="003F64D3"/>
    <w:rsid w:val="003F64DA"/>
    <w:rsid w:val="003F650F"/>
    <w:rsid w:val="003F6679"/>
    <w:rsid w:val="003F6816"/>
    <w:rsid w:val="003F688D"/>
    <w:rsid w:val="003F68B3"/>
    <w:rsid w:val="003F6BC0"/>
    <w:rsid w:val="003F6C46"/>
    <w:rsid w:val="003F6D64"/>
    <w:rsid w:val="003F6D76"/>
    <w:rsid w:val="003F6DD3"/>
    <w:rsid w:val="003F6E95"/>
    <w:rsid w:val="003F6F73"/>
    <w:rsid w:val="003F7039"/>
    <w:rsid w:val="003F70CE"/>
    <w:rsid w:val="003F712D"/>
    <w:rsid w:val="003F715B"/>
    <w:rsid w:val="003F71A0"/>
    <w:rsid w:val="003F71D0"/>
    <w:rsid w:val="003F71E0"/>
    <w:rsid w:val="003F7218"/>
    <w:rsid w:val="003F7296"/>
    <w:rsid w:val="003F73B8"/>
    <w:rsid w:val="003F7726"/>
    <w:rsid w:val="003F7802"/>
    <w:rsid w:val="003F7902"/>
    <w:rsid w:val="003F79CE"/>
    <w:rsid w:val="003F7A63"/>
    <w:rsid w:val="003F7D4C"/>
    <w:rsid w:val="003F7D4D"/>
    <w:rsid w:val="003F7DB2"/>
    <w:rsid w:val="003F7DE7"/>
    <w:rsid w:val="003F7E3C"/>
    <w:rsid w:val="003F7ECD"/>
    <w:rsid w:val="003F7EEF"/>
    <w:rsid w:val="003F7FE1"/>
    <w:rsid w:val="003FCA14"/>
    <w:rsid w:val="003FD00D"/>
    <w:rsid w:val="003FE43D"/>
    <w:rsid w:val="0040007C"/>
    <w:rsid w:val="00400222"/>
    <w:rsid w:val="00400399"/>
    <w:rsid w:val="0040045C"/>
    <w:rsid w:val="004004FA"/>
    <w:rsid w:val="0040054F"/>
    <w:rsid w:val="0040061F"/>
    <w:rsid w:val="004006A0"/>
    <w:rsid w:val="004006C5"/>
    <w:rsid w:val="00400845"/>
    <w:rsid w:val="004008D0"/>
    <w:rsid w:val="00400941"/>
    <w:rsid w:val="00400984"/>
    <w:rsid w:val="004009FB"/>
    <w:rsid w:val="00400A1E"/>
    <w:rsid w:val="00400C4B"/>
    <w:rsid w:val="00400CC7"/>
    <w:rsid w:val="00400D44"/>
    <w:rsid w:val="00400DCE"/>
    <w:rsid w:val="00400E46"/>
    <w:rsid w:val="00400FC4"/>
    <w:rsid w:val="00401167"/>
    <w:rsid w:val="004014D8"/>
    <w:rsid w:val="0040150B"/>
    <w:rsid w:val="00401511"/>
    <w:rsid w:val="00401528"/>
    <w:rsid w:val="004016F0"/>
    <w:rsid w:val="0040177D"/>
    <w:rsid w:val="00401794"/>
    <w:rsid w:val="004017BF"/>
    <w:rsid w:val="00401904"/>
    <w:rsid w:val="0040196D"/>
    <w:rsid w:val="004019BE"/>
    <w:rsid w:val="004019E2"/>
    <w:rsid w:val="00401A21"/>
    <w:rsid w:val="00401A84"/>
    <w:rsid w:val="00401C0A"/>
    <w:rsid w:val="00401DEA"/>
    <w:rsid w:val="00401E38"/>
    <w:rsid w:val="00401F28"/>
    <w:rsid w:val="00401F4D"/>
    <w:rsid w:val="00401F81"/>
    <w:rsid w:val="004021CF"/>
    <w:rsid w:val="004021D5"/>
    <w:rsid w:val="00402215"/>
    <w:rsid w:val="004022A0"/>
    <w:rsid w:val="004022D9"/>
    <w:rsid w:val="00402302"/>
    <w:rsid w:val="0040236F"/>
    <w:rsid w:val="00402399"/>
    <w:rsid w:val="004023ED"/>
    <w:rsid w:val="00402494"/>
    <w:rsid w:val="00402571"/>
    <w:rsid w:val="0040266E"/>
    <w:rsid w:val="0040270F"/>
    <w:rsid w:val="00402732"/>
    <w:rsid w:val="00402747"/>
    <w:rsid w:val="004028A8"/>
    <w:rsid w:val="004028F2"/>
    <w:rsid w:val="00402ACF"/>
    <w:rsid w:val="00402AEA"/>
    <w:rsid w:val="00402BD0"/>
    <w:rsid w:val="00402C2F"/>
    <w:rsid w:val="00402C3B"/>
    <w:rsid w:val="00402C61"/>
    <w:rsid w:val="00402C7A"/>
    <w:rsid w:val="00402D2E"/>
    <w:rsid w:val="00402ED0"/>
    <w:rsid w:val="00402EFC"/>
    <w:rsid w:val="00402F8D"/>
    <w:rsid w:val="0040302D"/>
    <w:rsid w:val="004033A1"/>
    <w:rsid w:val="004033E9"/>
    <w:rsid w:val="004033F6"/>
    <w:rsid w:val="00403450"/>
    <w:rsid w:val="00403479"/>
    <w:rsid w:val="00403508"/>
    <w:rsid w:val="00403537"/>
    <w:rsid w:val="004035CE"/>
    <w:rsid w:val="0040368B"/>
    <w:rsid w:val="00403711"/>
    <w:rsid w:val="004037FB"/>
    <w:rsid w:val="004038DB"/>
    <w:rsid w:val="0040393A"/>
    <w:rsid w:val="0040399E"/>
    <w:rsid w:val="00403DC1"/>
    <w:rsid w:val="00403E3A"/>
    <w:rsid w:val="00403F58"/>
    <w:rsid w:val="00403F71"/>
    <w:rsid w:val="00403F9E"/>
    <w:rsid w:val="004041B9"/>
    <w:rsid w:val="004041DF"/>
    <w:rsid w:val="00404229"/>
    <w:rsid w:val="00404231"/>
    <w:rsid w:val="004043E3"/>
    <w:rsid w:val="0040474A"/>
    <w:rsid w:val="0040478C"/>
    <w:rsid w:val="00404990"/>
    <w:rsid w:val="004049AF"/>
    <w:rsid w:val="004049CE"/>
    <w:rsid w:val="00404B22"/>
    <w:rsid w:val="00404B25"/>
    <w:rsid w:val="00404B37"/>
    <w:rsid w:val="00404B70"/>
    <w:rsid w:val="00404BAA"/>
    <w:rsid w:val="00404BB6"/>
    <w:rsid w:val="00404BCE"/>
    <w:rsid w:val="00404C91"/>
    <w:rsid w:val="00404D30"/>
    <w:rsid w:val="00404DD9"/>
    <w:rsid w:val="00404DE3"/>
    <w:rsid w:val="00404F77"/>
    <w:rsid w:val="004050BE"/>
    <w:rsid w:val="00405112"/>
    <w:rsid w:val="00405165"/>
    <w:rsid w:val="0040519D"/>
    <w:rsid w:val="00405360"/>
    <w:rsid w:val="004054BE"/>
    <w:rsid w:val="0040552A"/>
    <w:rsid w:val="00405618"/>
    <w:rsid w:val="0040571F"/>
    <w:rsid w:val="004057E2"/>
    <w:rsid w:val="00405820"/>
    <w:rsid w:val="00405920"/>
    <w:rsid w:val="004059AB"/>
    <w:rsid w:val="004059FF"/>
    <w:rsid w:val="00405A94"/>
    <w:rsid w:val="00405AD6"/>
    <w:rsid w:val="00405C80"/>
    <w:rsid w:val="00405CB5"/>
    <w:rsid w:val="00405F2D"/>
    <w:rsid w:val="004060CC"/>
    <w:rsid w:val="00406315"/>
    <w:rsid w:val="00406374"/>
    <w:rsid w:val="0040637C"/>
    <w:rsid w:val="00406418"/>
    <w:rsid w:val="00406465"/>
    <w:rsid w:val="00406540"/>
    <w:rsid w:val="0040654B"/>
    <w:rsid w:val="0040656E"/>
    <w:rsid w:val="004065B1"/>
    <w:rsid w:val="00406668"/>
    <w:rsid w:val="0040674F"/>
    <w:rsid w:val="004068DA"/>
    <w:rsid w:val="0040694B"/>
    <w:rsid w:val="004069F3"/>
    <w:rsid w:val="00406B8F"/>
    <w:rsid w:val="00406CBE"/>
    <w:rsid w:val="00406D5B"/>
    <w:rsid w:val="00406E93"/>
    <w:rsid w:val="00406F2A"/>
    <w:rsid w:val="00406FAE"/>
    <w:rsid w:val="00407161"/>
    <w:rsid w:val="00407267"/>
    <w:rsid w:val="004072AB"/>
    <w:rsid w:val="004073BB"/>
    <w:rsid w:val="004073E7"/>
    <w:rsid w:val="004074B6"/>
    <w:rsid w:val="00407832"/>
    <w:rsid w:val="00407A24"/>
    <w:rsid w:val="00407A43"/>
    <w:rsid w:val="00407A94"/>
    <w:rsid w:val="00407BB6"/>
    <w:rsid w:val="00407C00"/>
    <w:rsid w:val="00407CE1"/>
    <w:rsid w:val="00407CED"/>
    <w:rsid w:val="00407D3B"/>
    <w:rsid w:val="00407DAA"/>
    <w:rsid w:val="00407DD5"/>
    <w:rsid w:val="00407F53"/>
    <w:rsid w:val="00407F65"/>
    <w:rsid w:val="00407F8B"/>
    <w:rsid w:val="00407FE7"/>
    <w:rsid w:val="004102B4"/>
    <w:rsid w:val="004107B2"/>
    <w:rsid w:val="00410807"/>
    <w:rsid w:val="00410876"/>
    <w:rsid w:val="00410919"/>
    <w:rsid w:val="00410950"/>
    <w:rsid w:val="00410990"/>
    <w:rsid w:val="004109E7"/>
    <w:rsid w:val="00410AB1"/>
    <w:rsid w:val="00410B08"/>
    <w:rsid w:val="00410B0D"/>
    <w:rsid w:val="00410B4C"/>
    <w:rsid w:val="00410BE8"/>
    <w:rsid w:val="00410C65"/>
    <w:rsid w:val="00410CBB"/>
    <w:rsid w:val="00410D90"/>
    <w:rsid w:val="00410DB6"/>
    <w:rsid w:val="00410E13"/>
    <w:rsid w:val="00410E22"/>
    <w:rsid w:val="00410F82"/>
    <w:rsid w:val="00411039"/>
    <w:rsid w:val="004111CD"/>
    <w:rsid w:val="0041121D"/>
    <w:rsid w:val="00411366"/>
    <w:rsid w:val="004114A7"/>
    <w:rsid w:val="004114B9"/>
    <w:rsid w:val="0041157E"/>
    <w:rsid w:val="00411615"/>
    <w:rsid w:val="004116B8"/>
    <w:rsid w:val="0041171E"/>
    <w:rsid w:val="004118A6"/>
    <w:rsid w:val="004118BA"/>
    <w:rsid w:val="004119EC"/>
    <w:rsid w:val="00411C02"/>
    <w:rsid w:val="00411C0E"/>
    <w:rsid w:val="00411C28"/>
    <w:rsid w:val="00411C66"/>
    <w:rsid w:val="00411D02"/>
    <w:rsid w:val="00411D1E"/>
    <w:rsid w:val="00411D70"/>
    <w:rsid w:val="00411DDE"/>
    <w:rsid w:val="00411FF7"/>
    <w:rsid w:val="0041200C"/>
    <w:rsid w:val="004120E0"/>
    <w:rsid w:val="00412149"/>
    <w:rsid w:val="00412273"/>
    <w:rsid w:val="00412417"/>
    <w:rsid w:val="0041243F"/>
    <w:rsid w:val="004124CF"/>
    <w:rsid w:val="004125B5"/>
    <w:rsid w:val="004125EC"/>
    <w:rsid w:val="004126E1"/>
    <w:rsid w:val="004128E4"/>
    <w:rsid w:val="0041294C"/>
    <w:rsid w:val="00412A1A"/>
    <w:rsid w:val="00412AA7"/>
    <w:rsid w:val="00412C92"/>
    <w:rsid w:val="00412C95"/>
    <w:rsid w:val="00412CDE"/>
    <w:rsid w:val="00412E6E"/>
    <w:rsid w:val="00412E8B"/>
    <w:rsid w:val="00412EF3"/>
    <w:rsid w:val="00412F3B"/>
    <w:rsid w:val="0041302A"/>
    <w:rsid w:val="0041326C"/>
    <w:rsid w:val="004132A7"/>
    <w:rsid w:val="0041345C"/>
    <w:rsid w:val="00413685"/>
    <w:rsid w:val="0041380D"/>
    <w:rsid w:val="0041392C"/>
    <w:rsid w:val="0041394B"/>
    <w:rsid w:val="00413A2F"/>
    <w:rsid w:val="00413A48"/>
    <w:rsid w:val="00413E34"/>
    <w:rsid w:val="00413E3C"/>
    <w:rsid w:val="00414084"/>
    <w:rsid w:val="00414103"/>
    <w:rsid w:val="00414165"/>
    <w:rsid w:val="004141D9"/>
    <w:rsid w:val="0041422A"/>
    <w:rsid w:val="0041430B"/>
    <w:rsid w:val="00414377"/>
    <w:rsid w:val="0041441F"/>
    <w:rsid w:val="0041444A"/>
    <w:rsid w:val="0041459A"/>
    <w:rsid w:val="0041461E"/>
    <w:rsid w:val="00414666"/>
    <w:rsid w:val="004146E3"/>
    <w:rsid w:val="004147B2"/>
    <w:rsid w:val="0041482D"/>
    <w:rsid w:val="004148C3"/>
    <w:rsid w:val="0041490B"/>
    <w:rsid w:val="00414948"/>
    <w:rsid w:val="00414972"/>
    <w:rsid w:val="00414982"/>
    <w:rsid w:val="00414A41"/>
    <w:rsid w:val="00414A90"/>
    <w:rsid w:val="00414ACB"/>
    <w:rsid w:val="00414BA9"/>
    <w:rsid w:val="00414C57"/>
    <w:rsid w:val="00414D11"/>
    <w:rsid w:val="00414D4A"/>
    <w:rsid w:val="00414E12"/>
    <w:rsid w:val="00414EFD"/>
    <w:rsid w:val="00414FFF"/>
    <w:rsid w:val="004150B4"/>
    <w:rsid w:val="00415170"/>
    <w:rsid w:val="00415292"/>
    <w:rsid w:val="004152CF"/>
    <w:rsid w:val="00415349"/>
    <w:rsid w:val="0041535A"/>
    <w:rsid w:val="0041541C"/>
    <w:rsid w:val="0041546C"/>
    <w:rsid w:val="004155B6"/>
    <w:rsid w:val="00415688"/>
    <w:rsid w:val="00415692"/>
    <w:rsid w:val="00415716"/>
    <w:rsid w:val="00415A41"/>
    <w:rsid w:val="00415A8C"/>
    <w:rsid w:val="00415C82"/>
    <w:rsid w:val="00415E64"/>
    <w:rsid w:val="00415EE9"/>
    <w:rsid w:val="004161ED"/>
    <w:rsid w:val="00416226"/>
    <w:rsid w:val="0041622B"/>
    <w:rsid w:val="00416439"/>
    <w:rsid w:val="0041650D"/>
    <w:rsid w:val="0041668C"/>
    <w:rsid w:val="00416762"/>
    <w:rsid w:val="0041676E"/>
    <w:rsid w:val="0041682F"/>
    <w:rsid w:val="004168CC"/>
    <w:rsid w:val="004168FF"/>
    <w:rsid w:val="00416903"/>
    <w:rsid w:val="0041694E"/>
    <w:rsid w:val="00416B2A"/>
    <w:rsid w:val="00416BC3"/>
    <w:rsid w:val="00416CFA"/>
    <w:rsid w:val="00416DD3"/>
    <w:rsid w:val="00416F02"/>
    <w:rsid w:val="0041721E"/>
    <w:rsid w:val="00417393"/>
    <w:rsid w:val="00417474"/>
    <w:rsid w:val="00417585"/>
    <w:rsid w:val="00417590"/>
    <w:rsid w:val="004175CE"/>
    <w:rsid w:val="004176E5"/>
    <w:rsid w:val="00417713"/>
    <w:rsid w:val="00417878"/>
    <w:rsid w:val="00417932"/>
    <w:rsid w:val="00417955"/>
    <w:rsid w:val="00417A66"/>
    <w:rsid w:val="00417B76"/>
    <w:rsid w:val="00417BD1"/>
    <w:rsid w:val="00417BD8"/>
    <w:rsid w:val="00417C79"/>
    <w:rsid w:val="00417CB3"/>
    <w:rsid w:val="0042024B"/>
    <w:rsid w:val="00420256"/>
    <w:rsid w:val="0042027D"/>
    <w:rsid w:val="0042029F"/>
    <w:rsid w:val="00420334"/>
    <w:rsid w:val="0042036C"/>
    <w:rsid w:val="0042043F"/>
    <w:rsid w:val="0042045D"/>
    <w:rsid w:val="00420492"/>
    <w:rsid w:val="0042054A"/>
    <w:rsid w:val="0042054C"/>
    <w:rsid w:val="0042054E"/>
    <w:rsid w:val="0042056D"/>
    <w:rsid w:val="00420571"/>
    <w:rsid w:val="004205EA"/>
    <w:rsid w:val="004205EC"/>
    <w:rsid w:val="004205ED"/>
    <w:rsid w:val="00420624"/>
    <w:rsid w:val="00420806"/>
    <w:rsid w:val="0042091B"/>
    <w:rsid w:val="00420954"/>
    <w:rsid w:val="00420958"/>
    <w:rsid w:val="00420963"/>
    <w:rsid w:val="00420A2B"/>
    <w:rsid w:val="00420A67"/>
    <w:rsid w:val="00420B81"/>
    <w:rsid w:val="00420BAB"/>
    <w:rsid w:val="00420BAD"/>
    <w:rsid w:val="00420C6D"/>
    <w:rsid w:val="00420CDB"/>
    <w:rsid w:val="00420D59"/>
    <w:rsid w:val="00420D8C"/>
    <w:rsid w:val="00420DB2"/>
    <w:rsid w:val="00420E16"/>
    <w:rsid w:val="00420E35"/>
    <w:rsid w:val="004211C9"/>
    <w:rsid w:val="004212CD"/>
    <w:rsid w:val="00421486"/>
    <w:rsid w:val="004214CC"/>
    <w:rsid w:val="00421509"/>
    <w:rsid w:val="004215F5"/>
    <w:rsid w:val="00421662"/>
    <w:rsid w:val="0042176C"/>
    <w:rsid w:val="004218B0"/>
    <w:rsid w:val="0042195C"/>
    <w:rsid w:val="00421973"/>
    <w:rsid w:val="00421AC3"/>
    <w:rsid w:val="00421C78"/>
    <w:rsid w:val="00421E25"/>
    <w:rsid w:val="00422013"/>
    <w:rsid w:val="00422079"/>
    <w:rsid w:val="004220A7"/>
    <w:rsid w:val="004222EF"/>
    <w:rsid w:val="004223A3"/>
    <w:rsid w:val="00422466"/>
    <w:rsid w:val="004224AC"/>
    <w:rsid w:val="004224B5"/>
    <w:rsid w:val="004224E0"/>
    <w:rsid w:val="0042252E"/>
    <w:rsid w:val="00422603"/>
    <w:rsid w:val="0042269E"/>
    <w:rsid w:val="0042273C"/>
    <w:rsid w:val="00422783"/>
    <w:rsid w:val="00422825"/>
    <w:rsid w:val="00422876"/>
    <w:rsid w:val="004228D4"/>
    <w:rsid w:val="00422AA4"/>
    <w:rsid w:val="00422AF9"/>
    <w:rsid w:val="00422C40"/>
    <w:rsid w:val="00422E3F"/>
    <w:rsid w:val="00422FAF"/>
    <w:rsid w:val="004230AE"/>
    <w:rsid w:val="004230B9"/>
    <w:rsid w:val="004230EC"/>
    <w:rsid w:val="00423231"/>
    <w:rsid w:val="00423241"/>
    <w:rsid w:val="00423491"/>
    <w:rsid w:val="004234CD"/>
    <w:rsid w:val="0042356A"/>
    <w:rsid w:val="00423576"/>
    <w:rsid w:val="00423598"/>
    <w:rsid w:val="0042362C"/>
    <w:rsid w:val="004237CF"/>
    <w:rsid w:val="0042380D"/>
    <w:rsid w:val="004238DA"/>
    <w:rsid w:val="004238F3"/>
    <w:rsid w:val="0042398A"/>
    <w:rsid w:val="00423ABC"/>
    <w:rsid w:val="00423B32"/>
    <w:rsid w:val="00423C7F"/>
    <w:rsid w:val="00423DBD"/>
    <w:rsid w:val="00423DF3"/>
    <w:rsid w:val="00423FDD"/>
    <w:rsid w:val="0042401A"/>
    <w:rsid w:val="004240DD"/>
    <w:rsid w:val="00424210"/>
    <w:rsid w:val="00424274"/>
    <w:rsid w:val="004242C1"/>
    <w:rsid w:val="00424407"/>
    <w:rsid w:val="004244E6"/>
    <w:rsid w:val="00424533"/>
    <w:rsid w:val="00424584"/>
    <w:rsid w:val="00424687"/>
    <w:rsid w:val="004246A0"/>
    <w:rsid w:val="004248D7"/>
    <w:rsid w:val="00424960"/>
    <w:rsid w:val="00424992"/>
    <w:rsid w:val="00424A89"/>
    <w:rsid w:val="00424AA5"/>
    <w:rsid w:val="00424AFE"/>
    <w:rsid w:val="00424B90"/>
    <w:rsid w:val="00424BAF"/>
    <w:rsid w:val="00424CB7"/>
    <w:rsid w:val="00424DE0"/>
    <w:rsid w:val="00424E3F"/>
    <w:rsid w:val="00424F84"/>
    <w:rsid w:val="004250E2"/>
    <w:rsid w:val="00425105"/>
    <w:rsid w:val="00425292"/>
    <w:rsid w:val="0042536A"/>
    <w:rsid w:val="004253A1"/>
    <w:rsid w:val="004253A3"/>
    <w:rsid w:val="00425412"/>
    <w:rsid w:val="0042548C"/>
    <w:rsid w:val="00425527"/>
    <w:rsid w:val="004256DB"/>
    <w:rsid w:val="004256FF"/>
    <w:rsid w:val="00425795"/>
    <w:rsid w:val="004257A5"/>
    <w:rsid w:val="004258BF"/>
    <w:rsid w:val="00425A8F"/>
    <w:rsid w:val="00425B20"/>
    <w:rsid w:val="00425B67"/>
    <w:rsid w:val="00425B87"/>
    <w:rsid w:val="00425CB5"/>
    <w:rsid w:val="00425D19"/>
    <w:rsid w:val="00425E6C"/>
    <w:rsid w:val="00425F4D"/>
    <w:rsid w:val="00425F8D"/>
    <w:rsid w:val="00426036"/>
    <w:rsid w:val="00426122"/>
    <w:rsid w:val="00426237"/>
    <w:rsid w:val="00426498"/>
    <w:rsid w:val="004264A1"/>
    <w:rsid w:val="004264F9"/>
    <w:rsid w:val="00426642"/>
    <w:rsid w:val="0042666C"/>
    <w:rsid w:val="004266CF"/>
    <w:rsid w:val="004266E9"/>
    <w:rsid w:val="0042674E"/>
    <w:rsid w:val="004267E7"/>
    <w:rsid w:val="0042684C"/>
    <w:rsid w:val="00426882"/>
    <w:rsid w:val="004269AA"/>
    <w:rsid w:val="004269CE"/>
    <w:rsid w:val="00426A7D"/>
    <w:rsid w:val="00426B62"/>
    <w:rsid w:val="00426B89"/>
    <w:rsid w:val="00426BB2"/>
    <w:rsid w:val="00426BC5"/>
    <w:rsid w:val="00426CFB"/>
    <w:rsid w:val="00426D41"/>
    <w:rsid w:val="00426D86"/>
    <w:rsid w:val="00426DC9"/>
    <w:rsid w:val="00426E42"/>
    <w:rsid w:val="00426EC1"/>
    <w:rsid w:val="00426ED2"/>
    <w:rsid w:val="00427217"/>
    <w:rsid w:val="0042721E"/>
    <w:rsid w:val="004272DE"/>
    <w:rsid w:val="004272F9"/>
    <w:rsid w:val="00427413"/>
    <w:rsid w:val="004274C2"/>
    <w:rsid w:val="004274FD"/>
    <w:rsid w:val="0042782A"/>
    <w:rsid w:val="00427867"/>
    <w:rsid w:val="00427879"/>
    <w:rsid w:val="00427913"/>
    <w:rsid w:val="00427A0B"/>
    <w:rsid w:val="00427A35"/>
    <w:rsid w:val="00427C07"/>
    <w:rsid w:val="00427C66"/>
    <w:rsid w:val="00427CC8"/>
    <w:rsid w:val="00427DDA"/>
    <w:rsid w:val="004302C0"/>
    <w:rsid w:val="0043045C"/>
    <w:rsid w:val="00430487"/>
    <w:rsid w:val="004304D1"/>
    <w:rsid w:val="00430585"/>
    <w:rsid w:val="0043061C"/>
    <w:rsid w:val="00430631"/>
    <w:rsid w:val="004306D1"/>
    <w:rsid w:val="004307B6"/>
    <w:rsid w:val="00430988"/>
    <w:rsid w:val="004309C7"/>
    <w:rsid w:val="004309E7"/>
    <w:rsid w:val="00430A06"/>
    <w:rsid w:val="00430A59"/>
    <w:rsid w:val="00430A8F"/>
    <w:rsid w:val="00430BC6"/>
    <w:rsid w:val="00430C42"/>
    <w:rsid w:val="00430C9E"/>
    <w:rsid w:val="00430D41"/>
    <w:rsid w:val="00430E22"/>
    <w:rsid w:val="00430ECC"/>
    <w:rsid w:val="00430EDC"/>
    <w:rsid w:val="00430EED"/>
    <w:rsid w:val="00430F0B"/>
    <w:rsid w:val="00430F4B"/>
    <w:rsid w:val="00430FD2"/>
    <w:rsid w:val="00431068"/>
    <w:rsid w:val="004310AF"/>
    <w:rsid w:val="004310D1"/>
    <w:rsid w:val="004311D0"/>
    <w:rsid w:val="00431215"/>
    <w:rsid w:val="004312AF"/>
    <w:rsid w:val="004312E9"/>
    <w:rsid w:val="00431306"/>
    <w:rsid w:val="0043138A"/>
    <w:rsid w:val="004313C6"/>
    <w:rsid w:val="004314DD"/>
    <w:rsid w:val="004314E9"/>
    <w:rsid w:val="004314F5"/>
    <w:rsid w:val="0043150B"/>
    <w:rsid w:val="004315DF"/>
    <w:rsid w:val="004316E0"/>
    <w:rsid w:val="0043179F"/>
    <w:rsid w:val="00431932"/>
    <w:rsid w:val="00431989"/>
    <w:rsid w:val="00431A2B"/>
    <w:rsid w:val="00431A57"/>
    <w:rsid w:val="00431BF1"/>
    <w:rsid w:val="00431C42"/>
    <w:rsid w:val="00431C49"/>
    <w:rsid w:val="00431CDE"/>
    <w:rsid w:val="00431D5E"/>
    <w:rsid w:val="00431D8F"/>
    <w:rsid w:val="00431E0B"/>
    <w:rsid w:val="00431E13"/>
    <w:rsid w:val="00431E71"/>
    <w:rsid w:val="00431EFF"/>
    <w:rsid w:val="0043216C"/>
    <w:rsid w:val="004321D0"/>
    <w:rsid w:val="0043224C"/>
    <w:rsid w:val="0043237D"/>
    <w:rsid w:val="004323C2"/>
    <w:rsid w:val="004323CE"/>
    <w:rsid w:val="00432459"/>
    <w:rsid w:val="004324E3"/>
    <w:rsid w:val="004324E6"/>
    <w:rsid w:val="0043253C"/>
    <w:rsid w:val="004325B5"/>
    <w:rsid w:val="0043260B"/>
    <w:rsid w:val="004327DD"/>
    <w:rsid w:val="0043286D"/>
    <w:rsid w:val="004328C2"/>
    <w:rsid w:val="004328F3"/>
    <w:rsid w:val="00432938"/>
    <w:rsid w:val="0043295F"/>
    <w:rsid w:val="00432B2D"/>
    <w:rsid w:val="00432C59"/>
    <w:rsid w:val="00432D49"/>
    <w:rsid w:val="00432DC1"/>
    <w:rsid w:val="00432E0F"/>
    <w:rsid w:val="00432E64"/>
    <w:rsid w:val="00432E7E"/>
    <w:rsid w:val="00432E8D"/>
    <w:rsid w:val="00432F3F"/>
    <w:rsid w:val="00432F7A"/>
    <w:rsid w:val="00432FF0"/>
    <w:rsid w:val="00433084"/>
    <w:rsid w:val="004330C7"/>
    <w:rsid w:val="004331B4"/>
    <w:rsid w:val="0043336D"/>
    <w:rsid w:val="00433416"/>
    <w:rsid w:val="00433462"/>
    <w:rsid w:val="00433581"/>
    <w:rsid w:val="00433587"/>
    <w:rsid w:val="004335FF"/>
    <w:rsid w:val="00433745"/>
    <w:rsid w:val="00433768"/>
    <w:rsid w:val="004337E8"/>
    <w:rsid w:val="004339BA"/>
    <w:rsid w:val="00433BF5"/>
    <w:rsid w:val="00433C21"/>
    <w:rsid w:val="00433CD1"/>
    <w:rsid w:val="00433D4D"/>
    <w:rsid w:val="00433E26"/>
    <w:rsid w:val="00433EFA"/>
    <w:rsid w:val="00433F12"/>
    <w:rsid w:val="00433FAE"/>
    <w:rsid w:val="00433FB5"/>
    <w:rsid w:val="00433FCE"/>
    <w:rsid w:val="00433FCF"/>
    <w:rsid w:val="0043408C"/>
    <w:rsid w:val="004340E0"/>
    <w:rsid w:val="00434149"/>
    <w:rsid w:val="0043414E"/>
    <w:rsid w:val="0043419B"/>
    <w:rsid w:val="00434315"/>
    <w:rsid w:val="0043450E"/>
    <w:rsid w:val="004345AC"/>
    <w:rsid w:val="004346F4"/>
    <w:rsid w:val="004347CB"/>
    <w:rsid w:val="00434822"/>
    <w:rsid w:val="00434898"/>
    <w:rsid w:val="004348D6"/>
    <w:rsid w:val="00434959"/>
    <w:rsid w:val="00434B78"/>
    <w:rsid w:val="00434C35"/>
    <w:rsid w:val="00434C99"/>
    <w:rsid w:val="00434D02"/>
    <w:rsid w:val="00434D64"/>
    <w:rsid w:val="00434D6B"/>
    <w:rsid w:val="00434E91"/>
    <w:rsid w:val="00434F11"/>
    <w:rsid w:val="00434F78"/>
    <w:rsid w:val="00434FB5"/>
    <w:rsid w:val="00434FD9"/>
    <w:rsid w:val="00435010"/>
    <w:rsid w:val="00435020"/>
    <w:rsid w:val="0043515B"/>
    <w:rsid w:val="004351A8"/>
    <w:rsid w:val="00435285"/>
    <w:rsid w:val="004352A9"/>
    <w:rsid w:val="004354CC"/>
    <w:rsid w:val="004354F3"/>
    <w:rsid w:val="00435504"/>
    <w:rsid w:val="004355F0"/>
    <w:rsid w:val="004356D4"/>
    <w:rsid w:val="004358A7"/>
    <w:rsid w:val="004359E4"/>
    <w:rsid w:val="004359F6"/>
    <w:rsid w:val="00435A2C"/>
    <w:rsid w:val="00435ACB"/>
    <w:rsid w:val="00435ACD"/>
    <w:rsid w:val="00435D26"/>
    <w:rsid w:val="00435D42"/>
    <w:rsid w:val="00435D7E"/>
    <w:rsid w:val="00435DC4"/>
    <w:rsid w:val="00435EC6"/>
    <w:rsid w:val="00435F63"/>
    <w:rsid w:val="00435FB3"/>
    <w:rsid w:val="00436029"/>
    <w:rsid w:val="00436040"/>
    <w:rsid w:val="00436060"/>
    <w:rsid w:val="004360E7"/>
    <w:rsid w:val="00436105"/>
    <w:rsid w:val="00436266"/>
    <w:rsid w:val="004362C3"/>
    <w:rsid w:val="0043632B"/>
    <w:rsid w:val="0043633A"/>
    <w:rsid w:val="00436379"/>
    <w:rsid w:val="0043642F"/>
    <w:rsid w:val="00436460"/>
    <w:rsid w:val="00436A79"/>
    <w:rsid w:val="00436ACD"/>
    <w:rsid w:val="00436B30"/>
    <w:rsid w:val="00436B66"/>
    <w:rsid w:val="00436C85"/>
    <w:rsid w:val="00436C9F"/>
    <w:rsid w:val="00436CD3"/>
    <w:rsid w:val="00436CFC"/>
    <w:rsid w:val="00436D7F"/>
    <w:rsid w:val="00436E72"/>
    <w:rsid w:val="00436ED1"/>
    <w:rsid w:val="00436ED5"/>
    <w:rsid w:val="0043700D"/>
    <w:rsid w:val="004370DF"/>
    <w:rsid w:val="004372D9"/>
    <w:rsid w:val="00437307"/>
    <w:rsid w:val="00437499"/>
    <w:rsid w:val="004374E0"/>
    <w:rsid w:val="0043755C"/>
    <w:rsid w:val="004375F4"/>
    <w:rsid w:val="0043765E"/>
    <w:rsid w:val="004376B8"/>
    <w:rsid w:val="004376F4"/>
    <w:rsid w:val="00437700"/>
    <w:rsid w:val="004377CC"/>
    <w:rsid w:val="0043786A"/>
    <w:rsid w:val="004378BC"/>
    <w:rsid w:val="004379C7"/>
    <w:rsid w:val="004379FD"/>
    <w:rsid w:val="00437ADE"/>
    <w:rsid w:val="00437B0F"/>
    <w:rsid w:val="00437B18"/>
    <w:rsid w:val="00437B46"/>
    <w:rsid w:val="00437BDA"/>
    <w:rsid w:val="00437CDA"/>
    <w:rsid w:val="00437D6B"/>
    <w:rsid w:val="00437E0F"/>
    <w:rsid w:val="00437E32"/>
    <w:rsid w:val="00437ED6"/>
    <w:rsid w:val="00437FBE"/>
    <w:rsid w:val="004400BA"/>
    <w:rsid w:val="0044035E"/>
    <w:rsid w:val="004405C9"/>
    <w:rsid w:val="00440712"/>
    <w:rsid w:val="00440752"/>
    <w:rsid w:val="004407FF"/>
    <w:rsid w:val="00440948"/>
    <w:rsid w:val="00440952"/>
    <w:rsid w:val="00440A37"/>
    <w:rsid w:val="00440A38"/>
    <w:rsid w:val="00440B5A"/>
    <w:rsid w:val="00440C1E"/>
    <w:rsid w:val="00440C8F"/>
    <w:rsid w:val="00440CE6"/>
    <w:rsid w:val="00440D2D"/>
    <w:rsid w:val="00440E14"/>
    <w:rsid w:val="00440E69"/>
    <w:rsid w:val="00441009"/>
    <w:rsid w:val="00441099"/>
    <w:rsid w:val="004410C6"/>
    <w:rsid w:val="004410D8"/>
    <w:rsid w:val="004411E0"/>
    <w:rsid w:val="0044128C"/>
    <w:rsid w:val="004412F2"/>
    <w:rsid w:val="0044130B"/>
    <w:rsid w:val="00441321"/>
    <w:rsid w:val="004414C0"/>
    <w:rsid w:val="004414EC"/>
    <w:rsid w:val="004415FB"/>
    <w:rsid w:val="00441657"/>
    <w:rsid w:val="004416B5"/>
    <w:rsid w:val="004416C6"/>
    <w:rsid w:val="00441778"/>
    <w:rsid w:val="004417B2"/>
    <w:rsid w:val="004419A9"/>
    <w:rsid w:val="00441A48"/>
    <w:rsid w:val="00441A69"/>
    <w:rsid w:val="00441A7A"/>
    <w:rsid w:val="00441AAB"/>
    <w:rsid w:val="00441CC8"/>
    <w:rsid w:val="00441DDD"/>
    <w:rsid w:val="00441EFF"/>
    <w:rsid w:val="00442008"/>
    <w:rsid w:val="00442030"/>
    <w:rsid w:val="004420CA"/>
    <w:rsid w:val="00442163"/>
    <w:rsid w:val="00442294"/>
    <w:rsid w:val="00442297"/>
    <w:rsid w:val="004422E2"/>
    <w:rsid w:val="004423AD"/>
    <w:rsid w:val="004423E1"/>
    <w:rsid w:val="004424AD"/>
    <w:rsid w:val="0044267A"/>
    <w:rsid w:val="0044270A"/>
    <w:rsid w:val="00442739"/>
    <w:rsid w:val="004427BF"/>
    <w:rsid w:val="004427E8"/>
    <w:rsid w:val="00442817"/>
    <w:rsid w:val="0044281E"/>
    <w:rsid w:val="0044288D"/>
    <w:rsid w:val="00442980"/>
    <w:rsid w:val="004429EE"/>
    <w:rsid w:val="00442A07"/>
    <w:rsid w:val="00442A3F"/>
    <w:rsid w:val="00442A5E"/>
    <w:rsid w:val="00442A97"/>
    <w:rsid w:val="00442AA2"/>
    <w:rsid w:val="00442AF7"/>
    <w:rsid w:val="00442BD5"/>
    <w:rsid w:val="00442CE0"/>
    <w:rsid w:val="00442D96"/>
    <w:rsid w:val="00442F44"/>
    <w:rsid w:val="00442FC8"/>
    <w:rsid w:val="00442FCE"/>
    <w:rsid w:val="00443009"/>
    <w:rsid w:val="0044312D"/>
    <w:rsid w:val="004431CD"/>
    <w:rsid w:val="0044338E"/>
    <w:rsid w:val="00443419"/>
    <w:rsid w:val="00443421"/>
    <w:rsid w:val="00443524"/>
    <w:rsid w:val="0044352A"/>
    <w:rsid w:val="00443584"/>
    <w:rsid w:val="0044361E"/>
    <w:rsid w:val="0044367C"/>
    <w:rsid w:val="004438E4"/>
    <w:rsid w:val="00443904"/>
    <w:rsid w:val="00443A1E"/>
    <w:rsid w:val="00443A4A"/>
    <w:rsid w:val="00443AA6"/>
    <w:rsid w:val="00443AD5"/>
    <w:rsid w:val="00443B28"/>
    <w:rsid w:val="00443BF1"/>
    <w:rsid w:val="00443C50"/>
    <w:rsid w:val="00443D3D"/>
    <w:rsid w:val="00443E1A"/>
    <w:rsid w:val="00443E59"/>
    <w:rsid w:val="00443F8A"/>
    <w:rsid w:val="00443FB9"/>
    <w:rsid w:val="00444017"/>
    <w:rsid w:val="0044405E"/>
    <w:rsid w:val="004441EF"/>
    <w:rsid w:val="00444274"/>
    <w:rsid w:val="004442DD"/>
    <w:rsid w:val="00444375"/>
    <w:rsid w:val="00444431"/>
    <w:rsid w:val="00444453"/>
    <w:rsid w:val="0044457D"/>
    <w:rsid w:val="004445B0"/>
    <w:rsid w:val="004446C1"/>
    <w:rsid w:val="004446F9"/>
    <w:rsid w:val="0044474E"/>
    <w:rsid w:val="0044480A"/>
    <w:rsid w:val="00444A93"/>
    <w:rsid w:val="00444BDC"/>
    <w:rsid w:val="00444C46"/>
    <w:rsid w:val="00444CBA"/>
    <w:rsid w:val="00444CC3"/>
    <w:rsid w:val="00444D68"/>
    <w:rsid w:val="00444EF7"/>
    <w:rsid w:val="00444EFC"/>
    <w:rsid w:val="0044504F"/>
    <w:rsid w:val="00445075"/>
    <w:rsid w:val="0044507D"/>
    <w:rsid w:val="004451EB"/>
    <w:rsid w:val="004452CB"/>
    <w:rsid w:val="004452F4"/>
    <w:rsid w:val="0044534C"/>
    <w:rsid w:val="004453FC"/>
    <w:rsid w:val="004454B2"/>
    <w:rsid w:val="004456FB"/>
    <w:rsid w:val="00445738"/>
    <w:rsid w:val="00445752"/>
    <w:rsid w:val="004457B4"/>
    <w:rsid w:val="0044587A"/>
    <w:rsid w:val="004458C1"/>
    <w:rsid w:val="004459E0"/>
    <w:rsid w:val="00445A40"/>
    <w:rsid w:val="00445A5C"/>
    <w:rsid w:val="00445C49"/>
    <w:rsid w:val="00445C53"/>
    <w:rsid w:val="00445C6F"/>
    <w:rsid w:val="00445E1A"/>
    <w:rsid w:val="00445E9F"/>
    <w:rsid w:val="00446254"/>
    <w:rsid w:val="00446278"/>
    <w:rsid w:val="004462C5"/>
    <w:rsid w:val="00446309"/>
    <w:rsid w:val="0044638B"/>
    <w:rsid w:val="004463FE"/>
    <w:rsid w:val="00446615"/>
    <w:rsid w:val="0044670A"/>
    <w:rsid w:val="004467F7"/>
    <w:rsid w:val="0044686E"/>
    <w:rsid w:val="004468F0"/>
    <w:rsid w:val="0044695B"/>
    <w:rsid w:val="00446D1F"/>
    <w:rsid w:val="00446D4A"/>
    <w:rsid w:val="00446D95"/>
    <w:rsid w:val="00446DDA"/>
    <w:rsid w:val="00446E00"/>
    <w:rsid w:val="00446E0E"/>
    <w:rsid w:val="00446E5D"/>
    <w:rsid w:val="00446ED6"/>
    <w:rsid w:val="00446FE3"/>
    <w:rsid w:val="00447056"/>
    <w:rsid w:val="00447077"/>
    <w:rsid w:val="004470B2"/>
    <w:rsid w:val="004470F1"/>
    <w:rsid w:val="00447141"/>
    <w:rsid w:val="0044718A"/>
    <w:rsid w:val="00447219"/>
    <w:rsid w:val="004473B6"/>
    <w:rsid w:val="0044748E"/>
    <w:rsid w:val="004474BE"/>
    <w:rsid w:val="00447628"/>
    <w:rsid w:val="0044775A"/>
    <w:rsid w:val="004478B0"/>
    <w:rsid w:val="00447971"/>
    <w:rsid w:val="00447B0E"/>
    <w:rsid w:val="00447BD9"/>
    <w:rsid w:val="00447C48"/>
    <w:rsid w:val="00447D21"/>
    <w:rsid w:val="00447F2C"/>
    <w:rsid w:val="00447F75"/>
    <w:rsid w:val="00450009"/>
    <w:rsid w:val="0045018A"/>
    <w:rsid w:val="004502AC"/>
    <w:rsid w:val="004503EA"/>
    <w:rsid w:val="00450405"/>
    <w:rsid w:val="0045047A"/>
    <w:rsid w:val="00450574"/>
    <w:rsid w:val="00450643"/>
    <w:rsid w:val="00450645"/>
    <w:rsid w:val="004506E2"/>
    <w:rsid w:val="004508B4"/>
    <w:rsid w:val="00450988"/>
    <w:rsid w:val="00450A9B"/>
    <w:rsid w:val="00450B4D"/>
    <w:rsid w:val="00450C84"/>
    <w:rsid w:val="00450D41"/>
    <w:rsid w:val="0045103E"/>
    <w:rsid w:val="004510E3"/>
    <w:rsid w:val="004510F6"/>
    <w:rsid w:val="0045113E"/>
    <w:rsid w:val="00451294"/>
    <w:rsid w:val="00451379"/>
    <w:rsid w:val="00451534"/>
    <w:rsid w:val="00451591"/>
    <w:rsid w:val="004515F4"/>
    <w:rsid w:val="00451693"/>
    <w:rsid w:val="004516A2"/>
    <w:rsid w:val="0045171F"/>
    <w:rsid w:val="004517ED"/>
    <w:rsid w:val="004517EE"/>
    <w:rsid w:val="00451826"/>
    <w:rsid w:val="00451943"/>
    <w:rsid w:val="00451A25"/>
    <w:rsid w:val="00451A67"/>
    <w:rsid w:val="00451B3E"/>
    <w:rsid w:val="00451B4E"/>
    <w:rsid w:val="00451CCA"/>
    <w:rsid w:val="00451DFE"/>
    <w:rsid w:val="00451E29"/>
    <w:rsid w:val="00451ED3"/>
    <w:rsid w:val="00451F27"/>
    <w:rsid w:val="004520C6"/>
    <w:rsid w:val="004520DF"/>
    <w:rsid w:val="00452105"/>
    <w:rsid w:val="00452173"/>
    <w:rsid w:val="00452184"/>
    <w:rsid w:val="00452195"/>
    <w:rsid w:val="00452354"/>
    <w:rsid w:val="00452387"/>
    <w:rsid w:val="0045253A"/>
    <w:rsid w:val="00452821"/>
    <w:rsid w:val="0045292F"/>
    <w:rsid w:val="004529D4"/>
    <w:rsid w:val="004529DF"/>
    <w:rsid w:val="00452ADC"/>
    <w:rsid w:val="00452BC7"/>
    <w:rsid w:val="00452CA0"/>
    <w:rsid w:val="00452F77"/>
    <w:rsid w:val="00453003"/>
    <w:rsid w:val="00453010"/>
    <w:rsid w:val="0045305C"/>
    <w:rsid w:val="0045318C"/>
    <w:rsid w:val="00453232"/>
    <w:rsid w:val="00453234"/>
    <w:rsid w:val="0045325A"/>
    <w:rsid w:val="004534B1"/>
    <w:rsid w:val="004534FC"/>
    <w:rsid w:val="00453574"/>
    <w:rsid w:val="004535DC"/>
    <w:rsid w:val="0045370D"/>
    <w:rsid w:val="0045372F"/>
    <w:rsid w:val="00453760"/>
    <w:rsid w:val="00453880"/>
    <w:rsid w:val="004538B4"/>
    <w:rsid w:val="004538C7"/>
    <w:rsid w:val="0045394E"/>
    <w:rsid w:val="00453981"/>
    <w:rsid w:val="004539C4"/>
    <w:rsid w:val="004539FE"/>
    <w:rsid w:val="00453A28"/>
    <w:rsid w:val="00453AA7"/>
    <w:rsid w:val="00453B30"/>
    <w:rsid w:val="00453DCB"/>
    <w:rsid w:val="00453DFB"/>
    <w:rsid w:val="00453F6D"/>
    <w:rsid w:val="00453FD3"/>
    <w:rsid w:val="00453FDC"/>
    <w:rsid w:val="00454002"/>
    <w:rsid w:val="00454112"/>
    <w:rsid w:val="0045412A"/>
    <w:rsid w:val="0045424C"/>
    <w:rsid w:val="00454263"/>
    <w:rsid w:val="00454322"/>
    <w:rsid w:val="004543A3"/>
    <w:rsid w:val="004543E8"/>
    <w:rsid w:val="00454403"/>
    <w:rsid w:val="0045460F"/>
    <w:rsid w:val="00454614"/>
    <w:rsid w:val="004546B6"/>
    <w:rsid w:val="00454769"/>
    <w:rsid w:val="004548D9"/>
    <w:rsid w:val="00454AC6"/>
    <w:rsid w:val="00454B01"/>
    <w:rsid w:val="00454CCE"/>
    <w:rsid w:val="00454CFE"/>
    <w:rsid w:val="00454E02"/>
    <w:rsid w:val="00454FCC"/>
    <w:rsid w:val="0045502E"/>
    <w:rsid w:val="004550E2"/>
    <w:rsid w:val="004552BC"/>
    <w:rsid w:val="004553A1"/>
    <w:rsid w:val="00455404"/>
    <w:rsid w:val="00455409"/>
    <w:rsid w:val="00455430"/>
    <w:rsid w:val="0045545E"/>
    <w:rsid w:val="00455521"/>
    <w:rsid w:val="004555DF"/>
    <w:rsid w:val="00455601"/>
    <w:rsid w:val="0045569C"/>
    <w:rsid w:val="0045579F"/>
    <w:rsid w:val="004557BC"/>
    <w:rsid w:val="00455818"/>
    <w:rsid w:val="00455B44"/>
    <w:rsid w:val="00455B4C"/>
    <w:rsid w:val="00455BF1"/>
    <w:rsid w:val="00455C40"/>
    <w:rsid w:val="00455C83"/>
    <w:rsid w:val="00455D1A"/>
    <w:rsid w:val="00455E36"/>
    <w:rsid w:val="00455EAA"/>
    <w:rsid w:val="00456024"/>
    <w:rsid w:val="004560DB"/>
    <w:rsid w:val="00456327"/>
    <w:rsid w:val="004564FB"/>
    <w:rsid w:val="004565A9"/>
    <w:rsid w:val="004565DD"/>
    <w:rsid w:val="00456601"/>
    <w:rsid w:val="0045663C"/>
    <w:rsid w:val="0045675C"/>
    <w:rsid w:val="00456828"/>
    <w:rsid w:val="004568ED"/>
    <w:rsid w:val="0045690A"/>
    <w:rsid w:val="00456943"/>
    <w:rsid w:val="00456978"/>
    <w:rsid w:val="00456A58"/>
    <w:rsid w:val="00456B05"/>
    <w:rsid w:val="00456B25"/>
    <w:rsid w:val="00456D28"/>
    <w:rsid w:val="00456F30"/>
    <w:rsid w:val="00456F9B"/>
    <w:rsid w:val="00457157"/>
    <w:rsid w:val="004571B1"/>
    <w:rsid w:val="00457232"/>
    <w:rsid w:val="004572D6"/>
    <w:rsid w:val="004573C8"/>
    <w:rsid w:val="004573DD"/>
    <w:rsid w:val="00457519"/>
    <w:rsid w:val="00457536"/>
    <w:rsid w:val="00457699"/>
    <w:rsid w:val="004576B3"/>
    <w:rsid w:val="0045773E"/>
    <w:rsid w:val="004578C2"/>
    <w:rsid w:val="00457935"/>
    <w:rsid w:val="00457953"/>
    <w:rsid w:val="00457A3A"/>
    <w:rsid w:val="00457BC1"/>
    <w:rsid w:val="00457BEB"/>
    <w:rsid w:val="00457C9E"/>
    <w:rsid w:val="00457CBD"/>
    <w:rsid w:val="00457D4F"/>
    <w:rsid w:val="00457E05"/>
    <w:rsid w:val="00457F8B"/>
    <w:rsid w:val="00457FA1"/>
    <w:rsid w:val="00457FB3"/>
    <w:rsid w:val="00460012"/>
    <w:rsid w:val="00460051"/>
    <w:rsid w:val="004600E0"/>
    <w:rsid w:val="00460195"/>
    <w:rsid w:val="004601C1"/>
    <w:rsid w:val="0046020D"/>
    <w:rsid w:val="0046021E"/>
    <w:rsid w:val="00460298"/>
    <w:rsid w:val="00460368"/>
    <w:rsid w:val="004603D9"/>
    <w:rsid w:val="00460428"/>
    <w:rsid w:val="004604AE"/>
    <w:rsid w:val="0046060B"/>
    <w:rsid w:val="0046060C"/>
    <w:rsid w:val="00460627"/>
    <w:rsid w:val="004606E3"/>
    <w:rsid w:val="00460713"/>
    <w:rsid w:val="00460789"/>
    <w:rsid w:val="004607F2"/>
    <w:rsid w:val="00460992"/>
    <w:rsid w:val="0046099A"/>
    <w:rsid w:val="004609B4"/>
    <w:rsid w:val="00460A33"/>
    <w:rsid w:val="00460ABA"/>
    <w:rsid w:val="00460C78"/>
    <w:rsid w:val="00460CF3"/>
    <w:rsid w:val="00460D6A"/>
    <w:rsid w:val="00460DD0"/>
    <w:rsid w:val="00460EAE"/>
    <w:rsid w:val="00460EF6"/>
    <w:rsid w:val="00460F1C"/>
    <w:rsid w:val="00460F21"/>
    <w:rsid w:val="00460F22"/>
    <w:rsid w:val="0046100F"/>
    <w:rsid w:val="00461025"/>
    <w:rsid w:val="0046104A"/>
    <w:rsid w:val="00461071"/>
    <w:rsid w:val="00461095"/>
    <w:rsid w:val="00461133"/>
    <w:rsid w:val="00461197"/>
    <w:rsid w:val="0046125A"/>
    <w:rsid w:val="00461271"/>
    <w:rsid w:val="00461343"/>
    <w:rsid w:val="00461362"/>
    <w:rsid w:val="0046136C"/>
    <w:rsid w:val="00461388"/>
    <w:rsid w:val="00461394"/>
    <w:rsid w:val="004614A8"/>
    <w:rsid w:val="004614B5"/>
    <w:rsid w:val="004614C7"/>
    <w:rsid w:val="004615DD"/>
    <w:rsid w:val="00461681"/>
    <w:rsid w:val="00461730"/>
    <w:rsid w:val="00461748"/>
    <w:rsid w:val="00461791"/>
    <w:rsid w:val="0046179A"/>
    <w:rsid w:val="00461843"/>
    <w:rsid w:val="004618C9"/>
    <w:rsid w:val="004618E1"/>
    <w:rsid w:val="00461947"/>
    <w:rsid w:val="004619B2"/>
    <w:rsid w:val="004619BA"/>
    <w:rsid w:val="00461A15"/>
    <w:rsid w:val="00461A52"/>
    <w:rsid w:val="00461ADB"/>
    <w:rsid w:val="00461AEA"/>
    <w:rsid w:val="00461B24"/>
    <w:rsid w:val="00461C50"/>
    <w:rsid w:val="00461C59"/>
    <w:rsid w:val="00461E57"/>
    <w:rsid w:val="00461F08"/>
    <w:rsid w:val="00461FFF"/>
    <w:rsid w:val="00462032"/>
    <w:rsid w:val="0046203A"/>
    <w:rsid w:val="004620B0"/>
    <w:rsid w:val="004622AE"/>
    <w:rsid w:val="004623DE"/>
    <w:rsid w:val="0046243B"/>
    <w:rsid w:val="0046254B"/>
    <w:rsid w:val="00462696"/>
    <w:rsid w:val="004626C8"/>
    <w:rsid w:val="00462848"/>
    <w:rsid w:val="004628AC"/>
    <w:rsid w:val="004629D6"/>
    <w:rsid w:val="00462CC9"/>
    <w:rsid w:val="00462D97"/>
    <w:rsid w:val="00462EB4"/>
    <w:rsid w:val="00462F8D"/>
    <w:rsid w:val="004630B9"/>
    <w:rsid w:val="004630FE"/>
    <w:rsid w:val="00463278"/>
    <w:rsid w:val="0046340D"/>
    <w:rsid w:val="004634C7"/>
    <w:rsid w:val="004634D1"/>
    <w:rsid w:val="004635A8"/>
    <w:rsid w:val="00463682"/>
    <w:rsid w:val="004636D2"/>
    <w:rsid w:val="004636D7"/>
    <w:rsid w:val="00463747"/>
    <w:rsid w:val="00463774"/>
    <w:rsid w:val="00463781"/>
    <w:rsid w:val="004637BC"/>
    <w:rsid w:val="004637C9"/>
    <w:rsid w:val="004638FD"/>
    <w:rsid w:val="004639CB"/>
    <w:rsid w:val="00463A78"/>
    <w:rsid w:val="00463A98"/>
    <w:rsid w:val="00463AD9"/>
    <w:rsid w:val="00463B3C"/>
    <w:rsid w:val="00463B55"/>
    <w:rsid w:val="00463C72"/>
    <w:rsid w:val="00463E96"/>
    <w:rsid w:val="00463EF2"/>
    <w:rsid w:val="00464047"/>
    <w:rsid w:val="0046404A"/>
    <w:rsid w:val="00464261"/>
    <w:rsid w:val="0046438E"/>
    <w:rsid w:val="0046444F"/>
    <w:rsid w:val="004644CE"/>
    <w:rsid w:val="00464564"/>
    <w:rsid w:val="004646AD"/>
    <w:rsid w:val="004646BA"/>
    <w:rsid w:val="0046475A"/>
    <w:rsid w:val="004647BB"/>
    <w:rsid w:val="004647EF"/>
    <w:rsid w:val="004648CB"/>
    <w:rsid w:val="004648E6"/>
    <w:rsid w:val="00464AB9"/>
    <w:rsid w:val="00464B24"/>
    <w:rsid w:val="00464B84"/>
    <w:rsid w:val="00464C33"/>
    <w:rsid w:val="00464C40"/>
    <w:rsid w:val="00464C49"/>
    <w:rsid w:val="00464D19"/>
    <w:rsid w:val="00464E46"/>
    <w:rsid w:val="00464E97"/>
    <w:rsid w:val="00464EF4"/>
    <w:rsid w:val="00465066"/>
    <w:rsid w:val="004651FA"/>
    <w:rsid w:val="004651FD"/>
    <w:rsid w:val="004652C5"/>
    <w:rsid w:val="0046534E"/>
    <w:rsid w:val="004654D9"/>
    <w:rsid w:val="004655F1"/>
    <w:rsid w:val="004656C5"/>
    <w:rsid w:val="0046573F"/>
    <w:rsid w:val="004657D6"/>
    <w:rsid w:val="004657E6"/>
    <w:rsid w:val="00465B0C"/>
    <w:rsid w:val="00465B37"/>
    <w:rsid w:val="00465BAF"/>
    <w:rsid w:val="00465BE2"/>
    <w:rsid w:val="00465C66"/>
    <w:rsid w:val="00465CA3"/>
    <w:rsid w:val="00465D56"/>
    <w:rsid w:val="00465DC6"/>
    <w:rsid w:val="00465E2F"/>
    <w:rsid w:val="00465E93"/>
    <w:rsid w:val="00465E99"/>
    <w:rsid w:val="00465ED0"/>
    <w:rsid w:val="00465ED2"/>
    <w:rsid w:val="00465EDD"/>
    <w:rsid w:val="00465FC7"/>
    <w:rsid w:val="00466006"/>
    <w:rsid w:val="00466033"/>
    <w:rsid w:val="00466166"/>
    <w:rsid w:val="004661F7"/>
    <w:rsid w:val="004662CE"/>
    <w:rsid w:val="0046635B"/>
    <w:rsid w:val="0046639B"/>
    <w:rsid w:val="004664AB"/>
    <w:rsid w:val="0046657C"/>
    <w:rsid w:val="00466621"/>
    <w:rsid w:val="00466841"/>
    <w:rsid w:val="00466868"/>
    <w:rsid w:val="00466912"/>
    <w:rsid w:val="00466B29"/>
    <w:rsid w:val="00466BF3"/>
    <w:rsid w:val="00466D37"/>
    <w:rsid w:val="00466D83"/>
    <w:rsid w:val="00466DB4"/>
    <w:rsid w:val="00466F27"/>
    <w:rsid w:val="00466FBA"/>
    <w:rsid w:val="00466FDC"/>
    <w:rsid w:val="0046707C"/>
    <w:rsid w:val="0046713B"/>
    <w:rsid w:val="004671B1"/>
    <w:rsid w:val="00467278"/>
    <w:rsid w:val="0046733A"/>
    <w:rsid w:val="00467356"/>
    <w:rsid w:val="00467423"/>
    <w:rsid w:val="00467677"/>
    <w:rsid w:val="004676B3"/>
    <w:rsid w:val="004676C3"/>
    <w:rsid w:val="0046770D"/>
    <w:rsid w:val="0046775D"/>
    <w:rsid w:val="00467813"/>
    <w:rsid w:val="004678F1"/>
    <w:rsid w:val="0046795A"/>
    <w:rsid w:val="00467A6D"/>
    <w:rsid w:val="00467AA6"/>
    <w:rsid w:val="00467AA9"/>
    <w:rsid w:val="00467AD8"/>
    <w:rsid w:val="00467BFB"/>
    <w:rsid w:val="00467C70"/>
    <w:rsid w:val="00467D1C"/>
    <w:rsid w:val="00467D7F"/>
    <w:rsid w:val="00467D9B"/>
    <w:rsid w:val="00467DBD"/>
    <w:rsid w:val="00467E66"/>
    <w:rsid w:val="00467ED9"/>
    <w:rsid w:val="00467F6F"/>
    <w:rsid w:val="00467FED"/>
    <w:rsid w:val="00467FF6"/>
    <w:rsid w:val="00470014"/>
    <w:rsid w:val="0047023A"/>
    <w:rsid w:val="00470335"/>
    <w:rsid w:val="00470570"/>
    <w:rsid w:val="00470582"/>
    <w:rsid w:val="00470858"/>
    <w:rsid w:val="00470882"/>
    <w:rsid w:val="004708D2"/>
    <w:rsid w:val="004708F1"/>
    <w:rsid w:val="0047097E"/>
    <w:rsid w:val="00470A1E"/>
    <w:rsid w:val="00470A44"/>
    <w:rsid w:val="00470AD9"/>
    <w:rsid w:val="00470B83"/>
    <w:rsid w:val="00470BAF"/>
    <w:rsid w:val="00470C87"/>
    <w:rsid w:val="00471122"/>
    <w:rsid w:val="004711A3"/>
    <w:rsid w:val="0047126D"/>
    <w:rsid w:val="004712FE"/>
    <w:rsid w:val="004713E5"/>
    <w:rsid w:val="00471488"/>
    <w:rsid w:val="0047148E"/>
    <w:rsid w:val="004715A5"/>
    <w:rsid w:val="004715B7"/>
    <w:rsid w:val="0047160D"/>
    <w:rsid w:val="00471641"/>
    <w:rsid w:val="004716A3"/>
    <w:rsid w:val="00471866"/>
    <w:rsid w:val="0047191A"/>
    <w:rsid w:val="00471941"/>
    <w:rsid w:val="00471966"/>
    <w:rsid w:val="004719FC"/>
    <w:rsid w:val="00471A4B"/>
    <w:rsid w:val="00471A62"/>
    <w:rsid w:val="00471AAA"/>
    <w:rsid w:val="00471BF4"/>
    <w:rsid w:val="00471C98"/>
    <w:rsid w:val="00471DC3"/>
    <w:rsid w:val="00471E04"/>
    <w:rsid w:val="00471F00"/>
    <w:rsid w:val="00472079"/>
    <w:rsid w:val="00472206"/>
    <w:rsid w:val="004722D8"/>
    <w:rsid w:val="00472363"/>
    <w:rsid w:val="00472407"/>
    <w:rsid w:val="00472433"/>
    <w:rsid w:val="004724C4"/>
    <w:rsid w:val="004724DD"/>
    <w:rsid w:val="0047259F"/>
    <w:rsid w:val="004725ED"/>
    <w:rsid w:val="00472611"/>
    <w:rsid w:val="004726F4"/>
    <w:rsid w:val="00472720"/>
    <w:rsid w:val="004728D9"/>
    <w:rsid w:val="00472966"/>
    <w:rsid w:val="00472ABC"/>
    <w:rsid w:val="00472AD7"/>
    <w:rsid w:val="00472B8B"/>
    <w:rsid w:val="00472C80"/>
    <w:rsid w:val="00472D7B"/>
    <w:rsid w:val="00472DA8"/>
    <w:rsid w:val="00472EEE"/>
    <w:rsid w:val="00473039"/>
    <w:rsid w:val="00473256"/>
    <w:rsid w:val="004733F6"/>
    <w:rsid w:val="00473525"/>
    <w:rsid w:val="00473545"/>
    <w:rsid w:val="004735AB"/>
    <w:rsid w:val="004737F1"/>
    <w:rsid w:val="00473982"/>
    <w:rsid w:val="00473B34"/>
    <w:rsid w:val="00473B5D"/>
    <w:rsid w:val="00473B70"/>
    <w:rsid w:val="00473BF6"/>
    <w:rsid w:val="00473D47"/>
    <w:rsid w:val="00473E57"/>
    <w:rsid w:val="00473E87"/>
    <w:rsid w:val="00473FAD"/>
    <w:rsid w:val="00474033"/>
    <w:rsid w:val="004741D0"/>
    <w:rsid w:val="00474314"/>
    <w:rsid w:val="0047437A"/>
    <w:rsid w:val="004743EB"/>
    <w:rsid w:val="004744D7"/>
    <w:rsid w:val="0047456A"/>
    <w:rsid w:val="00474760"/>
    <w:rsid w:val="004747C6"/>
    <w:rsid w:val="004748D8"/>
    <w:rsid w:val="0047492D"/>
    <w:rsid w:val="00474994"/>
    <w:rsid w:val="004749BB"/>
    <w:rsid w:val="004749D3"/>
    <w:rsid w:val="00474ACD"/>
    <w:rsid w:val="00474B67"/>
    <w:rsid w:val="00474BB8"/>
    <w:rsid w:val="00474BC9"/>
    <w:rsid w:val="00474BE5"/>
    <w:rsid w:val="00474C9C"/>
    <w:rsid w:val="00474D39"/>
    <w:rsid w:val="00474D45"/>
    <w:rsid w:val="00474E96"/>
    <w:rsid w:val="00474ED1"/>
    <w:rsid w:val="00475062"/>
    <w:rsid w:val="004750D8"/>
    <w:rsid w:val="004751E1"/>
    <w:rsid w:val="0047540E"/>
    <w:rsid w:val="00475529"/>
    <w:rsid w:val="004756FC"/>
    <w:rsid w:val="00475830"/>
    <w:rsid w:val="00475837"/>
    <w:rsid w:val="00475865"/>
    <w:rsid w:val="004758A4"/>
    <w:rsid w:val="0047599C"/>
    <w:rsid w:val="004759DC"/>
    <w:rsid w:val="00475A51"/>
    <w:rsid w:val="00475BCA"/>
    <w:rsid w:val="00475C5E"/>
    <w:rsid w:val="00475C7B"/>
    <w:rsid w:val="00475C96"/>
    <w:rsid w:val="00475CCF"/>
    <w:rsid w:val="00475F8D"/>
    <w:rsid w:val="00475FC0"/>
    <w:rsid w:val="00475FD0"/>
    <w:rsid w:val="00475FEF"/>
    <w:rsid w:val="0047604F"/>
    <w:rsid w:val="00476071"/>
    <w:rsid w:val="00476124"/>
    <w:rsid w:val="0047615E"/>
    <w:rsid w:val="004762EC"/>
    <w:rsid w:val="0047633A"/>
    <w:rsid w:val="004763B2"/>
    <w:rsid w:val="0047640D"/>
    <w:rsid w:val="00476531"/>
    <w:rsid w:val="0047653C"/>
    <w:rsid w:val="004765FE"/>
    <w:rsid w:val="0047673D"/>
    <w:rsid w:val="004767F1"/>
    <w:rsid w:val="00476827"/>
    <w:rsid w:val="00476866"/>
    <w:rsid w:val="004769BA"/>
    <w:rsid w:val="00476A20"/>
    <w:rsid w:val="00476A81"/>
    <w:rsid w:val="00476B0C"/>
    <w:rsid w:val="00476B1C"/>
    <w:rsid w:val="00476B2F"/>
    <w:rsid w:val="00476DB0"/>
    <w:rsid w:val="00476DBA"/>
    <w:rsid w:val="00476DE4"/>
    <w:rsid w:val="00476F7C"/>
    <w:rsid w:val="0047706D"/>
    <w:rsid w:val="0047709F"/>
    <w:rsid w:val="004770BA"/>
    <w:rsid w:val="004771F0"/>
    <w:rsid w:val="00477491"/>
    <w:rsid w:val="004774BB"/>
    <w:rsid w:val="004774CC"/>
    <w:rsid w:val="0047763A"/>
    <w:rsid w:val="0047770C"/>
    <w:rsid w:val="00477A1F"/>
    <w:rsid w:val="00477A39"/>
    <w:rsid w:val="00477BEA"/>
    <w:rsid w:val="00477C37"/>
    <w:rsid w:val="00477CA9"/>
    <w:rsid w:val="00477EBF"/>
    <w:rsid w:val="00477FC0"/>
    <w:rsid w:val="004800F6"/>
    <w:rsid w:val="0048010A"/>
    <w:rsid w:val="00480148"/>
    <w:rsid w:val="00480182"/>
    <w:rsid w:val="00480190"/>
    <w:rsid w:val="00480232"/>
    <w:rsid w:val="0048023A"/>
    <w:rsid w:val="004802CF"/>
    <w:rsid w:val="004802F2"/>
    <w:rsid w:val="004803BD"/>
    <w:rsid w:val="0048044D"/>
    <w:rsid w:val="00480542"/>
    <w:rsid w:val="004806A3"/>
    <w:rsid w:val="00480739"/>
    <w:rsid w:val="004808A3"/>
    <w:rsid w:val="00480960"/>
    <w:rsid w:val="004809AF"/>
    <w:rsid w:val="00480A22"/>
    <w:rsid w:val="00480A90"/>
    <w:rsid w:val="00480AB2"/>
    <w:rsid w:val="00480BCE"/>
    <w:rsid w:val="00480C70"/>
    <w:rsid w:val="00480D2A"/>
    <w:rsid w:val="00480F74"/>
    <w:rsid w:val="00481033"/>
    <w:rsid w:val="0048116F"/>
    <w:rsid w:val="004811FE"/>
    <w:rsid w:val="004812B9"/>
    <w:rsid w:val="00481682"/>
    <w:rsid w:val="0048168A"/>
    <w:rsid w:val="00481692"/>
    <w:rsid w:val="0048178D"/>
    <w:rsid w:val="004818C4"/>
    <w:rsid w:val="0048197F"/>
    <w:rsid w:val="004819FE"/>
    <w:rsid w:val="00481A6A"/>
    <w:rsid w:val="00481ACB"/>
    <w:rsid w:val="00481B46"/>
    <w:rsid w:val="00481B62"/>
    <w:rsid w:val="00481B91"/>
    <w:rsid w:val="00481D9B"/>
    <w:rsid w:val="00481F12"/>
    <w:rsid w:val="00481F45"/>
    <w:rsid w:val="00481F80"/>
    <w:rsid w:val="00481FCF"/>
    <w:rsid w:val="00481FF6"/>
    <w:rsid w:val="0048212B"/>
    <w:rsid w:val="004822D8"/>
    <w:rsid w:val="004823D1"/>
    <w:rsid w:val="004823FC"/>
    <w:rsid w:val="00482426"/>
    <w:rsid w:val="004824A4"/>
    <w:rsid w:val="004824CD"/>
    <w:rsid w:val="0048250E"/>
    <w:rsid w:val="00482557"/>
    <w:rsid w:val="004825CF"/>
    <w:rsid w:val="0048261C"/>
    <w:rsid w:val="004826BB"/>
    <w:rsid w:val="00482700"/>
    <w:rsid w:val="0048298A"/>
    <w:rsid w:val="00482A2C"/>
    <w:rsid w:val="00482A86"/>
    <w:rsid w:val="00482AAC"/>
    <w:rsid w:val="00482AF6"/>
    <w:rsid w:val="00482B96"/>
    <w:rsid w:val="00482BC8"/>
    <w:rsid w:val="00482CFE"/>
    <w:rsid w:val="00482D87"/>
    <w:rsid w:val="00482DD9"/>
    <w:rsid w:val="00482EC7"/>
    <w:rsid w:val="00482ED6"/>
    <w:rsid w:val="00482F90"/>
    <w:rsid w:val="00483059"/>
    <w:rsid w:val="0048319B"/>
    <w:rsid w:val="0048324D"/>
    <w:rsid w:val="004832E9"/>
    <w:rsid w:val="004832F3"/>
    <w:rsid w:val="00483500"/>
    <w:rsid w:val="0048399A"/>
    <w:rsid w:val="004839B3"/>
    <w:rsid w:val="00483A30"/>
    <w:rsid w:val="00483ABA"/>
    <w:rsid w:val="00483AD3"/>
    <w:rsid w:val="00483AFA"/>
    <w:rsid w:val="00483B5C"/>
    <w:rsid w:val="00483CE1"/>
    <w:rsid w:val="00483D1F"/>
    <w:rsid w:val="00483DA7"/>
    <w:rsid w:val="00483DEE"/>
    <w:rsid w:val="00483E29"/>
    <w:rsid w:val="00483F22"/>
    <w:rsid w:val="00483F6C"/>
    <w:rsid w:val="0048402F"/>
    <w:rsid w:val="004840CF"/>
    <w:rsid w:val="00484102"/>
    <w:rsid w:val="00484138"/>
    <w:rsid w:val="0048430B"/>
    <w:rsid w:val="0048440B"/>
    <w:rsid w:val="00484452"/>
    <w:rsid w:val="0048449B"/>
    <w:rsid w:val="004844A8"/>
    <w:rsid w:val="004846BC"/>
    <w:rsid w:val="004847BE"/>
    <w:rsid w:val="00484886"/>
    <w:rsid w:val="00484921"/>
    <w:rsid w:val="004849A5"/>
    <w:rsid w:val="004849BA"/>
    <w:rsid w:val="00484AC4"/>
    <w:rsid w:val="00484B36"/>
    <w:rsid w:val="00484B62"/>
    <w:rsid w:val="00484B72"/>
    <w:rsid w:val="00484B9C"/>
    <w:rsid w:val="00484E59"/>
    <w:rsid w:val="00484E5C"/>
    <w:rsid w:val="00484EB6"/>
    <w:rsid w:val="00484F1F"/>
    <w:rsid w:val="00484FA6"/>
    <w:rsid w:val="00484FF8"/>
    <w:rsid w:val="00485335"/>
    <w:rsid w:val="00485342"/>
    <w:rsid w:val="0048534A"/>
    <w:rsid w:val="0048540B"/>
    <w:rsid w:val="00485419"/>
    <w:rsid w:val="00485590"/>
    <w:rsid w:val="004855D5"/>
    <w:rsid w:val="00485657"/>
    <w:rsid w:val="004857F5"/>
    <w:rsid w:val="00485955"/>
    <w:rsid w:val="00485A3B"/>
    <w:rsid w:val="00485E18"/>
    <w:rsid w:val="004860AC"/>
    <w:rsid w:val="00486191"/>
    <w:rsid w:val="004861E9"/>
    <w:rsid w:val="0048623E"/>
    <w:rsid w:val="00486329"/>
    <w:rsid w:val="0048639B"/>
    <w:rsid w:val="004863F0"/>
    <w:rsid w:val="00486411"/>
    <w:rsid w:val="004864DD"/>
    <w:rsid w:val="0048668D"/>
    <w:rsid w:val="0048671F"/>
    <w:rsid w:val="004867C6"/>
    <w:rsid w:val="0048688F"/>
    <w:rsid w:val="004868C4"/>
    <w:rsid w:val="004869CE"/>
    <w:rsid w:val="00486B08"/>
    <w:rsid w:val="00486B5D"/>
    <w:rsid w:val="00486C53"/>
    <w:rsid w:val="00486DD4"/>
    <w:rsid w:val="00486E2C"/>
    <w:rsid w:val="00486F00"/>
    <w:rsid w:val="00486F76"/>
    <w:rsid w:val="00487077"/>
    <w:rsid w:val="00487127"/>
    <w:rsid w:val="00487169"/>
    <w:rsid w:val="004871B4"/>
    <w:rsid w:val="004873D1"/>
    <w:rsid w:val="004875FD"/>
    <w:rsid w:val="004876BF"/>
    <w:rsid w:val="004877E4"/>
    <w:rsid w:val="00487963"/>
    <w:rsid w:val="004879CD"/>
    <w:rsid w:val="00487A98"/>
    <w:rsid w:val="00487E8D"/>
    <w:rsid w:val="00487EA7"/>
    <w:rsid w:val="00487EFB"/>
    <w:rsid w:val="00487F8D"/>
    <w:rsid w:val="00487FAC"/>
    <w:rsid w:val="00490053"/>
    <w:rsid w:val="00490087"/>
    <w:rsid w:val="004900BE"/>
    <w:rsid w:val="0049012C"/>
    <w:rsid w:val="0049012F"/>
    <w:rsid w:val="004902FD"/>
    <w:rsid w:val="0049038C"/>
    <w:rsid w:val="004903CA"/>
    <w:rsid w:val="00490463"/>
    <w:rsid w:val="004905B3"/>
    <w:rsid w:val="004905B4"/>
    <w:rsid w:val="004907E6"/>
    <w:rsid w:val="00490867"/>
    <w:rsid w:val="00490AF3"/>
    <w:rsid w:val="00490C17"/>
    <w:rsid w:val="00490CB4"/>
    <w:rsid w:val="00490E21"/>
    <w:rsid w:val="00490EE8"/>
    <w:rsid w:val="00490FCC"/>
    <w:rsid w:val="0049106D"/>
    <w:rsid w:val="004910B5"/>
    <w:rsid w:val="004910F5"/>
    <w:rsid w:val="0049119B"/>
    <w:rsid w:val="004913CB"/>
    <w:rsid w:val="0049155F"/>
    <w:rsid w:val="0049162C"/>
    <w:rsid w:val="00491691"/>
    <w:rsid w:val="00491902"/>
    <w:rsid w:val="00491A42"/>
    <w:rsid w:val="00491AA2"/>
    <w:rsid w:val="00491AAE"/>
    <w:rsid w:val="00491BCB"/>
    <w:rsid w:val="00491C1D"/>
    <w:rsid w:val="00491C38"/>
    <w:rsid w:val="00491C51"/>
    <w:rsid w:val="00491CDB"/>
    <w:rsid w:val="00491D82"/>
    <w:rsid w:val="00491FBD"/>
    <w:rsid w:val="004920FA"/>
    <w:rsid w:val="00492200"/>
    <w:rsid w:val="00492280"/>
    <w:rsid w:val="00492384"/>
    <w:rsid w:val="00492397"/>
    <w:rsid w:val="004923F5"/>
    <w:rsid w:val="004924BE"/>
    <w:rsid w:val="00492528"/>
    <w:rsid w:val="004925DB"/>
    <w:rsid w:val="004928E8"/>
    <w:rsid w:val="00492A90"/>
    <w:rsid w:val="00492AA4"/>
    <w:rsid w:val="00492C72"/>
    <w:rsid w:val="00492E04"/>
    <w:rsid w:val="00492F3F"/>
    <w:rsid w:val="00492FD3"/>
    <w:rsid w:val="0049301B"/>
    <w:rsid w:val="00493045"/>
    <w:rsid w:val="004930A8"/>
    <w:rsid w:val="004930B9"/>
    <w:rsid w:val="0049328D"/>
    <w:rsid w:val="00493299"/>
    <w:rsid w:val="00493313"/>
    <w:rsid w:val="004933A2"/>
    <w:rsid w:val="004933D9"/>
    <w:rsid w:val="0049344C"/>
    <w:rsid w:val="00493529"/>
    <w:rsid w:val="0049368C"/>
    <w:rsid w:val="00493721"/>
    <w:rsid w:val="004937E5"/>
    <w:rsid w:val="00493875"/>
    <w:rsid w:val="004938C5"/>
    <w:rsid w:val="004939F7"/>
    <w:rsid w:val="00493A04"/>
    <w:rsid w:val="00493AA8"/>
    <w:rsid w:val="00493B6D"/>
    <w:rsid w:val="00493B8F"/>
    <w:rsid w:val="00493B98"/>
    <w:rsid w:val="00493BF6"/>
    <w:rsid w:val="00493C8F"/>
    <w:rsid w:val="00493EC2"/>
    <w:rsid w:val="00493F53"/>
    <w:rsid w:val="00493F54"/>
    <w:rsid w:val="00493F7E"/>
    <w:rsid w:val="004942A7"/>
    <w:rsid w:val="0049432D"/>
    <w:rsid w:val="00494479"/>
    <w:rsid w:val="004945BA"/>
    <w:rsid w:val="0049470D"/>
    <w:rsid w:val="00494809"/>
    <w:rsid w:val="004948AA"/>
    <w:rsid w:val="00494938"/>
    <w:rsid w:val="0049493A"/>
    <w:rsid w:val="00494A6F"/>
    <w:rsid w:val="00494B07"/>
    <w:rsid w:val="00494B86"/>
    <w:rsid w:val="00494CCC"/>
    <w:rsid w:val="00494D83"/>
    <w:rsid w:val="00494DCF"/>
    <w:rsid w:val="00494DE9"/>
    <w:rsid w:val="00494EB8"/>
    <w:rsid w:val="00494FC2"/>
    <w:rsid w:val="00495027"/>
    <w:rsid w:val="00495097"/>
    <w:rsid w:val="0049517B"/>
    <w:rsid w:val="004952F1"/>
    <w:rsid w:val="00495396"/>
    <w:rsid w:val="00495562"/>
    <w:rsid w:val="004956A3"/>
    <w:rsid w:val="00495725"/>
    <w:rsid w:val="00495806"/>
    <w:rsid w:val="004958E0"/>
    <w:rsid w:val="00495A72"/>
    <w:rsid w:val="00495B58"/>
    <w:rsid w:val="00495C5D"/>
    <w:rsid w:val="00495CC6"/>
    <w:rsid w:val="00495D5E"/>
    <w:rsid w:val="00495D76"/>
    <w:rsid w:val="00495EF3"/>
    <w:rsid w:val="00495FD5"/>
    <w:rsid w:val="0049604B"/>
    <w:rsid w:val="004961F8"/>
    <w:rsid w:val="0049625E"/>
    <w:rsid w:val="0049635E"/>
    <w:rsid w:val="004964C7"/>
    <w:rsid w:val="004964E7"/>
    <w:rsid w:val="00496509"/>
    <w:rsid w:val="00496575"/>
    <w:rsid w:val="004966CD"/>
    <w:rsid w:val="004967AE"/>
    <w:rsid w:val="00496852"/>
    <w:rsid w:val="0049685C"/>
    <w:rsid w:val="00496A1C"/>
    <w:rsid w:val="00496A3B"/>
    <w:rsid w:val="00496AAB"/>
    <w:rsid w:val="00496ACF"/>
    <w:rsid w:val="00496BF5"/>
    <w:rsid w:val="00496C07"/>
    <w:rsid w:val="00496C97"/>
    <w:rsid w:val="00496CCF"/>
    <w:rsid w:val="00496CD5"/>
    <w:rsid w:val="00496CDA"/>
    <w:rsid w:val="00496CEA"/>
    <w:rsid w:val="00496CF7"/>
    <w:rsid w:val="00496D16"/>
    <w:rsid w:val="00496D1B"/>
    <w:rsid w:val="00496DC1"/>
    <w:rsid w:val="00496DD8"/>
    <w:rsid w:val="00496EC0"/>
    <w:rsid w:val="00496F7B"/>
    <w:rsid w:val="00497076"/>
    <w:rsid w:val="004972E2"/>
    <w:rsid w:val="0049740E"/>
    <w:rsid w:val="00497573"/>
    <w:rsid w:val="00497593"/>
    <w:rsid w:val="004977C7"/>
    <w:rsid w:val="00497901"/>
    <w:rsid w:val="00497943"/>
    <w:rsid w:val="00497A03"/>
    <w:rsid w:val="00497A46"/>
    <w:rsid w:val="00497A6F"/>
    <w:rsid w:val="00497BA0"/>
    <w:rsid w:val="00497DE1"/>
    <w:rsid w:val="00497EDF"/>
    <w:rsid w:val="00497EEA"/>
    <w:rsid w:val="00497F91"/>
    <w:rsid w:val="004A018D"/>
    <w:rsid w:val="004A024F"/>
    <w:rsid w:val="004A028F"/>
    <w:rsid w:val="004A0296"/>
    <w:rsid w:val="004A02C3"/>
    <w:rsid w:val="004A0369"/>
    <w:rsid w:val="004A0388"/>
    <w:rsid w:val="004A04D0"/>
    <w:rsid w:val="004A0520"/>
    <w:rsid w:val="004A06F4"/>
    <w:rsid w:val="004A0726"/>
    <w:rsid w:val="004A0748"/>
    <w:rsid w:val="004A0803"/>
    <w:rsid w:val="004A0883"/>
    <w:rsid w:val="004A0975"/>
    <w:rsid w:val="004A0A32"/>
    <w:rsid w:val="004A0B14"/>
    <w:rsid w:val="004A0D09"/>
    <w:rsid w:val="004A0D57"/>
    <w:rsid w:val="004A0D72"/>
    <w:rsid w:val="004A0EAE"/>
    <w:rsid w:val="004A0F28"/>
    <w:rsid w:val="004A11FF"/>
    <w:rsid w:val="004A1215"/>
    <w:rsid w:val="004A125D"/>
    <w:rsid w:val="004A12B2"/>
    <w:rsid w:val="004A13CB"/>
    <w:rsid w:val="004A13E0"/>
    <w:rsid w:val="004A1764"/>
    <w:rsid w:val="004A17A4"/>
    <w:rsid w:val="004A183C"/>
    <w:rsid w:val="004A18A7"/>
    <w:rsid w:val="004A18DD"/>
    <w:rsid w:val="004A18FD"/>
    <w:rsid w:val="004A1911"/>
    <w:rsid w:val="004A1942"/>
    <w:rsid w:val="004A1A21"/>
    <w:rsid w:val="004A1A4A"/>
    <w:rsid w:val="004A1B9C"/>
    <w:rsid w:val="004A1BCA"/>
    <w:rsid w:val="004A1CD4"/>
    <w:rsid w:val="004A1DB0"/>
    <w:rsid w:val="004A1DB2"/>
    <w:rsid w:val="004A1EF5"/>
    <w:rsid w:val="004A1F11"/>
    <w:rsid w:val="004A1F2A"/>
    <w:rsid w:val="004A212B"/>
    <w:rsid w:val="004A2167"/>
    <w:rsid w:val="004A2277"/>
    <w:rsid w:val="004A2450"/>
    <w:rsid w:val="004A25B0"/>
    <w:rsid w:val="004A263F"/>
    <w:rsid w:val="004A2694"/>
    <w:rsid w:val="004A2708"/>
    <w:rsid w:val="004A27DF"/>
    <w:rsid w:val="004A2875"/>
    <w:rsid w:val="004A2A22"/>
    <w:rsid w:val="004A2A3E"/>
    <w:rsid w:val="004A2A44"/>
    <w:rsid w:val="004A2C2C"/>
    <w:rsid w:val="004A2CDD"/>
    <w:rsid w:val="004A2CF7"/>
    <w:rsid w:val="004A2D24"/>
    <w:rsid w:val="004A2E1D"/>
    <w:rsid w:val="004A2E2C"/>
    <w:rsid w:val="004A2F8E"/>
    <w:rsid w:val="004A2FAF"/>
    <w:rsid w:val="004A3015"/>
    <w:rsid w:val="004A314E"/>
    <w:rsid w:val="004A3186"/>
    <w:rsid w:val="004A3203"/>
    <w:rsid w:val="004A3276"/>
    <w:rsid w:val="004A3335"/>
    <w:rsid w:val="004A34DD"/>
    <w:rsid w:val="004A35F1"/>
    <w:rsid w:val="004A36C3"/>
    <w:rsid w:val="004A36C4"/>
    <w:rsid w:val="004A371F"/>
    <w:rsid w:val="004A3A8E"/>
    <w:rsid w:val="004A3ADB"/>
    <w:rsid w:val="004A3B4B"/>
    <w:rsid w:val="004A3C8D"/>
    <w:rsid w:val="004A3CC9"/>
    <w:rsid w:val="004A3CFC"/>
    <w:rsid w:val="004A3D68"/>
    <w:rsid w:val="004A3E02"/>
    <w:rsid w:val="004A3E32"/>
    <w:rsid w:val="004A3E9C"/>
    <w:rsid w:val="004A3E9D"/>
    <w:rsid w:val="004A3FD9"/>
    <w:rsid w:val="004A4060"/>
    <w:rsid w:val="004A4181"/>
    <w:rsid w:val="004A4370"/>
    <w:rsid w:val="004A44BE"/>
    <w:rsid w:val="004A4548"/>
    <w:rsid w:val="004A459C"/>
    <w:rsid w:val="004A4661"/>
    <w:rsid w:val="004A4761"/>
    <w:rsid w:val="004A4836"/>
    <w:rsid w:val="004A488E"/>
    <w:rsid w:val="004A4900"/>
    <w:rsid w:val="004A4998"/>
    <w:rsid w:val="004A4BAA"/>
    <w:rsid w:val="004A4D2E"/>
    <w:rsid w:val="004A4D72"/>
    <w:rsid w:val="004A4E42"/>
    <w:rsid w:val="004A4E7F"/>
    <w:rsid w:val="004A4F1F"/>
    <w:rsid w:val="004A4F75"/>
    <w:rsid w:val="004A4FAB"/>
    <w:rsid w:val="004A4FE6"/>
    <w:rsid w:val="004A5118"/>
    <w:rsid w:val="004A511F"/>
    <w:rsid w:val="004A51B8"/>
    <w:rsid w:val="004A5374"/>
    <w:rsid w:val="004A5425"/>
    <w:rsid w:val="004A5445"/>
    <w:rsid w:val="004A54DB"/>
    <w:rsid w:val="004A54E5"/>
    <w:rsid w:val="004A5551"/>
    <w:rsid w:val="004A5584"/>
    <w:rsid w:val="004A5642"/>
    <w:rsid w:val="004A5826"/>
    <w:rsid w:val="004A586F"/>
    <w:rsid w:val="004A59F8"/>
    <w:rsid w:val="004A5A37"/>
    <w:rsid w:val="004A5AC7"/>
    <w:rsid w:val="004A5ACB"/>
    <w:rsid w:val="004A5BA6"/>
    <w:rsid w:val="004A5CCF"/>
    <w:rsid w:val="004A5D65"/>
    <w:rsid w:val="004A5D87"/>
    <w:rsid w:val="004A5DC8"/>
    <w:rsid w:val="004A5E8B"/>
    <w:rsid w:val="004A5EC4"/>
    <w:rsid w:val="004A602C"/>
    <w:rsid w:val="004A6194"/>
    <w:rsid w:val="004A62E0"/>
    <w:rsid w:val="004A6321"/>
    <w:rsid w:val="004A64C5"/>
    <w:rsid w:val="004A64F1"/>
    <w:rsid w:val="004A65A7"/>
    <w:rsid w:val="004A65B0"/>
    <w:rsid w:val="004A65D0"/>
    <w:rsid w:val="004A67A5"/>
    <w:rsid w:val="004A67C2"/>
    <w:rsid w:val="004A67FC"/>
    <w:rsid w:val="004A6807"/>
    <w:rsid w:val="004A6846"/>
    <w:rsid w:val="004A6A34"/>
    <w:rsid w:val="004A6B07"/>
    <w:rsid w:val="004A6B17"/>
    <w:rsid w:val="004A6CAC"/>
    <w:rsid w:val="004A6D81"/>
    <w:rsid w:val="004A6D98"/>
    <w:rsid w:val="004A6DD2"/>
    <w:rsid w:val="004A70F6"/>
    <w:rsid w:val="004A71D8"/>
    <w:rsid w:val="004A7530"/>
    <w:rsid w:val="004A757A"/>
    <w:rsid w:val="004A78C9"/>
    <w:rsid w:val="004A798F"/>
    <w:rsid w:val="004A7A03"/>
    <w:rsid w:val="004A7AC6"/>
    <w:rsid w:val="004A7AD2"/>
    <w:rsid w:val="004A7B32"/>
    <w:rsid w:val="004A7B3D"/>
    <w:rsid w:val="004A7CEB"/>
    <w:rsid w:val="004A7D5D"/>
    <w:rsid w:val="004B0004"/>
    <w:rsid w:val="004B004D"/>
    <w:rsid w:val="004B00D4"/>
    <w:rsid w:val="004B00F9"/>
    <w:rsid w:val="004B0285"/>
    <w:rsid w:val="004B0292"/>
    <w:rsid w:val="004B02DE"/>
    <w:rsid w:val="004B0367"/>
    <w:rsid w:val="004B0437"/>
    <w:rsid w:val="004B04DC"/>
    <w:rsid w:val="004B0520"/>
    <w:rsid w:val="004B05C2"/>
    <w:rsid w:val="004B0630"/>
    <w:rsid w:val="004B0668"/>
    <w:rsid w:val="004B0687"/>
    <w:rsid w:val="004B0788"/>
    <w:rsid w:val="004B07D8"/>
    <w:rsid w:val="004B081C"/>
    <w:rsid w:val="004B08E6"/>
    <w:rsid w:val="004B0967"/>
    <w:rsid w:val="004B09D4"/>
    <w:rsid w:val="004B0A28"/>
    <w:rsid w:val="004B0A69"/>
    <w:rsid w:val="004B0B49"/>
    <w:rsid w:val="004B0B9A"/>
    <w:rsid w:val="004B0CEC"/>
    <w:rsid w:val="004B0CF3"/>
    <w:rsid w:val="004B0D72"/>
    <w:rsid w:val="004B0EAB"/>
    <w:rsid w:val="004B0EB2"/>
    <w:rsid w:val="004B0FEC"/>
    <w:rsid w:val="004B104D"/>
    <w:rsid w:val="004B1145"/>
    <w:rsid w:val="004B11FA"/>
    <w:rsid w:val="004B1276"/>
    <w:rsid w:val="004B127B"/>
    <w:rsid w:val="004B146D"/>
    <w:rsid w:val="004B1484"/>
    <w:rsid w:val="004B14A8"/>
    <w:rsid w:val="004B1595"/>
    <w:rsid w:val="004B15F4"/>
    <w:rsid w:val="004B1623"/>
    <w:rsid w:val="004B183F"/>
    <w:rsid w:val="004B184F"/>
    <w:rsid w:val="004B18E3"/>
    <w:rsid w:val="004B1944"/>
    <w:rsid w:val="004B19E8"/>
    <w:rsid w:val="004B19F5"/>
    <w:rsid w:val="004B1BC1"/>
    <w:rsid w:val="004B1CDB"/>
    <w:rsid w:val="004B1D13"/>
    <w:rsid w:val="004B1D68"/>
    <w:rsid w:val="004B1DC2"/>
    <w:rsid w:val="004B1E99"/>
    <w:rsid w:val="004B1EC9"/>
    <w:rsid w:val="004B1EE9"/>
    <w:rsid w:val="004B1FDC"/>
    <w:rsid w:val="004B2043"/>
    <w:rsid w:val="004B2124"/>
    <w:rsid w:val="004B214A"/>
    <w:rsid w:val="004B2202"/>
    <w:rsid w:val="004B236B"/>
    <w:rsid w:val="004B23BB"/>
    <w:rsid w:val="004B2627"/>
    <w:rsid w:val="004B2634"/>
    <w:rsid w:val="004B2658"/>
    <w:rsid w:val="004B2783"/>
    <w:rsid w:val="004B27AB"/>
    <w:rsid w:val="004B2852"/>
    <w:rsid w:val="004B28EF"/>
    <w:rsid w:val="004B297F"/>
    <w:rsid w:val="004B2A33"/>
    <w:rsid w:val="004B2BF3"/>
    <w:rsid w:val="004B2C6F"/>
    <w:rsid w:val="004B2D98"/>
    <w:rsid w:val="004B2E5B"/>
    <w:rsid w:val="004B2EA4"/>
    <w:rsid w:val="004B2FF8"/>
    <w:rsid w:val="004B300D"/>
    <w:rsid w:val="004B30B7"/>
    <w:rsid w:val="004B31AD"/>
    <w:rsid w:val="004B322B"/>
    <w:rsid w:val="004B3286"/>
    <w:rsid w:val="004B32D1"/>
    <w:rsid w:val="004B332C"/>
    <w:rsid w:val="004B335A"/>
    <w:rsid w:val="004B335D"/>
    <w:rsid w:val="004B3383"/>
    <w:rsid w:val="004B338A"/>
    <w:rsid w:val="004B3403"/>
    <w:rsid w:val="004B35A2"/>
    <w:rsid w:val="004B35AC"/>
    <w:rsid w:val="004B3652"/>
    <w:rsid w:val="004B365A"/>
    <w:rsid w:val="004B3777"/>
    <w:rsid w:val="004B3778"/>
    <w:rsid w:val="004B38FA"/>
    <w:rsid w:val="004B39CC"/>
    <w:rsid w:val="004B39CE"/>
    <w:rsid w:val="004B3AB4"/>
    <w:rsid w:val="004B3C5B"/>
    <w:rsid w:val="004B3C68"/>
    <w:rsid w:val="004B3D69"/>
    <w:rsid w:val="004B3E40"/>
    <w:rsid w:val="004B3F20"/>
    <w:rsid w:val="004B401B"/>
    <w:rsid w:val="004B4170"/>
    <w:rsid w:val="004B422B"/>
    <w:rsid w:val="004B427E"/>
    <w:rsid w:val="004B435D"/>
    <w:rsid w:val="004B45A7"/>
    <w:rsid w:val="004B4691"/>
    <w:rsid w:val="004B46D0"/>
    <w:rsid w:val="004B485F"/>
    <w:rsid w:val="004B4B75"/>
    <w:rsid w:val="004B4C4A"/>
    <w:rsid w:val="004B4CF7"/>
    <w:rsid w:val="004B4D75"/>
    <w:rsid w:val="004B4D7A"/>
    <w:rsid w:val="004B4E96"/>
    <w:rsid w:val="004B4F9F"/>
    <w:rsid w:val="004B503D"/>
    <w:rsid w:val="004B508E"/>
    <w:rsid w:val="004B5155"/>
    <w:rsid w:val="004B51D5"/>
    <w:rsid w:val="004B52E5"/>
    <w:rsid w:val="004B546D"/>
    <w:rsid w:val="004B54C7"/>
    <w:rsid w:val="004B557B"/>
    <w:rsid w:val="004B559F"/>
    <w:rsid w:val="004B577C"/>
    <w:rsid w:val="004B585E"/>
    <w:rsid w:val="004B59B3"/>
    <w:rsid w:val="004B5A53"/>
    <w:rsid w:val="004B5AB2"/>
    <w:rsid w:val="004B5AF7"/>
    <w:rsid w:val="004B5B43"/>
    <w:rsid w:val="004B5D97"/>
    <w:rsid w:val="004B5F55"/>
    <w:rsid w:val="004B5F7E"/>
    <w:rsid w:val="004B6044"/>
    <w:rsid w:val="004B634B"/>
    <w:rsid w:val="004B646D"/>
    <w:rsid w:val="004B64AB"/>
    <w:rsid w:val="004B64E6"/>
    <w:rsid w:val="004B6505"/>
    <w:rsid w:val="004B67B7"/>
    <w:rsid w:val="004B6830"/>
    <w:rsid w:val="004B68B1"/>
    <w:rsid w:val="004B6990"/>
    <w:rsid w:val="004B6A69"/>
    <w:rsid w:val="004B6AF4"/>
    <w:rsid w:val="004B6B04"/>
    <w:rsid w:val="004B6B5D"/>
    <w:rsid w:val="004B6CAE"/>
    <w:rsid w:val="004B6CC1"/>
    <w:rsid w:val="004B6CCB"/>
    <w:rsid w:val="004B6CEC"/>
    <w:rsid w:val="004B6D2A"/>
    <w:rsid w:val="004B6D39"/>
    <w:rsid w:val="004B6D7C"/>
    <w:rsid w:val="004B6F57"/>
    <w:rsid w:val="004B7114"/>
    <w:rsid w:val="004B7122"/>
    <w:rsid w:val="004B72DB"/>
    <w:rsid w:val="004B733F"/>
    <w:rsid w:val="004B74EE"/>
    <w:rsid w:val="004B7522"/>
    <w:rsid w:val="004B7620"/>
    <w:rsid w:val="004B770C"/>
    <w:rsid w:val="004B77EC"/>
    <w:rsid w:val="004B7814"/>
    <w:rsid w:val="004B784A"/>
    <w:rsid w:val="004B78A0"/>
    <w:rsid w:val="004B7A07"/>
    <w:rsid w:val="004B7A68"/>
    <w:rsid w:val="004B7B9B"/>
    <w:rsid w:val="004B7C43"/>
    <w:rsid w:val="004B7C64"/>
    <w:rsid w:val="004B7C81"/>
    <w:rsid w:val="004B7D4F"/>
    <w:rsid w:val="004B7F80"/>
    <w:rsid w:val="004C0048"/>
    <w:rsid w:val="004C00CB"/>
    <w:rsid w:val="004C011E"/>
    <w:rsid w:val="004C0130"/>
    <w:rsid w:val="004C01AC"/>
    <w:rsid w:val="004C02DE"/>
    <w:rsid w:val="004C046B"/>
    <w:rsid w:val="004C0506"/>
    <w:rsid w:val="004C0531"/>
    <w:rsid w:val="004C07F6"/>
    <w:rsid w:val="004C08B2"/>
    <w:rsid w:val="004C08BD"/>
    <w:rsid w:val="004C08BF"/>
    <w:rsid w:val="004C08DC"/>
    <w:rsid w:val="004C08F7"/>
    <w:rsid w:val="004C0971"/>
    <w:rsid w:val="004C09A8"/>
    <w:rsid w:val="004C0A15"/>
    <w:rsid w:val="004C0A28"/>
    <w:rsid w:val="004C0ABA"/>
    <w:rsid w:val="004C0B2D"/>
    <w:rsid w:val="004C0B73"/>
    <w:rsid w:val="004C0BDC"/>
    <w:rsid w:val="004C0CF3"/>
    <w:rsid w:val="004C0D51"/>
    <w:rsid w:val="004C0E3F"/>
    <w:rsid w:val="004C0F4D"/>
    <w:rsid w:val="004C0F5B"/>
    <w:rsid w:val="004C0FD1"/>
    <w:rsid w:val="004C0FEE"/>
    <w:rsid w:val="004C1069"/>
    <w:rsid w:val="004C1070"/>
    <w:rsid w:val="004C1262"/>
    <w:rsid w:val="004C1317"/>
    <w:rsid w:val="004C13EC"/>
    <w:rsid w:val="004C1526"/>
    <w:rsid w:val="004C15D0"/>
    <w:rsid w:val="004C1836"/>
    <w:rsid w:val="004C1863"/>
    <w:rsid w:val="004C18CF"/>
    <w:rsid w:val="004C18EB"/>
    <w:rsid w:val="004C1947"/>
    <w:rsid w:val="004C1953"/>
    <w:rsid w:val="004C19F1"/>
    <w:rsid w:val="004C1B49"/>
    <w:rsid w:val="004C1BAE"/>
    <w:rsid w:val="004C1C48"/>
    <w:rsid w:val="004C1C7F"/>
    <w:rsid w:val="004C1C97"/>
    <w:rsid w:val="004C1E12"/>
    <w:rsid w:val="004C1E69"/>
    <w:rsid w:val="004C1F09"/>
    <w:rsid w:val="004C2088"/>
    <w:rsid w:val="004C20AB"/>
    <w:rsid w:val="004C21E2"/>
    <w:rsid w:val="004C21E8"/>
    <w:rsid w:val="004C22B7"/>
    <w:rsid w:val="004C2349"/>
    <w:rsid w:val="004C237B"/>
    <w:rsid w:val="004C2406"/>
    <w:rsid w:val="004C249F"/>
    <w:rsid w:val="004C2509"/>
    <w:rsid w:val="004C255E"/>
    <w:rsid w:val="004C256C"/>
    <w:rsid w:val="004C257E"/>
    <w:rsid w:val="004C25B8"/>
    <w:rsid w:val="004C2631"/>
    <w:rsid w:val="004C266D"/>
    <w:rsid w:val="004C26AD"/>
    <w:rsid w:val="004C2791"/>
    <w:rsid w:val="004C27C9"/>
    <w:rsid w:val="004C2809"/>
    <w:rsid w:val="004C28A8"/>
    <w:rsid w:val="004C28AB"/>
    <w:rsid w:val="004C28BA"/>
    <w:rsid w:val="004C2946"/>
    <w:rsid w:val="004C29B4"/>
    <w:rsid w:val="004C29B8"/>
    <w:rsid w:val="004C2A85"/>
    <w:rsid w:val="004C2B96"/>
    <w:rsid w:val="004C2D2C"/>
    <w:rsid w:val="004C2D98"/>
    <w:rsid w:val="004C2DB5"/>
    <w:rsid w:val="004C2F2D"/>
    <w:rsid w:val="004C2FA2"/>
    <w:rsid w:val="004C3138"/>
    <w:rsid w:val="004C31E1"/>
    <w:rsid w:val="004C31EE"/>
    <w:rsid w:val="004C32D7"/>
    <w:rsid w:val="004C361E"/>
    <w:rsid w:val="004C364F"/>
    <w:rsid w:val="004C37E7"/>
    <w:rsid w:val="004C384F"/>
    <w:rsid w:val="004C3965"/>
    <w:rsid w:val="004C3A41"/>
    <w:rsid w:val="004C3BD6"/>
    <w:rsid w:val="004C3BD8"/>
    <w:rsid w:val="004C3C21"/>
    <w:rsid w:val="004C3CE3"/>
    <w:rsid w:val="004C3EE9"/>
    <w:rsid w:val="004C3F20"/>
    <w:rsid w:val="004C3FA7"/>
    <w:rsid w:val="004C412D"/>
    <w:rsid w:val="004C419D"/>
    <w:rsid w:val="004C4295"/>
    <w:rsid w:val="004C44CC"/>
    <w:rsid w:val="004C4565"/>
    <w:rsid w:val="004C46EF"/>
    <w:rsid w:val="004C470B"/>
    <w:rsid w:val="004C47CD"/>
    <w:rsid w:val="004C48D2"/>
    <w:rsid w:val="004C49B2"/>
    <w:rsid w:val="004C4B6F"/>
    <w:rsid w:val="004C4B9C"/>
    <w:rsid w:val="004C4BDF"/>
    <w:rsid w:val="004C4C19"/>
    <w:rsid w:val="004C4C7E"/>
    <w:rsid w:val="004C4CDB"/>
    <w:rsid w:val="004C4CEA"/>
    <w:rsid w:val="004C4D3A"/>
    <w:rsid w:val="004C4D56"/>
    <w:rsid w:val="004C4DA6"/>
    <w:rsid w:val="004C4DCB"/>
    <w:rsid w:val="004C4E5C"/>
    <w:rsid w:val="004C4F1C"/>
    <w:rsid w:val="004C4F4E"/>
    <w:rsid w:val="004C4F98"/>
    <w:rsid w:val="004C5062"/>
    <w:rsid w:val="004C51C0"/>
    <w:rsid w:val="004C5257"/>
    <w:rsid w:val="004C52AB"/>
    <w:rsid w:val="004C53B8"/>
    <w:rsid w:val="004C5414"/>
    <w:rsid w:val="004C54AA"/>
    <w:rsid w:val="004C5670"/>
    <w:rsid w:val="004C5848"/>
    <w:rsid w:val="004C587C"/>
    <w:rsid w:val="004C58B4"/>
    <w:rsid w:val="004C5903"/>
    <w:rsid w:val="004C5921"/>
    <w:rsid w:val="004C594D"/>
    <w:rsid w:val="004C59BF"/>
    <w:rsid w:val="004C59C5"/>
    <w:rsid w:val="004C5A82"/>
    <w:rsid w:val="004C5A8C"/>
    <w:rsid w:val="004C5AB8"/>
    <w:rsid w:val="004C5CB1"/>
    <w:rsid w:val="004C5DA0"/>
    <w:rsid w:val="004C5ECE"/>
    <w:rsid w:val="004C5FAA"/>
    <w:rsid w:val="004C6017"/>
    <w:rsid w:val="004C612E"/>
    <w:rsid w:val="004C6474"/>
    <w:rsid w:val="004C65BE"/>
    <w:rsid w:val="004C67AC"/>
    <w:rsid w:val="004C67F9"/>
    <w:rsid w:val="004C68B0"/>
    <w:rsid w:val="004C69FF"/>
    <w:rsid w:val="004C6ACD"/>
    <w:rsid w:val="004C6C33"/>
    <w:rsid w:val="004C6D2D"/>
    <w:rsid w:val="004C6DC6"/>
    <w:rsid w:val="004C6E1E"/>
    <w:rsid w:val="004C6EF6"/>
    <w:rsid w:val="004C700C"/>
    <w:rsid w:val="004C718B"/>
    <w:rsid w:val="004C718E"/>
    <w:rsid w:val="004C71AB"/>
    <w:rsid w:val="004C7236"/>
    <w:rsid w:val="004C72D3"/>
    <w:rsid w:val="004C7374"/>
    <w:rsid w:val="004C7380"/>
    <w:rsid w:val="004C7477"/>
    <w:rsid w:val="004C7727"/>
    <w:rsid w:val="004C77E6"/>
    <w:rsid w:val="004C7801"/>
    <w:rsid w:val="004C78EA"/>
    <w:rsid w:val="004C7ACD"/>
    <w:rsid w:val="004C7B0C"/>
    <w:rsid w:val="004C7B95"/>
    <w:rsid w:val="004C7BBA"/>
    <w:rsid w:val="004C7DB2"/>
    <w:rsid w:val="004C7E1F"/>
    <w:rsid w:val="004C7F35"/>
    <w:rsid w:val="004C7FAA"/>
    <w:rsid w:val="004D00FE"/>
    <w:rsid w:val="004D0119"/>
    <w:rsid w:val="004D0346"/>
    <w:rsid w:val="004D03A6"/>
    <w:rsid w:val="004D03C6"/>
    <w:rsid w:val="004D042A"/>
    <w:rsid w:val="004D050E"/>
    <w:rsid w:val="004D0578"/>
    <w:rsid w:val="004D05C2"/>
    <w:rsid w:val="004D05F1"/>
    <w:rsid w:val="004D0768"/>
    <w:rsid w:val="004D08AC"/>
    <w:rsid w:val="004D08DB"/>
    <w:rsid w:val="004D0999"/>
    <w:rsid w:val="004D09E4"/>
    <w:rsid w:val="004D0A0E"/>
    <w:rsid w:val="004D0AB9"/>
    <w:rsid w:val="004D0AEC"/>
    <w:rsid w:val="004D0BEC"/>
    <w:rsid w:val="004D0C54"/>
    <w:rsid w:val="004D0C88"/>
    <w:rsid w:val="004D0C90"/>
    <w:rsid w:val="004D0CA5"/>
    <w:rsid w:val="004D1035"/>
    <w:rsid w:val="004D10EE"/>
    <w:rsid w:val="004D11C3"/>
    <w:rsid w:val="004D129E"/>
    <w:rsid w:val="004D12B5"/>
    <w:rsid w:val="004D144B"/>
    <w:rsid w:val="004D1452"/>
    <w:rsid w:val="004D14A7"/>
    <w:rsid w:val="004D1567"/>
    <w:rsid w:val="004D158A"/>
    <w:rsid w:val="004D15C5"/>
    <w:rsid w:val="004D160E"/>
    <w:rsid w:val="004D17CC"/>
    <w:rsid w:val="004D1830"/>
    <w:rsid w:val="004D18E5"/>
    <w:rsid w:val="004D1929"/>
    <w:rsid w:val="004D19B8"/>
    <w:rsid w:val="004D1BA1"/>
    <w:rsid w:val="004D1C4E"/>
    <w:rsid w:val="004D1DF8"/>
    <w:rsid w:val="004D1E02"/>
    <w:rsid w:val="004D1FC7"/>
    <w:rsid w:val="004D2160"/>
    <w:rsid w:val="004D218E"/>
    <w:rsid w:val="004D21D8"/>
    <w:rsid w:val="004D2246"/>
    <w:rsid w:val="004D22E3"/>
    <w:rsid w:val="004D232B"/>
    <w:rsid w:val="004D2369"/>
    <w:rsid w:val="004D237F"/>
    <w:rsid w:val="004D23F0"/>
    <w:rsid w:val="004D2483"/>
    <w:rsid w:val="004D2529"/>
    <w:rsid w:val="004D2551"/>
    <w:rsid w:val="004D26E3"/>
    <w:rsid w:val="004D270E"/>
    <w:rsid w:val="004D27A4"/>
    <w:rsid w:val="004D27BB"/>
    <w:rsid w:val="004D27DA"/>
    <w:rsid w:val="004D2829"/>
    <w:rsid w:val="004D285B"/>
    <w:rsid w:val="004D2898"/>
    <w:rsid w:val="004D28A7"/>
    <w:rsid w:val="004D291B"/>
    <w:rsid w:val="004D294A"/>
    <w:rsid w:val="004D2951"/>
    <w:rsid w:val="004D296A"/>
    <w:rsid w:val="004D29C9"/>
    <w:rsid w:val="004D2A70"/>
    <w:rsid w:val="004D2A75"/>
    <w:rsid w:val="004D2BDE"/>
    <w:rsid w:val="004D2CDD"/>
    <w:rsid w:val="004D2CEE"/>
    <w:rsid w:val="004D2D38"/>
    <w:rsid w:val="004D2DA5"/>
    <w:rsid w:val="004D2E45"/>
    <w:rsid w:val="004D3223"/>
    <w:rsid w:val="004D329C"/>
    <w:rsid w:val="004D32A0"/>
    <w:rsid w:val="004D32EE"/>
    <w:rsid w:val="004D331E"/>
    <w:rsid w:val="004D3327"/>
    <w:rsid w:val="004D3399"/>
    <w:rsid w:val="004D33A1"/>
    <w:rsid w:val="004D3507"/>
    <w:rsid w:val="004D3508"/>
    <w:rsid w:val="004D36E9"/>
    <w:rsid w:val="004D3754"/>
    <w:rsid w:val="004D376D"/>
    <w:rsid w:val="004D38BF"/>
    <w:rsid w:val="004D3B20"/>
    <w:rsid w:val="004D3B9D"/>
    <w:rsid w:val="004D3D40"/>
    <w:rsid w:val="004D3E8B"/>
    <w:rsid w:val="004D3FEB"/>
    <w:rsid w:val="004D4013"/>
    <w:rsid w:val="004D40F1"/>
    <w:rsid w:val="004D412A"/>
    <w:rsid w:val="004D4241"/>
    <w:rsid w:val="004D4383"/>
    <w:rsid w:val="004D43C7"/>
    <w:rsid w:val="004D4402"/>
    <w:rsid w:val="004D4792"/>
    <w:rsid w:val="004D47EB"/>
    <w:rsid w:val="004D4898"/>
    <w:rsid w:val="004D48B6"/>
    <w:rsid w:val="004D4987"/>
    <w:rsid w:val="004D498D"/>
    <w:rsid w:val="004D4A53"/>
    <w:rsid w:val="004D4ABF"/>
    <w:rsid w:val="004D4B0E"/>
    <w:rsid w:val="004D4C93"/>
    <w:rsid w:val="004D4D23"/>
    <w:rsid w:val="004D4DB0"/>
    <w:rsid w:val="004D4F05"/>
    <w:rsid w:val="004D500F"/>
    <w:rsid w:val="004D5049"/>
    <w:rsid w:val="004D50D5"/>
    <w:rsid w:val="004D513B"/>
    <w:rsid w:val="004D5164"/>
    <w:rsid w:val="004D52D0"/>
    <w:rsid w:val="004D541D"/>
    <w:rsid w:val="004D54B3"/>
    <w:rsid w:val="004D55E1"/>
    <w:rsid w:val="004D5643"/>
    <w:rsid w:val="004D568E"/>
    <w:rsid w:val="004D56D1"/>
    <w:rsid w:val="004D5792"/>
    <w:rsid w:val="004D582F"/>
    <w:rsid w:val="004D593B"/>
    <w:rsid w:val="004D5959"/>
    <w:rsid w:val="004D5986"/>
    <w:rsid w:val="004D5B57"/>
    <w:rsid w:val="004D5BC0"/>
    <w:rsid w:val="004D5F88"/>
    <w:rsid w:val="004D5F8A"/>
    <w:rsid w:val="004D5F8D"/>
    <w:rsid w:val="004D6088"/>
    <w:rsid w:val="004D6124"/>
    <w:rsid w:val="004D64E4"/>
    <w:rsid w:val="004D64F0"/>
    <w:rsid w:val="004D666A"/>
    <w:rsid w:val="004D66AC"/>
    <w:rsid w:val="004D66BB"/>
    <w:rsid w:val="004D66C9"/>
    <w:rsid w:val="004D6751"/>
    <w:rsid w:val="004D67F5"/>
    <w:rsid w:val="004D67FA"/>
    <w:rsid w:val="004D681C"/>
    <w:rsid w:val="004D68E5"/>
    <w:rsid w:val="004D69C3"/>
    <w:rsid w:val="004D69EF"/>
    <w:rsid w:val="004D6B2C"/>
    <w:rsid w:val="004D6B39"/>
    <w:rsid w:val="004D6B92"/>
    <w:rsid w:val="004D6CB9"/>
    <w:rsid w:val="004D6D3C"/>
    <w:rsid w:val="004D6E71"/>
    <w:rsid w:val="004D6EB7"/>
    <w:rsid w:val="004D6F2A"/>
    <w:rsid w:val="004D6F8C"/>
    <w:rsid w:val="004D6FB0"/>
    <w:rsid w:val="004D71DD"/>
    <w:rsid w:val="004D720C"/>
    <w:rsid w:val="004D7214"/>
    <w:rsid w:val="004D725B"/>
    <w:rsid w:val="004D72C7"/>
    <w:rsid w:val="004D72F4"/>
    <w:rsid w:val="004D730D"/>
    <w:rsid w:val="004D733E"/>
    <w:rsid w:val="004D7371"/>
    <w:rsid w:val="004D7374"/>
    <w:rsid w:val="004D7397"/>
    <w:rsid w:val="004D74A3"/>
    <w:rsid w:val="004D766A"/>
    <w:rsid w:val="004D7696"/>
    <w:rsid w:val="004D76F7"/>
    <w:rsid w:val="004D7865"/>
    <w:rsid w:val="004D78B8"/>
    <w:rsid w:val="004D79EF"/>
    <w:rsid w:val="004D7A10"/>
    <w:rsid w:val="004D7A17"/>
    <w:rsid w:val="004D7BEC"/>
    <w:rsid w:val="004D7BFE"/>
    <w:rsid w:val="004D7C30"/>
    <w:rsid w:val="004D7DA5"/>
    <w:rsid w:val="004D7ED9"/>
    <w:rsid w:val="004D7EDD"/>
    <w:rsid w:val="004D7F1A"/>
    <w:rsid w:val="004D7FFE"/>
    <w:rsid w:val="004E00A2"/>
    <w:rsid w:val="004E014B"/>
    <w:rsid w:val="004E021A"/>
    <w:rsid w:val="004E037C"/>
    <w:rsid w:val="004E04DD"/>
    <w:rsid w:val="004E0515"/>
    <w:rsid w:val="004E0533"/>
    <w:rsid w:val="004E0859"/>
    <w:rsid w:val="004E0886"/>
    <w:rsid w:val="004E0A51"/>
    <w:rsid w:val="004E0AB6"/>
    <w:rsid w:val="004E0AFB"/>
    <w:rsid w:val="004E0B13"/>
    <w:rsid w:val="004E0D3E"/>
    <w:rsid w:val="004E0EA6"/>
    <w:rsid w:val="004E0FD4"/>
    <w:rsid w:val="004E1072"/>
    <w:rsid w:val="004E1090"/>
    <w:rsid w:val="004E119F"/>
    <w:rsid w:val="004E1249"/>
    <w:rsid w:val="004E129F"/>
    <w:rsid w:val="004E130C"/>
    <w:rsid w:val="004E1515"/>
    <w:rsid w:val="004E1660"/>
    <w:rsid w:val="004E16AD"/>
    <w:rsid w:val="004E18A0"/>
    <w:rsid w:val="004E19B5"/>
    <w:rsid w:val="004E1A3F"/>
    <w:rsid w:val="004E1B41"/>
    <w:rsid w:val="004E1BDB"/>
    <w:rsid w:val="004E1BEA"/>
    <w:rsid w:val="004E1BEF"/>
    <w:rsid w:val="004E1C6B"/>
    <w:rsid w:val="004E1CEC"/>
    <w:rsid w:val="004E1D42"/>
    <w:rsid w:val="004E1DAA"/>
    <w:rsid w:val="004E1EB9"/>
    <w:rsid w:val="004E1EDE"/>
    <w:rsid w:val="004E1F23"/>
    <w:rsid w:val="004E1F4F"/>
    <w:rsid w:val="004E213C"/>
    <w:rsid w:val="004E225D"/>
    <w:rsid w:val="004E22F6"/>
    <w:rsid w:val="004E23BB"/>
    <w:rsid w:val="004E2414"/>
    <w:rsid w:val="004E2581"/>
    <w:rsid w:val="004E260F"/>
    <w:rsid w:val="004E26BD"/>
    <w:rsid w:val="004E2733"/>
    <w:rsid w:val="004E28E4"/>
    <w:rsid w:val="004E2A30"/>
    <w:rsid w:val="004E2A3D"/>
    <w:rsid w:val="004E2A4F"/>
    <w:rsid w:val="004E2A85"/>
    <w:rsid w:val="004E2AD0"/>
    <w:rsid w:val="004E2B92"/>
    <w:rsid w:val="004E2E3E"/>
    <w:rsid w:val="004E3050"/>
    <w:rsid w:val="004E3106"/>
    <w:rsid w:val="004E3296"/>
    <w:rsid w:val="004E33CD"/>
    <w:rsid w:val="004E33FB"/>
    <w:rsid w:val="004E343A"/>
    <w:rsid w:val="004E35C6"/>
    <w:rsid w:val="004E37A7"/>
    <w:rsid w:val="004E37F0"/>
    <w:rsid w:val="004E388B"/>
    <w:rsid w:val="004E38F3"/>
    <w:rsid w:val="004E3944"/>
    <w:rsid w:val="004E3A09"/>
    <w:rsid w:val="004E3AB2"/>
    <w:rsid w:val="004E3B1A"/>
    <w:rsid w:val="004E3B7A"/>
    <w:rsid w:val="004E3CC3"/>
    <w:rsid w:val="004E3E9D"/>
    <w:rsid w:val="004E4016"/>
    <w:rsid w:val="004E410A"/>
    <w:rsid w:val="004E421E"/>
    <w:rsid w:val="004E425B"/>
    <w:rsid w:val="004E432E"/>
    <w:rsid w:val="004E436B"/>
    <w:rsid w:val="004E44E2"/>
    <w:rsid w:val="004E4519"/>
    <w:rsid w:val="004E4521"/>
    <w:rsid w:val="004E4679"/>
    <w:rsid w:val="004E4ABF"/>
    <w:rsid w:val="004E4AF3"/>
    <w:rsid w:val="004E4B44"/>
    <w:rsid w:val="004E4B99"/>
    <w:rsid w:val="004E4CFB"/>
    <w:rsid w:val="004E4D8E"/>
    <w:rsid w:val="004E4E76"/>
    <w:rsid w:val="004E4ED9"/>
    <w:rsid w:val="004E4EE5"/>
    <w:rsid w:val="004E50D8"/>
    <w:rsid w:val="004E50E4"/>
    <w:rsid w:val="004E5214"/>
    <w:rsid w:val="004E526C"/>
    <w:rsid w:val="004E5272"/>
    <w:rsid w:val="004E569A"/>
    <w:rsid w:val="004E57C6"/>
    <w:rsid w:val="004E58F9"/>
    <w:rsid w:val="004E5986"/>
    <w:rsid w:val="004E5AC8"/>
    <w:rsid w:val="004E5AD0"/>
    <w:rsid w:val="004E5C2B"/>
    <w:rsid w:val="004E5C41"/>
    <w:rsid w:val="004E5C69"/>
    <w:rsid w:val="004E5C9B"/>
    <w:rsid w:val="004E5CC3"/>
    <w:rsid w:val="004E5CE7"/>
    <w:rsid w:val="004E5D37"/>
    <w:rsid w:val="004E5E0C"/>
    <w:rsid w:val="004E5E2D"/>
    <w:rsid w:val="004E5EDC"/>
    <w:rsid w:val="004E5EFF"/>
    <w:rsid w:val="004E5FBB"/>
    <w:rsid w:val="004E60DE"/>
    <w:rsid w:val="004E6167"/>
    <w:rsid w:val="004E61B6"/>
    <w:rsid w:val="004E61E9"/>
    <w:rsid w:val="004E626C"/>
    <w:rsid w:val="004E6334"/>
    <w:rsid w:val="004E636E"/>
    <w:rsid w:val="004E63A5"/>
    <w:rsid w:val="004E63AC"/>
    <w:rsid w:val="004E63C9"/>
    <w:rsid w:val="004E65FD"/>
    <w:rsid w:val="004E6637"/>
    <w:rsid w:val="004E6671"/>
    <w:rsid w:val="004E66C1"/>
    <w:rsid w:val="004E6914"/>
    <w:rsid w:val="004E695E"/>
    <w:rsid w:val="004E69C9"/>
    <w:rsid w:val="004E6AB1"/>
    <w:rsid w:val="004E6AE4"/>
    <w:rsid w:val="004E6AEF"/>
    <w:rsid w:val="004E6BB6"/>
    <w:rsid w:val="004E6BEF"/>
    <w:rsid w:val="004E6CCD"/>
    <w:rsid w:val="004E6D84"/>
    <w:rsid w:val="004E6E55"/>
    <w:rsid w:val="004E6EE8"/>
    <w:rsid w:val="004E6EF7"/>
    <w:rsid w:val="004E6F87"/>
    <w:rsid w:val="004E71A4"/>
    <w:rsid w:val="004E71D4"/>
    <w:rsid w:val="004E727E"/>
    <w:rsid w:val="004E73F6"/>
    <w:rsid w:val="004E746D"/>
    <w:rsid w:val="004E759E"/>
    <w:rsid w:val="004E75D6"/>
    <w:rsid w:val="004E7704"/>
    <w:rsid w:val="004E7709"/>
    <w:rsid w:val="004E779A"/>
    <w:rsid w:val="004E785B"/>
    <w:rsid w:val="004E78F6"/>
    <w:rsid w:val="004E79CA"/>
    <w:rsid w:val="004E79F0"/>
    <w:rsid w:val="004E7B55"/>
    <w:rsid w:val="004E7C35"/>
    <w:rsid w:val="004E7C99"/>
    <w:rsid w:val="004E7E30"/>
    <w:rsid w:val="004E7E55"/>
    <w:rsid w:val="004F002A"/>
    <w:rsid w:val="004F003B"/>
    <w:rsid w:val="004F007F"/>
    <w:rsid w:val="004F0103"/>
    <w:rsid w:val="004F0596"/>
    <w:rsid w:val="004F05A4"/>
    <w:rsid w:val="004F05C2"/>
    <w:rsid w:val="004F05E9"/>
    <w:rsid w:val="004F07B0"/>
    <w:rsid w:val="004F07D7"/>
    <w:rsid w:val="004F0801"/>
    <w:rsid w:val="004F098C"/>
    <w:rsid w:val="004F0A15"/>
    <w:rsid w:val="004F0AEF"/>
    <w:rsid w:val="004F0BEE"/>
    <w:rsid w:val="004F0C30"/>
    <w:rsid w:val="004F0CDF"/>
    <w:rsid w:val="004F0CEF"/>
    <w:rsid w:val="004F0D45"/>
    <w:rsid w:val="004F0D85"/>
    <w:rsid w:val="004F0DB2"/>
    <w:rsid w:val="004F0FB3"/>
    <w:rsid w:val="004F0FD0"/>
    <w:rsid w:val="004F10A7"/>
    <w:rsid w:val="004F1143"/>
    <w:rsid w:val="004F142C"/>
    <w:rsid w:val="004F156B"/>
    <w:rsid w:val="004F158D"/>
    <w:rsid w:val="004F17CA"/>
    <w:rsid w:val="004F18AF"/>
    <w:rsid w:val="004F190C"/>
    <w:rsid w:val="004F1A41"/>
    <w:rsid w:val="004F1BBB"/>
    <w:rsid w:val="004F1C57"/>
    <w:rsid w:val="004F1D0C"/>
    <w:rsid w:val="004F1E29"/>
    <w:rsid w:val="004F1E2F"/>
    <w:rsid w:val="004F1EF4"/>
    <w:rsid w:val="004F1EFC"/>
    <w:rsid w:val="004F1F1D"/>
    <w:rsid w:val="004F203D"/>
    <w:rsid w:val="004F21DF"/>
    <w:rsid w:val="004F22DA"/>
    <w:rsid w:val="004F22E1"/>
    <w:rsid w:val="004F24A3"/>
    <w:rsid w:val="004F27CE"/>
    <w:rsid w:val="004F2843"/>
    <w:rsid w:val="004F291D"/>
    <w:rsid w:val="004F29DA"/>
    <w:rsid w:val="004F2ADE"/>
    <w:rsid w:val="004F2B71"/>
    <w:rsid w:val="004F2E59"/>
    <w:rsid w:val="004F2EB7"/>
    <w:rsid w:val="004F3098"/>
    <w:rsid w:val="004F3233"/>
    <w:rsid w:val="004F3267"/>
    <w:rsid w:val="004F343C"/>
    <w:rsid w:val="004F3509"/>
    <w:rsid w:val="004F35D8"/>
    <w:rsid w:val="004F360F"/>
    <w:rsid w:val="004F3613"/>
    <w:rsid w:val="004F361B"/>
    <w:rsid w:val="004F3689"/>
    <w:rsid w:val="004F369B"/>
    <w:rsid w:val="004F3718"/>
    <w:rsid w:val="004F3A65"/>
    <w:rsid w:val="004F3AD5"/>
    <w:rsid w:val="004F3BA1"/>
    <w:rsid w:val="004F3BB2"/>
    <w:rsid w:val="004F3CA1"/>
    <w:rsid w:val="004F3CAA"/>
    <w:rsid w:val="004F3D2D"/>
    <w:rsid w:val="004F3EB4"/>
    <w:rsid w:val="004F3FE1"/>
    <w:rsid w:val="004F402C"/>
    <w:rsid w:val="004F405F"/>
    <w:rsid w:val="004F41A2"/>
    <w:rsid w:val="004F41D3"/>
    <w:rsid w:val="004F4314"/>
    <w:rsid w:val="004F4336"/>
    <w:rsid w:val="004F434A"/>
    <w:rsid w:val="004F4415"/>
    <w:rsid w:val="004F45FA"/>
    <w:rsid w:val="004F46AF"/>
    <w:rsid w:val="004F4756"/>
    <w:rsid w:val="004F4757"/>
    <w:rsid w:val="004F4AF1"/>
    <w:rsid w:val="004F50B4"/>
    <w:rsid w:val="004F50BF"/>
    <w:rsid w:val="004F50E7"/>
    <w:rsid w:val="004F511D"/>
    <w:rsid w:val="004F5154"/>
    <w:rsid w:val="004F537B"/>
    <w:rsid w:val="004F5409"/>
    <w:rsid w:val="004F54E3"/>
    <w:rsid w:val="004F5529"/>
    <w:rsid w:val="004F561E"/>
    <w:rsid w:val="004F563D"/>
    <w:rsid w:val="004F575C"/>
    <w:rsid w:val="004F5BC5"/>
    <w:rsid w:val="004F5BD6"/>
    <w:rsid w:val="004F5C3B"/>
    <w:rsid w:val="004F5CA1"/>
    <w:rsid w:val="004F5D36"/>
    <w:rsid w:val="004F5DE8"/>
    <w:rsid w:val="004F5FA4"/>
    <w:rsid w:val="004F6042"/>
    <w:rsid w:val="004F606F"/>
    <w:rsid w:val="004F61A2"/>
    <w:rsid w:val="004F61CD"/>
    <w:rsid w:val="004F6223"/>
    <w:rsid w:val="004F6272"/>
    <w:rsid w:val="004F62BC"/>
    <w:rsid w:val="004F635A"/>
    <w:rsid w:val="004F6490"/>
    <w:rsid w:val="004F64FA"/>
    <w:rsid w:val="004F6540"/>
    <w:rsid w:val="004F654A"/>
    <w:rsid w:val="004F6589"/>
    <w:rsid w:val="004F671F"/>
    <w:rsid w:val="004F6738"/>
    <w:rsid w:val="004F676F"/>
    <w:rsid w:val="004F6A25"/>
    <w:rsid w:val="004F6BBC"/>
    <w:rsid w:val="004F6D34"/>
    <w:rsid w:val="004F6E0D"/>
    <w:rsid w:val="004F6E75"/>
    <w:rsid w:val="004F6E8E"/>
    <w:rsid w:val="004F6EE1"/>
    <w:rsid w:val="004F6F17"/>
    <w:rsid w:val="004F6F91"/>
    <w:rsid w:val="004F6FF5"/>
    <w:rsid w:val="004F70F2"/>
    <w:rsid w:val="004F7156"/>
    <w:rsid w:val="004F72B2"/>
    <w:rsid w:val="004F742B"/>
    <w:rsid w:val="004F74AD"/>
    <w:rsid w:val="004F75B7"/>
    <w:rsid w:val="004F7636"/>
    <w:rsid w:val="004F7669"/>
    <w:rsid w:val="004F76BE"/>
    <w:rsid w:val="004F76E9"/>
    <w:rsid w:val="004F7803"/>
    <w:rsid w:val="004F7AC4"/>
    <w:rsid w:val="004F7B03"/>
    <w:rsid w:val="004F7CB0"/>
    <w:rsid w:val="004F7D29"/>
    <w:rsid w:val="004F7E2E"/>
    <w:rsid w:val="004F7E89"/>
    <w:rsid w:val="004F7F25"/>
    <w:rsid w:val="004F7FE4"/>
    <w:rsid w:val="00500020"/>
    <w:rsid w:val="00500343"/>
    <w:rsid w:val="00500512"/>
    <w:rsid w:val="005007D4"/>
    <w:rsid w:val="00500848"/>
    <w:rsid w:val="0050087F"/>
    <w:rsid w:val="00500885"/>
    <w:rsid w:val="00500919"/>
    <w:rsid w:val="00500ADE"/>
    <w:rsid w:val="00500C24"/>
    <w:rsid w:val="00500C45"/>
    <w:rsid w:val="00500C50"/>
    <w:rsid w:val="00500C92"/>
    <w:rsid w:val="00500CBE"/>
    <w:rsid w:val="00500E4D"/>
    <w:rsid w:val="00500FBB"/>
    <w:rsid w:val="00501039"/>
    <w:rsid w:val="00501088"/>
    <w:rsid w:val="005012B5"/>
    <w:rsid w:val="005014A2"/>
    <w:rsid w:val="0050157D"/>
    <w:rsid w:val="005015D5"/>
    <w:rsid w:val="0050163A"/>
    <w:rsid w:val="005016E9"/>
    <w:rsid w:val="005017F4"/>
    <w:rsid w:val="00501957"/>
    <w:rsid w:val="005019BA"/>
    <w:rsid w:val="00501AD2"/>
    <w:rsid w:val="00501AE9"/>
    <w:rsid w:val="00501B2F"/>
    <w:rsid w:val="00501B57"/>
    <w:rsid w:val="00501BA5"/>
    <w:rsid w:val="00501BCF"/>
    <w:rsid w:val="00501BFD"/>
    <w:rsid w:val="00501C5C"/>
    <w:rsid w:val="00501D33"/>
    <w:rsid w:val="00501E0A"/>
    <w:rsid w:val="00501F65"/>
    <w:rsid w:val="00501FEF"/>
    <w:rsid w:val="0050202D"/>
    <w:rsid w:val="0050206B"/>
    <w:rsid w:val="0050207F"/>
    <w:rsid w:val="005020C5"/>
    <w:rsid w:val="0050212F"/>
    <w:rsid w:val="005021C5"/>
    <w:rsid w:val="0050242C"/>
    <w:rsid w:val="00502497"/>
    <w:rsid w:val="0050257F"/>
    <w:rsid w:val="0050263D"/>
    <w:rsid w:val="005026D4"/>
    <w:rsid w:val="00502797"/>
    <w:rsid w:val="00502A6F"/>
    <w:rsid w:val="00502A96"/>
    <w:rsid w:val="00502B6E"/>
    <w:rsid w:val="00502BBD"/>
    <w:rsid w:val="00502DEB"/>
    <w:rsid w:val="00502EE0"/>
    <w:rsid w:val="00502EF5"/>
    <w:rsid w:val="00502FDD"/>
    <w:rsid w:val="00503228"/>
    <w:rsid w:val="0050326E"/>
    <w:rsid w:val="0050334C"/>
    <w:rsid w:val="00503429"/>
    <w:rsid w:val="00503488"/>
    <w:rsid w:val="005034A0"/>
    <w:rsid w:val="00503860"/>
    <w:rsid w:val="00503941"/>
    <w:rsid w:val="00503A14"/>
    <w:rsid w:val="00503A4F"/>
    <w:rsid w:val="00503AC7"/>
    <w:rsid w:val="00503CA0"/>
    <w:rsid w:val="00503CB9"/>
    <w:rsid w:val="00503D3A"/>
    <w:rsid w:val="00503ECB"/>
    <w:rsid w:val="00504015"/>
    <w:rsid w:val="00504027"/>
    <w:rsid w:val="005040C3"/>
    <w:rsid w:val="005040C8"/>
    <w:rsid w:val="00504111"/>
    <w:rsid w:val="00504280"/>
    <w:rsid w:val="005043C0"/>
    <w:rsid w:val="00504639"/>
    <w:rsid w:val="00504663"/>
    <w:rsid w:val="00504702"/>
    <w:rsid w:val="005047A6"/>
    <w:rsid w:val="005047E5"/>
    <w:rsid w:val="00504809"/>
    <w:rsid w:val="005049B9"/>
    <w:rsid w:val="00504C37"/>
    <w:rsid w:val="00504C5D"/>
    <w:rsid w:val="00504CA2"/>
    <w:rsid w:val="00504CDA"/>
    <w:rsid w:val="00504DF2"/>
    <w:rsid w:val="00504E6B"/>
    <w:rsid w:val="00504FE3"/>
    <w:rsid w:val="005050AB"/>
    <w:rsid w:val="00505196"/>
    <w:rsid w:val="005051E3"/>
    <w:rsid w:val="00505257"/>
    <w:rsid w:val="00505400"/>
    <w:rsid w:val="005055CA"/>
    <w:rsid w:val="00505623"/>
    <w:rsid w:val="00505767"/>
    <w:rsid w:val="005058A4"/>
    <w:rsid w:val="005058E4"/>
    <w:rsid w:val="00505B19"/>
    <w:rsid w:val="00505C1A"/>
    <w:rsid w:val="00505D06"/>
    <w:rsid w:val="00506031"/>
    <w:rsid w:val="005060B5"/>
    <w:rsid w:val="005060FA"/>
    <w:rsid w:val="00506176"/>
    <w:rsid w:val="005061D3"/>
    <w:rsid w:val="005061F5"/>
    <w:rsid w:val="005062CA"/>
    <w:rsid w:val="005062E1"/>
    <w:rsid w:val="00506365"/>
    <w:rsid w:val="005063EC"/>
    <w:rsid w:val="005065B1"/>
    <w:rsid w:val="005065C7"/>
    <w:rsid w:val="005065E4"/>
    <w:rsid w:val="00506663"/>
    <w:rsid w:val="00506762"/>
    <w:rsid w:val="00506770"/>
    <w:rsid w:val="005067A6"/>
    <w:rsid w:val="005067F2"/>
    <w:rsid w:val="00506895"/>
    <w:rsid w:val="00506911"/>
    <w:rsid w:val="005069B2"/>
    <w:rsid w:val="00506A1E"/>
    <w:rsid w:val="00506AE7"/>
    <w:rsid w:val="00506AFD"/>
    <w:rsid w:val="00506C03"/>
    <w:rsid w:val="00506C8A"/>
    <w:rsid w:val="00506CE6"/>
    <w:rsid w:val="00506F1C"/>
    <w:rsid w:val="00506FCE"/>
    <w:rsid w:val="00506FDD"/>
    <w:rsid w:val="005070B1"/>
    <w:rsid w:val="00507101"/>
    <w:rsid w:val="005072A7"/>
    <w:rsid w:val="005072D0"/>
    <w:rsid w:val="005072E1"/>
    <w:rsid w:val="005073C5"/>
    <w:rsid w:val="005075A1"/>
    <w:rsid w:val="005076A6"/>
    <w:rsid w:val="0050772D"/>
    <w:rsid w:val="00507788"/>
    <w:rsid w:val="005077B0"/>
    <w:rsid w:val="005078FF"/>
    <w:rsid w:val="0050793B"/>
    <w:rsid w:val="005079A9"/>
    <w:rsid w:val="00507A4C"/>
    <w:rsid w:val="00507BBC"/>
    <w:rsid w:val="00507CA3"/>
    <w:rsid w:val="00507E23"/>
    <w:rsid w:val="00507E37"/>
    <w:rsid w:val="00507E58"/>
    <w:rsid w:val="00507F49"/>
    <w:rsid w:val="00507F96"/>
    <w:rsid w:val="00507FC6"/>
    <w:rsid w:val="0050D6E7"/>
    <w:rsid w:val="0051003C"/>
    <w:rsid w:val="005100F6"/>
    <w:rsid w:val="00510137"/>
    <w:rsid w:val="005101C6"/>
    <w:rsid w:val="005101D1"/>
    <w:rsid w:val="0051025B"/>
    <w:rsid w:val="0051027E"/>
    <w:rsid w:val="005104EC"/>
    <w:rsid w:val="005104FB"/>
    <w:rsid w:val="00510527"/>
    <w:rsid w:val="0051057A"/>
    <w:rsid w:val="0051064E"/>
    <w:rsid w:val="00510819"/>
    <w:rsid w:val="00510882"/>
    <w:rsid w:val="00510997"/>
    <w:rsid w:val="00510B6E"/>
    <w:rsid w:val="00510B8F"/>
    <w:rsid w:val="00510BBB"/>
    <w:rsid w:val="00510C04"/>
    <w:rsid w:val="00510DC2"/>
    <w:rsid w:val="00510E21"/>
    <w:rsid w:val="00510E7D"/>
    <w:rsid w:val="00510F28"/>
    <w:rsid w:val="0051105A"/>
    <w:rsid w:val="005110A8"/>
    <w:rsid w:val="005112B2"/>
    <w:rsid w:val="005114EE"/>
    <w:rsid w:val="0051150C"/>
    <w:rsid w:val="0051157F"/>
    <w:rsid w:val="005115CD"/>
    <w:rsid w:val="00511664"/>
    <w:rsid w:val="005116A9"/>
    <w:rsid w:val="0051179C"/>
    <w:rsid w:val="005117F4"/>
    <w:rsid w:val="00511878"/>
    <w:rsid w:val="0051191B"/>
    <w:rsid w:val="00511A91"/>
    <w:rsid w:val="00511C65"/>
    <w:rsid w:val="00511D11"/>
    <w:rsid w:val="00511D61"/>
    <w:rsid w:val="00511EA2"/>
    <w:rsid w:val="00512026"/>
    <w:rsid w:val="005120EC"/>
    <w:rsid w:val="00512120"/>
    <w:rsid w:val="00512130"/>
    <w:rsid w:val="0051217A"/>
    <w:rsid w:val="005121F7"/>
    <w:rsid w:val="00512220"/>
    <w:rsid w:val="005122D2"/>
    <w:rsid w:val="005122E8"/>
    <w:rsid w:val="00512326"/>
    <w:rsid w:val="0051242F"/>
    <w:rsid w:val="005124EC"/>
    <w:rsid w:val="005125B6"/>
    <w:rsid w:val="005125EB"/>
    <w:rsid w:val="005128A9"/>
    <w:rsid w:val="0051291D"/>
    <w:rsid w:val="005129FA"/>
    <w:rsid w:val="00512C01"/>
    <w:rsid w:val="00512C0C"/>
    <w:rsid w:val="00512C41"/>
    <w:rsid w:val="00512C82"/>
    <w:rsid w:val="00512DA2"/>
    <w:rsid w:val="00512DCB"/>
    <w:rsid w:val="00512F29"/>
    <w:rsid w:val="00512F6C"/>
    <w:rsid w:val="005130B3"/>
    <w:rsid w:val="005130F2"/>
    <w:rsid w:val="00513244"/>
    <w:rsid w:val="005132C7"/>
    <w:rsid w:val="005134F2"/>
    <w:rsid w:val="00513567"/>
    <w:rsid w:val="00513587"/>
    <w:rsid w:val="00513590"/>
    <w:rsid w:val="005135AA"/>
    <w:rsid w:val="00513690"/>
    <w:rsid w:val="005136A1"/>
    <w:rsid w:val="0051371B"/>
    <w:rsid w:val="00513753"/>
    <w:rsid w:val="00513781"/>
    <w:rsid w:val="005137C8"/>
    <w:rsid w:val="005138DA"/>
    <w:rsid w:val="005139D8"/>
    <w:rsid w:val="00513A32"/>
    <w:rsid w:val="00513B14"/>
    <w:rsid w:val="00513BEF"/>
    <w:rsid w:val="00513D29"/>
    <w:rsid w:val="00513DAF"/>
    <w:rsid w:val="00513F18"/>
    <w:rsid w:val="00513FC5"/>
    <w:rsid w:val="00513FF3"/>
    <w:rsid w:val="00514167"/>
    <w:rsid w:val="0051419E"/>
    <w:rsid w:val="005141D2"/>
    <w:rsid w:val="00514388"/>
    <w:rsid w:val="00514503"/>
    <w:rsid w:val="00514730"/>
    <w:rsid w:val="005147D5"/>
    <w:rsid w:val="00514823"/>
    <w:rsid w:val="005149CC"/>
    <w:rsid w:val="005149CF"/>
    <w:rsid w:val="00514BBE"/>
    <w:rsid w:val="00514C26"/>
    <w:rsid w:val="00514DBE"/>
    <w:rsid w:val="00514E0D"/>
    <w:rsid w:val="00514E64"/>
    <w:rsid w:val="00514F78"/>
    <w:rsid w:val="00514FB7"/>
    <w:rsid w:val="00514FCC"/>
    <w:rsid w:val="0051502C"/>
    <w:rsid w:val="00515059"/>
    <w:rsid w:val="00515111"/>
    <w:rsid w:val="0051525A"/>
    <w:rsid w:val="00515373"/>
    <w:rsid w:val="005155AA"/>
    <w:rsid w:val="005155AB"/>
    <w:rsid w:val="005155DB"/>
    <w:rsid w:val="005155EF"/>
    <w:rsid w:val="00515600"/>
    <w:rsid w:val="0051591D"/>
    <w:rsid w:val="0051594F"/>
    <w:rsid w:val="005159C5"/>
    <w:rsid w:val="00515A31"/>
    <w:rsid w:val="00515A34"/>
    <w:rsid w:val="00515B14"/>
    <w:rsid w:val="00515B89"/>
    <w:rsid w:val="00515BEF"/>
    <w:rsid w:val="00515E57"/>
    <w:rsid w:val="00515E71"/>
    <w:rsid w:val="00515F0F"/>
    <w:rsid w:val="00515F1D"/>
    <w:rsid w:val="005161C6"/>
    <w:rsid w:val="005161E4"/>
    <w:rsid w:val="00516290"/>
    <w:rsid w:val="00516642"/>
    <w:rsid w:val="00516743"/>
    <w:rsid w:val="0051684B"/>
    <w:rsid w:val="00516A02"/>
    <w:rsid w:val="00516B98"/>
    <w:rsid w:val="00516BA1"/>
    <w:rsid w:val="00516BA9"/>
    <w:rsid w:val="00516BDA"/>
    <w:rsid w:val="00516C5E"/>
    <w:rsid w:val="00516E7F"/>
    <w:rsid w:val="00516EB0"/>
    <w:rsid w:val="005170D2"/>
    <w:rsid w:val="005170F9"/>
    <w:rsid w:val="00517151"/>
    <w:rsid w:val="0051718B"/>
    <w:rsid w:val="00517213"/>
    <w:rsid w:val="005172BE"/>
    <w:rsid w:val="00517318"/>
    <w:rsid w:val="00517470"/>
    <w:rsid w:val="0051749C"/>
    <w:rsid w:val="005175AD"/>
    <w:rsid w:val="0051771E"/>
    <w:rsid w:val="00517789"/>
    <w:rsid w:val="00517837"/>
    <w:rsid w:val="005178A4"/>
    <w:rsid w:val="005179C5"/>
    <w:rsid w:val="00517A00"/>
    <w:rsid w:val="00517A28"/>
    <w:rsid w:val="00517A37"/>
    <w:rsid w:val="00517A8F"/>
    <w:rsid w:val="00517AF5"/>
    <w:rsid w:val="00517AF8"/>
    <w:rsid w:val="00517B10"/>
    <w:rsid w:val="00517B6A"/>
    <w:rsid w:val="00517B93"/>
    <w:rsid w:val="00517CC8"/>
    <w:rsid w:val="00517CEC"/>
    <w:rsid w:val="00517D01"/>
    <w:rsid w:val="00517DE9"/>
    <w:rsid w:val="00517E48"/>
    <w:rsid w:val="00517F1D"/>
    <w:rsid w:val="00517F3B"/>
    <w:rsid w:val="0052009C"/>
    <w:rsid w:val="005200A9"/>
    <w:rsid w:val="00520120"/>
    <w:rsid w:val="00520124"/>
    <w:rsid w:val="0052012A"/>
    <w:rsid w:val="005201D2"/>
    <w:rsid w:val="00520223"/>
    <w:rsid w:val="005202A6"/>
    <w:rsid w:val="005202F1"/>
    <w:rsid w:val="0052035C"/>
    <w:rsid w:val="005203F2"/>
    <w:rsid w:val="005204E5"/>
    <w:rsid w:val="005204F9"/>
    <w:rsid w:val="0052055C"/>
    <w:rsid w:val="005205A7"/>
    <w:rsid w:val="0052076B"/>
    <w:rsid w:val="005209F7"/>
    <w:rsid w:val="00520ABC"/>
    <w:rsid w:val="00520BC9"/>
    <w:rsid w:val="00520C10"/>
    <w:rsid w:val="00520C52"/>
    <w:rsid w:val="00520C78"/>
    <w:rsid w:val="00520EAD"/>
    <w:rsid w:val="00520EB8"/>
    <w:rsid w:val="00520FE6"/>
    <w:rsid w:val="00521188"/>
    <w:rsid w:val="00521219"/>
    <w:rsid w:val="00521282"/>
    <w:rsid w:val="005213A6"/>
    <w:rsid w:val="0052140E"/>
    <w:rsid w:val="0052142F"/>
    <w:rsid w:val="00521450"/>
    <w:rsid w:val="005214A0"/>
    <w:rsid w:val="005214D0"/>
    <w:rsid w:val="005216B4"/>
    <w:rsid w:val="005217B8"/>
    <w:rsid w:val="0052188F"/>
    <w:rsid w:val="00521892"/>
    <w:rsid w:val="00521937"/>
    <w:rsid w:val="00521949"/>
    <w:rsid w:val="00521986"/>
    <w:rsid w:val="00521ADE"/>
    <w:rsid w:val="00521B03"/>
    <w:rsid w:val="00521B68"/>
    <w:rsid w:val="00521C49"/>
    <w:rsid w:val="00521C76"/>
    <w:rsid w:val="00521C7A"/>
    <w:rsid w:val="00521CCA"/>
    <w:rsid w:val="00521D0D"/>
    <w:rsid w:val="00521E03"/>
    <w:rsid w:val="00521E51"/>
    <w:rsid w:val="00521F02"/>
    <w:rsid w:val="0052202C"/>
    <w:rsid w:val="00522091"/>
    <w:rsid w:val="005220E1"/>
    <w:rsid w:val="00522235"/>
    <w:rsid w:val="0052224A"/>
    <w:rsid w:val="00522284"/>
    <w:rsid w:val="00522502"/>
    <w:rsid w:val="00522529"/>
    <w:rsid w:val="00522576"/>
    <w:rsid w:val="0052259A"/>
    <w:rsid w:val="005225EB"/>
    <w:rsid w:val="005227B0"/>
    <w:rsid w:val="0052283E"/>
    <w:rsid w:val="0052296C"/>
    <w:rsid w:val="005229D7"/>
    <w:rsid w:val="00522A1B"/>
    <w:rsid w:val="00522B8D"/>
    <w:rsid w:val="00522E61"/>
    <w:rsid w:val="00522F53"/>
    <w:rsid w:val="0052304B"/>
    <w:rsid w:val="005230FD"/>
    <w:rsid w:val="00523187"/>
    <w:rsid w:val="005232A7"/>
    <w:rsid w:val="005232C1"/>
    <w:rsid w:val="005232EF"/>
    <w:rsid w:val="005232FE"/>
    <w:rsid w:val="00523570"/>
    <w:rsid w:val="005235A6"/>
    <w:rsid w:val="00523629"/>
    <w:rsid w:val="005236D5"/>
    <w:rsid w:val="00523817"/>
    <w:rsid w:val="0052392B"/>
    <w:rsid w:val="00523A30"/>
    <w:rsid w:val="00523AF8"/>
    <w:rsid w:val="00523B29"/>
    <w:rsid w:val="00523B8E"/>
    <w:rsid w:val="00523C0D"/>
    <w:rsid w:val="00523C5F"/>
    <w:rsid w:val="00523C86"/>
    <w:rsid w:val="00523CBD"/>
    <w:rsid w:val="00523EB5"/>
    <w:rsid w:val="00523EC9"/>
    <w:rsid w:val="00523F04"/>
    <w:rsid w:val="00523F76"/>
    <w:rsid w:val="0052412F"/>
    <w:rsid w:val="0052422E"/>
    <w:rsid w:val="00524261"/>
    <w:rsid w:val="00524356"/>
    <w:rsid w:val="0052438F"/>
    <w:rsid w:val="00524407"/>
    <w:rsid w:val="00524488"/>
    <w:rsid w:val="0052449F"/>
    <w:rsid w:val="00524596"/>
    <w:rsid w:val="005246E7"/>
    <w:rsid w:val="005248C7"/>
    <w:rsid w:val="0052493B"/>
    <w:rsid w:val="00524983"/>
    <w:rsid w:val="00524A3B"/>
    <w:rsid w:val="00524A8F"/>
    <w:rsid w:val="00524B72"/>
    <w:rsid w:val="00524C76"/>
    <w:rsid w:val="00524D77"/>
    <w:rsid w:val="00524ECB"/>
    <w:rsid w:val="00524EE1"/>
    <w:rsid w:val="00524FAF"/>
    <w:rsid w:val="00525035"/>
    <w:rsid w:val="00525129"/>
    <w:rsid w:val="00525165"/>
    <w:rsid w:val="005251CE"/>
    <w:rsid w:val="00525268"/>
    <w:rsid w:val="00525535"/>
    <w:rsid w:val="00525586"/>
    <w:rsid w:val="005255C0"/>
    <w:rsid w:val="005255CB"/>
    <w:rsid w:val="005255D9"/>
    <w:rsid w:val="005256AA"/>
    <w:rsid w:val="00525853"/>
    <w:rsid w:val="0052596C"/>
    <w:rsid w:val="00525A2F"/>
    <w:rsid w:val="00525B07"/>
    <w:rsid w:val="00525C3B"/>
    <w:rsid w:val="00525C9D"/>
    <w:rsid w:val="00525CD9"/>
    <w:rsid w:val="00525D1A"/>
    <w:rsid w:val="00525E9C"/>
    <w:rsid w:val="00525E9D"/>
    <w:rsid w:val="00525E9F"/>
    <w:rsid w:val="00525FD5"/>
    <w:rsid w:val="00525FDF"/>
    <w:rsid w:val="005260DB"/>
    <w:rsid w:val="0052624A"/>
    <w:rsid w:val="00526273"/>
    <w:rsid w:val="00526278"/>
    <w:rsid w:val="0052629E"/>
    <w:rsid w:val="005262EB"/>
    <w:rsid w:val="005262ED"/>
    <w:rsid w:val="0052636D"/>
    <w:rsid w:val="00526456"/>
    <w:rsid w:val="00526518"/>
    <w:rsid w:val="00526652"/>
    <w:rsid w:val="005266D3"/>
    <w:rsid w:val="0052683B"/>
    <w:rsid w:val="005268C2"/>
    <w:rsid w:val="005268F9"/>
    <w:rsid w:val="00526989"/>
    <w:rsid w:val="005269BE"/>
    <w:rsid w:val="00526C1E"/>
    <w:rsid w:val="00526D26"/>
    <w:rsid w:val="00526E61"/>
    <w:rsid w:val="00526EAB"/>
    <w:rsid w:val="005270A4"/>
    <w:rsid w:val="005270BE"/>
    <w:rsid w:val="00527134"/>
    <w:rsid w:val="005271A0"/>
    <w:rsid w:val="005272A7"/>
    <w:rsid w:val="005272EC"/>
    <w:rsid w:val="0052732B"/>
    <w:rsid w:val="00527427"/>
    <w:rsid w:val="00527465"/>
    <w:rsid w:val="005274A5"/>
    <w:rsid w:val="00527558"/>
    <w:rsid w:val="005275F0"/>
    <w:rsid w:val="00527609"/>
    <w:rsid w:val="00527840"/>
    <w:rsid w:val="00527856"/>
    <w:rsid w:val="005279B7"/>
    <w:rsid w:val="00527AAE"/>
    <w:rsid w:val="00527ACB"/>
    <w:rsid w:val="00527B49"/>
    <w:rsid w:val="00527BE6"/>
    <w:rsid w:val="00527C15"/>
    <w:rsid w:val="00527D05"/>
    <w:rsid w:val="00527D36"/>
    <w:rsid w:val="00527D7F"/>
    <w:rsid w:val="00527E24"/>
    <w:rsid w:val="0053007E"/>
    <w:rsid w:val="005300A4"/>
    <w:rsid w:val="005300E7"/>
    <w:rsid w:val="00530192"/>
    <w:rsid w:val="00530285"/>
    <w:rsid w:val="00530422"/>
    <w:rsid w:val="0053046F"/>
    <w:rsid w:val="00530493"/>
    <w:rsid w:val="0053053D"/>
    <w:rsid w:val="00530552"/>
    <w:rsid w:val="005305B0"/>
    <w:rsid w:val="005305FC"/>
    <w:rsid w:val="005306D0"/>
    <w:rsid w:val="0053082D"/>
    <w:rsid w:val="00530A40"/>
    <w:rsid w:val="00530A8D"/>
    <w:rsid w:val="00530ACD"/>
    <w:rsid w:val="00530BE5"/>
    <w:rsid w:val="00530C02"/>
    <w:rsid w:val="00530D7F"/>
    <w:rsid w:val="005310E5"/>
    <w:rsid w:val="0053110D"/>
    <w:rsid w:val="00531321"/>
    <w:rsid w:val="00531325"/>
    <w:rsid w:val="0053132B"/>
    <w:rsid w:val="00531405"/>
    <w:rsid w:val="00531478"/>
    <w:rsid w:val="0053152A"/>
    <w:rsid w:val="0053158E"/>
    <w:rsid w:val="0053159A"/>
    <w:rsid w:val="005315B2"/>
    <w:rsid w:val="005315C5"/>
    <w:rsid w:val="00531626"/>
    <w:rsid w:val="00531658"/>
    <w:rsid w:val="00531684"/>
    <w:rsid w:val="0053175C"/>
    <w:rsid w:val="0053184F"/>
    <w:rsid w:val="005318BC"/>
    <w:rsid w:val="005319C2"/>
    <w:rsid w:val="00531B71"/>
    <w:rsid w:val="00531BEC"/>
    <w:rsid w:val="00531BF4"/>
    <w:rsid w:val="00531C4D"/>
    <w:rsid w:val="00531CE8"/>
    <w:rsid w:val="00531CFA"/>
    <w:rsid w:val="00531D47"/>
    <w:rsid w:val="00531D8A"/>
    <w:rsid w:val="00531E73"/>
    <w:rsid w:val="00531EDE"/>
    <w:rsid w:val="00531F45"/>
    <w:rsid w:val="00531FBF"/>
    <w:rsid w:val="00531FC1"/>
    <w:rsid w:val="00532002"/>
    <w:rsid w:val="005320E0"/>
    <w:rsid w:val="005320E1"/>
    <w:rsid w:val="00532227"/>
    <w:rsid w:val="005323B3"/>
    <w:rsid w:val="005323BB"/>
    <w:rsid w:val="0053240E"/>
    <w:rsid w:val="005324D0"/>
    <w:rsid w:val="00532584"/>
    <w:rsid w:val="005328AE"/>
    <w:rsid w:val="0053291B"/>
    <w:rsid w:val="00532948"/>
    <w:rsid w:val="00532B3A"/>
    <w:rsid w:val="00532CEF"/>
    <w:rsid w:val="00532EB8"/>
    <w:rsid w:val="00532F72"/>
    <w:rsid w:val="00532F83"/>
    <w:rsid w:val="00532FA5"/>
    <w:rsid w:val="00533122"/>
    <w:rsid w:val="005331B0"/>
    <w:rsid w:val="005331BA"/>
    <w:rsid w:val="005331D0"/>
    <w:rsid w:val="00533273"/>
    <w:rsid w:val="005332AC"/>
    <w:rsid w:val="00533310"/>
    <w:rsid w:val="00533396"/>
    <w:rsid w:val="005333E0"/>
    <w:rsid w:val="00533405"/>
    <w:rsid w:val="00533482"/>
    <w:rsid w:val="005334B6"/>
    <w:rsid w:val="005335E9"/>
    <w:rsid w:val="00533696"/>
    <w:rsid w:val="005336D3"/>
    <w:rsid w:val="005336FC"/>
    <w:rsid w:val="0053373E"/>
    <w:rsid w:val="005337FB"/>
    <w:rsid w:val="005338B5"/>
    <w:rsid w:val="00533951"/>
    <w:rsid w:val="005339A1"/>
    <w:rsid w:val="00533AC6"/>
    <w:rsid w:val="00533AD5"/>
    <w:rsid w:val="00533AD6"/>
    <w:rsid w:val="00533B8F"/>
    <w:rsid w:val="00533BAB"/>
    <w:rsid w:val="00533C2F"/>
    <w:rsid w:val="00533C93"/>
    <w:rsid w:val="00533D71"/>
    <w:rsid w:val="00533E28"/>
    <w:rsid w:val="00533E92"/>
    <w:rsid w:val="00533FE3"/>
    <w:rsid w:val="005340D6"/>
    <w:rsid w:val="005340FC"/>
    <w:rsid w:val="005342AC"/>
    <w:rsid w:val="005342FC"/>
    <w:rsid w:val="005345A6"/>
    <w:rsid w:val="005345F6"/>
    <w:rsid w:val="005345F7"/>
    <w:rsid w:val="00534641"/>
    <w:rsid w:val="0053469F"/>
    <w:rsid w:val="005347B3"/>
    <w:rsid w:val="00534816"/>
    <w:rsid w:val="0053481B"/>
    <w:rsid w:val="00534AC0"/>
    <w:rsid w:val="00534BBF"/>
    <w:rsid w:val="00534BF1"/>
    <w:rsid w:val="00534D22"/>
    <w:rsid w:val="00534D6A"/>
    <w:rsid w:val="00534DA0"/>
    <w:rsid w:val="00534DA6"/>
    <w:rsid w:val="00534DB0"/>
    <w:rsid w:val="00534E87"/>
    <w:rsid w:val="00534F2E"/>
    <w:rsid w:val="00535001"/>
    <w:rsid w:val="0053505A"/>
    <w:rsid w:val="00535097"/>
    <w:rsid w:val="00535130"/>
    <w:rsid w:val="0053517F"/>
    <w:rsid w:val="0053519B"/>
    <w:rsid w:val="005352B9"/>
    <w:rsid w:val="005352C3"/>
    <w:rsid w:val="005352CC"/>
    <w:rsid w:val="00535415"/>
    <w:rsid w:val="005354EC"/>
    <w:rsid w:val="00535505"/>
    <w:rsid w:val="00535564"/>
    <w:rsid w:val="0053558B"/>
    <w:rsid w:val="005355B0"/>
    <w:rsid w:val="0053563B"/>
    <w:rsid w:val="0053569F"/>
    <w:rsid w:val="0053590B"/>
    <w:rsid w:val="00535945"/>
    <w:rsid w:val="00535A94"/>
    <w:rsid w:val="00535B22"/>
    <w:rsid w:val="00535BD2"/>
    <w:rsid w:val="00535C20"/>
    <w:rsid w:val="00535CA5"/>
    <w:rsid w:val="00535DE6"/>
    <w:rsid w:val="00535E57"/>
    <w:rsid w:val="00535EB5"/>
    <w:rsid w:val="00535F88"/>
    <w:rsid w:val="00536026"/>
    <w:rsid w:val="005360E9"/>
    <w:rsid w:val="005361B1"/>
    <w:rsid w:val="0053635F"/>
    <w:rsid w:val="00536492"/>
    <w:rsid w:val="005366B7"/>
    <w:rsid w:val="00536718"/>
    <w:rsid w:val="00536847"/>
    <w:rsid w:val="00536881"/>
    <w:rsid w:val="005369F5"/>
    <w:rsid w:val="00536A72"/>
    <w:rsid w:val="00536A90"/>
    <w:rsid w:val="00536AF6"/>
    <w:rsid w:val="00536BBB"/>
    <w:rsid w:val="00536BD7"/>
    <w:rsid w:val="00536BF1"/>
    <w:rsid w:val="00536C4B"/>
    <w:rsid w:val="00536C73"/>
    <w:rsid w:val="00536D38"/>
    <w:rsid w:val="005370F3"/>
    <w:rsid w:val="005370FA"/>
    <w:rsid w:val="00537134"/>
    <w:rsid w:val="005371E4"/>
    <w:rsid w:val="0053723A"/>
    <w:rsid w:val="00537430"/>
    <w:rsid w:val="0053753D"/>
    <w:rsid w:val="0053755D"/>
    <w:rsid w:val="00537590"/>
    <w:rsid w:val="00537642"/>
    <w:rsid w:val="005377A4"/>
    <w:rsid w:val="005377D6"/>
    <w:rsid w:val="005377F9"/>
    <w:rsid w:val="00537876"/>
    <w:rsid w:val="0053794C"/>
    <w:rsid w:val="005379CF"/>
    <w:rsid w:val="00537A47"/>
    <w:rsid w:val="00537A7B"/>
    <w:rsid w:val="00537B84"/>
    <w:rsid w:val="00537C09"/>
    <w:rsid w:val="00537C99"/>
    <w:rsid w:val="00537CA7"/>
    <w:rsid w:val="00537CCD"/>
    <w:rsid w:val="00537E15"/>
    <w:rsid w:val="00537E30"/>
    <w:rsid w:val="00537F3C"/>
    <w:rsid w:val="00540061"/>
    <w:rsid w:val="005400A2"/>
    <w:rsid w:val="005402E3"/>
    <w:rsid w:val="00540587"/>
    <w:rsid w:val="005405EA"/>
    <w:rsid w:val="00540769"/>
    <w:rsid w:val="0054091C"/>
    <w:rsid w:val="00540939"/>
    <w:rsid w:val="005409CA"/>
    <w:rsid w:val="00540A2F"/>
    <w:rsid w:val="00540AE4"/>
    <w:rsid w:val="00540DD1"/>
    <w:rsid w:val="00540DDD"/>
    <w:rsid w:val="00540EC7"/>
    <w:rsid w:val="00540F46"/>
    <w:rsid w:val="00540F59"/>
    <w:rsid w:val="00540FE6"/>
    <w:rsid w:val="00541081"/>
    <w:rsid w:val="0054117C"/>
    <w:rsid w:val="00541229"/>
    <w:rsid w:val="0054136F"/>
    <w:rsid w:val="0054137F"/>
    <w:rsid w:val="0054145F"/>
    <w:rsid w:val="005414DD"/>
    <w:rsid w:val="005414FC"/>
    <w:rsid w:val="00541759"/>
    <w:rsid w:val="005418EF"/>
    <w:rsid w:val="00541A2B"/>
    <w:rsid w:val="00541B6E"/>
    <w:rsid w:val="00541BCA"/>
    <w:rsid w:val="00541C8F"/>
    <w:rsid w:val="00541DCA"/>
    <w:rsid w:val="00541F25"/>
    <w:rsid w:val="00541F8A"/>
    <w:rsid w:val="00541FDF"/>
    <w:rsid w:val="00542075"/>
    <w:rsid w:val="0054217E"/>
    <w:rsid w:val="005421FF"/>
    <w:rsid w:val="0054246C"/>
    <w:rsid w:val="00542479"/>
    <w:rsid w:val="00542489"/>
    <w:rsid w:val="0054252A"/>
    <w:rsid w:val="00542551"/>
    <w:rsid w:val="00542572"/>
    <w:rsid w:val="00542693"/>
    <w:rsid w:val="0054273E"/>
    <w:rsid w:val="0054286D"/>
    <w:rsid w:val="00542887"/>
    <w:rsid w:val="0054296D"/>
    <w:rsid w:val="00542985"/>
    <w:rsid w:val="005429CD"/>
    <w:rsid w:val="005429FE"/>
    <w:rsid w:val="00542A4A"/>
    <w:rsid w:val="00542B8A"/>
    <w:rsid w:val="00542BA9"/>
    <w:rsid w:val="00542CCE"/>
    <w:rsid w:val="00542D03"/>
    <w:rsid w:val="00542F07"/>
    <w:rsid w:val="00542F52"/>
    <w:rsid w:val="00543117"/>
    <w:rsid w:val="005432B6"/>
    <w:rsid w:val="005432D8"/>
    <w:rsid w:val="0054330D"/>
    <w:rsid w:val="0054335B"/>
    <w:rsid w:val="005434A1"/>
    <w:rsid w:val="0054363B"/>
    <w:rsid w:val="00543719"/>
    <w:rsid w:val="005437E6"/>
    <w:rsid w:val="00543882"/>
    <w:rsid w:val="00543987"/>
    <w:rsid w:val="00543AD7"/>
    <w:rsid w:val="00543AE9"/>
    <w:rsid w:val="00543D45"/>
    <w:rsid w:val="00543DE1"/>
    <w:rsid w:val="00544018"/>
    <w:rsid w:val="0054405F"/>
    <w:rsid w:val="00544249"/>
    <w:rsid w:val="00544431"/>
    <w:rsid w:val="00544440"/>
    <w:rsid w:val="00544490"/>
    <w:rsid w:val="00544493"/>
    <w:rsid w:val="00544498"/>
    <w:rsid w:val="0054452A"/>
    <w:rsid w:val="0054453D"/>
    <w:rsid w:val="005445E7"/>
    <w:rsid w:val="00544670"/>
    <w:rsid w:val="0054489F"/>
    <w:rsid w:val="00544968"/>
    <w:rsid w:val="00544A18"/>
    <w:rsid w:val="00544A1F"/>
    <w:rsid w:val="00544AD2"/>
    <w:rsid w:val="00544C10"/>
    <w:rsid w:val="00544CF9"/>
    <w:rsid w:val="00544D4C"/>
    <w:rsid w:val="00544E9A"/>
    <w:rsid w:val="00545131"/>
    <w:rsid w:val="0054518B"/>
    <w:rsid w:val="0054523F"/>
    <w:rsid w:val="005452BA"/>
    <w:rsid w:val="005452BE"/>
    <w:rsid w:val="005452FF"/>
    <w:rsid w:val="005454C1"/>
    <w:rsid w:val="005454F5"/>
    <w:rsid w:val="00545517"/>
    <w:rsid w:val="005456AD"/>
    <w:rsid w:val="00545702"/>
    <w:rsid w:val="0054573E"/>
    <w:rsid w:val="0054583C"/>
    <w:rsid w:val="00545842"/>
    <w:rsid w:val="00545AD7"/>
    <w:rsid w:val="00545B16"/>
    <w:rsid w:val="00545C19"/>
    <w:rsid w:val="00545C4C"/>
    <w:rsid w:val="00545C68"/>
    <w:rsid w:val="00545CD5"/>
    <w:rsid w:val="00545D9C"/>
    <w:rsid w:val="00545DB0"/>
    <w:rsid w:val="00545E04"/>
    <w:rsid w:val="00545E62"/>
    <w:rsid w:val="00545E93"/>
    <w:rsid w:val="00545EAE"/>
    <w:rsid w:val="00545FF9"/>
    <w:rsid w:val="0054608B"/>
    <w:rsid w:val="005460E8"/>
    <w:rsid w:val="0054612B"/>
    <w:rsid w:val="005462DD"/>
    <w:rsid w:val="00546330"/>
    <w:rsid w:val="005463BA"/>
    <w:rsid w:val="00546683"/>
    <w:rsid w:val="00546704"/>
    <w:rsid w:val="00546832"/>
    <w:rsid w:val="00546872"/>
    <w:rsid w:val="005469AC"/>
    <w:rsid w:val="005469BD"/>
    <w:rsid w:val="00546B2A"/>
    <w:rsid w:val="00546C3D"/>
    <w:rsid w:val="00546C4C"/>
    <w:rsid w:val="00546C6E"/>
    <w:rsid w:val="00546CA8"/>
    <w:rsid w:val="00546CFF"/>
    <w:rsid w:val="00546D15"/>
    <w:rsid w:val="00546D41"/>
    <w:rsid w:val="00546D55"/>
    <w:rsid w:val="00546DB6"/>
    <w:rsid w:val="00546E5B"/>
    <w:rsid w:val="00546E6E"/>
    <w:rsid w:val="00546F2F"/>
    <w:rsid w:val="00546FC9"/>
    <w:rsid w:val="00547057"/>
    <w:rsid w:val="00547345"/>
    <w:rsid w:val="005473B3"/>
    <w:rsid w:val="00547449"/>
    <w:rsid w:val="005474B0"/>
    <w:rsid w:val="005474E1"/>
    <w:rsid w:val="0054758E"/>
    <w:rsid w:val="005476EB"/>
    <w:rsid w:val="005477A0"/>
    <w:rsid w:val="005477D4"/>
    <w:rsid w:val="005477D9"/>
    <w:rsid w:val="005478A3"/>
    <w:rsid w:val="005478D2"/>
    <w:rsid w:val="005478F1"/>
    <w:rsid w:val="00547C73"/>
    <w:rsid w:val="00547D29"/>
    <w:rsid w:val="00547D3C"/>
    <w:rsid w:val="00547DA5"/>
    <w:rsid w:val="00547E54"/>
    <w:rsid w:val="00547E72"/>
    <w:rsid w:val="00547E8B"/>
    <w:rsid w:val="00547EF0"/>
    <w:rsid w:val="0055009D"/>
    <w:rsid w:val="005500E3"/>
    <w:rsid w:val="005500E6"/>
    <w:rsid w:val="005500F1"/>
    <w:rsid w:val="00550141"/>
    <w:rsid w:val="00550149"/>
    <w:rsid w:val="00550168"/>
    <w:rsid w:val="005503BA"/>
    <w:rsid w:val="00550643"/>
    <w:rsid w:val="00550644"/>
    <w:rsid w:val="005506DD"/>
    <w:rsid w:val="0055072E"/>
    <w:rsid w:val="0055092C"/>
    <w:rsid w:val="005509C6"/>
    <w:rsid w:val="00550D00"/>
    <w:rsid w:val="00550D3A"/>
    <w:rsid w:val="00550E1F"/>
    <w:rsid w:val="00550EC2"/>
    <w:rsid w:val="00550EC7"/>
    <w:rsid w:val="00551034"/>
    <w:rsid w:val="00551131"/>
    <w:rsid w:val="00551167"/>
    <w:rsid w:val="005512AB"/>
    <w:rsid w:val="0055146A"/>
    <w:rsid w:val="0055148D"/>
    <w:rsid w:val="005514CC"/>
    <w:rsid w:val="00551541"/>
    <w:rsid w:val="005515CB"/>
    <w:rsid w:val="00551881"/>
    <w:rsid w:val="0055195D"/>
    <w:rsid w:val="00551A3C"/>
    <w:rsid w:val="00551A5C"/>
    <w:rsid w:val="00551AB6"/>
    <w:rsid w:val="00551C12"/>
    <w:rsid w:val="00551CEE"/>
    <w:rsid w:val="00551EBB"/>
    <w:rsid w:val="00551F7A"/>
    <w:rsid w:val="00552048"/>
    <w:rsid w:val="00552092"/>
    <w:rsid w:val="005520C5"/>
    <w:rsid w:val="0055217E"/>
    <w:rsid w:val="005521BB"/>
    <w:rsid w:val="00552331"/>
    <w:rsid w:val="0055247B"/>
    <w:rsid w:val="005524F8"/>
    <w:rsid w:val="00552592"/>
    <w:rsid w:val="005525FB"/>
    <w:rsid w:val="00552617"/>
    <w:rsid w:val="0055265B"/>
    <w:rsid w:val="0055265E"/>
    <w:rsid w:val="00552781"/>
    <w:rsid w:val="005527DA"/>
    <w:rsid w:val="005528A4"/>
    <w:rsid w:val="005528DC"/>
    <w:rsid w:val="005528E4"/>
    <w:rsid w:val="0055292A"/>
    <w:rsid w:val="005529B5"/>
    <w:rsid w:val="005529C1"/>
    <w:rsid w:val="005529CC"/>
    <w:rsid w:val="00552ADF"/>
    <w:rsid w:val="00552AEC"/>
    <w:rsid w:val="00552B45"/>
    <w:rsid w:val="00552B8D"/>
    <w:rsid w:val="00552B90"/>
    <w:rsid w:val="00552BD3"/>
    <w:rsid w:val="00552D3A"/>
    <w:rsid w:val="00552D8A"/>
    <w:rsid w:val="00552E52"/>
    <w:rsid w:val="00552E65"/>
    <w:rsid w:val="00552F9A"/>
    <w:rsid w:val="005530C5"/>
    <w:rsid w:val="005530E5"/>
    <w:rsid w:val="0055323A"/>
    <w:rsid w:val="005532B6"/>
    <w:rsid w:val="00553335"/>
    <w:rsid w:val="005533C2"/>
    <w:rsid w:val="005534A2"/>
    <w:rsid w:val="0055353D"/>
    <w:rsid w:val="005535B0"/>
    <w:rsid w:val="00553787"/>
    <w:rsid w:val="00553939"/>
    <w:rsid w:val="005539D2"/>
    <w:rsid w:val="00553AF5"/>
    <w:rsid w:val="00553BDC"/>
    <w:rsid w:val="00553C4B"/>
    <w:rsid w:val="00553C89"/>
    <w:rsid w:val="00553D36"/>
    <w:rsid w:val="00553EBC"/>
    <w:rsid w:val="00553F8D"/>
    <w:rsid w:val="00553FA9"/>
    <w:rsid w:val="00554069"/>
    <w:rsid w:val="00554081"/>
    <w:rsid w:val="0055430C"/>
    <w:rsid w:val="005543B1"/>
    <w:rsid w:val="005543B4"/>
    <w:rsid w:val="0055445C"/>
    <w:rsid w:val="00554487"/>
    <w:rsid w:val="005544B0"/>
    <w:rsid w:val="005544CC"/>
    <w:rsid w:val="00554582"/>
    <w:rsid w:val="00554614"/>
    <w:rsid w:val="005546A5"/>
    <w:rsid w:val="005547AB"/>
    <w:rsid w:val="005547C7"/>
    <w:rsid w:val="00554876"/>
    <w:rsid w:val="0055491A"/>
    <w:rsid w:val="00554923"/>
    <w:rsid w:val="00554938"/>
    <w:rsid w:val="00554B85"/>
    <w:rsid w:val="00554C47"/>
    <w:rsid w:val="00554C76"/>
    <w:rsid w:val="00554D2D"/>
    <w:rsid w:val="00554D72"/>
    <w:rsid w:val="00554E3C"/>
    <w:rsid w:val="00554EF9"/>
    <w:rsid w:val="00555242"/>
    <w:rsid w:val="00555425"/>
    <w:rsid w:val="005554FE"/>
    <w:rsid w:val="0055552E"/>
    <w:rsid w:val="0055553B"/>
    <w:rsid w:val="00555584"/>
    <w:rsid w:val="005557C5"/>
    <w:rsid w:val="005558B8"/>
    <w:rsid w:val="0055599A"/>
    <w:rsid w:val="00555AAC"/>
    <w:rsid w:val="00555B03"/>
    <w:rsid w:val="00555B56"/>
    <w:rsid w:val="00555D02"/>
    <w:rsid w:val="00555DB6"/>
    <w:rsid w:val="00555DC0"/>
    <w:rsid w:val="00555E4B"/>
    <w:rsid w:val="00555FB8"/>
    <w:rsid w:val="00556023"/>
    <w:rsid w:val="005562CE"/>
    <w:rsid w:val="00556381"/>
    <w:rsid w:val="00556467"/>
    <w:rsid w:val="005564F6"/>
    <w:rsid w:val="00556656"/>
    <w:rsid w:val="00556713"/>
    <w:rsid w:val="00556714"/>
    <w:rsid w:val="0055683A"/>
    <w:rsid w:val="00556868"/>
    <w:rsid w:val="00556892"/>
    <w:rsid w:val="005569B3"/>
    <w:rsid w:val="00556A37"/>
    <w:rsid w:val="00556C00"/>
    <w:rsid w:val="00556C43"/>
    <w:rsid w:val="00556D14"/>
    <w:rsid w:val="00556D54"/>
    <w:rsid w:val="00556E8E"/>
    <w:rsid w:val="00556ED3"/>
    <w:rsid w:val="00556F42"/>
    <w:rsid w:val="00557039"/>
    <w:rsid w:val="005570ED"/>
    <w:rsid w:val="00557113"/>
    <w:rsid w:val="005571B9"/>
    <w:rsid w:val="0055723B"/>
    <w:rsid w:val="00557303"/>
    <w:rsid w:val="00557375"/>
    <w:rsid w:val="00557434"/>
    <w:rsid w:val="005574E0"/>
    <w:rsid w:val="00557511"/>
    <w:rsid w:val="0055765B"/>
    <w:rsid w:val="0055792C"/>
    <w:rsid w:val="00557A20"/>
    <w:rsid w:val="00557A33"/>
    <w:rsid w:val="00557A61"/>
    <w:rsid w:val="00557AC2"/>
    <w:rsid w:val="00557C04"/>
    <w:rsid w:val="00557DE7"/>
    <w:rsid w:val="00557F80"/>
    <w:rsid w:val="0056001B"/>
    <w:rsid w:val="005600E2"/>
    <w:rsid w:val="00560132"/>
    <w:rsid w:val="0056016D"/>
    <w:rsid w:val="00560173"/>
    <w:rsid w:val="0056019E"/>
    <w:rsid w:val="005601C0"/>
    <w:rsid w:val="0056022C"/>
    <w:rsid w:val="0056026B"/>
    <w:rsid w:val="00560295"/>
    <w:rsid w:val="0056063F"/>
    <w:rsid w:val="0056069F"/>
    <w:rsid w:val="00560701"/>
    <w:rsid w:val="0056072A"/>
    <w:rsid w:val="0056085F"/>
    <w:rsid w:val="005608D7"/>
    <w:rsid w:val="00560911"/>
    <w:rsid w:val="0056094B"/>
    <w:rsid w:val="00560959"/>
    <w:rsid w:val="005609FD"/>
    <w:rsid w:val="00560BF7"/>
    <w:rsid w:val="00560C84"/>
    <w:rsid w:val="00560CD4"/>
    <w:rsid w:val="00560D1E"/>
    <w:rsid w:val="00560D2F"/>
    <w:rsid w:val="00560D56"/>
    <w:rsid w:val="00560ED7"/>
    <w:rsid w:val="00561057"/>
    <w:rsid w:val="00561061"/>
    <w:rsid w:val="00561081"/>
    <w:rsid w:val="005610F0"/>
    <w:rsid w:val="00561112"/>
    <w:rsid w:val="00561136"/>
    <w:rsid w:val="00561420"/>
    <w:rsid w:val="0056163D"/>
    <w:rsid w:val="00561775"/>
    <w:rsid w:val="005617D9"/>
    <w:rsid w:val="00561823"/>
    <w:rsid w:val="00561858"/>
    <w:rsid w:val="005618AC"/>
    <w:rsid w:val="005618BD"/>
    <w:rsid w:val="00561943"/>
    <w:rsid w:val="00561C2C"/>
    <w:rsid w:val="00561CBC"/>
    <w:rsid w:val="00561CC9"/>
    <w:rsid w:val="00561CD0"/>
    <w:rsid w:val="00561D65"/>
    <w:rsid w:val="00561DE8"/>
    <w:rsid w:val="00561E4C"/>
    <w:rsid w:val="00561E5F"/>
    <w:rsid w:val="00561F24"/>
    <w:rsid w:val="00561F5B"/>
    <w:rsid w:val="00562033"/>
    <w:rsid w:val="005622B5"/>
    <w:rsid w:val="0056237E"/>
    <w:rsid w:val="0056249C"/>
    <w:rsid w:val="00562699"/>
    <w:rsid w:val="005626B3"/>
    <w:rsid w:val="005626C2"/>
    <w:rsid w:val="005627C6"/>
    <w:rsid w:val="0056285C"/>
    <w:rsid w:val="005628D6"/>
    <w:rsid w:val="005628F2"/>
    <w:rsid w:val="00562ACE"/>
    <w:rsid w:val="00562BC0"/>
    <w:rsid w:val="00562BE0"/>
    <w:rsid w:val="00562C50"/>
    <w:rsid w:val="00562E32"/>
    <w:rsid w:val="00562FF2"/>
    <w:rsid w:val="005631BB"/>
    <w:rsid w:val="00563367"/>
    <w:rsid w:val="00563371"/>
    <w:rsid w:val="005633DE"/>
    <w:rsid w:val="005634B0"/>
    <w:rsid w:val="00563500"/>
    <w:rsid w:val="005635C2"/>
    <w:rsid w:val="005637D1"/>
    <w:rsid w:val="005638DE"/>
    <w:rsid w:val="00563D0D"/>
    <w:rsid w:val="00563D62"/>
    <w:rsid w:val="00563F26"/>
    <w:rsid w:val="005640EC"/>
    <w:rsid w:val="0056446C"/>
    <w:rsid w:val="00564572"/>
    <w:rsid w:val="0056463B"/>
    <w:rsid w:val="00564654"/>
    <w:rsid w:val="0056468D"/>
    <w:rsid w:val="0056470A"/>
    <w:rsid w:val="005647B4"/>
    <w:rsid w:val="0056480D"/>
    <w:rsid w:val="005648E1"/>
    <w:rsid w:val="00564918"/>
    <w:rsid w:val="00564971"/>
    <w:rsid w:val="00564A0D"/>
    <w:rsid w:val="00564A20"/>
    <w:rsid w:val="00564CD7"/>
    <w:rsid w:val="00564D1E"/>
    <w:rsid w:val="00564D57"/>
    <w:rsid w:val="005650C4"/>
    <w:rsid w:val="00565119"/>
    <w:rsid w:val="005651EE"/>
    <w:rsid w:val="0056524B"/>
    <w:rsid w:val="00565368"/>
    <w:rsid w:val="005654A0"/>
    <w:rsid w:val="005654D8"/>
    <w:rsid w:val="0056550F"/>
    <w:rsid w:val="005655F0"/>
    <w:rsid w:val="00565641"/>
    <w:rsid w:val="00565667"/>
    <w:rsid w:val="00565780"/>
    <w:rsid w:val="00565A8E"/>
    <w:rsid w:val="00565B26"/>
    <w:rsid w:val="00565B33"/>
    <w:rsid w:val="00565B6D"/>
    <w:rsid w:val="00565BB9"/>
    <w:rsid w:val="00565BDA"/>
    <w:rsid w:val="00565BEB"/>
    <w:rsid w:val="00565C64"/>
    <w:rsid w:val="00565C92"/>
    <w:rsid w:val="00565CA1"/>
    <w:rsid w:val="00565CB1"/>
    <w:rsid w:val="00565CE1"/>
    <w:rsid w:val="00565D00"/>
    <w:rsid w:val="00565D5A"/>
    <w:rsid w:val="00565E4D"/>
    <w:rsid w:val="00565EA0"/>
    <w:rsid w:val="00565F9F"/>
    <w:rsid w:val="00566065"/>
    <w:rsid w:val="005661C5"/>
    <w:rsid w:val="005662AC"/>
    <w:rsid w:val="0056639F"/>
    <w:rsid w:val="0056656A"/>
    <w:rsid w:val="005665FA"/>
    <w:rsid w:val="005666DB"/>
    <w:rsid w:val="005668DF"/>
    <w:rsid w:val="0056693D"/>
    <w:rsid w:val="0056698C"/>
    <w:rsid w:val="00566A40"/>
    <w:rsid w:val="00566AA4"/>
    <w:rsid w:val="00566B01"/>
    <w:rsid w:val="00566B30"/>
    <w:rsid w:val="00566D7A"/>
    <w:rsid w:val="00566DD2"/>
    <w:rsid w:val="00566E1E"/>
    <w:rsid w:val="00566F1D"/>
    <w:rsid w:val="00566F25"/>
    <w:rsid w:val="00566F3A"/>
    <w:rsid w:val="00566FB1"/>
    <w:rsid w:val="00567027"/>
    <w:rsid w:val="00567046"/>
    <w:rsid w:val="00567192"/>
    <w:rsid w:val="005671E9"/>
    <w:rsid w:val="00567245"/>
    <w:rsid w:val="005673FF"/>
    <w:rsid w:val="005674F7"/>
    <w:rsid w:val="00567624"/>
    <w:rsid w:val="005676FF"/>
    <w:rsid w:val="00567724"/>
    <w:rsid w:val="005677AD"/>
    <w:rsid w:val="005677FE"/>
    <w:rsid w:val="005678BF"/>
    <w:rsid w:val="00567900"/>
    <w:rsid w:val="00567911"/>
    <w:rsid w:val="00567988"/>
    <w:rsid w:val="005679CF"/>
    <w:rsid w:val="00567A55"/>
    <w:rsid w:val="00567AA3"/>
    <w:rsid w:val="00567B7A"/>
    <w:rsid w:val="00567DC3"/>
    <w:rsid w:val="00567E2E"/>
    <w:rsid w:val="00567FA9"/>
    <w:rsid w:val="0057002B"/>
    <w:rsid w:val="0057007C"/>
    <w:rsid w:val="00570242"/>
    <w:rsid w:val="005702A2"/>
    <w:rsid w:val="005702BB"/>
    <w:rsid w:val="005702ED"/>
    <w:rsid w:val="00570413"/>
    <w:rsid w:val="00570467"/>
    <w:rsid w:val="00570484"/>
    <w:rsid w:val="00570553"/>
    <w:rsid w:val="005705B1"/>
    <w:rsid w:val="00570666"/>
    <w:rsid w:val="00570691"/>
    <w:rsid w:val="0057077C"/>
    <w:rsid w:val="00570781"/>
    <w:rsid w:val="00570786"/>
    <w:rsid w:val="005707C8"/>
    <w:rsid w:val="0057097F"/>
    <w:rsid w:val="005709FD"/>
    <w:rsid w:val="00570A25"/>
    <w:rsid w:val="00570BAD"/>
    <w:rsid w:val="00570C42"/>
    <w:rsid w:val="00570D28"/>
    <w:rsid w:val="00570DCB"/>
    <w:rsid w:val="00570EDC"/>
    <w:rsid w:val="00570FA4"/>
    <w:rsid w:val="0057105E"/>
    <w:rsid w:val="0057110C"/>
    <w:rsid w:val="005712EB"/>
    <w:rsid w:val="0057144B"/>
    <w:rsid w:val="00571509"/>
    <w:rsid w:val="005717CB"/>
    <w:rsid w:val="00571968"/>
    <w:rsid w:val="005719CC"/>
    <w:rsid w:val="005719E1"/>
    <w:rsid w:val="00571AAE"/>
    <w:rsid w:val="00571C8B"/>
    <w:rsid w:val="00571D1C"/>
    <w:rsid w:val="00571DF7"/>
    <w:rsid w:val="00571EE4"/>
    <w:rsid w:val="005720B9"/>
    <w:rsid w:val="00572177"/>
    <w:rsid w:val="0057235D"/>
    <w:rsid w:val="005723D2"/>
    <w:rsid w:val="0057255F"/>
    <w:rsid w:val="005727B2"/>
    <w:rsid w:val="00572868"/>
    <w:rsid w:val="005728CB"/>
    <w:rsid w:val="00572B0D"/>
    <w:rsid w:val="00572B3E"/>
    <w:rsid w:val="00572C31"/>
    <w:rsid w:val="00572D02"/>
    <w:rsid w:val="005730BB"/>
    <w:rsid w:val="005730E1"/>
    <w:rsid w:val="0057319F"/>
    <w:rsid w:val="005731A3"/>
    <w:rsid w:val="00573268"/>
    <w:rsid w:val="005733A0"/>
    <w:rsid w:val="00573405"/>
    <w:rsid w:val="0057346A"/>
    <w:rsid w:val="005735AF"/>
    <w:rsid w:val="00573622"/>
    <w:rsid w:val="005737AD"/>
    <w:rsid w:val="005738BD"/>
    <w:rsid w:val="00573945"/>
    <w:rsid w:val="00573947"/>
    <w:rsid w:val="0057399C"/>
    <w:rsid w:val="00573A21"/>
    <w:rsid w:val="00573A7C"/>
    <w:rsid w:val="00573B73"/>
    <w:rsid w:val="00573C37"/>
    <w:rsid w:val="00573C54"/>
    <w:rsid w:val="00573C75"/>
    <w:rsid w:val="00573D93"/>
    <w:rsid w:val="00573E5D"/>
    <w:rsid w:val="00573E74"/>
    <w:rsid w:val="00573F30"/>
    <w:rsid w:val="00573F79"/>
    <w:rsid w:val="00573FD6"/>
    <w:rsid w:val="00574042"/>
    <w:rsid w:val="0057419C"/>
    <w:rsid w:val="005741AA"/>
    <w:rsid w:val="005742D9"/>
    <w:rsid w:val="00574467"/>
    <w:rsid w:val="00574583"/>
    <w:rsid w:val="005745AB"/>
    <w:rsid w:val="0057461F"/>
    <w:rsid w:val="00574632"/>
    <w:rsid w:val="0057493E"/>
    <w:rsid w:val="00574AD5"/>
    <w:rsid w:val="00574B01"/>
    <w:rsid w:val="00574E58"/>
    <w:rsid w:val="00574FE4"/>
    <w:rsid w:val="0057506F"/>
    <w:rsid w:val="005750B9"/>
    <w:rsid w:val="0057514B"/>
    <w:rsid w:val="00575277"/>
    <w:rsid w:val="0057528B"/>
    <w:rsid w:val="005752E5"/>
    <w:rsid w:val="005753BD"/>
    <w:rsid w:val="00575523"/>
    <w:rsid w:val="005756E8"/>
    <w:rsid w:val="005756FE"/>
    <w:rsid w:val="005757B2"/>
    <w:rsid w:val="005757CB"/>
    <w:rsid w:val="005757D3"/>
    <w:rsid w:val="00575838"/>
    <w:rsid w:val="005758B0"/>
    <w:rsid w:val="005759E7"/>
    <w:rsid w:val="00575A4F"/>
    <w:rsid w:val="00575AC2"/>
    <w:rsid w:val="00575BA5"/>
    <w:rsid w:val="00575C95"/>
    <w:rsid w:val="00575EB8"/>
    <w:rsid w:val="00575F04"/>
    <w:rsid w:val="00575F70"/>
    <w:rsid w:val="00575F7D"/>
    <w:rsid w:val="005761B2"/>
    <w:rsid w:val="00576371"/>
    <w:rsid w:val="005766FF"/>
    <w:rsid w:val="00576751"/>
    <w:rsid w:val="005768E2"/>
    <w:rsid w:val="0057699D"/>
    <w:rsid w:val="00576A72"/>
    <w:rsid w:val="00576B1F"/>
    <w:rsid w:val="00576BBB"/>
    <w:rsid w:val="00576BCE"/>
    <w:rsid w:val="00576BD3"/>
    <w:rsid w:val="00576C01"/>
    <w:rsid w:val="00576CBB"/>
    <w:rsid w:val="00576D2C"/>
    <w:rsid w:val="00576D52"/>
    <w:rsid w:val="00576E69"/>
    <w:rsid w:val="00576F68"/>
    <w:rsid w:val="00577081"/>
    <w:rsid w:val="0057724C"/>
    <w:rsid w:val="0057734B"/>
    <w:rsid w:val="0057746C"/>
    <w:rsid w:val="005774A6"/>
    <w:rsid w:val="00577536"/>
    <w:rsid w:val="005775C5"/>
    <w:rsid w:val="005776C0"/>
    <w:rsid w:val="005776E7"/>
    <w:rsid w:val="005777BE"/>
    <w:rsid w:val="0057791F"/>
    <w:rsid w:val="005779C2"/>
    <w:rsid w:val="00577D80"/>
    <w:rsid w:val="00577E4A"/>
    <w:rsid w:val="0058010C"/>
    <w:rsid w:val="00580137"/>
    <w:rsid w:val="00580219"/>
    <w:rsid w:val="005804FE"/>
    <w:rsid w:val="005805BF"/>
    <w:rsid w:val="0058067A"/>
    <w:rsid w:val="00580753"/>
    <w:rsid w:val="0058085C"/>
    <w:rsid w:val="0058089E"/>
    <w:rsid w:val="00580A95"/>
    <w:rsid w:val="00580AF2"/>
    <w:rsid w:val="00580B82"/>
    <w:rsid w:val="00580BCC"/>
    <w:rsid w:val="00580D3D"/>
    <w:rsid w:val="00580DA3"/>
    <w:rsid w:val="00580DB5"/>
    <w:rsid w:val="00580DDA"/>
    <w:rsid w:val="00580DFC"/>
    <w:rsid w:val="00580E52"/>
    <w:rsid w:val="00580F7F"/>
    <w:rsid w:val="00580FA9"/>
    <w:rsid w:val="005810F4"/>
    <w:rsid w:val="005812C2"/>
    <w:rsid w:val="0058138E"/>
    <w:rsid w:val="00581482"/>
    <w:rsid w:val="00581590"/>
    <w:rsid w:val="005815B8"/>
    <w:rsid w:val="00581682"/>
    <w:rsid w:val="005816E3"/>
    <w:rsid w:val="005816FC"/>
    <w:rsid w:val="00581787"/>
    <w:rsid w:val="0058186F"/>
    <w:rsid w:val="0058191C"/>
    <w:rsid w:val="00581BBA"/>
    <w:rsid w:val="00581BC1"/>
    <w:rsid w:val="00581C32"/>
    <w:rsid w:val="00581CBD"/>
    <w:rsid w:val="00581CF1"/>
    <w:rsid w:val="00581D1E"/>
    <w:rsid w:val="00581DF7"/>
    <w:rsid w:val="00581E85"/>
    <w:rsid w:val="00581E8D"/>
    <w:rsid w:val="0058202E"/>
    <w:rsid w:val="00582030"/>
    <w:rsid w:val="00582058"/>
    <w:rsid w:val="005821AD"/>
    <w:rsid w:val="00582289"/>
    <w:rsid w:val="005822A8"/>
    <w:rsid w:val="005822F7"/>
    <w:rsid w:val="00582390"/>
    <w:rsid w:val="00582465"/>
    <w:rsid w:val="0058255E"/>
    <w:rsid w:val="00582821"/>
    <w:rsid w:val="005828DA"/>
    <w:rsid w:val="005829C6"/>
    <w:rsid w:val="00582BE9"/>
    <w:rsid w:val="00582BF1"/>
    <w:rsid w:val="00582C50"/>
    <w:rsid w:val="00582D2E"/>
    <w:rsid w:val="00582D3D"/>
    <w:rsid w:val="00582DD9"/>
    <w:rsid w:val="00582E01"/>
    <w:rsid w:val="00582EE3"/>
    <w:rsid w:val="00582EF5"/>
    <w:rsid w:val="00582FB3"/>
    <w:rsid w:val="00582FBB"/>
    <w:rsid w:val="00582FFF"/>
    <w:rsid w:val="00583175"/>
    <w:rsid w:val="005831B4"/>
    <w:rsid w:val="005831F2"/>
    <w:rsid w:val="0058326C"/>
    <w:rsid w:val="005832C5"/>
    <w:rsid w:val="00583315"/>
    <w:rsid w:val="0058364E"/>
    <w:rsid w:val="00583693"/>
    <w:rsid w:val="00583700"/>
    <w:rsid w:val="00583705"/>
    <w:rsid w:val="0058372A"/>
    <w:rsid w:val="0058387C"/>
    <w:rsid w:val="005839F0"/>
    <w:rsid w:val="00583A63"/>
    <w:rsid w:val="00583A8B"/>
    <w:rsid w:val="00583AC2"/>
    <w:rsid w:val="00583D25"/>
    <w:rsid w:val="00583D60"/>
    <w:rsid w:val="00583DCD"/>
    <w:rsid w:val="00583E29"/>
    <w:rsid w:val="00583F32"/>
    <w:rsid w:val="00583F3B"/>
    <w:rsid w:val="00583F7E"/>
    <w:rsid w:val="00583FC2"/>
    <w:rsid w:val="005842B3"/>
    <w:rsid w:val="0058436A"/>
    <w:rsid w:val="005843B6"/>
    <w:rsid w:val="0058445D"/>
    <w:rsid w:val="00584582"/>
    <w:rsid w:val="005845C1"/>
    <w:rsid w:val="005845E8"/>
    <w:rsid w:val="00584685"/>
    <w:rsid w:val="005847FB"/>
    <w:rsid w:val="00584B02"/>
    <w:rsid w:val="00584B62"/>
    <w:rsid w:val="00584B78"/>
    <w:rsid w:val="00584D9F"/>
    <w:rsid w:val="00584DC7"/>
    <w:rsid w:val="00584E65"/>
    <w:rsid w:val="00585065"/>
    <w:rsid w:val="005850B4"/>
    <w:rsid w:val="005851BD"/>
    <w:rsid w:val="00585428"/>
    <w:rsid w:val="005854D7"/>
    <w:rsid w:val="00585510"/>
    <w:rsid w:val="00585580"/>
    <w:rsid w:val="005855D2"/>
    <w:rsid w:val="0058569F"/>
    <w:rsid w:val="00585707"/>
    <w:rsid w:val="005857A2"/>
    <w:rsid w:val="005857FC"/>
    <w:rsid w:val="005858BA"/>
    <w:rsid w:val="005858F6"/>
    <w:rsid w:val="0058592C"/>
    <w:rsid w:val="00585B25"/>
    <w:rsid w:val="00585B7D"/>
    <w:rsid w:val="00585DAB"/>
    <w:rsid w:val="00585F04"/>
    <w:rsid w:val="00585F07"/>
    <w:rsid w:val="00585F87"/>
    <w:rsid w:val="005860D6"/>
    <w:rsid w:val="0058610F"/>
    <w:rsid w:val="00586121"/>
    <w:rsid w:val="005861E2"/>
    <w:rsid w:val="00586236"/>
    <w:rsid w:val="00586258"/>
    <w:rsid w:val="00586270"/>
    <w:rsid w:val="00586284"/>
    <w:rsid w:val="005862B3"/>
    <w:rsid w:val="005863EB"/>
    <w:rsid w:val="0058644C"/>
    <w:rsid w:val="0058646D"/>
    <w:rsid w:val="005866EE"/>
    <w:rsid w:val="0058670F"/>
    <w:rsid w:val="00586723"/>
    <w:rsid w:val="00586899"/>
    <w:rsid w:val="005868FD"/>
    <w:rsid w:val="00586911"/>
    <w:rsid w:val="00586965"/>
    <w:rsid w:val="005869AE"/>
    <w:rsid w:val="00586AA8"/>
    <w:rsid w:val="00586D7E"/>
    <w:rsid w:val="00586DE3"/>
    <w:rsid w:val="00586E33"/>
    <w:rsid w:val="00586E43"/>
    <w:rsid w:val="00586F8A"/>
    <w:rsid w:val="00586F96"/>
    <w:rsid w:val="00586FB4"/>
    <w:rsid w:val="0058709F"/>
    <w:rsid w:val="005871FB"/>
    <w:rsid w:val="0058720B"/>
    <w:rsid w:val="0058727C"/>
    <w:rsid w:val="005872AF"/>
    <w:rsid w:val="005872FF"/>
    <w:rsid w:val="005874CD"/>
    <w:rsid w:val="00587547"/>
    <w:rsid w:val="005876C4"/>
    <w:rsid w:val="0058778B"/>
    <w:rsid w:val="0058778E"/>
    <w:rsid w:val="005877F3"/>
    <w:rsid w:val="00587873"/>
    <w:rsid w:val="00587902"/>
    <w:rsid w:val="00587947"/>
    <w:rsid w:val="005879DB"/>
    <w:rsid w:val="00587A05"/>
    <w:rsid w:val="00587B52"/>
    <w:rsid w:val="00587C4F"/>
    <w:rsid w:val="00587D97"/>
    <w:rsid w:val="00587F6E"/>
    <w:rsid w:val="00587F83"/>
    <w:rsid w:val="0059002C"/>
    <w:rsid w:val="005900D7"/>
    <w:rsid w:val="0059024D"/>
    <w:rsid w:val="0059033B"/>
    <w:rsid w:val="0059040E"/>
    <w:rsid w:val="0059054B"/>
    <w:rsid w:val="00590576"/>
    <w:rsid w:val="005905AB"/>
    <w:rsid w:val="0059064E"/>
    <w:rsid w:val="0059082B"/>
    <w:rsid w:val="005908E8"/>
    <w:rsid w:val="00590980"/>
    <w:rsid w:val="00590981"/>
    <w:rsid w:val="005909CD"/>
    <w:rsid w:val="00590ABF"/>
    <w:rsid w:val="00590C1F"/>
    <w:rsid w:val="00590C32"/>
    <w:rsid w:val="00590D33"/>
    <w:rsid w:val="00590E62"/>
    <w:rsid w:val="00590EC0"/>
    <w:rsid w:val="00590ED4"/>
    <w:rsid w:val="00590F68"/>
    <w:rsid w:val="00591008"/>
    <w:rsid w:val="00591068"/>
    <w:rsid w:val="0059107E"/>
    <w:rsid w:val="005910C3"/>
    <w:rsid w:val="00591102"/>
    <w:rsid w:val="0059115B"/>
    <w:rsid w:val="0059137D"/>
    <w:rsid w:val="005913E4"/>
    <w:rsid w:val="00591414"/>
    <w:rsid w:val="005914E9"/>
    <w:rsid w:val="00591508"/>
    <w:rsid w:val="005915B8"/>
    <w:rsid w:val="005916B4"/>
    <w:rsid w:val="005917C8"/>
    <w:rsid w:val="00591952"/>
    <w:rsid w:val="0059197E"/>
    <w:rsid w:val="00591988"/>
    <w:rsid w:val="005919DB"/>
    <w:rsid w:val="00591A7B"/>
    <w:rsid w:val="00591A90"/>
    <w:rsid w:val="00591AAD"/>
    <w:rsid w:val="00591BE2"/>
    <w:rsid w:val="00591CC9"/>
    <w:rsid w:val="00591D13"/>
    <w:rsid w:val="00591DB2"/>
    <w:rsid w:val="00591DE1"/>
    <w:rsid w:val="00591DFD"/>
    <w:rsid w:val="00592007"/>
    <w:rsid w:val="00592009"/>
    <w:rsid w:val="00592029"/>
    <w:rsid w:val="00592170"/>
    <w:rsid w:val="00592176"/>
    <w:rsid w:val="005921BD"/>
    <w:rsid w:val="005923DF"/>
    <w:rsid w:val="005925BD"/>
    <w:rsid w:val="005926A9"/>
    <w:rsid w:val="005926CA"/>
    <w:rsid w:val="00592768"/>
    <w:rsid w:val="0059277F"/>
    <w:rsid w:val="005928C9"/>
    <w:rsid w:val="00592922"/>
    <w:rsid w:val="00592DDC"/>
    <w:rsid w:val="00592F79"/>
    <w:rsid w:val="00592F7A"/>
    <w:rsid w:val="00593030"/>
    <w:rsid w:val="00593053"/>
    <w:rsid w:val="0059308A"/>
    <w:rsid w:val="00593164"/>
    <w:rsid w:val="005931CC"/>
    <w:rsid w:val="0059327A"/>
    <w:rsid w:val="00593505"/>
    <w:rsid w:val="005935AC"/>
    <w:rsid w:val="005935D0"/>
    <w:rsid w:val="0059375A"/>
    <w:rsid w:val="005938D0"/>
    <w:rsid w:val="00593967"/>
    <w:rsid w:val="00593A0D"/>
    <w:rsid w:val="00593AB3"/>
    <w:rsid w:val="00593C63"/>
    <w:rsid w:val="00593E09"/>
    <w:rsid w:val="00593E4A"/>
    <w:rsid w:val="00593E8B"/>
    <w:rsid w:val="00593EBC"/>
    <w:rsid w:val="0059407B"/>
    <w:rsid w:val="005940D5"/>
    <w:rsid w:val="00594245"/>
    <w:rsid w:val="005942AB"/>
    <w:rsid w:val="005942BC"/>
    <w:rsid w:val="005943D0"/>
    <w:rsid w:val="0059443D"/>
    <w:rsid w:val="00594489"/>
    <w:rsid w:val="0059448A"/>
    <w:rsid w:val="005944B4"/>
    <w:rsid w:val="005944CE"/>
    <w:rsid w:val="00594534"/>
    <w:rsid w:val="00594624"/>
    <w:rsid w:val="00594636"/>
    <w:rsid w:val="0059487F"/>
    <w:rsid w:val="005948F0"/>
    <w:rsid w:val="005949E2"/>
    <w:rsid w:val="00594BB5"/>
    <w:rsid w:val="00594C26"/>
    <w:rsid w:val="00594C32"/>
    <w:rsid w:val="00594D03"/>
    <w:rsid w:val="00594D2C"/>
    <w:rsid w:val="00594D53"/>
    <w:rsid w:val="00594F9A"/>
    <w:rsid w:val="00595019"/>
    <w:rsid w:val="005951CB"/>
    <w:rsid w:val="005951D0"/>
    <w:rsid w:val="005951FE"/>
    <w:rsid w:val="00595200"/>
    <w:rsid w:val="00595226"/>
    <w:rsid w:val="00595309"/>
    <w:rsid w:val="005953D3"/>
    <w:rsid w:val="0059562E"/>
    <w:rsid w:val="0059567F"/>
    <w:rsid w:val="00595693"/>
    <w:rsid w:val="0059579C"/>
    <w:rsid w:val="0059582B"/>
    <w:rsid w:val="005958E8"/>
    <w:rsid w:val="0059595F"/>
    <w:rsid w:val="005959A3"/>
    <w:rsid w:val="00595A73"/>
    <w:rsid w:val="00595C43"/>
    <w:rsid w:val="00595D51"/>
    <w:rsid w:val="0059613B"/>
    <w:rsid w:val="005961AB"/>
    <w:rsid w:val="00596217"/>
    <w:rsid w:val="00596392"/>
    <w:rsid w:val="005963B2"/>
    <w:rsid w:val="00596453"/>
    <w:rsid w:val="0059666E"/>
    <w:rsid w:val="0059683E"/>
    <w:rsid w:val="00596868"/>
    <w:rsid w:val="005968E4"/>
    <w:rsid w:val="0059694A"/>
    <w:rsid w:val="00596AE2"/>
    <w:rsid w:val="00596BEA"/>
    <w:rsid w:val="00596EBB"/>
    <w:rsid w:val="00597091"/>
    <w:rsid w:val="00597096"/>
    <w:rsid w:val="0059714D"/>
    <w:rsid w:val="0059729F"/>
    <w:rsid w:val="005972E5"/>
    <w:rsid w:val="0059733C"/>
    <w:rsid w:val="005973CF"/>
    <w:rsid w:val="005973DE"/>
    <w:rsid w:val="005975BF"/>
    <w:rsid w:val="00597724"/>
    <w:rsid w:val="0059774F"/>
    <w:rsid w:val="00597884"/>
    <w:rsid w:val="00597953"/>
    <w:rsid w:val="0059798B"/>
    <w:rsid w:val="005979BC"/>
    <w:rsid w:val="005979D5"/>
    <w:rsid w:val="005979E8"/>
    <w:rsid w:val="00597A0F"/>
    <w:rsid w:val="00597AD3"/>
    <w:rsid w:val="00597B4E"/>
    <w:rsid w:val="00597B56"/>
    <w:rsid w:val="00597B66"/>
    <w:rsid w:val="00597B7B"/>
    <w:rsid w:val="00597CA6"/>
    <w:rsid w:val="00597E10"/>
    <w:rsid w:val="00597E2F"/>
    <w:rsid w:val="00597E6E"/>
    <w:rsid w:val="00597F6D"/>
    <w:rsid w:val="005A0106"/>
    <w:rsid w:val="005A0113"/>
    <w:rsid w:val="005A01B4"/>
    <w:rsid w:val="005A01E7"/>
    <w:rsid w:val="005A02CA"/>
    <w:rsid w:val="005A03EA"/>
    <w:rsid w:val="005A0435"/>
    <w:rsid w:val="005A047E"/>
    <w:rsid w:val="005A04A5"/>
    <w:rsid w:val="005A0502"/>
    <w:rsid w:val="005A0508"/>
    <w:rsid w:val="005A0762"/>
    <w:rsid w:val="005A079C"/>
    <w:rsid w:val="005A0923"/>
    <w:rsid w:val="005A09BC"/>
    <w:rsid w:val="005A0A9C"/>
    <w:rsid w:val="005A0B40"/>
    <w:rsid w:val="005A0B42"/>
    <w:rsid w:val="005A0B62"/>
    <w:rsid w:val="005A0C37"/>
    <w:rsid w:val="005A0C73"/>
    <w:rsid w:val="005A0CE1"/>
    <w:rsid w:val="005A0D5D"/>
    <w:rsid w:val="005A0E20"/>
    <w:rsid w:val="005A0EBA"/>
    <w:rsid w:val="005A0EBB"/>
    <w:rsid w:val="005A0EC1"/>
    <w:rsid w:val="005A0F66"/>
    <w:rsid w:val="005A0F77"/>
    <w:rsid w:val="005A10EA"/>
    <w:rsid w:val="005A115D"/>
    <w:rsid w:val="005A11A4"/>
    <w:rsid w:val="005A11B3"/>
    <w:rsid w:val="005A11FB"/>
    <w:rsid w:val="005A125C"/>
    <w:rsid w:val="005A1301"/>
    <w:rsid w:val="005A131A"/>
    <w:rsid w:val="005A140B"/>
    <w:rsid w:val="005A14EE"/>
    <w:rsid w:val="005A15B9"/>
    <w:rsid w:val="005A15F7"/>
    <w:rsid w:val="005A15FF"/>
    <w:rsid w:val="005A180A"/>
    <w:rsid w:val="005A18A8"/>
    <w:rsid w:val="005A192A"/>
    <w:rsid w:val="005A195B"/>
    <w:rsid w:val="005A1A3C"/>
    <w:rsid w:val="005A1AB7"/>
    <w:rsid w:val="005A1AF6"/>
    <w:rsid w:val="005A1B3C"/>
    <w:rsid w:val="005A1C20"/>
    <w:rsid w:val="005A1C23"/>
    <w:rsid w:val="005A1CF0"/>
    <w:rsid w:val="005A1CF6"/>
    <w:rsid w:val="005A1DCF"/>
    <w:rsid w:val="005A1F7D"/>
    <w:rsid w:val="005A20C9"/>
    <w:rsid w:val="005A2155"/>
    <w:rsid w:val="005A21FA"/>
    <w:rsid w:val="005A22D8"/>
    <w:rsid w:val="005A22E8"/>
    <w:rsid w:val="005A230A"/>
    <w:rsid w:val="005A2476"/>
    <w:rsid w:val="005A24EA"/>
    <w:rsid w:val="005A2503"/>
    <w:rsid w:val="005A258B"/>
    <w:rsid w:val="005A2653"/>
    <w:rsid w:val="005A26DB"/>
    <w:rsid w:val="005A27E0"/>
    <w:rsid w:val="005A29C8"/>
    <w:rsid w:val="005A29F0"/>
    <w:rsid w:val="005A2A0D"/>
    <w:rsid w:val="005A2A34"/>
    <w:rsid w:val="005A2A83"/>
    <w:rsid w:val="005A2ABC"/>
    <w:rsid w:val="005A2BA0"/>
    <w:rsid w:val="005A2BBB"/>
    <w:rsid w:val="005A2C79"/>
    <w:rsid w:val="005A2CAD"/>
    <w:rsid w:val="005A2D26"/>
    <w:rsid w:val="005A2DE5"/>
    <w:rsid w:val="005A31CF"/>
    <w:rsid w:val="005A332A"/>
    <w:rsid w:val="005A336F"/>
    <w:rsid w:val="005A33DD"/>
    <w:rsid w:val="005A34C8"/>
    <w:rsid w:val="005A35A5"/>
    <w:rsid w:val="005A367D"/>
    <w:rsid w:val="005A37C4"/>
    <w:rsid w:val="005A37F0"/>
    <w:rsid w:val="005A38B6"/>
    <w:rsid w:val="005A3901"/>
    <w:rsid w:val="005A3BD4"/>
    <w:rsid w:val="005A3D07"/>
    <w:rsid w:val="005A3D32"/>
    <w:rsid w:val="005A3D91"/>
    <w:rsid w:val="005A3DDC"/>
    <w:rsid w:val="005A3E07"/>
    <w:rsid w:val="005A405E"/>
    <w:rsid w:val="005A426C"/>
    <w:rsid w:val="005A42A4"/>
    <w:rsid w:val="005A4319"/>
    <w:rsid w:val="005A43F5"/>
    <w:rsid w:val="005A44B1"/>
    <w:rsid w:val="005A4528"/>
    <w:rsid w:val="005A45CE"/>
    <w:rsid w:val="005A45E8"/>
    <w:rsid w:val="005A4660"/>
    <w:rsid w:val="005A46AB"/>
    <w:rsid w:val="005A46CB"/>
    <w:rsid w:val="005A4744"/>
    <w:rsid w:val="005A47D2"/>
    <w:rsid w:val="005A483D"/>
    <w:rsid w:val="005A49BC"/>
    <w:rsid w:val="005A4A3F"/>
    <w:rsid w:val="005A4B89"/>
    <w:rsid w:val="005A4C02"/>
    <w:rsid w:val="005A4C17"/>
    <w:rsid w:val="005A4C80"/>
    <w:rsid w:val="005A4EB0"/>
    <w:rsid w:val="005A4EF0"/>
    <w:rsid w:val="005A4FD5"/>
    <w:rsid w:val="005A5060"/>
    <w:rsid w:val="005A508D"/>
    <w:rsid w:val="005A519F"/>
    <w:rsid w:val="005A5247"/>
    <w:rsid w:val="005A52D5"/>
    <w:rsid w:val="005A534E"/>
    <w:rsid w:val="005A53EF"/>
    <w:rsid w:val="005A54A5"/>
    <w:rsid w:val="005A54F8"/>
    <w:rsid w:val="005A5527"/>
    <w:rsid w:val="005A553F"/>
    <w:rsid w:val="005A5596"/>
    <w:rsid w:val="005A55DA"/>
    <w:rsid w:val="005A5606"/>
    <w:rsid w:val="005A5630"/>
    <w:rsid w:val="005A570A"/>
    <w:rsid w:val="005A57E4"/>
    <w:rsid w:val="005A58B9"/>
    <w:rsid w:val="005A5901"/>
    <w:rsid w:val="005A59BA"/>
    <w:rsid w:val="005A59D0"/>
    <w:rsid w:val="005A5A19"/>
    <w:rsid w:val="005A5AD5"/>
    <w:rsid w:val="005A5B4E"/>
    <w:rsid w:val="005A5BA8"/>
    <w:rsid w:val="005A5CEC"/>
    <w:rsid w:val="005A5CFD"/>
    <w:rsid w:val="005A5CFE"/>
    <w:rsid w:val="005A5D56"/>
    <w:rsid w:val="005A5E59"/>
    <w:rsid w:val="005A61BF"/>
    <w:rsid w:val="005A632F"/>
    <w:rsid w:val="005A6363"/>
    <w:rsid w:val="005A64BC"/>
    <w:rsid w:val="005A667F"/>
    <w:rsid w:val="005A6751"/>
    <w:rsid w:val="005A67EE"/>
    <w:rsid w:val="005A69F9"/>
    <w:rsid w:val="005A6D3A"/>
    <w:rsid w:val="005A6E29"/>
    <w:rsid w:val="005A6EBC"/>
    <w:rsid w:val="005A6F0D"/>
    <w:rsid w:val="005A6F8E"/>
    <w:rsid w:val="005A72AD"/>
    <w:rsid w:val="005A7434"/>
    <w:rsid w:val="005A7451"/>
    <w:rsid w:val="005A74FE"/>
    <w:rsid w:val="005A7594"/>
    <w:rsid w:val="005A75CB"/>
    <w:rsid w:val="005A75FE"/>
    <w:rsid w:val="005A7685"/>
    <w:rsid w:val="005A7709"/>
    <w:rsid w:val="005A77B5"/>
    <w:rsid w:val="005A77E2"/>
    <w:rsid w:val="005A7818"/>
    <w:rsid w:val="005A7A83"/>
    <w:rsid w:val="005A7BAD"/>
    <w:rsid w:val="005A7C54"/>
    <w:rsid w:val="005A7E6C"/>
    <w:rsid w:val="005A7E9D"/>
    <w:rsid w:val="005A7F8D"/>
    <w:rsid w:val="005A7FA1"/>
    <w:rsid w:val="005A7FAD"/>
    <w:rsid w:val="005B0063"/>
    <w:rsid w:val="005B056F"/>
    <w:rsid w:val="005B05C0"/>
    <w:rsid w:val="005B0662"/>
    <w:rsid w:val="005B06CA"/>
    <w:rsid w:val="005B07FC"/>
    <w:rsid w:val="005B0854"/>
    <w:rsid w:val="005B0907"/>
    <w:rsid w:val="005B099D"/>
    <w:rsid w:val="005B0A29"/>
    <w:rsid w:val="005B0ACB"/>
    <w:rsid w:val="005B0AD0"/>
    <w:rsid w:val="005B0B3E"/>
    <w:rsid w:val="005B0B75"/>
    <w:rsid w:val="005B0BB8"/>
    <w:rsid w:val="005B0C5B"/>
    <w:rsid w:val="005B0CAC"/>
    <w:rsid w:val="005B0CCE"/>
    <w:rsid w:val="005B0D7E"/>
    <w:rsid w:val="005B0DCC"/>
    <w:rsid w:val="005B0E09"/>
    <w:rsid w:val="005B0E72"/>
    <w:rsid w:val="005B0F32"/>
    <w:rsid w:val="005B1094"/>
    <w:rsid w:val="005B11B4"/>
    <w:rsid w:val="005B13CA"/>
    <w:rsid w:val="005B14B7"/>
    <w:rsid w:val="005B164B"/>
    <w:rsid w:val="005B1668"/>
    <w:rsid w:val="005B1791"/>
    <w:rsid w:val="005B187D"/>
    <w:rsid w:val="005B19B1"/>
    <w:rsid w:val="005B1A38"/>
    <w:rsid w:val="005B1A45"/>
    <w:rsid w:val="005B1B17"/>
    <w:rsid w:val="005B1BE8"/>
    <w:rsid w:val="005B1C03"/>
    <w:rsid w:val="005B1CC1"/>
    <w:rsid w:val="005B1DFA"/>
    <w:rsid w:val="005B1EB1"/>
    <w:rsid w:val="005B2019"/>
    <w:rsid w:val="005B20ED"/>
    <w:rsid w:val="005B21D3"/>
    <w:rsid w:val="005B2230"/>
    <w:rsid w:val="005B2284"/>
    <w:rsid w:val="005B22A2"/>
    <w:rsid w:val="005B22ED"/>
    <w:rsid w:val="005B2594"/>
    <w:rsid w:val="005B2599"/>
    <w:rsid w:val="005B2615"/>
    <w:rsid w:val="005B26C4"/>
    <w:rsid w:val="005B2814"/>
    <w:rsid w:val="005B2975"/>
    <w:rsid w:val="005B297E"/>
    <w:rsid w:val="005B2BE2"/>
    <w:rsid w:val="005B2BFC"/>
    <w:rsid w:val="005B2C37"/>
    <w:rsid w:val="005B2C5A"/>
    <w:rsid w:val="005B2CD0"/>
    <w:rsid w:val="005B2DC1"/>
    <w:rsid w:val="005B3024"/>
    <w:rsid w:val="005B308A"/>
    <w:rsid w:val="005B3297"/>
    <w:rsid w:val="005B32A8"/>
    <w:rsid w:val="005B32BF"/>
    <w:rsid w:val="005B32D5"/>
    <w:rsid w:val="005B3320"/>
    <w:rsid w:val="005B33C1"/>
    <w:rsid w:val="005B33F6"/>
    <w:rsid w:val="005B3415"/>
    <w:rsid w:val="005B3429"/>
    <w:rsid w:val="005B3640"/>
    <w:rsid w:val="005B36D3"/>
    <w:rsid w:val="005B37F2"/>
    <w:rsid w:val="005B3846"/>
    <w:rsid w:val="005B38A7"/>
    <w:rsid w:val="005B38C0"/>
    <w:rsid w:val="005B38E8"/>
    <w:rsid w:val="005B38EE"/>
    <w:rsid w:val="005B3980"/>
    <w:rsid w:val="005B3986"/>
    <w:rsid w:val="005B3A02"/>
    <w:rsid w:val="005B3A98"/>
    <w:rsid w:val="005B3AA3"/>
    <w:rsid w:val="005B3CAC"/>
    <w:rsid w:val="005B3CC6"/>
    <w:rsid w:val="005B3D62"/>
    <w:rsid w:val="005B3D74"/>
    <w:rsid w:val="005B3DAA"/>
    <w:rsid w:val="005B3E0F"/>
    <w:rsid w:val="005B3E40"/>
    <w:rsid w:val="005B3F37"/>
    <w:rsid w:val="005B4070"/>
    <w:rsid w:val="005B40CC"/>
    <w:rsid w:val="005B415D"/>
    <w:rsid w:val="005B41A5"/>
    <w:rsid w:val="005B41E2"/>
    <w:rsid w:val="005B423F"/>
    <w:rsid w:val="005B42F7"/>
    <w:rsid w:val="005B4450"/>
    <w:rsid w:val="005B447C"/>
    <w:rsid w:val="005B449B"/>
    <w:rsid w:val="005B4665"/>
    <w:rsid w:val="005B467F"/>
    <w:rsid w:val="005B46A9"/>
    <w:rsid w:val="005B4780"/>
    <w:rsid w:val="005B489E"/>
    <w:rsid w:val="005B49B9"/>
    <w:rsid w:val="005B4AE1"/>
    <w:rsid w:val="005B4D70"/>
    <w:rsid w:val="005B4DB7"/>
    <w:rsid w:val="005B5003"/>
    <w:rsid w:val="005B52A2"/>
    <w:rsid w:val="005B532A"/>
    <w:rsid w:val="005B546F"/>
    <w:rsid w:val="005B5491"/>
    <w:rsid w:val="005B54A0"/>
    <w:rsid w:val="005B5789"/>
    <w:rsid w:val="005B5B9B"/>
    <w:rsid w:val="005B5C77"/>
    <w:rsid w:val="005B5CE7"/>
    <w:rsid w:val="005B5CF1"/>
    <w:rsid w:val="005B5D75"/>
    <w:rsid w:val="005B5E18"/>
    <w:rsid w:val="005B5EB4"/>
    <w:rsid w:val="005B609C"/>
    <w:rsid w:val="005B6112"/>
    <w:rsid w:val="005B611D"/>
    <w:rsid w:val="005B61AC"/>
    <w:rsid w:val="005B6325"/>
    <w:rsid w:val="005B638C"/>
    <w:rsid w:val="005B63F5"/>
    <w:rsid w:val="005B6412"/>
    <w:rsid w:val="005B6657"/>
    <w:rsid w:val="005B686B"/>
    <w:rsid w:val="005B6872"/>
    <w:rsid w:val="005B6924"/>
    <w:rsid w:val="005B6932"/>
    <w:rsid w:val="005B6A02"/>
    <w:rsid w:val="005B6B8B"/>
    <w:rsid w:val="005B6C0F"/>
    <w:rsid w:val="005B6DE8"/>
    <w:rsid w:val="005B6E86"/>
    <w:rsid w:val="005B6EED"/>
    <w:rsid w:val="005B6FBF"/>
    <w:rsid w:val="005B7007"/>
    <w:rsid w:val="005B71AB"/>
    <w:rsid w:val="005B72AC"/>
    <w:rsid w:val="005B72B0"/>
    <w:rsid w:val="005B730D"/>
    <w:rsid w:val="005B7311"/>
    <w:rsid w:val="005B737C"/>
    <w:rsid w:val="005B7392"/>
    <w:rsid w:val="005B740C"/>
    <w:rsid w:val="005B7426"/>
    <w:rsid w:val="005B742E"/>
    <w:rsid w:val="005B74A9"/>
    <w:rsid w:val="005B74F7"/>
    <w:rsid w:val="005B757E"/>
    <w:rsid w:val="005B75B4"/>
    <w:rsid w:val="005B7629"/>
    <w:rsid w:val="005B769E"/>
    <w:rsid w:val="005B7725"/>
    <w:rsid w:val="005B7731"/>
    <w:rsid w:val="005B783D"/>
    <w:rsid w:val="005B784C"/>
    <w:rsid w:val="005B7867"/>
    <w:rsid w:val="005B7AFA"/>
    <w:rsid w:val="005B7B0B"/>
    <w:rsid w:val="005B7C94"/>
    <w:rsid w:val="005B7DF3"/>
    <w:rsid w:val="005B7EDF"/>
    <w:rsid w:val="005B7F30"/>
    <w:rsid w:val="005B7F89"/>
    <w:rsid w:val="005C0084"/>
    <w:rsid w:val="005C0099"/>
    <w:rsid w:val="005C016C"/>
    <w:rsid w:val="005C0176"/>
    <w:rsid w:val="005C0193"/>
    <w:rsid w:val="005C01C4"/>
    <w:rsid w:val="005C01D9"/>
    <w:rsid w:val="005C0278"/>
    <w:rsid w:val="005C02DA"/>
    <w:rsid w:val="005C0313"/>
    <w:rsid w:val="005C0440"/>
    <w:rsid w:val="005C054B"/>
    <w:rsid w:val="005C0577"/>
    <w:rsid w:val="005C0665"/>
    <w:rsid w:val="005C068C"/>
    <w:rsid w:val="005C074D"/>
    <w:rsid w:val="005C0853"/>
    <w:rsid w:val="005C08D7"/>
    <w:rsid w:val="005C0A70"/>
    <w:rsid w:val="005C0A7C"/>
    <w:rsid w:val="005C0ACB"/>
    <w:rsid w:val="005C0BF1"/>
    <w:rsid w:val="005C0C09"/>
    <w:rsid w:val="005C0C2F"/>
    <w:rsid w:val="005C0C6C"/>
    <w:rsid w:val="005C0C76"/>
    <w:rsid w:val="005C0D00"/>
    <w:rsid w:val="005C0ED7"/>
    <w:rsid w:val="005C0EEA"/>
    <w:rsid w:val="005C106D"/>
    <w:rsid w:val="005C10C3"/>
    <w:rsid w:val="005C10D6"/>
    <w:rsid w:val="005C118D"/>
    <w:rsid w:val="005C125B"/>
    <w:rsid w:val="005C1354"/>
    <w:rsid w:val="005C13AF"/>
    <w:rsid w:val="005C1432"/>
    <w:rsid w:val="005C1460"/>
    <w:rsid w:val="005C14EE"/>
    <w:rsid w:val="005C15F3"/>
    <w:rsid w:val="005C160E"/>
    <w:rsid w:val="005C1643"/>
    <w:rsid w:val="005C16BB"/>
    <w:rsid w:val="005C16DB"/>
    <w:rsid w:val="005C16E0"/>
    <w:rsid w:val="005C1815"/>
    <w:rsid w:val="005C1880"/>
    <w:rsid w:val="005C1914"/>
    <w:rsid w:val="005C194D"/>
    <w:rsid w:val="005C1A7A"/>
    <w:rsid w:val="005C1AA5"/>
    <w:rsid w:val="005C1B24"/>
    <w:rsid w:val="005C1BF9"/>
    <w:rsid w:val="005C1D7F"/>
    <w:rsid w:val="005C2004"/>
    <w:rsid w:val="005C201F"/>
    <w:rsid w:val="005C20DA"/>
    <w:rsid w:val="005C212A"/>
    <w:rsid w:val="005C218D"/>
    <w:rsid w:val="005C21E0"/>
    <w:rsid w:val="005C22F3"/>
    <w:rsid w:val="005C234B"/>
    <w:rsid w:val="005C2494"/>
    <w:rsid w:val="005C2519"/>
    <w:rsid w:val="005C26AE"/>
    <w:rsid w:val="005C2741"/>
    <w:rsid w:val="005C289C"/>
    <w:rsid w:val="005C28C6"/>
    <w:rsid w:val="005C2947"/>
    <w:rsid w:val="005C29E0"/>
    <w:rsid w:val="005C2A07"/>
    <w:rsid w:val="005C2A7A"/>
    <w:rsid w:val="005C2A83"/>
    <w:rsid w:val="005C2AF1"/>
    <w:rsid w:val="005C2AF3"/>
    <w:rsid w:val="005C2BF9"/>
    <w:rsid w:val="005C2C3A"/>
    <w:rsid w:val="005C2D88"/>
    <w:rsid w:val="005C2DF9"/>
    <w:rsid w:val="005C2DFF"/>
    <w:rsid w:val="005C2E88"/>
    <w:rsid w:val="005C2FDA"/>
    <w:rsid w:val="005C309D"/>
    <w:rsid w:val="005C3170"/>
    <w:rsid w:val="005C31D1"/>
    <w:rsid w:val="005C31DE"/>
    <w:rsid w:val="005C3286"/>
    <w:rsid w:val="005C32EF"/>
    <w:rsid w:val="005C3557"/>
    <w:rsid w:val="005C363C"/>
    <w:rsid w:val="005C3692"/>
    <w:rsid w:val="005C36CC"/>
    <w:rsid w:val="005C37BB"/>
    <w:rsid w:val="005C3851"/>
    <w:rsid w:val="005C38EE"/>
    <w:rsid w:val="005C39D3"/>
    <w:rsid w:val="005C3AEB"/>
    <w:rsid w:val="005C3AFB"/>
    <w:rsid w:val="005C3B36"/>
    <w:rsid w:val="005C3C93"/>
    <w:rsid w:val="005C3F17"/>
    <w:rsid w:val="005C3F56"/>
    <w:rsid w:val="005C408B"/>
    <w:rsid w:val="005C414A"/>
    <w:rsid w:val="005C41CA"/>
    <w:rsid w:val="005C4224"/>
    <w:rsid w:val="005C4239"/>
    <w:rsid w:val="005C4408"/>
    <w:rsid w:val="005C4495"/>
    <w:rsid w:val="005C44B4"/>
    <w:rsid w:val="005C44E1"/>
    <w:rsid w:val="005C46E3"/>
    <w:rsid w:val="005C473D"/>
    <w:rsid w:val="005C476A"/>
    <w:rsid w:val="005C4A63"/>
    <w:rsid w:val="005C4B13"/>
    <w:rsid w:val="005C4EE5"/>
    <w:rsid w:val="005C4F3A"/>
    <w:rsid w:val="005C4FDF"/>
    <w:rsid w:val="005C5148"/>
    <w:rsid w:val="005C5151"/>
    <w:rsid w:val="005C5256"/>
    <w:rsid w:val="005C5305"/>
    <w:rsid w:val="005C531E"/>
    <w:rsid w:val="005C5359"/>
    <w:rsid w:val="005C55C0"/>
    <w:rsid w:val="005C56E9"/>
    <w:rsid w:val="005C5713"/>
    <w:rsid w:val="005C585D"/>
    <w:rsid w:val="005C592E"/>
    <w:rsid w:val="005C5A16"/>
    <w:rsid w:val="005C5B5F"/>
    <w:rsid w:val="005C5CBA"/>
    <w:rsid w:val="005C5D83"/>
    <w:rsid w:val="005C5DF3"/>
    <w:rsid w:val="005C5EF2"/>
    <w:rsid w:val="005C5EFB"/>
    <w:rsid w:val="005C5FC6"/>
    <w:rsid w:val="005C5FCF"/>
    <w:rsid w:val="005C6002"/>
    <w:rsid w:val="005C6011"/>
    <w:rsid w:val="005C6012"/>
    <w:rsid w:val="005C6045"/>
    <w:rsid w:val="005C60FE"/>
    <w:rsid w:val="005C61E3"/>
    <w:rsid w:val="005C6308"/>
    <w:rsid w:val="005C63A3"/>
    <w:rsid w:val="005C64D2"/>
    <w:rsid w:val="005C65DE"/>
    <w:rsid w:val="005C68BE"/>
    <w:rsid w:val="005C68F2"/>
    <w:rsid w:val="005C690F"/>
    <w:rsid w:val="005C69D7"/>
    <w:rsid w:val="005C6A1F"/>
    <w:rsid w:val="005C6A4F"/>
    <w:rsid w:val="005C6BE2"/>
    <w:rsid w:val="005C6C42"/>
    <w:rsid w:val="005C6C63"/>
    <w:rsid w:val="005C6D18"/>
    <w:rsid w:val="005C6D9A"/>
    <w:rsid w:val="005C6E2E"/>
    <w:rsid w:val="005C6E45"/>
    <w:rsid w:val="005C6F19"/>
    <w:rsid w:val="005C6FD6"/>
    <w:rsid w:val="005C702E"/>
    <w:rsid w:val="005C7112"/>
    <w:rsid w:val="005C71F2"/>
    <w:rsid w:val="005C71FF"/>
    <w:rsid w:val="005C7240"/>
    <w:rsid w:val="005C74A0"/>
    <w:rsid w:val="005C7556"/>
    <w:rsid w:val="005C75A5"/>
    <w:rsid w:val="005C75E5"/>
    <w:rsid w:val="005C785B"/>
    <w:rsid w:val="005C7AA1"/>
    <w:rsid w:val="005C7D7F"/>
    <w:rsid w:val="005C7F8E"/>
    <w:rsid w:val="005C7FDB"/>
    <w:rsid w:val="005C7FE3"/>
    <w:rsid w:val="005D003F"/>
    <w:rsid w:val="005D004D"/>
    <w:rsid w:val="005D00AD"/>
    <w:rsid w:val="005D00E7"/>
    <w:rsid w:val="005D0145"/>
    <w:rsid w:val="005D0338"/>
    <w:rsid w:val="005D0339"/>
    <w:rsid w:val="005D03BC"/>
    <w:rsid w:val="005D0436"/>
    <w:rsid w:val="005D04E7"/>
    <w:rsid w:val="005D0508"/>
    <w:rsid w:val="005D0562"/>
    <w:rsid w:val="005D058D"/>
    <w:rsid w:val="005D076D"/>
    <w:rsid w:val="005D077B"/>
    <w:rsid w:val="005D07B1"/>
    <w:rsid w:val="005D0812"/>
    <w:rsid w:val="005D0945"/>
    <w:rsid w:val="005D09CB"/>
    <w:rsid w:val="005D09E6"/>
    <w:rsid w:val="005D0A06"/>
    <w:rsid w:val="005D0C3C"/>
    <w:rsid w:val="005D0C3F"/>
    <w:rsid w:val="005D0C43"/>
    <w:rsid w:val="005D0D16"/>
    <w:rsid w:val="005D0E45"/>
    <w:rsid w:val="005D0E62"/>
    <w:rsid w:val="005D0F41"/>
    <w:rsid w:val="005D0FA6"/>
    <w:rsid w:val="005D0FBB"/>
    <w:rsid w:val="005D1003"/>
    <w:rsid w:val="005D10E7"/>
    <w:rsid w:val="005D113E"/>
    <w:rsid w:val="005D118C"/>
    <w:rsid w:val="005D125C"/>
    <w:rsid w:val="005D1511"/>
    <w:rsid w:val="005D15AB"/>
    <w:rsid w:val="005D15C6"/>
    <w:rsid w:val="005D15CE"/>
    <w:rsid w:val="005D1619"/>
    <w:rsid w:val="005D166C"/>
    <w:rsid w:val="005D1671"/>
    <w:rsid w:val="005D1856"/>
    <w:rsid w:val="005D188E"/>
    <w:rsid w:val="005D18A3"/>
    <w:rsid w:val="005D18D4"/>
    <w:rsid w:val="005D1900"/>
    <w:rsid w:val="005D1ADA"/>
    <w:rsid w:val="005D1B80"/>
    <w:rsid w:val="005D1D30"/>
    <w:rsid w:val="005D1D4A"/>
    <w:rsid w:val="005D1DF1"/>
    <w:rsid w:val="005D1E1F"/>
    <w:rsid w:val="005D1EA9"/>
    <w:rsid w:val="005D1EEE"/>
    <w:rsid w:val="005D1F1D"/>
    <w:rsid w:val="005D1F87"/>
    <w:rsid w:val="005D1FC6"/>
    <w:rsid w:val="005D2124"/>
    <w:rsid w:val="005D21E9"/>
    <w:rsid w:val="005D2206"/>
    <w:rsid w:val="005D2397"/>
    <w:rsid w:val="005D23A6"/>
    <w:rsid w:val="005D2534"/>
    <w:rsid w:val="005D25AF"/>
    <w:rsid w:val="005D26B0"/>
    <w:rsid w:val="005D2876"/>
    <w:rsid w:val="005D2900"/>
    <w:rsid w:val="005D294D"/>
    <w:rsid w:val="005D2B3F"/>
    <w:rsid w:val="005D2B50"/>
    <w:rsid w:val="005D2BDE"/>
    <w:rsid w:val="005D2C4A"/>
    <w:rsid w:val="005D2C99"/>
    <w:rsid w:val="005D2E3E"/>
    <w:rsid w:val="005D2F7A"/>
    <w:rsid w:val="005D301F"/>
    <w:rsid w:val="005D307F"/>
    <w:rsid w:val="005D308A"/>
    <w:rsid w:val="005D3107"/>
    <w:rsid w:val="005D3131"/>
    <w:rsid w:val="005D3226"/>
    <w:rsid w:val="005D3415"/>
    <w:rsid w:val="005D3591"/>
    <w:rsid w:val="005D35B6"/>
    <w:rsid w:val="005D3635"/>
    <w:rsid w:val="005D3654"/>
    <w:rsid w:val="005D36B7"/>
    <w:rsid w:val="005D37D7"/>
    <w:rsid w:val="005D3804"/>
    <w:rsid w:val="005D38A5"/>
    <w:rsid w:val="005D392C"/>
    <w:rsid w:val="005D3B41"/>
    <w:rsid w:val="005D3BE7"/>
    <w:rsid w:val="005D3C6D"/>
    <w:rsid w:val="005D3D60"/>
    <w:rsid w:val="005D3D69"/>
    <w:rsid w:val="005D3D88"/>
    <w:rsid w:val="005D3DDA"/>
    <w:rsid w:val="005D3E66"/>
    <w:rsid w:val="005D3EF0"/>
    <w:rsid w:val="005D3FD1"/>
    <w:rsid w:val="005D4103"/>
    <w:rsid w:val="005D4199"/>
    <w:rsid w:val="005D41B8"/>
    <w:rsid w:val="005D41D8"/>
    <w:rsid w:val="005D443B"/>
    <w:rsid w:val="005D44AF"/>
    <w:rsid w:val="005D45B1"/>
    <w:rsid w:val="005D45F9"/>
    <w:rsid w:val="005D4730"/>
    <w:rsid w:val="005D47B2"/>
    <w:rsid w:val="005D486E"/>
    <w:rsid w:val="005D4A79"/>
    <w:rsid w:val="005D4A82"/>
    <w:rsid w:val="005D4AFD"/>
    <w:rsid w:val="005D4CCF"/>
    <w:rsid w:val="005D4E04"/>
    <w:rsid w:val="005D4F6F"/>
    <w:rsid w:val="005D4FF7"/>
    <w:rsid w:val="005D52F6"/>
    <w:rsid w:val="005D52FC"/>
    <w:rsid w:val="005D5378"/>
    <w:rsid w:val="005D5474"/>
    <w:rsid w:val="005D54A8"/>
    <w:rsid w:val="005D5506"/>
    <w:rsid w:val="005D55CB"/>
    <w:rsid w:val="005D55E9"/>
    <w:rsid w:val="005D5664"/>
    <w:rsid w:val="005D5831"/>
    <w:rsid w:val="005D5987"/>
    <w:rsid w:val="005D5991"/>
    <w:rsid w:val="005D5A43"/>
    <w:rsid w:val="005D5B36"/>
    <w:rsid w:val="005D5B3D"/>
    <w:rsid w:val="005D5B5A"/>
    <w:rsid w:val="005D5D67"/>
    <w:rsid w:val="005D5E3A"/>
    <w:rsid w:val="005D6083"/>
    <w:rsid w:val="005D623A"/>
    <w:rsid w:val="005D6280"/>
    <w:rsid w:val="005D62F9"/>
    <w:rsid w:val="005D630A"/>
    <w:rsid w:val="005D6448"/>
    <w:rsid w:val="005D6499"/>
    <w:rsid w:val="005D6591"/>
    <w:rsid w:val="005D6676"/>
    <w:rsid w:val="005D6808"/>
    <w:rsid w:val="005D6AB1"/>
    <w:rsid w:val="005D6C73"/>
    <w:rsid w:val="005D6CB1"/>
    <w:rsid w:val="005D6D9F"/>
    <w:rsid w:val="005D6DF0"/>
    <w:rsid w:val="005D6F6F"/>
    <w:rsid w:val="005D7058"/>
    <w:rsid w:val="005D7124"/>
    <w:rsid w:val="005D726A"/>
    <w:rsid w:val="005D7299"/>
    <w:rsid w:val="005D72F3"/>
    <w:rsid w:val="005D73D5"/>
    <w:rsid w:val="005D7434"/>
    <w:rsid w:val="005D744F"/>
    <w:rsid w:val="005D7455"/>
    <w:rsid w:val="005D755F"/>
    <w:rsid w:val="005D759C"/>
    <w:rsid w:val="005D7785"/>
    <w:rsid w:val="005D77ED"/>
    <w:rsid w:val="005D784A"/>
    <w:rsid w:val="005D785E"/>
    <w:rsid w:val="005D79D6"/>
    <w:rsid w:val="005D7A1E"/>
    <w:rsid w:val="005D7A7B"/>
    <w:rsid w:val="005D7BD0"/>
    <w:rsid w:val="005D7C13"/>
    <w:rsid w:val="005D7E19"/>
    <w:rsid w:val="005D7E6A"/>
    <w:rsid w:val="005D7FF1"/>
    <w:rsid w:val="005D9E86"/>
    <w:rsid w:val="005E02AD"/>
    <w:rsid w:val="005E04B3"/>
    <w:rsid w:val="005E04E2"/>
    <w:rsid w:val="005E0539"/>
    <w:rsid w:val="005E0684"/>
    <w:rsid w:val="005E08AC"/>
    <w:rsid w:val="005E090B"/>
    <w:rsid w:val="005E0969"/>
    <w:rsid w:val="005E0D69"/>
    <w:rsid w:val="005E0E8C"/>
    <w:rsid w:val="005E0F5E"/>
    <w:rsid w:val="005E10E5"/>
    <w:rsid w:val="005E11FA"/>
    <w:rsid w:val="005E12E7"/>
    <w:rsid w:val="005E131E"/>
    <w:rsid w:val="005E131F"/>
    <w:rsid w:val="005E1346"/>
    <w:rsid w:val="005E136D"/>
    <w:rsid w:val="005E1402"/>
    <w:rsid w:val="005E1460"/>
    <w:rsid w:val="005E1522"/>
    <w:rsid w:val="005E1629"/>
    <w:rsid w:val="005E171A"/>
    <w:rsid w:val="005E17E0"/>
    <w:rsid w:val="005E18C0"/>
    <w:rsid w:val="005E1AEF"/>
    <w:rsid w:val="005E1C93"/>
    <w:rsid w:val="005E1CE2"/>
    <w:rsid w:val="005E1DC9"/>
    <w:rsid w:val="005E234D"/>
    <w:rsid w:val="005E2573"/>
    <w:rsid w:val="005E26FE"/>
    <w:rsid w:val="005E2740"/>
    <w:rsid w:val="005E274D"/>
    <w:rsid w:val="005E280A"/>
    <w:rsid w:val="005E289B"/>
    <w:rsid w:val="005E28E7"/>
    <w:rsid w:val="005E2968"/>
    <w:rsid w:val="005E2985"/>
    <w:rsid w:val="005E2A2B"/>
    <w:rsid w:val="005E2C15"/>
    <w:rsid w:val="005E2C7A"/>
    <w:rsid w:val="005E2E5B"/>
    <w:rsid w:val="005E2E6A"/>
    <w:rsid w:val="005E2ED1"/>
    <w:rsid w:val="005E2FDE"/>
    <w:rsid w:val="005E3028"/>
    <w:rsid w:val="005E3083"/>
    <w:rsid w:val="005E3171"/>
    <w:rsid w:val="005E31AD"/>
    <w:rsid w:val="005E3202"/>
    <w:rsid w:val="005E3348"/>
    <w:rsid w:val="005E34A6"/>
    <w:rsid w:val="005E3723"/>
    <w:rsid w:val="005E37BB"/>
    <w:rsid w:val="005E37BD"/>
    <w:rsid w:val="005E37D4"/>
    <w:rsid w:val="005E3814"/>
    <w:rsid w:val="005E3898"/>
    <w:rsid w:val="005E38B6"/>
    <w:rsid w:val="005E3970"/>
    <w:rsid w:val="005E3AF3"/>
    <w:rsid w:val="005E3BD9"/>
    <w:rsid w:val="005E3DCE"/>
    <w:rsid w:val="005E410F"/>
    <w:rsid w:val="005E4185"/>
    <w:rsid w:val="005E41C9"/>
    <w:rsid w:val="005E42CB"/>
    <w:rsid w:val="005E44F7"/>
    <w:rsid w:val="005E45B0"/>
    <w:rsid w:val="005E4635"/>
    <w:rsid w:val="005E463F"/>
    <w:rsid w:val="005E4676"/>
    <w:rsid w:val="005E4683"/>
    <w:rsid w:val="005E4740"/>
    <w:rsid w:val="005E47BC"/>
    <w:rsid w:val="005E495C"/>
    <w:rsid w:val="005E4D0B"/>
    <w:rsid w:val="005E4D85"/>
    <w:rsid w:val="005E4DAA"/>
    <w:rsid w:val="005E4DB6"/>
    <w:rsid w:val="005E4E25"/>
    <w:rsid w:val="005E4E8A"/>
    <w:rsid w:val="005E4FDC"/>
    <w:rsid w:val="005E50A6"/>
    <w:rsid w:val="005E516F"/>
    <w:rsid w:val="005E518F"/>
    <w:rsid w:val="005E5193"/>
    <w:rsid w:val="005E51CA"/>
    <w:rsid w:val="005E51E3"/>
    <w:rsid w:val="005E52D1"/>
    <w:rsid w:val="005E54D6"/>
    <w:rsid w:val="005E55A3"/>
    <w:rsid w:val="005E5651"/>
    <w:rsid w:val="005E567A"/>
    <w:rsid w:val="005E5682"/>
    <w:rsid w:val="005E56D9"/>
    <w:rsid w:val="005E571F"/>
    <w:rsid w:val="005E5739"/>
    <w:rsid w:val="005E57CF"/>
    <w:rsid w:val="005E57DA"/>
    <w:rsid w:val="005E5855"/>
    <w:rsid w:val="005E58B9"/>
    <w:rsid w:val="005E5994"/>
    <w:rsid w:val="005E59B0"/>
    <w:rsid w:val="005E5A27"/>
    <w:rsid w:val="005E5A60"/>
    <w:rsid w:val="005E5C6E"/>
    <w:rsid w:val="005E5CC1"/>
    <w:rsid w:val="005E5F49"/>
    <w:rsid w:val="005E6113"/>
    <w:rsid w:val="005E6274"/>
    <w:rsid w:val="005E630B"/>
    <w:rsid w:val="005E63E3"/>
    <w:rsid w:val="005E64A4"/>
    <w:rsid w:val="005E662A"/>
    <w:rsid w:val="005E66F4"/>
    <w:rsid w:val="005E673F"/>
    <w:rsid w:val="005E67D1"/>
    <w:rsid w:val="005E68CB"/>
    <w:rsid w:val="005E68F5"/>
    <w:rsid w:val="005E6974"/>
    <w:rsid w:val="005E69EC"/>
    <w:rsid w:val="005E6ACA"/>
    <w:rsid w:val="005E6BD8"/>
    <w:rsid w:val="005E6BDD"/>
    <w:rsid w:val="005E6C69"/>
    <w:rsid w:val="005E6CAF"/>
    <w:rsid w:val="005E6DDE"/>
    <w:rsid w:val="005E6F31"/>
    <w:rsid w:val="005E6FA1"/>
    <w:rsid w:val="005E6FC5"/>
    <w:rsid w:val="005E6FDF"/>
    <w:rsid w:val="005E72B0"/>
    <w:rsid w:val="005E753F"/>
    <w:rsid w:val="005E768B"/>
    <w:rsid w:val="005E76FA"/>
    <w:rsid w:val="005E776E"/>
    <w:rsid w:val="005E780A"/>
    <w:rsid w:val="005E786A"/>
    <w:rsid w:val="005E7892"/>
    <w:rsid w:val="005E7A24"/>
    <w:rsid w:val="005E7CAC"/>
    <w:rsid w:val="005E7D20"/>
    <w:rsid w:val="005E7E51"/>
    <w:rsid w:val="005E7F9B"/>
    <w:rsid w:val="005E7FD7"/>
    <w:rsid w:val="005F00FD"/>
    <w:rsid w:val="005F01B6"/>
    <w:rsid w:val="005F01F8"/>
    <w:rsid w:val="005F02A0"/>
    <w:rsid w:val="005F0357"/>
    <w:rsid w:val="005F0397"/>
    <w:rsid w:val="005F03A0"/>
    <w:rsid w:val="005F044F"/>
    <w:rsid w:val="005F0509"/>
    <w:rsid w:val="005F05F8"/>
    <w:rsid w:val="005F065A"/>
    <w:rsid w:val="005F06E9"/>
    <w:rsid w:val="005F071E"/>
    <w:rsid w:val="005F076E"/>
    <w:rsid w:val="005F08C6"/>
    <w:rsid w:val="005F0950"/>
    <w:rsid w:val="005F0A6D"/>
    <w:rsid w:val="005F0A87"/>
    <w:rsid w:val="005F0AA4"/>
    <w:rsid w:val="005F0BD4"/>
    <w:rsid w:val="005F0C15"/>
    <w:rsid w:val="005F0C27"/>
    <w:rsid w:val="005F0D64"/>
    <w:rsid w:val="005F0E1B"/>
    <w:rsid w:val="005F0E1E"/>
    <w:rsid w:val="005F1055"/>
    <w:rsid w:val="005F10B6"/>
    <w:rsid w:val="005F1237"/>
    <w:rsid w:val="005F128E"/>
    <w:rsid w:val="005F1356"/>
    <w:rsid w:val="005F138F"/>
    <w:rsid w:val="005F145D"/>
    <w:rsid w:val="005F1583"/>
    <w:rsid w:val="005F15A5"/>
    <w:rsid w:val="005F1788"/>
    <w:rsid w:val="005F18C3"/>
    <w:rsid w:val="005F19BA"/>
    <w:rsid w:val="005F1AA4"/>
    <w:rsid w:val="005F1F22"/>
    <w:rsid w:val="005F2146"/>
    <w:rsid w:val="005F215D"/>
    <w:rsid w:val="005F219E"/>
    <w:rsid w:val="005F2223"/>
    <w:rsid w:val="005F22A5"/>
    <w:rsid w:val="005F24CB"/>
    <w:rsid w:val="005F2582"/>
    <w:rsid w:val="005F25B1"/>
    <w:rsid w:val="005F264E"/>
    <w:rsid w:val="005F2698"/>
    <w:rsid w:val="005F26DF"/>
    <w:rsid w:val="005F26EC"/>
    <w:rsid w:val="005F284B"/>
    <w:rsid w:val="005F28C0"/>
    <w:rsid w:val="005F292D"/>
    <w:rsid w:val="005F2964"/>
    <w:rsid w:val="005F2A1A"/>
    <w:rsid w:val="005F2A91"/>
    <w:rsid w:val="005F2B28"/>
    <w:rsid w:val="005F2B77"/>
    <w:rsid w:val="005F2D37"/>
    <w:rsid w:val="005F2D46"/>
    <w:rsid w:val="005F2DC0"/>
    <w:rsid w:val="005F2F9E"/>
    <w:rsid w:val="005F312E"/>
    <w:rsid w:val="005F3356"/>
    <w:rsid w:val="005F3420"/>
    <w:rsid w:val="005F3502"/>
    <w:rsid w:val="005F3566"/>
    <w:rsid w:val="005F35CB"/>
    <w:rsid w:val="005F35CE"/>
    <w:rsid w:val="005F3745"/>
    <w:rsid w:val="005F37B2"/>
    <w:rsid w:val="005F3AA4"/>
    <w:rsid w:val="005F3AAD"/>
    <w:rsid w:val="005F3B59"/>
    <w:rsid w:val="005F3B65"/>
    <w:rsid w:val="005F3C3C"/>
    <w:rsid w:val="005F3CDD"/>
    <w:rsid w:val="005F3ECB"/>
    <w:rsid w:val="005F3F11"/>
    <w:rsid w:val="005F3FE3"/>
    <w:rsid w:val="005F4079"/>
    <w:rsid w:val="005F409E"/>
    <w:rsid w:val="005F410B"/>
    <w:rsid w:val="005F4212"/>
    <w:rsid w:val="005F42C6"/>
    <w:rsid w:val="005F42EE"/>
    <w:rsid w:val="005F4444"/>
    <w:rsid w:val="005F446D"/>
    <w:rsid w:val="005F4486"/>
    <w:rsid w:val="005F44C4"/>
    <w:rsid w:val="005F44FB"/>
    <w:rsid w:val="005F4693"/>
    <w:rsid w:val="005F4711"/>
    <w:rsid w:val="005F48FC"/>
    <w:rsid w:val="005F4C78"/>
    <w:rsid w:val="005F4CEE"/>
    <w:rsid w:val="005F4D11"/>
    <w:rsid w:val="005F4D36"/>
    <w:rsid w:val="005F4DD3"/>
    <w:rsid w:val="005F4F1F"/>
    <w:rsid w:val="005F4F3B"/>
    <w:rsid w:val="005F5090"/>
    <w:rsid w:val="005F51E2"/>
    <w:rsid w:val="005F52C7"/>
    <w:rsid w:val="005F53FE"/>
    <w:rsid w:val="005F54CD"/>
    <w:rsid w:val="005F54DA"/>
    <w:rsid w:val="005F5526"/>
    <w:rsid w:val="005F5641"/>
    <w:rsid w:val="005F5697"/>
    <w:rsid w:val="005F5773"/>
    <w:rsid w:val="005F589D"/>
    <w:rsid w:val="005F58BD"/>
    <w:rsid w:val="005F595A"/>
    <w:rsid w:val="005F5A02"/>
    <w:rsid w:val="005F5A21"/>
    <w:rsid w:val="005F5C7A"/>
    <w:rsid w:val="005F5CA7"/>
    <w:rsid w:val="005F5D16"/>
    <w:rsid w:val="005F5EC8"/>
    <w:rsid w:val="005F60A1"/>
    <w:rsid w:val="005F6231"/>
    <w:rsid w:val="005F6239"/>
    <w:rsid w:val="005F62B0"/>
    <w:rsid w:val="005F62B6"/>
    <w:rsid w:val="005F635B"/>
    <w:rsid w:val="005F66F4"/>
    <w:rsid w:val="005F679F"/>
    <w:rsid w:val="005F6804"/>
    <w:rsid w:val="005F680C"/>
    <w:rsid w:val="005F6887"/>
    <w:rsid w:val="005F68BC"/>
    <w:rsid w:val="005F68D0"/>
    <w:rsid w:val="005F68EA"/>
    <w:rsid w:val="005F6B3C"/>
    <w:rsid w:val="005F6B47"/>
    <w:rsid w:val="005F6B7A"/>
    <w:rsid w:val="005F6CCF"/>
    <w:rsid w:val="005F6CFD"/>
    <w:rsid w:val="005F6D96"/>
    <w:rsid w:val="005F6E32"/>
    <w:rsid w:val="005F6EF8"/>
    <w:rsid w:val="005F6FA0"/>
    <w:rsid w:val="005F6FD3"/>
    <w:rsid w:val="005F7007"/>
    <w:rsid w:val="005F71F2"/>
    <w:rsid w:val="005F71FA"/>
    <w:rsid w:val="005F7278"/>
    <w:rsid w:val="005F727B"/>
    <w:rsid w:val="005F7287"/>
    <w:rsid w:val="005F7360"/>
    <w:rsid w:val="005F746A"/>
    <w:rsid w:val="005F7496"/>
    <w:rsid w:val="005F749F"/>
    <w:rsid w:val="005F74D5"/>
    <w:rsid w:val="005F75CF"/>
    <w:rsid w:val="005F7654"/>
    <w:rsid w:val="005F774D"/>
    <w:rsid w:val="005F777E"/>
    <w:rsid w:val="005F77CB"/>
    <w:rsid w:val="005F789A"/>
    <w:rsid w:val="005F7B8F"/>
    <w:rsid w:val="005F7D4B"/>
    <w:rsid w:val="005F7D52"/>
    <w:rsid w:val="005F7DF5"/>
    <w:rsid w:val="005FBBA8"/>
    <w:rsid w:val="00600146"/>
    <w:rsid w:val="00600196"/>
    <w:rsid w:val="006001D9"/>
    <w:rsid w:val="006001F9"/>
    <w:rsid w:val="006003DE"/>
    <w:rsid w:val="0060049B"/>
    <w:rsid w:val="006004B8"/>
    <w:rsid w:val="00600506"/>
    <w:rsid w:val="00600516"/>
    <w:rsid w:val="00600626"/>
    <w:rsid w:val="00600650"/>
    <w:rsid w:val="006006DC"/>
    <w:rsid w:val="00600792"/>
    <w:rsid w:val="006007D4"/>
    <w:rsid w:val="006008AC"/>
    <w:rsid w:val="006008E9"/>
    <w:rsid w:val="006009BD"/>
    <w:rsid w:val="00600A58"/>
    <w:rsid w:val="00600AD7"/>
    <w:rsid w:val="00600AE3"/>
    <w:rsid w:val="00600B45"/>
    <w:rsid w:val="00600B46"/>
    <w:rsid w:val="00600BC3"/>
    <w:rsid w:val="00600D32"/>
    <w:rsid w:val="00600E1C"/>
    <w:rsid w:val="00600ECD"/>
    <w:rsid w:val="0060105D"/>
    <w:rsid w:val="006010DB"/>
    <w:rsid w:val="0060123C"/>
    <w:rsid w:val="006012AD"/>
    <w:rsid w:val="006012D2"/>
    <w:rsid w:val="006012F6"/>
    <w:rsid w:val="006013E6"/>
    <w:rsid w:val="00601476"/>
    <w:rsid w:val="0060149D"/>
    <w:rsid w:val="006014B5"/>
    <w:rsid w:val="006014F1"/>
    <w:rsid w:val="00601514"/>
    <w:rsid w:val="00601548"/>
    <w:rsid w:val="006015D3"/>
    <w:rsid w:val="00601726"/>
    <w:rsid w:val="006017A5"/>
    <w:rsid w:val="00601847"/>
    <w:rsid w:val="00601857"/>
    <w:rsid w:val="00601A2B"/>
    <w:rsid w:val="00601B5C"/>
    <w:rsid w:val="00601BC5"/>
    <w:rsid w:val="00601CD8"/>
    <w:rsid w:val="00601D2F"/>
    <w:rsid w:val="00601DA1"/>
    <w:rsid w:val="00601DE5"/>
    <w:rsid w:val="00601E4B"/>
    <w:rsid w:val="00601FE2"/>
    <w:rsid w:val="00602098"/>
    <w:rsid w:val="00602260"/>
    <w:rsid w:val="006022B6"/>
    <w:rsid w:val="00602301"/>
    <w:rsid w:val="006023D7"/>
    <w:rsid w:val="006023D8"/>
    <w:rsid w:val="006023F5"/>
    <w:rsid w:val="00602424"/>
    <w:rsid w:val="00602452"/>
    <w:rsid w:val="00602636"/>
    <w:rsid w:val="006026CD"/>
    <w:rsid w:val="00602711"/>
    <w:rsid w:val="0060271C"/>
    <w:rsid w:val="00602775"/>
    <w:rsid w:val="006027B0"/>
    <w:rsid w:val="00602881"/>
    <w:rsid w:val="0060297E"/>
    <w:rsid w:val="006029BC"/>
    <w:rsid w:val="006029C1"/>
    <w:rsid w:val="00602A09"/>
    <w:rsid w:val="00602A4E"/>
    <w:rsid w:val="00602A76"/>
    <w:rsid w:val="00602BD1"/>
    <w:rsid w:val="00602C05"/>
    <w:rsid w:val="00602C73"/>
    <w:rsid w:val="00602CF5"/>
    <w:rsid w:val="00602D02"/>
    <w:rsid w:val="00602D3B"/>
    <w:rsid w:val="00602D44"/>
    <w:rsid w:val="00602ECB"/>
    <w:rsid w:val="00602F99"/>
    <w:rsid w:val="00603044"/>
    <w:rsid w:val="0060305D"/>
    <w:rsid w:val="006030A7"/>
    <w:rsid w:val="006030C6"/>
    <w:rsid w:val="006031F3"/>
    <w:rsid w:val="00603243"/>
    <w:rsid w:val="0060338F"/>
    <w:rsid w:val="006033E6"/>
    <w:rsid w:val="00603564"/>
    <w:rsid w:val="006035C4"/>
    <w:rsid w:val="00603648"/>
    <w:rsid w:val="00603707"/>
    <w:rsid w:val="00603768"/>
    <w:rsid w:val="006037D1"/>
    <w:rsid w:val="006037E1"/>
    <w:rsid w:val="006038F6"/>
    <w:rsid w:val="0060390B"/>
    <w:rsid w:val="00603919"/>
    <w:rsid w:val="006039CE"/>
    <w:rsid w:val="00603A06"/>
    <w:rsid w:val="00603A4B"/>
    <w:rsid w:val="00603A59"/>
    <w:rsid w:val="00603B32"/>
    <w:rsid w:val="00603B39"/>
    <w:rsid w:val="00603B9C"/>
    <w:rsid w:val="00603BC8"/>
    <w:rsid w:val="00603BFD"/>
    <w:rsid w:val="00603D62"/>
    <w:rsid w:val="00603F77"/>
    <w:rsid w:val="0060401E"/>
    <w:rsid w:val="006041A4"/>
    <w:rsid w:val="0060430D"/>
    <w:rsid w:val="006043A0"/>
    <w:rsid w:val="006043F7"/>
    <w:rsid w:val="006044EC"/>
    <w:rsid w:val="0060464F"/>
    <w:rsid w:val="0060465E"/>
    <w:rsid w:val="00604661"/>
    <w:rsid w:val="00604696"/>
    <w:rsid w:val="006046C0"/>
    <w:rsid w:val="0060474A"/>
    <w:rsid w:val="006047E3"/>
    <w:rsid w:val="0060485E"/>
    <w:rsid w:val="00604949"/>
    <w:rsid w:val="00604A6B"/>
    <w:rsid w:val="00604ACD"/>
    <w:rsid w:val="00604B76"/>
    <w:rsid w:val="00604D0E"/>
    <w:rsid w:val="00604D36"/>
    <w:rsid w:val="00604D71"/>
    <w:rsid w:val="00604DFE"/>
    <w:rsid w:val="00604E93"/>
    <w:rsid w:val="00604FC5"/>
    <w:rsid w:val="00605081"/>
    <w:rsid w:val="0060509B"/>
    <w:rsid w:val="006050F1"/>
    <w:rsid w:val="006051BF"/>
    <w:rsid w:val="0060524C"/>
    <w:rsid w:val="00605250"/>
    <w:rsid w:val="00605310"/>
    <w:rsid w:val="00605335"/>
    <w:rsid w:val="00605418"/>
    <w:rsid w:val="0060542C"/>
    <w:rsid w:val="00605491"/>
    <w:rsid w:val="006054EB"/>
    <w:rsid w:val="006054F5"/>
    <w:rsid w:val="006056E8"/>
    <w:rsid w:val="006057F9"/>
    <w:rsid w:val="00605979"/>
    <w:rsid w:val="006059A9"/>
    <w:rsid w:val="006059E8"/>
    <w:rsid w:val="00605A33"/>
    <w:rsid w:val="00605A65"/>
    <w:rsid w:val="00605B3C"/>
    <w:rsid w:val="00605C1D"/>
    <w:rsid w:val="00605DAE"/>
    <w:rsid w:val="00605EC3"/>
    <w:rsid w:val="00605EFE"/>
    <w:rsid w:val="0060612B"/>
    <w:rsid w:val="006061D7"/>
    <w:rsid w:val="006061E7"/>
    <w:rsid w:val="00606202"/>
    <w:rsid w:val="0060621E"/>
    <w:rsid w:val="00606252"/>
    <w:rsid w:val="00606299"/>
    <w:rsid w:val="006062E4"/>
    <w:rsid w:val="006064D4"/>
    <w:rsid w:val="0060650C"/>
    <w:rsid w:val="006066C3"/>
    <w:rsid w:val="00606851"/>
    <w:rsid w:val="00606B60"/>
    <w:rsid w:val="00606B91"/>
    <w:rsid w:val="00606BBA"/>
    <w:rsid w:val="00606BD5"/>
    <w:rsid w:val="00606C63"/>
    <w:rsid w:val="00606C7C"/>
    <w:rsid w:val="00606DBE"/>
    <w:rsid w:val="00606F09"/>
    <w:rsid w:val="00606F77"/>
    <w:rsid w:val="00606FF5"/>
    <w:rsid w:val="00607114"/>
    <w:rsid w:val="0060719B"/>
    <w:rsid w:val="006071EB"/>
    <w:rsid w:val="006072D8"/>
    <w:rsid w:val="00607343"/>
    <w:rsid w:val="00607384"/>
    <w:rsid w:val="006073C6"/>
    <w:rsid w:val="006073CA"/>
    <w:rsid w:val="0060746D"/>
    <w:rsid w:val="006075E8"/>
    <w:rsid w:val="00607609"/>
    <w:rsid w:val="00607630"/>
    <w:rsid w:val="00607636"/>
    <w:rsid w:val="0060768B"/>
    <w:rsid w:val="00607731"/>
    <w:rsid w:val="006077DC"/>
    <w:rsid w:val="00607841"/>
    <w:rsid w:val="006078A1"/>
    <w:rsid w:val="00607918"/>
    <w:rsid w:val="006079F2"/>
    <w:rsid w:val="00607B13"/>
    <w:rsid w:val="00607B1D"/>
    <w:rsid w:val="00607B84"/>
    <w:rsid w:val="00607BFD"/>
    <w:rsid w:val="00607E1B"/>
    <w:rsid w:val="00607EAE"/>
    <w:rsid w:val="00607F27"/>
    <w:rsid w:val="00607F88"/>
    <w:rsid w:val="0060D491"/>
    <w:rsid w:val="006100D2"/>
    <w:rsid w:val="00610191"/>
    <w:rsid w:val="00610294"/>
    <w:rsid w:val="00610406"/>
    <w:rsid w:val="006104DD"/>
    <w:rsid w:val="006104F3"/>
    <w:rsid w:val="006105F6"/>
    <w:rsid w:val="0061060E"/>
    <w:rsid w:val="00610794"/>
    <w:rsid w:val="006107D9"/>
    <w:rsid w:val="0061082F"/>
    <w:rsid w:val="00610960"/>
    <w:rsid w:val="0061096C"/>
    <w:rsid w:val="00610976"/>
    <w:rsid w:val="006109A7"/>
    <w:rsid w:val="00610A7D"/>
    <w:rsid w:val="00610AA0"/>
    <w:rsid w:val="00610AD7"/>
    <w:rsid w:val="00610BB1"/>
    <w:rsid w:val="00610C0C"/>
    <w:rsid w:val="00610D60"/>
    <w:rsid w:val="00610D83"/>
    <w:rsid w:val="00610D96"/>
    <w:rsid w:val="00610F57"/>
    <w:rsid w:val="00610F85"/>
    <w:rsid w:val="00611152"/>
    <w:rsid w:val="00611176"/>
    <w:rsid w:val="006111D6"/>
    <w:rsid w:val="006112D5"/>
    <w:rsid w:val="00611429"/>
    <w:rsid w:val="00611482"/>
    <w:rsid w:val="006114DE"/>
    <w:rsid w:val="00611504"/>
    <w:rsid w:val="006115EF"/>
    <w:rsid w:val="00611633"/>
    <w:rsid w:val="00611669"/>
    <w:rsid w:val="0061177F"/>
    <w:rsid w:val="00611A9A"/>
    <w:rsid w:val="00611C4D"/>
    <w:rsid w:val="00611C6C"/>
    <w:rsid w:val="00611CBD"/>
    <w:rsid w:val="00611D19"/>
    <w:rsid w:val="00611FD7"/>
    <w:rsid w:val="00611FDB"/>
    <w:rsid w:val="0061207C"/>
    <w:rsid w:val="006120C2"/>
    <w:rsid w:val="00612179"/>
    <w:rsid w:val="006121FA"/>
    <w:rsid w:val="006123A2"/>
    <w:rsid w:val="00612489"/>
    <w:rsid w:val="006124C7"/>
    <w:rsid w:val="0061262A"/>
    <w:rsid w:val="0061267F"/>
    <w:rsid w:val="00612713"/>
    <w:rsid w:val="00612755"/>
    <w:rsid w:val="0061276F"/>
    <w:rsid w:val="0061283E"/>
    <w:rsid w:val="006128CB"/>
    <w:rsid w:val="006129F1"/>
    <w:rsid w:val="00612A2C"/>
    <w:rsid w:val="00612AB4"/>
    <w:rsid w:val="00612BAF"/>
    <w:rsid w:val="00612BBD"/>
    <w:rsid w:val="00612BDB"/>
    <w:rsid w:val="00612C7C"/>
    <w:rsid w:val="00612D31"/>
    <w:rsid w:val="00612EF2"/>
    <w:rsid w:val="00612F74"/>
    <w:rsid w:val="00613015"/>
    <w:rsid w:val="00613039"/>
    <w:rsid w:val="0061316B"/>
    <w:rsid w:val="006132ED"/>
    <w:rsid w:val="006133B8"/>
    <w:rsid w:val="006133D8"/>
    <w:rsid w:val="006136CB"/>
    <w:rsid w:val="00613797"/>
    <w:rsid w:val="0061391A"/>
    <w:rsid w:val="006139B3"/>
    <w:rsid w:val="00613A97"/>
    <w:rsid w:val="00613AB9"/>
    <w:rsid w:val="00613ACC"/>
    <w:rsid w:val="00613B13"/>
    <w:rsid w:val="00613B72"/>
    <w:rsid w:val="00613D72"/>
    <w:rsid w:val="00613D7C"/>
    <w:rsid w:val="00613E58"/>
    <w:rsid w:val="00613EB9"/>
    <w:rsid w:val="00613EE4"/>
    <w:rsid w:val="00613F1E"/>
    <w:rsid w:val="00613F2F"/>
    <w:rsid w:val="00613F93"/>
    <w:rsid w:val="00614078"/>
    <w:rsid w:val="00614110"/>
    <w:rsid w:val="00614139"/>
    <w:rsid w:val="00614181"/>
    <w:rsid w:val="006143BB"/>
    <w:rsid w:val="00614420"/>
    <w:rsid w:val="0061446B"/>
    <w:rsid w:val="00614483"/>
    <w:rsid w:val="00614500"/>
    <w:rsid w:val="0061457B"/>
    <w:rsid w:val="006145C5"/>
    <w:rsid w:val="00614610"/>
    <w:rsid w:val="00614697"/>
    <w:rsid w:val="00614889"/>
    <w:rsid w:val="006148AC"/>
    <w:rsid w:val="00614903"/>
    <w:rsid w:val="00614919"/>
    <w:rsid w:val="00614978"/>
    <w:rsid w:val="00614AFC"/>
    <w:rsid w:val="00614B05"/>
    <w:rsid w:val="00614D79"/>
    <w:rsid w:val="00614D85"/>
    <w:rsid w:val="00614E05"/>
    <w:rsid w:val="00614F1A"/>
    <w:rsid w:val="00614F49"/>
    <w:rsid w:val="0061509A"/>
    <w:rsid w:val="0061512D"/>
    <w:rsid w:val="00615276"/>
    <w:rsid w:val="006152D6"/>
    <w:rsid w:val="00615446"/>
    <w:rsid w:val="0061546A"/>
    <w:rsid w:val="0061546F"/>
    <w:rsid w:val="006154EF"/>
    <w:rsid w:val="006155A9"/>
    <w:rsid w:val="006155B5"/>
    <w:rsid w:val="00615880"/>
    <w:rsid w:val="0061592B"/>
    <w:rsid w:val="006159BB"/>
    <w:rsid w:val="00615B7E"/>
    <w:rsid w:val="00615BF5"/>
    <w:rsid w:val="00615C45"/>
    <w:rsid w:val="00615E21"/>
    <w:rsid w:val="00615E89"/>
    <w:rsid w:val="00615F5D"/>
    <w:rsid w:val="00616113"/>
    <w:rsid w:val="0061617D"/>
    <w:rsid w:val="0061621C"/>
    <w:rsid w:val="0061626A"/>
    <w:rsid w:val="006162E4"/>
    <w:rsid w:val="006162FE"/>
    <w:rsid w:val="00616486"/>
    <w:rsid w:val="0061648B"/>
    <w:rsid w:val="006164EC"/>
    <w:rsid w:val="0061656C"/>
    <w:rsid w:val="006166BE"/>
    <w:rsid w:val="00616A30"/>
    <w:rsid w:val="00616A60"/>
    <w:rsid w:val="00616AEC"/>
    <w:rsid w:val="00616D2C"/>
    <w:rsid w:val="00616D3D"/>
    <w:rsid w:val="00616DA3"/>
    <w:rsid w:val="00616DD4"/>
    <w:rsid w:val="00616E62"/>
    <w:rsid w:val="00617044"/>
    <w:rsid w:val="006170FC"/>
    <w:rsid w:val="006171AC"/>
    <w:rsid w:val="006171E3"/>
    <w:rsid w:val="006172EA"/>
    <w:rsid w:val="0061742C"/>
    <w:rsid w:val="006174BE"/>
    <w:rsid w:val="006174EB"/>
    <w:rsid w:val="006175A0"/>
    <w:rsid w:val="00617621"/>
    <w:rsid w:val="00617699"/>
    <w:rsid w:val="00617822"/>
    <w:rsid w:val="006178E4"/>
    <w:rsid w:val="00617962"/>
    <w:rsid w:val="00617988"/>
    <w:rsid w:val="00617B57"/>
    <w:rsid w:val="00617C3F"/>
    <w:rsid w:val="00617CB5"/>
    <w:rsid w:val="00617D2C"/>
    <w:rsid w:val="00617D36"/>
    <w:rsid w:val="00617D6F"/>
    <w:rsid w:val="00617E38"/>
    <w:rsid w:val="00617E56"/>
    <w:rsid w:val="00617E85"/>
    <w:rsid w:val="00617EF8"/>
    <w:rsid w:val="00620096"/>
    <w:rsid w:val="006200B2"/>
    <w:rsid w:val="00620156"/>
    <w:rsid w:val="006201A1"/>
    <w:rsid w:val="00620214"/>
    <w:rsid w:val="0062039D"/>
    <w:rsid w:val="006203D0"/>
    <w:rsid w:val="0062050B"/>
    <w:rsid w:val="00620521"/>
    <w:rsid w:val="006205A2"/>
    <w:rsid w:val="006205B5"/>
    <w:rsid w:val="00620684"/>
    <w:rsid w:val="00620719"/>
    <w:rsid w:val="0062083C"/>
    <w:rsid w:val="00620890"/>
    <w:rsid w:val="00620950"/>
    <w:rsid w:val="00620A5C"/>
    <w:rsid w:val="00620A70"/>
    <w:rsid w:val="00620C1F"/>
    <w:rsid w:val="00620C7F"/>
    <w:rsid w:val="00620D49"/>
    <w:rsid w:val="00620D59"/>
    <w:rsid w:val="00620D84"/>
    <w:rsid w:val="00620DAE"/>
    <w:rsid w:val="00620DCC"/>
    <w:rsid w:val="00620EAE"/>
    <w:rsid w:val="00620F08"/>
    <w:rsid w:val="0062105C"/>
    <w:rsid w:val="0062119E"/>
    <w:rsid w:val="006211BA"/>
    <w:rsid w:val="006211DB"/>
    <w:rsid w:val="006211DD"/>
    <w:rsid w:val="00621265"/>
    <w:rsid w:val="006212FB"/>
    <w:rsid w:val="00621304"/>
    <w:rsid w:val="00621333"/>
    <w:rsid w:val="006213FE"/>
    <w:rsid w:val="0062151F"/>
    <w:rsid w:val="00621597"/>
    <w:rsid w:val="0062159C"/>
    <w:rsid w:val="006215DC"/>
    <w:rsid w:val="006216C9"/>
    <w:rsid w:val="0062171E"/>
    <w:rsid w:val="006217A0"/>
    <w:rsid w:val="00621828"/>
    <w:rsid w:val="0062197D"/>
    <w:rsid w:val="00621985"/>
    <w:rsid w:val="00621CAA"/>
    <w:rsid w:val="00621CF2"/>
    <w:rsid w:val="00621E6C"/>
    <w:rsid w:val="00621EC3"/>
    <w:rsid w:val="00622012"/>
    <w:rsid w:val="00622029"/>
    <w:rsid w:val="006221BA"/>
    <w:rsid w:val="006221CF"/>
    <w:rsid w:val="00622251"/>
    <w:rsid w:val="00622303"/>
    <w:rsid w:val="006224E9"/>
    <w:rsid w:val="0062253A"/>
    <w:rsid w:val="006225B7"/>
    <w:rsid w:val="006225EB"/>
    <w:rsid w:val="0062263C"/>
    <w:rsid w:val="00622668"/>
    <w:rsid w:val="0062285F"/>
    <w:rsid w:val="006229C1"/>
    <w:rsid w:val="00622B54"/>
    <w:rsid w:val="00622C1C"/>
    <w:rsid w:val="00622D42"/>
    <w:rsid w:val="00622D5E"/>
    <w:rsid w:val="00622D8B"/>
    <w:rsid w:val="00622EAC"/>
    <w:rsid w:val="0062304E"/>
    <w:rsid w:val="00623138"/>
    <w:rsid w:val="0062321B"/>
    <w:rsid w:val="0062334A"/>
    <w:rsid w:val="00623366"/>
    <w:rsid w:val="00623437"/>
    <w:rsid w:val="006234CD"/>
    <w:rsid w:val="00623543"/>
    <w:rsid w:val="0062359C"/>
    <w:rsid w:val="006235E9"/>
    <w:rsid w:val="0062365E"/>
    <w:rsid w:val="00623688"/>
    <w:rsid w:val="0062374F"/>
    <w:rsid w:val="00623812"/>
    <w:rsid w:val="00623837"/>
    <w:rsid w:val="00623ACA"/>
    <w:rsid w:val="00623BBA"/>
    <w:rsid w:val="00623CC0"/>
    <w:rsid w:val="00623D2D"/>
    <w:rsid w:val="00623FD7"/>
    <w:rsid w:val="006241C0"/>
    <w:rsid w:val="0062433B"/>
    <w:rsid w:val="00624392"/>
    <w:rsid w:val="0062442E"/>
    <w:rsid w:val="006245E2"/>
    <w:rsid w:val="00624677"/>
    <w:rsid w:val="006246C0"/>
    <w:rsid w:val="00624733"/>
    <w:rsid w:val="0062487C"/>
    <w:rsid w:val="0062488A"/>
    <w:rsid w:val="00624ACF"/>
    <w:rsid w:val="00624AEB"/>
    <w:rsid w:val="00624B7E"/>
    <w:rsid w:val="00624CF1"/>
    <w:rsid w:val="00624D63"/>
    <w:rsid w:val="00624D73"/>
    <w:rsid w:val="00624D80"/>
    <w:rsid w:val="00624D9E"/>
    <w:rsid w:val="00624E50"/>
    <w:rsid w:val="00624EA9"/>
    <w:rsid w:val="00624F80"/>
    <w:rsid w:val="00624F99"/>
    <w:rsid w:val="00624FA6"/>
    <w:rsid w:val="00624FDB"/>
    <w:rsid w:val="006250CA"/>
    <w:rsid w:val="006251EF"/>
    <w:rsid w:val="0062522B"/>
    <w:rsid w:val="0062527F"/>
    <w:rsid w:val="00625289"/>
    <w:rsid w:val="006252AD"/>
    <w:rsid w:val="00625323"/>
    <w:rsid w:val="0062534C"/>
    <w:rsid w:val="00625350"/>
    <w:rsid w:val="006253BA"/>
    <w:rsid w:val="006254C1"/>
    <w:rsid w:val="0062556C"/>
    <w:rsid w:val="0062557C"/>
    <w:rsid w:val="006255B6"/>
    <w:rsid w:val="006255FA"/>
    <w:rsid w:val="006256EA"/>
    <w:rsid w:val="00625736"/>
    <w:rsid w:val="00625813"/>
    <w:rsid w:val="00625815"/>
    <w:rsid w:val="0062586F"/>
    <w:rsid w:val="006258AA"/>
    <w:rsid w:val="006258B8"/>
    <w:rsid w:val="00625A59"/>
    <w:rsid w:val="00625AE1"/>
    <w:rsid w:val="00625C31"/>
    <w:rsid w:val="00625CC4"/>
    <w:rsid w:val="00625D0E"/>
    <w:rsid w:val="00625D2C"/>
    <w:rsid w:val="00625D77"/>
    <w:rsid w:val="00625DC0"/>
    <w:rsid w:val="00625DD7"/>
    <w:rsid w:val="00625E0C"/>
    <w:rsid w:val="00625E14"/>
    <w:rsid w:val="00625E54"/>
    <w:rsid w:val="00625E65"/>
    <w:rsid w:val="00625E70"/>
    <w:rsid w:val="00625EDF"/>
    <w:rsid w:val="00625FA8"/>
    <w:rsid w:val="006260B2"/>
    <w:rsid w:val="00626228"/>
    <w:rsid w:val="006262BA"/>
    <w:rsid w:val="0062632F"/>
    <w:rsid w:val="006263B4"/>
    <w:rsid w:val="006263BE"/>
    <w:rsid w:val="00626464"/>
    <w:rsid w:val="0062646C"/>
    <w:rsid w:val="006265EB"/>
    <w:rsid w:val="006265FE"/>
    <w:rsid w:val="00626625"/>
    <w:rsid w:val="0062662B"/>
    <w:rsid w:val="0062667F"/>
    <w:rsid w:val="006266D5"/>
    <w:rsid w:val="006268B0"/>
    <w:rsid w:val="00626941"/>
    <w:rsid w:val="006269C2"/>
    <w:rsid w:val="00626A01"/>
    <w:rsid w:val="00626A88"/>
    <w:rsid w:val="00626B3C"/>
    <w:rsid w:val="00626DF9"/>
    <w:rsid w:val="00626E03"/>
    <w:rsid w:val="00626E7E"/>
    <w:rsid w:val="0062711B"/>
    <w:rsid w:val="00627167"/>
    <w:rsid w:val="0062716D"/>
    <w:rsid w:val="006271B8"/>
    <w:rsid w:val="006271D1"/>
    <w:rsid w:val="0062727E"/>
    <w:rsid w:val="0062753A"/>
    <w:rsid w:val="0062764B"/>
    <w:rsid w:val="006277BB"/>
    <w:rsid w:val="0062782F"/>
    <w:rsid w:val="00627AAD"/>
    <w:rsid w:val="00627AF4"/>
    <w:rsid w:val="00627B2C"/>
    <w:rsid w:val="00627B3C"/>
    <w:rsid w:val="00627CB5"/>
    <w:rsid w:val="00627CE1"/>
    <w:rsid w:val="00627D5D"/>
    <w:rsid w:val="00627F5A"/>
    <w:rsid w:val="00627F7A"/>
    <w:rsid w:val="00630096"/>
    <w:rsid w:val="006300B8"/>
    <w:rsid w:val="006301BB"/>
    <w:rsid w:val="00630253"/>
    <w:rsid w:val="00630267"/>
    <w:rsid w:val="00630269"/>
    <w:rsid w:val="00630379"/>
    <w:rsid w:val="006303CF"/>
    <w:rsid w:val="00630414"/>
    <w:rsid w:val="006304FA"/>
    <w:rsid w:val="00630598"/>
    <w:rsid w:val="00630621"/>
    <w:rsid w:val="0063070A"/>
    <w:rsid w:val="006307E6"/>
    <w:rsid w:val="006308CF"/>
    <w:rsid w:val="0063092D"/>
    <w:rsid w:val="00630950"/>
    <w:rsid w:val="0063095C"/>
    <w:rsid w:val="00630AEC"/>
    <w:rsid w:val="00630BBB"/>
    <w:rsid w:val="00630BDC"/>
    <w:rsid w:val="00630CFF"/>
    <w:rsid w:val="00630D36"/>
    <w:rsid w:val="00630DAC"/>
    <w:rsid w:val="00630DE9"/>
    <w:rsid w:val="00630E64"/>
    <w:rsid w:val="00630F5B"/>
    <w:rsid w:val="00630FC3"/>
    <w:rsid w:val="00631007"/>
    <w:rsid w:val="0063101A"/>
    <w:rsid w:val="006310D1"/>
    <w:rsid w:val="00631114"/>
    <w:rsid w:val="00631119"/>
    <w:rsid w:val="00631182"/>
    <w:rsid w:val="006311BB"/>
    <w:rsid w:val="00631495"/>
    <w:rsid w:val="00631511"/>
    <w:rsid w:val="0063156C"/>
    <w:rsid w:val="006315F2"/>
    <w:rsid w:val="0063162E"/>
    <w:rsid w:val="00631631"/>
    <w:rsid w:val="00631668"/>
    <w:rsid w:val="0063172C"/>
    <w:rsid w:val="00631810"/>
    <w:rsid w:val="006318E1"/>
    <w:rsid w:val="00631A59"/>
    <w:rsid w:val="00631C61"/>
    <w:rsid w:val="00631C63"/>
    <w:rsid w:val="00631CED"/>
    <w:rsid w:val="00631E2A"/>
    <w:rsid w:val="00631E7A"/>
    <w:rsid w:val="00631F41"/>
    <w:rsid w:val="00631FCE"/>
    <w:rsid w:val="0063204A"/>
    <w:rsid w:val="0063204E"/>
    <w:rsid w:val="006321DC"/>
    <w:rsid w:val="0063226D"/>
    <w:rsid w:val="006322B3"/>
    <w:rsid w:val="006322B7"/>
    <w:rsid w:val="006322E2"/>
    <w:rsid w:val="00632360"/>
    <w:rsid w:val="00632472"/>
    <w:rsid w:val="00632491"/>
    <w:rsid w:val="006324AF"/>
    <w:rsid w:val="006326DD"/>
    <w:rsid w:val="006327DB"/>
    <w:rsid w:val="006327E7"/>
    <w:rsid w:val="00632916"/>
    <w:rsid w:val="006329CC"/>
    <w:rsid w:val="00632A18"/>
    <w:rsid w:val="00632A31"/>
    <w:rsid w:val="00632A50"/>
    <w:rsid w:val="00632B3B"/>
    <w:rsid w:val="00632D31"/>
    <w:rsid w:val="00632D46"/>
    <w:rsid w:val="00632D92"/>
    <w:rsid w:val="00632DA7"/>
    <w:rsid w:val="00632DFF"/>
    <w:rsid w:val="00632E24"/>
    <w:rsid w:val="00632E44"/>
    <w:rsid w:val="00632E8F"/>
    <w:rsid w:val="00632E9D"/>
    <w:rsid w:val="00632F09"/>
    <w:rsid w:val="00632F3E"/>
    <w:rsid w:val="00632FDC"/>
    <w:rsid w:val="0063303B"/>
    <w:rsid w:val="006330DE"/>
    <w:rsid w:val="006330E7"/>
    <w:rsid w:val="0063316D"/>
    <w:rsid w:val="0063319A"/>
    <w:rsid w:val="00633264"/>
    <w:rsid w:val="006332C3"/>
    <w:rsid w:val="006332D1"/>
    <w:rsid w:val="0063332F"/>
    <w:rsid w:val="006333A9"/>
    <w:rsid w:val="00633496"/>
    <w:rsid w:val="006335AD"/>
    <w:rsid w:val="006335BA"/>
    <w:rsid w:val="00633832"/>
    <w:rsid w:val="006338EE"/>
    <w:rsid w:val="0063396B"/>
    <w:rsid w:val="006339D7"/>
    <w:rsid w:val="00633A3E"/>
    <w:rsid w:val="00633B24"/>
    <w:rsid w:val="00633C30"/>
    <w:rsid w:val="00633C80"/>
    <w:rsid w:val="00633D3C"/>
    <w:rsid w:val="00633D7A"/>
    <w:rsid w:val="00633D7E"/>
    <w:rsid w:val="00633DBB"/>
    <w:rsid w:val="00633ED4"/>
    <w:rsid w:val="006340AD"/>
    <w:rsid w:val="006340D5"/>
    <w:rsid w:val="00634195"/>
    <w:rsid w:val="006342D4"/>
    <w:rsid w:val="0063434D"/>
    <w:rsid w:val="0063443B"/>
    <w:rsid w:val="0063445B"/>
    <w:rsid w:val="006346AB"/>
    <w:rsid w:val="006346DF"/>
    <w:rsid w:val="00634864"/>
    <w:rsid w:val="006348B0"/>
    <w:rsid w:val="006348EF"/>
    <w:rsid w:val="006349ED"/>
    <w:rsid w:val="00634B85"/>
    <w:rsid w:val="00634BF5"/>
    <w:rsid w:val="00634D30"/>
    <w:rsid w:val="00634D8B"/>
    <w:rsid w:val="00634D9A"/>
    <w:rsid w:val="00634ED4"/>
    <w:rsid w:val="00634ED9"/>
    <w:rsid w:val="0063505A"/>
    <w:rsid w:val="006352C4"/>
    <w:rsid w:val="0063535A"/>
    <w:rsid w:val="00635369"/>
    <w:rsid w:val="00635460"/>
    <w:rsid w:val="0063547D"/>
    <w:rsid w:val="006355A2"/>
    <w:rsid w:val="006355FD"/>
    <w:rsid w:val="006356B0"/>
    <w:rsid w:val="006356C9"/>
    <w:rsid w:val="0063573A"/>
    <w:rsid w:val="00635784"/>
    <w:rsid w:val="00635795"/>
    <w:rsid w:val="0063583C"/>
    <w:rsid w:val="0063585A"/>
    <w:rsid w:val="006358C7"/>
    <w:rsid w:val="006358F9"/>
    <w:rsid w:val="00635ACA"/>
    <w:rsid w:val="00635CF8"/>
    <w:rsid w:val="00635D35"/>
    <w:rsid w:val="00635D7B"/>
    <w:rsid w:val="00635E4C"/>
    <w:rsid w:val="00635F52"/>
    <w:rsid w:val="0063602C"/>
    <w:rsid w:val="0063603A"/>
    <w:rsid w:val="00636197"/>
    <w:rsid w:val="00636212"/>
    <w:rsid w:val="00636223"/>
    <w:rsid w:val="00636232"/>
    <w:rsid w:val="006364D6"/>
    <w:rsid w:val="00636522"/>
    <w:rsid w:val="0063662B"/>
    <w:rsid w:val="00636633"/>
    <w:rsid w:val="0063686B"/>
    <w:rsid w:val="0063690C"/>
    <w:rsid w:val="00636A5D"/>
    <w:rsid w:val="00636B7D"/>
    <w:rsid w:val="00636C6A"/>
    <w:rsid w:val="00636CAC"/>
    <w:rsid w:val="00636D16"/>
    <w:rsid w:val="00636E58"/>
    <w:rsid w:val="00636E87"/>
    <w:rsid w:val="00636EA6"/>
    <w:rsid w:val="00636F93"/>
    <w:rsid w:val="00636FFD"/>
    <w:rsid w:val="0063719C"/>
    <w:rsid w:val="00637373"/>
    <w:rsid w:val="00637488"/>
    <w:rsid w:val="006374AE"/>
    <w:rsid w:val="00637555"/>
    <w:rsid w:val="006375A0"/>
    <w:rsid w:val="006375AB"/>
    <w:rsid w:val="0063768F"/>
    <w:rsid w:val="00637815"/>
    <w:rsid w:val="00637869"/>
    <w:rsid w:val="006378BF"/>
    <w:rsid w:val="00637946"/>
    <w:rsid w:val="0063798F"/>
    <w:rsid w:val="00637B25"/>
    <w:rsid w:val="00637BA0"/>
    <w:rsid w:val="00637C4A"/>
    <w:rsid w:val="00637D03"/>
    <w:rsid w:val="00637EFC"/>
    <w:rsid w:val="00640098"/>
    <w:rsid w:val="0064015D"/>
    <w:rsid w:val="0064020B"/>
    <w:rsid w:val="00640232"/>
    <w:rsid w:val="006404F0"/>
    <w:rsid w:val="006405A3"/>
    <w:rsid w:val="006405AF"/>
    <w:rsid w:val="0064062A"/>
    <w:rsid w:val="00640661"/>
    <w:rsid w:val="006406A5"/>
    <w:rsid w:val="006407D5"/>
    <w:rsid w:val="006407FC"/>
    <w:rsid w:val="00640865"/>
    <w:rsid w:val="006408F4"/>
    <w:rsid w:val="006408FE"/>
    <w:rsid w:val="00640987"/>
    <w:rsid w:val="00640989"/>
    <w:rsid w:val="0064099A"/>
    <w:rsid w:val="00640A0B"/>
    <w:rsid w:val="00640D1B"/>
    <w:rsid w:val="00640DDD"/>
    <w:rsid w:val="00640E56"/>
    <w:rsid w:val="00640EEC"/>
    <w:rsid w:val="00640FB8"/>
    <w:rsid w:val="006410F3"/>
    <w:rsid w:val="006413AA"/>
    <w:rsid w:val="006413E7"/>
    <w:rsid w:val="0064149A"/>
    <w:rsid w:val="006414BA"/>
    <w:rsid w:val="0064185E"/>
    <w:rsid w:val="00641AA8"/>
    <w:rsid w:val="00641AD9"/>
    <w:rsid w:val="00641BF3"/>
    <w:rsid w:val="00641C75"/>
    <w:rsid w:val="00641D16"/>
    <w:rsid w:val="00641DDF"/>
    <w:rsid w:val="00641E68"/>
    <w:rsid w:val="00641F58"/>
    <w:rsid w:val="00641F8F"/>
    <w:rsid w:val="00641FA9"/>
    <w:rsid w:val="00641FC4"/>
    <w:rsid w:val="00641FF1"/>
    <w:rsid w:val="00642027"/>
    <w:rsid w:val="00642093"/>
    <w:rsid w:val="0064213A"/>
    <w:rsid w:val="00642180"/>
    <w:rsid w:val="00642311"/>
    <w:rsid w:val="00642518"/>
    <w:rsid w:val="006426F5"/>
    <w:rsid w:val="0064274B"/>
    <w:rsid w:val="006427EB"/>
    <w:rsid w:val="0064294D"/>
    <w:rsid w:val="00642A1B"/>
    <w:rsid w:val="00642A3A"/>
    <w:rsid w:val="00642ABF"/>
    <w:rsid w:val="00642B29"/>
    <w:rsid w:val="00642C33"/>
    <w:rsid w:val="00642DBD"/>
    <w:rsid w:val="00642E52"/>
    <w:rsid w:val="00642E85"/>
    <w:rsid w:val="00642F26"/>
    <w:rsid w:val="00642F82"/>
    <w:rsid w:val="00643042"/>
    <w:rsid w:val="00643162"/>
    <w:rsid w:val="0064335C"/>
    <w:rsid w:val="00643373"/>
    <w:rsid w:val="0064356C"/>
    <w:rsid w:val="006435EA"/>
    <w:rsid w:val="0064368C"/>
    <w:rsid w:val="00643756"/>
    <w:rsid w:val="006437D3"/>
    <w:rsid w:val="00643807"/>
    <w:rsid w:val="00643835"/>
    <w:rsid w:val="00643A1F"/>
    <w:rsid w:val="00643B95"/>
    <w:rsid w:val="00643B99"/>
    <w:rsid w:val="00643C05"/>
    <w:rsid w:val="00643C2C"/>
    <w:rsid w:val="00643C50"/>
    <w:rsid w:val="00643CED"/>
    <w:rsid w:val="00643D15"/>
    <w:rsid w:val="00643D3C"/>
    <w:rsid w:val="00643D8F"/>
    <w:rsid w:val="00643E1B"/>
    <w:rsid w:val="00643FA9"/>
    <w:rsid w:val="00643FD1"/>
    <w:rsid w:val="00644011"/>
    <w:rsid w:val="006440BE"/>
    <w:rsid w:val="006441B4"/>
    <w:rsid w:val="006441D7"/>
    <w:rsid w:val="00644251"/>
    <w:rsid w:val="00644267"/>
    <w:rsid w:val="00644285"/>
    <w:rsid w:val="006442E9"/>
    <w:rsid w:val="0064431E"/>
    <w:rsid w:val="00644381"/>
    <w:rsid w:val="0064474B"/>
    <w:rsid w:val="006447AE"/>
    <w:rsid w:val="006447F5"/>
    <w:rsid w:val="0064485B"/>
    <w:rsid w:val="0064487B"/>
    <w:rsid w:val="0064492A"/>
    <w:rsid w:val="00644944"/>
    <w:rsid w:val="006449EC"/>
    <w:rsid w:val="00644A3E"/>
    <w:rsid w:val="00644AC8"/>
    <w:rsid w:val="00644AFA"/>
    <w:rsid w:val="00644B67"/>
    <w:rsid w:val="00644BA5"/>
    <w:rsid w:val="00644BB0"/>
    <w:rsid w:val="00644C86"/>
    <w:rsid w:val="00644CCA"/>
    <w:rsid w:val="00644D05"/>
    <w:rsid w:val="00644E4C"/>
    <w:rsid w:val="00644EF3"/>
    <w:rsid w:val="00644F37"/>
    <w:rsid w:val="00644F3F"/>
    <w:rsid w:val="00644F65"/>
    <w:rsid w:val="006450DE"/>
    <w:rsid w:val="006452B7"/>
    <w:rsid w:val="00645326"/>
    <w:rsid w:val="00645568"/>
    <w:rsid w:val="0064561F"/>
    <w:rsid w:val="00645690"/>
    <w:rsid w:val="006456B6"/>
    <w:rsid w:val="00645732"/>
    <w:rsid w:val="006457DB"/>
    <w:rsid w:val="0064595F"/>
    <w:rsid w:val="0064597B"/>
    <w:rsid w:val="00645A0B"/>
    <w:rsid w:val="00645AF5"/>
    <w:rsid w:val="00645BB5"/>
    <w:rsid w:val="00645CE1"/>
    <w:rsid w:val="00645D62"/>
    <w:rsid w:val="00645EC6"/>
    <w:rsid w:val="00645FD0"/>
    <w:rsid w:val="00645FE2"/>
    <w:rsid w:val="00646027"/>
    <w:rsid w:val="00646112"/>
    <w:rsid w:val="0064616B"/>
    <w:rsid w:val="00646192"/>
    <w:rsid w:val="006462A7"/>
    <w:rsid w:val="0064631B"/>
    <w:rsid w:val="00646350"/>
    <w:rsid w:val="006463B5"/>
    <w:rsid w:val="0064642B"/>
    <w:rsid w:val="00646561"/>
    <w:rsid w:val="00646864"/>
    <w:rsid w:val="00646975"/>
    <w:rsid w:val="00646B15"/>
    <w:rsid w:val="00646B62"/>
    <w:rsid w:val="00646B67"/>
    <w:rsid w:val="00646BAF"/>
    <w:rsid w:val="00646BE0"/>
    <w:rsid w:val="00646DA5"/>
    <w:rsid w:val="00646E0D"/>
    <w:rsid w:val="006470F7"/>
    <w:rsid w:val="00647121"/>
    <w:rsid w:val="006473D6"/>
    <w:rsid w:val="006474AA"/>
    <w:rsid w:val="006474BA"/>
    <w:rsid w:val="0064776F"/>
    <w:rsid w:val="006477BA"/>
    <w:rsid w:val="00647840"/>
    <w:rsid w:val="006478F6"/>
    <w:rsid w:val="00647998"/>
    <w:rsid w:val="006479BA"/>
    <w:rsid w:val="00647A83"/>
    <w:rsid w:val="00647ABE"/>
    <w:rsid w:val="00647AD0"/>
    <w:rsid w:val="00647BA7"/>
    <w:rsid w:val="00647CF5"/>
    <w:rsid w:val="00647EA2"/>
    <w:rsid w:val="00647EED"/>
    <w:rsid w:val="00647F95"/>
    <w:rsid w:val="00647FA5"/>
    <w:rsid w:val="00647FD9"/>
    <w:rsid w:val="00650135"/>
    <w:rsid w:val="00650231"/>
    <w:rsid w:val="006502D6"/>
    <w:rsid w:val="00650300"/>
    <w:rsid w:val="0065042C"/>
    <w:rsid w:val="00650494"/>
    <w:rsid w:val="0065057D"/>
    <w:rsid w:val="0065069A"/>
    <w:rsid w:val="006507BF"/>
    <w:rsid w:val="00650B44"/>
    <w:rsid w:val="00650D34"/>
    <w:rsid w:val="00650D3D"/>
    <w:rsid w:val="00650F12"/>
    <w:rsid w:val="00650FFD"/>
    <w:rsid w:val="00651136"/>
    <w:rsid w:val="00651200"/>
    <w:rsid w:val="00651203"/>
    <w:rsid w:val="0065123D"/>
    <w:rsid w:val="006514F7"/>
    <w:rsid w:val="00651547"/>
    <w:rsid w:val="006515A7"/>
    <w:rsid w:val="006515B8"/>
    <w:rsid w:val="0065173C"/>
    <w:rsid w:val="00651766"/>
    <w:rsid w:val="006517A6"/>
    <w:rsid w:val="006517D4"/>
    <w:rsid w:val="00651843"/>
    <w:rsid w:val="00651931"/>
    <w:rsid w:val="0065198D"/>
    <w:rsid w:val="00651B42"/>
    <w:rsid w:val="00651BE3"/>
    <w:rsid w:val="00651C30"/>
    <w:rsid w:val="00651CDA"/>
    <w:rsid w:val="006521C1"/>
    <w:rsid w:val="00652213"/>
    <w:rsid w:val="00652329"/>
    <w:rsid w:val="00652457"/>
    <w:rsid w:val="006528FE"/>
    <w:rsid w:val="006529B7"/>
    <w:rsid w:val="00652C01"/>
    <w:rsid w:val="00653064"/>
    <w:rsid w:val="006530C9"/>
    <w:rsid w:val="00653179"/>
    <w:rsid w:val="00653239"/>
    <w:rsid w:val="0065341C"/>
    <w:rsid w:val="00653438"/>
    <w:rsid w:val="00653454"/>
    <w:rsid w:val="00653488"/>
    <w:rsid w:val="00653492"/>
    <w:rsid w:val="00653528"/>
    <w:rsid w:val="006535CB"/>
    <w:rsid w:val="00653725"/>
    <w:rsid w:val="00653744"/>
    <w:rsid w:val="006538CE"/>
    <w:rsid w:val="00653949"/>
    <w:rsid w:val="00653986"/>
    <w:rsid w:val="006539FB"/>
    <w:rsid w:val="00653AEE"/>
    <w:rsid w:val="00653B06"/>
    <w:rsid w:val="00653C12"/>
    <w:rsid w:val="00653E8B"/>
    <w:rsid w:val="00653F62"/>
    <w:rsid w:val="00653F9D"/>
    <w:rsid w:val="00654053"/>
    <w:rsid w:val="006540B6"/>
    <w:rsid w:val="0065418B"/>
    <w:rsid w:val="006542E6"/>
    <w:rsid w:val="0065433C"/>
    <w:rsid w:val="006543BB"/>
    <w:rsid w:val="006543E6"/>
    <w:rsid w:val="006543FC"/>
    <w:rsid w:val="00654559"/>
    <w:rsid w:val="00654570"/>
    <w:rsid w:val="00654579"/>
    <w:rsid w:val="006545D5"/>
    <w:rsid w:val="006545FD"/>
    <w:rsid w:val="00654646"/>
    <w:rsid w:val="0065473E"/>
    <w:rsid w:val="0065479E"/>
    <w:rsid w:val="006547B4"/>
    <w:rsid w:val="0065488A"/>
    <w:rsid w:val="006548BB"/>
    <w:rsid w:val="006548C4"/>
    <w:rsid w:val="00654957"/>
    <w:rsid w:val="006549F7"/>
    <w:rsid w:val="00654A2E"/>
    <w:rsid w:val="00654B00"/>
    <w:rsid w:val="00654B90"/>
    <w:rsid w:val="00654C60"/>
    <w:rsid w:val="00654DF6"/>
    <w:rsid w:val="00654E36"/>
    <w:rsid w:val="00654FE4"/>
    <w:rsid w:val="0065525C"/>
    <w:rsid w:val="0065535C"/>
    <w:rsid w:val="006553A3"/>
    <w:rsid w:val="006553A6"/>
    <w:rsid w:val="006553AC"/>
    <w:rsid w:val="00655515"/>
    <w:rsid w:val="00655610"/>
    <w:rsid w:val="0065567C"/>
    <w:rsid w:val="00655717"/>
    <w:rsid w:val="00655732"/>
    <w:rsid w:val="006557E3"/>
    <w:rsid w:val="00655820"/>
    <w:rsid w:val="006558F9"/>
    <w:rsid w:val="006558FD"/>
    <w:rsid w:val="006559BA"/>
    <w:rsid w:val="00655AB4"/>
    <w:rsid w:val="00655ACD"/>
    <w:rsid w:val="00655BE9"/>
    <w:rsid w:val="00655EE5"/>
    <w:rsid w:val="00655F39"/>
    <w:rsid w:val="00655F53"/>
    <w:rsid w:val="0065612E"/>
    <w:rsid w:val="006561CE"/>
    <w:rsid w:val="00656396"/>
    <w:rsid w:val="006563C4"/>
    <w:rsid w:val="006564EC"/>
    <w:rsid w:val="006565B2"/>
    <w:rsid w:val="006565CC"/>
    <w:rsid w:val="006566E6"/>
    <w:rsid w:val="00656722"/>
    <w:rsid w:val="006569FF"/>
    <w:rsid w:val="00656B48"/>
    <w:rsid w:val="00656C55"/>
    <w:rsid w:val="00656D1C"/>
    <w:rsid w:val="00656D92"/>
    <w:rsid w:val="00656E72"/>
    <w:rsid w:val="00656EF5"/>
    <w:rsid w:val="00656FA1"/>
    <w:rsid w:val="00656FBB"/>
    <w:rsid w:val="006570F6"/>
    <w:rsid w:val="006572ED"/>
    <w:rsid w:val="0065737F"/>
    <w:rsid w:val="0065741D"/>
    <w:rsid w:val="00657451"/>
    <w:rsid w:val="00657600"/>
    <w:rsid w:val="00657640"/>
    <w:rsid w:val="0065775B"/>
    <w:rsid w:val="006577B5"/>
    <w:rsid w:val="006577F9"/>
    <w:rsid w:val="00657827"/>
    <w:rsid w:val="006578B2"/>
    <w:rsid w:val="00657951"/>
    <w:rsid w:val="006579BB"/>
    <w:rsid w:val="00657BC2"/>
    <w:rsid w:val="00657E83"/>
    <w:rsid w:val="00657FA0"/>
    <w:rsid w:val="0066022E"/>
    <w:rsid w:val="00660292"/>
    <w:rsid w:val="006602AD"/>
    <w:rsid w:val="0066030F"/>
    <w:rsid w:val="00660450"/>
    <w:rsid w:val="006604B5"/>
    <w:rsid w:val="00660649"/>
    <w:rsid w:val="00660650"/>
    <w:rsid w:val="00660792"/>
    <w:rsid w:val="0066095D"/>
    <w:rsid w:val="00660A59"/>
    <w:rsid w:val="00660A9F"/>
    <w:rsid w:val="00660B03"/>
    <w:rsid w:val="00660B5C"/>
    <w:rsid w:val="00660B64"/>
    <w:rsid w:val="00660CB1"/>
    <w:rsid w:val="00660CE6"/>
    <w:rsid w:val="00660D6A"/>
    <w:rsid w:val="00660D80"/>
    <w:rsid w:val="00660DC7"/>
    <w:rsid w:val="00660DCA"/>
    <w:rsid w:val="00660F6F"/>
    <w:rsid w:val="00660FF8"/>
    <w:rsid w:val="00661042"/>
    <w:rsid w:val="006610C3"/>
    <w:rsid w:val="00661202"/>
    <w:rsid w:val="00661211"/>
    <w:rsid w:val="006612ED"/>
    <w:rsid w:val="00661301"/>
    <w:rsid w:val="0066137A"/>
    <w:rsid w:val="0066147E"/>
    <w:rsid w:val="00661536"/>
    <w:rsid w:val="00661567"/>
    <w:rsid w:val="006616A2"/>
    <w:rsid w:val="006616AB"/>
    <w:rsid w:val="006617A5"/>
    <w:rsid w:val="00661829"/>
    <w:rsid w:val="006618FC"/>
    <w:rsid w:val="0066191E"/>
    <w:rsid w:val="00661A1C"/>
    <w:rsid w:val="00661A2E"/>
    <w:rsid w:val="00661B13"/>
    <w:rsid w:val="00661B3C"/>
    <w:rsid w:val="00661B49"/>
    <w:rsid w:val="00661B7A"/>
    <w:rsid w:val="00661BC3"/>
    <w:rsid w:val="00661D14"/>
    <w:rsid w:val="00661DD6"/>
    <w:rsid w:val="00661FE1"/>
    <w:rsid w:val="00662265"/>
    <w:rsid w:val="00662332"/>
    <w:rsid w:val="00662512"/>
    <w:rsid w:val="0066270A"/>
    <w:rsid w:val="00662750"/>
    <w:rsid w:val="00662779"/>
    <w:rsid w:val="006629B0"/>
    <w:rsid w:val="00662A9E"/>
    <w:rsid w:val="00662D5F"/>
    <w:rsid w:val="00662D9B"/>
    <w:rsid w:val="00662E91"/>
    <w:rsid w:val="00662F71"/>
    <w:rsid w:val="00662F72"/>
    <w:rsid w:val="0066306E"/>
    <w:rsid w:val="00663153"/>
    <w:rsid w:val="00663157"/>
    <w:rsid w:val="0066324F"/>
    <w:rsid w:val="0066338D"/>
    <w:rsid w:val="006633E0"/>
    <w:rsid w:val="006633E7"/>
    <w:rsid w:val="0066345A"/>
    <w:rsid w:val="0066349C"/>
    <w:rsid w:val="006634BE"/>
    <w:rsid w:val="00663556"/>
    <w:rsid w:val="00663584"/>
    <w:rsid w:val="006635D1"/>
    <w:rsid w:val="00663678"/>
    <w:rsid w:val="0066383D"/>
    <w:rsid w:val="00663841"/>
    <w:rsid w:val="00663888"/>
    <w:rsid w:val="006638DC"/>
    <w:rsid w:val="00663949"/>
    <w:rsid w:val="006639AD"/>
    <w:rsid w:val="00663AFC"/>
    <w:rsid w:val="00663C5C"/>
    <w:rsid w:val="00663E44"/>
    <w:rsid w:val="00663ECB"/>
    <w:rsid w:val="00664030"/>
    <w:rsid w:val="00664085"/>
    <w:rsid w:val="00664110"/>
    <w:rsid w:val="0066411C"/>
    <w:rsid w:val="0066414C"/>
    <w:rsid w:val="006641F4"/>
    <w:rsid w:val="00664379"/>
    <w:rsid w:val="0066438B"/>
    <w:rsid w:val="00664557"/>
    <w:rsid w:val="006645AA"/>
    <w:rsid w:val="00664648"/>
    <w:rsid w:val="0066470A"/>
    <w:rsid w:val="0066479C"/>
    <w:rsid w:val="006647DB"/>
    <w:rsid w:val="00664810"/>
    <w:rsid w:val="006648D8"/>
    <w:rsid w:val="006649C1"/>
    <w:rsid w:val="006649F7"/>
    <w:rsid w:val="00664C1C"/>
    <w:rsid w:val="00664CE8"/>
    <w:rsid w:val="00664D62"/>
    <w:rsid w:val="00664D7A"/>
    <w:rsid w:val="00664DBC"/>
    <w:rsid w:val="00664DE9"/>
    <w:rsid w:val="00664E26"/>
    <w:rsid w:val="00664EFB"/>
    <w:rsid w:val="00664F33"/>
    <w:rsid w:val="0066508A"/>
    <w:rsid w:val="0066512B"/>
    <w:rsid w:val="006652E2"/>
    <w:rsid w:val="006652F5"/>
    <w:rsid w:val="0066537D"/>
    <w:rsid w:val="0066538F"/>
    <w:rsid w:val="0066542D"/>
    <w:rsid w:val="00665542"/>
    <w:rsid w:val="006655B4"/>
    <w:rsid w:val="006656F8"/>
    <w:rsid w:val="0066579E"/>
    <w:rsid w:val="006657D0"/>
    <w:rsid w:val="0066586D"/>
    <w:rsid w:val="00665882"/>
    <w:rsid w:val="006658A7"/>
    <w:rsid w:val="006659D3"/>
    <w:rsid w:val="00665A41"/>
    <w:rsid w:val="00665AB2"/>
    <w:rsid w:val="00665AC0"/>
    <w:rsid w:val="00665BBB"/>
    <w:rsid w:val="00665C17"/>
    <w:rsid w:val="00665C1B"/>
    <w:rsid w:val="00665C6D"/>
    <w:rsid w:val="00665DAF"/>
    <w:rsid w:val="00665E5F"/>
    <w:rsid w:val="00665EF4"/>
    <w:rsid w:val="00665F18"/>
    <w:rsid w:val="00665F2B"/>
    <w:rsid w:val="00665F69"/>
    <w:rsid w:val="00666007"/>
    <w:rsid w:val="00666146"/>
    <w:rsid w:val="00666178"/>
    <w:rsid w:val="006661BE"/>
    <w:rsid w:val="006661E6"/>
    <w:rsid w:val="0066621E"/>
    <w:rsid w:val="006663F8"/>
    <w:rsid w:val="006664CA"/>
    <w:rsid w:val="006665B1"/>
    <w:rsid w:val="0066662C"/>
    <w:rsid w:val="00666641"/>
    <w:rsid w:val="00666665"/>
    <w:rsid w:val="0066677D"/>
    <w:rsid w:val="006667FE"/>
    <w:rsid w:val="00666838"/>
    <w:rsid w:val="00666843"/>
    <w:rsid w:val="006669C0"/>
    <w:rsid w:val="00666AB3"/>
    <w:rsid w:val="00666E7F"/>
    <w:rsid w:val="00666EFC"/>
    <w:rsid w:val="00666FCC"/>
    <w:rsid w:val="00667087"/>
    <w:rsid w:val="006670AE"/>
    <w:rsid w:val="006670EC"/>
    <w:rsid w:val="006672C4"/>
    <w:rsid w:val="006672D1"/>
    <w:rsid w:val="006673F2"/>
    <w:rsid w:val="00667426"/>
    <w:rsid w:val="00667491"/>
    <w:rsid w:val="006676C2"/>
    <w:rsid w:val="006676F2"/>
    <w:rsid w:val="0066779B"/>
    <w:rsid w:val="006677D4"/>
    <w:rsid w:val="00667845"/>
    <w:rsid w:val="00667889"/>
    <w:rsid w:val="006678FB"/>
    <w:rsid w:val="00667955"/>
    <w:rsid w:val="006679B1"/>
    <w:rsid w:val="00667A0B"/>
    <w:rsid w:val="00667AEE"/>
    <w:rsid w:val="00667B61"/>
    <w:rsid w:val="00667B91"/>
    <w:rsid w:val="00667C13"/>
    <w:rsid w:val="00667DF1"/>
    <w:rsid w:val="00667DF4"/>
    <w:rsid w:val="00667E13"/>
    <w:rsid w:val="00667E38"/>
    <w:rsid w:val="00667E53"/>
    <w:rsid w:val="00667EE3"/>
    <w:rsid w:val="00667F1C"/>
    <w:rsid w:val="00667F91"/>
    <w:rsid w:val="00667FC5"/>
    <w:rsid w:val="00670002"/>
    <w:rsid w:val="00670005"/>
    <w:rsid w:val="00670039"/>
    <w:rsid w:val="00670058"/>
    <w:rsid w:val="0067010A"/>
    <w:rsid w:val="0067010C"/>
    <w:rsid w:val="006701F4"/>
    <w:rsid w:val="00670303"/>
    <w:rsid w:val="00670327"/>
    <w:rsid w:val="0067040C"/>
    <w:rsid w:val="0067045D"/>
    <w:rsid w:val="0067048E"/>
    <w:rsid w:val="006706B5"/>
    <w:rsid w:val="0067074B"/>
    <w:rsid w:val="0067075E"/>
    <w:rsid w:val="00670807"/>
    <w:rsid w:val="0067092E"/>
    <w:rsid w:val="006709EA"/>
    <w:rsid w:val="00670A59"/>
    <w:rsid w:val="00670BF9"/>
    <w:rsid w:val="00670CA3"/>
    <w:rsid w:val="00670D62"/>
    <w:rsid w:val="00670E4D"/>
    <w:rsid w:val="00670F92"/>
    <w:rsid w:val="0067108C"/>
    <w:rsid w:val="006710EA"/>
    <w:rsid w:val="0067114C"/>
    <w:rsid w:val="006711E9"/>
    <w:rsid w:val="0067123E"/>
    <w:rsid w:val="00671363"/>
    <w:rsid w:val="006713D0"/>
    <w:rsid w:val="006716AD"/>
    <w:rsid w:val="006717AF"/>
    <w:rsid w:val="0067190A"/>
    <w:rsid w:val="006719F8"/>
    <w:rsid w:val="00671A96"/>
    <w:rsid w:val="00671AB9"/>
    <w:rsid w:val="00671AF9"/>
    <w:rsid w:val="00671B29"/>
    <w:rsid w:val="00671BFD"/>
    <w:rsid w:val="00671CD8"/>
    <w:rsid w:val="00671D38"/>
    <w:rsid w:val="00671DC1"/>
    <w:rsid w:val="00671EB6"/>
    <w:rsid w:val="00671FCF"/>
    <w:rsid w:val="00672117"/>
    <w:rsid w:val="0067213C"/>
    <w:rsid w:val="00672160"/>
    <w:rsid w:val="0067217A"/>
    <w:rsid w:val="0067223E"/>
    <w:rsid w:val="006722D2"/>
    <w:rsid w:val="00672379"/>
    <w:rsid w:val="006724D8"/>
    <w:rsid w:val="00672549"/>
    <w:rsid w:val="00672622"/>
    <w:rsid w:val="0067263D"/>
    <w:rsid w:val="00672692"/>
    <w:rsid w:val="006726E6"/>
    <w:rsid w:val="00672729"/>
    <w:rsid w:val="00672799"/>
    <w:rsid w:val="0067284B"/>
    <w:rsid w:val="0067286A"/>
    <w:rsid w:val="006728C0"/>
    <w:rsid w:val="006728CE"/>
    <w:rsid w:val="00672A55"/>
    <w:rsid w:val="00672B2A"/>
    <w:rsid w:val="00672BA0"/>
    <w:rsid w:val="00672BA4"/>
    <w:rsid w:val="00672CC9"/>
    <w:rsid w:val="00672CCC"/>
    <w:rsid w:val="00672D21"/>
    <w:rsid w:val="00672FBF"/>
    <w:rsid w:val="00673085"/>
    <w:rsid w:val="006730FF"/>
    <w:rsid w:val="0067319E"/>
    <w:rsid w:val="00673313"/>
    <w:rsid w:val="00673324"/>
    <w:rsid w:val="0067332D"/>
    <w:rsid w:val="006733FB"/>
    <w:rsid w:val="00673404"/>
    <w:rsid w:val="006735A6"/>
    <w:rsid w:val="006735FD"/>
    <w:rsid w:val="00673640"/>
    <w:rsid w:val="0067368F"/>
    <w:rsid w:val="0067380B"/>
    <w:rsid w:val="006738FC"/>
    <w:rsid w:val="006739E6"/>
    <w:rsid w:val="006739F4"/>
    <w:rsid w:val="00673B26"/>
    <w:rsid w:val="00673C05"/>
    <w:rsid w:val="00673C32"/>
    <w:rsid w:val="00673D04"/>
    <w:rsid w:val="00673DBF"/>
    <w:rsid w:val="00673DEA"/>
    <w:rsid w:val="00673DF0"/>
    <w:rsid w:val="00673DF8"/>
    <w:rsid w:val="00673E1F"/>
    <w:rsid w:val="00673E5F"/>
    <w:rsid w:val="00673EF7"/>
    <w:rsid w:val="00673FE0"/>
    <w:rsid w:val="00674091"/>
    <w:rsid w:val="006740CD"/>
    <w:rsid w:val="0067416E"/>
    <w:rsid w:val="0067428C"/>
    <w:rsid w:val="006742A1"/>
    <w:rsid w:val="00674437"/>
    <w:rsid w:val="0067447F"/>
    <w:rsid w:val="006744D3"/>
    <w:rsid w:val="00674546"/>
    <w:rsid w:val="0067455E"/>
    <w:rsid w:val="006745C4"/>
    <w:rsid w:val="0067461D"/>
    <w:rsid w:val="0067467F"/>
    <w:rsid w:val="0067474A"/>
    <w:rsid w:val="0067478A"/>
    <w:rsid w:val="00674916"/>
    <w:rsid w:val="00674989"/>
    <w:rsid w:val="006749D8"/>
    <w:rsid w:val="00674AAD"/>
    <w:rsid w:val="00674B1C"/>
    <w:rsid w:val="00674B63"/>
    <w:rsid w:val="00674BC9"/>
    <w:rsid w:val="00674DCD"/>
    <w:rsid w:val="00674E79"/>
    <w:rsid w:val="0067512C"/>
    <w:rsid w:val="00675178"/>
    <w:rsid w:val="006752AB"/>
    <w:rsid w:val="00675376"/>
    <w:rsid w:val="006753CF"/>
    <w:rsid w:val="006753E8"/>
    <w:rsid w:val="00675444"/>
    <w:rsid w:val="00675887"/>
    <w:rsid w:val="006758D9"/>
    <w:rsid w:val="00675922"/>
    <w:rsid w:val="006759D3"/>
    <w:rsid w:val="00675A7E"/>
    <w:rsid w:val="00675B71"/>
    <w:rsid w:val="00675BA0"/>
    <w:rsid w:val="00675C42"/>
    <w:rsid w:val="00675C4E"/>
    <w:rsid w:val="00675D3C"/>
    <w:rsid w:val="00675D52"/>
    <w:rsid w:val="00675F41"/>
    <w:rsid w:val="00675F52"/>
    <w:rsid w:val="00675FA3"/>
    <w:rsid w:val="006760EE"/>
    <w:rsid w:val="00676119"/>
    <w:rsid w:val="0067627E"/>
    <w:rsid w:val="006762BA"/>
    <w:rsid w:val="006762F8"/>
    <w:rsid w:val="0067634A"/>
    <w:rsid w:val="00676410"/>
    <w:rsid w:val="00676561"/>
    <w:rsid w:val="006765BF"/>
    <w:rsid w:val="0067668F"/>
    <w:rsid w:val="006766DC"/>
    <w:rsid w:val="00676767"/>
    <w:rsid w:val="006767E7"/>
    <w:rsid w:val="00676A05"/>
    <w:rsid w:val="00676A52"/>
    <w:rsid w:val="00676A86"/>
    <w:rsid w:val="00676B4D"/>
    <w:rsid w:val="00676C85"/>
    <w:rsid w:val="00676CCC"/>
    <w:rsid w:val="00676CD0"/>
    <w:rsid w:val="00676E34"/>
    <w:rsid w:val="00676EE4"/>
    <w:rsid w:val="00676F13"/>
    <w:rsid w:val="00676F8A"/>
    <w:rsid w:val="006770EE"/>
    <w:rsid w:val="00677122"/>
    <w:rsid w:val="0067722F"/>
    <w:rsid w:val="0067726B"/>
    <w:rsid w:val="006772E3"/>
    <w:rsid w:val="00677307"/>
    <w:rsid w:val="00677395"/>
    <w:rsid w:val="006773F6"/>
    <w:rsid w:val="00677499"/>
    <w:rsid w:val="006774C4"/>
    <w:rsid w:val="0067769D"/>
    <w:rsid w:val="006776F1"/>
    <w:rsid w:val="00677840"/>
    <w:rsid w:val="00677856"/>
    <w:rsid w:val="006778F8"/>
    <w:rsid w:val="00677925"/>
    <w:rsid w:val="00677927"/>
    <w:rsid w:val="00677A01"/>
    <w:rsid w:val="00677A4F"/>
    <w:rsid w:val="00677B0D"/>
    <w:rsid w:val="00677B4B"/>
    <w:rsid w:val="00677BFA"/>
    <w:rsid w:val="00677C54"/>
    <w:rsid w:val="00677C97"/>
    <w:rsid w:val="00677DE4"/>
    <w:rsid w:val="00677E30"/>
    <w:rsid w:val="00677EAB"/>
    <w:rsid w:val="00677F31"/>
    <w:rsid w:val="0068014B"/>
    <w:rsid w:val="00680215"/>
    <w:rsid w:val="00680223"/>
    <w:rsid w:val="0068028E"/>
    <w:rsid w:val="006802FB"/>
    <w:rsid w:val="00680432"/>
    <w:rsid w:val="00680447"/>
    <w:rsid w:val="006804B2"/>
    <w:rsid w:val="00680515"/>
    <w:rsid w:val="006808A7"/>
    <w:rsid w:val="0068090D"/>
    <w:rsid w:val="006809CB"/>
    <w:rsid w:val="006809FD"/>
    <w:rsid w:val="00680A75"/>
    <w:rsid w:val="00680AEE"/>
    <w:rsid w:val="00680D3F"/>
    <w:rsid w:val="00680E0C"/>
    <w:rsid w:val="00680E6D"/>
    <w:rsid w:val="00681042"/>
    <w:rsid w:val="00681074"/>
    <w:rsid w:val="006810DF"/>
    <w:rsid w:val="00681103"/>
    <w:rsid w:val="00681256"/>
    <w:rsid w:val="006813BF"/>
    <w:rsid w:val="0068169C"/>
    <w:rsid w:val="006818CA"/>
    <w:rsid w:val="006818FF"/>
    <w:rsid w:val="00681963"/>
    <w:rsid w:val="00681981"/>
    <w:rsid w:val="00681991"/>
    <w:rsid w:val="006819B6"/>
    <w:rsid w:val="00681B6A"/>
    <w:rsid w:val="00681C5E"/>
    <w:rsid w:val="00681C71"/>
    <w:rsid w:val="00681CB2"/>
    <w:rsid w:val="00681CC6"/>
    <w:rsid w:val="00681D54"/>
    <w:rsid w:val="00681F83"/>
    <w:rsid w:val="0068203A"/>
    <w:rsid w:val="00682041"/>
    <w:rsid w:val="0068205B"/>
    <w:rsid w:val="0068207A"/>
    <w:rsid w:val="006821FA"/>
    <w:rsid w:val="006822A4"/>
    <w:rsid w:val="0068230E"/>
    <w:rsid w:val="00682335"/>
    <w:rsid w:val="006824D6"/>
    <w:rsid w:val="006824F8"/>
    <w:rsid w:val="006825BC"/>
    <w:rsid w:val="006825BD"/>
    <w:rsid w:val="00682642"/>
    <w:rsid w:val="006826F8"/>
    <w:rsid w:val="0068278D"/>
    <w:rsid w:val="00682798"/>
    <w:rsid w:val="006827A8"/>
    <w:rsid w:val="0068282A"/>
    <w:rsid w:val="00682902"/>
    <w:rsid w:val="00682C39"/>
    <w:rsid w:val="006830ED"/>
    <w:rsid w:val="006831B1"/>
    <w:rsid w:val="006831B2"/>
    <w:rsid w:val="0068326D"/>
    <w:rsid w:val="00683429"/>
    <w:rsid w:val="0068350A"/>
    <w:rsid w:val="0068352B"/>
    <w:rsid w:val="00683756"/>
    <w:rsid w:val="0068377A"/>
    <w:rsid w:val="0068385F"/>
    <w:rsid w:val="006839A9"/>
    <w:rsid w:val="006839E7"/>
    <w:rsid w:val="00683A99"/>
    <w:rsid w:val="00683ABC"/>
    <w:rsid w:val="00683C8E"/>
    <w:rsid w:val="00683CF2"/>
    <w:rsid w:val="00683D38"/>
    <w:rsid w:val="00683D7B"/>
    <w:rsid w:val="00683E23"/>
    <w:rsid w:val="00683EEC"/>
    <w:rsid w:val="00683F2D"/>
    <w:rsid w:val="00683F6F"/>
    <w:rsid w:val="00684020"/>
    <w:rsid w:val="0068402C"/>
    <w:rsid w:val="00684163"/>
    <w:rsid w:val="00684166"/>
    <w:rsid w:val="006841B6"/>
    <w:rsid w:val="006841E4"/>
    <w:rsid w:val="0068421D"/>
    <w:rsid w:val="006844CB"/>
    <w:rsid w:val="00684543"/>
    <w:rsid w:val="00684727"/>
    <w:rsid w:val="00684868"/>
    <w:rsid w:val="006848FB"/>
    <w:rsid w:val="00684A68"/>
    <w:rsid w:val="00684A9E"/>
    <w:rsid w:val="00684B36"/>
    <w:rsid w:val="00684BF9"/>
    <w:rsid w:val="00684C37"/>
    <w:rsid w:val="00684FBD"/>
    <w:rsid w:val="00684FE7"/>
    <w:rsid w:val="00685013"/>
    <w:rsid w:val="00685040"/>
    <w:rsid w:val="0068506D"/>
    <w:rsid w:val="00685090"/>
    <w:rsid w:val="00685182"/>
    <w:rsid w:val="006853AB"/>
    <w:rsid w:val="006853B0"/>
    <w:rsid w:val="006854B4"/>
    <w:rsid w:val="006855AF"/>
    <w:rsid w:val="0068564C"/>
    <w:rsid w:val="006856D5"/>
    <w:rsid w:val="006856D7"/>
    <w:rsid w:val="006857B3"/>
    <w:rsid w:val="006859B6"/>
    <w:rsid w:val="006859CC"/>
    <w:rsid w:val="00685B5F"/>
    <w:rsid w:val="00685BB8"/>
    <w:rsid w:val="00685C3B"/>
    <w:rsid w:val="00685E41"/>
    <w:rsid w:val="00685EE2"/>
    <w:rsid w:val="00686011"/>
    <w:rsid w:val="00686028"/>
    <w:rsid w:val="0068602C"/>
    <w:rsid w:val="00686055"/>
    <w:rsid w:val="006860B3"/>
    <w:rsid w:val="006860C6"/>
    <w:rsid w:val="006860E1"/>
    <w:rsid w:val="00686170"/>
    <w:rsid w:val="00686182"/>
    <w:rsid w:val="00686225"/>
    <w:rsid w:val="006862C4"/>
    <w:rsid w:val="00686471"/>
    <w:rsid w:val="00686508"/>
    <w:rsid w:val="006865E2"/>
    <w:rsid w:val="0068671D"/>
    <w:rsid w:val="006868D8"/>
    <w:rsid w:val="006869D3"/>
    <w:rsid w:val="00686A18"/>
    <w:rsid w:val="00686A8E"/>
    <w:rsid w:val="00686AD6"/>
    <w:rsid w:val="00686AE4"/>
    <w:rsid w:val="00686CBF"/>
    <w:rsid w:val="00686E25"/>
    <w:rsid w:val="00686EC8"/>
    <w:rsid w:val="00686EEF"/>
    <w:rsid w:val="00687050"/>
    <w:rsid w:val="00687083"/>
    <w:rsid w:val="00687183"/>
    <w:rsid w:val="00687196"/>
    <w:rsid w:val="0068730B"/>
    <w:rsid w:val="006873F0"/>
    <w:rsid w:val="006874FD"/>
    <w:rsid w:val="00687527"/>
    <w:rsid w:val="00687566"/>
    <w:rsid w:val="00687573"/>
    <w:rsid w:val="006875BA"/>
    <w:rsid w:val="0068762C"/>
    <w:rsid w:val="00687660"/>
    <w:rsid w:val="0068767B"/>
    <w:rsid w:val="0068778E"/>
    <w:rsid w:val="00687811"/>
    <w:rsid w:val="0068790D"/>
    <w:rsid w:val="006879A2"/>
    <w:rsid w:val="00687ADF"/>
    <w:rsid w:val="00687B44"/>
    <w:rsid w:val="00687F69"/>
    <w:rsid w:val="00687F97"/>
    <w:rsid w:val="00687FFD"/>
    <w:rsid w:val="0069001D"/>
    <w:rsid w:val="00690096"/>
    <w:rsid w:val="0069010A"/>
    <w:rsid w:val="00690159"/>
    <w:rsid w:val="00690169"/>
    <w:rsid w:val="006901E4"/>
    <w:rsid w:val="0069024D"/>
    <w:rsid w:val="00690254"/>
    <w:rsid w:val="0069029F"/>
    <w:rsid w:val="006902BE"/>
    <w:rsid w:val="00690400"/>
    <w:rsid w:val="0069054C"/>
    <w:rsid w:val="00690625"/>
    <w:rsid w:val="006907A4"/>
    <w:rsid w:val="0069082F"/>
    <w:rsid w:val="0069092D"/>
    <w:rsid w:val="00690A1B"/>
    <w:rsid w:val="00690A1D"/>
    <w:rsid w:val="00690B18"/>
    <w:rsid w:val="00690B3A"/>
    <w:rsid w:val="00690C89"/>
    <w:rsid w:val="00690CAB"/>
    <w:rsid w:val="00690D80"/>
    <w:rsid w:val="00690EDD"/>
    <w:rsid w:val="006912C6"/>
    <w:rsid w:val="006912DE"/>
    <w:rsid w:val="00691333"/>
    <w:rsid w:val="0069152B"/>
    <w:rsid w:val="0069166D"/>
    <w:rsid w:val="006916B4"/>
    <w:rsid w:val="006916C1"/>
    <w:rsid w:val="00691712"/>
    <w:rsid w:val="0069179C"/>
    <w:rsid w:val="00691849"/>
    <w:rsid w:val="00691957"/>
    <w:rsid w:val="00691A26"/>
    <w:rsid w:val="00691B8B"/>
    <w:rsid w:val="00691BD2"/>
    <w:rsid w:val="00691DD7"/>
    <w:rsid w:val="00691F29"/>
    <w:rsid w:val="00691FA5"/>
    <w:rsid w:val="0069217F"/>
    <w:rsid w:val="0069220C"/>
    <w:rsid w:val="006922AC"/>
    <w:rsid w:val="006922F0"/>
    <w:rsid w:val="00692485"/>
    <w:rsid w:val="00692492"/>
    <w:rsid w:val="006924C7"/>
    <w:rsid w:val="0069256F"/>
    <w:rsid w:val="00692647"/>
    <w:rsid w:val="00692710"/>
    <w:rsid w:val="00692723"/>
    <w:rsid w:val="00692849"/>
    <w:rsid w:val="006929B4"/>
    <w:rsid w:val="00692A15"/>
    <w:rsid w:val="00692A25"/>
    <w:rsid w:val="00692BA8"/>
    <w:rsid w:val="00692D49"/>
    <w:rsid w:val="0069304D"/>
    <w:rsid w:val="00693075"/>
    <w:rsid w:val="00693115"/>
    <w:rsid w:val="00693209"/>
    <w:rsid w:val="006932E1"/>
    <w:rsid w:val="00693426"/>
    <w:rsid w:val="0069350F"/>
    <w:rsid w:val="0069374D"/>
    <w:rsid w:val="006937CF"/>
    <w:rsid w:val="00693805"/>
    <w:rsid w:val="0069385B"/>
    <w:rsid w:val="006938D1"/>
    <w:rsid w:val="0069393C"/>
    <w:rsid w:val="00693987"/>
    <w:rsid w:val="006939C2"/>
    <w:rsid w:val="00693A09"/>
    <w:rsid w:val="00693ACC"/>
    <w:rsid w:val="00693C03"/>
    <w:rsid w:val="00693CA9"/>
    <w:rsid w:val="00693D99"/>
    <w:rsid w:val="00693E51"/>
    <w:rsid w:val="00693EC1"/>
    <w:rsid w:val="00693F07"/>
    <w:rsid w:val="00693F39"/>
    <w:rsid w:val="0069426C"/>
    <w:rsid w:val="00694377"/>
    <w:rsid w:val="006943DE"/>
    <w:rsid w:val="006943FF"/>
    <w:rsid w:val="00694420"/>
    <w:rsid w:val="00694663"/>
    <w:rsid w:val="0069466C"/>
    <w:rsid w:val="006946F0"/>
    <w:rsid w:val="0069477C"/>
    <w:rsid w:val="0069479A"/>
    <w:rsid w:val="006947B7"/>
    <w:rsid w:val="00694814"/>
    <w:rsid w:val="00694A76"/>
    <w:rsid w:val="00694AD8"/>
    <w:rsid w:val="00694B04"/>
    <w:rsid w:val="00694B10"/>
    <w:rsid w:val="00694C0D"/>
    <w:rsid w:val="00694D3F"/>
    <w:rsid w:val="00694D95"/>
    <w:rsid w:val="00694DEF"/>
    <w:rsid w:val="00694DF5"/>
    <w:rsid w:val="00694E05"/>
    <w:rsid w:val="00694F11"/>
    <w:rsid w:val="0069501F"/>
    <w:rsid w:val="006950A6"/>
    <w:rsid w:val="0069516D"/>
    <w:rsid w:val="006951F7"/>
    <w:rsid w:val="00695251"/>
    <w:rsid w:val="006952BE"/>
    <w:rsid w:val="006953F3"/>
    <w:rsid w:val="0069549E"/>
    <w:rsid w:val="0069549F"/>
    <w:rsid w:val="006954C2"/>
    <w:rsid w:val="0069550C"/>
    <w:rsid w:val="00695534"/>
    <w:rsid w:val="0069556F"/>
    <w:rsid w:val="006955CC"/>
    <w:rsid w:val="00695685"/>
    <w:rsid w:val="00695712"/>
    <w:rsid w:val="006957A3"/>
    <w:rsid w:val="006957FD"/>
    <w:rsid w:val="0069587F"/>
    <w:rsid w:val="006958F4"/>
    <w:rsid w:val="006959C2"/>
    <w:rsid w:val="00695AE6"/>
    <w:rsid w:val="00695B3D"/>
    <w:rsid w:val="00695C0B"/>
    <w:rsid w:val="00695C0D"/>
    <w:rsid w:val="00695D12"/>
    <w:rsid w:val="00695E4B"/>
    <w:rsid w:val="00695E5F"/>
    <w:rsid w:val="00695FB8"/>
    <w:rsid w:val="006960DA"/>
    <w:rsid w:val="0069623A"/>
    <w:rsid w:val="00696280"/>
    <w:rsid w:val="006962D8"/>
    <w:rsid w:val="00696344"/>
    <w:rsid w:val="00696419"/>
    <w:rsid w:val="006964BE"/>
    <w:rsid w:val="006964CC"/>
    <w:rsid w:val="00696560"/>
    <w:rsid w:val="006965F0"/>
    <w:rsid w:val="00696607"/>
    <w:rsid w:val="0069663F"/>
    <w:rsid w:val="0069676D"/>
    <w:rsid w:val="006967D1"/>
    <w:rsid w:val="00696875"/>
    <w:rsid w:val="00696919"/>
    <w:rsid w:val="00696953"/>
    <w:rsid w:val="0069696A"/>
    <w:rsid w:val="0069699B"/>
    <w:rsid w:val="006969BD"/>
    <w:rsid w:val="006969C2"/>
    <w:rsid w:val="00696A1A"/>
    <w:rsid w:val="00696A24"/>
    <w:rsid w:val="00696A51"/>
    <w:rsid w:val="00696A66"/>
    <w:rsid w:val="00696CF3"/>
    <w:rsid w:val="00696DCD"/>
    <w:rsid w:val="00696DD3"/>
    <w:rsid w:val="00696E0A"/>
    <w:rsid w:val="00696E42"/>
    <w:rsid w:val="00696F1B"/>
    <w:rsid w:val="00696F36"/>
    <w:rsid w:val="00696FA8"/>
    <w:rsid w:val="00696FDD"/>
    <w:rsid w:val="00697090"/>
    <w:rsid w:val="0069715B"/>
    <w:rsid w:val="00697208"/>
    <w:rsid w:val="006972B6"/>
    <w:rsid w:val="006972DF"/>
    <w:rsid w:val="0069735A"/>
    <w:rsid w:val="006975B0"/>
    <w:rsid w:val="0069779B"/>
    <w:rsid w:val="00697818"/>
    <w:rsid w:val="00697832"/>
    <w:rsid w:val="00697883"/>
    <w:rsid w:val="0069789C"/>
    <w:rsid w:val="006978D2"/>
    <w:rsid w:val="00697925"/>
    <w:rsid w:val="00697987"/>
    <w:rsid w:val="006979C8"/>
    <w:rsid w:val="00697A69"/>
    <w:rsid w:val="00697A7D"/>
    <w:rsid w:val="00697AB4"/>
    <w:rsid w:val="00697AE5"/>
    <w:rsid w:val="00697CE0"/>
    <w:rsid w:val="00697ECF"/>
    <w:rsid w:val="00697FBC"/>
    <w:rsid w:val="006A0127"/>
    <w:rsid w:val="006A0215"/>
    <w:rsid w:val="006A0260"/>
    <w:rsid w:val="006A02B0"/>
    <w:rsid w:val="006A04A0"/>
    <w:rsid w:val="006A04D7"/>
    <w:rsid w:val="006A04EC"/>
    <w:rsid w:val="006A05E7"/>
    <w:rsid w:val="006A073C"/>
    <w:rsid w:val="006A0794"/>
    <w:rsid w:val="006A080F"/>
    <w:rsid w:val="006A085B"/>
    <w:rsid w:val="006A085C"/>
    <w:rsid w:val="006A0B84"/>
    <w:rsid w:val="006A0CA9"/>
    <w:rsid w:val="006A0D09"/>
    <w:rsid w:val="006A0D46"/>
    <w:rsid w:val="006A0D7B"/>
    <w:rsid w:val="006A0EE6"/>
    <w:rsid w:val="006A0F1C"/>
    <w:rsid w:val="006A0FA1"/>
    <w:rsid w:val="006A0FFB"/>
    <w:rsid w:val="006A1038"/>
    <w:rsid w:val="006A12F5"/>
    <w:rsid w:val="006A136D"/>
    <w:rsid w:val="006A1496"/>
    <w:rsid w:val="006A16B7"/>
    <w:rsid w:val="006A1735"/>
    <w:rsid w:val="006A177A"/>
    <w:rsid w:val="006A1841"/>
    <w:rsid w:val="006A1940"/>
    <w:rsid w:val="006A1A2D"/>
    <w:rsid w:val="006A1AA7"/>
    <w:rsid w:val="006A1B42"/>
    <w:rsid w:val="006A1C7E"/>
    <w:rsid w:val="006A1DBE"/>
    <w:rsid w:val="006A2033"/>
    <w:rsid w:val="006A203E"/>
    <w:rsid w:val="006A204E"/>
    <w:rsid w:val="006A216A"/>
    <w:rsid w:val="006A221E"/>
    <w:rsid w:val="006A2266"/>
    <w:rsid w:val="006A235E"/>
    <w:rsid w:val="006A27AC"/>
    <w:rsid w:val="006A280F"/>
    <w:rsid w:val="006A2869"/>
    <w:rsid w:val="006A29C1"/>
    <w:rsid w:val="006A2AE1"/>
    <w:rsid w:val="006A2BE4"/>
    <w:rsid w:val="006A2C2E"/>
    <w:rsid w:val="006A2D27"/>
    <w:rsid w:val="006A2D5F"/>
    <w:rsid w:val="006A2DBF"/>
    <w:rsid w:val="006A2E85"/>
    <w:rsid w:val="006A2EE6"/>
    <w:rsid w:val="006A2EF8"/>
    <w:rsid w:val="006A2F28"/>
    <w:rsid w:val="006A304A"/>
    <w:rsid w:val="006A318E"/>
    <w:rsid w:val="006A31D9"/>
    <w:rsid w:val="006A327E"/>
    <w:rsid w:val="006A34E3"/>
    <w:rsid w:val="006A3513"/>
    <w:rsid w:val="006A35A9"/>
    <w:rsid w:val="006A35C1"/>
    <w:rsid w:val="006A364A"/>
    <w:rsid w:val="006A3673"/>
    <w:rsid w:val="006A3697"/>
    <w:rsid w:val="006A36EA"/>
    <w:rsid w:val="006A372F"/>
    <w:rsid w:val="006A376F"/>
    <w:rsid w:val="006A3771"/>
    <w:rsid w:val="006A3801"/>
    <w:rsid w:val="006A3917"/>
    <w:rsid w:val="006A3B42"/>
    <w:rsid w:val="006A3B6E"/>
    <w:rsid w:val="006A3B78"/>
    <w:rsid w:val="006A3F0A"/>
    <w:rsid w:val="006A3F71"/>
    <w:rsid w:val="006A3FC1"/>
    <w:rsid w:val="006A403E"/>
    <w:rsid w:val="006A40FE"/>
    <w:rsid w:val="006A4224"/>
    <w:rsid w:val="006A4230"/>
    <w:rsid w:val="006A424E"/>
    <w:rsid w:val="006A425F"/>
    <w:rsid w:val="006A4297"/>
    <w:rsid w:val="006A436E"/>
    <w:rsid w:val="006A44D3"/>
    <w:rsid w:val="006A45EB"/>
    <w:rsid w:val="006A4609"/>
    <w:rsid w:val="006A4625"/>
    <w:rsid w:val="006A4646"/>
    <w:rsid w:val="006A46B4"/>
    <w:rsid w:val="006A46E6"/>
    <w:rsid w:val="006A46FC"/>
    <w:rsid w:val="006A47F0"/>
    <w:rsid w:val="006A48A7"/>
    <w:rsid w:val="006A4A92"/>
    <w:rsid w:val="006A4B23"/>
    <w:rsid w:val="006A4C08"/>
    <w:rsid w:val="006A4C89"/>
    <w:rsid w:val="006A4D62"/>
    <w:rsid w:val="006A4D67"/>
    <w:rsid w:val="006A4E51"/>
    <w:rsid w:val="006A5004"/>
    <w:rsid w:val="006A5066"/>
    <w:rsid w:val="006A52D2"/>
    <w:rsid w:val="006A5328"/>
    <w:rsid w:val="006A534C"/>
    <w:rsid w:val="006A5398"/>
    <w:rsid w:val="006A55DD"/>
    <w:rsid w:val="006A573E"/>
    <w:rsid w:val="006A5867"/>
    <w:rsid w:val="006A5887"/>
    <w:rsid w:val="006A5891"/>
    <w:rsid w:val="006A58A7"/>
    <w:rsid w:val="006A5938"/>
    <w:rsid w:val="006A594A"/>
    <w:rsid w:val="006A5A51"/>
    <w:rsid w:val="006A5BAD"/>
    <w:rsid w:val="006A5D06"/>
    <w:rsid w:val="006A5D42"/>
    <w:rsid w:val="006A5E15"/>
    <w:rsid w:val="006A5FBB"/>
    <w:rsid w:val="006A6037"/>
    <w:rsid w:val="006A610F"/>
    <w:rsid w:val="006A61B8"/>
    <w:rsid w:val="006A61D8"/>
    <w:rsid w:val="006A6217"/>
    <w:rsid w:val="006A627F"/>
    <w:rsid w:val="006A62BA"/>
    <w:rsid w:val="006A635C"/>
    <w:rsid w:val="006A63BC"/>
    <w:rsid w:val="006A643E"/>
    <w:rsid w:val="006A646B"/>
    <w:rsid w:val="006A6509"/>
    <w:rsid w:val="006A6661"/>
    <w:rsid w:val="006A66ED"/>
    <w:rsid w:val="006A673F"/>
    <w:rsid w:val="006A6816"/>
    <w:rsid w:val="006A68B2"/>
    <w:rsid w:val="006A68BC"/>
    <w:rsid w:val="006A69E0"/>
    <w:rsid w:val="006A6A32"/>
    <w:rsid w:val="006A6A74"/>
    <w:rsid w:val="006A6A7B"/>
    <w:rsid w:val="006A6C61"/>
    <w:rsid w:val="006A6CB8"/>
    <w:rsid w:val="006A6E1C"/>
    <w:rsid w:val="006A6E84"/>
    <w:rsid w:val="006A7294"/>
    <w:rsid w:val="006A72A1"/>
    <w:rsid w:val="006A7326"/>
    <w:rsid w:val="006A7405"/>
    <w:rsid w:val="006A7481"/>
    <w:rsid w:val="006A749A"/>
    <w:rsid w:val="006A7589"/>
    <w:rsid w:val="006A75D1"/>
    <w:rsid w:val="006A7747"/>
    <w:rsid w:val="006A7764"/>
    <w:rsid w:val="006A7798"/>
    <w:rsid w:val="006A77E3"/>
    <w:rsid w:val="006A7847"/>
    <w:rsid w:val="006A785D"/>
    <w:rsid w:val="006A7980"/>
    <w:rsid w:val="006A7ACB"/>
    <w:rsid w:val="006A7AE3"/>
    <w:rsid w:val="006A7B46"/>
    <w:rsid w:val="006A7B5B"/>
    <w:rsid w:val="006A7D55"/>
    <w:rsid w:val="006A7DCE"/>
    <w:rsid w:val="006B0075"/>
    <w:rsid w:val="006B00EF"/>
    <w:rsid w:val="006B01C7"/>
    <w:rsid w:val="006B01C9"/>
    <w:rsid w:val="006B0310"/>
    <w:rsid w:val="006B035D"/>
    <w:rsid w:val="006B0387"/>
    <w:rsid w:val="006B03B8"/>
    <w:rsid w:val="006B03F9"/>
    <w:rsid w:val="006B0415"/>
    <w:rsid w:val="006B04A6"/>
    <w:rsid w:val="006B04F1"/>
    <w:rsid w:val="006B04FA"/>
    <w:rsid w:val="006B051B"/>
    <w:rsid w:val="006B0552"/>
    <w:rsid w:val="006B056A"/>
    <w:rsid w:val="006B06DB"/>
    <w:rsid w:val="006B0737"/>
    <w:rsid w:val="006B07F6"/>
    <w:rsid w:val="006B094C"/>
    <w:rsid w:val="006B0957"/>
    <w:rsid w:val="006B09B4"/>
    <w:rsid w:val="006B09EE"/>
    <w:rsid w:val="006B0A7F"/>
    <w:rsid w:val="006B0EE8"/>
    <w:rsid w:val="006B0F94"/>
    <w:rsid w:val="006B109A"/>
    <w:rsid w:val="006B1173"/>
    <w:rsid w:val="006B1285"/>
    <w:rsid w:val="006B12D6"/>
    <w:rsid w:val="006B13CD"/>
    <w:rsid w:val="006B148F"/>
    <w:rsid w:val="006B14EB"/>
    <w:rsid w:val="006B153B"/>
    <w:rsid w:val="006B1540"/>
    <w:rsid w:val="006B1561"/>
    <w:rsid w:val="006B1583"/>
    <w:rsid w:val="006B1602"/>
    <w:rsid w:val="006B165C"/>
    <w:rsid w:val="006B1758"/>
    <w:rsid w:val="006B1810"/>
    <w:rsid w:val="006B186C"/>
    <w:rsid w:val="006B193F"/>
    <w:rsid w:val="006B1A65"/>
    <w:rsid w:val="006B1A78"/>
    <w:rsid w:val="006B1AC7"/>
    <w:rsid w:val="006B1ADF"/>
    <w:rsid w:val="006B1AF5"/>
    <w:rsid w:val="006B1B53"/>
    <w:rsid w:val="006B1B86"/>
    <w:rsid w:val="006B1CC8"/>
    <w:rsid w:val="006B1DE9"/>
    <w:rsid w:val="006B1FBD"/>
    <w:rsid w:val="006B20C1"/>
    <w:rsid w:val="006B20EF"/>
    <w:rsid w:val="006B216C"/>
    <w:rsid w:val="006B2220"/>
    <w:rsid w:val="006B2465"/>
    <w:rsid w:val="006B2536"/>
    <w:rsid w:val="006B2686"/>
    <w:rsid w:val="006B2737"/>
    <w:rsid w:val="006B284A"/>
    <w:rsid w:val="006B2A6C"/>
    <w:rsid w:val="006B2A8E"/>
    <w:rsid w:val="006B2AAE"/>
    <w:rsid w:val="006B2C07"/>
    <w:rsid w:val="006B2EBA"/>
    <w:rsid w:val="006B2F2B"/>
    <w:rsid w:val="006B2F94"/>
    <w:rsid w:val="006B2FB7"/>
    <w:rsid w:val="006B302E"/>
    <w:rsid w:val="006B30AC"/>
    <w:rsid w:val="006B30FB"/>
    <w:rsid w:val="006B3341"/>
    <w:rsid w:val="006B3431"/>
    <w:rsid w:val="006B34FC"/>
    <w:rsid w:val="006B376B"/>
    <w:rsid w:val="006B3790"/>
    <w:rsid w:val="006B38EE"/>
    <w:rsid w:val="006B39F6"/>
    <w:rsid w:val="006B3A33"/>
    <w:rsid w:val="006B3A51"/>
    <w:rsid w:val="006B3B0F"/>
    <w:rsid w:val="006B3DAD"/>
    <w:rsid w:val="006B3DC0"/>
    <w:rsid w:val="006B3E94"/>
    <w:rsid w:val="006B40C0"/>
    <w:rsid w:val="006B41CD"/>
    <w:rsid w:val="006B41EB"/>
    <w:rsid w:val="006B423F"/>
    <w:rsid w:val="006B424B"/>
    <w:rsid w:val="006B42B7"/>
    <w:rsid w:val="006B4494"/>
    <w:rsid w:val="006B4522"/>
    <w:rsid w:val="006B452B"/>
    <w:rsid w:val="006B46BB"/>
    <w:rsid w:val="006B46FB"/>
    <w:rsid w:val="006B475E"/>
    <w:rsid w:val="006B4876"/>
    <w:rsid w:val="006B4943"/>
    <w:rsid w:val="006B4B96"/>
    <w:rsid w:val="006B4C49"/>
    <w:rsid w:val="006B4CBF"/>
    <w:rsid w:val="006B4E58"/>
    <w:rsid w:val="006B4E98"/>
    <w:rsid w:val="006B5025"/>
    <w:rsid w:val="006B5084"/>
    <w:rsid w:val="006B524E"/>
    <w:rsid w:val="006B5311"/>
    <w:rsid w:val="006B541D"/>
    <w:rsid w:val="006B5431"/>
    <w:rsid w:val="006B5441"/>
    <w:rsid w:val="006B562D"/>
    <w:rsid w:val="006B567C"/>
    <w:rsid w:val="006B56F0"/>
    <w:rsid w:val="006B57C6"/>
    <w:rsid w:val="006B58DC"/>
    <w:rsid w:val="006B596E"/>
    <w:rsid w:val="006B5A2E"/>
    <w:rsid w:val="006B5A91"/>
    <w:rsid w:val="006B5D24"/>
    <w:rsid w:val="006B5D57"/>
    <w:rsid w:val="006B5D5F"/>
    <w:rsid w:val="006B5E95"/>
    <w:rsid w:val="006B5F04"/>
    <w:rsid w:val="006B61F3"/>
    <w:rsid w:val="006B6286"/>
    <w:rsid w:val="006B62E9"/>
    <w:rsid w:val="006B647D"/>
    <w:rsid w:val="006B6529"/>
    <w:rsid w:val="006B655E"/>
    <w:rsid w:val="006B6661"/>
    <w:rsid w:val="006B670A"/>
    <w:rsid w:val="006B674B"/>
    <w:rsid w:val="006B677C"/>
    <w:rsid w:val="006B6793"/>
    <w:rsid w:val="006B67AF"/>
    <w:rsid w:val="006B67C3"/>
    <w:rsid w:val="006B67C8"/>
    <w:rsid w:val="006B6855"/>
    <w:rsid w:val="006B6887"/>
    <w:rsid w:val="006B690D"/>
    <w:rsid w:val="006B6AAA"/>
    <w:rsid w:val="006B6B42"/>
    <w:rsid w:val="006B6BA7"/>
    <w:rsid w:val="006B6BC3"/>
    <w:rsid w:val="006B6CAD"/>
    <w:rsid w:val="006B6D6A"/>
    <w:rsid w:val="006B6ECE"/>
    <w:rsid w:val="006B6F69"/>
    <w:rsid w:val="006B7004"/>
    <w:rsid w:val="006B7155"/>
    <w:rsid w:val="006B71F7"/>
    <w:rsid w:val="006B734C"/>
    <w:rsid w:val="006B73DB"/>
    <w:rsid w:val="006B746E"/>
    <w:rsid w:val="006B749B"/>
    <w:rsid w:val="006B7500"/>
    <w:rsid w:val="006B758D"/>
    <w:rsid w:val="006B759F"/>
    <w:rsid w:val="006B75B8"/>
    <w:rsid w:val="006B7630"/>
    <w:rsid w:val="006B76F6"/>
    <w:rsid w:val="006B7786"/>
    <w:rsid w:val="006B7966"/>
    <w:rsid w:val="006B79D5"/>
    <w:rsid w:val="006B7A82"/>
    <w:rsid w:val="006B7AA4"/>
    <w:rsid w:val="006B7B5F"/>
    <w:rsid w:val="006B7B80"/>
    <w:rsid w:val="006B7BF0"/>
    <w:rsid w:val="006B7CFF"/>
    <w:rsid w:val="006B7DEC"/>
    <w:rsid w:val="006C00C4"/>
    <w:rsid w:val="006C00D2"/>
    <w:rsid w:val="006C010C"/>
    <w:rsid w:val="006C01C9"/>
    <w:rsid w:val="006C01D9"/>
    <w:rsid w:val="006C0436"/>
    <w:rsid w:val="006C0520"/>
    <w:rsid w:val="006C054D"/>
    <w:rsid w:val="006C0576"/>
    <w:rsid w:val="006C064E"/>
    <w:rsid w:val="006C07C9"/>
    <w:rsid w:val="006C07D3"/>
    <w:rsid w:val="006C080C"/>
    <w:rsid w:val="006C091D"/>
    <w:rsid w:val="006C096C"/>
    <w:rsid w:val="006C09C9"/>
    <w:rsid w:val="006C0A04"/>
    <w:rsid w:val="006C0AB9"/>
    <w:rsid w:val="006C0B61"/>
    <w:rsid w:val="006C0B8E"/>
    <w:rsid w:val="006C0BCD"/>
    <w:rsid w:val="006C0C30"/>
    <w:rsid w:val="006C0C5E"/>
    <w:rsid w:val="006C0E38"/>
    <w:rsid w:val="006C0EB5"/>
    <w:rsid w:val="006C0FFB"/>
    <w:rsid w:val="006C1018"/>
    <w:rsid w:val="006C1048"/>
    <w:rsid w:val="006C121C"/>
    <w:rsid w:val="006C1283"/>
    <w:rsid w:val="006C12DB"/>
    <w:rsid w:val="006C14CD"/>
    <w:rsid w:val="006C1525"/>
    <w:rsid w:val="006C15BE"/>
    <w:rsid w:val="006C15EF"/>
    <w:rsid w:val="006C18C3"/>
    <w:rsid w:val="006C18F6"/>
    <w:rsid w:val="006C1AD4"/>
    <w:rsid w:val="006C1AE1"/>
    <w:rsid w:val="006C1B01"/>
    <w:rsid w:val="006C1B87"/>
    <w:rsid w:val="006C1BC9"/>
    <w:rsid w:val="006C1C9F"/>
    <w:rsid w:val="006C1CFB"/>
    <w:rsid w:val="006C1DC9"/>
    <w:rsid w:val="006C1E49"/>
    <w:rsid w:val="006C1EE8"/>
    <w:rsid w:val="006C206C"/>
    <w:rsid w:val="006C214A"/>
    <w:rsid w:val="006C2158"/>
    <w:rsid w:val="006C2184"/>
    <w:rsid w:val="006C21A9"/>
    <w:rsid w:val="006C22AF"/>
    <w:rsid w:val="006C22BF"/>
    <w:rsid w:val="006C23F8"/>
    <w:rsid w:val="006C250B"/>
    <w:rsid w:val="006C26E2"/>
    <w:rsid w:val="006C27E9"/>
    <w:rsid w:val="006C27F4"/>
    <w:rsid w:val="006C28C7"/>
    <w:rsid w:val="006C2BC8"/>
    <w:rsid w:val="006C2CBA"/>
    <w:rsid w:val="006C2D18"/>
    <w:rsid w:val="006C2D4A"/>
    <w:rsid w:val="006C2DB9"/>
    <w:rsid w:val="006C2F47"/>
    <w:rsid w:val="006C2F4B"/>
    <w:rsid w:val="006C2F68"/>
    <w:rsid w:val="006C2F8E"/>
    <w:rsid w:val="006C300B"/>
    <w:rsid w:val="006C3015"/>
    <w:rsid w:val="006C3100"/>
    <w:rsid w:val="006C31C9"/>
    <w:rsid w:val="006C328F"/>
    <w:rsid w:val="006C3394"/>
    <w:rsid w:val="006C33C8"/>
    <w:rsid w:val="006C34F3"/>
    <w:rsid w:val="006C3523"/>
    <w:rsid w:val="006C3597"/>
    <w:rsid w:val="006C37A7"/>
    <w:rsid w:val="006C3905"/>
    <w:rsid w:val="006C3A97"/>
    <w:rsid w:val="006C3AD1"/>
    <w:rsid w:val="006C3B49"/>
    <w:rsid w:val="006C3B4C"/>
    <w:rsid w:val="006C3B63"/>
    <w:rsid w:val="006C3B6A"/>
    <w:rsid w:val="006C3C3F"/>
    <w:rsid w:val="006C3CA3"/>
    <w:rsid w:val="006C3CB8"/>
    <w:rsid w:val="006C3E25"/>
    <w:rsid w:val="006C3EA4"/>
    <w:rsid w:val="006C3F56"/>
    <w:rsid w:val="006C3F6B"/>
    <w:rsid w:val="006C3FB1"/>
    <w:rsid w:val="006C3FB9"/>
    <w:rsid w:val="006C4110"/>
    <w:rsid w:val="006C414A"/>
    <w:rsid w:val="006C41A6"/>
    <w:rsid w:val="006C41DA"/>
    <w:rsid w:val="006C4218"/>
    <w:rsid w:val="006C4271"/>
    <w:rsid w:val="006C439A"/>
    <w:rsid w:val="006C43A6"/>
    <w:rsid w:val="006C43D4"/>
    <w:rsid w:val="006C43EB"/>
    <w:rsid w:val="006C44EC"/>
    <w:rsid w:val="006C46CF"/>
    <w:rsid w:val="006C48F3"/>
    <w:rsid w:val="006C4A43"/>
    <w:rsid w:val="006C4A8E"/>
    <w:rsid w:val="006C4A9B"/>
    <w:rsid w:val="006C4B24"/>
    <w:rsid w:val="006C4B83"/>
    <w:rsid w:val="006C4E29"/>
    <w:rsid w:val="006C4E77"/>
    <w:rsid w:val="006C4EEC"/>
    <w:rsid w:val="006C4F1B"/>
    <w:rsid w:val="006C5074"/>
    <w:rsid w:val="006C5099"/>
    <w:rsid w:val="006C5197"/>
    <w:rsid w:val="006C51FC"/>
    <w:rsid w:val="006C525D"/>
    <w:rsid w:val="006C52E8"/>
    <w:rsid w:val="006C54B4"/>
    <w:rsid w:val="006C54EA"/>
    <w:rsid w:val="006C5569"/>
    <w:rsid w:val="006C576B"/>
    <w:rsid w:val="006C57E3"/>
    <w:rsid w:val="006C588D"/>
    <w:rsid w:val="006C5907"/>
    <w:rsid w:val="006C597A"/>
    <w:rsid w:val="006C59D6"/>
    <w:rsid w:val="006C5B4B"/>
    <w:rsid w:val="006C5B5F"/>
    <w:rsid w:val="006C5C80"/>
    <w:rsid w:val="006C5D50"/>
    <w:rsid w:val="006C5E94"/>
    <w:rsid w:val="006C5F51"/>
    <w:rsid w:val="006C5FFC"/>
    <w:rsid w:val="006C603F"/>
    <w:rsid w:val="006C60A1"/>
    <w:rsid w:val="006C60E7"/>
    <w:rsid w:val="006C6185"/>
    <w:rsid w:val="006C624A"/>
    <w:rsid w:val="006C6295"/>
    <w:rsid w:val="006C63C1"/>
    <w:rsid w:val="006C63DC"/>
    <w:rsid w:val="006C63E1"/>
    <w:rsid w:val="006C649E"/>
    <w:rsid w:val="006C64A2"/>
    <w:rsid w:val="006C652E"/>
    <w:rsid w:val="006C6556"/>
    <w:rsid w:val="006C658B"/>
    <w:rsid w:val="006C658F"/>
    <w:rsid w:val="006C6595"/>
    <w:rsid w:val="006C6654"/>
    <w:rsid w:val="006C6757"/>
    <w:rsid w:val="006C67CB"/>
    <w:rsid w:val="006C6829"/>
    <w:rsid w:val="006C6A3A"/>
    <w:rsid w:val="006C6B19"/>
    <w:rsid w:val="006C6BAD"/>
    <w:rsid w:val="006C6C74"/>
    <w:rsid w:val="006C6D06"/>
    <w:rsid w:val="006C6DFB"/>
    <w:rsid w:val="006C6E77"/>
    <w:rsid w:val="006C6F38"/>
    <w:rsid w:val="006C6FBC"/>
    <w:rsid w:val="006C70AB"/>
    <w:rsid w:val="006C7147"/>
    <w:rsid w:val="006C71C4"/>
    <w:rsid w:val="006C720B"/>
    <w:rsid w:val="006C7270"/>
    <w:rsid w:val="006C72C1"/>
    <w:rsid w:val="006C72EE"/>
    <w:rsid w:val="006C7353"/>
    <w:rsid w:val="006C742C"/>
    <w:rsid w:val="006C74E3"/>
    <w:rsid w:val="006C74FB"/>
    <w:rsid w:val="006C7761"/>
    <w:rsid w:val="006C77E4"/>
    <w:rsid w:val="006C7825"/>
    <w:rsid w:val="006C7953"/>
    <w:rsid w:val="006C7A13"/>
    <w:rsid w:val="006C7B85"/>
    <w:rsid w:val="006C7BBF"/>
    <w:rsid w:val="006C7BD5"/>
    <w:rsid w:val="006C7CB7"/>
    <w:rsid w:val="006C7E6D"/>
    <w:rsid w:val="006C7F3F"/>
    <w:rsid w:val="006C7F53"/>
    <w:rsid w:val="006D0002"/>
    <w:rsid w:val="006D0022"/>
    <w:rsid w:val="006D006B"/>
    <w:rsid w:val="006D00DA"/>
    <w:rsid w:val="006D011B"/>
    <w:rsid w:val="006D014E"/>
    <w:rsid w:val="006D0335"/>
    <w:rsid w:val="006D0388"/>
    <w:rsid w:val="006D04E5"/>
    <w:rsid w:val="006D04F7"/>
    <w:rsid w:val="006D0582"/>
    <w:rsid w:val="006D05A5"/>
    <w:rsid w:val="006D05AE"/>
    <w:rsid w:val="006D06C3"/>
    <w:rsid w:val="006D0942"/>
    <w:rsid w:val="006D09C9"/>
    <w:rsid w:val="006D09EB"/>
    <w:rsid w:val="006D09FA"/>
    <w:rsid w:val="006D0AE4"/>
    <w:rsid w:val="006D0B38"/>
    <w:rsid w:val="006D0DF6"/>
    <w:rsid w:val="006D0DFF"/>
    <w:rsid w:val="006D0EAA"/>
    <w:rsid w:val="006D0ED6"/>
    <w:rsid w:val="006D0F98"/>
    <w:rsid w:val="006D0FDB"/>
    <w:rsid w:val="006D1189"/>
    <w:rsid w:val="006D12D5"/>
    <w:rsid w:val="006D1324"/>
    <w:rsid w:val="006D1330"/>
    <w:rsid w:val="006D1769"/>
    <w:rsid w:val="006D182F"/>
    <w:rsid w:val="006D18DE"/>
    <w:rsid w:val="006D1971"/>
    <w:rsid w:val="006D19AA"/>
    <w:rsid w:val="006D1A04"/>
    <w:rsid w:val="006D1B9E"/>
    <w:rsid w:val="006D1BEA"/>
    <w:rsid w:val="006D1C24"/>
    <w:rsid w:val="006D1C54"/>
    <w:rsid w:val="006D1CA2"/>
    <w:rsid w:val="006D1CB0"/>
    <w:rsid w:val="006D1DA1"/>
    <w:rsid w:val="006D1ED7"/>
    <w:rsid w:val="006D1F3A"/>
    <w:rsid w:val="006D2070"/>
    <w:rsid w:val="006D20F0"/>
    <w:rsid w:val="006D21A8"/>
    <w:rsid w:val="006D21CF"/>
    <w:rsid w:val="006D225A"/>
    <w:rsid w:val="006D225C"/>
    <w:rsid w:val="006D2460"/>
    <w:rsid w:val="006D252E"/>
    <w:rsid w:val="006D2545"/>
    <w:rsid w:val="006D25A2"/>
    <w:rsid w:val="006D25F1"/>
    <w:rsid w:val="006D26AA"/>
    <w:rsid w:val="006D2766"/>
    <w:rsid w:val="006D28AE"/>
    <w:rsid w:val="006D28F1"/>
    <w:rsid w:val="006D2950"/>
    <w:rsid w:val="006D2955"/>
    <w:rsid w:val="006D2A97"/>
    <w:rsid w:val="006D2AB3"/>
    <w:rsid w:val="006D2B00"/>
    <w:rsid w:val="006D2E46"/>
    <w:rsid w:val="006D31A2"/>
    <w:rsid w:val="006D320C"/>
    <w:rsid w:val="006D3213"/>
    <w:rsid w:val="006D366F"/>
    <w:rsid w:val="006D3819"/>
    <w:rsid w:val="006D3924"/>
    <w:rsid w:val="006D3993"/>
    <w:rsid w:val="006D39D2"/>
    <w:rsid w:val="006D3A67"/>
    <w:rsid w:val="006D3B8E"/>
    <w:rsid w:val="006D3B98"/>
    <w:rsid w:val="006D3C85"/>
    <w:rsid w:val="006D3E43"/>
    <w:rsid w:val="006D3E4C"/>
    <w:rsid w:val="006D3E60"/>
    <w:rsid w:val="006D3EB0"/>
    <w:rsid w:val="006D3F9C"/>
    <w:rsid w:val="006D3FC6"/>
    <w:rsid w:val="006D40C2"/>
    <w:rsid w:val="006D40E3"/>
    <w:rsid w:val="006D4194"/>
    <w:rsid w:val="006D4244"/>
    <w:rsid w:val="006D424E"/>
    <w:rsid w:val="006D43AB"/>
    <w:rsid w:val="006D43B6"/>
    <w:rsid w:val="006D43CF"/>
    <w:rsid w:val="006D44FE"/>
    <w:rsid w:val="006D451C"/>
    <w:rsid w:val="006D45E8"/>
    <w:rsid w:val="006D45FF"/>
    <w:rsid w:val="006D4614"/>
    <w:rsid w:val="006D4634"/>
    <w:rsid w:val="006D46FB"/>
    <w:rsid w:val="006D4764"/>
    <w:rsid w:val="006D4979"/>
    <w:rsid w:val="006D49C7"/>
    <w:rsid w:val="006D4CC9"/>
    <w:rsid w:val="006D4D7D"/>
    <w:rsid w:val="006D4E8C"/>
    <w:rsid w:val="006D4F73"/>
    <w:rsid w:val="006D503D"/>
    <w:rsid w:val="006D50D5"/>
    <w:rsid w:val="006D516A"/>
    <w:rsid w:val="006D52A7"/>
    <w:rsid w:val="006D52E1"/>
    <w:rsid w:val="006D52E4"/>
    <w:rsid w:val="006D53E6"/>
    <w:rsid w:val="006D545B"/>
    <w:rsid w:val="006D551D"/>
    <w:rsid w:val="006D5639"/>
    <w:rsid w:val="006D5657"/>
    <w:rsid w:val="006D5669"/>
    <w:rsid w:val="006D5716"/>
    <w:rsid w:val="006D5756"/>
    <w:rsid w:val="006D592E"/>
    <w:rsid w:val="006D5AD9"/>
    <w:rsid w:val="006D5B6B"/>
    <w:rsid w:val="006D5BA6"/>
    <w:rsid w:val="006D5C94"/>
    <w:rsid w:val="006D5CA0"/>
    <w:rsid w:val="006D5CB0"/>
    <w:rsid w:val="006D5DD9"/>
    <w:rsid w:val="006D6005"/>
    <w:rsid w:val="006D6048"/>
    <w:rsid w:val="006D60C1"/>
    <w:rsid w:val="006D62EC"/>
    <w:rsid w:val="006D65EE"/>
    <w:rsid w:val="006D689E"/>
    <w:rsid w:val="006D6AB7"/>
    <w:rsid w:val="006D6B17"/>
    <w:rsid w:val="006D6CA4"/>
    <w:rsid w:val="006D6D5C"/>
    <w:rsid w:val="006D6DAA"/>
    <w:rsid w:val="006D6DAF"/>
    <w:rsid w:val="006D6E61"/>
    <w:rsid w:val="006D6F6D"/>
    <w:rsid w:val="006D6FF6"/>
    <w:rsid w:val="006D70AC"/>
    <w:rsid w:val="006D71A7"/>
    <w:rsid w:val="006D73B7"/>
    <w:rsid w:val="006D74D3"/>
    <w:rsid w:val="006D7500"/>
    <w:rsid w:val="006D7535"/>
    <w:rsid w:val="006D755C"/>
    <w:rsid w:val="006D7611"/>
    <w:rsid w:val="006D7969"/>
    <w:rsid w:val="006D7C56"/>
    <w:rsid w:val="006D7D84"/>
    <w:rsid w:val="006D7EDF"/>
    <w:rsid w:val="006D7F81"/>
    <w:rsid w:val="006D7FB3"/>
    <w:rsid w:val="006E000C"/>
    <w:rsid w:val="006E0176"/>
    <w:rsid w:val="006E01B0"/>
    <w:rsid w:val="006E01F2"/>
    <w:rsid w:val="006E0246"/>
    <w:rsid w:val="006E04B6"/>
    <w:rsid w:val="006E04E1"/>
    <w:rsid w:val="006E05C7"/>
    <w:rsid w:val="006E060B"/>
    <w:rsid w:val="006E072D"/>
    <w:rsid w:val="006E074C"/>
    <w:rsid w:val="006E0759"/>
    <w:rsid w:val="006E07BD"/>
    <w:rsid w:val="006E084A"/>
    <w:rsid w:val="006E0853"/>
    <w:rsid w:val="006E0A52"/>
    <w:rsid w:val="006E0A57"/>
    <w:rsid w:val="006E0AFB"/>
    <w:rsid w:val="006E0B8D"/>
    <w:rsid w:val="006E0BBA"/>
    <w:rsid w:val="006E0BCC"/>
    <w:rsid w:val="006E0BED"/>
    <w:rsid w:val="006E0C67"/>
    <w:rsid w:val="006E0C7D"/>
    <w:rsid w:val="006E0C92"/>
    <w:rsid w:val="006E0CA0"/>
    <w:rsid w:val="006E0CF2"/>
    <w:rsid w:val="006E0D05"/>
    <w:rsid w:val="006E0DA6"/>
    <w:rsid w:val="006E0E00"/>
    <w:rsid w:val="006E0E09"/>
    <w:rsid w:val="006E0E24"/>
    <w:rsid w:val="006E0EAE"/>
    <w:rsid w:val="006E0EDD"/>
    <w:rsid w:val="006E0F04"/>
    <w:rsid w:val="006E0FB1"/>
    <w:rsid w:val="006E0FC3"/>
    <w:rsid w:val="006E101E"/>
    <w:rsid w:val="006E11B1"/>
    <w:rsid w:val="006E121A"/>
    <w:rsid w:val="006E12E4"/>
    <w:rsid w:val="006E12EB"/>
    <w:rsid w:val="006E13EA"/>
    <w:rsid w:val="006E14A5"/>
    <w:rsid w:val="006E14BD"/>
    <w:rsid w:val="006E1594"/>
    <w:rsid w:val="006E1646"/>
    <w:rsid w:val="006E1703"/>
    <w:rsid w:val="006E1844"/>
    <w:rsid w:val="006E18A1"/>
    <w:rsid w:val="006E18C7"/>
    <w:rsid w:val="006E1944"/>
    <w:rsid w:val="006E19EA"/>
    <w:rsid w:val="006E1A4D"/>
    <w:rsid w:val="006E1B55"/>
    <w:rsid w:val="006E1BBB"/>
    <w:rsid w:val="006E1C4B"/>
    <w:rsid w:val="006E1C59"/>
    <w:rsid w:val="006E1E65"/>
    <w:rsid w:val="006E1F1B"/>
    <w:rsid w:val="006E1F95"/>
    <w:rsid w:val="006E207D"/>
    <w:rsid w:val="006E20B0"/>
    <w:rsid w:val="006E20B9"/>
    <w:rsid w:val="006E214A"/>
    <w:rsid w:val="006E21A3"/>
    <w:rsid w:val="006E21CF"/>
    <w:rsid w:val="006E226D"/>
    <w:rsid w:val="006E2277"/>
    <w:rsid w:val="006E22CC"/>
    <w:rsid w:val="006E2318"/>
    <w:rsid w:val="006E2369"/>
    <w:rsid w:val="006E23D3"/>
    <w:rsid w:val="006E247F"/>
    <w:rsid w:val="006E2494"/>
    <w:rsid w:val="006E24F3"/>
    <w:rsid w:val="006E2504"/>
    <w:rsid w:val="006E2611"/>
    <w:rsid w:val="006E2630"/>
    <w:rsid w:val="006E2639"/>
    <w:rsid w:val="006E29AD"/>
    <w:rsid w:val="006E2A82"/>
    <w:rsid w:val="006E2AB5"/>
    <w:rsid w:val="006E2C21"/>
    <w:rsid w:val="006E2F02"/>
    <w:rsid w:val="006E2F75"/>
    <w:rsid w:val="006E32BB"/>
    <w:rsid w:val="006E32DD"/>
    <w:rsid w:val="006E337C"/>
    <w:rsid w:val="006E3435"/>
    <w:rsid w:val="006E3479"/>
    <w:rsid w:val="006E366D"/>
    <w:rsid w:val="006E36BB"/>
    <w:rsid w:val="006E36BD"/>
    <w:rsid w:val="006E377E"/>
    <w:rsid w:val="006E3794"/>
    <w:rsid w:val="006E37E3"/>
    <w:rsid w:val="006E3872"/>
    <w:rsid w:val="006E38D6"/>
    <w:rsid w:val="006E3F32"/>
    <w:rsid w:val="006E3F6A"/>
    <w:rsid w:val="006E3FF2"/>
    <w:rsid w:val="006E4038"/>
    <w:rsid w:val="006E4341"/>
    <w:rsid w:val="006E4391"/>
    <w:rsid w:val="006E4626"/>
    <w:rsid w:val="006E4647"/>
    <w:rsid w:val="006E465B"/>
    <w:rsid w:val="006E46E0"/>
    <w:rsid w:val="006E474D"/>
    <w:rsid w:val="006E47BC"/>
    <w:rsid w:val="006E48CE"/>
    <w:rsid w:val="006E491B"/>
    <w:rsid w:val="006E49C0"/>
    <w:rsid w:val="006E49DB"/>
    <w:rsid w:val="006E4A5D"/>
    <w:rsid w:val="006E4A67"/>
    <w:rsid w:val="006E4B57"/>
    <w:rsid w:val="006E4C9A"/>
    <w:rsid w:val="006E4D6F"/>
    <w:rsid w:val="006E4DBB"/>
    <w:rsid w:val="006E4DEE"/>
    <w:rsid w:val="006E4E55"/>
    <w:rsid w:val="006E4EB5"/>
    <w:rsid w:val="006E4F82"/>
    <w:rsid w:val="006E4FCC"/>
    <w:rsid w:val="006E4FFE"/>
    <w:rsid w:val="006E500D"/>
    <w:rsid w:val="006E50F0"/>
    <w:rsid w:val="006E5164"/>
    <w:rsid w:val="006E51D3"/>
    <w:rsid w:val="006E5202"/>
    <w:rsid w:val="006E55B8"/>
    <w:rsid w:val="006E5622"/>
    <w:rsid w:val="006E576E"/>
    <w:rsid w:val="006E5808"/>
    <w:rsid w:val="006E594C"/>
    <w:rsid w:val="006E5963"/>
    <w:rsid w:val="006E597C"/>
    <w:rsid w:val="006E59C4"/>
    <w:rsid w:val="006E59E0"/>
    <w:rsid w:val="006E5AE0"/>
    <w:rsid w:val="006E5B81"/>
    <w:rsid w:val="006E5C87"/>
    <w:rsid w:val="006E5D43"/>
    <w:rsid w:val="006E5E06"/>
    <w:rsid w:val="006E5EBB"/>
    <w:rsid w:val="006E5F46"/>
    <w:rsid w:val="006E5F6A"/>
    <w:rsid w:val="006E6023"/>
    <w:rsid w:val="006E6065"/>
    <w:rsid w:val="006E6074"/>
    <w:rsid w:val="006E611D"/>
    <w:rsid w:val="006E6155"/>
    <w:rsid w:val="006E6219"/>
    <w:rsid w:val="006E6271"/>
    <w:rsid w:val="006E649A"/>
    <w:rsid w:val="006E64D8"/>
    <w:rsid w:val="006E6542"/>
    <w:rsid w:val="006E6568"/>
    <w:rsid w:val="006E6614"/>
    <w:rsid w:val="006E66AC"/>
    <w:rsid w:val="006E6708"/>
    <w:rsid w:val="006E69EF"/>
    <w:rsid w:val="006E6AE2"/>
    <w:rsid w:val="006E6C5D"/>
    <w:rsid w:val="006E6C6C"/>
    <w:rsid w:val="006E6D42"/>
    <w:rsid w:val="006E6DA2"/>
    <w:rsid w:val="006E6DB3"/>
    <w:rsid w:val="006E6E7D"/>
    <w:rsid w:val="006E6F4C"/>
    <w:rsid w:val="006E6F9F"/>
    <w:rsid w:val="006E6FC2"/>
    <w:rsid w:val="006E7139"/>
    <w:rsid w:val="006E71AF"/>
    <w:rsid w:val="006E71FB"/>
    <w:rsid w:val="006E7219"/>
    <w:rsid w:val="006E7368"/>
    <w:rsid w:val="006E745E"/>
    <w:rsid w:val="006E74C7"/>
    <w:rsid w:val="006E752D"/>
    <w:rsid w:val="006E75CF"/>
    <w:rsid w:val="006E7700"/>
    <w:rsid w:val="006E7743"/>
    <w:rsid w:val="006E777C"/>
    <w:rsid w:val="006E777F"/>
    <w:rsid w:val="006E78A5"/>
    <w:rsid w:val="006E794F"/>
    <w:rsid w:val="006E7A43"/>
    <w:rsid w:val="006E7B06"/>
    <w:rsid w:val="006E7C48"/>
    <w:rsid w:val="006E7CB7"/>
    <w:rsid w:val="006E7CE5"/>
    <w:rsid w:val="006E7D58"/>
    <w:rsid w:val="006E7D92"/>
    <w:rsid w:val="006E7DB6"/>
    <w:rsid w:val="006E7DE3"/>
    <w:rsid w:val="006E7DEB"/>
    <w:rsid w:val="006E7F4B"/>
    <w:rsid w:val="006E7F99"/>
    <w:rsid w:val="006E7FBB"/>
    <w:rsid w:val="006F00E4"/>
    <w:rsid w:val="006F0166"/>
    <w:rsid w:val="006F0297"/>
    <w:rsid w:val="006F0478"/>
    <w:rsid w:val="006F0587"/>
    <w:rsid w:val="006F0652"/>
    <w:rsid w:val="006F070A"/>
    <w:rsid w:val="006F0800"/>
    <w:rsid w:val="006F0848"/>
    <w:rsid w:val="006F093E"/>
    <w:rsid w:val="006F0993"/>
    <w:rsid w:val="006F0AA9"/>
    <w:rsid w:val="006F0B20"/>
    <w:rsid w:val="006F0C2E"/>
    <w:rsid w:val="006F0C55"/>
    <w:rsid w:val="006F0D0F"/>
    <w:rsid w:val="006F0E43"/>
    <w:rsid w:val="006F0FBB"/>
    <w:rsid w:val="006F1071"/>
    <w:rsid w:val="006F113C"/>
    <w:rsid w:val="006F1216"/>
    <w:rsid w:val="006F13C3"/>
    <w:rsid w:val="006F13E8"/>
    <w:rsid w:val="006F160D"/>
    <w:rsid w:val="006F1691"/>
    <w:rsid w:val="006F16FC"/>
    <w:rsid w:val="006F17CB"/>
    <w:rsid w:val="006F1805"/>
    <w:rsid w:val="006F1842"/>
    <w:rsid w:val="006F1869"/>
    <w:rsid w:val="006F18A4"/>
    <w:rsid w:val="006F193E"/>
    <w:rsid w:val="006F1A6D"/>
    <w:rsid w:val="006F1AB0"/>
    <w:rsid w:val="006F1C16"/>
    <w:rsid w:val="006F1D8D"/>
    <w:rsid w:val="006F1DC7"/>
    <w:rsid w:val="006F1E6B"/>
    <w:rsid w:val="006F1F3D"/>
    <w:rsid w:val="006F1F51"/>
    <w:rsid w:val="006F2021"/>
    <w:rsid w:val="006F21E3"/>
    <w:rsid w:val="006F234E"/>
    <w:rsid w:val="006F23E6"/>
    <w:rsid w:val="006F242E"/>
    <w:rsid w:val="006F24B8"/>
    <w:rsid w:val="006F24FB"/>
    <w:rsid w:val="006F2606"/>
    <w:rsid w:val="006F263F"/>
    <w:rsid w:val="006F2653"/>
    <w:rsid w:val="006F2664"/>
    <w:rsid w:val="006F26C4"/>
    <w:rsid w:val="006F26D9"/>
    <w:rsid w:val="006F2818"/>
    <w:rsid w:val="006F2831"/>
    <w:rsid w:val="006F288E"/>
    <w:rsid w:val="006F2A02"/>
    <w:rsid w:val="006F2A49"/>
    <w:rsid w:val="006F2B0C"/>
    <w:rsid w:val="006F2B0E"/>
    <w:rsid w:val="006F2C63"/>
    <w:rsid w:val="006F2CAC"/>
    <w:rsid w:val="006F2D5B"/>
    <w:rsid w:val="006F2DA0"/>
    <w:rsid w:val="006F2F58"/>
    <w:rsid w:val="006F2F67"/>
    <w:rsid w:val="006F3055"/>
    <w:rsid w:val="006F309E"/>
    <w:rsid w:val="006F3148"/>
    <w:rsid w:val="006F31D9"/>
    <w:rsid w:val="006F35BB"/>
    <w:rsid w:val="006F366C"/>
    <w:rsid w:val="006F36EC"/>
    <w:rsid w:val="006F37CE"/>
    <w:rsid w:val="006F382E"/>
    <w:rsid w:val="006F3C51"/>
    <w:rsid w:val="006F3CF1"/>
    <w:rsid w:val="006F3D99"/>
    <w:rsid w:val="006F3E36"/>
    <w:rsid w:val="006F3F35"/>
    <w:rsid w:val="006F407B"/>
    <w:rsid w:val="006F40B5"/>
    <w:rsid w:val="006F412F"/>
    <w:rsid w:val="006F42B5"/>
    <w:rsid w:val="006F43EE"/>
    <w:rsid w:val="006F444A"/>
    <w:rsid w:val="006F444B"/>
    <w:rsid w:val="006F449D"/>
    <w:rsid w:val="006F44BB"/>
    <w:rsid w:val="006F45FB"/>
    <w:rsid w:val="006F4636"/>
    <w:rsid w:val="006F468A"/>
    <w:rsid w:val="006F476A"/>
    <w:rsid w:val="006F476E"/>
    <w:rsid w:val="006F47FC"/>
    <w:rsid w:val="006F491A"/>
    <w:rsid w:val="006F4934"/>
    <w:rsid w:val="006F498A"/>
    <w:rsid w:val="006F49E3"/>
    <w:rsid w:val="006F4A1E"/>
    <w:rsid w:val="006F4B71"/>
    <w:rsid w:val="006F4C28"/>
    <w:rsid w:val="006F4C60"/>
    <w:rsid w:val="006F4C9C"/>
    <w:rsid w:val="006F4CA0"/>
    <w:rsid w:val="006F4CE8"/>
    <w:rsid w:val="006F4CF4"/>
    <w:rsid w:val="006F4E6F"/>
    <w:rsid w:val="006F4F0B"/>
    <w:rsid w:val="006F4FFF"/>
    <w:rsid w:val="006F5092"/>
    <w:rsid w:val="006F511D"/>
    <w:rsid w:val="006F52B5"/>
    <w:rsid w:val="006F5658"/>
    <w:rsid w:val="006F57F2"/>
    <w:rsid w:val="006F5803"/>
    <w:rsid w:val="006F59D3"/>
    <w:rsid w:val="006F5A94"/>
    <w:rsid w:val="006F5AC0"/>
    <w:rsid w:val="006F5BB1"/>
    <w:rsid w:val="006F5BBB"/>
    <w:rsid w:val="006F5E12"/>
    <w:rsid w:val="006F5E31"/>
    <w:rsid w:val="006F5E85"/>
    <w:rsid w:val="006F5E8A"/>
    <w:rsid w:val="006F611A"/>
    <w:rsid w:val="006F615E"/>
    <w:rsid w:val="006F618E"/>
    <w:rsid w:val="006F6260"/>
    <w:rsid w:val="006F62BB"/>
    <w:rsid w:val="006F62F3"/>
    <w:rsid w:val="006F63F6"/>
    <w:rsid w:val="006F654A"/>
    <w:rsid w:val="006F654B"/>
    <w:rsid w:val="006F657C"/>
    <w:rsid w:val="006F658A"/>
    <w:rsid w:val="006F65ED"/>
    <w:rsid w:val="006F66A3"/>
    <w:rsid w:val="006F66CB"/>
    <w:rsid w:val="006F6812"/>
    <w:rsid w:val="006F692F"/>
    <w:rsid w:val="006F696F"/>
    <w:rsid w:val="006F6C77"/>
    <w:rsid w:val="006F6D82"/>
    <w:rsid w:val="006F6EEC"/>
    <w:rsid w:val="006F6EF8"/>
    <w:rsid w:val="006F709A"/>
    <w:rsid w:val="006F7122"/>
    <w:rsid w:val="006F7208"/>
    <w:rsid w:val="006F72EF"/>
    <w:rsid w:val="006F735C"/>
    <w:rsid w:val="006F740B"/>
    <w:rsid w:val="006F7430"/>
    <w:rsid w:val="006F7481"/>
    <w:rsid w:val="006F763F"/>
    <w:rsid w:val="006F765C"/>
    <w:rsid w:val="006F7801"/>
    <w:rsid w:val="006F79C8"/>
    <w:rsid w:val="006F79EC"/>
    <w:rsid w:val="006F7A9B"/>
    <w:rsid w:val="006F7AB8"/>
    <w:rsid w:val="006F7AF2"/>
    <w:rsid w:val="006F7B45"/>
    <w:rsid w:val="006F7B7A"/>
    <w:rsid w:val="006F7C81"/>
    <w:rsid w:val="006F7D91"/>
    <w:rsid w:val="006F7D9E"/>
    <w:rsid w:val="006F7DFF"/>
    <w:rsid w:val="006F7EE7"/>
    <w:rsid w:val="006F7FA5"/>
    <w:rsid w:val="006F7FC1"/>
    <w:rsid w:val="00700005"/>
    <w:rsid w:val="00700021"/>
    <w:rsid w:val="00700077"/>
    <w:rsid w:val="007000AE"/>
    <w:rsid w:val="007000F1"/>
    <w:rsid w:val="00700140"/>
    <w:rsid w:val="0070026E"/>
    <w:rsid w:val="0070029A"/>
    <w:rsid w:val="00700324"/>
    <w:rsid w:val="0070036E"/>
    <w:rsid w:val="00700478"/>
    <w:rsid w:val="007004DA"/>
    <w:rsid w:val="00700524"/>
    <w:rsid w:val="007005D4"/>
    <w:rsid w:val="007005D8"/>
    <w:rsid w:val="00700673"/>
    <w:rsid w:val="007006DA"/>
    <w:rsid w:val="007006FB"/>
    <w:rsid w:val="0070089C"/>
    <w:rsid w:val="00700920"/>
    <w:rsid w:val="00700936"/>
    <w:rsid w:val="00700AA8"/>
    <w:rsid w:val="00700BDA"/>
    <w:rsid w:val="00700C37"/>
    <w:rsid w:val="00700C84"/>
    <w:rsid w:val="00700D3E"/>
    <w:rsid w:val="00700E1A"/>
    <w:rsid w:val="00701154"/>
    <w:rsid w:val="00701170"/>
    <w:rsid w:val="00701189"/>
    <w:rsid w:val="007011A5"/>
    <w:rsid w:val="007011BA"/>
    <w:rsid w:val="007011FE"/>
    <w:rsid w:val="0070124F"/>
    <w:rsid w:val="00701279"/>
    <w:rsid w:val="00701282"/>
    <w:rsid w:val="007012FC"/>
    <w:rsid w:val="00701428"/>
    <w:rsid w:val="007014C1"/>
    <w:rsid w:val="00701536"/>
    <w:rsid w:val="00701718"/>
    <w:rsid w:val="00701765"/>
    <w:rsid w:val="00701772"/>
    <w:rsid w:val="007017E0"/>
    <w:rsid w:val="007017EB"/>
    <w:rsid w:val="007018E6"/>
    <w:rsid w:val="00701957"/>
    <w:rsid w:val="007019DD"/>
    <w:rsid w:val="00701A63"/>
    <w:rsid w:val="00701B7F"/>
    <w:rsid w:val="00701C2B"/>
    <w:rsid w:val="00701CB1"/>
    <w:rsid w:val="00701DB2"/>
    <w:rsid w:val="00701DCC"/>
    <w:rsid w:val="00701DE4"/>
    <w:rsid w:val="00701DF0"/>
    <w:rsid w:val="00701E10"/>
    <w:rsid w:val="00701EC8"/>
    <w:rsid w:val="00701EE3"/>
    <w:rsid w:val="00701F52"/>
    <w:rsid w:val="00701F57"/>
    <w:rsid w:val="00701FBC"/>
    <w:rsid w:val="00701FDC"/>
    <w:rsid w:val="00701FFA"/>
    <w:rsid w:val="00702084"/>
    <w:rsid w:val="007021BF"/>
    <w:rsid w:val="007021C6"/>
    <w:rsid w:val="007021CB"/>
    <w:rsid w:val="00702219"/>
    <w:rsid w:val="00702342"/>
    <w:rsid w:val="007024DC"/>
    <w:rsid w:val="00702695"/>
    <w:rsid w:val="00702765"/>
    <w:rsid w:val="0070298A"/>
    <w:rsid w:val="00702A74"/>
    <w:rsid w:val="00702B2D"/>
    <w:rsid w:val="00702BC6"/>
    <w:rsid w:val="00702BF0"/>
    <w:rsid w:val="00702C0A"/>
    <w:rsid w:val="00702E6A"/>
    <w:rsid w:val="00703125"/>
    <w:rsid w:val="00703146"/>
    <w:rsid w:val="007031D0"/>
    <w:rsid w:val="00703268"/>
    <w:rsid w:val="0070350D"/>
    <w:rsid w:val="00703539"/>
    <w:rsid w:val="00703605"/>
    <w:rsid w:val="0070361D"/>
    <w:rsid w:val="0070377B"/>
    <w:rsid w:val="00703A4F"/>
    <w:rsid w:val="00703B30"/>
    <w:rsid w:val="00703CC2"/>
    <w:rsid w:val="00703CC4"/>
    <w:rsid w:val="00703CFC"/>
    <w:rsid w:val="00703D46"/>
    <w:rsid w:val="00703DB3"/>
    <w:rsid w:val="00703DC8"/>
    <w:rsid w:val="00703DE9"/>
    <w:rsid w:val="00703E51"/>
    <w:rsid w:val="00703E7F"/>
    <w:rsid w:val="00703EB4"/>
    <w:rsid w:val="00703EEA"/>
    <w:rsid w:val="00703F37"/>
    <w:rsid w:val="007041CC"/>
    <w:rsid w:val="007041EF"/>
    <w:rsid w:val="00704306"/>
    <w:rsid w:val="007043D2"/>
    <w:rsid w:val="00704631"/>
    <w:rsid w:val="007046D7"/>
    <w:rsid w:val="00704725"/>
    <w:rsid w:val="00704763"/>
    <w:rsid w:val="00704828"/>
    <w:rsid w:val="0070482D"/>
    <w:rsid w:val="00704984"/>
    <w:rsid w:val="00704D35"/>
    <w:rsid w:val="00704D51"/>
    <w:rsid w:val="00704DF0"/>
    <w:rsid w:val="00704F53"/>
    <w:rsid w:val="00704FB5"/>
    <w:rsid w:val="00704FEA"/>
    <w:rsid w:val="00705096"/>
    <w:rsid w:val="0070513E"/>
    <w:rsid w:val="007052F3"/>
    <w:rsid w:val="00705301"/>
    <w:rsid w:val="007053AF"/>
    <w:rsid w:val="0070544F"/>
    <w:rsid w:val="00705491"/>
    <w:rsid w:val="007054E4"/>
    <w:rsid w:val="00705552"/>
    <w:rsid w:val="0070556E"/>
    <w:rsid w:val="00705616"/>
    <w:rsid w:val="007056C9"/>
    <w:rsid w:val="00705887"/>
    <w:rsid w:val="007058A3"/>
    <w:rsid w:val="00705907"/>
    <w:rsid w:val="00705917"/>
    <w:rsid w:val="00705A19"/>
    <w:rsid w:val="00705A53"/>
    <w:rsid w:val="00705B17"/>
    <w:rsid w:val="00705CDB"/>
    <w:rsid w:val="00705D1F"/>
    <w:rsid w:val="00705DBA"/>
    <w:rsid w:val="00705E0F"/>
    <w:rsid w:val="00705E5E"/>
    <w:rsid w:val="00705F61"/>
    <w:rsid w:val="00705FB4"/>
    <w:rsid w:val="00705FDE"/>
    <w:rsid w:val="00706067"/>
    <w:rsid w:val="0070619A"/>
    <w:rsid w:val="00706205"/>
    <w:rsid w:val="00706233"/>
    <w:rsid w:val="00706390"/>
    <w:rsid w:val="0070645C"/>
    <w:rsid w:val="007064BE"/>
    <w:rsid w:val="00706558"/>
    <w:rsid w:val="0070657F"/>
    <w:rsid w:val="0070689B"/>
    <w:rsid w:val="00706958"/>
    <w:rsid w:val="00706981"/>
    <w:rsid w:val="00706A78"/>
    <w:rsid w:val="00706AD0"/>
    <w:rsid w:val="00706AE5"/>
    <w:rsid w:val="00706B85"/>
    <w:rsid w:val="00706BA2"/>
    <w:rsid w:val="00706D4E"/>
    <w:rsid w:val="00706D6A"/>
    <w:rsid w:val="00706F16"/>
    <w:rsid w:val="00706FDC"/>
    <w:rsid w:val="0070713E"/>
    <w:rsid w:val="00707156"/>
    <w:rsid w:val="007071A0"/>
    <w:rsid w:val="007071AA"/>
    <w:rsid w:val="007071AE"/>
    <w:rsid w:val="007071BB"/>
    <w:rsid w:val="007071DF"/>
    <w:rsid w:val="00707253"/>
    <w:rsid w:val="0070726C"/>
    <w:rsid w:val="007072A3"/>
    <w:rsid w:val="0070738B"/>
    <w:rsid w:val="007073EE"/>
    <w:rsid w:val="0070741C"/>
    <w:rsid w:val="00707433"/>
    <w:rsid w:val="007075C8"/>
    <w:rsid w:val="0070763F"/>
    <w:rsid w:val="007076C4"/>
    <w:rsid w:val="007077A9"/>
    <w:rsid w:val="00707823"/>
    <w:rsid w:val="00707824"/>
    <w:rsid w:val="0070786A"/>
    <w:rsid w:val="00707A8A"/>
    <w:rsid w:val="00707AEA"/>
    <w:rsid w:val="00707AF7"/>
    <w:rsid w:val="00707B95"/>
    <w:rsid w:val="00707C08"/>
    <w:rsid w:val="00707D1D"/>
    <w:rsid w:val="00707DCA"/>
    <w:rsid w:val="00707DF4"/>
    <w:rsid w:val="00707E04"/>
    <w:rsid w:val="00707E5B"/>
    <w:rsid w:val="00707EC4"/>
    <w:rsid w:val="00707ED6"/>
    <w:rsid w:val="00707F4A"/>
    <w:rsid w:val="00707FB1"/>
    <w:rsid w:val="00707FC5"/>
    <w:rsid w:val="00707FD2"/>
    <w:rsid w:val="0071001D"/>
    <w:rsid w:val="00710021"/>
    <w:rsid w:val="0071007A"/>
    <w:rsid w:val="00710155"/>
    <w:rsid w:val="00710368"/>
    <w:rsid w:val="007103C1"/>
    <w:rsid w:val="00710446"/>
    <w:rsid w:val="00710497"/>
    <w:rsid w:val="00710605"/>
    <w:rsid w:val="00710781"/>
    <w:rsid w:val="00710927"/>
    <w:rsid w:val="00710B15"/>
    <w:rsid w:val="00710B45"/>
    <w:rsid w:val="00710C48"/>
    <w:rsid w:val="00710CD3"/>
    <w:rsid w:val="00710D07"/>
    <w:rsid w:val="00710DA3"/>
    <w:rsid w:val="00710DB8"/>
    <w:rsid w:val="00710E09"/>
    <w:rsid w:val="00710E86"/>
    <w:rsid w:val="00710EDF"/>
    <w:rsid w:val="00710F57"/>
    <w:rsid w:val="00710F68"/>
    <w:rsid w:val="00710FA5"/>
    <w:rsid w:val="00710FBD"/>
    <w:rsid w:val="007110F7"/>
    <w:rsid w:val="00711118"/>
    <w:rsid w:val="00711135"/>
    <w:rsid w:val="007111CE"/>
    <w:rsid w:val="00711214"/>
    <w:rsid w:val="00711219"/>
    <w:rsid w:val="0071125E"/>
    <w:rsid w:val="0071141A"/>
    <w:rsid w:val="007114C7"/>
    <w:rsid w:val="0071167D"/>
    <w:rsid w:val="00711742"/>
    <w:rsid w:val="007117E7"/>
    <w:rsid w:val="00711867"/>
    <w:rsid w:val="0071189F"/>
    <w:rsid w:val="007118A1"/>
    <w:rsid w:val="00711906"/>
    <w:rsid w:val="0071196B"/>
    <w:rsid w:val="00711A33"/>
    <w:rsid w:val="00711D17"/>
    <w:rsid w:val="00711E6D"/>
    <w:rsid w:val="00711EAF"/>
    <w:rsid w:val="00711EFB"/>
    <w:rsid w:val="00712008"/>
    <w:rsid w:val="00712058"/>
    <w:rsid w:val="0071205E"/>
    <w:rsid w:val="00712083"/>
    <w:rsid w:val="00712405"/>
    <w:rsid w:val="007124FB"/>
    <w:rsid w:val="00712528"/>
    <w:rsid w:val="00712782"/>
    <w:rsid w:val="00712835"/>
    <w:rsid w:val="007128BD"/>
    <w:rsid w:val="0071290F"/>
    <w:rsid w:val="00712AFF"/>
    <w:rsid w:val="00712B37"/>
    <w:rsid w:val="00712B5C"/>
    <w:rsid w:val="00712D28"/>
    <w:rsid w:val="00712D2F"/>
    <w:rsid w:val="00712D9B"/>
    <w:rsid w:val="00712E9C"/>
    <w:rsid w:val="007130AF"/>
    <w:rsid w:val="007130CD"/>
    <w:rsid w:val="007131B8"/>
    <w:rsid w:val="007131D8"/>
    <w:rsid w:val="007131DB"/>
    <w:rsid w:val="0071324F"/>
    <w:rsid w:val="007132E6"/>
    <w:rsid w:val="0071335C"/>
    <w:rsid w:val="007135FC"/>
    <w:rsid w:val="00713671"/>
    <w:rsid w:val="00713695"/>
    <w:rsid w:val="00713717"/>
    <w:rsid w:val="00713885"/>
    <w:rsid w:val="0071393D"/>
    <w:rsid w:val="00713A10"/>
    <w:rsid w:val="00713B4F"/>
    <w:rsid w:val="00713B64"/>
    <w:rsid w:val="00713C9C"/>
    <w:rsid w:val="00713D17"/>
    <w:rsid w:val="00713EC7"/>
    <w:rsid w:val="00713F63"/>
    <w:rsid w:val="00713F8E"/>
    <w:rsid w:val="00713FFF"/>
    <w:rsid w:val="0071424C"/>
    <w:rsid w:val="00714280"/>
    <w:rsid w:val="007142AE"/>
    <w:rsid w:val="007142B3"/>
    <w:rsid w:val="007143C3"/>
    <w:rsid w:val="00714577"/>
    <w:rsid w:val="007145BF"/>
    <w:rsid w:val="007145EE"/>
    <w:rsid w:val="007146FD"/>
    <w:rsid w:val="00714726"/>
    <w:rsid w:val="0071486B"/>
    <w:rsid w:val="0071488B"/>
    <w:rsid w:val="0071496A"/>
    <w:rsid w:val="00714C4D"/>
    <w:rsid w:val="00714CCF"/>
    <w:rsid w:val="00714CFC"/>
    <w:rsid w:val="00714D93"/>
    <w:rsid w:val="00714D98"/>
    <w:rsid w:val="00714ED1"/>
    <w:rsid w:val="00714F1B"/>
    <w:rsid w:val="00714F37"/>
    <w:rsid w:val="00714F5D"/>
    <w:rsid w:val="00714FC6"/>
    <w:rsid w:val="0071529A"/>
    <w:rsid w:val="007153EE"/>
    <w:rsid w:val="007156E9"/>
    <w:rsid w:val="007156FA"/>
    <w:rsid w:val="007157EA"/>
    <w:rsid w:val="007159CE"/>
    <w:rsid w:val="00715D04"/>
    <w:rsid w:val="00715D43"/>
    <w:rsid w:val="00715E7C"/>
    <w:rsid w:val="00716038"/>
    <w:rsid w:val="00716088"/>
    <w:rsid w:val="00716105"/>
    <w:rsid w:val="00716113"/>
    <w:rsid w:val="00716186"/>
    <w:rsid w:val="007162BD"/>
    <w:rsid w:val="0071634E"/>
    <w:rsid w:val="007163FB"/>
    <w:rsid w:val="0071640D"/>
    <w:rsid w:val="00716448"/>
    <w:rsid w:val="00716617"/>
    <w:rsid w:val="00716691"/>
    <w:rsid w:val="00716701"/>
    <w:rsid w:val="00716709"/>
    <w:rsid w:val="00716765"/>
    <w:rsid w:val="007168AF"/>
    <w:rsid w:val="007168EE"/>
    <w:rsid w:val="0071692D"/>
    <w:rsid w:val="00716C8F"/>
    <w:rsid w:val="00716D10"/>
    <w:rsid w:val="00716DB4"/>
    <w:rsid w:val="00716DE2"/>
    <w:rsid w:val="00716E3C"/>
    <w:rsid w:val="00716E7D"/>
    <w:rsid w:val="00716F0B"/>
    <w:rsid w:val="00716F2C"/>
    <w:rsid w:val="00716F2D"/>
    <w:rsid w:val="00716FD9"/>
    <w:rsid w:val="0071705A"/>
    <w:rsid w:val="007171FA"/>
    <w:rsid w:val="00717373"/>
    <w:rsid w:val="0071737D"/>
    <w:rsid w:val="007173BF"/>
    <w:rsid w:val="0071742C"/>
    <w:rsid w:val="00717444"/>
    <w:rsid w:val="00717751"/>
    <w:rsid w:val="0071781C"/>
    <w:rsid w:val="00717842"/>
    <w:rsid w:val="00717855"/>
    <w:rsid w:val="00717969"/>
    <w:rsid w:val="00717994"/>
    <w:rsid w:val="007179E9"/>
    <w:rsid w:val="00717ACB"/>
    <w:rsid w:val="00717C51"/>
    <w:rsid w:val="00717EB3"/>
    <w:rsid w:val="00717ED7"/>
    <w:rsid w:val="00717F73"/>
    <w:rsid w:val="00717F75"/>
    <w:rsid w:val="00717FDD"/>
    <w:rsid w:val="00720003"/>
    <w:rsid w:val="00720086"/>
    <w:rsid w:val="007201B6"/>
    <w:rsid w:val="007201B8"/>
    <w:rsid w:val="00720251"/>
    <w:rsid w:val="007202F8"/>
    <w:rsid w:val="0072031F"/>
    <w:rsid w:val="007203A8"/>
    <w:rsid w:val="00720529"/>
    <w:rsid w:val="00720570"/>
    <w:rsid w:val="00720742"/>
    <w:rsid w:val="00720978"/>
    <w:rsid w:val="00720A6A"/>
    <w:rsid w:val="00720A9C"/>
    <w:rsid w:val="00720ACE"/>
    <w:rsid w:val="00720B5C"/>
    <w:rsid w:val="00720C31"/>
    <w:rsid w:val="00720CF0"/>
    <w:rsid w:val="00720E12"/>
    <w:rsid w:val="00720E6F"/>
    <w:rsid w:val="00720E89"/>
    <w:rsid w:val="00720F48"/>
    <w:rsid w:val="007210C8"/>
    <w:rsid w:val="00721165"/>
    <w:rsid w:val="00721208"/>
    <w:rsid w:val="00721265"/>
    <w:rsid w:val="00721284"/>
    <w:rsid w:val="007212E5"/>
    <w:rsid w:val="007212F6"/>
    <w:rsid w:val="007212FA"/>
    <w:rsid w:val="007213AE"/>
    <w:rsid w:val="00721420"/>
    <w:rsid w:val="00721524"/>
    <w:rsid w:val="0072159C"/>
    <w:rsid w:val="00721670"/>
    <w:rsid w:val="007218C8"/>
    <w:rsid w:val="00721918"/>
    <w:rsid w:val="0072194C"/>
    <w:rsid w:val="007219C3"/>
    <w:rsid w:val="00721A03"/>
    <w:rsid w:val="00721A09"/>
    <w:rsid w:val="00721B8F"/>
    <w:rsid w:val="00721D80"/>
    <w:rsid w:val="00721E59"/>
    <w:rsid w:val="00721EF3"/>
    <w:rsid w:val="00721FA4"/>
    <w:rsid w:val="00721FA7"/>
    <w:rsid w:val="00721FEB"/>
    <w:rsid w:val="0072206A"/>
    <w:rsid w:val="007221E3"/>
    <w:rsid w:val="00722262"/>
    <w:rsid w:val="0072227C"/>
    <w:rsid w:val="007222D1"/>
    <w:rsid w:val="007223BC"/>
    <w:rsid w:val="0072244D"/>
    <w:rsid w:val="00722563"/>
    <w:rsid w:val="007225BC"/>
    <w:rsid w:val="007225C2"/>
    <w:rsid w:val="007225E4"/>
    <w:rsid w:val="00722610"/>
    <w:rsid w:val="00722621"/>
    <w:rsid w:val="0072263D"/>
    <w:rsid w:val="0072265E"/>
    <w:rsid w:val="00722819"/>
    <w:rsid w:val="007228FE"/>
    <w:rsid w:val="0072293D"/>
    <w:rsid w:val="00722A18"/>
    <w:rsid w:val="00722B3C"/>
    <w:rsid w:val="00722BDB"/>
    <w:rsid w:val="00722C30"/>
    <w:rsid w:val="00722D5E"/>
    <w:rsid w:val="00722F6A"/>
    <w:rsid w:val="00723006"/>
    <w:rsid w:val="0072301F"/>
    <w:rsid w:val="007230F9"/>
    <w:rsid w:val="0072311A"/>
    <w:rsid w:val="00723395"/>
    <w:rsid w:val="007233B8"/>
    <w:rsid w:val="007233F4"/>
    <w:rsid w:val="0072354A"/>
    <w:rsid w:val="0072375F"/>
    <w:rsid w:val="0072392F"/>
    <w:rsid w:val="00723A03"/>
    <w:rsid w:val="00723A0B"/>
    <w:rsid w:val="00723A69"/>
    <w:rsid w:val="00723AE7"/>
    <w:rsid w:val="00723B13"/>
    <w:rsid w:val="00723BFF"/>
    <w:rsid w:val="00723C2F"/>
    <w:rsid w:val="00723D81"/>
    <w:rsid w:val="00723E73"/>
    <w:rsid w:val="00723FF3"/>
    <w:rsid w:val="007240BB"/>
    <w:rsid w:val="00724195"/>
    <w:rsid w:val="00724403"/>
    <w:rsid w:val="0072444A"/>
    <w:rsid w:val="0072451B"/>
    <w:rsid w:val="0072453B"/>
    <w:rsid w:val="00724541"/>
    <w:rsid w:val="0072464B"/>
    <w:rsid w:val="007247A3"/>
    <w:rsid w:val="007247A4"/>
    <w:rsid w:val="007247AB"/>
    <w:rsid w:val="007248CC"/>
    <w:rsid w:val="0072492E"/>
    <w:rsid w:val="0072493A"/>
    <w:rsid w:val="0072495A"/>
    <w:rsid w:val="00724C0D"/>
    <w:rsid w:val="00724DB8"/>
    <w:rsid w:val="00724DD4"/>
    <w:rsid w:val="007250A3"/>
    <w:rsid w:val="007250FA"/>
    <w:rsid w:val="00725105"/>
    <w:rsid w:val="00725142"/>
    <w:rsid w:val="0072514B"/>
    <w:rsid w:val="0072516C"/>
    <w:rsid w:val="00725223"/>
    <w:rsid w:val="00725415"/>
    <w:rsid w:val="00725494"/>
    <w:rsid w:val="00725595"/>
    <w:rsid w:val="0072567B"/>
    <w:rsid w:val="007256F7"/>
    <w:rsid w:val="0072570C"/>
    <w:rsid w:val="00725747"/>
    <w:rsid w:val="00725760"/>
    <w:rsid w:val="007258B2"/>
    <w:rsid w:val="007259AA"/>
    <w:rsid w:val="00725CCE"/>
    <w:rsid w:val="00725DDD"/>
    <w:rsid w:val="00725EDA"/>
    <w:rsid w:val="00725EF2"/>
    <w:rsid w:val="00725FAC"/>
    <w:rsid w:val="00725FB3"/>
    <w:rsid w:val="00725FD5"/>
    <w:rsid w:val="00725FF8"/>
    <w:rsid w:val="00725FFD"/>
    <w:rsid w:val="00726065"/>
    <w:rsid w:val="00726067"/>
    <w:rsid w:val="0072650A"/>
    <w:rsid w:val="007266DC"/>
    <w:rsid w:val="007266F2"/>
    <w:rsid w:val="00726718"/>
    <w:rsid w:val="00726902"/>
    <w:rsid w:val="007269CF"/>
    <w:rsid w:val="00726A08"/>
    <w:rsid w:val="00726A38"/>
    <w:rsid w:val="00726A41"/>
    <w:rsid w:val="00726A76"/>
    <w:rsid w:val="00726A9F"/>
    <w:rsid w:val="00726C42"/>
    <w:rsid w:val="00726C99"/>
    <w:rsid w:val="00726D9E"/>
    <w:rsid w:val="0072708A"/>
    <w:rsid w:val="0072719A"/>
    <w:rsid w:val="00727266"/>
    <w:rsid w:val="0072726A"/>
    <w:rsid w:val="00727452"/>
    <w:rsid w:val="007274FD"/>
    <w:rsid w:val="00727535"/>
    <w:rsid w:val="007277B5"/>
    <w:rsid w:val="007277B9"/>
    <w:rsid w:val="00727834"/>
    <w:rsid w:val="00727877"/>
    <w:rsid w:val="007278BD"/>
    <w:rsid w:val="007278E3"/>
    <w:rsid w:val="00727995"/>
    <w:rsid w:val="00727A44"/>
    <w:rsid w:val="00727A98"/>
    <w:rsid w:val="00727AAD"/>
    <w:rsid w:val="00727ADD"/>
    <w:rsid w:val="00727B18"/>
    <w:rsid w:val="00727C9F"/>
    <w:rsid w:val="00727D2F"/>
    <w:rsid w:val="00727E05"/>
    <w:rsid w:val="00727E0F"/>
    <w:rsid w:val="00727EC8"/>
    <w:rsid w:val="00728E5F"/>
    <w:rsid w:val="0073014D"/>
    <w:rsid w:val="007301F1"/>
    <w:rsid w:val="00730224"/>
    <w:rsid w:val="00730249"/>
    <w:rsid w:val="00730301"/>
    <w:rsid w:val="0073031B"/>
    <w:rsid w:val="0073034D"/>
    <w:rsid w:val="007303A2"/>
    <w:rsid w:val="00730516"/>
    <w:rsid w:val="00730597"/>
    <w:rsid w:val="007306B1"/>
    <w:rsid w:val="007306CA"/>
    <w:rsid w:val="007306E1"/>
    <w:rsid w:val="007306E8"/>
    <w:rsid w:val="007306FB"/>
    <w:rsid w:val="00730703"/>
    <w:rsid w:val="0073072D"/>
    <w:rsid w:val="007307F4"/>
    <w:rsid w:val="00730950"/>
    <w:rsid w:val="007309A0"/>
    <w:rsid w:val="00730A1D"/>
    <w:rsid w:val="00730A78"/>
    <w:rsid w:val="00730C8B"/>
    <w:rsid w:val="00730CAE"/>
    <w:rsid w:val="00730D82"/>
    <w:rsid w:val="00730E4B"/>
    <w:rsid w:val="00730E73"/>
    <w:rsid w:val="00730EA4"/>
    <w:rsid w:val="00730F04"/>
    <w:rsid w:val="00730F6B"/>
    <w:rsid w:val="00730FAC"/>
    <w:rsid w:val="007311B2"/>
    <w:rsid w:val="007311C2"/>
    <w:rsid w:val="00731212"/>
    <w:rsid w:val="007312FE"/>
    <w:rsid w:val="00731352"/>
    <w:rsid w:val="0073135B"/>
    <w:rsid w:val="0073144C"/>
    <w:rsid w:val="00731671"/>
    <w:rsid w:val="0073171F"/>
    <w:rsid w:val="0073178A"/>
    <w:rsid w:val="007317A8"/>
    <w:rsid w:val="007317B6"/>
    <w:rsid w:val="00731803"/>
    <w:rsid w:val="00731816"/>
    <w:rsid w:val="00731831"/>
    <w:rsid w:val="0073188A"/>
    <w:rsid w:val="00731985"/>
    <w:rsid w:val="00731A5A"/>
    <w:rsid w:val="00731B2F"/>
    <w:rsid w:val="00731B3B"/>
    <w:rsid w:val="00731BC3"/>
    <w:rsid w:val="00731C17"/>
    <w:rsid w:val="00731D10"/>
    <w:rsid w:val="00731DB6"/>
    <w:rsid w:val="00731DC7"/>
    <w:rsid w:val="00731E30"/>
    <w:rsid w:val="00731E5A"/>
    <w:rsid w:val="00731F38"/>
    <w:rsid w:val="00731FF5"/>
    <w:rsid w:val="0073200D"/>
    <w:rsid w:val="00732036"/>
    <w:rsid w:val="007320A0"/>
    <w:rsid w:val="007320AD"/>
    <w:rsid w:val="00732166"/>
    <w:rsid w:val="00732210"/>
    <w:rsid w:val="007322CF"/>
    <w:rsid w:val="0073234A"/>
    <w:rsid w:val="00732352"/>
    <w:rsid w:val="00732421"/>
    <w:rsid w:val="007324A8"/>
    <w:rsid w:val="007324AC"/>
    <w:rsid w:val="00732717"/>
    <w:rsid w:val="00732821"/>
    <w:rsid w:val="00732863"/>
    <w:rsid w:val="00732955"/>
    <w:rsid w:val="00732A21"/>
    <w:rsid w:val="00732A2F"/>
    <w:rsid w:val="00732B6C"/>
    <w:rsid w:val="00732C02"/>
    <w:rsid w:val="00732C48"/>
    <w:rsid w:val="00732C78"/>
    <w:rsid w:val="00732D1D"/>
    <w:rsid w:val="00732EE5"/>
    <w:rsid w:val="00732FAC"/>
    <w:rsid w:val="00732FBB"/>
    <w:rsid w:val="00732FBD"/>
    <w:rsid w:val="007330AE"/>
    <w:rsid w:val="00733223"/>
    <w:rsid w:val="0073328F"/>
    <w:rsid w:val="0073334E"/>
    <w:rsid w:val="00733486"/>
    <w:rsid w:val="00733502"/>
    <w:rsid w:val="0073350E"/>
    <w:rsid w:val="00733515"/>
    <w:rsid w:val="0073351E"/>
    <w:rsid w:val="007335ED"/>
    <w:rsid w:val="00733698"/>
    <w:rsid w:val="0073374F"/>
    <w:rsid w:val="007337D8"/>
    <w:rsid w:val="007338A3"/>
    <w:rsid w:val="007338A8"/>
    <w:rsid w:val="007339FF"/>
    <w:rsid w:val="00733AFA"/>
    <w:rsid w:val="00733BEF"/>
    <w:rsid w:val="00733C18"/>
    <w:rsid w:val="00733D39"/>
    <w:rsid w:val="00733DE2"/>
    <w:rsid w:val="00733E3D"/>
    <w:rsid w:val="00733EE5"/>
    <w:rsid w:val="00733F4D"/>
    <w:rsid w:val="00733F8C"/>
    <w:rsid w:val="00734001"/>
    <w:rsid w:val="007341B5"/>
    <w:rsid w:val="007341E8"/>
    <w:rsid w:val="007341FA"/>
    <w:rsid w:val="00734232"/>
    <w:rsid w:val="0073427F"/>
    <w:rsid w:val="00734281"/>
    <w:rsid w:val="0073429E"/>
    <w:rsid w:val="00734386"/>
    <w:rsid w:val="007343CF"/>
    <w:rsid w:val="00734409"/>
    <w:rsid w:val="0073447B"/>
    <w:rsid w:val="007344E3"/>
    <w:rsid w:val="0073478F"/>
    <w:rsid w:val="007348AF"/>
    <w:rsid w:val="00734B37"/>
    <w:rsid w:val="00734C20"/>
    <w:rsid w:val="00734D88"/>
    <w:rsid w:val="0073500E"/>
    <w:rsid w:val="00735039"/>
    <w:rsid w:val="00735083"/>
    <w:rsid w:val="007350FF"/>
    <w:rsid w:val="00735192"/>
    <w:rsid w:val="007351D1"/>
    <w:rsid w:val="007352EA"/>
    <w:rsid w:val="0073539F"/>
    <w:rsid w:val="007356B6"/>
    <w:rsid w:val="0073572A"/>
    <w:rsid w:val="00735733"/>
    <w:rsid w:val="0073573F"/>
    <w:rsid w:val="00735A7F"/>
    <w:rsid w:val="00735ABF"/>
    <w:rsid w:val="00735AD5"/>
    <w:rsid w:val="00735BAA"/>
    <w:rsid w:val="00735C47"/>
    <w:rsid w:val="00735D76"/>
    <w:rsid w:val="00735F5D"/>
    <w:rsid w:val="00736056"/>
    <w:rsid w:val="007362F6"/>
    <w:rsid w:val="007363C8"/>
    <w:rsid w:val="00736511"/>
    <w:rsid w:val="0073655E"/>
    <w:rsid w:val="007366E3"/>
    <w:rsid w:val="007369F9"/>
    <w:rsid w:val="00736A60"/>
    <w:rsid w:val="00736BC7"/>
    <w:rsid w:val="00736C8D"/>
    <w:rsid w:val="00736D84"/>
    <w:rsid w:val="00736DC2"/>
    <w:rsid w:val="00736E2A"/>
    <w:rsid w:val="00736E9A"/>
    <w:rsid w:val="00736EB6"/>
    <w:rsid w:val="00737040"/>
    <w:rsid w:val="007371DD"/>
    <w:rsid w:val="00737262"/>
    <w:rsid w:val="00737372"/>
    <w:rsid w:val="00737427"/>
    <w:rsid w:val="00737441"/>
    <w:rsid w:val="007374A2"/>
    <w:rsid w:val="007374DB"/>
    <w:rsid w:val="00737617"/>
    <w:rsid w:val="00737CA1"/>
    <w:rsid w:val="00737D4B"/>
    <w:rsid w:val="00737D88"/>
    <w:rsid w:val="00737DA1"/>
    <w:rsid w:val="00737E22"/>
    <w:rsid w:val="00737E58"/>
    <w:rsid w:val="00737F7F"/>
    <w:rsid w:val="00737F8C"/>
    <w:rsid w:val="00737FE5"/>
    <w:rsid w:val="0073B2D6"/>
    <w:rsid w:val="007401D6"/>
    <w:rsid w:val="00740213"/>
    <w:rsid w:val="007402D7"/>
    <w:rsid w:val="00740586"/>
    <w:rsid w:val="007405B4"/>
    <w:rsid w:val="00740683"/>
    <w:rsid w:val="007406A5"/>
    <w:rsid w:val="0074074C"/>
    <w:rsid w:val="007407E6"/>
    <w:rsid w:val="007407E7"/>
    <w:rsid w:val="00740A01"/>
    <w:rsid w:val="00740A79"/>
    <w:rsid w:val="00740A83"/>
    <w:rsid w:val="00740BF9"/>
    <w:rsid w:val="00740D43"/>
    <w:rsid w:val="00740D91"/>
    <w:rsid w:val="00740DD4"/>
    <w:rsid w:val="00740E2E"/>
    <w:rsid w:val="00741183"/>
    <w:rsid w:val="00741221"/>
    <w:rsid w:val="00741253"/>
    <w:rsid w:val="007412C8"/>
    <w:rsid w:val="007412CB"/>
    <w:rsid w:val="00741398"/>
    <w:rsid w:val="007413EE"/>
    <w:rsid w:val="00741462"/>
    <w:rsid w:val="0074158E"/>
    <w:rsid w:val="007415D7"/>
    <w:rsid w:val="0074169E"/>
    <w:rsid w:val="0074170E"/>
    <w:rsid w:val="00741770"/>
    <w:rsid w:val="0074198C"/>
    <w:rsid w:val="00741A29"/>
    <w:rsid w:val="00741AF7"/>
    <w:rsid w:val="00741B3B"/>
    <w:rsid w:val="00741BC6"/>
    <w:rsid w:val="00741CFE"/>
    <w:rsid w:val="00741D21"/>
    <w:rsid w:val="00741D88"/>
    <w:rsid w:val="00741E18"/>
    <w:rsid w:val="00742016"/>
    <w:rsid w:val="007422C0"/>
    <w:rsid w:val="0074233A"/>
    <w:rsid w:val="0074245B"/>
    <w:rsid w:val="007424DA"/>
    <w:rsid w:val="0074263B"/>
    <w:rsid w:val="007426E0"/>
    <w:rsid w:val="007429D9"/>
    <w:rsid w:val="00742A43"/>
    <w:rsid w:val="00742A94"/>
    <w:rsid w:val="00742B10"/>
    <w:rsid w:val="00742C09"/>
    <w:rsid w:val="00742CA4"/>
    <w:rsid w:val="00742DA6"/>
    <w:rsid w:val="00742E4D"/>
    <w:rsid w:val="00742E54"/>
    <w:rsid w:val="00742FB0"/>
    <w:rsid w:val="00743037"/>
    <w:rsid w:val="00743061"/>
    <w:rsid w:val="0074312E"/>
    <w:rsid w:val="007431AD"/>
    <w:rsid w:val="007431C0"/>
    <w:rsid w:val="00743255"/>
    <w:rsid w:val="00743269"/>
    <w:rsid w:val="0074333F"/>
    <w:rsid w:val="00743378"/>
    <w:rsid w:val="007433C9"/>
    <w:rsid w:val="007433E9"/>
    <w:rsid w:val="007434EA"/>
    <w:rsid w:val="007435A0"/>
    <w:rsid w:val="007435D2"/>
    <w:rsid w:val="0074362E"/>
    <w:rsid w:val="007436EB"/>
    <w:rsid w:val="00743815"/>
    <w:rsid w:val="007438D3"/>
    <w:rsid w:val="00743906"/>
    <w:rsid w:val="00743912"/>
    <w:rsid w:val="00743A83"/>
    <w:rsid w:val="00743AA1"/>
    <w:rsid w:val="00743C68"/>
    <w:rsid w:val="00743D5B"/>
    <w:rsid w:val="00744192"/>
    <w:rsid w:val="00744216"/>
    <w:rsid w:val="00744278"/>
    <w:rsid w:val="0074435C"/>
    <w:rsid w:val="00744441"/>
    <w:rsid w:val="0074452E"/>
    <w:rsid w:val="00744531"/>
    <w:rsid w:val="00744641"/>
    <w:rsid w:val="0074465A"/>
    <w:rsid w:val="00744782"/>
    <w:rsid w:val="0074483E"/>
    <w:rsid w:val="007448D2"/>
    <w:rsid w:val="0074496F"/>
    <w:rsid w:val="007449DA"/>
    <w:rsid w:val="007449ED"/>
    <w:rsid w:val="00744AB2"/>
    <w:rsid w:val="00744AE5"/>
    <w:rsid w:val="00744AEB"/>
    <w:rsid w:val="00744B4F"/>
    <w:rsid w:val="00744BDC"/>
    <w:rsid w:val="00744BDE"/>
    <w:rsid w:val="00744CDA"/>
    <w:rsid w:val="00744D5B"/>
    <w:rsid w:val="00744D72"/>
    <w:rsid w:val="00744EBB"/>
    <w:rsid w:val="00744FC9"/>
    <w:rsid w:val="0074509C"/>
    <w:rsid w:val="00745131"/>
    <w:rsid w:val="00745230"/>
    <w:rsid w:val="007452E5"/>
    <w:rsid w:val="007453FA"/>
    <w:rsid w:val="00745488"/>
    <w:rsid w:val="00745489"/>
    <w:rsid w:val="00745612"/>
    <w:rsid w:val="0074587C"/>
    <w:rsid w:val="007458CC"/>
    <w:rsid w:val="007458FA"/>
    <w:rsid w:val="00745965"/>
    <w:rsid w:val="00745AE5"/>
    <w:rsid w:val="00745AE7"/>
    <w:rsid w:val="00745B0B"/>
    <w:rsid w:val="00745B93"/>
    <w:rsid w:val="00745B9B"/>
    <w:rsid w:val="00745DBE"/>
    <w:rsid w:val="00745DE3"/>
    <w:rsid w:val="00745EA8"/>
    <w:rsid w:val="00745F08"/>
    <w:rsid w:val="00745F09"/>
    <w:rsid w:val="00745F7F"/>
    <w:rsid w:val="00746014"/>
    <w:rsid w:val="007460C6"/>
    <w:rsid w:val="007460CE"/>
    <w:rsid w:val="007461E9"/>
    <w:rsid w:val="0074625C"/>
    <w:rsid w:val="007462D4"/>
    <w:rsid w:val="0074640B"/>
    <w:rsid w:val="007464A0"/>
    <w:rsid w:val="007464AE"/>
    <w:rsid w:val="00746822"/>
    <w:rsid w:val="007468BB"/>
    <w:rsid w:val="007468CC"/>
    <w:rsid w:val="007468EB"/>
    <w:rsid w:val="0074691C"/>
    <w:rsid w:val="0074694D"/>
    <w:rsid w:val="00746A87"/>
    <w:rsid w:val="00746BC0"/>
    <w:rsid w:val="00746C69"/>
    <w:rsid w:val="00746E66"/>
    <w:rsid w:val="00746EA8"/>
    <w:rsid w:val="00746ECA"/>
    <w:rsid w:val="00746FDB"/>
    <w:rsid w:val="0074704A"/>
    <w:rsid w:val="00747071"/>
    <w:rsid w:val="007471E7"/>
    <w:rsid w:val="00747219"/>
    <w:rsid w:val="007472B1"/>
    <w:rsid w:val="0074734D"/>
    <w:rsid w:val="00747387"/>
    <w:rsid w:val="007475EE"/>
    <w:rsid w:val="00747621"/>
    <w:rsid w:val="007476BC"/>
    <w:rsid w:val="00747A42"/>
    <w:rsid w:val="00747A93"/>
    <w:rsid w:val="00747AB9"/>
    <w:rsid w:val="00747AF3"/>
    <w:rsid w:val="00747B01"/>
    <w:rsid w:val="00747BAC"/>
    <w:rsid w:val="00747BD5"/>
    <w:rsid w:val="00747C49"/>
    <w:rsid w:val="00747F17"/>
    <w:rsid w:val="00747FDE"/>
    <w:rsid w:val="00750053"/>
    <w:rsid w:val="00750102"/>
    <w:rsid w:val="0075011B"/>
    <w:rsid w:val="00750186"/>
    <w:rsid w:val="00750227"/>
    <w:rsid w:val="00750235"/>
    <w:rsid w:val="007502E3"/>
    <w:rsid w:val="007503B5"/>
    <w:rsid w:val="0075049D"/>
    <w:rsid w:val="007504C6"/>
    <w:rsid w:val="00750646"/>
    <w:rsid w:val="007506D5"/>
    <w:rsid w:val="00750790"/>
    <w:rsid w:val="00750827"/>
    <w:rsid w:val="00750895"/>
    <w:rsid w:val="00750A1B"/>
    <w:rsid w:val="00750A89"/>
    <w:rsid w:val="00750A8B"/>
    <w:rsid w:val="00750BC6"/>
    <w:rsid w:val="00750D11"/>
    <w:rsid w:val="00750E57"/>
    <w:rsid w:val="00751015"/>
    <w:rsid w:val="0075107E"/>
    <w:rsid w:val="0075108F"/>
    <w:rsid w:val="00751294"/>
    <w:rsid w:val="00751315"/>
    <w:rsid w:val="00751394"/>
    <w:rsid w:val="0075148A"/>
    <w:rsid w:val="0075155B"/>
    <w:rsid w:val="00751680"/>
    <w:rsid w:val="007516EC"/>
    <w:rsid w:val="007517AF"/>
    <w:rsid w:val="007517C7"/>
    <w:rsid w:val="007517E1"/>
    <w:rsid w:val="007517E4"/>
    <w:rsid w:val="0075189B"/>
    <w:rsid w:val="00751915"/>
    <w:rsid w:val="007519A3"/>
    <w:rsid w:val="00751A94"/>
    <w:rsid w:val="00751B29"/>
    <w:rsid w:val="00751B6A"/>
    <w:rsid w:val="00751CCD"/>
    <w:rsid w:val="00751D03"/>
    <w:rsid w:val="00751D37"/>
    <w:rsid w:val="00751DA9"/>
    <w:rsid w:val="00751DC7"/>
    <w:rsid w:val="00751E4C"/>
    <w:rsid w:val="00751EE1"/>
    <w:rsid w:val="00752129"/>
    <w:rsid w:val="007521DE"/>
    <w:rsid w:val="007521F1"/>
    <w:rsid w:val="0075231E"/>
    <w:rsid w:val="0075239C"/>
    <w:rsid w:val="007523AB"/>
    <w:rsid w:val="007524A0"/>
    <w:rsid w:val="00752508"/>
    <w:rsid w:val="00752512"/>
    <w:rsid w:val="0075257B"/>
    <w:rsid w:val="007525BE"/>
    <w:rsid w:val="007525CA"/>
    <w:rsid w:val="007526B5"/>
    <w:rsid w:val="0075298A"/>
    <w:rsid w:val="00752A74"/>
    <w:rsid w:val="00752AF1"/>
    <w:rsid w:val="00752BBC"/>
    <w:rsid w:val="00752BE0"/>
    <w:rsid w:val="00752C83"/>
    <w:rsid w:val="00752CFA"/>
    <w:rsid w:val="00752D68"/>
    <w:rsid w:val="00752DE6"/>
    <w:rsid w:val="00752EC2"/>
    <w:rsid w:val="00753147"/>
    <w:rsid w:val="00753279"/>
    <w:rsid w:val="00753676"/>
    <w:rsid w:val="007536B1"/>
    <w:rsid w:val="0075399B"/>
    <w:rsid w:val="00753ABE"/>
    <w:rsid w:val="00753B06"/>
    <w:rsid w:val="00753CBE"/>
    <w:rsid w:val="00753CE0"/>
    <w:rsid w:val="00753D60"/>
    <w:rsid w:val="00753DBB"/>
    <w:rsid w:val="00753E03"/>
    <w:rsid w:val="00753EB9"/>
    <w:rsid w:val="00754018"/>
    <w:rsid w:val="00754075"/>
    <w:rsid w:val="007540A8"/>
    <w:rsid w:val="0075419C"/>
    <w:rsid w:val="007541F3"/>
    <w:rsid w:val="007541FE"/>
    <w:rsid w:val="00754578"/>
    <w:rsid w:val="007545D8"/>
    <w:rsid w:val="007546BF"/>
    <w:rsid w:val="0075472E"/>
    <w:rsid w:val="00754774"/>
    <w:rsid w:val="007548DF"/>
    <w:rsid w:val="007549C0"/>
    <w:rsid w:val="00754A78"/>
    <w:rsid w:val="00754ABA"/>
    <w:rsid w:val="00754B06"/>
    <w:rsid w:val="00754B0B"/>
    <w:rsid w:val="00754BDF"/>
    <w:rsid w:val="00754C36"/>
    <w:rsid w:val="00754C3E"/>
    <w:rsid w:val="00754C99"/>
    <w:rsid w:val="00754D14"/>
    <w:rsid w:val="00754D1D"/>
    <w:rsid w:val="00754DCB"/>
    <w:rsid w:val="00754F7C"/>
    <w:rsid w:val="00754F8C"/>
    <w:rsid w:val="007550B8"/>
    <w:rsid w:val="0075519D"/>
    <w:rsid w:val="007552A5"/>
    <w:rsid w:val="007552F5"/>
    <w:rsid w:val="007553B1"/>
    <w:rsid w:val="00755413"/>
    <w:rsid w:val="00755426"/>
    <w:rsid w:val="00755536"/>
    <w:rsid w:val="007555F8"/>
    <w:rsid w:val="0075570B"/>
    <w:rsid w:val="0075570E"/>
    <w:rsid w:val="0075587F"/>
    <w:rsid w:val="007558C6"/>
    <w:rsid w:val="0075598D"/>
    <w:rsid w:val="0075599D"/>
    <w:rsid w:val="00755A05"/>
    <w:rsid w:val="00755A97"/>
    <w:rsid w:val="00755AE2"/>
    <w:rsid w:val="00755C6B"/>
    <w:rsid w:val="00755D16"/>
    <w:rsid w:val="00755D53"/>
    <w:rsid w:val="00755D55"/>
    <w:rsid w:val="00755DA5"/>
    <w:rsid w:val="00755DE6"/>
    <w:rsid w:val="00755E01"/>
    <w:rsid w:val="0075607C"/>
    <w:rsid w:val="00756173"/>
    <w:rsid w:val="007562F1"/>
    <w:rsid w:val="0075639C"/>
    <w:rsid w:val="007563C0"/>
    <w:rsid w:val="00756401"/>
    <w:rsid w:val="00756510"/>
    <w:rsid w:val="0075655B"/>
    <w:rsid w:val="00756608"/>
    <w:rsid w:val="0075665D"/>
    <w:rsid w:val="0075681C"/>
    <w:rsid w:val="00756828"/>
    <w:rsid w:val="00756890"/>
    <w:rsid w:val="007568CB"/>
    <w:rsid w:val="007568EE"/>
    <w:rsid w:val="00756ADB"/>
    <w:rsid w:val="00756B24"/>
    <w:rsid w:val="00756B48"/>
    <w:rsid w:val="00756C3D"/>
    <w:rsid w:val="00756C43"/>
    <w:rsid w:val="00756E15"/>
    <w:rsid w:val="00756F80"/>
    <w:rsid w:val="00756FA1"/>
    <w:rsid w:val="007570BE"/>
    <w:rsid w:val="007570D0"/>
    <w:rsid w:val="0075711F"/>
    <w:rsid w:val="00757178"/>
    <w:rsid w:val="007571B8"/>
    <w:rsid w:val="007571E8"/>
    <w:rsid w:val="007573B8"/>
    <w:rsid w:val="00757481"/>
    <w:rsid w:val="007574F2"/>
    <w:rsid w:val="00757518"/>
    <w:rsid w:val="00757537"/>
    <w:rsid w:val="007576CD"/>
    <w:rsid w:val="007576E7"/>
    <w:rsid w:val="00757702"/>
    <w:rsid w:val="007577B6"/>
    <w:rsid w:val="007577BF"/>
    <w:rsid w:val="00757850"/>
    <w:rsid w:val="007578C8"/>
    <w:rsid w:val="00757903"/>
    <w:rsid w:val="00757949"/>
    <w:rsid w:val="007579B0"/>
    <w:rsid w:val="00757B06"/>
    <w:rsid w:val="00757BAC"/>
    <w:rsid w:val="00757BF5"/>
    <w:rsid w:val="00757C12"/>
    <w:rsid w:val="00757C9D"/>
    <w:rsid w:val="00757D07"/>
    <w:rsid w:val="00757D08"/>
    <w:rsid w:val="00757D4D"/>
    <w:rsid w:val="00757DDA"/>
    <w:rsid w:val="00757DFE"/>
    <w:rsid w:val="00757E23"/>
    <w:rsid w:val="00757E4F"/>
    <w:rsid w:val="00757E55"/>
    <w:rsid w:val="00757F99"/>
    <w:rsid w:val="00760023"/>
    <w:rsid w:val="00760038"/>
    <w:rsid w:val="00760245"/>
    <w:rsid w:val="0076027D"/>
    <w:rsid w:val="00760362"/>
    <w:rsid w:val="007603DC"/>
    <w:rsid w:val="007604A8"/>
    <w:rsid w:val="00760511"/>
    <w:rsid w:val="00760517"/>
    <w:rsid w:val="0076056A"/>
    <w:rsid w:val="0076063E"/>
    <w:rsid w:val="00760648"/>
    <w:rsid w:val="00760668"/>
    <w:rsid w:val="0076071F"/>
    <w:rsid w:val="00760789"/>
    <w:rsid w:val="00760836"/>
    <w:rsid w:val="00760986"/>
    <w:rsid w:val="00760B24"/>
    <w:rsid w:val="00760D76"/>
    <w:rsid w:val="00760D7F"/>
    <w:rsid w:val="00760E4E"/>
    <w:rsid w:val="00760F28"/>
    <w:rsid w:val="0076100B"/>
    <w:rsid w:val="007610EB"/>
    <w:rsid w:val="007610FA"/>
    <w:rsid w:val="00761131"/>
    <w:rsid w:val="007611C8"/>
    <w:rsid w:val="00761398"/>
    <w:rsid w:val="007613EE"/>
    <w:rsid w:val="0076140B"/>
    <w:rsid w:val="00761416"/>
    <w:rsid w:val="007614CC"/>
    <w:rsid w:val="007615E1"/>
    <w:rsid w:val="00761616"/>
    <w:rsid w:val="007616B2"/>
    <w:rsid w:val="00761725"/>
    <w:rsid w:val="00761734"/>
    <w:rsid w:val="00761769"/>
    <w:rsid w:val="007617C8"/>
    <w:rsid w:val="00761830"/>
    <w:rsid w:val="007618C4"/>
    <w:rsid w:val="00761937"/>
    <w:rsid w:val="0076197A"/>
    <w:rsid w:val="00761A27"/>
    <w:rsid w:val="00761A7F"/>
    <w:rsid w:val="00761BC0"/>
    <w:rsid w:val="00761DEB"/>
    <w:rsid w:val="00761F77"/>
    <w:rsid w:val="0076206A"/>
    <w:rsid w:val="007620A0"/>
    <w:rsid w:val="00762204"/>
    <w:rsid w:val="0076248A"/>
    <w:rsid w:val="00762579"/>
    <w:rsid w:val="007625B6"/>
    <w:rsid w:val="007625E3"/>
    <w:rsid w:val="0076262F"/>
    <w:rsid w:val="0076274B"/>
    <w:rsid w:val="007627A6"/>
    <w:rsid w:val="007627B4"/>
    <w:rsid w:val="0076288B"/>
    <w:rsid w:val="00762973"/>
    <w:rsid w:val="00762A20"/>
    <w:rsid w:val="00762A7F"/>
    <w:rsid w:val="00762B75"/>
    <w:rsid w:val="00762D05"/>
    <w:rsid w:val="00762D09"/>
    <w:rsid w:val="00762D2D"/>
    <w:rsid w:val="00762E5C"/>
    <w:rsid w:val="00762F12"/>
    <w:rsid w:val="00762F76"/>
    <w:rsid w:val="0076306B"/>
    <w:rsid w:val="0076308F"/>
    <w:rsid w:val="00763284"/>
    <w:rsid w:val="007632FA"/>
    <w:rsid w:val="00763322"/>
    <w:rsid w:val="0076338D"/>
    <w:rsid w:val="00763390"/>
    <w:rsid w:val="0076347A"/>
    <w:rsid w:val="00763492"/>
    <w:rsid w:val="00763663"/>
    <w:rsid w:val="00763756"/>
    <w:rsid w:val="00763823"/>
    <w:rsid w:val="0076385A"/>
    <w:rsid w:val="007638CB"/>
    <w:rsid w:val="007638F7"/>
    <w:rsid w:val="0076395F"/>
    <w:rsid w:val="00763968"/>
    <w:rsid w:val="00763CD4"/>
    <w:rsid w:val="00763CFC"/>
    <w:rsid w:val="00763DAC"/>
    <w:rsid w:val="00763ECA"/>
    <w:rsid w:val="0076418C"/>
    <w:rsid w:val="00764229"/>
    <w:rsid w:val="00764270"/>
    <w:rsid w:val="0076429F"/>
    <w:rsid w:val="007642AF"/>
    <w:rsid w:val="007642F1"/>
    <w:rsid w:val="0076442A"/>
    <w:rsid w:val="00764488"/>
    <w:rsid w:val="007644DE"/>
    <w:rsid w:val="0076453F"/>
    <w:rsid w:val="00764570"/>
    <w:rsid w:val="007645B3"/>
    <w:rsid w:val="007645E7"/>
    <w:rsid w:val="007645F4"/>
    <w:rsid w:val="007646B7"/>
    <w:rsid w:val="007646E4"/>
    <w:rsid w:val="00764720"/>
    <w:rsid w:val="0076472B"/>
    <w:rsid w:val="00764869"/>
    <w:rsid w:val="0076489A"/>
    <w:rsid w:val="007649DE"/>
    <w:rsid w:val="00764A9B"/>
    <w:rsid w:val="00764C08"/>
    <w:rsid w:val="00764E1E"/>
    <w:rsid w:val="00764E2C"/>
    <w:rsid w:val="00764EAB"/>
    <w:rsid w:val="00764F2A"/>
    <w:rsid w:val="00764F58"/>
    <w:rsid w:val="0076501A"/>
    <w:rsid w:val="007650C7"/>
    <w:rsid w:val="0076516E"/>
    <w:rsid w:val="00765287"/>
    <w:rsid w:val="0076531B"/>
    <w:rsid w:val="00765441"/>
    <w:rsid w:val="007654D1"/>
    <w:rsid w:val="00765542"/>
    <w:rsid w:val="00765630"/>
    <w:rsid w:val="00765683"/>
    <w:rsid w:val="007658D9"/>
    <w:rsid w:val="00765AD5"/>
    <w:rsid w:val="00765B23"/>
    <w:rsid w:val="00765B86"/>
    <w:rsid w:val="00765C02"/>
    <w:rsid w:val="00765D4C"/>
    <w:rsid w:val="00765D5F"/>
    <w:rsid w:val="00765F7E"/>
    <w:rsid w:val="00765F88"/>
    <w:rsid w:val="00765F9E"/>
    <w:rsid w:val="00765FB8"/>
    <w:rsid w:val="0076605E"/>
    <w:rsid w:val="00766305"/>
    <w:rsid w:val="0076634E"/>
    <w:rsid w:val="0076639B"/>
    <w:rsid w:val="007663A6"/>
    <w:rsid w:val="0076654A"/>
    <w:rsid w:val="00766628"/>
    <w:rsid w:val="00766685"/>
    <w:rsid w:val="007666F7"/>
    <w:rsid w:val="007667E7"/>
    <w:rsid w:val="00766806"/>
    <w:rsid w:val="00766809"/>
    <w:rsid w:val="007669B3"/>
    <w:rsid w:val="00766A9F"/>
    <w:rsid w:val="00766ACB"/>
    <w:rsid w:val="00766BF9"/>
    <w:rsid w:val="00766C9E"/>
    <w:rsid w:val="00766CE7"/>
    <w:rsid w:val="00766D0A"/>
    <w:rsid w:val="00766DD8"/>
    <w:rsid w:val="00766F8E"/>
    <w:rsid w:val="00766FA7"/>
    <w:rsid w:val="00767142"/>
    <w:rsid w:val="007671EC"/>
    <w:rsid w:val="007671FF"/>
    <w:rsid w:val="0076733F"/>
    <w:rsid w:val="0076744C"/>
    <w:rsid w:val="007674D1"/>
    <w:rsid w:val="00767744"/>
    <w:rsid w:val="0076790D"/>
    <w:rsid w:val="007679DA"/>
    <w:rsid w:val="00767B3F"/>
    <w:rsid w:val="00767C36"/>
    <w:rsid w:val="00767D9F"/>
    <w:rsid w:val="00767E22"/>
    <w:rsid w:val="0077007B"/>
    <w:rsid w:val="0077009E"/>
    <w:rsid w:val="007700C9"/>
    <w:rsid w:val="0077017F"/>
    <w:rsid w:val="00770199"/>
    <w:rsid w:val="00770217"/>
    <w:rsid w:val="0077025F"/>
    <w:rsid w:val="0077029F"/>
    <w:rsid w:val="007702CB"/>
    <w:rsid w:val="00770330"/>
    <w:rsid w:val="0077036C"/>
    <w:rsid w:val="007703DB"/>
    <w:rsid w:val="0077053A"/>
    <w:rsid w:val="007705CA"/>
    <w:rsid w:val="00770606"/>
    <w:rsid w:val="0077067A"/>
    <w:rsid w:val="007706DA"/>
    <w:rsid w:val="00770793"/>
    <w:rsid w:val="007707A1"/>
    <w:rsid w:val="007708D6"/>
    <w:rsid w:val="007708DD"/>
    <w:rsid w:val="00770A4B"/>
    <w:rsid w:val="00770B27"/>
    <w:rsid w:val="00770B9A"/>
    <w:rsid w:val="00770C1E"/>
    <w:rsid w:val="00770C63"/>
    <w:rsid w:val="00770CB1"/>
    <w:rsid w:val="00770D31"/>
    <w:rsid w:val="00770E1C"/>
    <w:rsid w:val="00770F94"/>
    <w:rsid w:val="007711F8"/>
    <w:rsid w:val="00771235"/>
    <w:rsid w:val="007713B0"/>
    <w:rsid w:val="00771400"/>
    <w:rsid w:val="00771437"/>
    <w:rsid w:val="00771445"/>
    <w:rsid w:val="00771518"/>
    <w:rsid w:val="00771640"/>
    <w:rsid w:val="007716D2"/>
    <w:rsid w:val="0077173E"/>
    <w:rsid w:val="00771776"/>
    <w:rsid w:val="00771CBC"/>
    <w:rsid w:val="00771D00"/>
    <w:rsid w:val="00771E96"/>
    <w:rsid w:val="00771F1B"/>
    <w:rsid w:val="00771F55"/>
    <w:rsid w:val="00771FEC"/>
    <w:rsid w:val="00772093"/>
    <w:rsid w:val="007720D7"/>
    <w:rsid w:val="0077213E"/>
    <w:rsid w:val="00772164"/>
    <w:rsid w:val="007721C7"/>
    <w:rsid w:val="00772303"/>
    <w:rsid w:val="0077236A"/>
    <w:rsid w:val="0077239B"/>
    <w:rsid w:val="007723D4"/>
    <w:rsid w:val="00772429"/>
    <w:rsid w:val="007724BF"/>
    <w:rsid w:val="007724C4"/>
    <w:rsid w:val="007725EC"/>
    <w:rsid w:val="00772706"/>
    <w:rsid w:val="00772797"/>
    <w:rsid w:val="007727C1"/>
    <w:rsid w:val="007727F5"/>
    <w:rsid w:val="0077288A"/>
    <w:rsid w:val="007728E4"/>
    <w:rsid w:val="00772AB3"/>
    <w:rsid w:val="00772AD6"/>
    <w:rsid w:val="00772BD1"/>
    <w:rsid w:val="00772BFF"/>
    <w:rsid w:val="00772C01"/>
    <w:rsid w:val="00772C45"/>
    <w:rsid w:val="00772D0C"/>
    <w:rsid w:val="00772E21"/>
    <w:rsid w:val="00772F2A"/>
    <w:rsid w:val="00772F40"/>
    <w:rsid w:val="0077317A"/>
    <w:rsid w:val="0077324C"/>
    <w:rsid w:val="0077324D"/>
    <w:rsid w:val="00773292"/>
    <w:rsid w:val="00773360"/>
    <w:rsid w:val="00773383"/>
    <w:rsid w:val="007733B3"/>
    <w:rsid w:val="007733F2"/>
    <w:rsid w:val="00773682"/>
    <w:rsid w:val="0077371D"/>
    <w:rsid w:val="00773810"/>
    <w:rsid w:val="00773911"/>
    <w:rsid w:val="00773A37"/>
    <w:rsid w:val="00773B2C"/>
    <w:rsid w:val="00773C48"/>
    <w:rsid w:val="00773C88"/>
    <w:rsid w:val="00773CDC"/>
    <w:rsid w:val="00773D13"/>
    <w:rsid w:val="00773E16"/>
    <w:rsid w:val="00774046"/>
    <w:rsid w:val="007740DC"/>
    <w:rsid w:val="0077412F"/>
    <w:rsid w:val="0077414B"/>
    <w:rsid w:val="00774156"/>
    <w:rsid w:val="0077421C"/>
    <w:rsid w:val="00774447"/>
    <w:rsid w:val="0077457B"/>
    <w:rsid w:val="007746BF"/>
    <w:rsid w:val="007746D9"/>
    <w:rsid w:val="00774715"/>
    <w:rsid w:val="0077473F"/>
    <w:rsid w:val="0077479C"/>
    <w:rsid w:val="007747EC"/>
    <w:rsid w:val="007748E1"/>
    <w:rsid w:val="00774A1D"/>
    <w:rsid w:val="00774B06"/>
    <w:rsid w:val="00774BDB"/>
    <w:rsid w:val="00774DC9"/>
    <w:rsid w:val="00774E28"/>
    <w:rsid w:val="00774E51"/>
    <w:rsid w:val="00774F8B"/>
    <w:rsid w:val="00775013"/>
    <w:rsid w:val="00775046"/>
    <w:rsid w:val="00775146"/>
    <w:rsid w:val="0077540A"/>
    <w:rsid w:val="0077540C"/>
    <w:rsid w:val="0077546D"/>
    <w:rsid w:val="00775491"/>
    <w:rsid w:val="007757DE"/>
    <w:rsid w:val="007757E7"/>
    <w:rsid w:val="0077580C"/>
    <w:rsid w:val="0077598F"/>
    <w:rsid w:val="00775A07"/>
    <w:rsid w:val="00775AD3"/>
    <w:rsid w:val="00775C92"/>
    <w:rsid w:val="00775CCA"/>
    <w:rsid w:val="00775D4B"/>
    <w:rsid w:val="00775DDC"/>
    <w:rsid w:val="00775E9E"/>
    <w:rsid w:val="00775EBE"/>
    <w:rsid w:val="0077601F"/>
    <w:rsid w:val="00776028"/>
    <w:rsid w:val="00776133"/>
    <w:rsid w:val="0077617C"/>
    <w:rsid w:val="007763EF"/>
    <w:rsid w:val="00776410"/>
    <w:rsid w:val="00776661"/>
    <w:rsid w:val="0077669E"/>
    <w:rsid w:val="007766B0"/>
    <w:rsid w:val="0077677E"/>
    <w:rsid w:val="007767AA"/>
    <w:rsid w:val="007767F9"/>
    <w:rsid w:val="00776956"/>
    <w:rsid w:val="00776959"/>
    <w:rsid w:val="00776ADF"/>
    <w:rsid w:val="00776C68"/>
    <w:rsid w:val="00776DEF"/>
    <w:rsid w:val="00776F12"/>
    <w:rsid w:val="0077707D"/>
    <w:rsid w:val="007770E1"/>
    <w:rsid w:val="007770F1"/>
    <w:rsid w:val="007771DB"/>
    <w:rsid w:val="007772C4"/>
    <w:rsid w:val="007772CA"/>
    <w:rsid w:val="0077732F"/>
    <w:rsid w:val="007773A2"/>
    <w:rsid w:val="007773AC"/>
    <w:rsid w:val="0077743E"/>
    <w:rsid w:val="00777580"/>
    <w:rsid w:val="0077758F"/>
    <w:rsid w:val="00777608"/>
    <w:rsid w:val="00777657"/>
    <w:rsid w:val="00777733"/>
    <w:rsid w:val="007777D9"/>
    <w:rsid w:val="007777ED"/>
    <w:rsid w:val="0077788C"/>
    <w:rsid w:val="007778CB"/>
    <w:rsid w:val="00777914"/>
    <w:rsid w:val="00777950"/>
    <w:rsid w:val="00777AB3"/>
    <w:rsid w:val="00777B06"/>
    <w:rsid w:val="00777B23"/>
    <w:rsid w:val="00777B3D"/>
    <w:rsid w:val="00777C5A"/>
    <w:rsid w:val="00777D06"/>
    <w:rsid w:val="00777D2E"/>
    <w:rsid w:val="00777E3D"/>
    <w:rsid w:val="00777FBB"/>
    <w:rsid w:val="00780109"/>
    <w:rsid w:val="007804AB"/>
    <w:rsid w:val="00780567"/>
    <w:rsid w:val="0078068B"/>
    <w:rsid w:val="0078070E"/>
    <w:rsid w:val="00780741"/>
    <w:rsid w:val="0078076F"/>
    <w:rsid w:val="007807CB"/>
    <w:rsid w:val="0078089B"/>
    <w:rsid w:val="00780927"/>
    <w:rsid w:val="00780A41"/>
    <w:rsid w:val="00780AA4"/>
    <w:rsid w:val="00780AE5"/>
    <w:rsid w:val="00780B22"/>
    <w:rsid w:val="00780B2D"/>
    <w:rsid w:val="00780B37"/>
    <w:rsid w:val="00780BD4"/>
    <w:rsid w:val="00780C48"/>
    <w:rsid w:val="00780E04"/>
    <w:rsid w:val="00780ED3"/>
    <w:rsid w:val="00780F6F"/>
    <w:rsid w:val="007810D8"/>
    <w:rsid w:val="007811F7"/>
    <w:rsid w:val="00781230"/>
    <w:rsid w:val="007812FA"/>
    <w:rsid w:val="007813B5"/>
    <w:rsid w:val="007813CF"/>
    <w:rsid w:val="00781551"/>
    <w:rsid w:val="007815BD"/>
    <w:rsid w:val="00781631"/>
    <w:rsid w:val="007816D5"/>
    <w:rsid w:val="007816D8"/>
    <w:rsid w:val="0078170C"/>
    <w:rsid w:val="007818B9"/>
    <w:rsid w:val="00781913"/>
    <w:rsid w:val="00781922"/>
    <w:rsid w:val="00781943"/>
    <w:rsid w:val="0078197A"/>
    <w:rsid w:val="007819AC"/>
    <w:rsid w:val="00781AE4"/>
    <w:rsid w:val="00781BB4"/>
    <w:rsid w:val="00781D8D"/>
    <w:rsid w:val="00781EDA"/>
    <w:rsid w:val="00781F99"/>
    <w:rsid w:val="00782041"/>
    <w:rsid w:val="00782088"/>
    <w:rsid w:val="007820D5"/>
    <w:rsid w:val="0078218A"/>
    <w:rsid w:val="00782226"/>
    <w:rsid w:val="007822C6"/>
    <w:rsid w:val="00782442"/>
    <w:rsid w:val="00782497"/>
    <w:rsid w:val="007824DC"/>
    <w:rsid w:val="00782542"/>
    <w:rsid w:val="00782606"/>
    <w:rsid w:val="00782728"/>
    <w:rsid w:val="00782745"/>
    <w:rsid w:val="00782B37"/>
    <w:rsid w:val="00782BCB"/>
    <w:rsid w:val="00782BD5"/>
    <w:rsid w:val="00782C24"/>
    <w:rsid w:val="00782DFD"/>
    <w:rsid w:val="00782E93"/>
    <w:rsid w:val="00783064"/>
    <w:rsid w:val="007830BF"/>
    <w:rsid w:val="007833B5"/>
    <w:rsid w:val="00783559"/>
    <w:rsid w:val="0078357F"/>
    <w:rsid w:val="007836DF"/>
    <w:rsid w:val="00783722"/>
    <w:rsid w:val="0078376E"/>
    <w:rsid w:val="007837A7"/>
    <w:rsid w:val="007837BC"/>
    <w:rsid w:val="00783886"/>
    <w:rsid w:val="007838C6"/>
    <w:rsid w:val="007838C9"/>
    <w:rsid w:val="007838FC"/>
    <w:rsid w:val="00783972"/>
    <w:rsid w:val="007839C6"/>
    <w:rsid w:val="007839D7"/>
    <w:rsid w:val="00783AC3"/>
    <w:rsid w:val="00783AEA"/>
    <w:rsid w:val="00783B96"/>
    <w:rsid w:val="00783D75"/>
    <w:rsid w:val="00783E0A"/>
    <w:rsid w:val="00783E6E"/>
    <w:rsid w:val="00783EDB"/>
    <w:rsid w:val="00783FCD"/>
    <w:rsid w:val="007840AE"/>
    <w:rsid w:val="00784246"/>
    <w:rsid w:val="0078424B"/>
    <w:rsid w:val="007842F5"/>
    <w:rsid w:val="0078436E"/>
    <w:rsid w:val="00784436"/>
    <w:rsid w:val="007844AD"/>
    <w:rsid w:val="0078463B"/>
    <w:rsid w:val="00784648"/>
    <w:rsid w:val="00784667"/>
    <w:rsid w:val="007846BA"/>
    <w:rsid w:val="0078474F"/>
    <w:rsid w:val="00784868"/>
    <w:rsid w:val="00784997"/>
    <w:rsid w:val="00784AF9"/>
    <w:rsid w:val="00784BB5"/>
    <w:rsid w:val="00784D61"/>
    <w:rsid w:val="00784F57"/>
    <w:rsid w:val="00785094"/>
    <w:rsid w:val="007850AF"/>
    <w:rsid w:val="007850C7"/>
    <w:rsid w:val="0078527F"/>
    <w:rsid w:val="007852B8"/>
    <w:rsid w:val="007852D1"/>
    <w:rsid w:val="007852F4"/>
    <w:rsid w:val="0078532D"/>
    <w:rsid w:val="00785352"/>
    <w:rsid w:val="00785555"/>
    <w:rsid w:val="00785626"/>
    <w:rsid w:val="0078562B"/>
    <w:rsid w:val="00785786"/>
    <w:rsid w:val="0078579D"/>
    <w:rsid w:val="007858E8"/>
    <w:rsid w:val="00785940"/>
    <w:rsid w:val="00785A54"/>
    <w:rsid w:val="00785C51"/>
    <w:rsid w:val="00785DA5"/>
    <w:rsid w:val="00785E28"/>
    <w:rsid w:val="00785F72"/>
    <w:rsid w:val="007862C4"/>
    <w:rsid w:val="00786315"/>
    <w:rsid w:val="0078638B"/>
    <w:rsid w:val="007863A4"/>
    <w:rsid w:val="007863D6"/>
    <w:rsid w:val="00786469"/>
    <w:rsid w:val="00786479"/>
    <w:rsid w:val="007864DA"/>
    <w:rsid w:val="007865B6"/>
    <w:rsid w:val="007865B9"/>
    <w:rsid w:val="00786783"/>
    <w:rsid w:val="00786831"/>
    <w:rsid w:val="00786906"/>
    <w:rsid w:val="00786BB1"/>
    <w:rsid w:val="00786BC3"/>
    <w:rsid w:val="00786F6D"/>
    <w:rsid w:val="007870F3"/>
    <w:rsid w:val="0078716E"/>
    <w:rsid w:val="007872CF"/>
    <w:rsid w:val="00787496"/>
    <w:rsid w:val="00787564"/>
    <w:rsid w:val="00787608"/>
    <w:rsid w:val="0078775F"/>
    <w:rsid w:val="00787786"/>
    <w:rsid w:val="007877D4"/>
    <w:rsid w:val="007877F2"/>
    <w:rsid w:val="0078790C"/>
    <w:rsid w:val="007879BB"/>
    <w:rsid w:val="007879C0"/>
    <w:rsid w:val="00787B0D"/>
    <w:rsid w:val="00787CDC"/>
    <w:rsid w:val="00787D08"/>
    <w:rsid w:val="00787DD8"/>
    <w:rsid w:val="00787E03"/>
    <w:rsid w:val="00787E55"/>
    <w:rsid w:val="00787F52"/>
    <w:rsid w:val="00787FDD"/>
    <w:rsid w:val="00787FE7"/>
    <w:rsid w:val="007900B9"/>
    <w:rsid w:val="00790167"/>
    <w:rsid w:val="007901F5"/>
    <w:rsid w:val="0079021D"/>
    <w:rsid w:val="0079038A"/>
    <w:rsid w:val="007905BB"/>
    <w:rsid w:val="007905E8"/>
    <w:rsid w:val="00790613"/>
    <w:rsid w:val="00790683"/>
    <w:rsid w:val="00790789"/>
    <w:rsid w:val="00790844"/>
    <w:rsid w:val="00790873"/>
    <w:rsid w:val="007908B5"/>
    <w:rsid w:val="00790937"/>
    <w:rsid w:val="00790A0A"/>
    <w:rsid w:val="00790A74"/>
    <w:rsid w:val="00790A90"/>
    <w:rsid w:val="00790B7F"/>
    <w:rsid w:val="00790B88"/>
    <w:rsid w:val="00790B9E"/>
    <w:rsid w:val="00790C80"/>
    <w:rsid w:val="00790E1B"/>
    <w:rsid w:val="00790E3C"/>
    <w:rsid w:val="00790E3E"/>
    <w:rsid w:val="0079104A"/>
    <w:rsid w:val="0079108D"/>
    <w:rsid w:val="007910D4"/>
    <w:rsid w:val="007910D5"/>
    <w:rsid w:val="00791172"/>
    <w:rsid w:val="007911BD"/>
    <w:rsid w:val="00791206"/>
    <w:rsid w:val="00791207"/>
    <w:rsid w:val="0079132E"/>
    <w:rsid w:val="007915E0"/>
    <w:rsid w:val="00791602"/>
    <w:rsid w:val="0079174B"/>
    <w:rsid w:val="00791762"/>
    <w:rsid w:val="0079187C"/>
    <w:rsid w:val="007918D8"/>
    <w:rsid w:val="0079191F"/>
    <w:rsid w:val="00791A27"/>
    <w:rsid w:val="00791B26"/>
    <w:rsid w:val="00791B76"/>
    <w:rsid w:val="00791BCA"/>
    <w:rsid w:val="00791CBC"/>
    <w:rsid w:val="00791CCE"/>
    <w:rsid w:val="00791DBB"/>
    <w:rsid w:val="00791E46"/>
    <w:rsid w:val="00791E67"/>
    <w:rsid w:val="00791F48"/>
    <w:rsid w:val="00792079"/>
    <w:rsid w:val="00792097"/>
    <w:rsid w:val="0079219E"/>
    <w:rsid w:val="007923E3"/>
    <w:rsid w:val="007924A1"/>
    <w:rsid w:val="007924E9"/>
    <w:rsid w:val="00792500"/>
    <w:rsid w:val="0079253A"/>
    <w:rsid w:val="00792588"/>
    <w:rsid w:val="00792595"/>
    <w:rsid w:val="0079259B"/>
    <w:rsid w:val="00792786"/>
    <w:rsid w:val="007927A4"/>
    <w:rsid w:val="007927EA"/>
    <w:rsid w:val="0079282B"/>
    <w:rsid w:val="00792838"/>
    <w:rsid w:val="0079288B"/>
    <w:rsid w:val="00792A57"/>
    <w:rsid w:val="00792A94"/>
    <w:rsid w:val="00792B08"/>
    <w:rsid w:val="00792B5E"/>
    <w:rsid w:val="00792C54"/>
    <w:rsid w:val="00792CDD"/>
    <w:rsid w:val="00792D7C"/>
    <w:rsid w:val="00792DF5"/>
    <w:rsid w:val="0079305F"/>
    <w:rsid w:val="00793241"/>
    <w:rsid w:val="0079327B"/>
    <w:rsid w:val="007932F8"/>
    <w:rsid w:val="007934BF"/>
    <w:rsid w:val="0079378B"/>
    <w:rsid w:val="007937AF"/>
    <w:rsid w:val="007937B6"/>
    <w:rsid w:val="00793856"/>
    <w:rsid w:val="0079388A"/>
    <w:rsid w:val="00793A49"/>
    <w:rsid w:val="00793B3A"/>
    <w:rsid w:val="00793C28"/>
    <w:rsid w:val="00793EA1"/>
    <w:rsid w:val="00793EA5"/>
    <w:rsid w:val="00793F75"/>
    <w:rsid w:val="00793FD7"/>
    <w:rsid w:val="00794054"/>
    <w:rsid w:val="0079418C"/>
    <w:rsid w:val="00794226"/>
    <w:rsid w:val="0079426B"/>
    <w:rsid w:val="0079439E"/>
    <w:rsid w:val="007943A9"/>
    <w:rsid w:val="00794426"/>
    <w:rsid w:val="00794435"/>
    <w:rsid w:val="0079447B"/>
    <w:rsid w:val="00794567"/>
    <w:rsid w:val="007946B9"/>
    <w:rsid w:val="00794802"/>
    <w:rsid w:val="0079488A"/>
    <w:rsid w:val="00794925"/>
    <w:rsid w:val="00794A15"/>
    <w:rsid w:val="00794A9C"/>
    <w:rsid w:val="00794B10"/>
    <w:rsid w:val="00794C18"/>
    <w:rsid w:val="00794D76"/>
    <w:rsid w:val="00794FB9"/>
    <w:rsid w:val="00795264"/>
    <w:rsid w:val="007954D0"/>
    <w:rsid w:val="00795515"/>
    <w:rsid w:val="007955D8"/>
    <w:rsid w:val="00795607"/>
    <w:rsid w:val="00795685"/>
    <w:rsid w:val="00795688"/>
    <w:rsid w:val="0079572E"/>
    <w:rsid w:val="0079589E"/>
    <w:rsid w:val="00795986"/>
    <w:rsid w:val="00795A54"/>
    <w:rsid w:val="00795ADB"/>
    <w:rsid w:val="00795B5A"/>
    <w:rsid w:val="00795BF5"/>
    <w:rsid w:val="00795CBF"/>
    <w:rsid w:val="00795D56"/>
    <w:rsid w:val="00795DC6"/>
    <w:rsid w:val="00795E95"/>
    <w:rsid w:val="00795EC0"/>
    <w:rsid w:val="00795F70"/>
    <w:rsid w:val="00795FDF"/>
    <w:rsid w:val="00796024"/>
    <w:rsid w:val="00796098"/>
    <w:rsid w:val="0079609F"/>
    <w:rsid w:val="007964E5"/>
    <w:rsid w:val="00796525"/>
    <w:rsid w:val="007965A7"/>
    <w:rsid w:val="00796646"/>
    <w:rsid w:val="00796944"/>
    <w:rsid w:val="007969EC"/>
    <w:rsid w:val="00796B7A"/>
    <w:rsid w:val="00796BDE"/>
    <w:rsid w:val="00796C22"/>
    <w:rsid w:val="00796CF3"/>
    <w:rsid w:val="00796E35"/>
    <w:rsid w:val="00796EB9"/>
    <w:rsid w:val="00796F1D"/>
    <w:rsid w:val="00796FA4"/>
    <w:rsid w:val="00796FC4"/>
    <w:rsid w:val="0079704D"/>
    <w:rsid w:val="00797070"/>
    <w:rsid w:val="00797189"/>
    <w:rsid w:val="0079724C"/>
    <w:rsid w:val="0079725F"/>
    <w:rsid w:val="007972F4"/>
    <w:rsid w:val="0079738C"/>
    <w:rsid w:val="007973FC"/>
    <w:rsid w:val="0079748C"/>
    <w:rsid w:val="0079756D"/>
    <w:rsid w:val="007975F3"/>
    <w:rsid w:val="00797636"/>
    <w:rsid w:val="007976FA"/>
    <w:rsid w:val="007979FD"/>
    <w:rsid w:val="00797A36"/>
    <w:rsid w:val="00797AF1"/>
    <w:rsid w:val="00797BE6"/>
    <w:rsid w:val="00797D09"/>
    <w:rsid w:val="00797E17"/>
    <w:rsid w:val="00797E53"/>
    <w:rsid w:val="00797E60"/>
    <w:rsid w:val="00797FC7"/>
    <w:rsid w:val="007A001B"/>
    <w:rsid w:val="007A022F"/>
    <w:rsid w:val="007A02FB"/>
    <w:rsid w:val="007A03B2"/>
    <w:rsid w:val="007A041E"/>
    <w:rsid w:val="007A0578"/>
    <w:rsid w:val="007A0717"/>
    <w:rsid w:val="007A07E6"/>
    <w:rsid w:val="007A0813"/>
    <w:rsid w:val="007A083B"/>
    <w:rsid w:val="007A08B1"/>
    <w:rsid w:val="007A0952"/>
    <w:rsid w:val="007A0A85"/>
    <w:rsid w:val="007A0B63"/>
    <w:rsid w:val="007A0B71"/>
    <w:rsid w:val="007A0D6E"/>
    <w:rsid w:val="007A0EC1"/>
    <w:rsid w:val="007A0ED5"/>
    <w:rsid w:val="007A0F33"/>
    <w:rsid w:val="007A0F3E"/>
    <w:rsid w:val="007A0F9F"/>
    <w:rsid w:val="007A1240"/>
    <w:rsid w:val="007A12BD"/>
    <w:rsid w:val="007A14E0"/>
    <w:rsid w:val="007A152D"/>
    <w:rsid w:val="007A1629"/>
    <w:rsid w:val="007A16B9"/>
    <w:rsid w:val="007A1787"/>
    <w:rsid w:val="007A18B0"/>
    <w:rsid w:val="007A1A47"/>
    <w:rsid w:val="007A1AAF"/>
    <w:rsid w:val="007A1BB5"/>
    <w:rsid w:val="007A1BDE"/>
    <w:rsid w:val="007A1C49"/>
    <w:rsid w:val="007A1C98"/>
    <w:rsid w:val="007A1E00"/>
    <w:rsid w:val="007A1E46"/>
    <w:rsid w:val="007A1E5D"/>
    <w:rsid w:val="007A1F10"/>
    <w:rsid w:val="007A1FB5"/>
    <w:rsid w:val="007A2272"/>
    <w:rsid w:val="007A2302"/>
    <w:rsid w:val="007A2386"/>
    <w:rsid w:val="007A2435"/>
    <w:rsid w:val="007A245E"/>
    <w:rsid w:val="007A2482"/>
    <w:rsid w:val="007A24D9"/>
    <w:rsid w:val="007A2555"/>
    <w:rsid w:val="007A27A1"/>
    <w:rsid w:val="007A2856"/>
    <w:rsid w:val="007A29A4"/>
    <w:rsid w:val="007A2B0F"/>
    <w:rsid w:val="007A2B1D"/>
    <w:rsid w:val="007A2C59"/>
    <w:rsid w:val="007A2CF5"/>
    <w:rsid w:val="007A2EA8"/>
    <w:rsid w:val="007A2EE1"/>
    <w:rsid w:val="007A3126"/>
    <w:rsid w:val="007A3206"/>
    <w:rsid w:val="007A32A3"/>
    <w:rsid w:val="007A32C0"/>
    <w:rsid w:val="007A3402"/>
    <w:rsid w:val="007A343A"/>
    <w:rsid w:val="007A35E2"/>
    <w:rsid w:val="007A36B1"/>
    <w:rsid w:val="007A36FE"/>
    <w:rsid w:val="007A38BA"/>
    <w:rsid w:val="007A3A1E"/>
    <w:rsid w:val="007A3BFB"/>
    <w:rsid w:val="007A3D29"/>
    <w:rsid w:val="007A3E4A"/>
    <w:rsid w:val="007A3EBC"/>
    <w:rsid w:val="007A428A"/>
    <w:rsid w:val="007A44F7"/>
    <w:rsid w:val="007A4547"/>
    <w:rsid w:val="007A4669"/>
    <w:rsid w:val="007A4684"/>
    <w:rsid w:val="007A47FE"/>
    <w:rsid w:val="007A484B"/>
    <w:rsid w:val="007A48BA"/>
    <w:rsid w:val="007A49A1"/>
    <w:rsid w:val="007A4A9C"/>
    <w:rsid w:val="007A4AD7"/>
    <w:rsid w:val="007A4D1A"/>
    <w:rsid w:val="007A4DA5"/>
    <w:rsid w:val="007A4DF1"/>
    <w:rsid w:val="007A4E06"/>
    <w:rsid w:val="007A4E98"/>
    <w:rsid w:val="007A50B7"/>
    <w:rsid w:val="007A513D"/>
    <w:rsid w:val="007A51E6"/>
    <w:rsid w:val="007A52B6"/>
    <w:rsid w:val="007A533E"/>
    <w:rsid w:val="007A534C"/>
    <w:rsid w:val="007A53A4"/>
    <w:rsid w:val="007A5416"/>
    <w:rsid w:val="007A5450"/>
    <w:rsid w:val="007A5568"/>
    <w:rsid w:val="007A57A6"/>
    <w:rsid w:val="007A57BC"/>
    <w:rsid w:val="007A57C1"/>
    <w:rsid w:val="007A5885"/>
    <w:rsid w:val="007A58EC"/>
    <w:rsid w:val="007A5A01"/>
    <w:rsid w:val="007A5AEF"/>
    <w:rsid w:val="007A5C01"/>
    <w:rsid w:val="007A5C5B"/>
    <w:rsid w:val="007A5CBD"/>
    <w:rsid w:val="007A5CEC"/>
    <w:rsid w:val="007A5D1B"/>
    <w:rsid w:val="007A5D8F"/>
    <w:rsid w:val="007A5EA2"/>
    <w:rsid w:val="007A5EAD"/>
    <w:rsid w:val="007A5F58"/>
    <w:rsid w:val="007A5FF8"/>
    <w:rsid w:val="007A6239"/>
    <w:rsid w:val="007A62A6"/>
    <w:rsid w:val="007A653A"/>
    <w:rsid w:val="007A66F8"/>
    <w:rsid w:val="007A67C3"/>
    <w:rsid w:val="007A693A"/>
    <w:rsid w:val="007A6A32"/>
    <w:rsid w:val="007A6AE8"/>
    <w:rsid w:val="007A6BD5"/>
    <w:rsid w:val="007A6E30"/>
    <w:rsid w:val="007A6E8E"/>
    <w:rsid w:val="007A6EC7"/>
    <w:rsid w:val="007A6F45"/>
    <w:rsid w:val="007A6F70"/>
    <w:rsid w:val="007A70F6"/>
    <w:rsid w:val="007A7118"/>
    <w:rsid w:val="007A72BF"/>
    <w:rsid w:val="007A756F"/>
    <w:rsid w:val="007A75F4"/>
    <w:rsid w:val="007A7724"/>
    <w:rsid w:val="007A7753"/>
    <w:rsid w:val="007A786F"/>
    <w:rsid w:val="007A7883"/>
    <w:rsid w:val="007A7980"/>
    <w:rsid w:val="007A7A18"/>
    <w:rsid w:val="007A7B47"/>
    <w:rsid w:val="007A7C93"/>
    <w:rsid w:val="007A7E33"/>
    <w:rsid w:val="007A7EE1"/>
    <w:rsid w:val="007A7F3B"/>
    <w:rsid w:val="007A7F44"/>
    <w:rsid w:val="007A7F73"/>
    <w:rsid w:val="007A7F96"/>
    <w:rsid w:val="007A7FB1"/>
    <w:rsid w:val="007A7FDB"/>
    <w:rsid w:val="007B00B7"/>
    <w:rsid w:val="007B00D0"/>
    <w:rsid w:val="007B0149"/>
    <w:rsid w:val="007B014A"/>
    <w:rsid w:val="007B027D"/>
    <w:rsid w:val="007B038D"/>
    <w:rsid w:val="007B0538"/>
    <w:rsid w:val="007B05BC"/>
    <w:rsid w:val="007B064C"/>
    <w:rsid w:val="007B0677"/>
    <w:rsid w:val="007B06A3"/>
    <w:rsid w:val="007B07A2"/>
    <w:rsid w:val="007B0903"/>
    <w:rsid w:val="007B09BA"/>
    <w:rsid w:val="007B0A36"/>
    <w:rsid w:val="007B0B14"/>
    <w:rsid w:val="007B0B82"/>
    <w:rsid w:val="007B0D4F"/>
    <w:rsid w:val="007B0D92"/>
    <w:rsid w:val="007B0E2D"/>
    <w:rsid w:val="007B0E69"/>
    <w:rsid w:val="007B0E91"/>
    <w:rsid w:val="007B106C"/>
    <w:rsid w:val="007B1090"/>
    <w:rsid w:val="007B10E4"/>
    <w:rsid w:val="007B11F1"/>
    <w:rsid w:val="007B137B"/>
    <w:rsid w:val="007B13B6"/>
    <w:rsid w:val="007B16B1"/>
    <w:rsid w:val="007B1780"/>
    <w:rsid w:val="007B17E0"/>
    <w:rsid w:val="007B1967"/>
    <w:rsid w:val="007B1A1E"/>
    <w:rsid w:val="007B1A8E"/>
    <w:rsid w:val="007B1C2F"/>
    <w:rsid w:val="007B1D1E"/>
    <w:rsid w:val="007B1DDE"/>
    <w:rsid w:val="007B1DF2"/>
    <w:rsid w:val="007B1F50"/>
    <w:rsid w:val="007B2020"/>
    <w:rsid w:val="007B20CC"/>
    <w:rsid w:val="007B2251"/>
    <w:rsid w:val="007B22AE"/>
    <w:rsid w:val="007B2387"/>
    <w:rsid w:val="007B2481"/>
    <w:rsid w:val="007B2582"/>
    <w:rsid w:val="007B275D"/>
    <w:rsid w:val="007B2905"/>
    <w:rsid w:val="007B297A"/>
    <w:rsid w:val="007B29AA"/>
    <w:rsid w:val="007B29BA"/>
    <w:rsid w:val="007B2A1F"/>
    <w:rsid w:val="007B2AFB"/>
    <w:rsid w:val="007B2BA2"/>
    <w:rsid w:val="007B2D12"/>
    <w:rsid w:val="007B2D7B"/>
    <w:rsid w:val="007B2DBE"/>
    <w:rsid w:val="007B2DD9"/>
    <w:rsid w:val="007B2E99"/>
    <w:rsid w:val="007B2F42"/>
    <w:rsid w:val="007B2F48"/>
    <w:rsid w:val="007B2FB9"/>
    <w:rsid w:val="007B2FC8"/>
    <w:rsid w:val="007B31FB"/>
    <w:rsid w:val="007B329A"/>
    <w:rsid w:val="007B3388"/>
    <w:rsid w:val="007B3389"/>
    <w:rsid w:val="007B33CB"/>
    <w:rsid w:val="007B3432"/>
    <w:rsid w:val="007B36F9"/>
    <w:rsid w:val="007B370D"/>
    <w:rsid w:val="007B3775"/>
    <w:rsid w:val="007B387D"/>
    <w:rsid w:val="007B39CE"/>
    <w:rsid w:val="007B39D1"/>
    <w:rsid w:val="007B3A1F"/>
    <w:rsid w:val="007B3A5C"/>
    <w:rsid w:val="007B3B29"/>
    <w:rsid w:val="007B3D31"/>
    <w:rsid w:val="007B3D42"/>
    <w:rsid w:val="007B3EA9"/>
    <w:rsid w:val="007B3EE0"/>
    <w:rsid w:val="007B3FD8"/>
    <w:rsid w:val="007B3FE5"/>
    <w:rsid w:val="007B4064"/>
    <w:rsid w:val="007B41D4"/>
    <w:rsid w:val="007B44F8"/>
    <w:rsid w:val="007B4635"/>
    <w:rsid w:val="007B466F"/>
    <w:rsid w:val="007B4689"/>
    <w:rsid w:val="007B46E9"/>
    <w:rsid w:val="007B486D"/>
    <w:rsid w:val="007B4876"/>
    <w:rsid w:val="007B4C0C"/>
    <w:rsid w:val="007B4CAD"/>
    <w:rsid w:val="007B4D24"/>
    <w:rsid w:val="007B4D32"/>
    <w:rsid w:val="007B4D97"/>
    <w:rsid w:val="007B4DD7"/>
    <w:rsid w:val="007B4DDC"/>
    <w:rsid w:val="007B4FE5"/>
    <w:rsid w:val="007B508B"/>
    <w:rsid w:val="007B50A3"/>
    <w:rsid w:val="007B520C"/>
    <w:rsid w:val="007B52F6"/>
    <w:rsid w:val="007B53E8"/>
    <w:rsid w:val="007B562D"/>
    <w:rsid w:val="007B5756"/>
    <w:rsid w:val="007B5766"/>
    <w:rsid w:val="007B5830"/>
    <w:rsid w:val="007B58D2"/>
    <w:rsid w:val="007B5B24"/>
    <w:rsid w:val="007B5B47"/>
    <w:rsid w:val="007B5BC9"/>
    <w:rsid w:val="007B5C00"/>
    <w:rsid w:val="007B5C10"/>
    <w:rsid w:val="007B5C91"/>
    <w:rsid w:val="007B5F91"/>
    <w:rsid w:val="007B5F9C"/>
    <w:rsid w:val="007B60A5"/>
    <w:rsid w:val="007B60D2"/>
    <w:rsid w:val="007B6210"/>
    <w:rsid w:val="007B6389"/>
    <w:rsid w:val="007B6470"/>
    <w:rsid w:val="007B64A6"/>
    <w:rsid w:val="007B653E"/>
    <w:rsid w:val="007B65DB"/>
    <w:rsid w:val="007B65F9"/>
    <w:rsid w:val="007B6761"/>
    <w:rsid w:val="007B6792"/>
    <w:rsid w:val="007B67D2"/>
    <w:rsid w:val="007B692F"/>
    <w:rsid w:val="007B6A66"/>
    <w:rsid w:val="007B6AE9"/>
    <w:rsid w:val="007B6B11"/>
    <w:rsid w:val="007B6D2D"/>
    <w:rsid w:val="007B6D85"/>
    <w:rsid w:val="007B6DF3"/>
    <w:rsid w:val="007B6EEC"/>
    <w:rsid w:val="007B6F61"/>
    <w:rsid w:val="007B6F78"/>
    <w:rsid w:val="007B70DD"/>
    <w:rsid w:val="007B70F4"/>
    <w:rsid w:val="007B723E"/>
    <w:rsid w:val="007B73B8"/>
    <w:rsid w:val="007B741F"/>
    <w:rsid w:val="007B744C"/>
    <w:rsid w:val="007B749A"/>
    <w:rsid w:val="007B7508"/>
    <w:rsid w:val="007B7540"/>
    <w:rsid w:val="007B754E"/>
    <w:rsid w:val="007B760A"/>
    <w:rsid w:val="007B76AE"/>
    <w:rsid w:val="007B7754"/>
    <w:rsid w:val="007B7776"/>
    <w:rsid w:val="007B777F"/>
    <w:rsid w:val="007B7845"/>
    <w:rsid w:val="007B7986"/>
    <w:rsid w:val="007B79C8"/>
    <w:rsid w:val="007B79E5"/>
    <w:rsid w:val="007B7A0B"/>
    <w:rsid w:val="007B7AF4"/>
    <w:rsid w:val="007B7BA6"/>
    <w:rsid w:val="007B7C5A"/>
    <w:rsid w:val="007B7C61"/>
    <w:rsid w:val="007B7D1A"/>
    <w:rsid w:val="007B7DFE"/>
    <w:rsid w:val="007B7E88"/>
    <w:rsid w:val="007B7EF3"/>
    <w:rsid w:val="007C00B0"/>
    <w:rsid w:val="007C016E"/>
    <w:rsid w:val="007C01D0"/>
    <w:rsid w:val="007C0350"/>
    <w:rsid w:val="007C037B"/>
    <w:rsid w:val="007C03D8"/>
    <w:rsid w:val="007C0470"/>
    <w:rsid w:val="007C04A5"/>
    <w:rsid w:val="007C04AC"/>
    <w:rsid w:val="007C05CB"/>
    <w:rsid w:val="007C06D7"/>
    <w:rsid w:val="007C07FA"/>
    <w:rsid w:val="007C0830"/>
    <w:rsid w:val="007C0837"/>
    <w:rsid w:val="007C083C"/>
    <w:rsid w:val="007C08F3"/>
    <w:rsid w:val="007C0926"/>
    <w:rsid w:val="007C09A9"/>
    <w:rsid w:val="007C09C2"/>
    <w:rsid w:val="007C0ACC"/>
    <w:rsid w:val="007C0C58"/>
    <w:rsid w:val="007C0C89"/>
    <w:rsid w:val="007C0DA8"/>
    <w:rsid w:val="007C0EC0"/>
    <w:rsid w:val="007C1077"/>
    <w:rsid w:val="007C10AF"/>
    <w:rsid w:val="007C116D"/>
    <w:rsid w:val="007C134E"/>
    <w:rsid w:val="007C13A5"/>
    <w:rsid w:val="007C1452"/>
    <w:rsid w:val="007C146E"/>
    <w:rsid w:val="007C1479"/>
    <w:rsid w:val="007C1575"/>
    <w:rsid w:val="007C158A"/>
    <w:rsid w:val="007C16B6"/>
    <w:rsid w:val="007C1841"/>
    <w:rsid w:val="007C1903"/>
    <w:rsid w:val="007C193E"/>
    <w:rsid w:val="007C1A2D"/>
    <w:rsid w:val="007C1A57"/>
    <w:rsid w:val="007C1A8C"/>
    <w:rsid w:val="007C1AE2"/>
    <w:rsid w:val="007C1AF4"/>
    <w:rsid w:val="007C1C14"/>
    <w:rsid w:val="007C1D15"/>
    <w:rsid w:val="007C1D54"/>
    <w:rsid w:val="007C1E1A"/>
    <w:rsid w:val="007C1E5A"/>
    <w:rsid w:val="007C1F57"/>
    <w:rsid w:val="007C1F92"/>
    <w:rsid w:val="007C21FA"/>
    <w:rsid w:val="007C2212"/>
    <w:rsid w:val="007C2247"/>
    <w:rsid w:val="007C2272"/>
    <w:rsid w:val="007C2352"/>
    <w:rsid w:val="007C23D1"/>
    <w:rsid w:val="007C2433"/>
    <w:rsid w:val="007C2461"/>
    <w:rsid w:val="007C25BE"/>
    <w:rsid w:val="007C2621"/>
    <w:rsid w:val="007C2739"/>
    <w:rsid w:val="007C27EC"/>
    <w:rsid w:val="007C28B3"/>
    <w:rsid w:val="007C2934"/>
    <w:rsid w:val="007C2989"/>
    <w:rsid w:val="007C2AD4"/>
    <w:rsid w:val="007C2B23"/>
    <w:rsid w:val="007C2C05"/>
    <w:rsid w:val="007C2CBD"/>
    <w:rsid w:val="007C3022"/>
    <w:rsid w:val="007C3154"/>
    <w:rsid w:val="007C3243"/>
    <w:rsid w:val="007C3316"/>
    <w:rsid w:val="007C33B9"/>
    <w:rsid w:val="007C341E"/>
    <w:rsid w:val="007C3457"/>
    <w:rsid w:val="007C34A8"/>
    <w:rsid w:val="007C360A"/>
    <w:rsid w:val="007C3793"/>
    <w:rsid w:val="007C384F"/>
    <w:rsid w:val="007C3955"/>
    <w:rsid w:val="007C3A87"/>
    <w:rsid w:val="007C3A88"/>
    <w:rsid w:val="007C3AD9"/>
    <w:rsid w:val="007C3C47"/>
    <w:rsid w:val="007C3C66"/>
    <w:rsid w:val="007C3C8A"/>
    <w:rsid w:val="007C3D43"/>
    <w:rsid w:val="007C3DDE"/>
    <w:rsid w:val="007C3EAF"/>
    <w:rsid w:val="007C3ED6"/>
    <w:rsid w:val="007C3F52"/>
    <w:rsid w:val="007C3F9D"/>
    <w:rsid w:val="007C4065"/>
    <w:rsid w:val="007C4121"/>
    <w:rsid w:val="007C414F"/>
    <w:rsid w:val="007C4252"/>
    <w:rsid w:val="007C438E"/>
    <w:rsid w:val="007C43E9"/>
    <w:rsid w:val="007C457C"/>
    <w:rsid w:val="007C459C"/>
    <w:rsid w:val="007C459D"/>
    <w:rsid w:val="007C4632"/>
    <w:rsid w:val="007C47AB"/>
    <w:rsid w:val="007C4837"/>
    <w:rsid w:val="007C48E4"/>
    <w:rsid w:val="007C4950"/>
    <w:rsid w:val="007C4A69"/>
    <w:rsid w:val="007C4A8A"/>
    <w:rsid w:val="007C4B6F"/>
    <w:rsid w:val="007C4B87"/>
    <w:rsid w:val="007C4D3B"/>
    <w:rsid w:val="007C4D8E"/>
    <w:rsid w:val="007C4DAD"/>
    <w:rsid w:val="007C4DE3"/>
    <w:rsid w:val="007C4EF9"/>
    <w:rsid w:val="007C4F47"/>
    <w:rsid w:val="007C5079"/>
    <w:rsid w:val="007C5138"/>
    <w:rsid w:val="007C524F"/>
    <w:rsid w:val="007C5269"/>
    <w:rsid w:val="007C52C0"/>
    <w:rsid w:val="007C5367"/>
    <w:rsid w:val="007C53A6"/>
    <w:rsid w:val="007C5425"/>
    <w:rsid w:val="007C5459"/>
    <w:rsid w:val="007C546D"/>
    <w:rsid w:val="007C54CE"/>
    <w:rsid w:val="007C550D"/>
    <w:rsid w:val="007C559D"/>
    <w:rsid w:val="007C574E"/>
    <w:rsid w:val="007C5845"/>
    <w:rsid w:val="007C58CE"/>
    <w:rsid w:val="007C590B"/>
    <w:rsid w:val="007C596E"/>
    <w:rsid w:val="007C5990"/>
    <w:rsid w:val="007C5ACC"/>
    <w:rsid w:val="007C5B48"/>
    <w:rsid w:val="007C5C1C"/>
    <w:rsid w:val="007C5CA3"/>
    <w:rsid w:val="007C5D57"/>
    <w:rsid w:val="007C5DC2"/>
    <w:rsid w:val="007C5F5A"/>
    <w:rsid w:val="007C5F84"/>
    <w:rsid w:val="007C60A3"/>
    <w:rsid w:val="007C6199"/>
    <w:rsid w:val="007C61CD"/>
    <w:rsid w:val="007C6412"/>
    <w:rsid w:val="007C6442"/>
    <w:rsid w:val="007C6443"/>
    <w:rsid w:val="007C6460"/>
    <w:rsid w:val="007C647B"/>
    <w:rsid w:val="007C6539"/>
    <w:rsid w:val="007C658F"/>
    <w:rsid w:val="007C65F0"/>
    <w:rsid w:val="007C660E"/>
    <w:rsid w:val="007C6628"/>
    <w:rsid w:val="007C667C"/>
    <w:rsid w:val="007C67DA"/>
    <w:rsid w:val="007C689C"/>
    <w:rsid w:val="007C6A44"/>
    <w:rsid w:val="007C6AD3"/>
    <w:rsid w:val="007C6AF6"/>
    <w:rsid w:val="007C6B66"/>
    <w:rsid w:val="007C6B68"/>
    <w:rsid w:val="007C6C86"/>
    <w:rsid w:val="007C6DE6"/>
    <w:rsid w:val="007C6E5F"/>
    <w:rsid w:val="007C6E89"/>
    <w:rsid w:val="007C6FC6"/>
    <w:rsid w:val="007C700F"/>
    <w:rsid w:val="007C715E"/>
    <w:rsid w:val="007C7280"/>
    <w:rsid w:val="007C72AD"/>
    <w:rsid w:val="007C72BB"/>
    <w:rsid w:val="007C72E4"/>
    <w:rsid w:val="007C72FE"/>
    <w:rsid w:val="007C73FD"/>
    <w:rsid w:val="007C74EC"/>
    <w:rsid w:val="007C751D"/>
    <w:rsid w:val="007C78B0"/>
    <w:rsid w:val="007C78B4"/>
    <w:rsid w:val="007C7925"/>
    <w:rsid w:val="007C7958"/>
    <w:rsid w:val="007C7A01"/>
    <w:rsid w:val="007C7A03"/>
    <w:rsid w:val="007C7A35"/>
    <w:rsid w:val="007C7A42"/>
    <w:rsid w:val="007C7B73"/>
    <w:rsid w:val="007C7BD0"/>
    <w:rsid w:val="007C7C34"/>
    <w:rsid w:val="007C7C39"/>
    <w:rsid w:val="007C7CCE"/>
    <w:rsid w:val="007C7D0B"/>
    <w:rsid w:val="007C7F99"/>
    <w:rsid w:val="007D01D2"/>
    <w:rsid w:val="007D01DF"/>
    <w:rsid w:val="007D034C"/>
    <w:rsid w:val="007D044C"/>
    <w:rsid w:val="007D04D5"/>
    <w:rsid w:val="007D0553"/>
    <w:rsid w:val="007D0612"/>
    <w:rsid w:val="007D0635"/>
    <w:rsid w:val="007D0694"/>
    <w:rsid w:val="007D0710"/>
    <w:rsid w:val="007D07A5"/>
    <w:rsid w:val="007D080B"/>
    <w:rsid w:val="007D090A"/>
    <w:rsid w:val="007D0AC3"/>
    <w:rsid w:val="007D0B6D"/>
    <w:rsid w:val="007D0C22"/>
    <w:rsid w:val="007D0C54"/>
    <w:rsid w:val="007D0CFA"/>
    <w:rsid w:val="007D0D4B"/>
    <w:rsid w:val="007D0EBF"/>
    <w:rsid w:val="007D0FDD"/>
    <w:rsid w:val="007D107F"/>
    <w:rsid w:val="007D10DD"/>
    <w:rsid w:val="007D111D"/>
    <w:rsid w:val="007D126D"/>
    <w:rsid w:val="007D12A1"/>
    <w:rsid w:val="007D1318"/>
    <w:rsid w:val="007D1464"/>
    <w:rsid w:val="007D14FA"/>
    <w:rsid w:val="007D15FE"/>
    <w:rsid w:val="007D160D"/>
    <w:rsid w:val="007D1619"/>
    <w:rsid w:val="007D16CE"/>
    <w:rsid w:val="007D16D8"/>
    <w:rsid w:val="007D17B8"/>
    <w:rsid w:val="007D1886"/>
    <w:rsid w:val="007D1AEF"/>
    <w:rsid w:val="007D1CBA"/>
    <w:rsid w:val="007D1D3F"/>
    <w:rsid w:val="007D1D4F"/>
    <w:rsid w:val="007D1D95"/>
    <w:rsid w:val="007D1DE5"/>
    <w:rsid w:val="007D1EE3"/>
    <w:rsid w:val="007D1F12"/>
    <w:rsid w:val="007D1F83"/>
    <w:rsid w:val="007D2052"/>
    <w:rsid w:val="007D2138"/>
    <w:rsid w:val="007D21B2"/>
    <w:rsid w:val="007D21C8"/>
    <w:rsid w:val="007D21D8"/>
    <w:rsid w:val="007D24B9"/>
    <w:rsid w:val="007D2502"/>
    <w:rsid w:val="007D2852"/>
    <w:rsid w:val="007D287E"/>
    <w:rsid w:val="007D2987"/>
    <w:rsid w:val="007D2A6B"/>
    <w:rsid w:val="007D2ACB"/>
    <w:rsid w:val="007D2B34"/>
    <w:rsid w:val="007D2B35"/>
    <w:rsid w:val="007D2B61"/>
    <w:rsid w:val="007D2BF2"/>
    <w:rsid w:val="007D2C80"/>
    <w:rsid w:val="007D2C9D"/>
    <w:rsid w:val="007D2CCB"/>
    <w:rsid w:val="007D2CE9"/>
    <w:rsid w:val="007D2CEF"/>
    <w:rsid w:val="007D30C2"/>
    <w:rsid w:val="007D3125"/>
    <w:rsid w:val="007D340A"/>
    <w:rsid w:val="007D342E"/>
    <w:rsid w:val="007D3639"/>
    <w:rsid w:val="007D3658"/>
    <w:rsid w:val="007D37AF"/>
    <w:rsid w:val="007D38E8"/>
    <w:rsid w:val="007D38EB"/>
    <w:rsid w:val="007D394F"/>
    <w:rsid w:val="007D3A84"/>
    <w:rsid w:val="007D3B56"/>
    <w:rsid w:val="007D3C44"/>
    <w:rsid w:val="007D3D14"/>
    <w:rsid w:val="007D3D43"/>
    <w:rsid w:val="007D3DBA"/>
    <w:rsid w:val="007D3E08"/>
    <w:rsid w:val="007D3FA3"/>
    <w:rsid w:val="007D4158"/>
    <w:rsid w:val="007D4197"/>
    <w:rsid w:val="007D41C4"/>
    <w:rsid w:val="007D41CC"/>
    <w:rsid w:val="007D4291"/>
    <w:rsid w:val="007D42F4"/>
    <w:rsid w:val="007D436C"/>
    <w:rsid w:val="007D441E"/>
    <w:rsid w:val="007D444C"/>
    <w:rsid w:val="007D458D"/>
    <w:rsid w:val="007D45DE"/>
    <w:rsid w:val="007D46B5"/>
    <w:rsid w:val="007D46DF"/>
    <w:rsid w:val="007D4702"/>
    <w:rsid w:val="007D4744"/>
    <w:rsid w:val="007D498B"/>
    <w:rsid w:val="007D49D5"/>
    <w:rsid w:val="007D4A35"/>
    <w:rsid w:val="007D4A7F"/>
    <w:rsid w:val="007D4B19"/>
    <w:rsid w:val="007D4B3D"/>
    <w:rsid w:val="007D4BC1"/>
    <w:rsid w:val="007D4C01"/>
    <w:rsid w:val="007D4D60"/>
    <w:rsid w:val="007D4DD3"/>
    <w:rsid w:val="007D4E96"/>
    <w:rsid w:val="007D4E98"/>
    <w:rsid w:val="007D5049"/>
    <w:rsid w:val="007D50F0"/>
    <w:rsid w:val="007D5157"/>
    <w:rsid w:val="007D5264"/>
    <w:rsid w:val="007D52F9"/>
    <w:rsid w:val="007D553E"/>
    <w:rsid w:val="007D5657"/>
    <w:rsid w:val="007D56FA"/>
    <w:rsid w:val="007D5764"/>
    <w:rsid w:val="007D599A"/>
    <w:rsid w:val="007D5C71"/>
    <w:rsid w:val="007D5C7E"/>
    <w:rsid w:val="007D5D4B"/>
    <w:rsid w:val="007D5FD8"/>
    <w:rsid w:val="007D5FF4"/>
    <w:rsid w:val="007D61A2"/>
    <w:rsid w:val="007D61A7"/>
    <w:rsid w:val="007D61C7"/>
    <w:rsid w:val="007D6224"/>
    <w:rsid w:val="007D62A1"/>
    <w:rsid w:val="007D6513"/>
    <w:rsid w:val="007D6844"/>
    <w:rsid w:val="007D6853"/>
    <w:rsid w:val="007D685C"/>
    <w:rsid w:val="007D6895"/>
    <w:rsid w:val="007D689A"/>
    <w:rsid w:val="007D695A"/>
    <w:rsid w:val="007D6A0B"/>
    <w:rsid w:val="007D6ADF"/>
    <w:rsid w:val="007D6B23"/>
    <w:rsid w:val="007D6BB3"/>
    <w:rsid w:val="007D6C4D"/>
    <w:rsid w:val="007D6FB3"/>
    <w:rsid w:val="007D702F"/>
    <w:rsid w:val="007D725F"/>
    <w:rsid w:val="007D731E"/>
    <w:rsid w:val="007D740C"/>
    <w:rsid w:val="007D7479"/>
    <w:rsid w:val="007D74C1"/>
    <w:rsid w:val="007D7575"/>
    <w:rsid w:val="007D75D1"/>
    <w:rsid w:val="007D769C"/>
    <w:rsid w:val="007D76C1"/>
    <w:rsid w:val="007D76D9"/>
    <w:rsid w:val="007D78D8"/>
    <w:rsid w:val="007D7984"/>
    <w:rsid w:val="007D7A38"/>
    <w:rsid w:val="007D7A4C"/>
    <w:rsid w:val="007D7ABF"/>
    <w:rsid w:val="007D7B78"/>
    <w:rsid w:val="007D7BC6"/>
    <w:rsid w:val="007D7CB3"/>
    <w:rsid w:val="007D7D19"/>
    <w:rsid w:val="007D7D1D"/>
    <w:rsid w:val="007D7EAD"/>
    <w:rsid w:val="007D7ED5"/>
    <w:rsid w:val="007D7F5D"/>
    <w:rsid w:val="007D7FF8"/>
    <w:rsid w:val="007DC3C9"/>
    <w:rsid w:val="007E0090"/>
    <w:rsid w:val="007E0152"/>
    <w:rsid w:val="007E0343"/>
    <w:rsid w:val="007E0411"/>
    <w:rsid w:val="007E0557"/>
    <w:rsid w:val="007E0572"/>
    <w:rsid w:val="007E0588"/>
    <w:rsid w:val="007E05E5"/>
    <w:rsid w:val="007E06A1"/>
    <w:rsid w:val="007E06CF"/>
    <w:rsid w:val="007E07A0"/>
    <w:rsid w:val="007E081C"/>
    <w:rsid w:val="007E0829"/>
    <w:rsid w:val="007E082A"/>
    <w:rsid w:val="007E0949"/>
    <w:rsid w:val="007E0B48"/>
    <w:rsid w:val="007E0D52"/>
    <w:rsid w:val="007E0DF2"/>
    <w:rsid w:val="007E0E18"/>
    <w:rsid w:val="007E0FD4"/>
    <w:rsid w:val="007E1030"/>
    <w:rsid w:val="007E108F"/>
    <w:rsid w:val="007E1095"/>
    <w:rsid w:val="007E10B6"/>
    <w:rsid w:val="007E115E"/>
    <w:rsid w:val="007E1212"/>
    <w:rsid w:val="007E124E"/>
    <w:rsid w:val="007E12E0"/>
    <w:rsid w:val="007E1354"/>
    <w:rsid w:val="007E1463"/>
    <w:rsid w:val="007E15EA"/>
    <w:rsid w:val="007E1658"/>
    <w:rsid w:val="007E166C"/>
    <w:rsid w:val="007E16A1"/>
    <w:rsid w:val="007E16BC"/>
    <w:rsid w:val="007E1741"/>
    <w:rsid w:val="007E181F"/>
    <w:rsid w:val="007E182D"/>
    <w:rsid w:val="007E1872"/>
    <w:rsid w:val="007E188F"/>
    <w:rsid w:val="007E191E"/>
    <w:rsid w:val="007E19DF"/>
    <w:rsid w:val="007E1A2B"/>
    <w:rsid w:val="007E1AF3"/>
    <w:rsid w:val="007E1B01"/>
    <w:rsid w:val="007E1BCB"/>
    <w:rsid w:val="007E1C38"/>
    <w:rsid w:val="007E1EB2"/>
    <w:rsid w:val="007E1EE2"/>
    <w:rsid w:val="007E2137"/>
    <w:rsid w:val="007E218B"/>
    <w:rsid w:val="007E218C"/>
    <w:rsid w:val="007E223C"/>
    <w:rsid w:val="007E228A"/>
    <w:rsid w:val="007E2297"/>
    <w:rsid w:val="007E243A"/>
    <w:rsid w:val="007E2539"/>
    <w:rsid w:val="007E255C"/>
    <w:rsid w:val="007E25EA"/>
    <w:rsid w:val="007E268A"/>
    <w:rsid w:val="007E2697"/>
    <w:rsid w:val="007E2744"/>
    <w:rsid w:val="007E27C1"/>
    <w:rsid w:val="007E27C6"/>
    <w:rsid w:val="007E2801"/>
    <w:rsid w:val="007E28E3"/>
    <w:rsid w:val="007E2A9D"/>
    <w:rsid w:val="007E2AFB"/>
    <w:rsid w:val="007E2C32"/>
    <w:rsid w:val="007E2C95"/>
    <w:rsid w:val="007E2D4A"/>
    <w:rsid w:val="007E2D5E"/>
    <w:rsid w:val="007E2D94"/>
    <w:rsid w:val="007E2DA9"/>
    <w:rsid w:val="007E2E67"/>
    <w:rsid w:val="007E2E81"/>
    <w:rsid w:val="007E2FE8"/>
    <w:rsid w:val="007E30D3"/>
    <w:rsid w:val="007E3146"/>
    <w:rsid w:val="007E31A2"/>
    <w:rsid w:val="007E3367"/>
    <w:rsid w:val="007E34F8"/>
    <w:rsid w:val="007E3608"/>
    <w:rsid w:val="007E3617"/>
    <w:rsid w:val="007E3668"/>
    <w:rsid w:val="007E3743"/>
    <w:rsid w:val="007E37BE"/>
    <w:rsid w:val="007E382C"/>
    <w:rsid w:val="007E3898"/>
    <w:rsid w:val="007E38AA"/>
    <w:rsid w:val="007E38BC"/>
    <w:rsid w:val="007E39CA"/>
    <w:rsid w:val="007E3A9E"/>
    <w:rsid w:val="007E3B12"/>
    <w:rsid w:val="007E3B42"/>
    <w:rsid w:val="007E3B4C"/>
    <w:rsid w:val="007E3C9E"/>
    <w:rsid w:val="007E3CBE"/>
    <w:rsid w:val="007E3D2E"/>
    <w:rsid w:val="007E3E53"/>
    <w:rsid w:val="007E3EA7"/>
    <w:rsid w:val="007E4021"/>
    <w:rsid w:val="007E415F"/>
    <w:rsid w:val="007E41FF"/>
    <w:rsid w:val="007E42BE"/>
    <w:rsid w:val="007E43A6"/>
    <w:rsid w:val="007E43DA"/>
    <w:rsid w:val="007E43F1"/>
    <w:rsid w:val="007E440A"/>
    <w:rsid w:val="007E444D"/>
    <w:rsid w:val="007E4466"/>
    <w:rsid w:val="007E45C9"/>
    <w:rsid w:val="007E4733"/>
    <w:rsid w:val="007E4783"/>
    <w:rsid w:val="007E47C5"/>
    <w:rsid w:val="007E487C"/>
    <w:rsid w:val="007E4903"/>
    <w:rsid w:val="007E49EE"/>
    <w:rsid w:val="007E4A50"/>
    <w:rsid w:val="007E4B02"/>
    <w:rsid w:val="007E4D27"/>
    <w:rsid w:val="007E4D40"/>
    <w:rsid w:val="007E4D4C"/>
    <w:rsid w:val="007E4E49"/>
    <w:rsid w:val="007E4EBD"/>
    <w:rsid w:val="007E4F6F"/>
    <w:rsid w:val="007E504D"/>
    <w:rsid w:val="007E50B2"/>
    <w:rsid w:val="007E516F"/>
    <w:rsid w:val="007E52AC"/>
    <w:rsid w:val="007E534C"/>
    <w:rsid w:val="007E5362"/>
    <w:rsid w:val="007E5382"/>
    <w:rsid w:val="007E5663"/>
    <w:rsid w:val="007E593F"/>
    <w:rsid w:val="007E5954"/>
    <w:rsid w:val="007E595A"/>
    <w:rsid w:val="007E5996"/>
    <w:rsid w:val="007E5A9A"/>
    <w:rsid w:val="007E5B24"/>
    <w:rsid w:val="007E5C87"/>
    <w:rsid w:val="007E5C92"/>
    <w:rsid w:val="007E5C98"/>
    <w:rsid w:val="007E5D0A"/>
    <w:rsid w:val="007E5D1A"/>
    <w:rsid w:val="007E5D73"/>
    <w:rsid w:val="007E5E4A"/>
    <w:rsid w:val="007E5F70"/>
    <w:rsid w:val="007E5F77"/>
    <w:rsid w:val="007E61AA"/>
    <w:rsid w:val="007E61AD"/>
    <w:rsid w:val="007E6229"/>
    <w:rsid w:val="007E6403"/>
    <w:rsid w:val="007E642B"/>
    <w:rsid w:val="007E6431"/>
    <w:rsid w:val="007E65A9"/>
    <w:rsid w:val="007E65AC"/>
    <w:rsid w:val="007E66B2"/>
    <w:rsid w:val="007E6721"/>
    <w:rsid w:val="007E687E"/>
    <w:rsid w:val="007E68A3"/>
    <w:rsid w:val="007E6901"/>
    <w:rsid w:val="007E6A1E"/>
    <w:rsid w:val="007E6C4F"/>
    <w:rsid w:val="007E6C53"/>
    <w:rsid w:val="007E6C69"/>
    <w:rsid w:val="007E6E07"/>
    <w:rsid w:val="007E6F88"/>
    <w:rsid w:val="007E6F99"/>
    <w:rsid w:val="007E703C"/>
    <w:rsid w:val="007E7133"/>
    <w:rsid w:val="007E715B"/>
    <w:rsid w:val="007E71B8"/>
    <w:rsid w:val="007E7212"/>
    <w:rsid w:val="007E7269"/>
    <w:rsid w:val="007E7400"/>
    <w:rsid w:val="007E741D"/>
    <w:rsid w:val="007E75AC"/>
    <w:rsid w:val="007E779F"/>
    <w:rsid w:val="007E7823"/>
    <w:rsid w:val="007E7980"/>
    <w:rsid w:val="007E79BF"/>
    <w:rsid w:val="007E79C0"/>
    <w:rsid w:val="007E7C3E"/>
    <w:rsid w:val="007E7C9D"/>
    <w:rsid w:val="007E7D18"/>
    <w:rsid w:val="007E7D64"/>
    <w:rsid w:val="007E7E73"/>
    <w:rsid w:val="007E7EEA"/>
    <w:rsid w:val="007E7F91"/>
    <w:rsid w:val="007EBA75"/>
    <w:rsid w:val="007F006B"/>
    <w:rsid w:val="007F013C"/>
    <w:rsid w:val="007F019B"/>
    <w:rsid w:val="007F01B3"/>
    <w:rsid w:val="007F01CA"/>
    <w:rsid w:val="007F01EA"/>
    <w:rsid w:val="007F0239"/>
    <w:rsid w:val="007F0360"/>
    <w:rsid w:val="007F03B2"/>
    <w:rsid w:val="007F040C"/>
    <w:rsid w:val="007F04B8"/>
    <w:rsid w:val="007F0586"/>
    <w:rsid w:val="007F05B6"/>
    <w:rsid w:val="007F05BA"/>
    <w:rsid w:val="007F05C2"/>
    <w:rsid w:val="007F061F"/>
    <w:rsid w:val="007F0657"/>
    <w:rsid w:val="007F0659"/>
    <w:rsid w:val="007F0949"/>
    <w:rsid w:val="007F097C"/>
    <w:rsid w:val="007F0A2E"/>
    <w:rsid w:val="007F0A84"/>
    <w:rsid w:val="007F0A9A"/>
    <w:rsid w:val="007F0C66"/>
    <w:rsid w:val="007F0CA2"/>
    <w:rsid w:val="007F0D0D"/>
    <w:rsid w:val="007F0DF1"/>
    <w:rsid w:val="007F0E51"/>
    <w:rsid w:val="007F0ECC"/>
    <w:rsid w:val="007F0F0B"/>
    <w:rsid w:val="007F0FF9"/>
    <w:rsid w:val="007F10E3"/>
    <w:rsid w:val="007F112C"/>
    <w:rsid w:val="007F113A"/>
    <w:rsid w:val="007F1149"/>
    <w:rsid w:val="007F11F6"/>
    <w:rsid w:val="007F12D4"/>
    <w:rsid w:val="007F1370"/>
    <w:rsid w:val="007F1478"/>
    <w:rsid w:val="007F153A"/>
    <w:rsid w:val="007F1584"/>
    <w:rsid w:val="007F15CA"/>
    <w:rsid w:val="007F16EB"/>
    <w:rsid w:val="007F17CB"/>
    <w:rsid w:val="007F17E0"/>
    <w:rsid w:val="007F17F1"/>
    <w:rsid w:val="007F194B"/>
    <w:rsid w:val="007F196E"/>
    <w:rsid w:val="007F1983"/>
    <w:rsid w:val="007F19A5"/>
    <w:rsid w:val="007F1A13"/>
    <w:rsid w:val="007F1B53"/>
    <w:rsid w:val="007F1B87"/>
    <w:rsid w:val="007F1BB4"/>
    <w:rsid w:val="007F1CDA"/>
    <w:rsid w:val="007F1D3C"/>
    <w:rsid w:val="007F1DA1"/>
    <w:rsid w:val="007F1E18"/>
    <w:rsid w:val="007F1E80"/>
    <w:rsid w:val="007F1EA6"/>
    <w:rsid w:val="007F1FFF"/>
    <w:rsid w:val="007F2114"/>
    <w:rsid w:val="007F2337"/>
    <w:rsid w:val="007F2366"/>
    <w:rsid w:val="007F2369"/>
    <w:rsid w:val="007F2460"/>
    <w:rsid w:val="007F26E3"/>
    <w:rsid w:val="007F27F4"/>
    <w:rsid w:val="007F2AC4"/>
    <w:rsid w:val="007F2ACF"/>
    <w:rsid w:val="007F2B2A"/>
    <w:rsid w:val="007F2B30"/>
    <w:rsid w:val="007F2B85"/>
    <w:rsid w:val="007F2C66"/>
    <w:rsid w:val="007F2D59"/>
    <w:rsid w:val="007F2D7A"/>
    <w:rsid w:val="007F2DC2"/>
    <w:rsid w:val="007F2E39"/>
    <w:rsid w:val="007F30DC"/>
    <w:rsid w:val="007F3134"/>
    <w:rsid w:val="007F3135"/>
    <w:rsid w:val="007F316D"/>
    <w:rsid w:val="007F32A8"/>
    <w:rsid w:val="007F33B6"/>
    <w:rsid w:val="007F33DA"/>
    <w:rsid w:val="007F36BA"/>
    <w:rsid w:val="007F3744"/>
    <w:rsid w:val="007F376E"/>
    <w:rsid w:val="007F37C9"/>
    <w:rsid w:val="007F387C"/>
    <w:rsid w:val="007F38C1"/>
    <w:rsid w:val="007F3963"/>
    <w:rsid w:val="007F3964"/>
    <w:rsid w:val="007F39CF"/>
    <w:rsid w:val="007F3A9C"/>
    <w:rsid w:val="007F3BCB"/>
    <w:rsid w:val="007F3CA4"/>
    <w:rsid w:val="007F3E20"/>
    <w:rsid w:val="007F3F1E"/>
    <w:rsid w:val="007F3FA7"/>
    <w:rsid w:val="007F435E"/>
    <w:rsid w:val="007F44CD"/>
    <w:rsid w:val="007F4653"/>
    <w:rsid w:val="007F4790"/>
    <w:rsid w:val="007F47D9"/>
    <w:rsid w:val="007F481C"/>
    <w:rsid w:val="007F4843"/>
    <w:rsid w:val="007F485E"/>
    <w:rsid w:val="007F48D0"/>
    <w:rsid w:val="007F4AFE"/>
    <w:rsid w:val="007F4B2D"/>
    <w:rsid w:val="007F4B34"/>
    <w:rsid w:val="007F4BB2"/>
    <w:rsid w:val="007F4ED8"/>
    <w:rsid w:val="007F4F03"/>
    <w:rsid w:val="007F4F30"/>
    <w:rsid w:val="007F501E"/>
    <w:rsid w:val="007F5086"/>
    <w:rsid w:val="007F50D4"/>
    <w:rsid w:val="007F50D5"/>
    <w:rsid w:val="007F5170"/>
    <w:rsid w:val="007F528F"/>
    <w:rsid w:val="007F5345"/>
    <w:rsid w:val="007F535D"/>
    <w:rsid w:val="007F5362"/>
    <w:rsid w:val="007F547C"/>
    <w:rsid w:val="007F54E4"/>
    <w:rsid w:val="007F5512"/>
    <w:rsid w:val="007F55E2"/>
    <w:rsid w:val="007F5683"/>
    <w:rsid w:val="007F569F"/>
    <w:rsid w:val="007F578D"/>
    <w:rsid w:val="007F5C16"/>
    <w:rsid w:val="007F5C43"/>
    <w:rsid w:val="007F5C46"/>
    <w:rsid w:val="007F5C4B"/>
    <w:rsid w:val="007F5DBD"/>
    <w:rsid w:val="007F5F7F"/>
    <w:rsid w:val="007F5FA6"/>
    <w:rsid w:val="007F5FB1"/>
    <w:rsid w:val="007F5FFC"/>
    <w:rsid w:val="007F6012"/>
    <w:rsid w:val="007F6055"/>
    <w:rsid w:val="007F607C"/>
    <w:rsid w:val="007F613A"/>
    <w:rsid w:val="007F618C"/>
    <w:rsid w:val="007F619C"/>
    <w:rsid w:val="007F61B8"/>
    <w:rsid w:val="007F61E5"/>
    <w:rsid w:val="007F6200"/>
    <w:rsid w:val="007F6209"/>
    <w:rsid w:val="007F63B2"/>
    <w:rsid w:val="007F6627"/>
    <w:rsid w:val="007F6733"/>
    <w:rsid w:val="007F6AD1"/>
    <w:rsid w:val="007F6AD7"/>
    <w:rsid w:val="007F6C4B"/>
    <w:rsid w:val="007F6C75"/>
    <w:rsid w:val="007F6E38"/>
    <w:rsid w:val="007F6EFE"/>
    <w:rsid w:val="007F6FFF"/>
    <w:rsid w:val="007F7255"/>
    <w:rsid w:val="007F73D5"/>
    <w:rsid w:val="007F76A4"/>
    <w:rsid w:val="007F76B1"/>
    <w:rsid w:val="007F77D5"/>
    <w:rsid w:val="007F788C"/>
    <w:rsid w:val="007F795F"/>
    <w:rsid w:val="007F79CE"/>
    <w:rsid w:val="007F7A76"/>
    <w:rsid w:val="007F7A97"/>
    <w:rsid w:val="007F7B7D"/>
    <w:rsid w:val="007F7C01"/>
    <w:rsid w:val="007F7D3F"/>
    <w:rsid w:val="007F7E6D"/>
    <w:rsid w:val="007F7F12"/>
    <w:rsid w:val="007F7FB8"/>
    <w:rsid w:val="007FA61D"/>
    <w:rsid w:val="008000EA"/>
    <w:rsid w:val="00800176"/>
    <w:rsid w:val="008001AE"/>
    <w:rsid w:val="00800246"/>
    <w:rsid w:val="00800354"/>
    <w:rsid w:val="00800381"/>
    <w:rsid w:val="008003AC"/>
    <w:rsid w:val="008003AD"/>
    <w:rsid w:val="00800415"/>
    <w:rsid w:val="00800505"/>
    <w:rsid w:val="0080051D"/>
    <w:rsid w:val="0080057E"/>
    <w:rsid w:val="008005C3"/>
    <w:rsid w:val="0080065D"/>
    <w:rsid w:val="00800814"/>
    <w:rsid w:val="00800848"/>
    <w:rsid w:val="008008CC"/>
    <w:rsid w:val="00800913"/>
    <w:rsid w:val="0080094C"/>
    <w:rsid w:val="0080096B"/>
    <w:rsid w:val="00800CBB"/>
    <w:rsid w:val="00800D5D"/>
    <w:rsid w:val="00800D92"/>
    <w:rsid w:val="00800E56"/>
    <w:rsid w:val="00800E73"/>
    <w:rsid w:val="00800E8F"/>
    <w:rsid w:val="00800E96"/>
    <w:rsid w:val="00800EF3"/>
    <w:rsid w:val="00800F9E"/>
    <w:rsid w:val="00801081"/>
    <w:rsid w:val="00801141"/>
    <w:rsid w:val="0080118A"/>
    <w:rsid w:val="00801236"/>
    <w:rsid w:val="00801343"/>
    <w:rsid w:val="008014B4"/>
    <w:rsid w:val="00801556"/>
    <w:rsid w:val="00801578"/>
    <w:rsid w:val="00801665"/>
    <w:rsid w:val="00801C68"/>
    <w:rsid w:val="00801C7D"/>
    <w:rsid w:val="00801CCE"/>
    <w:rsid w:val="00801F29"/>
    <w:rsid w:val="00801F68"/>
    <w:rsid w:val="00801F6B"/>
    <w:rsid w:val="00801FAE"/>
    <w:rsid w:val="0080201D"/>
    <w:rsid w:val="008020E6"/>
    <w:rsid w:val="0080232F"/>
    <w:rsid w:val="0080234C"/>
    <w:rsid w:val="00802463"/>
    <w:rsid w:val="0080248D"/>
    <w:rsid w:val="008025C6"/>
    <w:rsid w:val="008028FE"/>
    <w:rsid w:val="008029D3"/>
    <w:rsid w:val="00802AEB"/>
    <w:rsid w:val="00802D59"/>
    <w:rsid w:val="00802D74"/>
    <w:rsid w:val="00803017"/>
    <w:rsid w:val="00803087"/>
    <w:rsid w:val="008030D3"/>
    <w:rsid w:val="008030E4"/>
    <w:rsid w:val="008031B0"/>
    <w:rsid w:val="0080322D"/>
    <w:rsid w:val="0080328B"/>
    <w:rsid w:val="0080330D"/>
    <w:rsid w:val="008035ED"/>
    <w:rsid w:val="008036DD"/>
    <w:rsid w:val="00803720"/>
    <w:rsid w:val="00803887"/>
    <w:rsid w:val="008038CE"/>
    <w:rsid w:val="008038DB"/>
    <w:rsid w:val="00803904"/>
    <w:rsid w:val="00803A66"/>
    <w:rsid w:val="00803D0D"/>
    <w:rsid w:val="00803D46"/>
    <w:rsid w:val="00803DC7"/>
    <w:rsid w:val="00803E21"/>
    <w:rsid w:val="00803EFD"/>
    <w:rsid w:val="00803F31"/>
    <w:rsid w:val="00803FCC"/>
    <w:rsid w:val="0080405D"/>
    <w:rsid w:val="00804187"/>
    <w:rsid w:val="008041CD"/>
    <w:rsid w:val="0080430A"/>
    <w:rsid w:val="00804370"/>
    <w:rsid w:val="008044A5"/>
    <w:rsid w:val="00804504"/>
    <w:rsid w:val="00804579"/>
    <w:rsid w:val="00804596"/>
    <w:rsid w:val="008046C6"/>
    <w:rsid w:val="00804981"/>
    <w:rsid w:val="00804A8F"/>
    <w:rsid w:val="00804B34"/>
    <w:rsid w:val="00804C68"/>
    <w:rsid w:val="00804CA6"/>
    <w:rsid w:val="00804CB8"/>
    <w:rsid w:val="00804F16"/>
    <w:rsid w:val="00804FB9"/>
    <w:rsid w:val="00805022"/>
    <w:rsid w:val="0080506E"/>
    <w:rsid w:val="0080510B"/>
    <w:rsid w:val="008051CB"/>
    <w:rsid w:val="0080525A"/>
    <w:rsid w:val="0080537B"/>
    <w:rsid w:val="00805420"/>
    <w:rsid w:val="00805540"/>
    <w:rsid w:val="00805608"/>
    <w:rsid w:val="008056DD"/>
    <w:rsid w:val="008057FB"/>
    <w:rsid w:val="008058CB"/>
    <w:rsid w:val="008059AE"/>
    <w:rsid w:val="00805A7B"/>
    <w:rsid w:val="00805A94"/>
    <w:rsid w:val="00805B86"/>
    <w:rsid w:val="00805BF3"/>
    <w:rsid w:val="00805C14"/>
    <w:rsid w:val="00805CEF"/>
    <w:rsid w:val="00805D61"/>
    <w:rsid w:val="00805E1B"/>
    <w:rsid w:val="00805E39"/>
    <w:rsid w:val="00805ED1"/>
    <w:rsid w:val="00805EE0"/>
    <w:rsid w:val="00805F2B"/>
    <w:rsid w:val="008060E1"/>
    <w:rsid w:val="008061C0"/>
    <w:rsid w:val="008062E2"/>
    <w:rsid w:val="0080632A"/>
    <w:rsid w:val="00806429"/>
    <w:rsid w:val="0080645A"/>
    <w:rsid w:val="0080668F"/>
    <w:rsid w:val="008066BD"/>
    <w:rsid w:val="00806708"/>
    <w:rsid w:val="0080671E"/>
    <w:rsid w:val="008067A0"/>
    <w:rsid w:val="008067F0"/>
    <w:rsid w:val="008068D2"/>
    <w:rsid w:val="00806967"/>
    <w:rsid w:val="0080697B"/>
    <w:rsid w:val="00806B57"/>
    <w:rsid w:val="00806B97"/>
    <w:rsid w:val="00806BE3"/>
    <w:rsid w:val="00806BF8"/>
    <w:rsid w:val="00806C05"/>
    <w:rsid w:val="00806C16"/>
    <w:rsid w:val="00806C94"/>
    <w:rsid w:val="00806CF2"/>
    <w:rsid w:val="00806E12"/>
    <w:rsid w:val="00806ED2"/>
    <w:rsid w:val="00806F2A"/>
    <w:rsid w:val="00807065"/>
    <w:rsid w:val="008070F0"/>
    <w:rsid w:val="0080710D"/>
    <w:rsid w:val="00807382"/>
    <w:rsid w:val="008073B2"/>
    <w:rsid w:val="00807441"/>
    <w:rsid w:val="008074A0"/>
    <w:rsid w:val="008074B4"/>
    <w:rsid w:val="008074B5"/>
    <w:rsid w:val="008074E1"/>
    <w:rsid w:val="008075E5"/>
    <w:rsid w:val="00807636"/>
    <w:rsid w:val="008078DA"/>
    <w:rsid w:val="00807929"/>
    <w:rsid w:val="00807990"/>
    <w:rsid w:val="00807A82"/>
    <w:rsid w:val="00807ACF"/>
    <w:rsid w:val="00807B15"/>
    <w:rsid w:val="00807B2F"/>
    <w:rsid w:val="00807C13"/>
    <w:rsid w:val="00807D36"/>
    <w:rsid w:val="00807D98"/>
    <w:rsid w:val="00807E6D"/>
    <w:rsid w:val="0080D2E7"/>
    <w:rsid w:val="0081007B"/>
    <w:rsid w:val="00810193"/>
    <w:rsid w:val="0081028E"/>
    <w:rsid w:val="008103A0"/>
    <w:rsid w:val="008103B6"/>
    <w:rsid w:val="008103C6"/>
    <w:rsid w:val="0081049C"/>
    <w:rsid w:val="008104D6"/>
    <w:rsid w:val="008104F0"/>
    <w:rsid w:val="008105A4"/>
    <w:rsid w:val="00810639"/>
    <w:rsid w:val="008107EF"/>
    <w:rsid w:val="00810970"/>
    <w:rsid w:val="00810A9A"/>
    <w:rsid w:val="00810BBA"/>
    <w:rsid w:val="00810BE7"/>
    <w:rsid w:val="00810C81"/>
    <w:rsid w:val="00810D5A"/>
    <w:rsid w:val="00810D98"/>
    <w:rsid w:val="00810DEC"/>
    <w:rsid w:val="00810E03"/>
    <w:rsid w:val="00810E67"/>
    <w:rsid w:val="00810E93"/>
    <w:rsid w:val="00810F4D"/>
    <w:rsid w:val="00810F8C"/>
    <w:rsid w:val="0081104A"/>
    <w:rsid w:val="008110A6"/>
    <w:rsid w:val="00811258"/>
    <w:rsid w:val="00811308"/>
    <w:rsid w:val="00811443"/>
    <w:rsid w:val="008114D2"/>
    <w:rsid w:val="008116D8"/>
    <w:rsid w:val="008116DB"/>
    <w:rsid w:val="00811879"/>
    <w:rsid w:val="00811951"/>
    <w:rsid w:val="00811964"/>
    <w:rsid w:val="008119A5"/>
    <w:rsid w:val="00811C7A"/>
    <w:rsid w:val="00811C7E"/>
    <w:rsid w:val="00811CB2"/>
    <w:rsid w:val="00811DC9"/>
    <w:rsid w:val="00811E5B"/>
    <w:rsid w:val="00811E71"/>
    <w:rsid w:val="00811E80"/>
    <w:rsid w:val="00811F29"/>
    <w:rsid w:val="00811F9B"/>
    <w:rsid w:val="008120CB"/>
    <w:rsid w:val="008120DE"/>
    <w:rsid w:val="008121CF"/>
    <w:rsid w:val="008122B3"/>
    <w:rsid w:val="00812301"/>
    <w:rsid w:val="00812546"/>
    <w:rsid w:val="0081257D"/>
    <w:rsid w:val="008125AF"/>
    <w:rsid w:val="00812697"/>
    <w:rsid w:val="00812727"/>
    <w:rsid w:val="00812827"/>
    <w:rsid w:val="00812857"/>
    <w:rsid w:val="0081291E"/>
    <w:rsid w:val="008129CD"/>
    <w:rsid w:val="00812A21"/>
    <w:rsid w:val="00812A2A"/>
    <w:rsid w:val="00812A52"/>
    <w:rsid w:val="00812B1E"/>
    <w:rsid w:val="00812C62"/>
    <w:rsid w:val="00812CC7"/>
    <w:rsid w:val="00812D7A"/>
    <w:rsid w:val="00812D7D"/>
    <w:rsid w:val="00812D7F"/>
    <w:rsid w:val="00812E43"/>
    <w:rsid w:val="00812E6A"/>
    <w:rsid w:val="00812FA0"/>
    <w:rsid w:val="00812FCE"/>
    <w:rsid w:val="00813043"/>
    <w:rsid w:val="008130F6"/>
    <w:rsid w:val="00813102"/>
    <w:rsid w:val="00813115"/>
    <w:rsid w:val="00813274"/>
    <w:rsid w:val="008132E9"/>
    <w:rsid w:val="0081330D"/>
    <w:rsid w:val="008133EF"/>
    <w:rsid w:val="00813427"/>
    <w:rsid w:val="00813473"/>
    <w:rsid w:val="00813482"/>
    <w:rsid w:val="008135CA"/>
    <w:rsid w:val="0081372D"/>
    <w:rsid w:val="0081382D"/>
    <w:rsid w:val="008138E1"/>
    <w:rsid w:val="008139CB"/>
    <w:rsid w:val="00813A8A"/>
    <w:rsid w:val="00813AE8"/>
    <w:rsid w:val="00813FB8"/>
    <w:rsid w:val="00814107"/>
    <w:rsid w:val="00814159"/>
    <w:rsid w:val="0081415E"/>
    <w:rsid w:val="00814234"/>
    <w:rsid w:val="0081423C"/>
    <w:rsid w:val="00814262"/>
    <w:rsid w:val="0081432C"/>
    <w:rsid w:val="00814402"/>
    <w:rsid w:val="00814523"/>
    <w:rsid w:val="00814548"/>
    <w:rsid w:val="008145E6"/>
    <w:rsid w:val="0081473C"/>
    <w:rsid w:val="00814767"/>
    <w:rsid w:val="0081492E"/>
    <w:rsid w:val="00814AB7"/>
    <w:rsid w:val="00814ACB"/>
    <w:rsid w:val="00814AD9"/>
    <w:rsid w:val="00814BDB"/>
    <w:rsid w:val="00814C33"/>
    <w:rsid w:val="00814CD0"/>
    <w:rsid w:val="00814D08"/>
    <w:rsid w:val="00814D4E"/>
    <w:rsid w:val="00814F21"/>
    <w:rsid w:val="00814F48"/>
    <w:rsid w:val="00814F5B"/>
    <w:rsid w:val="0081502D"/>
    <w:rsid w:val="0081509E"/>
    <w:rsid w:val="00815270"/>
    <w:rsid w:val="00815287"/>
    <w:rsid w:val="008152C0"/>
    <w:rsid w:val="00815320"/>
    <w:rsid w:val="0081532A"/>
    <w:rsid w:val="00815430"/>
    <w:rsid w:val="00815435"/>
    <w:rsid w:val="008154C2"/>
    <w:rsid w:val="0081558E"/>
    <w:rsid w:val="0081564D"/>
    <w:rsid w:val="008157E1"/>
    <w:rsid w:val="0081581C"/>
    <w:rsid w:val="008158D5"/>
    <w:rsid w:val="00815A5F"/>
    <w:rsid w:val="00815A7B"/>
    <w:rsid w:val="00815AEF"/>
    <w:rsid w:val="00815B7B"/>
    <w:rsid w:val="00815D90"/>
    <w:rsid w:val="00815DD1"/>
    <w:rsid w:val="00815E6C"/>
    <w:rsid w:val="00815F92"/>
    <w:rsid w:val="00816096"/>
    <w:rsid w:val="008160D0"/>
    <w:rsid w:val="0081617D"/>
    <w:rsid w:val="00816182"/>
    <w:rsid w:val="0081641F"/>
    <w:rsid w:val="0081647D"/>
    <w:rsid w:val="00816570"/>
    <w:rsid w:val="0081674B"/>
    <w:rsid w:val="0081683C"/>
    <w:rsid w:val="00816840"/>
    <w:rsid w:val="0081684E"/>
    <w:rsid w:val="00816865"/>
    <w:rsid w:val="008168D1"/>
    <w:rsid w:val="008168EE"/>
    <w:rsid w:val="0081695F"/>
    <w:rsid w:val="008169DB"/>
    <w:rsid w:val="00816A34"/>
    <w:rsid w:val="00816B39"/>
    <w:rsid w:val="00816E94"/>
    <w:rsid w:val="00816F53"/>
    <w:rsid w:val="00816FEF"/>
    <w:rsid w:val="00817120"/>
    <w:rsid w:val="0081714E"/>
    <w:rsid w:val="0081719F"/>
    <w:rsid w:val="00817203"/>
    <w:rsid w:val="00817330"/>
    <w:rsid w:val="00817378"/>
    <w:rsid w:val="008173F2"/>
    <w:rsid w:val="00817438"/>
    <w:rsid w:val="0081751E"/>
    <w:rsid w:val="0081754D"/>
    <w:rsid w:val="00817573"/>
    <w:rsid w:val="008177A8"/>
    <w:rsid w:val="0081780D"/>
    <w:rsid w:val="008179AA"/>
    <w:rsid w:val="008179E6"/>
    <w:rsid w:val="00817A88"/>
    <w:rsid w:val="00817B23"/>
    <w:rsid w:val="00817B4F"/>
    <w:rsid w:val="00817E05"/>
    <w:rsid w:val="00817E12"/>
    <w:rsid w:val="00817E5E"/>
    <w:rsid w:val="00817EA8"/>
    <w:rsid w:val="00817F00"/>
    <w:rsid w:val="00817F13"/>
    <w:rsid w:val="00817F5E"/>
    <w:rsid w:val="00820071"/>
    <w:rsid w:val="008200D7"/>
    <w:rsid w:val="0082018D"/>
    <w:rsid w:val="008201A2"/>
    <w:rsid w:val="00820264"/>
    <w:rsid w:val="00820289"/>
    <w:rsid w:val="008202BA"/>
    <w:rsid w:val="00820386"/>
    <w:rsid w:val="0082047D"/>
    <w:rsid w:val="0082049B"/>
    <w:rsid w:val="008204B4"/>
    <w:rsid w:val="008206C5"/>
    <w:rsid w:val="00820753"/>
    <w:rsid w:val="00820803"/>
    <w:rsid w:val="00820866"/>
    <w:rsid w:val="00820A10"/>
    <w:rsid w:val="00820AFE"/>
    <w:rsid w:val="00820B53"/>
    <w:rsid w:val="00821120"/>
    <w:rsid w:val="008212FF"/>
    <w:rsid w:val="0082132F"/>
    <w:rsid w:val="008213DC"/>
    <w:rsid w:val="00821410"/>
    <w:rsid w:val="0082142B"/>
    <w:rsid w:val="008215B8"/>
    <w:rsid w:val="00821872"/>
    <w:rsid w:val="008218CE"/>
    <w:rsid w:val="0082199C"/>
    <w:rsid w:val="008219C9"/>
    <w:rsid w:val="00821C73"/>
    <w:rsid w:val="00821C86"/>
    <w:rsid w:val="00821D1E"/>
    <w:rsid w:val="00821D5E"/>
    <w:rsid w:val="00821DD2"/>
    <w:rsid w:val="00821FCB"/>
    <w:rsid w:val="00822040"/>
    <w:rsid w:val="00822099"/>
    <w:rsid w:val="0082215A"/>
    <w:rsid w:val="00822222"/>
    <w:rsid w:val="008223B1"/>
    <w:rsid w:val="00822411"/>
    <w:rsid w:val="008225BC"/>
    <w:rsid w:val="0082260A"/>
    <w:rsid w:val="00822631"/>
    <w:rsid w:val="00822654"/>
    <w:rsid w:val="00822778"/>
    <w:rsid w:val="008228DE"/>
    <w:rsid w:val="008229C3"/>
    <w:rsid w:val="00822B7C"/>
    <w:rsid w:val="00822BA2"/>
    <w:rsid w:val="00822BF5"/>
    <w:rsid w:val="00822C3B"/>
    <w:rsid w:val="00822D28"/>
    <w:rsid w:val="00822D98"/>
    <w:rsid w:val="00822E52"/>
    <w:rsid w:val="00822E7B"/>
    <w:rsid w:val="00822EBC"/>
    <w:rsid w:val="008231FC"/>
    <w:rsid w:val="00823297"/>
    <w:rsid w:val="008234A1"/>
    <w:rsid w:val="00823559"/>
    <w:rsid w:val="008235B4"/>
    <w:rsid w:val="00823639"/>
    <w:rsid w:val="008236DD"/>
    <w:rsid w:val="0082389A"/>
    <w:rsid w:val="00823960"/>
    <w:rsid w:val="00823A6E"/>
    <w:rsid w:val="00823A74"/>
    <w:rsid w:val="00823B18"/>
    <w:rsid w:val="00823B7A"/>
    <w:rsid w:val="00823D1A"/>
    <w:rsid w:val="00823DB5"/>
    <w:rsid w:val="00823E72"/>
    <w:rsid w:val="00823EAA"/>
    <w:rsid w:val="00823F4C"/>
    <w:rsid w:val="00823FA1"/>
    <w:rsid w:val="00823FDF"/>
    <w:rsid w:val="008240B7"/>
    <w:rsid w:val="00824154"/>
    <w:rsid w:val="0082425F"/>
    <w:rsid w:val="00824288"/>
    <w:rsid w:val="0082428D"/>
    <w:rsid w:val="008242F5"/>
    <w:rsid w:val="0082431D"/>
    <w:rsid w:val="0082438C"/>
    <w:rsid w:val="0082455C"/>
    <w:rsid w:val="008245B1"/>
    <w:rsid w:val="008248A0"/>
    <w:rsid w:val="008248A5"/>
    <w:rsid w:val="008248AF"/>
    <w:rsid w:val="008248E4"/>
    <w:rsid w:val="008249BE"/>
    <w:rsid w:val="00824B87"/>
    <w:rsid w:val="00824C43"/>
    <w:rsid w:val="00824DDF"/>
    <w:rsid w:val="00824E19"/>
    <w:rsid w:val="008251DA"/>
    <w:rsid w:val="0082520F"/>
    <w:rsid w:val="0082527D"/>
    <w:rsid w:val="008252C1"/>
    <w:rsid w:val="00825306"/>
    <w:rsid w:val="00825321"/>
    <w:rsid w:val="00825494"/>
    <w:rsid w:val="008256C9"/>
    <w:rsid w:val="00825702"/>
    <w:rsid w:val="008257A9"/>
    <w:rsid w:val="00825809"/>
    <w:rsid w:val="00825910"/>
    <w:rsid w:val="00825995"/>
    <w:rsid w:val="00825A3E"/>
    <w:rsid w:val="00825A9B"/>
    <w:rsid w:val="00825B23"/>
    <w:rsid w:val="00825B27"/>
    <w:rsid w:val="00825C6F"/>
    <w:rsid w:val="00825C86"/>
    <w:rsid w:val="00825CBA"/>
    <w:rsid w:val="00825DA0"/>
    <w:rsid w:val="00825DBE"/>
    <w:rsid w:val="00825DC1"/>
    <w:rsid w:val="00825E1F"/>
    <w:rsid w:val="00825E26"/>
    <w:rsid w:val="00825E76"/>
    <w:rsid w:val="00825E8C"/>
    <w:rsid w:val="00825F04"/>
    <w:rsid w:val="00825F10"/>
    <w:rsid w:val="00825F39"/>
    <w:rsid w:val="00825F3C"/>
    <w:rsid w:val="00825F58"/>
    <w:rsid w:val="008260A6"/>
    <w:rsid w:val="008260E1"/>
    <w:rsid w:val="008260FF"/>
    <w:rsid w:val="00826115"/>
    <w:rsid w:val="0082618E"/>
    <w:rsid w:val="008261D2"/>
    <w:rsid w:val="008262DE"/>
    <w:rsid w:val="008262EF"/>
    <w:rsid w:val="00826301"/>
    <w:rsid w:val="00826393"/>
    <w:rsid w:val="00826394"/>
    <w:rsid w:val="008263E0"/>
    <w:rsid w:val="00826420"/>
    <w:rsid w:val="0082644E"/>
    <w:rsid w:val="0082644F"/>
    <w:rsid w:val="00826452"/>
    <w:rsid w:val="00826542"/>
    <w:rsid w:val="00826563"/>
    <w:rsid w:val="00826766"/>
    <w:rsid w:val="00826855"/>
    <w:rsid w:val="008268D5"/>
    <w:rsid w:val="00826B0E"/>
    <w:rsid w:val="00826BDC"/>
    <w:rsid w:val="00826C40"/>
    <w:rsid w:val="00826D56"/>
    <w:rsid w:val="00826D70"/>
    <w:rsid w:val="00826DCC"/>
    <w:rsid w:val="00826DE9"/>
    <w:rsid w:val="00826E4A"/>
    <w:rsid w:val="00826E94"/>
    <w:rsid w:val="00826EA3"/>
    <w:rsid w:val="00826EF4"/>
    <w:rsid w:val="00826FA0"/>
    <w:rsid w:val="008270C6"/>
    <w:rsid w:val="0082715A"/>
    <w:rsid w:val="008271FC"/>
    <w:rsid w:val="008273D4"/>
    <w:rsid w:val="0082741D"/>
    <w:rsid w:val="0082741F"/>
    <w:rsid w:val="0082748A"/>
    <w:rsid w:val="00827498"/>
    <w:rsid w:val="008274AF"/>
    <w:rsid w:val="00827678"/>
    <w:rsid w:val="00827703"/>
    <w:rsid w:val="008277E1"/>
    <w:rsid w:val="008278DB"/>
    <w:rsid w:val="00827A98"/>
    <w:rsid w:val="00827AEA"/>
    <w:rsid w:val="00827C18"/>
    <w:rsid w:val="00827DBE"/>
    <w:rsid w:val="00827E56"/>
    <w:rsid w:val="00827E64"/>
    <w:rsid w:val="00827ECB"/>
    <w:rsid w:val="00827F6C"/>
    <w:rsid w:val="00827FED"/>
    <w:rsid w:val="0083003A"/>
    <w:rsid w:val="00830129"/>
    <w:rsid w:val="00830255"/>
    <w:rsid w:val="00830258"/>
    <w:rsid w:val="008303AC"/>
    <w:rsid w:val="008303BB"/>
    <w:rsid w:val="0083045B"/>
    <w:rsid w:val="00830471"/>
    <w:rsid w:val="00830547"/>
    <w:rsid w:val="008306EA"/>
    <w:rsid w:val="008307FD"/>
    <w:rsid w:val="00830843"/>
    <w:rsid w:val="00830892"/>
    <w:rsid w:val="008308ED"/>
    <w:rsid w:val="00830940"/>
    <w:rsid w:val="00830A3C"/>
    <w:rsid w:val="00830B46"/>
    <w:rsid w:val="00830BAA"/>
    <w:rsid w:val="00830BB3"/>
    <w:rsid w:val="00830BE7"/>
    <w:rsid w:val="00830C82"/>
    <w:rsid w:val="00830D96"/>
    <w:rsid w:val="00830DC2"/>
    <w:rsid w:val="00830E3B"/>
    <w:rsid w:val="00830FCE"/>
    <w:rsid w:val="00831083"/>
    <w:rsid w:val="0083110F"/>
    <w:rsid w:val="00831212"/>
    <w:rsid w:val="00831240"/>
    <w:rsid w:val="0083132A"/>
    <w:rsid w:val="008313CA"/>
    <w:rsid w:val="008313E6"/>
    <w:rsid w:val="00831494"/>
    <w:rsid w:val="00831671"/>
    <w:rsid w:val="008316FD"/>
    <w:rsid w:val="00831722"/>
    <w:rsid w:val="008317F7"/>
    <w:rsid w:val="008318D7"/>
    <w:rsid w:val="0083196D"/>
    <w:rsid w:val="0083198E"/>
    <w:rsid w:val="00831B66"/>
    <w:rsid w:val="00831BD9"/>
    <w:rsid w:val="00831C09"/>
    <w:rsid w:val="00831C89"/>
    <w:rsid w:val="00831D08"/>
    <w:rsid w:val="00831E21"/>
    <w:rsid w:val="00831F9F"/>
    <w:rsid w:val="0083201F"/>
    <w:rsid w:val="00832022"/>
    <w:rsid w:val="008323A6"/>
    <w:rsid w:val="008323DC"/>
    <w:rsid w:val="008323F4"/>
    <w:rsid w:val="00832514"/>
    <w:rsid w:val="00832560"/>
    <w:rsid w:val="008326A1"/>
    <w:rsid w:val="00832759"/>
    <w:rsid w:val="00832779"/>
    <w:rsid w:val="008327D1"/>
    <w:rsid w:val="0083288E"/>
    <w:rsid w:val="00832A89"/>
    <w:rsid w:val="00832B10"/>
    <w:rsid w:val="00832B7C"/>
    <w:rsid w:val="00832B86"/>
    <w:rsid w:val="00832B8F"/>
    <w:rsid w:val="00832BFB"/>
    <w:rsid w:val="00832C1C"/>
    <w:rsid w:val="00832CF9"/>
    <w:rsid w:val="00832E83"/>
    <w:rsid w:val="00832FB6"/>
    <w:rsid w:val="00832FD8"/>
    <w:rsid w:val="008330A3"/>
    <w:rsid w:val="008332FF"/>
    <w:rsid w:val="0083334C"/>
    <w:rsid w:val="0083334D"/>
    <w:rsid w:val="0083347C"/>
    <w:rsid w:val="008334A5"/>
    <w:rsid w:val="0083359F"/>
    <w:rsid w:val="008335F3"/>
    <w:rsid w:val="00833745"/>
    <w:rsid w:val="00833794"/>
    <w:rsid w:val="008338A7"/>
    <w:rsid w:val="008338AE"/>
    <w:rsid w:val="00833945"/>
    <w:rsid w:val="00833986"/>
    <w:rsid w:val="008339AF"/>
    <w:rsid w:val="00833A1A"/>
    <w:rsid w:val="00833A2A"/>
    <w:rsid w:val="00833A87"/>
    <w:rsid w:val="00833AE3"/>
    <w:rsid w:val="00833AF8"/>
    <w:rsid w:val="00833B15"/>
    <w:rsid w:val="00833B42"/>
    <w:rsid w:val="00833B6A"/>
    <w:rsid w:val="00833C1D"/>
    <w:rsid w:val="00833C83"/>
    <w:rsid w:val="00833CFF"/>
    <w:rsid w:val="00833E6A"/>
    <w:rsid w:val="00833F25"/>
    <w:rsid w:val="00833F4C"/>
    <w:rsid w:val="00834062"/>
    <w:rsid w:val="0083414D"/>
    <w:rsid w:val="0083421D"/>
    <w:rsid w:val="00834344"/>
    <w:rsid w:val="0083438D"/>
    <w:rsid w:val="0083439C"/>
    <w:rsid w:val="008344D7"/>
    <w:rsid w:val="00834561"/>
    <w:rsid w:val="008345FF"/>
    <w:rsid w:val="0083460E"/>
    <w:rsid w:val="0083466B"/>
    <w:rsid w:val="008346CC"/>
    <w:rsid w:val="008347E6"/>
    <w:rsid w:val="008349AB"/>
    <w:rsid w:val="008349B9"/>
    <w:rsid w:val="00834A27"/>
    <w:rsid w:val="00834AA1"/>
    <w:rsid w:val="00834B6A"/>
    <w:rsid w:val="00834B82"/>
    <w:rsid w:val="00834BE0"/>
    <w:rsid w:val="00834C4A"/>
    <w:rsid w:val="00834D17"/>
    <w:rsid w:val="00834D92"/>
    <w:rsid w:val="00834DC8"/>
    <w:rsid w:val="00834E9A"/>
    <w:rsid w:val="00834EBF"/>
    <w:rsid w:val="00834F2C"/>
    <w:rsid w:val="00834FE2"/>
    <w:rsid w:val="00835052"/>
    <w:rsid w:val="008351B5"/>
    <w:rsid w:val="0083526B"/>
    <w:rsid w:val="0083529B"/>
    <w:rsid w:val="008352B5"/>
    <w:rsid w:val="00835355"/>
    <w:rsid w:val="00835399"/>
    <w:rsid w:val="00835789"/>
    <w:rsid w:val="00835833"/>
    <w:rsid w:val="008358D5"/>
    <w:rsid w:val="00835912"/>
    <w:rsid w:val="00835B66"/>
    <w:rsid w:val="00835CB9"/>
    <w:rsid w:val="00835D02"/>
    <w:rsid w:val="00835D58"/>
    <w:rsid w:val="00835D82"/>
    <w:rsid w:val="00835DCE"/>
    <w:rsid w:val="00835FE1"/>
    <w:rsid w:val="00835FEC"/>
    <w:rsid w:val="00835FF4"/>
    <w:rsid w:val="00836110"/>
    <w:rsid w:val="00836300"/>
    <w:rsid w:val="008363F0"/>
    <w:rsid w:val="00836410"/>
    <w:rsid w:val="008364B6"/>
    <w:rsid w:val="008364BB"/>
    <w:rsid w:val="008365CC"/>
    <w:rsid w:val="0083664F"/>
    <w:rsid w:val="008366E7"/>
    <w:rsid w:val="00836719"/>
    <w:rsid w:val="008369B3"/>
    <w:rsid w:val="00836A1F"/>
    <w:rsid w:val="00836A5A"/>
    <w:rsid w:val="00836A79"/>
    <w:rsid w:val="00836A7E"/>
    <w:rsid w:val="00836B22"/>
    <w:rsid w:val="00836B5E"/>
    <w:rsid w:val="00836BBE"/>
    <w:rsid w:val="00836C71"/>
    <w:rsid w:val="00836C94"/>
    <w:rsid w:val="00836D12"/>
    <w:rsid w:val="00836D17"/>
    <w:rsid w:val="00836E9F"/>
    <w:rsid w:val="00836F12"/>
    <w:rsid w:val="00836F58"/>
    <w:rsid w:val="00837031"/>
    <w:rsid w:val="008371FE"/>
    <w:rsid w:val="00837206"/>
    <w:rsid w:val="0083724B"/>
    <w:rsid w:val="0083727E"/>
    <w:rsid w:val="008372FB"/>
    <w:rsid w:val="008373E0"/>
    <w:rsid w:val="0083760B"/>
    <w:rsid w:val="008376DF"/>
    <w:rsid w:val="00837822"/>
    <w:rsid w:val="00837958"/>
    <w:rsid w:val="0083797C"/>
    <w:rsid w:val="00837A72"/>
    <w:rsid w:val="00837B4E"/>
    <w:rsid w:val="00837B9D"/>
    <w:rsid w:val="00837D80"/>
    <w:rsid w:val="00837EEA"/>
    <w:rsid w:val="00840100"/>
    <w:rsid w:val="0084019E"/>
    <w:rsid w:val="008401A8"/>
    <w:rsid w:val="008401BC"/>
    <w:rsid w:val="008402A6"/>
    <w:rsid w:val="00840307"/>
    <w:rsid w:val="0084044D"/>
    <w:rsid w:val="008407D0"/>
    <w:rsid w:val="008407DC"/>
    <w:rsid w:val="0084082F"/>
    <w:rsid w:val="0084085E"/>
    <w:rsid w:val="00840AD9"/>
    <w:rsid w:val="00840B37"/>
    <w:rsid w:val="00840C20"/>
    <w:rsid w:val="00840CC2"/>
    <w:rsid w:val="00840D82"/>
    <w:rsid w:val="00840DBC"/>
    <w:rsid w:val="00840DC5"/>
    <w:rsid w:val="00840E66"/>
    <w:rsid w:val="00840E95"/>
    <w:rsid w:val="00840EE1"/>
    <w:rsid w:val="00840F34"/>
    <w:rsid w:val="00840F3C"/>
    <w:rsid w:val="00840F70"/>
    <w:rsid w:val="00840FBD"/>
    <w:rsid w:val="00841171"/>
    <w:rsid w:val="0084117E"/>
    <w:rsid w:val="0084132F"/>
    <w:rsid w:val="0084136A"/>
    <w:rsid w:val="0084144B"/>
    <w:rsid w:val="00841601"/>
    <w:rsid w:val="008416A0"/>
    <w:rsid w:val="00841896"/>
    <w:rsid w:val="00841915"/>
    <w:rsid w:val="00841AB5"/>
    <w:rsid w:val="00841AF7"/>
    <w:rsid w:val="00841C84"/>
    <w:rsid w:val="00841C91"/>
    <w:rsid w:val="00841D4C"/>
    <w:rsid w:val="00841E74"/>
    <w:rsid w:val="00841EC6"/>
    <w:rsid w:val="00841F0F"/>
    <w:rsid w:val="00841F66"/>
    <w:rsid w:val="00842012"/>
    <w:rsid w:val="00842023"/>
    <w:rsid w:val="0084212A"/>
    <w:rsid w:val="0084214B"/>
    <w:rsid w:val="00842312"/>
    <w:rsid w:val="008423AA"/>
    <w:rsid w:val="00842422"/>
    <w:rsid w:val="008424FE"/>
    <w:rsid w:val="00842571"/>
    <w:rsid w:val="00842751"/>
    <w:rsid w:val="00842884"/>
    <w:rsid w:val="0084294D"/>
    <w:rsid w:val="00842A05"/>
    <w:rsid w:val="00842AC0"/>
    <w:rsid w:val="00842AC4"/>
    <w:rsid w:val="00842C18"/>
    <w:rsid w:val="00842C54"/>
    <w:rsid w:val="00842CFF"/>
    <w:rsid w:val="00842E54"/>
    <w:rsid w:val="00842E6F"/>
    <w:rsid w:val="00842EFE"/>
    <w:rsid w:val="00842F31"/>
    <w:rsid w:val="00842FC0"/>
    <w:rsid w:val="00843012"/>
    <w:rsid w:val="00843033"/>
    <w:rsid w:val="0084322B"/>
    <w:rsid w:val="00843358"/>
    <w:rsid w:val="0084343C"/>
    <w:rsid w:val="008434C2"/>
    <w:rsid w:val="008436AD"/>
    <w:rsid w:val="008436C5"/>
    <w:rsid w:val="00843723"/>
    <w:rsid w:val="00843970"/>
    <w:rsid w:val="00843BF9"/>
    <w:rsid w:val="00843C83"/>
    <w:rsid w:val="00843CFC"/>
    <w:rsid w:val="00843EC5"/>
    <w:rsid w:val="00843F01"/>
    <w:rsid w:val="00843F0C"/>
    <w:rsid w:val="00843F20"/>
    <w:rsid w:val="00843FA7"/>
    <w:rsid w:val="008440FA"/>
    <w:rsid w:val="0084413C"/>
    <w:rsid w:val="0084418E"/>
    <w:rsid w:val="008441E0"/>
    <w:rsid w:val="00844286"/>
    <w:rsid w:val="008443DD"/>
    <w:rsid w:val="0084450B"/>
    <w:rsid w:val="008448BA"/>
    <w:rsid w:val="008449BA"/>
    <w:rsid w:val="008449E4"/>
    <w:rsid w:val="00844AB7"/>
    <w:rsid w:val="00844ACC"/>
    <w:rsid w:val="00844DAF"/>
    <w:rsid w:val="00844DF1"/>
    <w:rsid w:val="00844EC5"/>
    <w:rsid w:val="00844F7C"/>
    <w:rsid w:val="00845043"/>
    <w:rsid w:val="008451C3"/>
    <w:rsid w:val="00845327"/>
    <w:rsid w:val="00845358"/>
    <w:rsid w:val="008453C6"/>
    <w:rsid w:val="00845425"/>
    <w:rsid w:val="0084551C"/>
    <w:rsid w:val="0084561A"/>
    <w:rsid w:val="008456A1"/>
    <w:rsid w:val="008458EF"/>
    <w:rsid w:val="0084598B"/>
    <w:rsid w:val="00845CB6"/>
    <w:rsid w:val="00845D2F"/>
    <w:rsid w:val="00845E83"/>
    <w:rsid w:val="00845E8A"/>
    <w:rsid w:val="00845FC8"/>
    <w:rsid w:val="0084604D"/>
    <w:rsid w:val="00846069"/>
    <w:rsid w:val="008460A6"/>
    <w:rsid w:val="008460E7"/>
    <w:rsid w:val="00846180"/>
    <w:rsid w:val="00846290"/>
    <w:rsid w:val="00846311"/>
    <w:rsid w:val="0084632B"/>
    <w:rsid w:val="008463DC"/>
    <w:rsid w:val="0084647B"/>
    <w:rsid w:val="0084654F"/>
    <w:rsid w:val="00846609"/>
    <w:rsid w:val="00846628"/>
    <w:rsid w:val="00846805"/>
    <w:rsid w:val="0084684F"/>
    <w:rsid w:val="00846A6B"/>
    <w:rsid w:val="00846ACA"/>
    <w:rsid w:val="00846B2D"/>
    <w:rsid w:val="00846D2F"/>
    <w:rsid w:val="00846F24"/>
    <w:rsid w:val="00847045"/>
    <w:rsid w:val="00847151"/>
    <w:rsid w:val="00847207"/>
    <w:rsid w:val="00847260"/>
    <w:rsid w:val="00847308"/>
    <w:rsid w:val="00847390"/>
    <w:rsid w:val="00847436"/>
    <w:rsid w:val="0084747A"/>
    <w:rsid w:val="008474C0"/>
    <w:rsid w:val="00847561"/>
    <w:rsid w:val="00847938"/>
    <w:rsid w:val="008479C9"/>
    <w:rsid w:val="008479CF"/>
    <w:rsid w:val="00847A05"/>
    <w:rsid w:val="00847A2F"/>
    <w:rsid w:val="00847ACB"/>
    <w:rsid w:val="00847BE9"/>
    <w:rsid w:val="00847C09"/>
    <w:rsid w:val="00847D21"/>
    <w:rsid w:val="00847DD8"/>
    <w:rsid w:val="00847E30"/>
    <w:rsid w:val="00847EB9"/>
    <w:rsid w:val="00847FA9"/>
    <w:rsid w:val="0085001F"/>
    <w:rsid w:val="008501C9"/>
    <w:rsid w:val="00850207"/>
    <w:rsid w:val="008503C5"/>
    <w:rsid w:val="008503CE"/>
    <w:rsid w:val="00850419"/>
    <w:rsid w:val="00850433"/>
    <w:rsid w:val="008504CB"/>
    <w:rsid w:val="0085051E"/>
    <w:rsid w:val="00850605"/>
    <w:rsid w:val="0085077B"/>
    <w:rsid w:val="00850B7C"/>
    <w:rsid w:val="00850DB5"/>
    <w:rsid w:val="00850E14"/>
    <w:rsid w:val="00850E4C"/>
    <w:rsid w:val="00850E70"/>
    <w:rsid w:val="00850EF0"/>
    <w:rsid w:val="00851031"/>
    <w:rsid w:val="008510A8"/>
    <w:rsid w:val="00851171"/>
    <w:rsid w:val="0085123E"/>
    <w:rsid w:val="00851260"/>
    <w:rsid w:val="008512BB"/>
    <w:rsid w:val="0085139D"/>
    <w:rsid w:val="00851409"/>
    <w:rsid w:val="008516CF"/>
    <w:rsid w:val="00851794"/>
    <w:rsid w:val="0085191D"/>
    <w:rsid w:val="0085197C"/>
    <w:rsid w:val="00851A1C"/>
    <w:rsid w:val="00851A72"/>
    <w:rsid w:val="00851A8E"/>
    <w:rsid w:val="00851B8D"/>
    <w:rsid w:val="00851BEB"/>
    <w:rsid w:val="00851C17"/>
    <w:rsid w:val="00851DEC"/>
    <w:rsid w:val="00851DFB"/>
    <w:rsid w:val="00851FBC"/>
    <w:rsid w:val="00852197"/>
    <w:rsid w:val="0085219E"/>
    <w:rsid w:val="008521F8"/>
    <w:rsid w:val="00852205"/>
    <w:rsid w:val="008522AC"/>
    <w:rsid w:val="008522FE"/>
    <w:rsid w:val="00852347"/>
    <w:rsid w:val="0085249E"/>
    <w:rsid w:val="008524E6"/>
    <w:rsid w:val="008524F5"/>
    <w:rsid w:val="0085251F"/>
    <w:rsid w:val="00852532"/>
    <w:rsid w:val="00852747"/>
    <w:rsid w:val="0085276F"/>
    <w:rsid w:val="00852787"/>
    <w:rsid w:val="008527F7"/>
    <w:rsid w:val="00852878"/>
    <w:rsid w:val="008529F6"/>
    <w:rsid w:val="00852A04"/>
    <w:rsid w:val="00852AD6"/>
    <w:rsid w:val="00852B6C"/>
    <w:rsid w:val="00852CE9"/>
    <w:rsid w:val="00852D92"/>
    <w:rsid w:val="00852DDE"/>
    <w:rsid w:val="00852E69"/>
    <w:rsid w:val="00852EBE"/>
    <w:rsid w:val="00852ED2"/>
    <w:rsid w:val="00852EEC"/>
    <w:rsid w:val="00853095"/>
    <w:rsid w:val="008530A5"/>
    <w:rsid w:val="0085320F"/>
    <w:rsid w:val="0085323B"/>
    <w:rsid w:val="0085325C"/>
    <w:rsid w:val="008534B2"/>
    <w:rsid w:val="0085363C"/>
    <w:rsid w:val="00853667"/>
    <w:rsid w:val="0085373D"/>
    <w:rsid w:val="008537AA"/>
    <w:rsid w:val="008537C6"/>
    <w:rsid w:val="00853962"/>
    <w:rsid w:val="008539C0"/>
    <w:rsid w:val="00853A65"/>
    <w:rsid w:val="00853F0B"/>
    <w:rsid w:val="00853F92"/>
    <w:rsid w:val="008542B8"/>
    <w:rsid w:val="0085437E"/>
    <w:rsid w:val="008543F9"/>
    <w:rsid w:val="00854470"/>
    <w:rsid w:val="008544B6"/>
    <w:rsid w:val="008545EE"/>
    <w:rsid w:val="008547B9"/>
    <w:rsid w:val="0085489E"/>
    <w:rsid w:val="008548CA"/>
    <w:rsid w:val="008548FE"/>
    <w:rsid w:val="00854912"/>
    <w:rsid w:val="00854931"/>
    <w:rsid w:val="00854AFA"/>
    <w:rsid w:val="00854BCB"/>
    <w:rsid w:val="00854BD2"/>
    <w:rsid w:val="00854C26"/>
    <w:rsid w:val="00854EC1"/>
    <w:rsid w:val="00854EFD"/>
    <w:rsid w:val="00854F12"/>
    <w:rsid w:val="00854F1B"/>
    <w:rsid w:val="00855006"/>
    <w:rsid w:val="0085526E"/>
    <w:rsid w:val="008552E3"/>
    <w:rsid w:val="00855305"/>
    <w:rsid w:val="0085538C"/>
    <w:rsid w:val="00855456"/>
    <w:rsid w:val="00855651"/>
    <w:rsid w:val="008557E4"/>
    <w:rsid w:val="00855828"/>
    <w:rsid w:val="0085582D"/>
    <w:rsid w:val="0085583B"/>
    <w:rsid w:val="0085599A"/>
    <w:rsid w:val="008559E4"/>
    <w:rsid w:val="00855A87"/>
    <w:rsid w:val="00855D50"/>
    <w:rsid w:val="00855DC0"/>
    <w:rsid w:val="0085601F"/>
    <w:rsid w:val="0085604B"/>
    <w:rsid w:val="008560AB"/>
    <w:rsid w:val="00856240"/>
    <w:rsid w:val="008562F7"/>
    <w:rsid w:val="00856379"/>
    <w:rsid w:val="0085645F"/>
    <w:rsid w:val="008564A7"/>
    <w:rsid w:val="00856572"/>
    <w:rsid w:val="00856606"/>
    <w:rsid w:val="008568FD"/>
    <w:rsid w:val="00856943"/>
    <w:rsid w:val="008569D4"/>
    <w:rsid w:val="00856A4E"/>
    <w:rsid w:val="00856AEB"/>
    <w:rsid w:val="00856B27"/>
    <w:rsid w:val="00856B39"/>
    <w:rsid w:val="00856DA5"/>
    <w:rsid w:val="00856F50"/>
    <w:rsid w:val="00856F98"/>
    <w:rsid w:val="00856FB5"/>
    <w:rsid w:val="00857136"/>
    <w:rsid w:val="008571A8"/>
    <w:rsid w:val="00857256"/>
    <w:rsid w:val="008572F4"/>
    <w:rsid w:val="0085738E"/>
    <w:rsid w:val="008573BF"/>
    <w:rsid w:val="008573CC"/>
    <w:rsid w:val="00857406"/>
    <w:rsid w:val="00857424"/>
    <w:rsid w:val="008574C0"/>
    <w:rsid w:val="008574D6"/>
    <w:rsid w:val="00857679"/>
    <w:rsid w:val="008576A6"/>
    <w:rsid w:val="008576EC"/>
    <w:rsid w:val="0085778D"/>
    <w:rsid w:val="008577C6"/>
    <w:rsid w:val="008578B4"/>
    <w:rsid w:val="00857A9F"/>
    <w:rsid w:val="00857C65"/>
    <w:rsid w:val="00857CD1"/>
    <w:rsid w:val="00857DC1"/>
    <w:rsid w:val="00857EFA"/>
    <w:rsid w:val="00857F06"/>
    <w:rsid w:val="00857F5E"/>
    <w:rsid w:val="00857F61"/>
    <w:rsid w:val="00860017"/>
    <w:rsid w:val="00860081"/>
    <w:rsid w:val="008602BC"/>
    <w:rsid w:val="0086038D"/>
    <w:rsid w:val="00860734"/>
    <w:rsid w:val="00860851"/>
    <w:rsid w:val="008608D5"/>
    <w:rsid w:val="008609DE"/>
    <w:rsid w:val="00860AF6"/>
    <w:rsid w:val="00860BB4"/>
    <w:rsid w:val="00860C0B"/>
    <w:rsid w:val="00860C17"/>
    <w:rsid w:val="00860C22"/>
    <w:rsid w:val="00860C5E"/>
    <w:rsid w:val="00860C89"/>
    <w:rsid w:val="00860D2E"/>
    <w:rsid w:val="00860D32"/>
    <w:rsid w:val="00860DFF"/>
    <w:rsid w:val="00860E07"/>
    <w:rsid w:val="00860E9C"/>
    <w:rsid w:val="00860F12"/>
    <w:rsid w:val="00860FAF"/>
    <w:rsid w:val="008610EE"/>
    <w:rsid w:val="00861249"/>
    <w:rsid w:val="00861278"/>
    <w:rsid w:val="008612F1"/>
    <w:rsid w:val="008614FE"/>
    <w:rsid w:val="00861525"/>
    <w:rsid w:val="008615AF"/>
    <w:rsid w:val="008616DB"/>
    <w:rsid w:val="00861773"/>
    <w:rsid w:val="008617F9"/>
    <w:rsid w:val="00861881"/>
    <w:rsid w:val="008618CC"/>
    <w:rsid w:val="00861911"/>
    <w:rsid w:val="00861A5B"/>
    <w:rsid w:val="00861CF0"/>
    <w:rsid w:val="00861D7A"/>
    <w:rsid w:val="00861EAB"/>
    <w:rsid w:val="00861F6C"/>
    <w:rsid w:val="00862017"/>
    <w:rsid w:val="00862046"/>
    <w:rsid w:val="00862191"/>
    <w:rsid w:val="008621D0"/>
    <w:rsid w:val="00862313"/>
    <w:rsid w:val="00862353"/>
    <w:rsid w:val="0086241A"/>
    <w:rsid w:val="00862479"/>
    <w:rsid w:val="008624A0"/>
    <w:rsid w:val="008624CA"/>
    <w:rsid w:val="008624D4"/>
    <w:rsid w:val="00862552"/>
    <w:rsid w:val="00862619"/>
    <w:rsid w:val="008626B8"/>
    <w:rsid w:val="008627CF"/>
    <w:rsid w:val="00862A81"/>
    <w:rsid w:val="00862B1F"/>
    <w:rsid w:val="00862B42"/>
    <w:rsid w:val="00862C4A"/>
    <w:rsid w:val="00862CB6"/>
    <w:rsid w:val="00862DCD"/>
    <w:rsid w:val="00862E28"/>
    <w:rsid w:val="00862ED3"/>
    <w:rsid w:val="00862F22"/>
    <w:rsid w:val="00863098"/>
    <w:rsid w:val="0086330A"/>
    <w:rsid w:val="00863550"/>
    <w:rsid w:val="0086355E"/>
    <w:rsid w:val="008635AF"/>
    <w:rsid w:val="0086367D"/>
    <w:rsid w:val="00863691"/>
    <w:rsid w:val="00863737"/>
    <w:rsid w:val="008637CB"/>
    <w:rsid w:val="00863893"/>
    <w:rsid w:val="00863895"/>
    <w:rsid w:val="00863938"/>
    <w:rsid w:val="00863A34"/>
    <w:rsid w:val="00863DD2"/>
    <w:rsid w:val="00863DED"/>
    <w:rsid w:val="00863EE1"/>
    <w:rsid w:val="00864013"/>
    <w:rsid w:val="0086403F"/>
    <w:rsid w:val="00864122"/>
    <w:rsid w:val="0086417F"/>
    <w:rsid w:val="00864296"/>
    <w:rsid w:val="008643E6"/>
    <w:rsid w:val="00864489"/>
    <w:rsid w:val="00864494"/>
    <w:rsid w:val="008644D0"/>
    <w:rsid w:val="008644F6"/>
    <w:rsid w:val="00864508"/>
    <w:rsid w:val="00864514"/>
    <w:rsid w:val="00864656"/>
    <w:rsid w:val="00864676"/>
    <w:rsid w:val="00864753"/>
    <w:rsid w:val="008648D2"/>
    <w:rsid w:val="00864A96"/>
    <w:rsid w:val="00864B52"/>
    <w:rsid w:val="00864B7C"/>
    <w:rsid w:val="00864BD4"/>
    <w:rsid w:val="00864C66"/>
    <w:rsid w:val="00864DCC"/>
    <w:rsid w:val="00864FE4"/>
    <w:rsid w:val="00865082"/>
    <w:rsid w:val="008650EA"/>
    <w:rsid w:val="00865194"/>
    <w:rsid w:val="00865281"/>
    <w:rsid w:val="008652BB"/>
    <w:rsid w:val="0086537F"/>
    <w:rsid w:val="008653BE"/>
    <w:rsid w:val="008653FD"/>
    <w:rsid w:val="00865435"/>
    <w:rsid w:val="00865457"/>
    <w:rsid w:val="00865506"/>
    <w:rsid w:val="00865557"/>
    <w:rsid w:val="008655FA"/>
    <w:rsid w:val="0086569E"/>
    <w:rsid w:val="008656F0"/>
    <w:rsid w:val="0086579A"/>
    <w:rsid w:val="00865820"/>
    <w:rsid w:val="00865861"/>
    <w:rsid w:val="0086598B"/>
    <w:rsid w:val="00865A4F"/>
    <w:rsid w:val="00865AA1"/>
    <w:rsid w:val="00865AA2"/>
    <w:rsid w:val="00865C02"/>
    <w:rsid w:val="00865CE3"/>
    <w:rsid w:val="00865D12"/>
    <w:rsid w:val="00865D3B"/>
    <w:rsid w:val="00865E39"/>
    <w:rsid w:val="00865ECE"/>
    <w:rsid w:val="00865ED9"/>
    <w:rsid w:val="00865EE1"/>
    <w:rsid w:val="00865F37"/>
    <w:rsid w:val="00865F67"/>
    <w:rsid w:val="0086602C"/>
    <w:rsid w:val="00866163"/>
    <w:rsid w:val="00866360"/>
    <w:rsid w:val="008663A6"/>
    <w:rsid w:val="008664C6"/>
    <w:rsid w:val="008664CC"/>
    <w:rsid w:val="00866501"/>
    <w:rsid w:val="008665F0"/>
    <w:rsid w:val="00866647"/>
    <w:rsid w:val="0086668E"/>
    <w:rsid w:val="008666AD"/>
    <w:rsid w:val="0086672A"/>
    <w:rsid w:val="0086674B"/>
    <w:rsid w:val="008667AF"/>
    <w:rsid w:val="008667B5"/>
    <w:rsid w:val="008668A9"/>
    <w:rsid w:val="008668DD"/>
    <w:rsid w:val="008668E8"/>
    <w:rsid w:val="008669DE"/>
    <w:rsid w:val="00866A61"/>
    <w:rsid w:val="00866A91"/>
    <w:rsid w:val="00866C0D"/>
    <w:rsid w:val="00866C44"/>
    <w:rsid w:val="00866D78"/>
    <w:rsid w:val="00866FDF"/>
    <w:rsid w:val="00866FFF"/>
    <w:rsid w:val="00867173"/>
    <w:rsid w:val="008673FD"/>
    <w:rsid w:val="00867470"/>
    <w:rsid w:val="0086775E"/>
    <w:rsid w:val="008677C2"/>
    <w:rsid w:val="008677D0"/>
    <w:rsid w:val="00867910"/>
    <w:rsid w:val="00867950"/>
    <w:rsid w:val="008679AD"/>
    <w:rsid w:val="00867B4D"/>
    <w:rsid w:val="00867B63"/>
    <w:rsid w:val="00867BE8"/>
    <w:rsid w:val="00867CA5"/>
    <w:rsid w:val="00867CEE"/>
    <w:rsid w:val="00867CFD"/>
    <w:rsid w:val="00867D43"/>
    <w:rsid w:val="00867DF2"/>
    <w:rsid w:val="00867E15"/>
    <w:rsid w:val="00867E8E"/>
    <w:rsid w:val="00867EDD"/>
    <w:rsid w:val="00867F0B"/>
    <w:rsid w:val="00867F0D"/>
    <w:rsid w:val="00867F3A"/>
    <w:rsid w:val="00867F67"/>
    <w:rsid w:val="008700CB"/>
    <w:rsid w:val="00870299"/>
    <w:rsid w:val="008702EE"/>
    <w:rsid w:val="00870337"/>
    <w:rsid w:val="008703F2"/>
    <w:rsid w:val="00870507"/>
    <w:rsid w:val="00870546"/>
    <w:rsid w:val="008705F8"/>
    <w:rsid w:val="008706A0"/>
    <w:rsid w:val="00870789"/>
    <w:rsid w:val="008708A6"/>
    <w:rsid w:val="00870CDF"/>
    <w:rsid w:val="00870CFD"/>
    <w:rsid w:val="00870D1E"/>
    <w:rsid w:val="00870E1A"/>
    <w:rsid w:val="00870E81"/>
    <w:rsid w:val="00870E98"/>
    <w:rsid w:val="00870EE9"/>
    <w:rsid w:val="00870FF4"/>
    <w:rsid w:val="0087117F"/>
    <w:rsid w:val="008711D4"/>
    <w:rsid w:val="008711F2"/>
    <w:rsid w:val="00871272"/>
    <w:rsid w:val="00871301"/>
    <w:rsid w:val="0087130C"/>
    <w:rsid w:val="00871328"/>
    <w:rsid w:val="008713EB"/>
    <w:rsid w:val="0087143B"/>
    <w:rsid w:val="00871448"/>
    <w:rsid w:val="00871480"/>
    <w:rsid w:val="00871596"/>
    <w:rsid w:val="008715D1"/>
    <w:rsid w:val="008715DB"/>
    <w:rsid w:val="008716BA"/>
    <w:rsid w:val="00871748"/>
    <w:rsid w:val="00871AFA"/>
    <w:rsid w:val="00871DD1"/>
    <w:rsid w:val="00872025"/>
    <w:rsid w:val="008720D8"/>
    <w:rsid w:val="00872141"/>
    <w:rsid w:val="008721AD"/>
    <w:rsid w:val="008723AE"/>
    <w:rsid w:val="00872408"/>
    <w:rsid w:val="00872414"/>
    <w:rsid w:val="00872468"/>
    <w:rsid w:val="0087246A"/>
    <w:rsid w:val="00872577"/>
    <w:rsid w:val="008725AD"/>
    <w:rsid w:val="008725DF"/>
    <w:rsid w:val="00872634"/>
    <w:rsid w:val="008727BF"/>
    <w:rsid w:val="00872835"/>
    <w:rsid w:val="0087289D"/>
    <w:rsid w:val="008729FF"/>
    <w:rsid w:val="00872A66"/>
    <w:rsid w:val="00872B7D"/>
    <w:rsid w:val="00872C48"/>
    <w:rsid w:val="00872C99"/>
    <w:rsid w:val="00872E55"/>
    <w:rsid w:val="008731C0"/>
    <w:rsid w:val="008731C4"/>
    <w:rsid w:val="008731DF"/>
    <w:rsid w:val="00873275"/>
    <w:rsid w:val="0087328A"/>
    <w:rsid w:val="008732CD"/>
    <w:rsid w:val="008733DD"/>
    <w:rsid w:val="0087355A"/>
    <w:rsid w:val="008736CF"/>
    <w:rsid w:val="008738B5"/>
    <w:rsid w:val="0087394C"/>
    <w:rsid w:val="00873AE6"/>
    <w:rsid w:val="00873B20"/>
    <w:rsid w:val="00873B39"/>
    <w:rsid w:val="00873D33"/>
    <w:rsid w:val="00873D4A"/>
    <w:rsid w:val="00873EAA"/>
    <w:rsid w:val="00873EE7"/>
    <w:rsid w:val="00873FCB"/>
    <w:rsid w:val="00874111"/>
    <w:rsid w:val="00874133"/>
    <w:rsid w:val="00874357"/>
    <w:rsid w:val="0087439B"/>
    <w:rsid w:val="00874513"/>
    <w:rsid w:val="008746B6"/>
    <w:rsid w:val="00874845"/>
    <w:rsid w:val="00874949"/>
    <w:rsid w:val="00874951"/>
    <w:rsid w:val="00874967"/>
    <w:rsid w:val="00874A27"/>
    <w:rsid w:val="00874AFE"/>
    <w:rsid w:val="00874CEC"/>
    <w:rsid w:val="00874D89"/>
    <w:rsid w:val="00874EAF"/>
    <w:rsid w:val="00874F27"/>
    <w:rsid w:val="00874F59"/>
    <w:rsid w:val="00875041"/>
    <w:rsid w:val="008750E1"/>
    <w:rsid w:val="00875135"/>
    <w:rsid w:val="008751A5"/>
    <w:rsid w:val="008751CF"/>
    <w:rsid w:val="0087520B"/>
    <w:rsid w:val="008752E2"/>
    <w:rsid w:val="00875361"/>
    <w:rsid w:val="008753AC"/>
    <w:rsid w:val="00875477"/>
    <w:rsid w:val="008755EC"/>
    <w:rsid w:val="008756AE"/>
    <w:rsid w:val="008756EF"/>
    <w:rsid w:val="008756F2"/>
    <w:rsid w:val="00875B14"/>
    <w:rsid w:val="00875B77"/>
    <w:rsid w:val="00875D10"/>
    <w:rsid w:val="00875D24"/>
    <w:rsid w:val="00875D8B"/>
    <w:rsid w:val="00875E14"/>
    <w:rsid w:val="00875E86"/>
    <w:rsid w:val="00875F05"/>
    <w:rsid w:val="00875F4B"/>
    <w:rsid w:val="00876092"/>
    <w:rsid w:val="00876449"/>
    <w:rsid w:val="008764E5"/>
    <w:rsid w:val="008765A3"/>
    <w:rsid w:val="008765A9"/>
    <w:rsid w:val="008766EF"/>
    <w:rsid w:val="00876723"/>
    <w:rsid w:val="00876726"/>
    <w:rsid w:val="008767B1"/>
    <w:rsid w:val="00876804"/>
    <w:rsid w:val="00876813"/>
    <w:rsid w:val="00876984"/>
    <w:rsid w:val="00876A25"/>
    <w:rsid w:val="00876A39"/>
    <w:rsid w:val="00876AF7"/>
    <w:rsid w:val="00876AF9"/>
    <w:rsid w:val="00876BE8"/>
    <w:rsid w:val="00876C6A"/>
    <w:rsid w:val="00876FBB"/>
    <w:rsid w:val="00877030"/>
    <w:rsid w:val="00877086"/>
    <w:rsid w:val="008770CE"/>
    <w:rsid w:val="00877107"/>
    <w:rsid w:val="0087713E"/>
    <w:rsid w:val="008771D1"/>
    <w:rsid w:val="00877258"/>
    <w:rsid w:val="00877295"/>
    <w:rsid w:val="0087729B"/>
    <w:rsid w:val="008772C1"/>
    <w:rsid w:val="0087732D"/>
    <w:rsid w:val="008773E0"/>
    <w:rsid w:val="0087741D"/>
    <w:rsid w:val="00877423"/>
    <w:rsid w:val="00877487"/>
    <w:rsid w:val="008775A4"/>
    <w:rsid w:val="00877732"/>
    <w:rsid w:val="00877755"/>
    <w:rsid w:val="0087779A"/>
    <w:rsid w:val="008778DD"/>
    <w:rsid w:val="008779F6"/>
    <w:rsid w:val="00877A2B"/>
    <w:rsid w:val="00877A45"/>
    <w:rsid w:val="00877EBC"/>
    <w:rsid w:val="00880057"/>
    <w:rsid w:val="008800A3"/>
    <w:rsid w:val="008801E7"/>
    <w:rsid w:val="008802B3"/>
    <w:rsid w:val="00880331"/>
    <w:rsid w:val="008804AC"/>
    <w:rsid w:val="00880509"/>
    <w:rsid w:val="00880549"/>
    <w:rsid w:val="00880599"/>
    <w:rsid w:val="008805AC"/>
    <w:rsid w:val="008805CA"/>
    <w:rsid w:val="00880783"/>
    <w:rsid w:val="00880848"/>
    <w:rsid w:val="00880888"/>
    <w:rsid w:val="0088093D"/>
    <w:rsid w:val="00880B8D"/>
    <w:rsid w:val="00880C01"/>
    <w:rsid w:val="00880D7C"/>
    <w:rsid w:val="00880D8C"/>
    <w:rsid w:val="00880DC6"/>
    <w:rsid w:val="00880EA3"/>
    <w:rsid w:val="0088104A"/>
    <w:rsid w:val="00881138"/>
    <w:rsid w:val="008812F6"/>
    <w:rsid w:val="008813E2"/>
    <w:rsid w:val="008814F1"/>
    <w:rsid w:val="008814F7"/>
    <w:rsid w:val="008814F8"/>
    <w:rsid w:val="00881530"/>
    <w:rsid w:val="0088162D"/>
    <w:rsid w:val="00881671"/>
    <w:rsid w:val="00881684"/>
    <w:rsid w:val="008817F3"/>
    <w:rsid w:val="0088197C"/>
    <w:rsid w:val="0088197E"/>
    <w:rsid w:val="00881A97"/>
    <w:rsid w:val="00881B14"/>
    <w:rsid w:val="00881B49"/>
    <w:rsid w:val="00881BBE"/>
    <w:rsid w:val="00881BCE"/>
    <w:rsid w:val="00881CD3"/>
    <w:rsid w:val="00881D88"/>
    <w:rsid w:val="00881DFF"/>
    <w:rsid w:val="00881E76"/>
    <w:rsid w:val="008822AB"/>
    <w:rsid w:val="008822BF"/>
    <w:rsid w:val="008823D0"/>
    <w:rsid w:val="008823FB"/>
    <w:rsid w:val="008824A1"/>
    <w:rsid w:val="008824E3"/>
    <w:rsid w:val="0088260E"/>
    <w:rsid w:val="008826B4"/>
    <w:rsid w:val="0088271E"/>
    <w:rsid w:val="0088285A"/>
    <w:rsid w:val="00882CC2"/>
    <w:rsid w:val="00882CFE"/>
    <w:rsid w:val="00882D68"/>
    <w:rsid w:val="00882D84"/>
    <w:rsid w:val="0088308B"/>
    <w:rsid w:val="00883132"/>
    <w:rsid w:val="0088315B"/>
    <w:rsid w:val="008832A6"/>
    <w:rsid w:val="00883303"/>
    <w:rsid w:val="0088338A"/>
    <w:rsid w:val="00883490"/>
    <w:rsid w:val="0088355D"/>
    <w:rsid w:val="0088355E"/>
    <w:rsid w:val="00883728"/>
    <w:rsid w:val="00883814"/>
    <w:rsid w:val="0088389D"/>
    <w:rsid w:val="008838FB"/>
    <w:rsid w:val="00883923"/>
    <w:rsid w:val="008839CB"/>
    <w:rsid w:val="00883A14"/>
    <w:rsid w:val="00883BBB"/>
    <w:rsid w:val="00883C34"/>
    <w:rsid w:val="00883CF8"/>
    <w:rsid w:val="00883D42"/>
    <w:rsid w:val="00883D43"/>
    <w:rsid w:val="00883E68"/>
    <w:rsid w:val="0088412B"/>
    <w:rsid w:val="00884465"/>
    <w:rsid w:val="008844F7"/>
    <w:rsid w:val="008845A4"/>
    <w:rsid w:val="008845CE"/>
    <w:rsid w:val="00884677"/>
    <w:rsid w:val="00884736"/>
    <w:rsid w:val="00884793"/>
    <w:rsid w:val="0088484A"/>
    <w:rsid w:val="0088490D"/>
    <w:rsid w:val="008849EB"/>
    <w:rsid w:val="008849EF"/>
    <w:rsid w:val="00884AFD"/>
    <w:rsid w:val="00884BAE"/>
    <w:rsid w:val="00884C5F"/>
    <w:rsid w:val="00884D3A"/>
    <w:rsid w:val="00884DC6"/>
    <w:rsid w:val="00884DDA"/>
    <w:rsid w:val="00884DFC"/>
    <w:rsid w:val="00884E87"/>
    <w:rsid w:val="008850EC"/>
    <w:rsid w:val="00885216"/>
    <w:rsid w:val="0088526A"/>
    <w:rsid w:val="008852E6"/>
    <w:rsid w:val="008852FB"/>
    <w:rsid w:val="00885534"/>
    <w:rsid w:val="008855EC"/>
    <w:rsid w:val="00885742"/>
    <w:rsid w:val="008858BA"/>
    <w:rsid w:val="008858CD"/>
    <w:rsid w:val="008858D6"/>
    <w:rsid w:val="00885918"/>
    <w:rsid w:val="00885B0E"/>
    <w:rsid w:val="00885C05"/>
    <w:rsid w:val="00885D65"/>
    <w:rsid w:val="00885D8A"/>
    <w:rsid w:val="00885EC6"/>
    <w:rsid w:val="00885EF2"/>
    <w:rsid w:val="00885F24"/>
    <w:rsid w:val="00885FD3"/>
    <w:rsid w:val="008863EF"/>
    <w:rsid w:val="00886416"/>
    <w:rsid w:val="0088643A"/>
    <w:rsid w:val="00886497"/>
    <w:rsid w:val="008864D9"/>
    <w:rsid w:val="0088654F"/>
    <w:rsid w:val="008865D4"/>
    <w:rsid w:val="00886644"/>
    <w:rsid w:val="00886728"/>
    <w:rsid w:val="00886810"/>
    <w:rsid w:val="0088681A"/>
    <w:rsid w:val="0088686F"/>
    <w:rsid w:val="008869B7"/>
    <w:rsid w:val="00886A46"/>
    <w:rsid w:val="00886B0D"/>
    <w:rsid w:val="00886C53"/>
    <w:rsid w:val="00886D85"/>
    <w:rsid w:val="00886DEB"/>
    <w:rsid w:val="00886F16"/>
    <w:rsid w:val="00886F76"/>
    <w:rsid w:val="00886FF4"/>
    <w:rsid w:val="0088701A"/>
    <w:rsid w:val="00887162"/>
    <w:rsid w:val="0088733E"/>
    <w:rsid w:val="0088735A"/>
    <w:rsid w:val="0088747C"/>
    <w:rsid w:val="008874F5"/>
    <w:rsid w:val="00887515"/>
    <w:rsid w:val="0088776A"/>
    <w:rsid w:val="0088779F"/>
    <w:rsid w:val="008877B8"/>
    <w:rsid w:val="00887877"/>
    <w:rsid w:val="008878C7"/>
    <w:rsid w:val="00887997"/>
    <w:rsid w:val="00887A6B"/>
    <w:rsid w:val="00887AAA"/>
    <w:rsid w:val="00887ABC"/>
    <w:rsid w:val="00887C65"/>
    <w:rsid w:val="00887D4F"/>
    <w:rsid w:val="00887DBA"/>
    <w:rsid w:val="00887E06"/>
    <w:rsid w:val="00887F78"/>
    <w:rsid w:val="00887FB3"/>
    <w:rsid w:val="0089008D"/>
    <w:rsid w:val="00890228"/>
    <w:rsid w:val="008902B2"/>
    <w:rsid w:val="00890406"/>
    <w:rsid w:val="00890580"/>
    <w:rsid w:val="00890613"/>
    <w:rsid w:val="00890614"/>
    <w:rsid w:val="008906DD"/>
    <w:rsid w:val="00890711"/>
    <w:rsid w:val="008907F3"/>
    <w:rsid w:val="00890A00"/>
    <w:rsid w:val="00890A65"/>
    <w:rsid w:val="00890B36"/>
    <w:rsid w:val="00890B9D"/>
    <w:rsid w:val="00890CF4"/>
    <w:rsid w:val="00890D28"/>
    <w:rsid w:val="00890D91"/>
    <w:rsid w:val="00890EEC"/>
    <w:rsid w:val="0089103D"/>
    <w:rsid w:val="00891151"/>
    <w:rsid w:val="0089118E"/>
    <w:rsid w:val="0089124C"/>
    <w:rsid w:val="00891288"/>
    <w:rsid w:val="008912AE"/>
    <w:rsid w:val="0089134C"/>
    <w:rsid w:val="00891421"/>
    <w:rsid w:val="00891631"/>
    <w:rsid w:val="00891688"/>
    <w:rsid w:val="008916C5"/>
    <w:rsid w:val="00891717"/>
    <w:rsid w:val="00891795"/>
    <w:rsid w:val="0089181C"/>
    <w:rsid w:val="008918D1"/>
    <w:rsid w:val="00891905"/>
    <w:rsid w:val="008919FB"/>
    <w:rsid w:val="00891B62"/>
    <w:rsid w:val="00891B63"/>
    <w:rsid w:val="00891D5A"/>
    <w:rsid w:val="00891DA1"/>
    <w:rsid w:val="00891E28"/>
    <w:rsid w:val="00891FE1"/>
    <w:rsid w:val="00891FFF"/>
    <w:rsid w:val="00892010"/>
    <w:rsid w:val="0089217A"/>
    <w:rsid w:val="0089224A"/>
    <w:rsid w:val="00892296"/>
    <w:rsid w:val="0089229F"/>
    <w:rsid w:val="0089249C"/>
    <w:rsid w:val="008924C9"/>
    <w:rsid w:val="0089250B"/>
    <w:rsid w:val="0089280C"/>
    <w:rsid w:val="0089281D"/>
    <w:rsid w:val="008928D4"/>
    <w:rsid w:val="008928E3"/>
    <w:rsid w:val="00892909"/>
    <w:rsid w:val="00892AA4"/>
    <w:rsid w:val="00892B00"/>
    <w:rsid w:val="00892B21"/>
    <w:rsid w:val="00892BA2"/>
    <w:rsid w:val="00892C41"/>
    <w:rsid w:val="00892F14"/>
    <w:rsid w:val="00893054"/>
    <w:rsid w:val="0089311C"/>
    <w:rsid w:val="008932DF"/>
    <w:rsid w:val="00893399"/>
    <w:rsid w:val="008933EA"/>
    <w:rsid w:val="00893474"/>
    <w:rsid w:val="008934F6"/>
    <w:rsid w:val="008935F1"/>
    <w:rsid w:val="008935F5"/>
    <w:rsid w:val="00893602"/>
    <w:rsid w:val="00893695"/>
    <w:rsid w:val="00893700"/>
    <w:rsid w:val="00893782"/>
    <w:rsid w:val="0089386D"/>
    <w:rsid w:val="00893919"/>
    <w:rsid w:val="00893949"/>
    <w:rsid w:val="00893A1A"/>
    <w:rsid w:val="00893A4D"/>
    <w:rsid w:val="00893B39"/>
    <w:rsid w:val="00893C01"/>
    <w:rsid w:val="00893C68"/>
    <w:rsid w:val="00893E6C"/>
    <w:rsid w:val="00893E77"/>
    <w:rsid w:val="00893EBF"/>
    <w:rsid w:val="00893F01"/>
    <w:rsid w:val="00893F14"/>
    <w:rsid w:val="00893F86"/>
    <w:rsid w:val="00893F90"/>
    <w:rsid w:val="00893FF8"/>
    <w:rsid w:val="0089400A"/>
    <w:rsid w:val="00894109"/>
    <w:rsid w:val="00894132"/>
    <w:rsid w:val="0089425C"/>
    <w:rsid w:val="008942FC"/>
    <w:rsid w:val="00894563"/>
    <w:rsid w:val="00894757"/>
    <w:rsid w:val="008948F0"/>
    <w:rsid w:val="00894913"/>
    <w:rsid w:val="00894B9F"/>
    <w:rsid w:val="00894C1B"/>
    <w:rsid w:val="00894C32"/>
    <w:rsid w:val="00894E15"/>
    <w:rsid w:val="00894E2A"/>
    <w:rsid w:val="00894EC4"/>
    <w:rsid w:val="00894F9C"/>
    <w:rsid w:val="00894FBB"/>
    <w:rsid w:val="00894FCC"/>
    <w:rsid w:val="008950BC"/>
    <w:rsid w:val="0089510B"/>
    <w:rsid w:val="00895180"/>
    <w:rsid w:val="00895261"/>
    <w:rsid w:val="0089537D"/>
    <w:rsid w:val="008953D5"/>
    <w:rsid w:val="008954E4"/>
    <w:rsid w:val="008954FA"/>
    <w:rsid w:val="00895507"/>
    <w:rsid w:val="008957E2"/>
    <w:rsid w:val="00895854"/>
    <w:rsid w:val="008959B2"/>
    <w:rsid w:val="00895B24"/>
    <w:rsid w:val="00895D0F"/>
    <w:rsid w:val="00895E2B"/>
    <w:rsid w:val="00895E92"/>
    <w:rsid w:val="00895F1B"/>
    <w:rsid w:val="00895F4D"/>
    <w:rsid w:val="00896026"/>
    <w:rsid w:val="00896108"/>
    <w:rsid w:val="00896127"/>
    <w:rsid w:val="00896139"/>
    <w:rsid w:val="00896250"/>
    <w:rsid w:val="00896387"/>
    <w:rsid w:val="008965C9"/>
    <w:rsid w:val="008965CB"/>
    <w:rsid w:val="00896724"/>
    <w:rsid w:val="0089674C"/>
    <w:rsid w:val="00896A3A"/>
    <w:rsid w:val="00896BFE"/>
    <w:rsid w:val="00896F70"/>
    <w:rsid w:val="00896F73"/>
    <w:rsid w:val="00896FA7"/>
    <w:rsid w:val="0089708C"/>
    <w:rsid w:val="00897200"/>
    <w:rsid w:val="00897532"/>
    <w:rsid w:val="008975E9"/>
    <w:rsid w:val="0089772A"/>
    <w:rsid w:val="0089793B"/>
    <w:rsid w:val="0089795F"/>
    <w:rsid w:val="008979C7"/>
    <w:rsid w:val="00897A29"/>
    <w:rsid w:val="00897BDB"/>
    <w:rsid w:val="00897CFD"/>
    <w:rsid w:val="00897D8F"/>
    <w:rsid w:val="00897E3D"/>
    <w:rsid w:val="00897E8A"/>
    <w:rsid w:val="00897F2C"/>
    <w:rsid w:val="00897F60"/>
    <w:rsid w:val="008A01C9"/>
    <w:rsid w:val="008A01F6"/>
    <w:rsid w:val="008A0298"/>
    <w:rsid w:val="008A02B2"/>
    <w:rsid w:val="008A0301"/>
    <w:rsid w:val="008A0474"/>
    <w:rsid w:val="008A04FA"/>
    <w:rsid w:val="008A0734"/>
    <w:rsid w:val="008A076E"/>
    <w:rsid w:val="008A07A7"/>
    <w:rsid w:val="008A07EC"/>
    <w:rsid w:val="008A09FB"/>
    <w:rsid w:val="008A0A1F"/>
    <w:rsid w:val="008A0AB2"/>
    <w:rsid w:val="008A0AE9"/>
    <w:rsid w:val="008A0BE9"/>
    <w:rsid w:val="008A0CFC"/>
    <w:rsid w:val="008A0D93"/>
    <w:rsid w:val="008A0F29"/>
    <w:rsid w:val="008A0F6A"/>
    <w:rsid w:val="008A0FD1"/>
    <w:rsid w:val="008A1119"/>
    <w:rsid w:val="008A116C"/>
    <w:rsid w:val="008A11A0"/>
    <w:rsid w:val="008A11E9"/>
    <w:rsid w:val="008A127F"/>
    <w:rsid w:val="008A12C7"/>
    <w:rsid w:val="008A1348"/>
    <w:rsid w:val="008A1377"/>
    <w:rsid w:val="008A13B0"/>
    <w:rsid w:val="008A1487"/>
    <w:rsid w:val="008A14C7"/>
    <w:rsid w:val="008A152D"/>
    <w:rsid w:val="008A16DA"/>
    <w:rsid w:val="008A1700"/>
    <w:rsid w:val="008A17B0"/>
    <w:rsid w:val="008A1990"/>
    <w:rsid w:val="008A19D2"/>
    <w:rsid w:val="008A1A02"/>
    <w:rsid w:val="008A1B9F"/>
    <w:rsid w:val="008A1D39"/>
    <w:rsid w:val="008A1E0A"/>
    <w:rsid w:val="008A1E22"/>
    <w:rsid w:val="008A1E23"/>
    <w:rsid w:val="008A1E90"/>
    <w:rsid w:val="008A1F51"/>
    <w:rsid w:val="008A20FD"/>
    <w:rsid w:val="008A216B"/>
    <w:rsid w:val="008A21C1"/>
    <w:rsid w:val="008A229B"/>
    <w:rsid w:val="008A22BB"/>
    <w:rsid w:val="008A23B4"/>
    <w:rsid w:val="008A2449"/>
    <w:rsid w:val="008A24B0"/>
    <w:rsid w:val="008A24ED"/>
    <w:rsid w:val="008A279B"/>
    <w:rsid w:val="008A2832"/>
    <w:rsid w:val="008A285A"/>
    <w:rsid w:val="008A285E"/>
    <w:rsid w:val="008A28D2"/>
    <w:rsid w:val="008A28E1"/>
    <w:rsid w:val="008A2996"/>
    <w:rsid w:val="008A2A0A"/>
    <w:rsid w:val="008A2A55"/>
    <w:rsid w:val="008A2BC5"/>
    <w:rsid w:val="008A2C16"/>
    <w:rsid w:val="008A2C20"/>
    <w:rsid w:val="008A2DDF"/>
    <w:rsid w:val="008A2E2D"/>
    <w:rsid w:val="008A2EBE"/>
    <w:rsid w:val="008A30A0"/>
    <w:rsid w:val="008A3148"/>
    <w:rsid w:val="008A31B8"/>
    <w:rsid w:val="008A374F"/>
    <w:rsid w:val="008A3824"/>
    <w:rsid w:val="008A382C"/>
    <w:rsid w:val="008A3950"/>
    <w:rsid w:val="008A3A2B"/>
    <w:rsid w:val="008A3BEA"/>
    <w:rsid w:val="008A3D28"/>
    <w:rsid w:val="008A3D36"/>
    <w:rsid w:val="008A3F7C"/>
    <w:rsid w:val="008A4092"/>
    <w:rsid w:val="008A40AE"/>
    <w:rsid w:val="008A40F0"/>
    <w:rsid w:val="008A419E"/>
    <w:rsid w:val="008A41C1"/>
    <w:rsid w:val="008A4248"/>
    <w:rsid w:val="008A4274"/>
    <w:rsid w:val="008A42AD"/>
    <w:rsid w:val="008A43BC"/>
    <w:rsid w:val="008A43EF"/>
    <w:rsid w:val="008A4424"/>
    <w:rsid w:val="008A443B"/>
    <w:rsid w:val="008A443F"/>
    <w:rsid w:val="008A4528"/>
    <w:rsid w:val="008A459A"/>
    <w:rsid w:val="008A478B"/>
    <w:rsid w:val="008A48BA"/>
    <w:rsid w:val="008A48F9"/>
    <w:rsid w:val="008A4A8C"/>
    <w:rsid w:val="008A4B3B"/>
    <w:rsid w:val="008A4C8F"/>
    <w:rsid w:val="008A4CFF"/>
    <w:rsid w:val="008A4D10"/>
    <w:rsid w:val="008A4D75"/>
    <w:rsid w:val="008A4D95"/>
    <w:rsid w:val="008A4DA6"/>
    <w:rsid w:val="008A4F79"/>
    <w:rsid w:val="008A532A"/>
    <w:rsid w:val="008A5373"/>
    <w:rsid w:val="008A556E"/>
    <w:rsid w:val="008A55F3"/>
    <w:rsid w:val="008A5680"/>
    <w:rsid w:val="008A56F3"/>
    <w:rsid w:val="008A583F"/>
    <w:rsid w:val="008A5868"/>
    <w:rsid w:val="008A5913"/>
    <w:rsid w:val="008A5943"/>
    <w:rsid w:val="008A5B6E"/>
    <w:rsid w:val="008A5BB7"/>
    <w:rsid w:val="008A5BC5"/>
    <w:rsid w:val="008A5C6F"/>
    <w:rsid w:val="008A5C76"/>
    <w:rsid w:val="008A5D62"/>
    <w:rsid w:val="008A5D8B"/>
    <w:rsid w:val="008A5DE9"/>
    <w:rsid w:val="008A5E73"/>
    <w:rsid w:val="008A5EAD"/>
    <w:rsid w:val="008A5EFA"/>
    <w:rsid w:val="008A5FE0"/>
    <w:rsid w:val="008A60FA"/>
    <w:rsid w:val="008A61B3"/>
    <w:rsid w:val="008A6235"/>
    <w:rsid w:val="008A627D"/>
    <w:rsid w:val="008A629B"/>
    <w:rsid w:val="008A6364"/>
    <w:rsid w:val="008A6425"/>
    <w:rsid w:val="008A64C9"/>
    <w:rsid w:val="008A6666"/>
    <w:rsid w:val="008A66EA"/>
    <w:rsid w:val="008A674B"/>
    <w:rsid w:val="008A67BB"/>
    <w:rsid w:val="008A69C3"/>
    <w:rsid w:val="008A6A23"/>
    <w:rsid w:val="008A6A42"/>
    <w:rsid w:val="008A6A66"/>
    <w:rsid w:val="008A6AD6"/>
    <w:rsid w:val="008A6D23"/>
    <w:rsid w:val="008A6DCB"/>
    <w:rsid w:val="008A6DE7"/>
    <w:rsid w:val="008A6F66"/>
    <w:rsid w:val="008A701F"/>
    <w:rsid w:val="008A704E"/>
    <w:rsid w:val="008A706F"/>
    <w:rsid w:val="008A709B"/>
    <w:rsid w:val="008A7209"/>
    <w:rsid w:val="008A722A"/>
    <w:rsid w:val="008A7275"/>
    <w:rsid w:val="008A7427"/>
    <w:rsid w:val="008A7436"/>
    <w:rsid w:val="008A778D"/>
    <w:rsid w:val="008A786F"/>
    <w:rsid w:val="008A78AA"/>
    <w:rsid w:val="008A78D0"/>
    <w:rsid w:val="008A7921"/>
    <w:rsid w:val="008A7D30"/>
    <w:rsid w:val="008A7DE0"/>
    <w:rsid w:val="008A7E04"/>
    <w:rsid w:val="008B0057"/>
    <w:rsid w:val="008B00B9"/>
    <w:rsid w:val="008B0367"/>
    <w:rsid w:val="008B0589"/>
    <w:rsid w:val="008B0605"/>
    <w:rsid w:val="008B07A5"/>
    <w:rsid w:val="008B0825"/>
    <w:rsid w:val="008B0841"/>
    <w:rsid w:val="008B087B"/>
    <w:rsid w:val="008B093B"/>
    <w:rsid w:val="008B0A86"/>
    <w:rsid w:val="008B0A8C"/>
    <w:rsid w:val="008B0AB2"/>
    <w:rsid w:val="008B0B71"/>
    <w:rsid w:val="008B0CB7"/>
    <w:rsid w:val="008B0E54"/>
    <w:rsid w:val="008B0EA2"/>
    <w:rsid w:val="008B10EA"/>
    <w:rsid w:val="008B1149"/>
    <w:rsid w:val="008B116A"/>
    <w:rsid w:val="008B117F"/>
    <w:rsid w:val="008B1221"/>
    <w:rsid w:val="008B1227"/>
    <w:rsid w:val="008B12AC"/>
    <w:rsid w:val="008B12BC"/>
    <w:rsid w:val="008B12CC"/>
    <w:rsid w:val="008B1409"/>
    <w:rsid w:val="008B1435"/>
    <w:rsid w:val="008B1723"/>
    <w:rsid w:val="008B1892"/>
    <w:rsid w:val="008B198B"/>
    <w:rsid w:val="008B19ED"/>
    <w:rsid w:val="008B1A8C"/>
    <w:rsid w:val="008B1B15"/>
    <w:rsid w:val="008B1B24"/>
    <w:rsid w:val="008B1B7D"/>
    <w:rsid w:val="008B1B8C"/>
    <w:rsid w:val="008B1C02"/>
    <w:rsid w:val="008B1C51"/>
    <w:rsid w:val="008B1DDC"/>
    <w:rsid w:val="008B1E01"/>
    <w:rsid w:val="008B1E25"/>
    <w:rsid w:val="008B1FAC"/>
    <w:rsid w:val="008B1FBB"/>
    <w:rsid w:val="008B1FF5"/>
    <w:rsid w:val="008B20E2"/>
    <w:rsid w:val="008B214E"/>
    <w:rsid w:val="008B21C6"/>
    <w:rsid w:val="008B2260"/>
    <w:rsid w:val="008B233C"/>
    <w:rsid w:val="008B2605"/>
    <w:rsid w:val="008B26E5"/>
    <w:rsid w:val="008B28BA"/>
    <w:rsid w:val="008B2AAD"/>
    <w:rsid w:val="008B2C2D"/>
    <w:rsid w:val="008B2C58"/>
    <w:rsid w:val="008B2DA7"/>
    <w:rsid w:val="008B2F30"/>
    <w:rsid w:val="008B30C8"/>
    <w:rsid w:val="008B31FE"/>
    <w:rsid w:val="008B322E"/>
    <w:rsid w:val="008B32D0"/>
    <w:rsid w:val="008B3340"/>
    <w:rsid w:val="008B367F"/>
    <w:rsid w:val="008B37B3"/>
    <w:rsid w:val="008B37F8"/>
    <w:rsid w:val="008B3861"/>
    <w:rsid w:val="008B3A45"/>
    <w:rsid w:val="008B3A73"/>
    <w:rsid w:val="008B3A97"/>
    <w:rsid w:val="008B3C79"/>
    <w:rsid w:val="008B3CAE"/>
    <w:rsid w:val="008B3CBC"/>
    <w:rsid w:val="008B3D73"/>
    <w:rsid w:val="008B3DB7"/>
    <w:rsid w:val="008B3DC7"/>
    <w:rsid w:val="008B3E4F"/>
    <w:rsid w:val="008B3F39"/>
    <w:rsid w:val="008B3F6C"/>
    <w:rsid w:val="008B3FE6"/>
    <w:rsid w:val="008B4072"/>
    <w:rsid w:val="008B40B0"/>
    <w:rsid w:val="008B4219"/>
    <w:rsid w:val="008B4276"/>
    <w:rsid w:val="008B42B5"/>
    <w:rsid w:val="008B42EB"/>
    <w:rsid w:val="008B43A5"/>
    <w:rsid w:val="008B4612"/>
    <w:rsid w:val="008B4635"/>
    <w:rsid w:val="008B463C"/>
    <w:rsid w:val="008B475E"/>
    <w:rsid w:val="008B4798"/>
    <w:rsid w:val="008B4848"/>
    <w:rsid w:val="008B4895"/>
    <w:rsid w:val="008B489D"/>
    <w:rsid w:val="008B48DA"/>
    <w:rsid w:val="008B4A16"/>
    <w:rsid w:val="008B4AA8"/>
    <w:rsid w:val="008B4ACE"/>
    <w:rsid w:val="008B4B45"/>
    <w:rsid w:val="008B4BD6"/>
    <w:rsid w:val="008B4C14"/>
    <w:rsid w:val="008B4C28"/>
    <w:rsid w:val="008B4C5B"/>
    <w:rsid w:val="008B4D77"/>
    <w:rsid w:val="008B4D8A"/>
    <w:rsid w:val="008B4E16"/>
    <w:rsid w:val="008B4E70"/>
    <w:rsid w:val="008B4F44"/>
    <w:rsid w:val="008B505F"/>
    <w:rsid w:val="008B515D"/>
    <w:rsid w:val="008B5207"/>
    <w:rsid w:val="008B5234"/>
    <w:rsid w:val="008B537D"/>
    <w:rsid w:val="008B5403"/>
    <w:rsid w:val="008B5445"/>
    <w:rsid w:val="008B550B"/>
    <w:rsid w:val="008B55BF"/>
    <w:rsid w:val="008B55EA"/>
    <w:rsid w:val="008B5620"/>
    <w:rsid w:val="008B56B8"/>
    <w:rsid w:val="008B56E6"/>
    <w:rsid w:val="008B5722"/>
    <w:rsid w:val="008B5747"/>
    <w:rsid w:val="008B5973"/>
    <w:rsid w:val="008B5A78"/>
    <w:rsid w:val="008B5B04"/>
    <w:rsid w:val="008B5B2F"/>
    <w:rsid w:val="008B5B4B"/>
    <w:rsid w:val="008B5CDB"/>
    <w:rsid w:val="008B5D0B"/>
    <w:rsid w:val="008B5F02"/>
    <w:rsid w:val="008B5FD6"/>
    <w:rsid w:val="008B60B0"/>
    <w:rsid w:val="008B6105"/>
    <w:rsid w:val="008B6198"/>
    <w:rsid w:val="008B61A0"/>
    <w:rsid w:val="008B627C"/>
    <w:rsid w:val="008B62E1"/>
    <w:rsid w:val="008B634D"/>
    <w:rsid w:val="008B63A7"/>
    <w:rsid w:val="008B63E8"/>
    <w:rsid w:val="008B64D3"/>
    <w:rsid w:val="008B66F4"/>
    <w:rsid w:val="008B676F"/>
    <w:rsid w:val="008B6772"/>
    <w:rsid w:val="008B6777"/>
    <w:rsid w:val="008B6964"/>
    <w:rsid w:val="008B697B"/>
    <w:rsid w:val="008B6A26"/>
    <w:rsid w:val="008B6B54"/>
    <w:rsid w:val="008B6D3B"/>
    <w:rsid w:val="008B6D46"/>
    <w:rsid w:val="008B6EF7"/>
    <w:rsid w:val="008B7058"/>
    <w:rsid w:val="008B71A1"/>
    <w:rsid w:val="008B71C8"/>
    <w:rsid w:val="008B729D"/>
    <w:rsid w:val="008B72B8"/>
    <w:rsid w:val="008B72DA"/>
    <w:rsid w:val="008B734A"/>
    <w:rsid w:val="008B73E3"/>
    <w:rsid w:val="008B7607"/>
    <w:rsid w:val="008B76AA"/>
    <w:rsid w:val="008B76EF"/>
    <w:rsid w:val="008B7A70"/>
    <w:rsid w:val="008B7A8A"/>
    <w:rsid w:val="008B7B4A"/>
    <w:rsid w:val="008B7B5B"/>
    <w:rsid w:val="008B7BB7"/>
    <w:rsid w:val="008B7BDB"/>
    <w:rsid w:val="008B7BDE"/>
    <w:rsid w:val="008B7C16"/>
    <w:rsid w:val="008B7D3E"/>
    <w:rsid w:val="008B7DE1"/>
    <w:rsid w:val="008B7ECF"/>
    <w:rsid w:val="008B7F29"/>
    <w:rsid w:val="008B7F53"/>
    <w:rsid w:val="008B7F73"/>
    <w:rsid w:val="008B7F93"/>
    <w:rsid w:val="008B7FAF"/>
    <w:rsid w:val="008B7FFA"/>
    <w:rsid w:val="008C017D"/>
    <w:rsid w:val="008C01D9"/>
    <w:rsid w:val="008C030A"/>
    <w:rsid w:val="008C03B1"/>
    <w:rsid w:val="008C03B2"/>
    <w:rsid w:val="008C04EE"/>
    <w:rsid w:val="008C0591"/>
    <w:rsid w:val="008C0634"/>
    <w:rsid w:val="008C06A8"/>
    <w:rsid w:val="008C07CC"/>
    <w:rsid w:val="008C0888"/>
    <w:rsid w:val="008C08D1"/>
    <w:rsid w:val="008C0906"/>
    <w:rsid w:val="008C092B"/>
    <w:rsid w:val="008C099B"/>
    <w:rsid w:val="008C0B79"/>
    <w:rsid w:val="008C0BBF"/>
    <w:rsid w:val="008C0C9C"/>
    <w:rsid w:val="008C0D82"/>
    <w:rsid w:val="008C0E21"/>
    <w:rsid w:val="008C0EC0"/>
    <w:rsid w:val="008C0F46"/>
    <w:rsid w:val="008C0F6D"/>
    <w:rsid w:val="008C10AC"/>
    <w:rsid w:val="008C11D0"/>
    <w:rsid w:val="008C125F"/>
    <w:rsid w:val="008C133E"/>
    <w:rsid w:val="008C13E3"/>
    <w:rsid w:val="008C141B"/>
    <w:rsid w:val="008C150B"/>
    <w:rsid w:val="008C1571"/>
    <w:rsid w:val="008C15CA"/>
    <w:rsid w:val="008C15E1"/>
    <w:rsid w:val="008C15F8"/>
    <w:rsid w:val="008C1648"/>
    <w:rsid w:val="008C173D"/>
    <w:rsid w:val="008C1A86"/>
    <w:rsid w:val="008C1AA1"/>
    <w:rsid w:val="008C1B9B"/>
    <w:rsid w:val="008C1D59"/>
    <w:rsid w:val="008C1F95"/>
    <w:rsid w:val="008C1FDF"/>
    <w:rsid w:val="008C2021"/>
    <w:rsid w:val="008C20F5"/>
    <w:rsid w:val="008C2120"/>
    <w:rsid w:val="008C227E"/>
    <w:rsid w:val="008C2407"/>
    <w:rsid w:val="008C2608"/>
    <w:rsid w:val="008C26F6"/>
    <w:rsid w:val="008C29C6"/>
    <w:rsid w:val="008C29D6"/>
    <w:rsid w:val="008C2A21"/>
    <w:rsid w:val="008C2A36"/>
    <w:rsid w:val="008C2A4B"/>
    <w:rsid w:val="008C2B71"/>
    <w:rsid w:val="008C2BB2"/>
    <w:rsid w:val="008C2CAE"/>
    <w:rsid w:val="008C2CEF"/>
    <w:rsid w:val="008C2D18"/>
    <w:rsid w:val="008C2D59"/>
    <w:rsid w:val="008C2DB9"/>
    <w:rsid w:val="008C2DD2"/>
    <w:rsid w:val="008C2E5F"/>
    <w:rsid w:val="008C2EF2"/>
    <w:rsid w:val="008C2F2F"/>
    <w:rsid w:val="008C2FBD"/>
    <w:rsid w:val="008C3121"/>
    <w:rsid w:val="008C3144"/>
    <w:rsid w:val="008C3165"/>
    <w:rsid w:val="008C3199"/>
    <w:rsid w:val="008C322A"/>
    <w:rsid w:val="008C32BF"/>
    <w:rsid w:val="008C32C9"/>
    <w:rsid w:val="008C3369"/>
    <w:rsid w:val="008C343E"/>
    <w:rsid w:val="008C34E2"/>
    <w:rsid w:val="008C35BC"/>
    <w:rsid w:val="008C3758"/>
    <w:rsid w:val="008C37AB"/>
    <w:rsid w:val="008C3995"/>
    <w:rsid w:val="008C3BEF"/>
    <w:rsid w:val="008C3D0C"/>
    <w:rsid w:val="008C3D47"/>
    <w:rsid w:val="008C3D9B"/>
    <w:rsid w:val="008C416C"/>
    <w:rsid w:val="008C41BC"/>
    <w:rsid w:val="008C4255"/>
    <w:rsid w:val="008C42A8"/>
    <w:rsid w:val="008C4483"/>
    <w:rsid w:val="008C44D8"/>
    <w:rsid w:val="008C44E0"/>
    <w:rsid w:val="008C4616"/>
    <w:rsid w:val="008C4639"/>
    <w:rsid w:val="008C4763"/>
    <w:rsid w:val="008C476B"/>
    <w:rsid w:val="008C4DB4"/>
    <w:rsid w:val="008C4E2A"/>
    <w:rsid w:val="008C4E51"/>
    <w:rsid w:val="008C4E93"/>
    <w:rsid w:val="008C4EA4"/>
    <w:rsid w:val="008C4EC8"/>
    <w:rsid w:val="008C4F76"/>
    <w:rsid w:val="008C4F80"/>
    <w:rsid w:val="008C5029"/>
    <w:rsid w:val="008C50F8"/>
    <w:rsid w:val="008C5148"/>
    <w:rsid w:val="008C520F"/>
    <w:rsid w:val="008C52B3"/>
    <w:rsid w:val="008C52DC"/>
    <w:rsid w:val="008C5336"/>
    <w:rsid w:val="008C539C"/>
    <w:rsid w:val="008C5517"/>
    <w:rsid w:val="008C55B2"/>
    <w:rsid w:val="008C58B5"/>
    <w:rsid w:val="008C5935"/>
    <w:rsid w:val="008C5936"/>
    <w:rsid w:val="008C593A"/>
    <w:rsid w:val="008C5A0A"/>
    <w:rsid w:val="008C5AC7"/>
    <w:rsid w:val="008C5C5C"/>
    <w:rsid w:val="008C5DC9"/>
    <w:rsid w:val="008C5DD6"/>
    <w:rsid w:val="008C5E35"/>
    <w:rsid w:val="008C5F9F"/>
    <w:rsid w:val="008C609A"/>
    <w:rsid w:val="008C60F1"/>
    <w:rsid w:val="008C60F3"/>
    <w:rsid w:val="008C614F"/>
    <w:rsid w:val="008C6183"/>
    <w:rsid w:val="008C631E"/>
    <w:rsid w:val="008C63FB"/>
    <w:rsid w:val="008C64AC"/>
    <w:rsid w:val="008C64DA"/>
    <w:rsid w:val="008C659D"/>
    <w:rsid w:val="008C68D4"/>
    <w:rsid w:val="008C6922"/>
    <w:rsid w:val="008C69C5"/>
    <w:rsid w:val="008C6A23"/>
    <w:rsid w:val="008C6A4C"/>
    <w:rsid w:val="008C6AE8"/>
    <w:rsid w:val="008C6D32"/>
    <w:rsid w:val="008C6E37"/>
    <w:rsid w:val="008C6E8D"/>
    <w:rsid w:val="008C6F85"/>
    <w:rsid w:val="008C70C4"/>
    <w:rsid w:val="008C71DD"/>
    <w:rsid w:val="008C71E1"/>
    <w:rsid w:val="008C72E3"/>
    <w:rsid w:val="008C736B"/>
    <w:rsid w:val="008C7380"/>
    <w:rsid w:val="008C74F6"/>
    <w:rsid w:val="008C7500"/>
    <w:rsid w:val="008C75D1"/>
    <w:rsid w:val="008C77FC"/>
    <w:rsid w:val="008C79A6"/>
    <w:rsid w:val="008C7A31"/>
    <w:rsid w:val="008C7B5E"/>
    <w:rsid w:val="008C7C99"/>
    <w:rsid w:val="008C7E01"/>
    <w:rsid w:val="008C7E21"/>
    <w:rsid w:val="008C7E43"/>
    <w:rsid w:val="008C7F5E"/>
    <w:rsid w:val="008C7F6B"/>
    <w:rsid w:val="008C7F6C"/>
    <w:rsid w:val="008C7FAD"/>
    <w:rsid w:val="008D0028"/>
    <w:rsid w:val="008D01A1"/>
    <w:rsid w:val="008D0310"/>
    <w:rsid w:val="008D040D"/>
    <w:rsid w:val="008D06F3"/>
    <w:rsid w:val="008D0795"/>
    <w:rsid w:val="008D07FF"/>
    <w:rsid w:val="008D0802"/>
    <w:rsid w:val="008D0940"/>
    <w:rsid w:val="008D098F"/>
    <w:rsid w:val="008D09E7"/>
    <w:rsid w:val="008D0B13"/>
    <w:rsid w:val="008D0C13"/>
    <w:rsid w:val="008D0C2A"/>
    <w:rsid w:val="008D0C48"/>
    <w:rsid w:val="008D0CD7"/>
    <w:rsid w:val="008D0DF2"/>
    <w:rsid w:val="008D0EAD"/>
    <w:rsid w:val="008D1058"/>
    <w:rsid w:val="008D118C"/>
    <w:rsid w:val="008D139F"/>
    <w:rsid w:val="008D143A"/>
    <w:rsid w:val="008D14E2"/>
    <w:rsid w:val="008D1588"/>
    <w:rsid w:val="008D1699"/>
    <w:rsid w:val="008D1979"/>
    <w:rsid w:val="008D19FB"/>
    <w:rsid w:val="008D1B22"/>
    <w:rsid w:val="008D1BEB"/>
    <w:rsid w:val="008D1BF7"/>
    <w:rsid w:val="008D1CCD"/>
    <w:rsid w:val="008D1D32"/>
    <w:rsid w:val="008D1DF9"/>
    <w:rsid w:val="008D1DFD"/>
    <w:rsid w:val="008D1E3F"/>
    <w:rsid w:val="008D1F47"/>
    <w:rsid w:val="008D20D5"/>
    <w:rsid w:val="008D20EA"/>
    <w:rsid w:val="008D2247"/>
    <w:rsid w:val="008D244D"/>
    <w:rsid w:val="008D24E1"/>
    <w:rsid w:val="008D267D"/>
    <w:rsid w:val="008D268B"/>
    <w:rsid w:val="008D26F5"/>
    <w:rsid w:val="008D2824"/>
    <w:rsid w:val="008D2829"/>
    <w:rsid w:val="008D28F5"/>
    <w:rsid w:val="008D2916"/>
    <w:rsid w:val="008D2927"/>
    <w:rsid w:val="008D2A05"/>
    <w:rsid w:val="008D2ABD"/>
    <w:rsid w:val="008D2AC5"/>
    <w:rsid w:val="008D2C5E"/>
    <w:rsid w:val="008D2D81"/>
    <w:rsid w:val="008D2F2C"/>
    <w:rsid w:val="008D2F93"/>
    <w:rsid w:val="008D3211"/>
    <w:rsid w:val="008D328C"/>
    <w:rsid w:val="008D32E5"/>
    <w:rsid w:val="008D334B"/>
    <w:rsid w:val="008D33AA"/>
    <w:rsid w:val="008D3532"/>
    <w:rsid w:val="008D358D"/>
    <w:rsid w:val="008D3634"/>
    <w:rsid w:val="008D36B6"/>
    <w:rsid w:val="008D38AC"/>
    <w:rsid w:val="008D3966"/>
    <w:rsid w:val="008D3A2A"/>
    <w:rsid w:val="008D3AF3"/>
    <w:rsid w:val="008D3B42"/>
    <w:rsid w:val="008D3B66"/>
    <w:rsid w:val="008D3C14"/>
    <w:rsid w:val="008D3C83"/>
    <w:rsid w:val="008D3D7D"/>
    <w:rsid w:val="008D3D8A"/>
    <w:rsid w:val="008D3DFE"/>
    <w:rsid w:val="008D3FD7"/>
    <w:rsid w:val="008D3FEF"/>
    <w:rsid w:val="008D408E"/>
    <w:rsid w:val="008D40D3"/>
    <w:rsid w:val="008D421B"/>
    <w:rsid w:val="008D4345"/>
    <w:rsid w:val="008D4417"/>
    <w:rsid w:val="008D445D"/>
    <w:rsid w:val="008D4489"/>
    <w:rsid w:val="008D45E5"/>
    <w:rsid w:val="008D4618"/>
    <w:rsid w:val="008D462D"/>
    <w:rsid w:val="008D4666"/>
    <w:rsid w:val="008D468B"/>
    <w:rsid w:val="008D4809"/>
    <w:rsid w:val="008D48EE"/>
    <w:rsid w:val="008D4A3E"/>
    <w:rsid w:val="008D4A3F"/>
    <w:rsid w:val="008D4B03"/>
    <w:rsid w:val="008D4B82"/>
    <w:rsid w:val="008D4CB2"/>
    <w:rsid w:val="008D4DB2"/>
    <w:rsid w:val="008D4E35"/>
    <w:rsid w:val="008D4E58"/>
    <w:rsid w:val="008D5026"/>
    <w:rsid w:val="008D5080"/>
    <w:rsid w:val="008D50D4"/>
    <w:rsid w:val="008D5103"/>
    <w:rsid w:val="008D510C"/>
    <w:rsid w:val="008D5114"/>
    <w:rsid w:val="008D5235"/>
    <w:rsid w:val="008D52B3"/>
    <w:rsid w:val="008D53C1"/>
    <w:rsid w:val="008D542C"/>
    <w:rsid w:val="008D547D"/>
    <w:rsid w:val="008D5490"/>
    <w:rsid w:val="008D5513"/>
    <w:rsid w:val="008D5565"/>
    <w:rsid w:val="008D55CF"/>
    <w:rsid w:val="008D5680"/>
    <w:rsid w:val="008D56B4"/>
    <w:rsid w:val="008D5782"/>
    <w:rsid w:val="008D5789"/>
    <w:rsid w:val="008D57C3"/>
    <w:rsid w:val="008D5865"/>
    <w:rsid w:val="008D59B2"/>
    <w:rsid w:val="008D59D1"/>
    <w:rsid w:val="008D5A1C"/>
    <w:rsid w:val="008D5A76"/>
    <w:rsid w:val="008D5B01"/>
    <w:rsid w:val="008D5B75"/>
    <w:rsid w:val="008D5BA3"/>
    <w:rsid w:val="008D5C27"/>
    <w:rsid w:val="008D5E04"/>
    <w:rsid w:val="008D5F14"/>
    <w:rsid w:val="008D5F35"/>
    <w:rsid w:val="008D60E5"/>
    <w:rsid w:val="008D60FC"/>
    <w:rsid w:val="008D6124"/>
    <w:rsid w:val="008D6135"/>
    <w:rsid w:val="008D61A8"/>
    <w:rsid w:val="008D61D3"/>
    <w:rsid w:val="008D639B"/>
    <w:rsid w:val="008D6481"/>
    <w:rsid w:val="008D64CD"/>
    <w:rsid w:val="008D6589"/>
    <w:rsid w:val="008D66DE"/>
    <w:rsid w:val="008D6742"/>
    <w:rsid w:val="008D6A1C"/>
    <w:rsid w:val="008D6A43"/>
    <w:rsid w:val="008D6AED"/>
    <w:rsid w:val="008D6B24"/>
    <w:rsid w:val="008D6B39"/>
    <w:rsid w:val="008D6B58"/>
    <w:rsid w:val="008D6C68"/>
    <w:rsid w:val="008D6CF9"/>
    <w:rsid w:val="008D6DE8"/>
    <w:rsid w:val="008D6DF4"/>
    <w:rsid w:val="008D6E01"/>
    <w:rsid w:val="008D6E3B"/>
    <w:rsid w:val="008D6F03"/>
    <w:rsid w:val="008D6F72"/>
    <w:rsid w:val="008D6FAB"/>
    <w:rsid w:val="008D701B"/>
    <w:rsid w:val="008D7021"/>
    <w:rsid w:val="008D7059"/>
    <w:rsid w:val="008D70F0"/>
    <w:rsid w:val="008D7149"/>
    <w:rsid w:val="008D7196"/>
    <w:rsid w:val="008D71C4"/>
    <w:rsid w:val="008D7204"/>
    <w:rsid w:val="008D725F"/>
    <w:rsid w:val="008D7390"/>
    <w:rsid w:val="008D744E"/>
    <w:rsid w:val="008D7471"/>
    <w:rsid w:val="008D74BD"/>
    <w:rsid w:val="008D75B5"/>
    <w:rsid w:val="008D75DE"/>
    <w:rsid w:val="008D768B"/>
    <w:rsid w:val="008D7713"/>
    <w:rsid w:val="008D7784"/>
    <w:rsid w:val="008D77AA"/>
    <w:rsid w:val="008D792E"/>
    <w:rsid w:val="008D7979"/>
    <w:rsid w:val="008D7996"/>
    <w:rsid w:val="008D7A41"/>
    <w:rsid w:val="008D7C29"/>
    <w:rsid w:val="008D7C65"/>
    <w:rsid w:val="008D7D04"/>
    <w:rsid w:val="008D7E2D"/>
    <w:rsid w:val="008D7F06"/>
    <w:rsid w:val="008D7F93"/>
    <w:rsid w:val="008D7F9A"/>
    <w:rsid w:val="008D7FBD"/>
    <w:rsid w:val="008E0051"/>
    <w:rsid w:val="008E0142"/>
    <w:rsid w:val="008E0359"/>
    <w:rsid w:val="008E05D8"/>
    <w:rsid w:val="008E0666"/>
    <w:rsid w:val="008E08EB"/>
    <w:rsid w:val="008E0B8D"/>
    <w:rsid w:val="008E0BFD"/>
    <w:rsid w:val="008E0C0A"/>
    <w:rsid w:val="008E0DE5"/>
    <w:rsid w:val="008E0E3F"/>
    <w:rsid w:val="008E0E84"/>
    <w:rsid w:val="008E0E9D"/>
    <w:rsid w:val="008E0EBB"/>
    <w:rsid w:val="008E1145"/>
    <w:rsid w:val="008E1202"/>
    <w:rsid w:val="008E123D"/>
    <w:rsid w:val="008E1258"/>
    <w:rsid w:val="008E12FE"/>
    <w:rsid w:val="008E13B3"/>
    <w:rsid w:val="008E1400"/>
    <w:rsid w:val="008E140F"/>
    <w:rsid w:val="008E1431"/>
    <w:rsid w:val="008E1446"/>
    <w:rsid w:val="008E145F"/>
    <w:rsid w:val="008E14BC"/>
    <w:rsid w:val="008E1514"/>
    <w:rsid w:val="008E155A"/>
    <w:rsid w:val="008E1592"/>
    <w:rsid w:val="008E17F0"/>
    <w:rsid w:val="008E198D"/>
    <w:rsid w:val="008E1A25"/>
    <w:rsid w:val="008E1B40"/>
    <w:rsid w:val="008E1C3B"/>
    <w:rsid w:val="008E1E76"/>
    <w:rsid w:val="008E1E80"/>
    <w:rsid w:val="008E20B9"/>
    <w:rsid w:val="008E20DF"/>
    <w:rsid w:val="008E222B"/>
    <w:rsid w:val="008E2258"/>
    <w:rsid w:val="008E2517"/>
    <w:rsid w:val="008E25EF"/>
    <w:rsid w:val="008E2617"/>
    <w:rsid w:val="008E2635"/>
    <w:rsid w:val="008E276D"/>
    <w:rsid w:val="008E27C0"/>
    <w:rsid w:val="008E28A9"/>
    <w:rsid w:val="008E2A08"/>
    <w:rsid w:val="008E2CB0"/>
    <w:rsid w:val="008E2D28"/>
    <w:rsid w:val="008E2D7C"/>
    <w:rsid w:val="008E2D82"/>
    <w:rsid w:val="008E2E0F"/>
    <w:rsid w:val="008E2E76"/>
    <w:rsid w:val="008E2F23"/>
    <w:rsid w:val="008E2F4E"/>
    <w:rsid w:val="008E2F97"/>
    <w:rsid w:val="008E3163"/>
    <w:rsid w:val="008E321E"/>
    <w:rsid w:val="008E3279"/>
    <w:rsid w:val="008E3387"/>
    <w:rsid w:val="008E33FF"/>
    <w:rsid w:val="008E34C0"/>
    <w:rsid w:val="008E34E4"/>
    <w:rsid w:val="008E35E9"/>
    <w:rsid w:val="008E36F2"/>
    <w:rsid w:val="008E378C"/>
    <w:rsid w:val="008E37F5"/>
    <w:rsid w:val="008E3809"/>
    <w:rsid w:val="008E3885"/>
    <w:rsid w:val="008E3A43"/>
    <w:rsid w:val="008E3BA2"/>
    <w:rsid w:val="008E3C4C"/>
    <w:rsid w:val="008E3C7B"/>
    <w:rsid w:val="008E3C85"/>
    <w:rsid w:val="008E3C90"/>
    <w:rsid w:val="008E3CFF"/>
    <w:rsid w:val="008E3D70"/>
    <w:rsid w:val="008E3D97"/>
    <w:rsid w:val="008E3E53"/>
    <w:rsid w:val="008E405E"/>
    <w:rsid w:val="008E41C9"/>
    <w:rsid w:val="008E4205"/>
    <w:rsid w:val="008E428C"/>
    <w:rsid w:val="008E4416"/>
    <w:rsid w:val="008E448F"/>
    <w:rsid w:val="008E453E"/>
    <w:rsid w:val="008E466D"/>
    <w:rsid w:val="008E4671"/>
    <w:rsid w:val="008E477A"/>
    <w:rsid w:val="008E47C8"/>
    <w:rsid w:val="008E4875"/>
    <w:rsid w:val="008E498D"/>
    <w:rsid w:val="008E4A12"/>
    <w:rsid w:val="008E4A5F"/>
    <w:rsid w:val="008E4BC6"/>
    <w:rsid w:val="008E4C1A"/>
    <w:rsid w:val="008E4C35"/>
    <w:rsid w:val="008E4C85"/>
    <w:rsid w:val="008E4CDB"/>
    <w:rsid w:val="008E4CF7"/>
    <w:rsid w:val="008E4F4E"/>
    <w:rsid w:val="008E5056"/>
    <w:rsid w:val="008E50E4"/>
    <w:rsid w:val="008E5159"/>
    <w:rsid w:val="008E5258"/>
    <w:rsid w:val="008E52F9"/>
    <w:rsid w:val="008E546F"/>
    <w:rsid w:val="008E55AB"/>
    <w:rsid w:val="008E55B8"/>
    <w:rsid w:val="008E561D"/>
    <w:rsid w:val="008E5700"/>
    <w:rsid w:val="008E584B"/>
    <w:rsid w:val="008E5869"/>
    <w:rsid w:val="008E58F7"/>
    <w:rsid w:val="008E5912"/>
    <w:rsid w:val="008E5A13"/>
    <w:rsid w:val="008E5AC0"/>
    <w:rsid w:val="008E5B9B"/>
    <w:rsid w:val="008E5CC9"/>
    <w:rsid w:val="008E5E38"/>
    <w:rsid w:val="008E5EDF"/>
    <w:rsid w:val="008E61A6"/>
    <w:rsid w:val="008E61F2"/>
    <w:rsid w:val="008E6257"/>
    <w:rsid w:val="008E6375"/>
    <w:rsid w:val="008E638D"/>
    <w:rsid w:val="008E641F"/>
    <w:rsid w:val="008E64CD"/>
    <w:rsid w:val="008E6563"/>
    <w:rsid w:val="008E6676"/>
    <w:rsid w:val="008E66EA"/>
    <w:rsid w:val="008E6711"/>
    <w:rsid w:val="008E6735"/>
    <w:rsid w:val="008E67DA"/>
    <w:rsid w:val="008E6845"/>
    <w:rsid w:val="008E6899"/>
    <w:rsid w:val="008E68D4"/>
    <w:rsid w:val="008E6902"/>
    <w:rsid w:val="008E69AF"/>
    <w:rsid w:val="008E6A7F"/>
    <w:rsid w:val="008E6ADE"/>
    <w:rsid w:val="008E6C80"/>
    <w:rsid w:val="008E6CC0"/>
    <w:rsid w:val="008E6CCA"/>
    <w:rsid w:val="008E6FEF"/>
    <w:rsid w:val="008E709E"/>
    <w:rsid w:val="008E71DC"/>
    <w:rsid w:val="008E7294"/>
    <w:rsid w:val="008E72E7"/>
    <w:rsid w:val="008E7385"/>
    <w:rsid w:val="008E73DC"/>
    <w:rsid w:val="008E7434"/>
    <w:rsid w:val="008E745A"/>
    <w:rsid w:val="008E7623"/>
    <w:rsid w:val="008E781B"/>
    <w:rsid w:val="008E7C65"/>
    <w:rsid w:val="008E7C6E"/>
    <w:rsid w:val="008E7C8D"/>
    <w:rsid w:val="008E7CFA"/>
    <w:rsid w:val="008E7DBE"/>
    <w:rsid w:val="008E7E15"/>
    <w:rsid w:val="008E7EAA"/>
    <w:rsid w:val="008E7F4C"/>
    <w:rsid w:val="008E7FB1"/>
    <w:rsid w:val="008F0014"/>
    <w:rsid w:val="008F0131"/>
    <w:rsid w:val="008F01B1"/>
    <w:rsid w:val="008F01DD"/>
    <w:rsid w:val="008F0494"/>
    <w:rsid w:val="008F04B9"/>
    <w:rsid w:val="008F04D4"/>
    <w:rsid w:val="008F0595"/>
    <w:rsid w:val="008F05D4"/>
    <w:rsid w:val="008F06BC"/>
    <w:rsid w:val="008F0A59"/>
    <w:rsid w:val="008F0AB2"/>
    <w:rsid w:val="008F0B1F"/>
    <w:rsid w:val="008F0B61"/>
    <w:rsid w:val="008F0C57"/>
    <w:rsid w:val="008F0CFB"/>
    <w:rsid w:val="008F0CFD"/>
    <w:rsid w:val="008F0D18"/>
    <w:rsid w:val="008F0D2D"/>
    <w:rsid w:val="008F0DCD"/>
    <w:rsid w:val="008F0E1F"/>
    <w:rsid w:val="008F0E58"/>
    <w:rsid w:val="008F0F7B"/>
    <w:rsid w:val="008F0FB0"/>
    <w:rsid w:val="008F100B"/>
    <w:rsid w:val="008F1121"/>
    <w:rsid w:val="008F119D"/>
    <w:rsid w:val="008F11BF"/>
    <w:rsid w:val="008F1223"/>
    <w:rsid w:val="008F1312"/>
    <w:rsid w:val="008F1649"/>
    <w:rsid w:val="008F165E"/>
    <w:rsid w:val="008F1675"/>
    <w:rsid w:val="008F16C6"/>
    <w:rsid w:val="008F1775"/>
    <w:rsid w:val="008F1799"/>
    <w:rsid w:val="008F17E7"/>
    <w:rsid w:val="008F18B7"/>
    <w:rsid w:val="008F1A11"/>
    <w:rsid w:val="008F1A3F"/>
    <w:rsid w:val="008F1B2F"/>
    <w:rsid w:val="008F1B90"/>
    <w:rsid w:val="008F1CA8"/>
    <w:rsid w:val="008F1D82"/>
    <w:rsid w:val="008F1E88"/>
    <w:rsid w:val="008F1FBD"/>
    <w:rsid w:val="008F2065"/>
    <w:rsid w:val="008F20B9"/>
    <w:rsid w:val="008F210B"/>
    <w:rsid w:val="008F2113"/>
    <w:rsid w:val="008F232B"/>
    <w:rsid w:val="008F2530"/>
    <w:rsid w:val="008F2669"/>
    <w:rsid w:val="008F270E"/>
    <w:rsid w:val="008F2727"/>
    <w:rsid w:val="008F2897"/>
    <w:rsid w:val="008F2B85"/>
    <w:rsid w:val="008F2BF9"/>
    <w:rsid w:val="008F2C91"/>
    <w:rsid w:val="008F2CA3"/>
    <w:rsid w:val="008F2D14"/>
    <w:rsid w:val="008F2D59"/>
    <w:rsid w:val="008F2D5E"/>
    <w:rsid w:val="008F2D7F"/>
    <w:rsid w:val="008F2DAA"/>
    <w:rsid w:val="008F2DBA"/>
    <w:rsid w:val="008F2DDA"/>
    <w:rsid w:val="008F2E8A"/>
    <w:rsid w:val="008F2F13"/>
    <w:rsid w:val="008F2F5F"/>
    <w:rsid w:val="008F2FC3"/>
    <w:rsid w:val="008F3037"/>
    <w:rsid w:val="008F304F"/>
    <w:rsid w:val="008F3159"/>
    <w:rsid w:val="008F3214"/>
    <w:rsid w:val="008F353B"/>
    <w:rsid w:val="008F35B5"/>
    <w:rsid w:val="008F35DD"/>
    <w:rsid w:val="008F3703"/>
    <w:rsid w:val="008F3910"/>
    <w:rsid w:val="008F3AB3"/>
    <w:rsid w:val="008F3AD8"/>
    <w:rsid w:val="008F3B6C"/>
    <w:rsid w:val="008F3C58"/>
    <w:rsid w:val="008F3D16"/>
    <w:rsid w:val="008F3D68"/>
    <w:rsid w:val="008F3D85"/>
    <w:rsid w:val="008F3EB4"/>
    <w:rsid w:val="008F4257"/>
    <w:rsid w:val="008F4286"/>
    <w:rsid w:val="008F449D"/>
    <w:rsid w:val="008F449E"/>
    <w:rsid w:val="008F460B"/>
    <w:rsid w:val="008F4715"/>
    <w:rsid w:val="008F4721"/>
    <w:rsid w:val="008F47FA"/>
    <w:rsid w:val="008F4820"/>
    <w:rsid w:val="008F490E"/>
    <w:rsid w:val="008F492A"/>
    <w:rsid w:val="008F4946"/>
    <w:rsid w:val="008F494B"/>
    <w:rsid w:val="008F4A8B"/>
    <w:rsid w:val="008F4B27"/>
    <w:rsid w:val="008F4B4F"/>
    <w:rsid w:val="008F4BB6"/>
    <w:rsid w:val="008F4D4D"/>
    <w:rsid w:val="008F4DDB"/>
    <w:rsid w:val="008F4E46"/>
    <w:rsid w:val="008F50E8"/>
    <w:rsid w:val="008F5168"/>
    <w:rsid w:val="008F5238"/>
    <w:rsid w:val="008F52DB"/>
    <w:rsid w:val="008F53BE"/>
    <w:rsid w:val="008F53EE"/>
    <w:rsid w:val="008F5509"/>
    <w:rsid w:val="008F553A"/>
    <w:rsid w:val="008F555E"/>
    <w:rsid w:val="008F5599"/>
    <w:rsid w:val="008F55C4"/>
    <w:rsid w:val="008F55E7"/>
    <w:rsid w:val="008F5617"/>
    <w:rsid w:val="008F565C"/>
    <w:rsid w:val="008F565F"/>
    <w:rsid w:val="008F5678"/>
    <w:rsid w:val="008F5725"/>
    <w:rsid w:val="008F579A"/>
    <w:rsid w:val="008F58C2"/>
    <w:rsid w:val="008F5B16"/>
    <w:rsid w:val="008F5C39"/>
    <w:rsid w:val="008F5C67"/>
    <w:rsid w:val="008F5C80"/>
    <w:rsid w:val="008F5D2A"/>
    <w:rsid w:val="008F5DC2"/>
    <w:rsid w:val="008F5E73"/>
    <w:rsid w:val="008F5F0D"/>
    <w:rsid w:val="008F5F1D"/>
    <w:rsid w:val="008F5F28"/>
    <w:rsid w:val="008F6019"/>
    <w:rsid w:val="008F6150"/>
    <w:rsid w:val="008F61B4"/>
    <w:rsid w:val="008F61E1"/>
    <w:rsid w:val="008F6309"/>
    <w:rsid w:val="008F63EA"/>
    <w:rsid w:val="008F63FE"/>
    <w:rsid w:val="008F6510"/>
    <w:rsid w:val="008F6555"/>
    <w:rsid w:val="008F66F3"/>
    <w:rsid w:val="008F6760"/>
    <w:rsid w:val="008F68B9"/>
    <w:rsid w:val="008F692B"/>
    <w:rsid w:val="008F69D6"/>
    <w:rsid w:val="008F69E0"/>
    <w:rsid w:val="008F6C1B"/>
    <w:rsid w:val="008F6CD8"/>
    <w:rsid w:val="008F6D0B"/>
    <w:rsid w:val="008F6D2A"/>
    <w:rsid w:val="008F6DA4"/>
    <w:rsid w:val="008F6EEE"/>
    <w:rsid w:val="008F7035"/>
    <w:rsid w:val="008F7160"/>
    <w:rsid w:val="008F7169"/>
    <w:rsid w:val="008F717B"/>
    <w:rsid w:val="008F71E1"/>
    <w:rsid w:val="008F727D"/>
    <w:rsid w:val="008F7418"/>
    <w:rsid w:val="008F7494"/>
    <w:rsid w:val="008F74EB"/>
    <w:rsid w:val="008F7506"/>
    <w:rsid w:val="008F7527"/>
    <w:rsid w:val="008F7547"/>
    <w:rsid w:val="008F76E5"/>
    <w:rsid w:val="008F7775"/>
    <w:rsid w:val="008F7855"/>
    <w:rsid w:val="008F791B"/>
    <w:rsid w:val="008F7945"/>
    <w:rsid w:val="008F79CD"/>
    <w:rsid w:val="008F79E6"/>
    <w:rsid w:val="008F7A60"/>
    <w:rsid w:val="008F7B26"/>
    <w:rsid w:val="008F7B4A"/>
    <w:rsid w:val="008F7E2F"/>
    <w:rsid w:val="008F7E9F"/>
    <w:rsid w:val="008F7ED4"/>
    <w:rsid w:val="008F7F13"/>
    <w:rsid w:val="008F7F60"/>
    <w:rsid w:val="008F7FA6"/>
    <w:rsid w:val="008F7FE3"/>
    <w:rsid w:val="0090005A"/>
    <w:rsid w:val="00900092"/>
    <w:rsid w:val="009000A5"/>
    <w:rsid w:val="009000BB"/>
    <w:rsid w:val="009000FF"/>
    <w:rsid w:val="0090018A"/>
    <w:rsid w:val="0090035A"/>
    <w:rsid w:val="00900416"/>
    <w:rsid w:val="00900427"/>
    <w:rsid w:val="00900564"/>
    <w:rsid w:val="0090058B"/>
    <w:rsid w:val="0090065F"/>
    <w:rsid w:val="00900660"/>
    <w:rsid w:val="0090072F"/>
    <w:rsid w:val="009007B8"/>
    <w:rsid w:val="0090086F"/>
    <w:rsid w:val="0090088E"/>
    <w:rsid w:val="00900E18"/>
    <w:rsid w:val="00900E28"/>
    <w:rsid w:val="00900E4E"/>
    <w:rsid w:val="00900F7C"/>
    <w:rsid w:val="00900F95"/>
    <w:rsid w:val="00900FB2"/>
    <w:rsid w:val="009010A0"/>
    <w:rsid w:val="009011A2"/>
    <w:rsid w:val="009011CF"/>
    <w:rsid w:val="0090123F"/>
    <w:rsid w:val="009012DB"/>
    <w:rsid w:val="0090139F"/>
    <w:rsid w:val="0090142D"/>
    <w:rsid w:val="00901567"/>
    <w:rsid w:val="0090161C"/>
    <w:rsid w:val="00901655"/>
    <w:rsid w:val="0090165E"/>
    <w:rsid w:val="00901688"/>
    <w:rsid w:val="009016C3"/>
    <w:rsid w:val="00901760"/>
    <w:rsid w:val="009017A3"/>
    <w:rsid w:val="0090193D"/>
    <w:rsid w:val="00901A8A"/>
    <w:rsid w:val="00901CA5"/>
    <w:rsid w:val="00901CEA"/>
    <w:rsid w:val="00901D69"/>
    <w:rsid w:val="00901D6D"/>
    <w:rsid w:val="00901DC8"/>
    <w:rsid w:val="00901DF1"/>
    <w:rsid w:val="00901FA6"/>
    <w:rsid w:val="00902075"/>
    <w:rsid w:val="00902354"/>
    <w:rsid w:val="00902387"/>
    <w:rsid w:val="0090238D"/>
    <w:rsid w:val="009023B6"/>
    <w:rsid w:val="00902404"/>
    <w:rsid w:val="0090248D"/>
    <w:rsid w:val="009024EC"/>
    <w:rsid w:val="00902752"/>
    <w:rsid w:val="0090289A"/>
    <w:rsid w:val="009028A2"/>
    <w:rsid w:val="00902913"/>
    <w:rsid w:val="009029FB"/>
    <w:rsid w:val="00902B45"/>
    <w:rsid w:val="00902C41"/>
    <w:rsid w:val="00902E65"/>
    <w:rsid w:val="00902F8E"/>
    <w:rsid w:val="00902FCD"/>
    <w:rsid w:val="009030BE"/>
    <w:rsid w:val="00903133"/>
    <w:rsid w:val="0090319F"/>
    <w:rsid w:val="009032AE"/>
    <w:rsid w:val="009032BD"/>
    <w:rsid w:val="00903369"/>
    <w:rsid w:val="009033AB"/>
    <w:rsid w:val="009033B4"/>
    <w:rsid w:val="009035B7"/>
    <w:rsid w:val="00903745"/>
    <w:rsid w:val="0090391B"/>
    <w:rsid w:val="00903C63"/>
    <w:rsid w:val="00903CFD"/>
    <w:rsid w:val="00903D34"/>
    <w:rsid w:val="00903D4A"/>
    <w:rsid w:val="00903D77"/>
    <w:rsid w:val="00903F17"/>
    <w:rsid w:val="00904282"/>
    <w:rsid w:val="00904391"/>
    <w:rsid w:val="009043E0"/>
    <w:rsid w:val="009043ED"/>
    <w:rsid w:val="0090441C"/>
    <w:rsid w:val="0090483E"/>
    <w:rsid w:val="0090487C"/>
    <w:rsid w:val="009049E2"/>
    <w:rsid w:val="00904AB6"/>
    <w:rsid w:val="00904BCE"/>
    <w:rsid w:val="00904C70"/>
    <w:rsid w:val="00904CAC"/>
    <w:rsid w:val="00904DD2"/>
    <w:rsid w:val="00904DD9"/>
    <w:rsid w:val="00904E44"/>
    <w:rsid w:val="00904FCA"/>
    <w:rsid w:val="0090512A"/>
    <w:rsid w:val="009051D3"/>
    <w:rsid w:val="009051EC"/>
    <w:rsid w:val="00905268"/>
    <w:rsid w:val="00905368"/>
    <w:rsid w:val="009053C3"/>
    <w:rsid w:val="009053D1"/>
    <w:rsid w:val="00905465"/>
    <w:rsid w:val="00905487"/>
    <w:rsid w:val="00905581"/>
    <w:rsid w:val="009056B3"/>
    <w:rsid w:val="009056BF"/>
    <w:rsid w:val="00905725"/>
    <w:rsid w:val="00905736"/>
    <w:rsid w:val="00905746"/>
    <w:rsid w:val="009057E1"/>
    <w:rsid w:val="00905830"/>
    <w:rsid w:val="00905960"/>
    <w:rsid w:val="009059A7"/>
    <w:rsid w:val="009059F7"/>
    <w:rsid w:val="00905A87"/>
    <w:rsid w:val="00905BD8"/>
    <w:rsid w:val="00905BEE"/>
    <w:rsid w:val="00905C13"/>
    <w:rsid w:val="00905C28"/>
    <w:rsid w:val="00905C79"/>
    <w:rsid w:val="00905C80"/>
    <w:rsid w:val="00905D12"/>
    <w:rsid w:val="00905F79"/>
    <w:rsid w:val="00905F8D"/>
    <w:rsid w:val="00906081"/>
    <w:rsid w:val="00906119"/>
    <w:rsid w:val="0090614E"/>
    <w:rsid w:val="0090625D"/>
    <w:rsid w:val="0090627C"/>
    <w:rsid w:val="009062C2"/>
    <w:rsid w:val="00906733"/>
    <w:rsid w:val="009067A7"/>
    <w:rsid w:val="0090692A"/>
    <w:rsid w:val="00906980"/>
    <w:rsid w:val="009069AB"/>
    <w:rsid w:val="009069ED"/>
    <w:rsid w:val="00906D12"/>
    <w:rsid w:val="00906DC6"/>
    <w:rsid w:val="00906EF0"/>
    <w:rsid w:val="00906F7E"/>
    <w:rsid w:val="00907078"/>
    <w:rsid w:val="009070CA"/>
    <w:rsid w:val="009070D8"/>
    <w:rsid w:val="009071F6"/>
    <w:rsid w:val="009072B4"/>
    <w:rsid w:val="00907437"/>
    <w:rsid w:val="00907445"/>
    <w:rsid w:val="00907468"/>
    <w:rsid w:val="0090746A"/>
    <w:rsid w:val="009074E9"/>
    <w:rsid w:val="00907502"/>
    <w:rsid w:val="00907689"/>
    <w:rsid w:val="0090778F"/>
    <w:rsid w:val="0090785D"/>
    <w:rsid w:val="0090791E"/>
    <w:rsid w:val="009079D9"/>
    <w:rsid w:val="00907BA4"/>
    <w:rsid w:val="00907BAE"/>
    <w:rsid w:val="00907CD3"/>
    <w:rsid w:val="00907D0D"/>
    <w:rsid w:val="00907DE1"/>
    <w:rsid w:val="00907DFB"/>
    <w:rsid w:val="00907E92"/>
    <w:rsid w:val="00907F12"/>
    <w:rsid w:val="00907FAB"/>
    <w:rsid w:val="00910018"/>
    <w:rsid w:val="0091008F"/>
    <w:rsid w:val="0091009B"/>
    <w:rsid w:val="009101E2"/>
    <w:rsid w:val="00910524"/>
    <w:rsid w:val="009106EB"/>
    <w:rsid w:val="00910765"/>
    <w:rsid w:val="0091076E"/>
    <w:rsid w:val="00910A55"/>
    <w:rsid w:val="00910FA5"/>
    <w:rsid w:val="00911036"/>
    <w:rsid w:val="0091121C"/>
    <w:rsid w:val="009112CE"/>
    <w:rsid w:val="009112FE"/>
    <w:rsid w:val="00911337"/>
    <w:rsid w:val="00911357"/>
    <w:rsid w:val="00911427"/>
    <w:rsid w:val="009114EA"/>
    <w:rsid w:val="00911574"/>
    <w:rsid w:val="0091169F"/>
    <w:rsid w:val="00911716"/>
    <w:rsid w:val="00911770"/>
    <w:rsid w:val="009119A5"/>
    <w:rsid w:val="00911A27"/>
    <w:rsid w:val="00911A46"/>
    <w:rsid w:val="00911B37"/>
    <w:rsid w:val="00911B74"/>
    <w:rsid w:val="00911C73"/>
    <w:rsid w:val="00911D9D"/>
    <w:rsid w:val="00911E7B"/>
    <w:rsid w:val="00911EDE"/>
    <w:rsid w:val="009120EE"/>
    <w:rsid w:val="0091211F"/>
    <w:rsid w:val="009122E3"/>
    <w:rsid w:val="009124DF"/>
    <w:rsid w:val="009126D3"/>
    <w:rsid w:val="0091292E"/>
    <w:rsid w:val="00912A48"/>
    <w:rsid w:val="00912D76"/>
    <w:rsid w:val="00912E7A"/>
    <w:rsid w:val="00912EC9"/>
    <w:rsid w:val="0091304B"/>
    <w:rsid w:val="0091310B"/>
    <w:rsid w:val="00913130"/>
    <w:rsid w:val="009131B8"/>
    <w:rsid w:val="009132EF"/>
    <w:rsid w:val="009134C1"/>
    <w:rsid w:val="009134C6"/>
    <w:rsid w:val="009134CB"/>
    <w:rsid w:val="009135D1"/>
    <w:rsid w:val="009135E4"/>
    <w:rsid w:val="0091364A"/>
    <w:rsid w:val="0091370D"/>
    <w:rsid w:val="00913714"/>
    <w:rsid w:val="0091371A"/>
    <w:rsid w:val="0091383A"/>
    <w:rsid w:val="0091385D"/>
    <w:rsid w:val="00913874"/>
    <w:rsid w:val="0091387F"/>
    <w:rsid w:val="00913904"/>
    <w:rsid w:val="0091390F"/>
    <w:rsid w:val="0091392B"/>
    <w:rsid w:val="00913A75"/>
    <w:rsid w:val="00913A8C"/>
    <w:rsid w:val="00913B95"/>
    <w:rsid w:val="00913C7D"/>
    <w:rsid w:val="0091416F"/>
    <w:rsid w:val="009141D3"/>
    <w:rsid w:val="00914229"/>
    <w:rsid w:val="00914250"/>
    <w:rsid w:val="0091444D"/>
    <w:rsid w:val="00914464"/>
    <w:rsid w:val="0091446B"/>
    <w:rsid w:val="00914479"/>
    <w:rsid w:val="00914530"/>
    <w:rsid w:val="00914539"/>
    <w:rsid w:val="009145C4"/>
    <w:rsid w:val="00914635"/>
    <w:rsid w:val="00914763"/>
    <w:rsid w:val="00914791"/>
    <w:rsid w:val="00914815"/>
    <w:rsid w:val="0091485A"/>
    <w:rsid w:val="00914958"/>
    <w:rsid w:val="009149B8"/>
    <w:rsid w:val="009149E0"/>
    <w:rsid w:val="00914AB0"/>
    <w:rsid w:val="00914AD5"/>
    <w:rsid w:val="00914B98"/>
    <w:rsid w:val="00914C8D"/>
    <w:rsid w:val="00914D63"/>
    <w:rsid w:val="00914DCD"/>
    <w:rsid w:val="00914DF0"/>
    <w:rsid w:val="00914F26"/>
    <w:rsid w:val="00914F2F"/>
    <w:rsid w:val="00914F43"/>
    <w:rsid w:val="00914FBB"/>
    <w:rsid w:val="0091500E"/>
    <w:rsid w:val="009150B9"/>
    <w:rsid w:val="009150BF"/>
    <w:rsid w:val="0091519A"/>
    <w:rsid w:val="00915201"/>
    <w:rsid w:val="009152AD"/>
    <w:rsid w:val="0091551E"/>
    <w:rsid w:val="0091557B"/>
    <w:rsid w:val="0091566D"/>
    <w:rsid w:val="009157B6"/>
    <w:rsid w:val="009157EA"/>
    <w:rsid w:val="009158E0"/>
    <w:rsid w:val="0091594E"/>
    <w:rsid w:val="00915953"/>
    <w:rsid w:val="009159E1"/>
    <w:rsid w:val="00915A36"/>
    <w:rsid w:val="00915A8D"/>
    <w:rsid w:val="00915A93"/>
    <w:rsid w:val="00915B0B"/>
    <w:rsid w:val="00915B1F"/>
    <w:rsid w:val="00915BA9"/>
    <w:rsid w:val="00915BD7"/>
    <w:rsid w:val="00915CFF"/>
    <w:rsid w:val="00915D87"/>
    <w:rsid w:val="00915E25"/>
    <w:rsid w:val="00915E6F"/>
    <w:rsid w:val="00915F43"/>
    <w:rsid w:val="00915F45"/>
    <w:rsid w:val="00916020"/>
    <w:rsid w:val="00916132"/>
    <w:rsid w:val="00916150"/>
    <w:rsid w:val="009161CD"/>
    <w:rsid w:val="0091620C"/>
    <w:rsid w:val="009162BE"/>
    <w:rsid w:val="00916363"/>
    <w:rsid w:val="00916537"/>
    <w:rsid w:val="0091655B"/>
    <w:rsid w:val="0091670D"/>
    <w:rsid w:val="00916754"/>
    <w:rsid w:val="009167DE"/>
    <w:rsid w:val="009167F1"/>
    <w:rsid w:val="00916869"/>
    <w:rsid w:val="00916873"/>
    <w:rsid w:val="009169E0"/>
    <w:rsid w:val="00916A14"/>
    <w:rsid w:val="00916A21"/>
    <w:rsid w:val="00916A4A"/>
    <w:rsid w:val="00916ACB"/>
    <w:rsid w:val="00916C96"/>
    <w:rsid w:val="00916EC6"/>
    <w:rsid w:val="0091701B"/>
    <w:rsid w:val="00917043"/>
    <w:rsid w:val="0091708C"/>
    <w:rsid w:val="0091715C"/>
    <w:rsid w:val="00917171"/>
    <w:rsid w:val="00917293"/>
    <w:rsid w:val="009173A7"/>
    <w:rsid w:val="00917522"/>
    <w:rsid w:val="0091759D"/>
    <w:rsid w:val="009176CF"/>
    <w:rsid w:val="009176D8"/>
    <w:rsid w:val="00917701"/>
    <w:rsid w:val="00917B37"/>
    <w:rsid w:val="00917B85"/>
    <w:rsid w:val="00917C14"/>
    <w:rsid w:val="00917C41"/>
    <w:rsid w:val="00917C44"/>
    <w:rsid w:val="00917D06"/>
    <w:rsid w:val="00917D19"/>
    <w:rsid w:val="00917E29"/>
    <w:rsid w:val="00917E4A"/>
    <w:rsid w:val="0091E3E0"/>
    <w:rsid w:val="009202B0"/>
    <w:rsid w:val="00920358"/>
    <w:rsid w:val="00920360"/>
    <w:rsid w:val="0092042C"/>
    <w:rsid w:val="00920563"/>
    <w:rsid w:val="00920581"/>
    <w:rsid w:val="00920627"/>
    <w:rsid w:val="009206F4"/>
    <w:rsid w:val="009207A8"/>
    <w:rsid w:val="009208FA"/>
    <w:rsid w:val="00920CC9"/>
    <w:rsid w:val="00920DE3"/>
    <w:rsid w:val="00920FCD"/>
    <w:rsid w:val="0092103B"/>
    <w:rsid w:val="00921094"/>
    <w:rsid w:val="0092109F"/>
    <w:rsid w:val="00921179"/>
    <w:rsid w:val="00921187"/>
    <w:rsid w:val="009211C0"/>
    <w:rsid w:val="009211F4"/>
    <w:rsid w:val="00921376"/>
    <w:rsid w:val="009213AF"/>
    <w:rsid w:val="009214CF"/>
    <w:rsid w:val="009214F6"/>
    <w:rsid w:val="00921544"/>
    <w:rsid w:val="0092157B"/>
    <w:rsid w:val="00921621"/>
    <w:rsid w:val="00921630"/>
    <w:rsid w:val="0092182D"/>
    <w:rsid w:val="00921C00"/>
    <w:rsid w:val="00921CA5"/>
    <w:rsid w:val="00921CF7"/>
    <w:rsid w:val="00921DC3"/>
    <w:rsid w:val="00921F79"/>
    <w:rsid w:val="00922040"/>
    <w:rsid w:val="009220AA"/>
    <w:rsid w:val="009220B2"/>
    <w:rsid w:val="009220E1"/>
    <w:rsid w:val="00922198"/>
    <w:rsid w:val="009221AC"/>
    <w:rsid w:val="00922322"/>
    <w:rsid w:val="009223CC"/>
    <w:rsid w:val="0092241F"/>
    <w:rsid w:val="009224C8"/>
    <w:rsid w:val="009224E9"/>
    <w:rsid w:val="00922549"/>
    <w:rsid w:val="009225A3"/>
    <w:rsid w:val="0092265E"/>
    <w:rsid w:val="009226C8"/>
    <w:rsid w:val="00922827"/>
    <w:rsid w:val="00922847"/>
    <w:rsid w:val="0092286A"/>
    <w:rsid w:val="009228F0"/>
    <w:rsid w:val="009229AC"/>
    <w:rsid w:val="009229BA"/>
    <w:rsid w:val="009229FF"/>
    <w:rsid w:val="00922A5D"/>
    <w:rsid w:val="00922B83"/>
    <w:rsid w:val="00922BB7"/>
    <w:rsid w:val="00922C3E"/>
    <w:rsid w:val="00922C43"/>
    <w:rsid w:val="00922C9A"/>
    <w:rsid w:val="00922F29"/>
    <w:rsid w:val="00922F2E"/>
    <w:rsid w:val="00922F4C"/>
    <w:rsid w:val="00922FB4"/>
    <w:rsid w:val="00922FE6"/>
    <w:rsid w:val="00923060"/>
    <w:rsid w:val="00923095"/>
    <w:rsid w:val="00923124"/>
    <w:rsid w:val="00923182"/>
    <w:rsid w:val="00923233"/>
    <w:rsid w:val="0092324C"/>
    <w:rsid w:val="009232CC"/>
    <w:rsid w:val="009233AA"/>
    <w:rsid w:val="0092341C"/>
    <w:rsid w:val="009234D0"/>
    <w:rsid w:val="00923594"/>
    <w:rsid w:val="00923624"/>
    <w:rsid w:val="00923843"/>
    <w:rsid w:val="009238E0"/>
    <w:rsid w:val="009238E5"/>
    <w:rsid w:val="009239C0"/>
    <w:rsid w:val="009239C8"/>
    <w:rsid w:val="009239CD"/>
    <w:rsid w:val="00923C5F"/>
    <w:rsid w:val="00923D9C"/>
    <w:rsid w:val="00923DE5"/>
    <w:rsid w:val="00923E31"/>
    <w:rsid w:val="00923E41"/>
    <w:rsid w:val="00923E73"/>
    <w:rsid w:val="00923E7B"/>
    <w:rsid w:val="00923E84"/>
    <w:rsid w:val="009240A1"/>
    <w:rsid w:val="009240F3"/>
    <w:rsid w:val="00924115"/>
    <w:rsid w:val="009241F5"/>
    <w:rsid w:val="0092422B"/>
    <w:rsid w:val="00924275"/>
    <w:rsid w:val="009242B9"/>
    <w:rsid w:val="009244B1"/>
    <w:rsid w:val="009244F3"/>
    <w:rsid w:val="0092457C"/>
    <w:rsid w:val="00924673"/>
    <w:rsid w:val="00924744"/>
    <w:rsid w:val="00924789"/>
    <w:rsid w:val="009247F4"/>
    <w:rsid w:val="0092495D"/>
    <w:rsid w:val="0092498D"/>
    <w:rsid w:val="00924C00"/>
    <w:rsid w:val="00924C4E"/>
    <w:rsid w:val="00924CF4"/>
    <w:rsid w:val="00924F73"/>
    <w:rsid w:val="00925023"/>
    <w:rsid w:val="00925119"/>
    <w:rsid w:val="0092519E"/>
    <w:rsid w:val="009251F9"/>
    <w:rsid w:val="0092531F"/>
    <w:rsid w:val="009253DE"/>
    <w:rsid w:val="00925587"/>
    <w:rsid w:val="00925679"/>
    <w:rsid w:val="00925870"/>
    <w:rsid w:val="00925893"/>
    <w:rsid w:val="00925957"/>
    <w:rsid w:val="00925B39"/>
    <w:rsid w:val="00925C09"/>
    <w:rsid w:val="00925C74"/>
    <w:rsid w:val="00925CCB"/>
    <w:rsid w:val="00925D52"/>
    <w:rsid w:val="00925D8F"/>
    <w:rsid w:val="00925DB0"/>
    <w:rsid w:val="00925E49"/>
    <w:rsid w:val="00925F72"/>
    <w:rsid w:val="00925FA5"/>
    <w:rsid w:val="00926115"/>
    <w:rsid w:val="00926137"/>
    <w:rsid w:val="00926198"/>
    <w:rsid w:val="0092625D"/>
    <w:rsid w:val="009262B4"/>
    <w:rsid w:val="009262C1"/>
    <w:rsid w:val="009262FB"/>
    <w:rsid w:val="009265E7"/>
    <w:rsid w:val="009265E9"/>
    <w:rsid w:val="00926613"/>
    <w:rsid w:val="009266D6"/>
    <w:rsid w:val="00926719"/>
    <w:rsid w:val="0092672F"/>
    <w:rsid w:val="00926789"/>
    <w:rsid w:val="0092678D"/>
    <w:rsid w:val="00926808"/>
    <w:rsid w:val="00926844"/>
    <w:rsid w:val="0092687E"/>
    <w:rsid w:val="009268D9"/>
    <w:rsid w:val="00926916"/>
    <w:rsid w:val="00926A4C"/>
    <w:rsid w:val="00926B75"/>
    <w:rsid w:val="00926C8C"/>
    <w:rsid w:val="00926D5B"/>
    <w:rsid w:val="00926E25"/>
    <w:rsid w:val="00926ED1"/>
    <w:rsid w:val="00927158"/>
    <w:rsid w:val="009271B3"/>
    <w:rsid w:val="0092726C"/>
    <w:rsid w:val="00927288"/>
    <w:rsid w:val="009273DD"/>
    <w:rsid w:val="00927423"/>
    <w:rsid w:val="0092747A"/>
    <w:rsid w:val="009274E5"/>
    <w:rsid w:val="00927570"/>
    <w:rsid w:val="00927582"/>
    <w:rsid w:val="009275F4"/>
    <w:rsid w:val="0092793F"/>
    <w:rsid w:val="00927AB0"/>
    <w:rsid w:val="00927AE8"/>
    <w:rsid w:val="00927B89"/>
    <w:rsid w:val="00927CF2"/>
    <w:rsid w:val="00927D8B"/>
    <w:rsid w:val="00927EE4"/>
    <w:rsid w:val="00927F2B"/>
    <w:rsid w:val="00927F53"/>
    <w:rsid w:val="009300A6"/>
    <w:rsid w:val="009300AF"/>
    <w:rsid w:val="009301DC"/>
    <w:rsid w:val="009301F9"/>
    <w:rsid w:val="00930235"/>
    <w:rsid w:val="00930287"/>
    <w:rsid w:val="009302EA"/>
    <w:rsid w:val="009305E0"/>
    <w:rsid w:val="009305E9"/>
    <w:rsid w:val="00930736"/>
    <w:rsid w:val="009307BD"/>
    <w:rsid w:val="009307E5"/>
    <w:rsid w:val="00930895"/>
    <w:rsid w:val="009308FC"/>
    <w:rsid w:val="00930935"/>
    <w:rsid w:val="00930C40"/>
    <w:rsid w:val="00930C8C"/>
    <w:rsid w:val="00930CD3"/>
    <w:rsid w:val="00930CF2"/>
    <w:rsid w:val="00930D41"/>
    <w:rsid w:val="00930D63"/>
    <w:rsid w:val="00930EE5"/>
    <w:rsid w:val="00930F20"/>
    <w:rsid w:val="009310E2"/>
    <w:rsid w:val="0093115C"/>
    <w:rsid w:val="009311AF"/>
    <w:rsid w:val="00931201"/>
    <w:rsid w:val="00931289"/>
    <w:rsid w:val="0093131A"/>
    <w:rsid w:val="00931320"/>
    <w:rsid w:val="00931357"/>
    <w:rsid w:val="009313A9"/>
    <w:rsid w:val="00931677"/>
    <w:rsid w:val="00931681"/>
    <w:rsid w:val="0093174B"/>
    <w:rsid w:val="0093174D"/>
    <w:rsid w:val="0093186F"/>
    <w:rsid w:val="009318D5"/>
    <w:rsid w:val="009318DA"/>
    <w:rsid w:val="00931966"/>
    <w:rsid w:val="00931CAB"/>
    <w:rsid w:val="00931CF9"/>
    <w:rsid w:val="009320D5"/>
    <w:rsid w:val="0093215C"/>
    <w:rsid w:val="009321DF"/>
    <w:rsid w:val="00932256"/>
    <w:rsid w:val="009322EE"/>
    <w:rsid w:val="0093235E"/>
    <w:rsid w:val="0093258A"/>
    <w:rsid w:val="009326D4"/>
    <w:rsid w:val="009326DB"/>
    <w:rsid w:val="0093275A"/>
    <w:rsid w:val="009327EE"/>
    <w:rsid w:val="00932864"/>
    <w:rsid w:val="009328BE"/>
    <w:rsid w:val="009328C5"/>
    <w:rsid w:val="009329F0"/>
    <w:rsid w:val="00932A62"/>
    <w:rsid w:val="00932A79"/>
    <w:rsid w:val="00932A99"/>
    <w:rsid w:val="00932B4E"/>
    <w:rsid w:val="00932CCB"/>
    <w:rsid w:val="00932D67"/>
    <w:rsid w:val="00932DCE"/>
    <w:rsid w:val="00932F63"/>
    <w:rsid w:val="0093300B"/>
    <w:rsid w:val="009330DD"/>
    <w:rsid w:val="009330E3"/>
    <w:rsid w:val="00933103"/>
    <w:rsid w:val="009331EE"/>
    <w:rsid w:val="0093328A"/>
    <w:rsid w:val="009332D4"/>
    <w:rsid w:val="0093336C"/>
    <w:rsid w:val="00933375"/>
    <w:rsid w:val="009334D5"/>
    <w:rsid w:val="00933517"/>
    <w:rsid w:val="00933566"/>
    <w:rsid w:val="009335F6"/>
    <w:rsid w:val="0093362B"/>
    <w:rsid w:val="0093366E"/>
    <w:rsid w:val="00933859"/>
    <w:rsid w:val="0093385B"/>
    <w:rsid w:val="009338CE"/>
    <w:rsid w:val="009338CF"/>
    <w:rsid w:val="00933DFB"/>
    <w:rsid w:val="00933E5D"/>
    <w:rsid w:val="00933E65"/>
    <w:rsid w:val="00933EAE"/>
    <w:rsid w:val="00933F09"/>
    <w:rsid w:val="00933F90"/>
    <w:rsid w:val="00933FCD"/>
    <w:rsid w:val="009340A8"/>
    <w:rsid w:val="009341C7"/>
    <w:rsid w:val="00934217"/>
    <w:rsid w:val="00934351"/>
    <w:rsid w:val="009343A8"/>
    <w:rsid w:val="0093444E"/>
    <w:rsid w:val="0093449E"/>
    <w:rsid w:val="009345A7"/>
    <w:rsid w:val="0093469B"/>
    <w:rsid w:val="009346C3"/>
    <w:rsid w:val="009346C6"/>
    <w:rsid w:val="009347A2"/>
    <w:rsid w:val="009347C0"/>
    <w:rsid w:val="0093487E"/>
    <w:rsid w:val="009348A3"/>
    <w:rsid w:val="00934952"/>
    <w:rsid w:val="009349A5"/>
    <w:rsid w:val="00934A32"/>
    <w:rsid w:val="00934B4A"/>
    <w:rsid w:val="00934B5D"/>
    <w:rsid w:val="00934CF5"/>
    <w:rsid w:val="00934D8A"/>
    <w:rsid w:val="00934E15"/>
    <w:rsid w:val="00934E75"/>
    <w:rsid w:val="00934F8E"/>
    <w:rsid w:val="00934FA7"/>
    <w:rsid w:val="0093501C"/>
    <w:rsid w:val="00935052"/>
    <w:rsid w:val="009351AD"/>
    <w:rsid w:val="00935225"/>
    <w:rsid w:val="00935388"/>
    <w:rsid w:val="009353F1"/>
    <w:rsid w:val="00935485"/>
    <w:rsid w:val="009354BC"/>
    <w:rsid w:val="0093555C"/>
    <w:rsid w:val="009355A4"/>
    <w:rsid w:val="009355E1"/>
    <w:rsid w:val="0093569A"/>
    <w:rsid w:val="00935836"/>
    <w:rsid w:val="009358A6"/>
    <w:rsid w:val="009358F7"/>
    <w:rsid w:val="009358F8"/>
    <w:rsid w:val="0093599D"/>
    <w:rsid w:val="009359BB"/>
    <w:rsid w:val="00935A44"/>
    <w:rsid w:val="00935A87"/>
    <w:rsid w:val="00935B1A"/>
    <w:rsid w:val="00935B76"/>
    <w:rsid w:val="00935B89"/>
    <w:rsid w:val="00935C3F"/>
    <w:rsid w:val="00935D72"/>
    <w:rsid w:val="00935E75"/>
    <w:rsid w:val="00935F15"/>
    <w:rsid w:val="00935F77"/>
    <w:rsid w:val="0093604E"/>
    <w:rsid w:val="009360BB"/>
    <w:rsid w:val="009362FB"/>
    <w:rsid w:val="009363B3"/>
    <w:rsid w:val="0093654F"/>
    <w:rsid w:val="00936617"/>
    <w:rsid w:val="00936648"/>
    <w:rsid w:val="00936674"/>
    <w:rsid w:val="009366E1"/>
    <w:rsid w:val="00936769"/>
    <w:rsid w:val="00936799"/>
    <w:rsid w:val="0093682A"/>
    <w:rsid w:val="009368A5"/>
    <w:rsid w:val="009368BC"/>
    <w:rsid w:val="00936928"/>
    <w:rsid w:val="00936935"/>
    <w:rsid w:val="00936936"/>
    <w:rsid w:val="0093699D"/>
    <w:rsid w:val="00936A6D"/>
    <w:rsid w:val="00936AA5"/>
    <w:rsid w:val="00936BBB"/>
    <w:rsid w:val="00936C09"/>
    <w:rsid w:val="00936E86"/>
    <w:rsid w:val="00936F08"/>
    <w:rsid w:val="0093705F"/>
    <w:rsid w:val="009370ED"/>
    <w:rsid w:val="00937186"/>
    <w:rsid w:val="00937388"/>
    <w:rsid w:val="00937462"/>
    <w:rsid w:val="00937497"/>
    <w:rsid w:val="009374C5"/>
    <w:rsid w:val="00937677"/>
    <w:rsid w:val="009376E9"/>
    <w:rsid w:val="00937708"/>
    <w:rsid w:val="00937710"/>
    <w:rsid w:val="00937727"/>
    <w:rsid w:val="009379DC"/>
    <w:rsid w:val="00937AD8"/>
    <w:rsid w:val="00937B03"/>
    <w:rsid w:val="00937CBA"/>
    <w:rsid w:val="00937CF3"/>
    <w:rsid w:val="00937DAA"/>
    <w:rsid w:val="00937E72"/>
    <w:rsid w:val="009398F5"/>
    <w:rsid w:val="00940008"/>
    <w:rsid w:val="0094003F"/>
    <w:rsid w:val="0094028C"/>
    <w:rsid w:val="00940293"/>
    <w:rsid w:val="009402DC"/>
    <w:rsid w:val="009403AC"/>
    <w:rsid w:val="009403F6"/>
    <w:rsid w:val="00940485"/>
    <w:rsid w:val="00940546"/>
    <w:rsid w:val="0094054C"/>
    <w:rsid w:val="009405D6"/>
    <w:rsid w:val="009406A2"/>
    <w:rsid w:val="009406F1"/>
    <w:rsid w:val="00940769"/>
    <w:rsid w:val="0094088A"/>
    <w:rsid w:val="0094089E"/>
    <w:rsid w:val="00940917"/>
    <w:rsid w:val="00940A70"/>
    <w:rsid w:val="00940A7B"/>
    <w:rsid w:val="00940AE5"/>
    <w:rsid w:val="00940B32"/>
    <w:rsid w:val="00940BDB"/>
    <w:rsid w:val="00940C73"/>
    <w:rsid w:val="00940D95"/>
    <w:rsid w:val="00940E72"/>
    <w:rsid w:val="00940EAA"/>
    <w:rsid w:val="00940F42"/>
    <w:rsid w:val="00940F7A"/>
    <w:rsid w:val="00940FB3"/>
    <w:rsid w:val="00941073"/>
    <w:rsid w:val="00941121"/>
    <w:rsid w:val="009412A4"/>
    <w:rsid w:val="009413A3"/>
    <w:rsid w:val="0094159D"/>
    <w:rsid w:val="009415AC"/>
    <w:rsid w:val="00941663"/>
    <w:rsid w:val="00941733"/>
    <w:rsid w:val="009417F3"/>
    <w:rsid w:val="009419F2"/>
    <w:rsid w:val="00941A35"/>
    <w:rsid w:val="00941AB6"/>
    <w:rsid w:val="00941B7F"/>
    <w:rsid w:val="00941E9F"/>
    <w:rsid w:val="00941EAF"/>
    <w:rsid w:val="00941F93"/>
    <w:rsid w:val="00942022"/>
    <w:rsid w:val="009420F8"/>
    <w:rsid w:val="00942156"/>
    <w:rsid w:val="00942343"/>
    <w:rsid w:val="00942378"/>
    <w:rsid w:val="00942479"/>
    <w:rsid w:val="009424FE"/>
    <w:rsid w:val="00942507"/>
    <w:rsid w:val="00942570"/>
    <w:rsid w:val="009425C4"/>
    <w:rsid w:val="00942631"/>
    <w:rsid w:val="00942692"/>
    <w:rsid w:val="009426F0"/>
    <w:rsid w:val="00942A45"/>
    <w:rsid w:val="00942B0D"/>
    <w:rsid w:val="00942B16"/>
    <w:rsid w:val="00942BEC"/>
    <w:rsid w:val="00942E49"/>
    <w:rsid w:val="00942E89"/>
    <w:rsid w:val="00943021"/>
    <w:rsid w:val="009430A5"/>
    <w:rsid w:val="009430FA"/>
    <w:rsid w:val="00943100"/>
    <w:rsid w:val="009431FC"/>
    <w:rsid w:val="00943359"/>
    <w:rsid w:val="009433B8"/>
    <w:rsid w:val="00943436"/>
    <w:rsid w:val="00943449"/>
    <w:rsid w:val="0094344E"/>
    <w:rsid w:val="009435E7"/>
    <w:rsid w:val="00943710"/>
    <w:rsid w:val="00943730"/>
    <w:rsid w:val="00943AA6"/>
    <w:rsid w:val="00943C00"/>
    <w:rsid w:val="00943E9E"/>
    <w:rsid w:val="00943EB1"/>
    <w:rsid w:val="00943F05"/>
    <w:rsid w:val="00944003"/>
    <w:rsid w:val="00944170"/>
    <w:rsid w:val="009441CD"/>
    <w:rsid w:val="00944330"/>
    <w:rsid w:val="00944373"/>
    <w:rsid w:val="009443B9"/>
    <w:rsid w:val="009443E5"/>
    <w:rsid w:val="0094442C"/>
    <w:rsid w:val="00944486"/>
    <w:rsid w:val="009444EB"/>
    <w:rsid w:val="00944557"/>
    <w:rsid w:val="00944580"/>
    <w:rsid w:val="0094463B"/>
    <w:rsid w:val="00944890"/>
    <w:rsid w:val="0094493E"/>
    <w:rsid w:val="00944994"/>
    <w:rsid w:val="009449DD"/>
    <w:rsid w:val="00944A89"/>
    <w:rsid w:val="00944AE9"/>
    <w:rsid w:val="00944C1F"/>
    <w:rsid w:val="00944DE0"/>
    <w:rsid w:val="00944E71"/>
    <w:rsid w:val="00944EC3"/>
    <w:rsid w:val="00944FCF"/>
    <w:rsid w:val="00945023"/>
    <w:rsid w:val="009450A5"/>
    <w:rsid w:val="00945180"/>
    <w:rsid w:val="009451A1"/>
    <w:rsid w:val="00945284"/>
    <w:rsid w:val="009452DE"/>
    <w:rsid w:val="00945304"/>
    <w:rsid w:val="009453F2"/>
    <w:rsid w:val="0094548B"/>
    <w:rsid w:val="009455BC"/>
    <w:rsid w:val="009455D9"/>
    <w:rsid w:val="009455DC"/>
    <w:rsid w:val="00945655"/>
    <w:rsid w:val="00945715"/>
    <w:rsid w:val="00945777"/>
    <w:rsid w:val="009457BF"/>
    <w:rsid w:val="00945824"/>
    <w:rsid w:val="00945841"/>
    <w:rsid w:val="0094586C"/>
    <w:rsid w:val="00945950"/>
    <w:rsid w:val="00945966"/>
    <w:rsid w:val="00945A64"/>
    <w:rsid w:val="00945A98"/>
    <w:rsid w:val="00945AE0"/>
    <w:rsid w:val="00945C64"/>
    <w:rsid w:val="00945C78"/>
    <w:rsid w:val="00945D31"/>
    <w:rsid w:val="00945D67"/>
    <w:rsid w:val="00945E81"/>
    <w:rsid w:val="00945FBD"/>
    <w:rsid w:val="009460D6"/>
    <w:rsid w:val="009460E0"/>
    <w:rsid w:val="0094625C"/>
    <w:rsid w:val="00946369"/>
    <w:rsid w:val="009463EB"/>
    <w:rsid w:val="00946474"/>
    <w:rsid w:val="009464CE"/>
    <w:rsid w:val="009465C4"/>
    <w:rsid w:val="009466F2"/>
    <w:rsid w:val="009467B6"/>
    <w:rsid w:val="009467DE"/>
    <w:rsid w:val="00946898"/>
    <w:rsid w:val="009468B7"/>
    <w:rsid w:val="00946AE7"/>
    <w:rsid w:val="00946B0A"/>
    <w:rsid w:val="00946B6A"/>
    <w:rsid w:val="00946C25"/>
    <w:rsid w:val="00946D4D"/>
    <w:rsid w:val="00946D57"/>
    <w:rsid w:val="00946E2E"/>
    <w:rsid w:val="00946E57"/>
    <w:rsid w:val="00946E83"/>
    <w:rsid w:val="00946F1D"/>
    <w:rsid w:val="00946F55"/>
    <w:rsid w:val="00946FFF"/>
    <w:rsid w:val="0094721A"/>
    <w:rsid w:val="00947226"/>
    <w:rsid w:val="00947301"/>
    <w:rsid w:val="00947428"/>
    <w:rsid w:val="0094746B"/>
    <w:rsid w:val="0094746E"/>
    <w:rsid w:val="00947470"/>
    <w:rsid w:val="00947477"/>
    <w:rsid w:val="009475E2"/>
    <w:rsid w:val="00947623"/>
    <w:rsid w:val="00947679"/>
    <w:rsid w:val="0094769F"/>
    <w:rsid w:val="009476BF"/>
    <w:rsid w:val="009476F9"/>
    <w:rsid w:val="00947753"/>
    <w:rsid w:val="009477D6"/>
    <w:rsid w:val="00947813"/>
    <w:rsid w:val="009478B9"/>
    <w:rsid w:val="00947A20"/>
    <w:rsid w:val="00947A2C"/>
    <w:rsid w:val="00947A43"/>
    <w:rsid w:val="00947AC8"/>
    <w:rsid w:val="00947BA7"/>
    <w:rsid w:val="00947C96"/>
    <w:rsid w:val="00947E65"/>
    <w:rsid w:val="0095002D"/>
    <w:rsid w:val="0095006C"/>
    <w:rsid w:val="00950092"/>
    <w:rsid w:val="00950100"/>
    <w:rsid w:val="009501C2"/>
    <w:rsid w:val="00950223"/>
    <w:rsid w:val="009502B2"/>
    <w:rsid w:val="00950338"/>
    <w:rsid w:val="0095033B"/>
    <w:rsid w:val="0095063A"/>
    <w:rsid w:val="00950685"/>
    <w:rsid w:val="0095069C"/>
    <w:rsid w:val="00950713"/>
    <w:rsid w:val="0095084F"/>
    <w:rsid w:val="0095094F"/>
    <w:rsid w:val="0095095E"/>
    <w:rsid w:val="009509C0"/>
    <w:rsid w:val="00950A4A"/>
    <w:rsid w:val="00950ADC"/>
    <w:rsid w:val="00950AFE"/>
    <w:rsid w:val="00950BAE"/>
    <w:rsid w:val="00950C9D"/>
    <w:rsid w:val="00950CBE"/>
    <w:rsid w:val="00950D5C"/>
    <w:rsid w:val="00950D9D"/>
    <w:rsid w:val="00950DEE"/>
    <w:rsid w:val="00950E79"/>
    <w:rsid w:val="00950F85"/>
    <w:rsid w:val="00951022"/>
    <w:rsid w:val="00951093"/>
    <w:rsid w:val="009510BC"/>
    <w:rsid w:val="009511EA"/>
    <w:rsid w:val="00951209"/>
    <w:rsid w:val="0095123B"/>
    <w:rsid w:val="00951240"/>
    <w:rsid w:val="0095129E"/>
    <w:rsid w:val="009512E3"/>
    <w:rsid w:val="009513EF"/>
    <w:rsid w:val="009513F1"/>
    <w:rsid w:val="00951405"/>
    <w:rsid w:val="0095157F"/>
    <w:rsid w:val="009515A9"/>
    <w:rsid w:val="009515C1"/>
    <w:rsid w:val="00951628"/>
    <w:rsid w:val="00951719"/>
    <w:rsid w:val="00951814"/>
    <w:rsid w:val="009519D0"/>
    <w:rsid w:val="009519EB"/>
    <w:rsid w:val="00951A1F"/>
    <w:rsid w:val="00951A64"/>
    <w:rsid w:val="00951B3E"/>
    <w:rsid w:val="00951D02"/>
    <w:rsid w:val="00951D10"/>
    <w:rsid w:val="00951D30"/>
    <w:rsid w:val="00951DEC"/>
    <w:rsid w:val="00951EF7"/>
    <w:rsid w:val="00952013"/>
    <w:rsid w:val="00952050"/>
    <w:rsid w:val="00952064"/>
    <w:rsid w:val="009520F0"/>
    <w:rsid w:val="009521CB"/>
    <w:rsid w:val="009524BA"/>
    <w:rsid w:val="009524D5"/>
    <w:rsid w:val="009525AA"/>
    <w:rsid w:val="00952625"/>
    <w:rsid w:val="00952629"/>
    <w:rsid w:val="0095266A"/>
    <w:rsid w:val="00952963"/>
    <w:rsid w:val="00952966"/>
    <w:rsid w:val="009529F0"/>
    <w:rsid w:val="00952A2F"/>
    <w:rsid w:val="00952A57"/>
    <w:rsid w:val="00952BC8"/>
    <w:rsid w:val="00952C42"/>
    <w:rsid w:val="00952C56"/>
    <w:rsid w:val="00952C72"/>
    <w:rsid w:val="00952D42"/>
    <w:rsid w:val="00952D96"/>
    <w:rsid w:val="00952E77"/>
    <w:rsid w:val="00953060"/>
    <w:rsid w:val="00953099"/>
    <w:rsid w:val="009530DB"/>
    <w:rsid w:val="00953457"/>
    <w:rsid w:val="00953474"/>
    <w:rsid w:val="0095355E"/>
    <w:rsid w:val="00953897"/>
    <w:rsid w:val="00953A46"/>
    <w:rsid w:val="00953B2E"/>
    <w:rsid w:val="00953B50"/>
    <w:rsid w:val="00953B83"/>
    <w:rsid w:val="00953C14"/>
    <w:rsid w:val="00953C4E"/>
    <w:rsid w:val="00953F5C"/>
    <w:rsid w:val="00953F94"/>
    <w:rsid w:val="00953FF6"/>
    <w:rsid w:val="00954225"/>
    <w:rsid w:val="0095425B"/>
    <w:rsid w:val="00954260"/>
    <w:rsid w:val="0095439E"/>
    <w:rsid w:val="0095441A"/>
    <w:rsid w:val="00954443"/>
    <w:rsid w:val="009544B3"/>
    <w:rsid w:val="00954574"/>
    <w:rsid w:val="0095463A"/>
    <w:rsid w:val="00954729"/>
    <w:rsid w:val="00954825"/>
    <w:rsid w:val="009548F9"/>
    <w:rsid w:val="0095493C"/>
    <w:rsid w:val="009549CF"/>
    <w:rsid w:val="00954CE9"/>
    <w:rsid w:val="00954DB4"/>
    <w:rsid w:val="00954E35"/>
    <w:rsid w:val="00954EDE"/>
    <w:rsid w:val="00954FFB"/>
    <w:rsid w:val="00955245"/>
    <w:rsid w:val="0095527C"/>
    <w:rsid w:val="009553C8"/>
    <w:rsid w:val="00955429"/>
    <w:rsid w:val="00955534"/>
    <w:rsid w:val="009556B8"/>
    <w:rsid w:val="00955772"/>
    <w:rsid w:val="009558DC"/>
    <w:rsid w:val="00955AD1"/>
    <w:rsid w:val="00955DF4"/>
    <w:rsid w:val="00955E78"/>
    <w:rsid w:val="00955F20"/>
    <w:rsid w:val="00955F62"/>
    <w:rsid w:val="00955FDA"/>
    <w:rsid w:val="0095600C"/>
    <w:rsid w:val="00956165"/>
    <w:rsid w:val="009562DF"/>
    <w:rsid w:val="0095630C"/>
    <w:rsid w:val="00956330"/>
    <w:rsid w:val="0095638F"/>
    <w:rsid w:val="00956393"/>
    <w:rsid w:val="00956603"/>
    <w:rsid w:val="00956673"/>
    <w:rsid w:val="009566FC"/>
    <w:rsid w:val="0095672D"/>
    <w:rsid w:val="0095685C"/>
    <w:rsid w:val="00956998"/>
    <w:rsid w:val="009569D1"/>
    <w:rsid w:val="00956A14"/>
    <w:rsid w:val="00956AA5"/>
    <w:rsid w:val="00956ACB"/>
    <w:rsid w:val="00956BB7"/>
    <w:rsid w:val="00956C34"/>
    <w:rsid w:val="00956D68"/>
    <w:rsid w:val="00956DCB"/>
    <w:rsid w:val="00956DD5"/>
    <w:rsid w:val="00956EC5"/>
    <w:rsid w:val="00956F02"/>
    <w:rsid w:val="00956F0A"/>
    <w:rsid w:val="00957038"/>
    <w:rsid w:val="00957117"/>
    <w:rsid w:val="00957178"/>
    <w:rsid w:val="009571C4"/>
    <w:rsid w:val="009571D3"/>
    <w:rsid w:val="009571DC"/>
    <w:rsid w:val="009571F3"/>
    <w:rsid w:val="00957212"/>
    <w:rsid w:val="00957287"/>
    <w:rsid w:val="009572CB"/>
    <w:rsid w:val="009572EF"/>
    <w:rsid w:val="00957334"/>
    <w:rsid w:val="009574B8"/>
    <w:rsid w:val="0095755A"/>
    <w:rsid w:val="009576A7"/>
    <w:rsid w:val="00957957"/>
    <w:rsid w:val="009579FB"/>
    <w:rsid w:val="00957A68"/>
    <w:rsid w:val="00957C44"/>
    <w:rsid w:val="00957C52"/>
    <w:rsid w:val="00957CE5"/>
    <w:rsid w:val="00957E40"/>
    <w:rsid w:val="00957E75"/>
    <w:rsid w:val="00957FE8"/>
    <w:rsid w:val="0095C68C"/>
    <w:rsid w:val="0096008C"/>
    <w:rsid w:val="009600CF"/>
    <w:rsid w:val="009601AB"/>
    <w:rsid w:val="009601B7"/>
    <w:rsid w:val="0096033E"/>
    <w:rsid w:val="00960457"/>
    <w:rsid w:val="00960592"/>
    <w:rsid w:val="0096073B"/>
    <w:rsid w:val="009607AE"/>
    <w:rsid w:val="0096093A"/>
    <w:rsid w:val="00960B60"/>
    <w:rsid w:val="00960D37"/>
    <w:rsid w:val="00960D59"/>
    <w:rsid w:val="00960FA8"/>
    <w:rsid w:val="0096105F"/>
    <w:rsid w:val="009610BE"/>
    <w:rsid w:val="00961127"/>
    <w:rsid w:val="0096123C"/>
    <w:rsid w:val="00961684"/>
    <w:rsid w:val="009616D3"/>
    <w:rsid w:val="00961707"/>
    <w:rsid w:val="00961730"/>
    <w:rsid w:val="009617D9"/>
    <w:rsid w:val="009617F9"/>
    <w:rsid w:val="00961B41"/>
    <w:rsid w:val="00961B58"/>
    <w:rsid w:val="00961B6E"/>
    <w:rsid w:val="00961BBD"/>
    <w:rsid w:val="00961CE5"/>
    <w:rsid w:val="00961D2A"/>
    <w:rsid w:val="00961D62"/>
    <w:rsid w:val="00961DEA"/>
    <w:rsid w:val="00961ED8"/>
    <w:rsid w:val="00961F9A"/>
    <w:rsid w:val="00962074"/>
    <w:rsid w:val="009620E2"/>
    <w:rsid w:val="009620EC"/>
    <w:rsid w:val="009621E2"/>
    <w:rsid w:val="009622C4"/>
    <w:rsid w:val="00962365"/>
    <w:rsid w:val="00962401"/>
    <w:rsid w:val="0096242B"/>
    <w:rsid w:val="009624FA"/>
    <w:rsid w:val="009625B7"/>
    <w:rsid w:val="009626CC"/>
    <w:rsid w:val="0096285C"/>
    <w:rsid w:val="009628D2"/>
    <w:rsid w:val="009629C4"/>
    <w:rsid w:val="00962A27"/>
    <w:rsid w:val="00962B7E"/>
    <w:rsid w:val="00962C55"/>
    <w:rsid w:val="00962C7F"/>
    <w:rsid w:val="00962D91"/>
    <w:rsid w:val="00962E34"/>
    <w:rsid w:val="00962F01"/>
    <w:rsid w:val="00962F0D"/>
    <w:rsid w:val="00963117"/>
    <w:rsid w:val="00963254"/>
    <w:rsid w:val="0096341C"/>
    <w:rsid w:val="00963500"/>
    <w:rsid w:val="00963528"/>
    <w:rsid w:val="009635BF"/>
    <w:rsid w:val="00963658"/>
    <w:rsid w:val="009636BE"/>
    <w:rsid w:val="009636E0"/>
    <w:rsid w:val="00963743"/>
    <w:rsid w:val="00963772"/>
    <w:rsid w:val="0096386E"/>
    <w:rsid w:val="009638C8"/>
    <w:rsid w:val="00963C6A"/>
    <w:rsid w:val="00963CC5"/>
    <w:rsid w:val="00963CCF"/>
    <w:rsid w:val="00963CF2"/>
    <w:rsid w:val="00963D31"/>
    <w:rsid w:val="00963DF4"/>
    <w:rsid w:val="00963E7A"/>
    <w:rsid w:val="00963E93"/>
    <w:rsid w:val="00963E97"/>
    <w:rsid w:val="00964005"/>
    <w:rsid w:val="00964207"/>
    <w:rsid w:val="009642C4"/>
    <w:rsid w:val="00964337"/>
    <w:rsid w:val="00964551"/>
    <w:rsid w:val="00964646"/>
    <w:rsid w:val="009647D7"/>
    <w:rsid w:val="00964807"/>
    <w:rsid w:val="009648C0"/>
    <w:rsid w:val="00964AC0"/>
    <w:rsid w:val="00964EA9"/>
    <w:rsid w:val="00964F45"/>
    <w:rsid w:val="00964FA7"/>
    <w:rsid w:val="00964FE4"/>
    <w:rsid w:val="0096501D"/>
    <w:rsid w:val="00965080"/>
    <w:rsid w:val="009651EE"/>
    <w:rsid w:val="0096533A"/>
    <w:rsid w:val="009654E6"/>
    <w:rsid w:val="00965657"/>
    <w:rsid w:val="00965662"/>
    <w:rsid w:val="00965663"/>
    <w:rsid w:val="00965668"/>
    <w:rsid w:val="0096569F"/>
    <w:rsid w:val="0096578F"/>
    <w:rsid w:val="009657CF"/>
    <w:rsid w:val="009657FB"/>
    <w:rsid w:val="0096597D"/>
    <w:rsid w:val="00965B0F"/>
    <w:rsid w:val="00965C88"/>
    <w:rsid w:val="00965D51"/>
    <w:rsid w:val="00965EC0"/>
    <w:rsid w:val="00965F00"/>
    <w:rsid w:val="00965FE2"/>
    <w:rsid w:val="009660C6"/>
    <w:rsid w:val="0096611A"/>
    <w:rsid w:val="009661D1"/>
    <w:rsid w:val="009662C3"/>
    <w:rsid w:val="00966457"/>
    <w:rsid w:val="0096646A"/>
    <w:rsid w:val="0096677A"/>
    <w:rsid w:val="009668B0"/>
    <w:rsid w:val="0096691B"/>
    <w:rsid w:val="00966994"/>
    <w:rsid w:val="009669C3"/>
    <w:rsid w:val="00966A4E"/>
    <w:rsid w:val="00966B00"/>
    <w:rsid w:val="00966B0B"/>
    <w:rsid w:val="00966B34"/>
    <w:rsid w:val="00966B9B"/>
    <w:rsid w:val="00966C19"/>
    <w:rsid w:val="00966C2B"/>
    <w:rsid w:val="00966D54"/>
    <w:rsid w:val="00966DC3"/>
    <w:rsid w:val="00966DC7"/>
    <w:rsid w:val="00966E2E"/>
    <w:rsid w:val="00966E95"/>
    <w:rsid w:val="00966F8D"/>
    <w:rsid w:val="009670DA"/>
    <w:rsid w:val="0096711B"/>
    <w:rsid w:val="0096717C"/>
    <w:rsid w:val="00967284"/>
    <w:rsid w:val="00967341"/>
    <w:rsid w:val="00967374"/>
    <w:rsid w:val="0096742D"/>
    <w:rsid w:val="009674EC"/>
    <w:rsid w:val="009674F9"/>
    <w:rsid w:val="009675A8"/>
    <w:rsid w:val="009675DF"/>
    <w:rsid w:val="00967640"/>
    <w:rsid w:val="00967663"/>
    <w:rsid w:val="009676EE"/>
    <w:rsid w:val="00967944"/>
    <w:rsid w:val="009679E1"/>
    <w:rsid w:val="00967A89"/>
    <w:rsid w:val="00967A8C"/>
    <w:rsid w:val="00967B6F"/>
    <w:rsid w:val="00967C93"/>
    <w:rsid w:val="00967CFD"/>
    <w:rsid w:val="00967D09"/>
    <w:rsid w:val="00967E32"/>
    <w:rsid w:val="00967F7C"/>
    <w:rsid w:val="00967F8F"/>
    <w:rsid w:val="00967FBF"/>
    <w:rsid w:val="00970152"/>
    <w:rsid w:val="009701B8"/>
    <w:rsid w:val="00970236"/>
    <w:rsid w:val="0097039F"/>
    <w:rsid w:val="0097049A"/>
    <w:rsid w:val="009704CD"/>
    <w:rsid w:val="009706F3"/>
    <w:rsid w:val="0097086D"/>
    <w:rsid w:val="009708C8"/>
    <w:rsid w:val="009708D4"/>
    <w:rsid w:val="00970963"/>
    <w:rsid w:val="00970985"/>
    <w:rsid w:val="00970A4E"/>
    <w:rsid w:val="00970B83"/>
    <w:rsid w:val="00970BBA"/>
    <w:rsid w:val="00970BFF"/>
    <w:rsid w:val="00970F34"/>
    <w:rsid w:val="00971072"/>
    <w:rsid w:val="0097109A"/>
    <w:rsid w:val="009711ED"/>
    <w:rsid w:val="00971248"/>
    <w:rsid w:val="00971296"/>
    <w:rsid w:val="0097131D"/>
    <w:rsid w:val="009713D8"/>
    <w:rsid w:val="009714D9"/>
    <w:rsid w:val="00971582"/>
    <w:rsid w:val="0097160C"/>
    <w:rsid w:val="00971615"/>
    <w:rsid w:val="00971653"/>
    <w:rsid w:val="00971684"/>
    <w:rsid w:val="00971820"/>
    <w:rsid w:val="009718C0"/>
    <w:rsid w:val="00971910"/>
    <w:rsid w:val="00971A62"/>
    <w:rsid w:val="00971AA6"/>
    <w:rsid w:val="00971AEE"/>
    <w:rsid w:val="00971B89"/>
    <w:rsid w:val="00971C47"/>
    <w:rsid w:val="00971C97"/>
    <w:rsid w:val="00971CCF"/>
    <w:rsid w:val="00971F5C"/>
    <w:rsid w:val="00971FFD"/>
    <w:rsid w:val="00972143"/>
    <w:rsid w:val="009724DE"/>
    <w:rsid w:val="00972548"/>
    <w:rsid w:val="0097285A"/>
    <w:rsid w:val="00972B32"/>
    <w:rsid w:val="00972B3F"/>
    <w:rsid w:val="00972B79"/>
    <w:rsid w:val="00972C02"/>
    <w:rsid w:val="00972DC8"/>
    <w:rsid w:val="00972DF3"/>
    <w:rsid w:val="00972E59"/>
    <w:rsid w:val="00972E5F"/>
    <w:rsid w:val="00972E96"/>
    <w:rsid w:val="00972EDF"/>
    <w:rsid w:val="00972F85"/>
    <w:rsid w:val="00972F88"/>
    <w:rsid w:val="00972FB8"/>
    <w:rsid w:val="00973002"/>
    <w:rsid w:val="00973058"/>
    <w:rsid w:val="009731A0"/>
    <w:rsid w:val="009731E4"/>
    <w:rsid w:val="00973286"/>
    <w:rsid w:val="009732C0"/>
    <w:rsid w:val="009732DC"/>
    <w:rsid w:val="0097337A"/>
    <w:rsid w:val="00973422"/>
    <w:rsid w:val="00973491"/>
    <w:rsid w:val="009734D0"/>
    <w:rsid w:val="0097358F"/>
    <w:rsid w:val="009736B4"/>
    <w:rsid w:val="00973750"/>
    <w:rsid w:val="0097378A"/>
    <w:rsid w:val="0097383F"/>
    <w:rsid w:val="00973971"/>
    <w:rsid w:val="009739DB"/>
    <w:rsid w:val="00973B5F"/>
    <w:rsid w:val="00973C5A"/>
    <w:rsid w:val="00973CC4"/>
    <w:rsid w:val="00973E6E"/>
    <w:rsid w:val="00974059"/>
    <w:rsid w:val="009740D1"/>
    <w:rsid w:val="00974120"/>
    <w:rsid w:val="009742D3"/>
    <w:rsid w:val="009743D6"/>
    <w:rsid w:val="00974451"/>
    <w:rsid w:val="009744D5"/>
    <w:rsid w:val="009744EF"/>
    <w:rsid w:val="009744F1"/>
    <w:rsid w:val="009745B9"/>
    <w:rsid w:val="009745C5"/>
    <w:rsid w:val="009747E9"/>
    <w:rsid w:val="00974824"/>
    <w:rsid w:val="0097484A"/>
    <w:rsid w:val="0097486C"/>
    <w:rsid w:val="009749A1"/>
    <w:rsid w:val="009749B9"/>
    <w:rsid w:val="009749D0"/>
    <w:rsid w:val="00974A7F"/>
    <w:rsid w:val="00974BE8"/>
    <w:rsid w:val="00974CE8"/>
    <w:rsid w:val="00974D68"/>
    <w:rsid w:val="00974E55"/>
    <w:rsid w:val="00974E90"/>
    <w:rsid w:val="009750A5"/>
    <w:rsid w:val="009750C5"/>
    <w:rsid w:val="00975175"/>
    <w:rsid w:val="00975371"/>
    <w:rsid w:val="0097542B"/>
    <w:rsid w:val="00975469"/>
    <w:rsid w:val="009755C8"/>
    <w:rsid w:val="009755FA"/>
    <w:rsid w:val="009756B7"/>
    <w:rsid w:val="0097574D"/>
    <w:rsid w:val="0097577A"/>
    <w:rsid w:val="0097580C"/>
    <w:rsid w:val="0097599E"/>
    <w:rsid w:val="00975A23"/>
    <w:rsid w:val="00975A6B"/>
    <w:rsid w:val="00975BF7"/>
    <w:rsid w:val="00975CB7"/>
    <w:rsid w:val="00975D83"/>
    <w:rsid w:val="00975DB8"/>
    <w:rsid w:val="00975ECE"/>
    <w:rsid w:val="00975EE9"/>
    <w:rsid w:val="00975F6B"/>
    <w:rsid w:val="00976175"/>
    <w:rsid w:val="0097648E"/>
    <w:rsid w:val="009764D1"/>
    <w:rsid w:val="009765C7"/>
    <w:rsid w:val="0097662E"/>
    <w:rsid w:val="00976A19"/>
    <w:rsid w:val="00976A2A"/>
    <w:rsid w:val="00976CBE"/>
    <w:rsid w:val="00976CFD"/>
    <w:rsid w:val="00976D9F"/>
    <w:rsid w:val="00976EFC"/>
    <w:rsid w:val="00976F2F"/>
    <w:rsid w:val="00977090"/>
    <w:rsid w:val="00977147"/>
    <w:rsid w:val="009771BB"/>
    <w:rsid w:val="009772AF"/>
    <w:rsid w:val="00977350"/>
    <w:rsid w:val="00977468"/>
    <w:rsid w:val="0097751A"/>
    <w:rsid w:val="0097757D"/>
    <w:rsid w:val="009775F5"/>
    <w:rsid w:val="00977645"/>
    <w:rsid w:val="0097764E"/>
    <w:rsid w:val="009776F3"/>
    <w:rsid w:val="00977735"/>
    <w:rsid w:val="009777D8"/>
    <w:rsid w:val="009778DE"/>
    <w:rsid w:val="009779C6"/>
    <w:rsid w:val="00977A3A"/>
    <w:rsid w:val="00977A4A"/>
    <w:rsid w:val="00977A67"/>
    <w:rsid w:val="00977AA2"/>
    <w:rsid w:val="00977AF4"/>
    <w:rsid w:val="009800BC"/>
    <w:rsid w:val="00980364"/>
    <w:rsid w:val="00980389"/>
    <w:rsid w:val="009803B9"/>
    <w:rsid w:val="009803EF"/>
    <w:rsid w:val="00980452"/>
    <w:rsid w:val="00980481"/>
    <w:rsid w:val="009805AD"/>
    <w:rsid w:val="009805E9"/>
    <w:rsid w:val="0098081D"/>
    <w:rsid w:val="00980846"/>
    <w:rsid w:val="0098086B"/>
    <w:rsid w:val="00980873"/>
    <w:rsid w:val="009808E1"/>
    <w:rsid w:val="00980991"/>
    <w:rsid w:val="0098099A"/>
    <w:rsid w:val="00980A27"/>
    <w:rsid w:val="00980A9B"/>
    <w:rsid w:val="00980BA3"/>
    <w:rsid w:val="00980C2F"/>
    <w:rsid w:val="00980CB8"/>
    <w:rsid w:val="00980DF6"/>
    <w:rsid w:val="00980E8C"/>
    <w:rsid w:val="00980F54"/>
    <w:rsid w:val="00980FC1"/>
    <w:rsid w:val="0098103B"/>
    <w:rsid w:val="00981224"/>
    <w:rsid w:val="009812F0"/>
    <w:rsid w:val="009813A4"/>
    <w:rsid w:val="009813DB"/>
    <w:rsid w:val="0098156A"/>
    <w:rsid w:val="009815DF"/>
    <w:rsid w:val="00981702"/>
    <w:rsid w:val="0098171E"/>
    <w:rsid w:val="009817F1"/>
    <w:rsid w:val="0098181A"/>
    <w:rsid w:val="00981822"/>
    <w:rsid w:val="00981860"/>
    <w:rsid w:val="00981941"/>
    <w:rsid w:val="00981996"/>
    <w:rsid w:val="00981A29"/>
    <w:rsid w:val="00981CAE"/>
    <w:rsid w:val="00981CCE"/>
    <w:rsid w:val="00981D41"/>
    <w:rsid w:val="00981DDB"/>
    <w:rsid w:val="00981EA2"/>
    <w:rsid w:val="0098201E"/>
    <w:rsid w:val="009820F3"/>
    <w:rsid w:val="009821DF"/>
    <w:rsid w:val="009822A7"/>
    <w:rsid w:val="009822E5"/>
    <w:rsid w:val="0098241E"/>
    <w:rsid w:val="00982458"/>
    <w:rsid w:val="00982510"/>
    <w:rsid w:val="00982526"/>
    <w:rsid w:val="0098260B"/>
    <w:rsid w:val="00982611"/>
    <w:rsid w:val="0098262B"/>
    <w:rsid w:val="0098265C"/>
    <w:rsid w:val="00982661"/>
    <w:rsid w:val="00982729"/>
    <w:rsid w:val="0098288B"/>
    <w:rsid w:val="009828C5"/>
    <w:rsid w:val="00982958"/>
    <w:rsid w:val="0098296E"/>
    <w:rsid w:val="0098298D"/>
    <w:rsid w:val="00982AE7"/>
    <w:rsid w:val="00982B50"/>
    <w:rsid w:val="00982B52"/>
    <w:rsid w:val="00982C04"/>
    <w:rsid w:val="00982DE3"/>
    <w:rsid w:val="00982DFE"/>
    <w:rsid w:val="00982E6C"/>
    <w:rsid w:val="0098312F"/>
    <w:rsid w:val="00983299"/>
    <w:rsid w:val="009833BD"/>
    <w:rsid w:val="009833D3"/>
    <w:rsid w:val="009834C2"/>
    <w:rsid w:val="00983688"/>
    <w:rsid w:val="009836A4"/>
    <w:rsid w:val="009836B6"/>
    <w:rsid w:val="009836DF"/>
    <w:rsid w:val="009837A1"/>
    <w:rsid w:val="009837BD"/>
    <w:rsid w:val="009838C9"/>
    <w:rsid w:val="00983959"/>
    <w:rsid w:val="009839AA"/>
    <w:rsid w:val="009839E0"/>
    <w:rsid w:val="009839E7"/>
    <w:rsid w:val="00983A95"/>
    <w:rsid w:val="00983B13"/>
    <w:rsid w:val="00983C6F"/>
    <w:rsid w:val="00983D73"/>
    <w:rsid w:val="00983DCE"/>
    <w:rsid w:val="00983E4E"/>
    <w:rsid w:val="00983E6A"/>
    <w:rsid w:val="00983E87"/>
    <w:rsid w:val="00983F77"/>
    <w:rsid w:val="00984052"/>
    <w:rsid w:val="0098410F"/>
    <w:rsid w:val="009841DA"/>
    <w:rsid w:val="0098428E"/>
    <w:rsid w:val="009842B1"/>
    <w:rsid w:val="009842D7"/>
    <w:rsid w:val="00984366"/>
    <w:rsid w:val="009843D0"/>
    <w:rsid w:val="009843E9"/>
    <w:rsid w:val="00984668"/>
    <w:rsid w:val="0098485C"/>
    <w:rsid w:val="009848D4"/>
    <w:rsid w:val="00984AD3"/>
    <w:rsid w:val="00984CCE"/>
    <w:rsid w:val="00984E32"/>
    <w:rsid w:val="00984E6F"/>
    <w:rsid w:val="009852A4"/>
    <w:rsid w:val="009852ED"/>
    <w:rsid w:val="009854FD"/>
    <w:rsid w:val="0098557E"/>
    <w:rsid w:val="009856CF"/>
    <w:rsid w:val="00985741"/>
    <w:rsid w:val="0098581F"/>
    <w:rsid w:val="00985953"/>
    <w:rsid w:val="00985A48"/>
    <w:rsid w:val="00985A67"/>
    <w:rsid w:val="00985AB4"/>
    <w:rsid w:val="00985AD9"/>
    <w:rsid w:val="00985B9A"/>
    <w:rsid w:val="00985BC5"/>
    <w:rsid w:val="00985BCB"/>
    <w:rsid w:val="00985C5F"/>
    <w:rsid w:val="00985DF2"/>
    <w:rsid w:val="00986125"/>
    <w:rsid w:val="0098613D"/>
    <w:rsid w:val="009861A7"/>
    <w:rsid w:val="00986237"/>
    <w:rsid w:val="0098624B"/>
    <w:rsid w:val="009862D8"/>
    <w:rsid w:val="009864F4"/>
    <w:rsid w:val="009865BA"/>
    <w:rsid w:val="009865DD"/>
    <w:rsid w:val="00986773"/>
    <w:rsid w:val="0098697A"/>
    <w:rsid w:val="00986A05"/>
    <w:rsid w:val="00986AB8"/>
    <w:rsid w:val="00986B81"/>
    <w:rsid w:val="00986CF7"/>
    <w:rsid w:val="00986D14"/>
    <w:rsid w:val="00986D3F"/>
    <w:rsid w:val="00986D68"/>
    <w:rsid w:val="00986F88"/>
    <w:rsid w:val="00986FD3"/>
    <w:rsid w:val="00987069"/>
    <w:rsid w:val="009871E4"/>
    <w:rsid w:val="009873B4"/>
    <w:rsid w:val="00987495"/>
    <w:rsid w:val="0098752F"/>
    <w:rsid w:val="0098758E"/>
    <w:rsid w:val="009875AB"/>
    <w:rsid w:val="00987773"/>
    <w:rsid w:val="009877CD"/>
    <w:rsid w:val="009877EB"/>
    <w:rsid w:val="009877FC"/>
    <w:rsid w:val="00987887"/>
    <w:rsid w:val="00987892"/>
    <w:rsid w:val="009878C2"/>
    <w:rsid w:val="009878D0"/>
    <w:rsid w:val="00987904"/>
    <w:rsid w:val="0098792C"/>
    <w:rsid w:val="009879E0"/>
    <w:rsid w:val="00987A54"/>
    <w:rsid w:val="00987AFF"/>
    <w:rsid w:val="00987B24"/>
    <w:rsid w:val="00987B65"/>
    <w:rsid w:val="00987C52"/>
    <w:rsid w:val="00987C8A"/>
    <w:rsid w:val="00987CFC"/>
    <w:rsid w:val="00987DDB"/>
    <w:rsid w:val="00987EE9"/>
    <w:rsid w:val="00987F0B"/>
    <w:rsid w:val="00987FB0"/>
    <w:rsid w:val="00987FBF"/>
    <w:rsid w:val="00987FCA"/>
    <w:rsid w:val="00987FDD"/>
    <w:rsid w:val="00987FE0"/>
    <w:rsid w:val="00990054"/>
    <w:rsid w:val="009900B9"/>
    <w:rsid w:val="009900D0"/>
    <w:rsid w:val="009900DF"/>
    <w:rsid w:val="009900E8"/>
    <w:rsid w:val="00990274"/>
    <w:rsid w:val="00990294"/>
    <w:rsid w:val="009902F1"/>
    <w:rsid w:val="00990327"/>
    <w:rsid w:val="009906CB"/>
    <w:rsid w:val="009906E5"/>
    <w:rsid w:val="009908B5"/>
    <w:rsid w:val="00990AA3"/>
    <w:rsid w:val="00990B15"/>
    <w:rsid w:val="00990C36"/>
    <w:rsid w:val="00990CA4"/>
    <w:rsid w:val="00990CDB"/>
    <w:rsid w:val="00990D08"/>
    <w:rsid w:val="00990D09"/>
    <w:rsid w:val="00990DD4"/>
    <w:rsid w:val="00990EE5"/>
    <w:rsid w:val="00990F54"/>
    <w:rsid w:val="00990F76"/>
    <w:rsid w:val="00990FD5"/>
    <w:rsid w:val="00991023"/>
    <w:rsid w:val="0099122C"/>
    <w:rsid w:val="0099125B"/>
    <w:rsid w:val="0099125D"/>
    <w:rsid w:val="0099126B"/>
    <w:rsid w:val="0099127D"/>
    <w:rsid w:val="009912C3"/>
    <w:rsid w:val="009913F9"/>
    <w:rsid w:val="00991462"/>
    <w:rsid w:val="0099148A"/>
    <w:rsid w:val="009914D2"/>
    <w:rsid w:val="009915B5"/>
    <w:rsid w:val="009915D8"/>
    <w:rsid w:val="009917EA"/>
    <w:rsid w:val="0099184C"/>
    <w:rsid w:val="0099194D"/>
    <w:rsid w:val="00991961"/>
    <w:rsid w:val="00991B90"/>
    <w:rsid w:val="00991B9B"/>
    <w:rsid w:val="00991D76"/>
    <w:rsid w:val="00991DFB"/>
    <w:rsid w:val="00991F02"/>
    <w:rsid w:val="00991F45"/>
    <w:rsid w:val="00991F47"/>
    <w:rsid w:val="00991F5C"/>
    <w:rsid w:val="00992013"/>
    <w:rsid w:val="009920AA"/>
    <w:rsid w:val="009920B7"/>
    <w:rsid w:val="00992100"/>
    <w:rsid w:val="0099212E"/>
    <w:rsid w:val="00992256"/>
    <w:rsid w:val="00992323"/>
    <w:rsid w:val="00992391"/>
    <w:rsid w:val="00992410"/>
    <w:rsid w:val="0099248B"/>
    <w:rsid w:val="009924C2"/>
    <w:rsid w:val="009925AF"/>
    <w:rsid w:val="009925D9"/>
    <w:rsid w:val="00992696"/>
    <w:rsid w:val="00992735"/>
    <w:rsid w:val="00992BA3"/>
    <w:rsid w:val="00992C7E"/>
    <w:rsid w:val="00992C83"/>
    <w:rsid w:val="00992CD0"/>
    <w:rsid w:val="00992DFC"/>
    <w:rsid w:val="00992F55"/>
    <w:rsid w:val="00992F8E"/>
    <w:rsid w:val="0099303B"/>
    <w:rsid w:val="00993068"/>
    <w:rsid w:val="009930CE"/>
    <w:rsid w:val="0099311C"/>
    <w:rsid w:val="00993248"/>
    <w:rsid w:val="009932F2"/>
    <w:rsid w:val="00993379"/>
    <w:rsid w:val="00993389"/>
    <w:rsid w:val="0099338A"/>
    <w:rsid w:val="0099344F"/>
    <w:rsid w:val="009935D2"/>
    <w:rsid w:val="00993626"/>
    <w:rsid w:val="0099366D"/>
    <w:rsid w:val="00993786"/>
    <w:rsid w:val="0099388E"/>
    <w:rsid w:val="00993B9D"/>
    <w:rsid w:val="00993BBE"/>
    <w:rsid w:val="00993C01"/>
    <w:rsid w:val="00993C76"/>
    <w:rsid w:val="00993C77"/>
    <w:rsid w:val="00993C82"/>
    <w:rsid w:val="00993CF3"/>
    <w:rsid w:val="00993D52"/>
    <w:rsid w:val="00993E1F"/>
    <w:rsid w:val="00993F94"/>
    <w:rsid w:val="00994031"/>
    <w:rsid w:val="00994057"/>
    <w:rsid w:val="00994073"/>
    <w:rsid w:val="0099411F"/>
    <w:rsid w:val="0099418C"/>
    <w:rsid w:val="0099421D"/>
    <w:rsid w:val="00994284"/>
    <w:rsid w:val="00994301"/>
    <w:rsid w:val="00994330"/>
    <w:rsid w:val="009943FC"/>
    <w:rsid w:val="00994593"/>
    <w:rsid w:val="009945E7"/>
    <w:rsid w:val="009946E6"/>
    <w:rsid w:val="00994724"/>
    <w:rsid w:val="009947F8"/>
    <w:rsid w:val="00994A72"/>
    <w:rsid w:val="00994A73"/>
    <w:rsid w:val="00994B7B"/>
    <w:rsid w:val="00994C4A"/>
    <w:rsid w:val="00994C75"/>
    <w:rsid w:val="00994D5B"/>
    <w:rsid w:val="00994E8B"/>
    <w:rsid w:val="00994EDB"/>
    <w:rsid w:val="00994F09"/>
    <w:rsid w:val="00994F84"/>
    <w:rsid w:val="00994FA9"/>
    <w:rsid w:val="00994FC4"/>
    <w:rsid w:val="00995173"/>
    <w:rsid w:val="0099521F"/>
    <w:rsid w:val="00995243"/>
    <w:rsid w:val="009952A7"/>
    <w:rsid w:val="00995335"/>
    <w:rsid w:val="0099536F"/>
    <w:rsid w:val="009954AB"/>
    <w:rsid w:val="0099550F"/>
    <w:rsid w:val="00995594"/>
    <w:rsid w:val="00995644"/>
    <w:rsid w:val="00995669"/>
    <w:rsid w:val="00995726"/>
    <w:rsid w:val="009957EB"/>
    <w:rsid w:val="0099598B"/>
    <w:rsid w:val="009959C0"/>
    <w:rsid w:val="00995BFF"/>
    <w:rsid w:val="00995C05"/>
    <w:rsid w:val="00995C59"/>
    <w:rsid w:val="00995C86"/>
    <w:rsid w:val="00995E2E"/>
    <w:rsid w:val="00995FF1"/>
    <w:rsid w:val="0099605E"/>
    <w:rsid w:val="00996166"/>
    <w:rsid w:val="00996222"/>
    <w:rsid w:val="00996265"/>
    <w:rsid w:val="00996577"/>
    <w:rsid w:val="009965F9"/>
    <w:rsid w:val="00996613"/>
    <w:rsid w:val="009966B0"/>
    <w:rsid w:val="00996718"/>
    <w:rsid w:val="00996761"/>
    <w:rsid w:val="0099678E"/>
    <w:rsid w:val="00996795"/>
    <w:rsid w:val="009967E3"/>
    <w:rsid w:val="0099688B"/>
    <w:rsid w:val="009968DA"/>
    <w:rsid w:val="00996B41"/>
    <w:rsid w:val="00996B99"/>
    <w:rsid w:val="00996D3B"/>
    <w:rsid w:val="00996D64"/>
    <w:rsid w:val="00996FA2"/>
    <w:rsid w:val="00996FE7"/>
    <w:rsid w:val="0099707D"/>
    <w:rsid w:val="0099712E"/>
    <w:rsid w:val="00997176"/>
    <w:rsid w:val="009971C4"/>
    <w:rsid w:val="0099727A"/>
    <w:rsid w:val="0099738C"/>
    <w:rsid w:val="009974E8"/>
    <w:rsid w:val="009974F0"/>
    <w:rsid w:val="009975AA"/>
    <w:rsid w:val="0099763B"/>
    <w:rsid w:val="00997722"/>
    <w:rsid w:val="00997BB1"/>
    <w:rsid w:val="00997BBD"/>
    <w:rsid w:val="00997C59"/>
    <w:rsid w:val="00997D43"/>
    <w:rsid w:val="00997ED0"/>
    <w:rsid w:val="009A0093"/>
    <w:rsid w:val="009A00E3"/>
    <w:rsid w:val="009A013B"/>
    <w:rsid w:val="009A014C"/>
    <w:rsid w:val="009A01BD"/>
    <w:rsid w:val="009A01E5"/>
    <w:rsid w:val="009A0253"/>
    <w:rsid w:val="009A0429"/>
    <w:rsid w:val="009A0480"/>
    <w:rsid w:val="009A0692"/>
    <w:rsid w:val="009A07A7"/>
    <w:rsid w:val="009A07A8"/>
    <w:rsid w:val="009A088E"/>
    <w:rsid w:val="009A08A0"/>
    <w:rsid w:val="009A08A3"/>
    <w:rsid w:val="009A094C"/>
    <w:rsid w:val="009A0A10"/>
    <w:rsid w:val="009A0E07"/>
    <w:rsid w:val="009A0E63"/>
    <w:rsid w:val="009A1008"/>
    <w:rsid w:val="009A11B6"/>
    <w:rsid w:val="009A122D"/>
    <w:rsid w:val="009A12D1"/>
    <w:rsid w:val="009A1375"/>
    <w:rsid w:val="009A13B7"/>
    <w:rsid w:val="009A1575"/>
    <w:rsid w:val="009A15C5"/>
    <w:rsid w:val="009A16DB"/>
    <w:rsid w:val="009A171B"/>
    <w:rsid w:val="009A1778"/>
    <w:rsid w:val="009A186B"/>
    <w:rsid w:val="009A1914"/>
    <w:rsid w:val="009A1A76"/>
    <w:rsid w:val="009A1ABB"/>
    <w:rsid w:val="009A1B41"/>
    <w:rsid w:val="009A1C05"/>
    <w:rsid w:val="009A1C2E"/>
    <w:rsid w:val="009A1C5A"/>
    <w:rsid w:val="009A1CE9"/>
    <w:rsid w:val="009A1D5F"/>
    <w:rsid w:val="009A1EB2"/>
    <w:rsid w:val="009A2222"/>
    <w:rsid w:val="009A226D"/>
    <w:rsid w:val="009A2306"/>
    <w:rsid w:val="009A233D"/>
    <w:rsid w:val="009A2442"/>
    <w:rsid w:val="009A24D2"/>
    <w:rsid w:val="009A24EE"/>
    <w:rsid w:val="009A2590"/>
    <w:rsid w:val="009A2610"/>
    <w:rsid w:val="009A2738"/>
    <w:rsid w:val="009A2748"/>
    <w:rsid w:val="009A277D"/>
    <w:rsid w:val="009A2786"/>
    <w:rsid w:val="009A2A73"/>
    <w:rsid w:val="009A2B0A"/>
    <w:rsid w:val="009A2BF2"/>
    <w:rsid w:val="009A2D23"/>
    <w:rsid w:val="009A2DC4"/>
    <w:rsid w:val="009A2F63"/>
    <w:rsid w:val="009A2F68"/>
    <w:rsid w:val="009A3028"/>
    <w:rsid w:val="009A3320"/>
    <w:rsid w:val="009A3355"/>
    <w:rsid w:val="009A34DE"/>
    <w:rsid w:val="009A359E"/>
    <w:rsid w:val="009A364C"/>
    <w:rsid w:val="009A36F4"/>
    <w:rsid w:val="009A3703"/>
    <w:rsid w:val="009A37CD"/>
    <w:rsid w:val="009A3A9F"/>
    <w:rsid w:val="009A3ABF"/>
    <w:rsid w:val="009A3AF0"/>
    <w:rsid w:val="009A3B82"/>
    <w:rsid w:val="009A3C9D"/>
    <w:rsid w:val="009A3E0D"/>
    <w:rsid w:val="009A3E40"/>
    <w:rsid w:val="009A3EAD"/>
    <w:rsid w:val="009A3EBE"/>
    <w:rsid w:val="009A3EFA"/>
    <w:rsid w:val="009A3FF5"/>
    <w:rsid w:val="009A4032"/>
    <w:rsid w:val="009A40B9"/>
    <w:rsid w:val="009A41FE"/>
    <w:rsid w:val="009A43B1"/>
    <w:rsid w:val="009A4408"/>
    <w:rsid w:val="009A4475"/>
    <w:rsid w:val="009A4501"/>
    <w:rsid w:val="009A456E"/>
    <w:rsid w:val="009A4608"/>
    <w:rsid w:val="009A462B"/>
    <w:rsid w:val="009A466D"/>
    <w:rsid w:val="009A4702"/>
    <w:rsid w:val="009A4724"/>
    <w:rsid w:val="009A4796"/>
    <w:rsid w:val="009A47B4"/>
    <w:rsid w:val="009A47D5"/>
    <w:rsid w:val="009A488F"/>
    <w:rsid w:val="009A48BE"/>
    <w:rsid w:val="009A4990"/>
    <w:rsid w:val="009A49F1"/>
    <w:rsid w:val="009A4A81"/>
    <w:rsid w:val="009A4AAA"/>
    <w:rsid w:val="009A4AB0"/>
    <w:rsid w:val="009A4AF2"/>
    <w:rsid w:val="009A4B74"/>
    <w:rsid w:val="009A4BA6"/>
    <w:rsid w:val="009A4C5D"/>
    <w:rsid w:val="009A4CC4"/>
    <w:rsid w:val="009A4CCF"/>
    <w:rsid w:val="009A521D"/>
    <w:rsid w:val="009A5226"/>
    <w:rsid w:val="009A53D2"/>
    <w:rsid w:val="009A553D"/>
    <w:rsid w:val="009A5715"/>
    <w:rsid w:val="009A573D"/>
    <w:rsid w:val="009A57D3"/>
    <w:rsid w:val="009A582A"/>
    <w:rsid w:val="009A5840"/>
    <w:rsid w:val="009A5879"/>
    <w:rsid w:val="009A5971"/>
    <w:rsid w:val="009A5985"/>
    <w:rsid w:val="009A59E5"/>
    <w:rsid w:val="009A5A09"/>
    <w:rsid w:val="009A5BF6"/>
    <w:rsid w:val="009A5CBE"/>
    <w:rsid w:val="009A5CF9"/>
    <w:rsid w:val="009A5EC1"/>
    <w:rsid w:val="009A5FD9"/>
    <w:rsid w:val="009A605C"/>
    <w:rsid w:val="009A619F"/>
    <w:rsid w:val="009A61F4"/>
    <w:rsid w:val="009A6203"/>
    <w:rsid w:val="009A6380"/>
    <w:rsid w:val="009A6473"/>
    <w:rsid w:val="009A6684"/>
    <w:rsid w:val="009A67EE"/>
    <w:rsid w:val="009A6AC0"/>
    <w:rsid w:val="009A6B7C"/>
    <w:rsid w:val="009A6BA7"/>
    <w:rsid w:val="009A6CFC"/>
    <w:rsid w:val="009A6DEB"/>
    <w:rsid w:val="009A6E77"/>
    <w:rsid w:val="009A6F44"/>
    <w:rsid w:val="009A6FFB"/>
    <w:rsid w:val="009A7080"/>
    <w:rsid w:val="009A70EE"/>
    <w:rsid w:val="009A7128"/>
    <w:rsid w:val="009A71CD"/>
    <w:rsid w:val="009A725A"/>
    <w:rsid w:val="009A74B0"/>
    <w:rsid w:val="009A74F7"/>
    <w:rsid w:val="009A754F"/>
    <w:rsid w:val="009A757A"/>
    <w:rsid w:val="009A76AF"/>
    <w:rsid w:val="009A76B1"/>
    <w:rsid w:val="009A7721"/>
    <w:rsid w:val="009A78D2"/>
    <w:rsid w:val="009A7A70"/>
    <w:rsid w:val="009A7ABA"/>
    <w:rsid w:val="009A7BD2"/>
    <w:rsid w:val="009A7E25"/>
    <w:rsid w:val="009B00FD"/>
    <w:rsid w:val="009B01AE"/>
    <w:rsid w:val="009B02FA"/>
    <w:rsid w:val="009B031B"/>
    <w:rsid w:val="009B033E"/>
    <w:rsid w:val="009B03AE"/>
    <w:rsid w:val="009B04F0"/>
    <w:rsid w:val="009B04FC"/>
    <w:rsid w:val="009B05EB"/>
    <w:rsid w:val="009B06BF"/>
    <w:rsid w:val="009B0738"/>
    <w:rsid w:val="009B08C3"/>
    <w:rsid w:val="009B092A"/>
    <w:rsid w:val="009B0976"/>
    <w:rsid w:val="009B0B6D"/>
    <w:rsid w:val="009B0B82"/>
    <w:rsid w:val="009B0BA4"/>
    <w:rsid w:val="009B0C40"/>
    <w:rsid w:val="009B0D6B"/>
    <w:rsid w:val="009B0F04"/>
    <w:rsid w:val="009B0FBA"/>
    <w:rsid w:val="009B10E1"/>
    <w:rsid w:val="009B11B4"/>
    <w:rsid w:val="009B11B8"/>
    <w:rsid w:val="009B11C6"/>
    <w:rsid w:val="009B1293"/>
    <w:rsid w:val="009B12E8"/>
    <w:rsid w:val="009B134D"/>
    <w:rsid w:val="009B1464"/>
    <w:rsid w:val="009B1498"/>
    <w:rsid w:val="009B14F0"/>
    <w:rsid w:val="009B1647"/>
    <w:rsid w:val="009B177C"/>
    <w:rsid w:val="009B17DD"/>
    <w:rsid w:val="009B186D"/>
    <w:rsid w:val="009B19DB"/>
    <w:rsid w:val="009B19F8"/>
    <w:rsid w:val="009B1AAE"/>
    <w:rsid w:val="009B1ADE"/>
    <w:rsid w:val="009B1B74"/>
    <w:rsid w:val="009B1C32"/>
    <w:rsid w:val="009B1C47"/>
    <w:rsid w:val="009B1F27"/>
    <w:rsid w:val="009B206C"/>
    <w:rsid w:val="009B23D9"/>
    <w:rsid w:val="009B258E"/>
    <w:rsid w:val="009B271E"/>
    <w:rsid w:val="009B28B5"/>
    <w:rsid w:val="009B2938"/>
    <w:rsid w:val="009B296D"/>
    <w:rsid w:val="009B2A18"/>
    <w:rsid w:val="009B2ABD"/>
    <w:rsid w:val="009B2B7C"/>
    <w:rsid w:val="009B2DD9"/>
    <w:rsid w:val="009B2F01"/>
    <w:rsid w:val="009B2F6E"/>
    <w:rsid w:val="009B2F7E"/>
    <w:rsid w:val="009B3007"/>
    <w:rsid w:val="009B3055"/>
    <w:rsid w:val="009B3426"/>
    <w:rsid w:val="009B34A2"/>
    <w:rsid w:val="009B37EE"/>
    <w:rsid w:val="009B37FF"/>
    <w:rsid w:val="009B3A99"/>
    <w:rsid w:val="009B3AE6"/>
    <w:rsid w:val="009B3B02"/>
    <w:rsid w:val="009B3B23"/>
    <w:rsid w:val="009B3B27"/>
    <w:rsid w:val="009B3B58"/>
    <w:rsid w:val="009B3BA6"/>
    <w:rsid w:val="009B3BAD"/>
    <w:rsid w:val="009B3C12"/>
    <w:rsid w:val="009B3C43"/>
    <w:rsid w:val="009B3C8B"/>
    <w:rsid w:val="009B3D1F"/>
    <w:rsid w:val="009B3DFB"/>
    <w:rsid w:val="009B3E45"/>
    <w:rsid w:val="009B3FC7"/>
    <w:rsid w:val="009B4091"/>
    <w:rsid w:val="009B40E4"/>
    <w:rsid w:val="009B422C"/>
    <w:rsid w:val="009B4231"/>
    <w:rsid w:val="009B4302"/>
    <w:rsid w:val="009B436A"/>
    <w:rsid w:val="009B437D"/>
    <w:rsid w:val="009B43AF"/>
    <w:rsid w:val="009B43BB"/>
    <w:rsid w:val="009B452D"/>
    <w:rsid w:val="009B4645"/>
    <w:rsid w:val="009B46DB"/>
    <w:rsid w:val="009B4758"/>
    <w:rsid w:val="009B47AB"/>
    <w:rsid w:val="009B4829"/>
    <w:rsid w:val="009B482F"/>
    <w:rsid w:val="009B4A57"/>
    <w:rsid w:val="009B4B0A"/>
    <w:rsid w:val="009B4C53"/>
    <w:rsid w:val="009B4CDB"/>
    <w:rsid w:val="009B4D20"/>
    <w:rsid w:val="009B4E9F"/>
    <w:rsid w:val="009B4EFD"/>
    <w:rsid w:val="009B4F0F"/>
    <w:rsid w:val="009B501C"/>
    <w:rsid w:val="009B5047"/>
    <w:rsid w:val="009B5282"/>
    <w:rsid w:val="009B5343"/>
    <w:rsid w:val="009B5520"/>
    <w:rsid w:val="009B55BF"/>
    <w:rsid w:val="009B5606"/>
    <w:rsid w:val="009B5907"/>
    <w:rsid w:val="009B5986"/>
    <w:rsid w:val="009B5A71"/>
    <w:rsid w:val="009B5AF3"/>
    <w:rsid w:val="009B5B95"/>
    <w:rsid w:val="009B5BED"/>
    <w:rsid w:val="009B5C84"/>
    <w:rsid w:val="009B5DA7"/>
    <w:rsid w:val="009B5DBC"/>
    <w:rsid w:val="009B5E92"/>
    <w:rsid w:val="009B5F09"/>
    <w:rsid w:val="009B60BC"/>
    <w:rsid w:val="009B60D4"/>
    <w:rsid w:val="009B626E"/>
    <w:rsid w:val="009B62A6"/>
    <w:rsid w:val="009B652D"/>
    <w:rsid w:val="009B657B"/>
    <w:rsid w:val="009B6598"/>
    <w:rsid w:val="009B65DD"/>
    <w:rsid w:val="009B676B"/>
    <w:rsid w:val="009B6897"/>
    <w:rsid w:val="009B68C7"/>
    <w:rsid w:val="009B68F3"/>
    <w:rsid w:val="009B6941"/>
    <w:rsid w:val="009B6966"/>
    <w:rsid w:val="009B6B5A"/>
    <w:rsid w:val="009B6C0F"/>
    <w:rsid w:val="009B6D03"/>
    <w:rsid w:val="009B6D1E"/>
    <w:rsid w:val="009B6F07"/>
    <w:rsid w:val="009B6F35"/>
    <w:rsid w:val="009B6F98"/>
    <w:rsid w:val="009B6FD2"/>
    <w:rsid w:val="009B7032"/>
    <w:rsid w:val="009B7065"/>
    <w:rsid w:val="009B7081"/>
    <w:rsid w:val="009B70E9"/>
    <w:rsid w:val="009B7389"/>
    <w:rsid w:val="009B7404"/>
    <w:rsid w:val="009B7411"/>
    <w:rsid w:val="009B7449"/>
    <w:rsid w:val="009B76E1"/>
    <w:rsid w:val="009B76FE"/>
    <w:rsid w:val="009B7774"/>
    <w:rsid w:val="009B7789"/>
    <w:rsid w:val="009B77A5"/>
    <w:rsid w:val="009B77B3"/>
    <w:rsid w:val="009B77BB"/>
    <w:rsid w:val="009B77CF"/>
    <w:rsid w:val="009B7855"/>
    <w:rsid w:val="009B785E"/>
    <w:rsid w:val="009B786E"/>
    <w:rsid w:val="009B78C8"/>
    <w:rsid w:val="009B7924"/>
    <w:rsid w:val="009B7932"/>
    <w:rsid w:val="009B7992"/>
    <w:rsid w:val="009B7A68"/>
    <w:rsid w:val="009B7BE2"/>
    <w:rsid w:val="009B7CD7"/>
    <w:rsid w:val="009B7CEE"/>
    <w:rsid w:val="009B7DAE"/>
    <w:rsid w:val="009C0035"/>
    <w:rsid w:val="009C0068"/>
    <w:rsid w:val="009C0185"/>
    <w:rsid w:val="009C01CF"/>
    <w:rsid w:val="009C02DE"/>
    <w:rsid w:val="009C0460"/>
    <w:rsid w:val="009C0574"/>
    <w:rsid w:val="009C05C5"/>
    <w:rsid w:val="009C07BE"/>
    <w:rsid w:val="009C07E0"/>
    <w:rsid w:val="009C08AB"/>
    <w:rsid w:val="009C08D5"/>
    <w:rsid w:val="009C08F9"/>
    <w:rsid w:val="009C09A9"/>
    <w:rsid w:val="009C09C7"/>
    <w:rsid w:val="009C09CB"/>
    <w:rsid w:val="009C0A09"/>
    <w:rsid w:val="009C0C31"/>
    <w:rsid w:val="009C0C95"/>
    <w:rsid w:val="009C0CD3"/>
    <w:rsid w:val="009C0CDF"/>
    <w:rsid w:val="009C0D23"/>
    <w:rsid w:val="009C0EFF"/>
    <w:rsid w:val="009C105C"/>
    <w:rsid w:val="009C1068"/>
    <w:rsid w:val="009C10C7"/>
    <w:rsid w:val="009C10D9"/>
    <w:rsid w:val="009C10F9"/>
    <w:rsid w:val="009C1115"/>
    <w:rsid w:val="009C1195"/>
    <w:rsid w:val="009C1198"/>
    <w:rsid w:val="009C1360"/>
    <w:rsid w:val="009C1380"/>
    <w:rsid w:val="009C1401"/>
    <w:rsid w:val="009C14F6"/>
    <w:rsid w:val="009C163D"/>
    <w:rsid w:val="009C171A"/>
    <w:rsid w:val="009C1726"/>
    <w:rsid w:val="009C1747"/>
    <w:rsid w:val="009C18E2"/>
    <w:rsid w:val="009C1970"/>
    <w:rsid w:val="009C1C10"/>
    <w:rsid w:val="009C1D44"/>
    <w:rsid w:val="009C1D91"/>
    <w:rsid w:val="009C2160"/>
    <w:rsid w:val="009C2248"/>
    <w:rsid w:val="009C22D4"/>
    <w:rsid w:val="009C231C"/>
    <w:rsid w:val="009C247C"/>
    <w:rsid w:val="009C24F5"/>
    <w:rsid w:val="009C2674"/>
    <w:rsid w:val="009C2718"/>
    <w:rsid w:val="009C275A"/>
    <w:rsid w:val="009C276A"/>
    <w:rsid w:val="009C2906"/>
    <w:rsid w:val="009C2974"/>
    <w:rsid w:val="009C2A1D"/>
    <w:rsid w:val="009C2A20"/>
    <w:rsid w:val="009C2B55"/>
    <w:rsid w:val="009C2BF7"/>
    <w:rsid w:val="009C2DA9"/>
    <w:rsid w:val="009C2E1A"/>
    <w:rsid w:val="009C2EC0"/>
    <w:rsid w:val="009C2F13"/>
    <w:rsid w:val="009C2F23"/>
    <w:rsid w:val="009C30B0"/>
    <w:rsid w:val="009C311C"/>
    <w:rsid w:val="009C3276"/>
    <w:rsid w:val="009C339F"/>
    <w:rsid w:val="009C34A9"/>
    <w:rsid w:val="009C3508"/>
    <w:rsid w:val="009C3510"/>
    <w:rsid w:val="009C3545"/>
    <w:rsid w:val="009C357C"/>
    <w:rsid w:val="009C374D"/>
    <w:rsid w:val="009C3852"/>
    <w:rsid w:val="009C3889"/>
    <w:rsid w:val="009C388E"/>
    <w:rsid w:val="009C3950"/>
    <w:rsid w:val="009C3AAD"/>
    <w:rsid w:val="009C3ACF"/>
    <w:rsid w:val="009C3B03"/>
    <w:rsid w:val="009C3B04"/>
    <w:rsid w:val="009C3B3C"/>
    <w:rsid w:val="009C3BF9"/>
    <w:rsid w:val="009C3D20"/>
    <w:rsid w:val="009C3F5A"/>
    <w:rsid w:val="009C3F73"/>
    <w:rsid w:val="009C4081"/>
    <w:rsid w:val="009C40B6"/>
    <w:rsid w:val="009C4270"/>
    <w:rsid w:val="009C42A9"/>
    <w:rsid w:val="009C42F5"/>
    <w:rsid w:val="009C43EE"/>
    <w:rsid w:val="009C456A"/>
    <w:rsid w:val="009C459B"/>
    <w:rsid w:val="009C469B"/>
    <w:rsid w:val="009C478D"/>
    <w:rsid w:val="009C47A7"/>
    <w:rsid w:val="009C484E"/>
    <w:rsid w:val="009C4863"/>
    <w:rsid w:val="009C49B7"/>
    <w:rsid w:val="009C4A53"/>
    <w:rsid w:val="009C4AA1"/>
    <w:rsid w:val="009C4B70"/>
    <w:rsid w:val="009C4C02"/>
    <w:rsid w:val="009C4C13"/>
    <w:rsid w:val="009C4C1C"/>
    <w:rsid w:val="009C4CCD"/>
    <w:rsid w:val="009C4CF3"/>
    <w:rsid w:val="009C4D56"/>
    <w:rsid w:val="009C4F15"/>
    <w:rsid w:val="009C4F26"/>
    <w:rsid w:val="009C4F84"/>
    <w:rsid w:val="009C4FED"/>
    <w:rsid w:val="009C4FFC"/>
    <w:rsid w:val="009C50A0"/>
    <w:rsid w:val="009C50E6"/>
    <w:rsid w:val="009C52DD"/>
    <w:rsid w:val="009C5405"/>
    <w:rsid w:val="009C5461"/>
    <w:rsid w:val="009C5590"/>
    <w:rsid w:val="009C5617"/>
    <w:rsid w:val="009C5768"/>
    <w:rsid w:val="009C585C"/>
    <w:rsid w:val="009C5923"/>
    <w:rsid w:val="009C5929"/>
    <w:rsid w:val="009C59E8"/>
    <w:rsid w:val="009C5A13"/>
    <w:rsid w:val="009C5B8B"/>
    <w:rsid w:val="009C5C95"/>
    <w:rsid w:val="009C5EA3"/>
    <w:rsid w:val="009C5F97"/>
    <w:rsid w:val="009C5FAF"/>
    <w:rsid w:val="009C6148"/>
    <w:rsid w:val="009C617A"/>
    <w:rsid w:val="009C6216"/>
    <w:rsid w:val="009C6265"/>
    <w:rsid w:val="009C656E"/>
    <w:rsid w:val="009C65BD"/>
    <w:rsid w:val="009C663E"/>
    <w:rsid w:val="009C668D"/>
    <w:rsid w:val="009C67F2"/>
    <w:rsid w:val="009C6886"/>
    <w:rsid w:val="009C68BE"/>
    <w:rsid w:val="009C6946"/>
    <w:rsid w:val="009C6A16"/>
    <w:rsid w:val="009C6A22"/>
    <w:rsid w:val="009C6AA8"/>
    <w:rsid w:val="009C6C8C"/>
    <w:rsid w:val="009C6FD9"/>
    <w:rsid w:val="009C715A"/>
    <w:rsid w:val="009C7167"/>
    <w:rsid w:val="009C738E"/>
    <w:rsid w:val="009C7390"/>
    <w:rsid w:val="009C7397"/>
    <w:rsid w:val="009C73D1"/>
    <w:rsid w:val="009C7414"/>
    <w:rsid w:val="009C742B"/>
    <w:rsid w:val="009C7497"/>
    <w:rsid w:val="009C74E5"/>
    <w:rsid w:val="009C7560"/>
    <w:rsid w:val="009C761A"/>
    <w:rsid w:val="009C766A"/>
    <w:rsid w:val="009C76B2"/>
    <w:rsid w:val="009C76F5"/>
    <w:rsid w:val="009C77E1"/>
    <w:rsid w:val="009C7812"/>
    <w:rsid w:val="009C78C9"/>
    <w:rsid w:val="009C7975"/>
    <w:rsid w:val="009C7A44"/>
    <w:rsid w:val="009C7B1F"/>
    <w:rsid w:val="009C7C79"/>
    <w:rsid w:val="009C7CC1"/>
    <w:rsid w:val="009C7CE7"/>
    <w:rsid w:val="009C7DB0"/>
    <w:rsid w:val="009C7E03"/>
    <w:rsid w:val="009D0110"/>
    <w:rsid w:val="009D0141"/>
    <w:rsid w:val="009D0202"/>
    <w:rsid w:val="009D03A0"/>
    <w:rsid w:val="009D03C3"/>
    <w:rsid w:val="009D0400"/>
    <w:rsid w:val="009D0518"/>
    <w:rsid w:val="009D053B"/>
    <w:rsid w:val="009D05AE"/>
    <w:rsid w:val="009D05FE"/>
    <w:rsid w:val="009D066E"/>
    <w:rsid w:val="009D0685"/>
    <w:rsid w:val="009D069B"/>
    <w:rsid w:val="009D079E"/>
    <w:rsid w:val="009D0810"/>
    <w:rsid w:val="009D0972"/>
    <w:rsid w:val="009D0992"/>
    <w:rsid w:val="009D0B84"/>
    <w:rsid w:val="009D0C82"/>
    <w:rsid w:val="009D0CE6"/>
    <w:rsid w:val="009D0D5C"/>
    <w:rsid w:val="009D0E86"/>
    <w:rsid w:val="009D0EA3"/>
    <w:rsid w:val="009D1074"/>
    <w:rsid w:val="009D1114"/>
    <w:rsid w:val="009D11E8"/>
    <w:rsid w:val="009D126A"/>
    <w:rsid w:val="009D1279"/>
    <w:rsid w:val="009D12DB"/>
    <w:rsid w:val="009D12EA"/>
    <w:rsid w:val="009D1569"/>
    <w:rsid w:val="009D15EC"/>
    <w:rsid w:val="009D1621"/>
    <w:rsid w:val="009D164C"/>
    <w:rsid w:val="009D16A7"/>
    <w:rsid w:val="009D16EC"/>
    <w:rsid w:val="009D170A"/>
    <w:rsid w:val="009D174E"/>
    <w:rsid w:val="009D17B8"/>
    <w:rsid w:val="009D17BE"/>
    <w:rsid w:val="009D1814"/>
    <w:rsid w:val="009D18BD"/>
    <w:rsid w:val="009D18D7"/>
    <w:rsid w:val="009D1930"/>
    <w:rsid w:val="009D1969"/>
    <w:rsid w:val="009D19D8"/>
    <w:rsid w:val="009D19F0"/>
    <w:rsid w:val="009D1A14"/>
    <w:rsid w:val="009D1A90"/>
    <w:rsid w:val="009D1BC2"/>
    <w:rsid w:val="009D1BD1"/>
    <w:rsid w:val="009D1BDA"/>
    <w:rsid w:val="009D1C8F"/>
    <w:rsid w:val="009D1DAA"/>
    <w:rsid w:val="009D1DAE"/>
    <w:rsid w:val="009D1E9F"/>
    <w:rsid w:val="009D1EAE"/>
    <w:rsid w:val="009D203C"/>
    <w:rsid w:val="009D20A6"/>
    <w:rsid w:val="009D225D"/>
    <w:rsid w:val="009D2317"/>
    <w:rsid w:val="009D231A"/>
    <w:rsid w:val="009D23D9"/>
    <w:rsid w:val="009D2425"/>
    <w:rsid w:val="009D248F"/>
    <w:rsid w:val="009D2492"/>
    <w:rsid w:val="009D24F9"/>
    <w:rsid w:val="009D2640"/>
    <w:rsid w:val="009D278E"/>
    <w:rsid w:val="009D2893"/>
    <w:rsid w:val="009D2963"/>
    <w:rsid w:val="009D2A77"/>
    <w:rsid w:val="009D2B29"/>
    <w:rsid w:val="009D2C2A"/>
    <w:rsid w:val="009D2C77"/>
    <w:rsid w:val="009D2CD5"/>
    <w:rsid w:val="009D2D27"/>
    <w:rsid w:val="009D3024"/>
    <w:rsid w:val="009D3132"/>
    <w:rsid w:val="009D3180"/>
    <w:rsid w:val="009D31DA"/>
    <w:rsid w:val="009D3245"/>
    <w:rsid w:val="009D331C"/>
    <w:rsid w:val="009D33FA"/>
    <w:rsid w:val="009D3405"/>
    <w:rsid w:val="009D3682"/>
    <w:rsid w:val="009D3747"/>
    <w:rsid w:val="009D3770"/>
    <w:rsid w:val="009D3830"/>
    <w:rsid w:val="009D3875"/>
    <w:rsid w:val="009D39D0"/>
    <w:rsid w:val="009D3A62"/>
    <w:rsid w:val="009D3A6F"/>
    <w:rsid w:val="009D3B40"/>
    <w:rsid w:val="009D3B49"/>
    <w:rsid w:val="009D3D43"/>
    <w:rsid w:val="009D3DDA"/>
    <w:rsid w:val="009D3E34"/>
    <w:rsid w:val="009D3E71"/>
    <w:rsid w:val="009D3F86"/>
    <w:rsid w:val="009D414D"/>
    <w:rsid w:val="009D417D"/>
    <w:rsid w:val="009D418F"/>
    <w:rsid w:val="009D41E3"/>
    <w:rsid w:val="009D4269"/>
    <w:rsid w:val="009D4309"/>
    <w:rsid w:val="009D4349"/>
    <w:rsid w:val="009D43BF"/>
    <w:rsid w:val="009D43FA"/>
    <w:rsid w:val="009D4485"/>
    <w:rsid w:val="009D4572"/>
    <w:rsid w:val="009D4593"/>
    <w:rsid w:val="009D45D1"/>
    <w:rsid w:val="009D467A"/>
    <w:rsid w:val="009D4731"/>
    <w:rsid w:val="009D489A"/>
    <w:rsid w:val="009D4BB6"/>
    <w:rsid w:val="009D4D0F"/>
    <w:rsid w:val="009D4EAD"/>
    <w:rsid w:val="009D4EBB"/>
    <w:rsid w:val="009D4EEB"/>
    <w:rsid w:val="009D4F12"/>
    <w:rsid w:val="009D4F6A"/>
    <w:rsid w:val="009D5026"/>
    <w:rsid w:val="009D50AE"/>
    <w:rsid w:val="009D5149"/>
    <w:rsid w:val="009D516B"/>
    <w:rsid w:val="009D51F3"/>
    <w:rsid w:val="009D520B"/>
    <w:rsid w:val="009D52E6"/>
    <w:rsid w:val="009D54E6"/>
    <w:rsid w:val="009D57A8"/>
    <w:rsid w:val="009D5A09"/>
    <w:rsid w:val="009D5AD9"/>
    <w:rsid w:val="009D5B6D"/>
    <w:rsid w:val="009D5B71"/>
    <w:rsid w:val="009D5B83"/>
    <w:rsid w:val="009D5BF7"/>
    <w:rsid w:val="009D5C2E"/>
    <w:rsid w:val="009D5C5A"/>
    <w:rsid w:val="009D5CF4"/>
    <w:rsid w:val="009D5FE4"/>
    <w:rsid w:val="009D6026"/>
    <w:rsid w:val="009D61A8"/>
    <w:rsid w:val="009D62C2"/>
    <w:rsid w:val="009D6537"/>
    <w:rsid w:val="009D6552"/>
    <w:rsid w:val="009D6648"/>
    <w:rsid w:val="009D664C"/>
    <w:rsid w:val="009D664E"/>
    <w:rsid w:val="009D66BC"/>
    <w:rsid w:val="009D6757"/>
    <w:rsid w:val="009D6A0F"/>
    <w:rsid w:val="009D6A97"/>
    <w:rsid w:val="009D6AC5"/>
    <w:rsid w:val="009D6AE0"/>
    <w:rsid w:val="009D6B8D"/>
    <w:rsid w:val="009D6BAB"/>
    <w:rsid w:val="009D6BD5"/>
    <w:rsid w:val="009D6C61"/>
    <w:rsid w:val="009D6D0F"/>
    <w:rsid w:val="009D6DEA"/>
    <w:rsid w:val="009D6EDA"/>
    <w:rsid w:val="009D6EE9"/>
    <w:rsid w:val="009D7157"/>
    <w:rsid w:val="009D71EE"/>
    <w:rsid w:val="009D7334"/>
    <w:rsid w:val="009D74F1"/>
    <w:rsid w:val="009D750F"/>
    <w:rsid w:val="009D7693"/>
    <w:rsid w:val="009D7709"/>
    <w:rsid w:val="009D7889"/>
    <w:rsid w:val="009D78D9"/>
    <w:rsid w:val="009D799A"/>
    <w:rsid w:val="009D7AA5"/>
    <w:rsid w:val="009D7B0A"/>
    <w:rsid w:val="009D7BFA"/>
    <w:rsid w:val="009D7C06"/>
    <w:rsid w:val="009D7C41"/>
    <w:rsid w:val="009D7C67"/>
    <w:rsid w:val="009D7D10"/>
    <w:rsid w:val="009D7E08"/>
    <w:rsid w:val="009E0044"/>
    <w:rsid w:val="009E00A9"/>
    <w:rsid w:val="009E012D"/>
    <w:rsid w:val="009E0287"/>
    <w:rsid w:val="009E029B"/>
    <w:rsid w:val="009E0376"/>
    <w:rsid w:val="009E039F"/>
    <w:rsid w:val="009E03D4"/>
    <w:rsid w:val="009E049C"/>
    <w:rsid w:val="009E04CE"/>
    <w:rsid w:val="009E05BD"/>
    <w:rsid w:val="009E06F3"/>
    <w:rsid w:val="009E07DF"/>
    <w:rsid w:val="009E0830"/>
    <w:rsid w:val="009E092A"/>
    <w:rsid w:val="009E0BD9"/>
    <w:rsid w:val="009E0C1E"/>
    <w:rsid w:val="009E0C65"/>
    <w:rsid w:val="009E0CF0"/>
    <w:rsid w:val="009E0D42"/>
    <w:rsid w:val="009E0DF6"/>
    <w:rsid w:val="009E0E4B"/>
    <w:rsid w:val="009E0FB5"/>
    <w:rsid w:val="009E0FC9"/>
    <w:rsid w:val="009E0FCD"/>
    <w:rsid w:val="009E1029"/>
    <w:rsid w:val="009E116C"/>
    <w:rsid w:val="009E119B"/>
    <w:rsid w:val="009E12DA"/>
    <w:rsid w:val="009E134E"/>
    <w:rsid w:val="009E1402"/>
    <w:rsid w:val="009E15A8"/>
    <w:rsid w:val="009E1619"/>
    <w:rsid w:val="009E16B5"/>
    <w:rsid w:val="009E16DA"/>
    <w:rsid w:val="009E175F"/>
    <w:rsid w:val="009E181F"/>
    <w:rsid w:val="009E1828"/>
    <w:rsid w:val="009E19A1"/>
    <w:rsid w:val="009E1BB5"/>
    <w:rsid w:val="009E1BBF"/>
    <w:rsid w:val="009E1C01"/>
    <w:rsid w:val="009E1C34"/>
    <w:rsid w:val="009E1C37"/>
    <w:rsid w:val="009E1E46"/>
    <w:rsid w:val="009E1E58"/>
    <w:rsid w:val="009E1ED7"/>
    <w:rsid w:val="009E1F56"/>
    <w:rsid w:val="009E1FFB"/>
    <w:rsid w:val="009E208A"/>
    <w:rsid w:val="009E20EE"/>
    <w:rsid w:val="009E2101"/>
    <w:rsid w:val="009E2200"/>
    <w:rsid w:val="009E221A"/>
    <w:rsid w:val="009E23D5"/>
    <w:rsid w:val="009E2450"/>
    <w:rsid w:val="009E24DA"/>
    <w:rsid w:val="009E253C"/>
    <w:rsid w:val="009E25C1"/>
    <w:rsid w:val="009E25E3"/>
    <w:rsid w:val="009E2606"/>
    <w:rsid w:val="009E270C"/>
    <w:rsid w:val="009E2742"/>
    <w:rsid w:val="009E278F"/>
    <w:rsid w:val="009E28C9"/>
    <w:rsid w:val="009E28EB"/>
    <w:rsid w:val="009E2B04"/>
    <w:rsid w:val="009E2B32"/>
    <w:rsid w:val="009E2B65"/>
    <w:rsid w:val="009E2C84"/>
    <w:rsid w:val="009E2D09"/>
    <w:rsid w:val="009E2EB9"/>
    <w:rsid w:val="009E2EF2"/>
    <w:rsid w:val="009E2F96"/>
    <w:rsid w:val="009E2FF4"/>
    <w:rsid w:val="009E31D3"/>
    <w:rsid w:val="009E3326"/>
    <w:rsid w:val="009E33A8"/>
    <w:rsid w:val="009E3487"/>
    <w:rsid w:val="009E397D"/>
    <w:rsid w:val="009E39FC"/>
    <w:rsid w:val="009E3A33"/>
    <w:rsid w:val="009E3B70"/>
    <w:rsid w:val="009E3C87"/>
    <w:rsid w:val="009E3E08"/>
    <w:rsid w:val="009E3F13"/>
    <w:rsid w:val="009E3FC7"/>
    <w:rsid w:val="009E405C"/>
    <w:rsid w:val="009E40FE"/>
    <w:rsid w:val="009E42EE"/>
    <w:rsid w:val="009E4301"/>
    <w:rsid w:val="009E438E"/>
    <w:rsid w:val="009E455C"/>
    <w:rsid w:val="009E463C"/>
    <w:rsid w:val="009E46C9"/>
    <w:rsid w:val="009E476E"/>
    <w:rsid w:val="009E48EC"/>
    <w:rsid w:val="009E4AA2"/>
    <w:rsid w:val="009E4AAB"/>
    <w:rsid w:val="009E4AB2"/>
    <w:rsid w:val="009E4AFE"/>
    <w:rsid w:val="009E4BE9"/>
    <w:rsid w:val="009E4C9D"/>
    <w:rsid w:val="009E4D96"/>
    <w:rsid w:val="009E4E3E"/>
    <w:rsid w:val="009E4F70"/>
    <w:rsid w:val="009E4F80"/>
    <w:rsid w:val="009E508A"/>
    <w:rsid w:val="009E52D1"/>
    <w:rsid w:val="009E5312"/>
    <w:rsid w:val="009E5341"/>
    <w:rsid w:val="009E543A"/>
    <w:rsid w:val="009E543E"/>
    <w:rsid w:val="009E54D2"/>
    <w:rsid w:val="009E5641"/>
    <w:rsid w:val="009E5667"/>
    <w:rsid w:val="009E57B5"/>
    <w:rsid w:val="009E5943"/>
    <w:rsid w:val="009E596B"/>
    <w:rsid w:val="009E59B1"/>
    <w:rsid w:val="009E5C2E"/>
    <w:rsid w:val="009E5C68"/>
    <w:rsid w:val="009E5C70"/>
    <w:rsid w:val="009E5DE7"/>
    <w:rsid w:val="009E5EF0"/>
    <w:rsid w:val="009E5FA0"/>
    <w:rsid w:val="009E5FCB"/>
    <w:rsid w:val="009E6055"/>
    <w:rsid w:val="009E608A"/>
    <w:rsid w:val="009E6128"/>
    <w:rsid w:val="009E61DC"/>
    <w:rsid w:val="009E62B2"/>
    <w:rsid w:val="009E63EB"/>
    <w:rsid w:val="009E640D"/>
    <w:rsid w:val="009E645C"/>
    <w:rsid w:val="009E65AB"/>
    <w:rsid w:val="009E65B1"/>
    <w:rsid w:val="009E67CA"/>
    <w:rsid w:val="009E6926"/>
    <w:rsid w:val="009E6C12"/>
    <w:rsid w:val="009E6C65"/>
    <w:rsid w:val="009E6D03"/>
    <w:rsid w:val="009E6D58"/>
    <w:rsid w:val="009E6E03"/>
    <w:rsid w:val="009E7009"/>
    <w:rsid w:val="009E7216"/>
    <w:rsid w:val="009E72A6"/>
    <w:rsid w:val="009E735F"/>
    <w:rsid w:val="009E74C0"/>
    <w:rsid w:val="009E74EA"/>
    <w:rsid w:val="009E7502"/>
    <w:rsid w:val="009E75E7"/>
    <w:rsid w:val="009E7788"/>
    <w:rsid w:val="009E78AA"/>
    <w:rsid w:val="009E78B1"/>
    <w:rsid w:val="009E79C1"/>
    <w:rsid w:val="009E7B0F"/>
    <w:rsid w:val="009E7B17"/>
    <w:rsid w:val="009E7B86"/>
    <w:rsid w:val="009E7C28"/>
    <w:rsid w:val="009E7C71"/>
    <w:rsid w:val="009E7DCC"/>
    <w:rsid w:val="009E7EB5"/>
    <w:rsid w:val="009E7EC6"/>
    <w:rsid w:val="009E7FEB"/>
    <w:rsid w:val="009ED262"/>
    <w:rsid w:val="009F001C"/>
    <w:rsid w:val="009F0028"/>
    <w:rsid w:val="009F0064"/>
    <w:rsid w:val="009F0084"/>
    <w:rsid w:val="009F01B8"/>
    <w:rsid w:val="009F02F4"/>
    <w:rsid w:val="009F03B8"/>
    <w:rsid w:val="009F03C9"/>
    <w:rsid w:val="009F0477"/>
    <w:rsid w:val="009F04FF"/>
    <w:rsid w:val="009F054A"/>
    <w:rsid w:val="009F058C"/>
    <w:rsid w:val="009F0634"/>
    <w:rsid w:val="009F0642"/>
    <w:rsid w:val="009F0799"/>
    <w:rsid w:val="009F079B"/>
    <w:rsid w:val="009F07A2"/>
    <w:rsid w:val="009F07CA"/>
    <w:rsid w:val="009F08BE"/>
    <w:rsid w:val="009F0A10"/>
    <w:rsid w:val="009F0AEF"/>
    <w:rsid w:val="009F0C25"/>
    <w:rsid w:val="009F0C94"/>
    <w:rsid w:val="009F0EFB"/>
    <w:rsid w:val="009F1169"/>
    <w:rsid w:val="009F1190"/>
    <w:rsid w:val="009F11C6"/>
    <w:rsid w:val="009F1290"/>
    <w:rsid w:val="009F135B"/>
    <w:rsid w:val="009F1467"/>
    <w:rsid w:val="009F15ED"/>
    <w:rsid w:val="009F1607"/>
    <w:rsid w:val="009F160D"/>
    <w:rsid w:val="009F1623"/>
    <w:rsid w:val="009F17B9"/>
    <w:rsid w:val="009F1842"/>
    <w:rsid w:val="009F1953"/>
    <w:rsid w:val="009F1B65"/>
    <w:rsid w:val="009F1BFD"/>
    <w:rsid w:val="009F1CAA"/>
    <w:rsid w:val="009F1D9D"/>
    <w:rsid w:val="009F1DF4"/>
    <w:rsid w:val="009F1E56"/>
    <w:rsid w:val="009F1F2E"/>
    <w:rsid w:val="009F212D"/>
    <w:rsid w:val="009F2136"/>
    <w:rsid w:val="009F2165"/>
    <w:rsid w:val="009F218F"/>
    <w:rsid w:val="009F2217"/>
    <w:rsid w:val="009F2295"/>
    <w:rsid w:val="009F22D8"/>
    <w:rsid w:val="009F22F0"/>
    <w:rsid w:val="009F2886"/>
    <w:rsid w:val="009F28B1"/>
    <w:rsid w:val="009F28D5"/>
    <w:rsid w:val="009F299E"/>
    <w:rsid w:val="009F2A54"/>
    <w:rsid w:val="009F2A67"/>
    <w:rsid w:val="009F2AEE"/>
    <w:rsid w:val="009F2B04"/>
    <w:rsid w:val="009F2B41"/>
    <w:rsid w:val="009F2B56"/>
    <w:rsid w:val="009F2BB4"/>
    <w:rsid w:val="009F3020"/>
    <w:rsid w:val="009F302D"/>
    <w:rsid w:val="009F307B"/>
    <w:rsid w:val="009F319E"/>
    <w:rsid w:val="009F32BA"/>
    <w:rsid w:val="009F333E"/>
    <w:rsid w:val="009F3345"/>
    <w:rsid w:val="009F3391"/>
    <w:rsid w:val="009F33ED"/>
    <w:rsid w:val="009F3546"/>
    <w:rsid w:val="009F3596"/>
    <w:rsid w:val="009F3597"/>
    <w:rsid w:val="009F3619"/>
    <w:rsid w:val="009F3717"/>
    <w:rsid w:val="009F391E"/>
    <w:rsid w:val="009F3954"/>
    <w:rsid w:val="009F39D2"/>
    <w:rsid w:val="009F3B1A"/>
    <w:rsid w:val="009F3BB8"/>
    <w:rsid w:val="009F3C2A"/>
    <w:rsid w:val="009F3CF1"/>
    <w:rsid w:val="009F3D45"/>
    <w:rsid w:val="009F3DDE"/>
    <w:rsid w:val="009F3F74"/>
    <w:rsid w:val="009F404B"/>
    <w:rsid w:val="009F4147"/>
    <w:rsid w:val="009F41B7"/>
    <w:rsid w:val="009F4226"/>
    <w:rsid w:val="009F4290"/>
    <w:rsid w:val="009F4297"/>
    <w:rsid w:val="009F42D5"/>
    <w:rsid w:val="009F439B"/>
    <w:rsid w:val="009F476D"/>
    <w:rsid w:val="009F47FE"/>
    <w:rsid w:val="009F48E8"/>
    <w:rsid w:val="009F49B4"/>
    <w:rsid w:val="009F4B47"/>
    <w:rsid w:val="009F4B4B"/>
    <w:rsid w:val="009F4B90"/>
    <w:rsid w:val="009F4CEF"/>
    <w:rsid w:val="009F4D6B"/>
    <w:rsid w:val="009F4E0D"/>
    <w:rsid w:val="009F4E29"/>
    <w:rsid w:val="009F4E85"/>
    <w:rsid w:val="009F4EFD"/>
    <w:rsid w:val="009F4FE3"/>
    <w:rsid w:val="009F504B"/>
    <w:rsid w:val="009F50CE"/>
    <w:rsid w:val="009F50D4"/>
    <w:rsid w:val="009F510F"/>
    <w:rsid w:val="009F5137"/>
    <w:rsid w:val="009F52CB"/>
    <w:rsid w:val="009F544A"/>
    <w:rsid w:val="009F550A"/>
    <w:rsid w:val="009F5624"/>
    <w:rsid w:val="009F563B"/>
    <w:rsid w:val="009F570B"/>
    <w:rsid w:val="009F5794"/>
    <w:rsid w:val="009F5821"/>
    <w:rsid w:val="009F589F"/>
    <w:rsid w:val="009F599C"/>
    <w:rsid w:val="009F5A87"/>
    <w:rsid w:val="009F5AB1"/>
    <w:rsid w:val="009F5B18"/>
    <w:rsid w:val="009F5B55"/>
    <w:rsid w:val="009F5BF0"/>
    <w:rsid w:val="009F5D1C"/>
    <w:rsid w:val="009F5F29"/>
    <w:rsid w:val="009F5F56"/>
    <w:rsid w:val="009F61B9"/>
    <w:rsid w:val="009F638E"/>
    <w:rsid w:val="009F63F9"/>
    <w:rsid w:val="009F644C"/>
    <w:rsid w:val="009F64D2"/>
    <w:rsid w:val="009F650F"/>
    <w:rsid w:val="009F6529"/>
    <w:rsid w:val="009F67A4"/>
    <w:rsid w:val="009F6882"/>
    <w:rsid w:val="009F6A51"/>
    <w:rsid w:val="009F6AB9"/>
    <w:rsid w:val="009F6BE4"/>
    <w:rsid w:val="009F6D93"/>
    <w:rsid w:val="009F6EA7"/>
    <w:rsid w:val="009F6F9D"/>
    <w:rsid w:val="009F6FCA"/>
    <w:rsid w:val="009F7053"/>
    <w:rsid w:val="009F707B"/>
    <w:rsid w:val="009F711F"/>
    <w:rsid w:val="009F717B"/>
    <w:rsid w:val="009F71C4"/>
    <w:rsid w:val="009F72F8"/>
    <w:rsid w:val="009F73B3"/>
    <w:rsid w:val="009F73C2"/>
    <w:rsid w:val="009F73C7"/>
    <w:rsid w:val="009F7490"/>
    <w:rsid w:val="009F74AD"/>
    <w:rsid w:val="009F753D"/>
    <w:rsid w:val="009F7553"/>
    <w:rsid w:val="009F76AA"/>
    <w:rsid w:val="009F7717"/>
    <w:rsid w:val="009F7726"/>
    <w:rsid w:val="009F777F"/>
    <w:rsid w:val="009F786B"/>
    <w:rsid w:val="009F78EF"/>
    <w:rsid w:val="009F78FE"/>
    <w:rsid w:val="009F793B"/>
    <w:rsid w:val="009F79DF"/>
    <w:rsid w:val="009F7A6C"/>
    <w:rsid w:val="009F7A7A"/>
    <w:rsid w:val="009F7AEF"/>
    <w:rsid w:val="009F7BEA"/>
    <w:rsid w:val="009F7C14"/>
    <w:rsid w:val="009F7CD5"/>
    <w:rsid w:val="009F7CE3"/>
    <w:rsid w:val="009F7D23"/>
    <w:rsid w:val="009F7E8E"/>
    <w:rsid w:val="00A00093"/>
    <w:rsid w:val="00A000EC"/>
    <w:rsid w:val="00A001CE"/>
    <w:rsid w:val="00A0039C"/>
    <w:rsid w:val="00A003C5"/>
    <w:rsid w:val="00A00446"/>
    <w:rsid w:val="00A004B0"/>
    <w:rsid w:val="00A0050F"/>
    <w:rsid w:val="00A0054E"/>
    <w:rsid w:val="00A0074B"/>
    <w:rsid w:val="00A00761"/>
    <w:rsid w:val="00A007A5"/>
    <w:rsid w:val="00A0087C"/>
    <w:rsid w:val="00A00A12"/>
    <w:rsid w:val="00A00B26"/>
    <w:rsid w:val="00A00B3A"/>
    <w:rsid w:val="00A00BE2"/>
    <w:rsid w:val="00A00E49"/>
    <w:rsid w:val="00A00F05"/>
    <w:rsid w:val="00A01092"/>
    <w:rsid w:val="00A010EF"/>
    <w:rsid w:val="00A01142"/>
    <w:rsid w:val="00A01189"/>
    <w:rsid w:val="00A01190"/>
    <w:rsid w:val="00A01333"/>
    <w:rsid w:val="00A0137E"/>
    <w:rsid w:val="00A01381"/>
    <w:rsid w:val="00A01547"/>
    <w:rsid w:val="00A0161D"/>
    <w:rsid w:val="00A0167E"/>
    <w:rsid w:val="00A016BE"/>
    <w:rsid w:val="00A01719"/>
    <w:rsid w:val="00A0172F"/>
    <w:rsid w:val="00A0178E"/>
    <w:rsid w:val="00A01803"/>
    <w:rsid w:val="00A018DD"/>
    <w:rsid w:val="00A01966"/>
    <w:rsid w:val="00A01975"/>
    <w:rsid w:val="00A01AE6"/>
    <w:rsid w:val="00A01BC8"/>
    <w:rsid w:val="00A01C62"/>
    <w:rsid w:val="00A01CEE"/>
    <w:rsid w:val="00A01EBD"/>
    <w:rsid w:val="00A01F45"/>
    <w:rsid w:val="00A01F73"/>
    <w:rsid w:val="00A01F8C"/>
    <w:rsid w:val="00A020D6"/>
    <w:rsid w:val="00A02114"/>
    <w:rsid w:val="00A0228B"/>
    <w:rsid w:val="00A022AA"/>
    <w:rsid w:val="00A025B4"/>
    <w:rsid w:val="00A02741"/>
    <w:rsid w:val="00A02828"/>
    <w:rsid w:val="00A028B0"/>
    <w:rsid w:val="00A02A5D"/>
    <w:rsid w:val="00A02A73"/>
    <w:rsid w:val="00A02B2F"/>
    <w:rsid w:val="00A02B4B"/>
    <w:rsid w:val="00A02B8E"/>
    <w:rsid w:val="00A02C76"/>
    <w:rsid w:val="00A02CAF"/>
    <w:rsid w:val="00A02CD0"/>
    <w:rsid w:val="00A02EC6"/>
    <w:rsid w:val="00A02F48"/>
    <w:rsid w:val="00A02FC0"/>
    <w:rsid w:val="00A03019"/>
    <w:rsid w:val="00A03349"/>
    <w:rsid w:val="00A0337D"/>
    <w:rsid w:val="00A0338E"/>
    <w:rsid w:val="00A033AF"/>
    <w:rsid w:val="00A034E1"/>
    <w:rsid w:val="00A0350D"/>
    <w:rsid w:val="00A035E6"/>
    <w:rsid w:val="00A0364E"/>
    <w:rsid w:val="00A03655"/>
    <w:rsid w:val="00A03691"/>
    <w:rsid w:val="00A036F2"/>
    <w:rsid w:val="00A0373A"/>
    <w:rsid w:val="00A03767"/>
    <w:rsid w:val="00A0387A"/>
    <w:rsid w:val="00A03978"/>
    <w:rsid w:val="00A039D3"/>
    <w:rsid w:val="00A03C4D"/>
    <w:rsid w:val="00A03C5C"/>
    <w:rsid w:val="00A03E80"/>
    <w:rsid w:val="00A04039"/>
    <w:rsid w:val="00A040C9"/>
    <w:rsid w:val="00A042F1"/>
    <w:rsid w:val="00A043FF"/>
    <w:rsid w:val="00A04422"/>
    <w:rsid w:val="00A0460D"/>
    <w:rsid w:val="00A04664"/>
    <w:rsid w:val="00A0466F"/>
    <w:rsid w:val="00A04683"/>
    <w:rsid w:val="00A047DB"/>
    <w:rsid w:val="00A04905"/>
    <w:rsid w:val="00A04984"/>
    <w:rsid w:val="00A04A67"/>
    <w:rsid w:val="00A04B2E"/>
    <w:rsid w:val="00A04BBC"/>
    <w:rsid w:val="00A04C36"/>
    <w:rsid w:val="00A04E5C"/>
    <w:rsid w:val="00A04E8F"/>
    <w:rsid w:val="00A050C7"/>
    <w:rsid w:val="00A05129"/>
    <w:rsid w:val="00A05224"/>
    <w:rsid w:val="00A052B1"/>
    <w:rsid w:val="00A05350"/>
    <w:rsid w:val="00A0536F"/>
    <w:rsid w:val="00A055F6"/>
    <w:rsid w:val="00A059F5"/>
    <w:rsid w:val="00A05AC8"/>
    <w:rsid w:val="00A05AF3"/>
    <w:rsid w:val="00A05BB1"/>
    <w:rsid w:val="00A05C4E"/>
    <w:rsid w:val="00A05C66"/>
    <w:rsid w:val="00A05D6A"/>
    <w:rsid w:val="00A05D7E"/>
    <w:rsid w:val="00A05F21"/>
    <w:rsid w:val="00A05F66"/>
    <w:rsid w:val="00A0601C"/>
    <w:rsid w:val="00A0603A"/>
    <w:rsid w:val="00A06048"/>
    <w:rsid w:val="00A0605E"/>
    <w:rsid w:val="00A060CF"/>
    <w:rsid w:val="00A06332"/>
    <w:rsid w:val="00A0633E"/>
    <w:rsid w:val="00A0635D"/>
    <w:rsid w:val="00A0648A"/>
    <w:rsid w:val="00A064EC"/>
    <w:rsid w:val="00A064F0"/>
    <w:rsid w:val="00A0656A"/>
    <w:rsid w:val="00A066C7"/>
    <w:rsid w:val="00A066E7"/>
    <w:rsid w:val="00A066E9"/>
    <w:rsid w:val="00A067A5"/>
    <w:rsid w:val="00A067ED"/>
    <w:rsid w:val="00A067F6"/>
    <w:rsid w:val="00A06989"/>
    <w:rsid w:val="00A069A1"/>
    <w:rsid w:val="00A069D9"/>
    <w:rsid w:val="00A06A75"/>
    <w:rsid w:val="00A06A81"/>
    <w:rsid w:val="00A06BD8"/>
    <w:rsid w:val="00A06C60"/>
    <w:rsid w:val="00A06CFB"/>
    <w:rsid w:val="00A06EDE"/>
    <w:rsid w:val="00A06F84"/>
    <w:rsid w:val="00A06FF3"/>
    <w:rsid w:val="00A070B7"/>
    <w:rsid w:val="00A070DF"/>
    <w:rsid w:val="00A07119"/>
    <w:rsid w:val="00A0736F"/>
    <w:rsid w:val="00A07373"/>
    <w:rsid w:val="00A073D9"/>
    <w:rsid w:val="00A074A7"/>
    <w:rsid w:val="00A074BB"/>
    <w:rsid w:val="00A074F4"/>
    <w:rsid w:val="00A074F6"/>
    <w:rsid w:val="00A074F7"/>
    <w:rsid w:val="00A0768F"/>
    <w:rsid w:val="00A0783D"/>
    <w:rsid w:val="00A078F8"/>
    <w:rsid w:val="00A07A41"/>
    <w:rsid w:val="00A07A47"/>
    <w:rsid w:val="00A07A78"/>
    <w:rsid w:val="00A07B26"/>
    <w:rsid w:val="00A07BFB"/>
    <w:rsid w:val="00A07D07"/>
    <w:rsid w:val="00A07DDC"/>
    <w:rsid w:val="00A07EA3"/>
    <w:rsid w:val="00A07EF9"/>
    <w:rsid w:val="00A07F81"/>
    <w:rsid w:val="00A10094"/>
    <w:rsid w:val="00A100F6"/>
    <w:rsid w:val="00A10110"/>
    <w:rsid w:val="00A10143"/>
    <w:rsid w:val="00A10469"/>
    <w:rsid w:val="00A10558"/>
    <w:rsid w:val="00A105E0"/>
    <w:rsid w:val="00A106F0"/>
    <w:rsid w:val="00A10795"/>
    <w:rsid w:val="00A1079F"/>
    <w:rsid w:val="00A1080E"/>
    <w:rsid w:val="00A10901"/>
    <w:rsid w:val="00A10AA3"/>
    <w:rsid w:val="00A10B8B"/>
    <w:rsid w:val="00A10C58"/>
    <w:rsid w:val="00A10D0D"/>
    <w:rsid w:val="00A10D6A"/>
    <w:rsid w:val="00A10DBC"/>
    <w:rsid w:val="00A10EB3"/>
    <w:rsid w:val="00A110DD"/>
    <w:rsid w:val="00A11110"/>
    <w:rsid w:val="00A11186"/>
    <w:rsid w:val="00A111B3"/>
    <w:rsid w:val="00A11273"/>
    <w:rsid w:val="00A112A3"/>
    <w:rsid w:val="00A11349"/>
    <w:rsid w:val="00A113B4"/>
    <w:rsid w:val="00A1147E"/>
    <w:rsid w:val="00A11493"/>
    <w:rsid w:val="00A11517"/>
    <w:rsid w:val="00A115EE"/>
    <w:rsid w:val="00A1176A"/>
    <w:rsid w:val="00A117E2"/>
    <w:rsid w:val="00A11860"/>
    <w:rsid w:val="00A1190E"/>
    <w:rsid w:val="00A1194C"/>
    <w:rsid w:val="00A11A68"/>
    <w:rsid w:val="00A11C0C"/>
    <w:rsid w:val="00A11C32"/>
    <w:rsid w:val="00A11D09"/>
    <w:rsid w:val="00A11D62"/>
    <w:rsid w:val="00A11DDE"/>
    <w:rsid w:val="00A11FF8"/>
    <w:rsid w:val="00A1207D"/>
    <w:rsid w:val="00A1228A"/>
    <w:rsid w:val="00A122AC"/>
    <w:rsid w:val="00A122DB"/>
    <w:rsid w:val="00A1231F"/>
    <w:rsid w:val="00A12322"/>
    <w:rsid w:val="00A12371"/>
    <w:rsid w:val="00A12382"/>
    <w:rsid w:val="00A123F8"/>
    <w:rsid w:val="00A12465"/>
    <w:rsid w:val="00A12470"/>
    <w:rsid w:val="00A12487"/>
    <w:rsid w:val="00A12498"/>
    <w:rsid w:val="00A1255E"/>
    <w:rsid w:val="00A1266F"/>
    <w:rsid w:val="00A126D0"/>
    <w:rsid w:val="00A12799"/>
    <w:rsid w:val="00A127A0"/>
    <w:rsid w:val="00A128A8"/>
    <w:rsid w:val="00A128D1"/>
    <w:rsid w:val="00A1291E"/>
    <w:rsid w:val="00A129BB"/>
    <w:rsid w:val="00A12A22"/>
    <w:rsid w:val="00A12A78"/>
    <w:rsid w:val="00A12AAF"/>
    <w:rsid w:val="00A12B57"/>
    <w:rsid w:val="00A12BFD"/>
    <w:rsid w:val="00A12C1D"/>
    <w:rsid w:val="00A12C49"/>
    <w:rsid w:val="00A12D11"/>
    <w:rsid w:val="00A12D26"/>
    <w:rsid w:val="00A12E0E"/>
    <w:rsid w:val="00A12EB7"/>
    <w:rsid w:val="00A12FBC"/>
    <w:rsid w:val="00A13031"/>
    <w:rsid w:val="00A1311A"/>
    <w:rsid w:val="00A131BC"/>
    <w:rsid w:val="00A131C2"/>
    <w:rsid w:val="00A132A6"/>
    <w:rsid w:val="00A132DE"/>
    <w:rsid w:val="00A1336E"/>
    <w:rsid w:val="00A13375"/>
    <w:rsid w:val="00A133DF"/>
    <w:rsid w:val="00A133FF"/>
    <w:rsid w:val="00A13487"/>
    <w:rsid w:val="00A134A8"/>
    <w:rsid w:val="00A134AF"/>
    <w:rsid w:val="00A135AE"/>
    <w:rsid w:val="00A135D5"/>
    <w:rsid w:val="00A13707"/>
    <w:rsid w:val="00A13720"/>
    <w:rsid w:val="00A1375B"/>
    <w:rsid w:val="00A1396A"/>
    <w:rsid w:val="00A13A24"/>
    <w:rsid w:val="00A13A4E"/>
    <w:rsid w:val="00A13A59"/>
    <w:rsid w:val="00A13B0C"/>
    <w:rsid w:val="00A13B5C"/>
    <w:rsid w:val="00A13CA6"/>
    <w:rsid w:val="00A13CD4"/>
    <w:rsid w:val="00A13EB3"/>
    <w:rsid w:val="00A13ECF"/>
    <w:rsid w:val="00A13F2D"/>
    <w:rsid w:val="00A13FBC"/>
    <w:rsid w:val="00A13FCB"/>
    <w:rsid w:val="00A13FD6"/>
    <w:rsid w:val="00A14009"/>
    <w:rsid w:val="00A14099"/>
    <w:rsid w:val="00A14139"/>
    <w:rsid w:val="00A141A7"/>
    <w:rsid w:val="00A141C2"/>
    <w:rsid w:val="00A14225"/>
    <w:rsid w:val="00A1426A"/>
    <w:rsid w:val="00A14421"/>
    <w:rsid w:val="00A14456"/>
    <w:rsid w:val="00A144CB"/>
    <w:rsid w:val="00A1452D"/>
    <w:rsid w:val="00A14583"/>
    <w:rsid w:val="00A145A9"/>
    <w:rsid w:val="00A146D0"/>
    <w:rsid w:val="00A14827"/>
    <w:rsid w:val="00A1485E"/>
    <w:rsid w:val="00A148AF"/>
    <w:rsid w:val="00A14B71"/>
    <w:rsid w:val="00A14C30"/>
    <w:rsid w:val="00A14D18"/>
    <w:rsid w:val="00A14D22"/>
    <w:rsid w:val="00A14D57"/>
    <w:rsid w:val="00A14D86"/>
    <w:rsid w:val="00A14DC3"/>
    <w:rsid w:val="00A14E04"/>
    <w:rsid w:val="00A14E6A"/>
    <w:rsid w:val="00A14ED8"/>
    <w:rsid w:val="00A14EE7"/>
    <w:rsid w:val="00A14F0F"/>
    <w:rsid w:val="00A14FF3"/>
    <w:rsid w:val="00A15046"/>
    <w:rsid w:val="00A15116"/>
    <w:rsid w:val="00A151B6"/>
    <w:rsid w:val="00A1520A"/>
    <w:rsid w:val="00A1521F"/>
    <w:rsid w:val="00A152A6"/>
    <w:rsid w:val="00A1545D"/>
    <w:rsid w:val="00A1553B"/>
    <w:rsid w:val="00A156F1"/>
    <w:rsid w:val="00A157B5"/>
    <w:rsid w:val="00A157E4"/>
    <w:rsid w:val="00A159C7"/>
    <w:rsid w:val="00A15A89"/>
    <w:rsid w:val="00A15B01"/>
    <w:rsid w:val="00A15B89"/>
    <w:rsid w:val="00A15B90"/>
    <w:rsid w:val="00A15C1D"/>
    <w:rsid w:val="00A15C8F"/>
    <w:rsid w:val="00A15CDD"/>
    <w:rsid w:val="00A15D5D"/>
    <w:rsid w:val="00A15D84"/>
    <w:rsid w:val="00A15E36"/>
    <w:rsid w:val="00A15E5C"/>
    <w:rsid w:val="00A15EF2"/>
    <w:rsid w:val="00A16100"/>
    <w:rsid w:val="00A1611B"/>
    <w:rsid w:val="00A16120"/>
    <w:rsid w:val="00A16170"/>
    <w:rsid w:val="00A16192"/>
    <w:rsid w:val="00A161C1"/>
    <w:rsid w:val="00A16245"/>
    <w:rsid w:val="00A162D9"/>
    <w:rsid w:val="00A1635B"/>
    <w:rsid w:val="00A164A8"/>
    <w:rsid w:val="00A1650D"/>
    <w:rsid w:val="00A165B1"/>
    <w:rsid w:val="00A1661B"/>
    <w:rsid w:val="00A16654"/>
    <w:rsid w:val="00A1665E"/>
    <w:rsid w:val="00A16768"/>
    <w:rsid w:val="00A167FB"/>
    <w:rsid w:val="00A16800"/>
    <w:rsid w:val="00A168E1"/>
    <w:rsid w:val="00A169D6"/>
    <w:rsid w:val="00A169E0"/>
    <w:rsid w:val="00A16A39"/>
    <w:rsid w:val="00A16ADA"/>
    <w:rsid w:val="00A16BE5"/>
    <w:rsid w:val="00A16D78"/>
    <w:rsid w:val="00A16DD7"/>
    <w:rsid w:val="00A16DED"/>
    <w:rsid w:val="00A16E32"/>
    <w:rsid w:val="00A16F4F"/>
    <w:rsid w:val="00A16F6F"/>
    <w:rsid w:val="00A16FCC"/>
    <w:rsid w:val="00A1703E"/>
    <w:rsid w:val="00A1706B"/>
    <w:rsid w:val="00A170EE"/>
    <w:rsid w:val="00A1719D"/>
    <w:rsid w:val="00A171A5"/>
    <w:rsid w:val="00A171FC"/>
    <w:rsid w:val="00A17401"/>
    <w:rsid w:val="00A17446"/>
    <w:rsid w:val="00A17540"/>
    <w:rsid w:val="00A175D1"/>
    <w:rsid w:val="00A1767B"/>
    <w:rsid w:val="00A176BF"/>
    <w:rsid w:val="00A1779B"/>
    <w:rsid w:val="00A177D7"/>
    <w:rsid w:val="00A1782A"/>
    <w:rsid w:val="00A1785D"/>
    <w:rsid w:val="00A179EB"/>
    <w:rsid w:val="00A17DB7"/>
    <w:rsid w:val="00A17DEE"/>
    <w:rsid w:val="00A17F8C"/>
    <w:rsid w:val="00A20031"/>
    <w:rsid w:val="00A201E5"/>
    <w:rsid w:val="00A20224"/>
    <w:rsid w:val="00A2023B"/>
    <w:rsid w:val="00A20359"/>
    <w:rsid w:val="00A2040E"/>
    <w:rsid w:val="00A20517"/>
    <w:rsid w:val="00A206AE"/>
    <w:rsid w:val="00A206B6"/>
    <w:rsid w:val="00A206D0"/>
    <w:rsid w:val="00A20747"/>
    <w:rsid w:val="00A207C7"/>
    <w:rsid w:val="00A20808"/>
    <w:rsid w:val="00A2089D"/>
    <w:rsid w:val="00A2090E"/>
    <w:rsid w:val="00A2099A"/>
    <w:rsid w:val="00A20A4E"/>
    <w:rsid w:val="00A20A8C"/>
    <w:rsid w:val="00A20C45"/>
    <w:rsid w:val="00A20C79"/>
    <w:rsid w:val="00A20D85"/>
    <w:rsid w:val="00A20DDB"/>
    <w:rsid w:val="00A20E20"/>
    <w:rsid w:val="00A20EAD"/>
    <w:rsid w:val="00A2104F"/>
    <w:rsid w:val="00A21171"/>
    <w:rsid w:val="00A21185"/>
    <w:rsid w:val="00A211C5"/>
    <w:rsid w:val="00A21236"/>
    <w:rsid w:val="00A2124B"/>
    <w:rsid w:val="00A212A7"/>
    <w:rsid w:val="00A213E8"/>
    <w:rsid w:val="00A21547"/>
    <w:rsid w:val="00A215A1"/>
    <w:rsid w:val="00A216D4"/>
    <w:rsid w:val="00A21737"/>
    <w:rsid w:val="00A217CF"/>
    <w:rsid w:val="00A217DA"/>
    <w:rsid w:val="00A21815"/>
    <w:rsid w:val="00A21918"/>
    <w:rsid w:val="00A21B38"/>
    <w:rsid w:val="00A21CE7"/>
    <w:rsid w:val="00A21D6E"/>
    <w:rsid w:val="00A21D71"/>
    <w:rsid w:val="00A21EE2"/>
    <w:rsid w:val="00A2208F"/>
    <w:rsid w:val="00A22258"/>
    <w:rsid w:val="00A22275"/>
    <w:rsid w:val="00A222B3"/>
    <w:rsid w:val="00A2251E"/>
    <w:rsid w:val="00A22527"/>
    <w:rsid w:val="00A2258D"/>
    <w:rsid w:val="00A225B5"/>
    <w:rsid w:val="00A22793"/>
    <w:rsid w:val="00A2290D"/>
    <w:rsid w:val="00A2293F"/>
    <w:rsid w:val="00A229D2"/>
    <w:rsid w:val="00A22B2F"/>
    <w:rsid w:val="00A22BD7"/>
    <w:rsid w:val="00A22BE7"/>
    <w:rsid w:val="00A22C78"/>
    <w:rsid w:val="00A22C8B"/>
    <w:rsid w:val="00A22CA2"/>
    <w:rsid w:val="00A22D0B"/>
    <w:rsid w:val="00A22D40"/>
    <w:rsid w:val="00A22E0B"/>
    <w:rsid w:val="00A22FDD"/>
    <w:rsid w:val="00A23065"/>
    <w:rsid w:val="00A231A9"/>
    <w:rsid w:val="00A23208"/>
    <w:rsid w:val="00A232E9"/>
    <w:rsid w:val="00A23318"/>
    <w:rsid w:val="00A2335C"/>
    <w:rsid w:val="00A23399"/>
    <w:rsid w:val="00A233EE"/>
    <w:rsid w:val="00A2340D"/>
    <w:rsid w:val="00A2341A"/>
    <w:rsid w:val="00A2348D"/>
    <w:rsid w:val="00A23498"/>
    <w:rsid w:val="00A23595"/>
    <w:rsid w:val="00A2363D"/>
    <w:rsid w:val="00A23693"/>
    <w:rsid w:val="00A236DC"/>
    <w:rsid w:val="00A2381A"/>
    <w:rsid w:val="00A239D1"/>
    <w:rsid w:val="00A23AC5"/>
    <w:rsid w:val="00A23ACA"/>
    <w:rsid w:val="00A23B4B"/>
    <w:rsid w:val="00A23BB0"/>
    <w:rsid w:val="00A23E03"/>
    <w:rsid w:val="00A23E0A"/>
    <w:rsid w:val="00A23EFC"/>
    <w:rsid w:val="00A24031"/>
    <w:rsid w:val="00A24064"/>
    <w:rsid w:val="00A241E0"/>
    <w:rsid w:val="00A242AF"/>
    <w:rsid w:val="00A244DA"/>
    <w:rsid w:val="00A24513"/>
    <w:rsid w:val="00A245C5"/>
    <w:rsid w:val="00A24662"/>
    <w:rsid w:val="00A248EA"/>
    <w:rsid w:val="00A24AA7"/>
    <w:rsid w:val="00A24B30"/>
    <w:rsid w:val="00A24B44"/>
    <w:rsid w:val="00A24C7C"/>
    <w:rsid w:val="00A24C92"/>
    <w:rsid w:val="00A24D13"/>
    <w:rsid w:val="00A24D36"/>
    <w:rsid w:val="00A24E13"/>
    <w:rsid w:val="00A24E69"/>
    <w:rsid w:val="00A24E6C"/>
    <w:rsid w:val="00A24ECF"/>
    <w:rsid w:val="00A24FD7"/>
    <w:rsid w:val="00A25019"/>
    <w:rsid w:val="00A250AD"/>
    <w:rsid w:val="00A250FC"/>
    <w:rsid w:val="00A251FF"/>
    <w:rsid w:val="00A25243"/>
    <w:rsid w:val="00A253C8"/>
    <w:rsid w:val="00A25570"/>
    <w:rsid w:val="00A255E4"/>
    <w:rsid w:val="00A25707"/>
    <w:rsid w:val="00A25726"/>
    <w:rsid w:val="00A257A4"/>
    <w:rsid w:val="00A25A67"/>
    <w:rsid w:val="00A25A84"/>
    <w:rsid w:val="00A25C2C"/>
    <w:rsid w:val="00A25D09"/>
    <w:rsid w:val="00A25D91"/>
    <w:rsid w:val="00A25EA2"/>
    <w:rsid w:val="00A25F4F"/>
    <w:rsid w:val="00A26075"/>
    <w:rsid w:val="00A260E4"/>
    <w:rsid w:val="00A260E7"/>
    <w:rsid w:val="00A26141"/>
    <w:rsid w:val="00A26163"/>
    <w:rsid w:val="00A2632B"/>
    <w:rsid w:val="00A2634B"/>
    <w:rsid w:val="00A26357"/>
    <w:rsid w:val="00A26434"/>
    <w:rsid w:val="00A26456"/>
    <w:rsid w:val="00A26489"/>
    <w:rsid w:val="00A2659A"/>
    <w:rsid w:val="00A265A2"/>
    <w:rsid w:val="00A26A2A"/>
    <w:rsid w:val="00A26ADA"/>
    <w:rsid w:val="00A26BDD"/>
    <w:rsid w:val="00A26BE6"/>
    <w:rsid w:val="00A26C47"/>
    <w:rsid w:val="00A26CA3"/>
    <w:rsid w:val="00A26DBF"/>
    <w:rsid w:val="00A26F6A"/>
    <w:rsid w:val="00A26FB4"/>
    <w:rsid w:val="00A26FC8"/>
    <w:rsid w:val="00A2700A"/>
    <w:rsid w:val="00A27072"/>
    <w:rsid w:val="00A270D6"/>
    <w:rsid w:val="00A27145"/>
    <w:rsid w:val="00A271EA"/>
    <w:rsid w:val="00A2722C"/>
    <w:rsid w:val="00A2724A"/>
    <w:rsid w:val="00A2735C"/>
    <w:rsid w:val="00A27435"/>
    <w:rsid w:val="00A2748E"/>
    <w:rsid w:val="00A276C5"/>
    <w:rsid w:val="00A277A8"/>
    <w:rsid w:val="00A277EB"/>
    <w:rsid w:val="00A278BE"/>
    <w:rsid w:val="00A279F8"/>
    <w:rsid w:val="00A27A74"/>
    <w:rsid w:val="00A27AB6"/>
    <w:rsid w:val="00A27AD9"/>
    <w:rsid w:val="00A27B05"/>
    <w:rsid w:val="00A27BE0"/>
    <w:rsid w:val="00A27C63"/>
    <w:rsid w:val="00A27CA9"/>
    <w:rsid w:val="00A27D4C"/>
    <w:rsid w:val="00A27ED1"/>
    <w:rsid w:val="00A27F84"/>
    <w:rsid w:val="00A30075"/>
    <w:rsid w:val="00A301F4"/>
    <w:rsid w:val="00A3025F"/>
    <w:rsid w:val="00A3030E"/>
    <w:rsid w:val="00A304AA"/>
    <w:rsid w:val="00A30516"/>
    <w:rsid w:val="00A30567"/>
    <w:rsid w:val="00A305F1"/>
    <w:rsid w:val="00A3060F"/>
    <w:rsid w:val="00A30781"/>
    <w:rsid w:val="00A3079C"/>
    <w:rsid w:val="00A307A3"/>
    <w:rsid w:val="00A307B0"/>
    <w:rsid w:val="00A30866"/>
    <w:rsid w:val="00A308A0"/>
    <w:rsid w:val="00A308BC"/>
    <w:rsid w:val="00A3091D"/>
    <w:rsid w:val="00A30C05"/>
    <w:rsid w:val="00A30C4B"/>
    <w:rsid w:val="00A30C9E"/>
    <w:rsid w:val="00A30E0B"/>
    <w:rsid w:val="00A30E31"/>
    <w:rsid w:val="00A30ECB"/>
    <w:rsid w:val="00A30F11"/>
    <w:rsid w:val="00A30F1D"/>
    <w:rsid w:val="00A30F20"/>
    <w:rsid w:val="00A3109F"/>
    <w:rsid w:val="00A3111F"/>
    <w:rsid w:val="00A3119E"/>
    <w:rsid w:val="00A31225"/>
    <w:rsid w:val="00A312D4"/>
    <w:rsid w:val="00A31437"/>
    <w:rsid w:val="00A3147E"/>
    <w:rsid w:val="00A31493"/>
    <w:rsid w:val="00A314E2"/>
    <w:rsid w:val="00A316D9"/>
    <w:rsid w:val="00A317F0"/>
    <w:rsid w:val="00A31868"/>
    <w:rsid w:val="00A318CA"/>
    <w:rsid w:val="00A31958"/>
    <w:rsid w:val="00A3196B"/>
    <w:rsid w:val="00A319F7"/>
    <w:rsid w:val="00A31AA2"/>
    <w:rsid w:val="00A31B1F"/>
    <w:rsid w:val="00A31B5A"/>
    <w:rsid w:val="00A31BB8"/>
    <w:rsid w:val="00A31C75"/>
    <w:rsid w:val="00A31E55"/>
    <w:rsid w:val="00A31E69"/>
    <w:rsid w:val="00A31EE1"/>
    <w:rsid w:val="00A31F42"/>
    <w:rsid w:val="00A32097"/>
    <w:rsid w:val="00A320CA"/>
    <w:rsid w:val="00A320EB"/>
    <w:rsid w:val="00A322B8"/>
    <w:rsid w:val="00A322EA"/>
    <w:rsid w:val="00A3230D"/>
    <w:rsid w:val="00A323D6"/>
    <w:rsid w:val="00A323E2"/>
    <w:rsid w:val="00A323FE"/>
    <w:rsid w:val="00A32448"/>
    <w:rsid w:val="00A324AC"/>
    <w:rsid w:val="00A325D8"/>
    <w:rsid w:val="00A32635"/>
    <w:rsid w:val="00A3267C"/>
    <w:rsid w:val="00A32715"/>
    <w:rsid w:val="00A3278F"/>
    <w:rsid w:val="00A3284C"/>
    <w:rsid w:val="00A3285B"/>
    <w:rsid w:val="00A32886"/>
    <w:rsid w:val="00A32887"/>
    <w:rsid w:val="00A3290E"/>
    <w:rsid w:val="00A329BC"/>
    <w:rsid w:val="00A32A73"/>
    <w:rsid w:val="00A32AF4"/>
    <w:rsid w:val="00A32B23"/>
    <w:rsid w:val="00A32B2D"/>
    <w:rsid w:val="00A32C7E"/>
    <w:rsid w:val="00A32C95"/>
    <w:rsid w:val="00A32FD2"/>
    <w:rsid w:val="00A330BC"/>
    <w:rsid w:val="00A330FC"/>
    <w:rsid w:val="00A3310B"/>
    <w:rsid w:val="00A33115"/>
    <w:rsid w:val="00A33162"/>
    <w:rsid w:val="00A3319A"/>
    <w:rsid w:val="00A331C0"/>
    <w:rsid w:val="00A33212"/>
    <w:rsid w:val="00A33544"/>
    <w:rsid w:val="00A338E3"/>
    <w:rsid w:val="00A33903"/>
    <w:rsid w:val="00A3399E"/>
    <w:rsid w:val="00A339CC"/>
    <w:rsid w:val="00A33A17"/>
    <w:rsid w:val="00A33AA9"/>
    <w:rsid w:val="00A33B7A"/>
    <w:rsid w:val="00A33C30"/>
    <w:rsid w:val="00A33C38"/>
    <w:rsid w:val="00A33C4C"/>
    <w:rsid w:val="00A33EA4"/>
    <w:rsid w:val="00A33F77"/>
    <w:rsid w:val="00A340BF"/>
    <w:rsid w:val="00A341CE"/>
    <w:rsid w:val="00A34259"/>
    <w:rsid w:val="00A34451"/>
    <w:rsid w:val="00A3445C"/>
    <w:rsid w:val="00A34468"/>
    <w:rsid w:val="00A34496"/>
    <w:rsid w:val="00A344DF"/>
    <w:rsid w:val="00A344FE"/>
    <w:rsid w:val="00A345C6"/>
    <w:rsid w:val="00A3474E"/>
    <w:rsid w:val="00A347D3"/>
    <w:rsid w:val="00A34873"/>
    <w:rsid w:val="00A348E7"/>
    <w:rsid w:val="00A3496A"/>
    <w:rsid w:val="00A3498D"/>
    <w:rsid w:val="00A349BA"/>
    <w:rsid w:val="00A349FD"/>
    <w:rsid w:val="00A34AA9"/>
    <w:rsid w:val="00A34AC1"/>
    <w:rsid w:val="00A34ACF"/>
    <w:rsid w:val="00A34BFD"/>
    <w:rsid w:val="00A34C04"/>
    <w:rsid w:val="00A34D2A"/>
    <w:rsid w:val="00A35059"/>
    <w:rsid w:val="00A3526C"/>
    <w:rsid w:val="00A3528E"/>
    <w:rsid w:val="00A352BA"/>
    <w:rsid w:val="00A3578F"/>
    <w:rsid w:val="00A357FE"/>
    <w:rsid w:val="00A3593C"/>
    <w:rsid w:val="00A35A45"/>
    <w:rsid w:val="00A35A7B"/>
    <w:rsid w:val="00A35AC7"/>
    <w:rsid w:val="00A35B79"/>
    <w:rsid w:val="00A35BE7"/>
    <w:rsid w:val="00A35C18"/>
    <w:rsid w:val="00A35D03"/>
    <w:rsid w:val="00A35D9A"/>
    <w:rsid w:val="00A35E2D"/>
    <w:rsid w:val="00A35ECD"/>
    <w:rsid w:val="00A35F31"/>
    <w:rsid w:val="00A35F44"/>
    <w:rsid w:val="00A35FAF"/>
    <w:rsid w:val="00A360BD"/>
    <w:rsid w:val="00A361D4"/>
    <w:rsid w:val="00A36299"/>
    <w:rsid w:val="00A362E3"/>
    <w:rsid w:val="00A363E1"/>
    <w:rsid w:val="00A3640A"/>
    <w:rsid w:val="00A3653F"/>
    <w:rsid w:val="00A3656C"/>
    <w:rsid w:val="00A365F0"/>
    <w:rsid w:val="00A365F8"/>
    <w:rsid w:val="00A36626"/>
    <w:rsid w:val="00A3663D"/>
    <w:rsid w:val="00A36738"/>
    <w:rsid w:val="00A36755"/>
    <w:rsid w:val="00A367E6"/>
    <w:rsid w:val="00A36941"/>
    <w:rsid w:val="00A369F1"/>
    <w:rsid w:val="00A36AD1"/>
    <w:rsid w:val="00A36AF6"/>
    <w:rsid w:val="00A36B1D"/>
    <w:rsid w:val="00A36BB7"/>
    <w:rsid w:val="00A36C8B"/>
    <w:rsid w:val="00A36D3B"/>
    <w:rsid w:val="00A36E54"/>
    <w:rsid w:val="00A36E6D"/>
    <w:rsid w:val="00A36EEF"/>
    <w:rsid w:val="00A36F5E"/>
    <w:rsid w:val="00A36FA9"/>
    <w:rsid w:val="00A3704C"/>
    <w:rsid w:val="00A37223"/>
    <w:rsid w:val="00A37274"/>
    <w:rsid w:val="00A37285"/>
    <w:rsid w:val="00A37374"/>
    <w:rsid w:val="00A37425"/>
    <w:rsid w:val="00A374BF"/>
    <w:rsid w:val="00A375E2"/>
    <w:rsid w:val="00A37621"/>
    <w:rsid w:val="00A37624"/>
    <w:rsid w:val="00A37636"/>
    <w:rsid w:val="00A37646"/>
    <w:rsid w:val="00A37652"/>
    <w:rsid w:val="00A37687"/>
    <w:rsid w:val="00A3777B"/>
    <w:rsid w:val="00A37783"/>
    <w:rsid w:val="00A3778D"/>
    <w:rsid w:val="00A37935"/>
    <w:rsid w:val="00A37993"/>
    <w:rsid w:val="00A379E4"/>
    <w:rsid w:val="00A37AF0"/>
    <w:rsid w:val="00A37BE1"/>
    <w:rsid w:val="00A37CF9"/>
    <w:rsid w:val="00A37E43"/>
    <w:rsid w:val="00A37E91"/>
    <w:rsid w:val="00A37EC4"/>
    <w:rsid w:val="00A37F4E"/>
    <w:rsid w:val="00A37F51"/>
    <w:rsid w:val="00A40057"/>
    <w:rsid w:val="00A40098"/>
    <w:rsid w:val="00A400B8"/>
    <w:rsid w:val="00A40167"/>
    <w:rsid w:val="00A4016B"/>
    <w:rsid w:val="00A40189"/>
    <w:rsid w:val="00A401BC"/>
    <w:rsid w:val="00A4048E"/>
    <w:rsid w:val="00A40560"/>
    <w:rsid w:val="00A40567"/>
    <w:rsid w:val="00A4056A"/>
    <w:rsid w:val="00A405B4"/>
    <w:rsid w:val="00A405EC"/>
    <w:rsid w:val="00A406D6"/>
    <w:rsid w:val="00A40760"/>
    <w:rsid w:val="00A40790"/>
    <w:rsid w:val="00A4081F"/>
    <w:rsid w:val="00A4083F"/>
    <w:rsid w:val="00A4085B"/>
    <w:rsid w:val="00A40868"/>
    <w:rsid w:val="00A4098C"/>
    <w:rsid w:val="00A409E5"/>
    <w:rsid w:val="00A40A2D"/>
    <w:rsid w:val="00A40A7B"/>
    <w:rsid w:val="00A40A9D"/>
    <w:rsid w:val="00A40B4E"/>
    <w:rsid w:val="00A40C7A"/>
    <w:rsid w:val="00A40D9C"/>
    <w:rsid w:val="00A40DE8"/>
    <w:rsid w:val="00A40E69"/>
    <w:rsid w:val="00A40EEA"/>
    <w:rsid w:val="00A40F09"/>
    <w:rsid w:val="00A40FA4"/>
    <w:rsid w:val="00A40FEB"/>
    <w:rsid w:val="00A41062"/>
    <w:rsid w:val="00A4107D"/>
    <w:rsid w:val="00A410BE"/>
    <w:rsid w:val="00A411B8"/>
    <w:rsid w:val="00A4123C"/>
    <w:rsid w:val="00A4128D"/>
    <w:rsid w:val="00A4133E"/>
    <w:rsid w:val="00A413B2"/>
    <w:rsid w:val="00A41430"/>
    <w:rsid w:val="00A4160F"/>
    <w:rsid w:val="00A4167D"/>
    <w:rsid w:val="00A416A1"/>
    <w:rsid w:val="00A416CD"/>
    <w:rsid w:val="00A41709"/>
    <w:rsid w:val="00A417E5"/>
    <w:rsid w:val="00A419AF"/>
    <w:rsid w:val="00A419C1"/>
    <w:rsid w:val="00A41AB4"/>
    <w:rsid w:val="00A41ACA"/>
    <w:rsid w:val="00A41BE9"/>
    <w:rsid w:val="00A41C4E"/>
    <w:rsid w:val="00A41D06"/>
    <w:rsid w:val="00A41D47"/>
    <w:rsid w:val="00A41FC8"/>
    <w:rsid w:val="00A4208E"/>
    <w:rsid w:val="00A4211B"/>
    <w:rsid w:val="00A42123"/>
    <w:rsid w:val="00A4213E"/>
    <w:rsid w:val="00A42248"/>
    <w:rsid w:val="00A42410"/>
    <w:rsid w:val="00A4265F"/>
    <w:rsid w:val="00A4267B"/>
    <w:rsid w:val="00A42699"/>
    <w:rsid w:val="00A427B1"/>
    <w:rsid w:val="00A42913"/>
    <w:rsid w:val="00A42A3B"/>
    <w:rsid w:val="00A42B05"/>
    <w:rsid w:val="00A42B13"/>
    <w:rsid w:val="00A42D63"/>
    <w:rsid w:val="00A42D8C"/>
    <w:rsid w:val="00A42EE9"/>
    <w:rsid w:val="00A42F21"/>
    <w:rsid w:val="00A42F27"/>
    <w:rsid w:val="00A42F36"/>
    <w:rsid w:val="00A43055"/>
    <w:rsid w:val="00A4312F"/>
    <w:rsid w:val="00A4317F"/>
    <w:rsid w:val="00A431BE"/>
    <w:rsid w:val="00A431DF"/>
    <w:rsid w:val="00A4327F"/>
    <w:rsid w:val="00A432EC"/>
    <w:rsid w:val="00A43320"/>
    <w:rsid w:val="00A434B2"/>
    <w:rsid w:val="00A4357A"/>
    <w:rsid w:val="00A43630"/>
    <w:rsid w:val="00A43677"/>
    <w:rsid w:val="00A43714"/>
    <w:rsid w:val="00A437F8"/>
    <w:rsid w:val="00A438BE"/>
    <w:rsid w:val="00A43B35"/>
    <w:rsid w:val="00A43BBA"/>
    <w:rsid w:val="00A43CDC"/>
    <w:rsid w:val="00A43E0B"/>
    <w:rsid w:val="00A43E2A"/>
    <w:rsid w:val="00A43E79"/>
    <w:rsid w:val="00A43EA7"/>
    <w:rsid w:val="00A43EAF"/>
    <w:rsid w:val="00A43FC6"/>
    <w:rsid w:val="00A4407E"/>
    <w:rsid w:val="00A4416E"/>
    <w:rsid w:val="00A44307"/>
    <w:rsid w:val="00A44356"/>
    <w:rsid w:val="00A44401"/>
    <w:rsid w:val="00A44433"/>
    <w:rsid w:val="00A44456"/>
    <w:rsid w:val="00A44547"/>
    <w:rsid w:val="00A44804"/>
    <w:rsid w:val="00A44A3A"/>
    <w:rsid w:val="00A44B54"/>
    <w:rsid w:val="00A44B83"/>
    <w:rsid w:val="00A44CC1"/>
    <w:rsid w:val="00A44CDB"/>
    <w:rsid w:val="00A44F0A"/>
    <w:rsid w:val="00A44F6A"/>
    <w:rsid w:val="00A45157"/>
    <w:rsid w:val="00A451D3"/>
    <w:rsid w:val="00A45213"/>
    <w:rsid w:val="00A45498"/>
    <w:rsid w:val="00A4549F"/>
    <w:rsid w:val="00A454A2"/>
    <w:rsid w:val="00A45502"/>
    <w:rsid w:val="00A4555C"/>
    <w:rsid w:val="00A455D9"/>
    <w:rsid w:val="00A45614"/>
    <w:rsid w:val="00A4563F"/>
    <w:rsid w:val="00A45668"/>
    <w:rsid w:val="00A4581A"/>
    <w:rsid w:val="00A45841"/>
    <w:rsid w:val="00A458B8"/>
    <w:rsid w:val="00A4599B"/>
    <w:rsid w:val="00A459B6"/>
    <w:rsid w:val="00A45A39"/>
    <w:rsid w:val="00A45BA1"/>
    <w:rsid w:val="00A45C29"/>
    <w:rsid w:val="00A45C73"/>
    <w:rsid w:val="00A45D2B"/>
    <w:rsid w:val="00A45DDA"/>
    <w:rsid w:val="00A45E8E"/>
    <w:rsid w:val="00A45ED1"/>
    <w:rsid w:val="00A45F75"/>
    <w:rsid w:val="00A46005"/>
    <w:rsid w:val="00A4608B"/>
    <w:rsid w:val="00A46269"/>
    <w:rsid w:val="00A464FA"/>
    <w:rsid w:val="00A4653E"/>
    <w:rsid w:val="00A46571"/>
    <w:rsid w:val="00A46641"/>
    <w:rsid w:val="00A46678"/>
    <w:rsid w:val="00A46700"/>
    <w:rsid w:val="00A4676A"/>
    <w:rsid w:val="00A467D7"/>
    <w:rsid w:val="00A46891"/>
    <w:rsid w:val="00A46952"/>
    <w:rsid w:val="00A46999"/>
    <w:rsid w:val="00A469AB"/>
    <w:rsid w:val="00A469E2"/>
    <w:rsid w:val="00A46A9B"/>
    <w:rsid w:val="00A46AB3"/>
    <w:rsid w:val="00A46AC5"/>
    <w:rsid w:val="00A46B0D"/>
    <w:rsid w:val="00A46C72"/>
    <w:rsid w:val="00A46EB3"/>
    <w:rsid w:val="00A46FE4"/>
    <w:rsid w:val="00A470FD"/>
    <w:rsid w:val="00A470FF"/>
    <w:rsid w:val="00A4711B"/>
    <w:rsid w:val="00A4733C"/>
    <w:rsid w:val="00A4735B"/>
    <w:rsid w:val="00A474AD"/>
    <w:rsid w:val="00A47520"/>
    <w:rsid w:val="00A47545"/>
    <w:rsid w:val="00A47606"/>
    <w:rsid w:val="00A4769A"/>
    <w:rsid w:val="00A4769E"/>
    <w:rsid w:val="00A47729"/>
    <w:rsid w:val="00A47820"/>
    <w:rsid w:val="00A4785D"/>
    <w:rsid w:val="00A4795E"/>
    <w:rsid w:val="00A479CE"/>
    <w:rsid w:val="00A47AE2"/>
    <w:rsid w:val="00A47B63"/>
    <w:rsid w:val="00A47DFA"/>
    <w:rsid w:val="00A47F9D"/>
    <w:rsid w:val="00A50195"/>
    <w:rsid w:val="00A50346"/>
    <w:rsid w:val="00A50366"/>
    <w:rsid w:val="00A505A7"/>
    <w:rsid w:val="00A505D6"/>
    <w:rsid w:val="00A505ED"/>
    <w:rsid w:val="00A50703"/>
    <w:rsid w:val="00A5077E"/>
    <w:rsid w:val="00A50827"/>
    <w:rsid w:val="00A50977"/>
    <w:rsid w:val="00A509A1"/>
    <w:rsid w:val="00A50AC9"/>
    <w:rsid w:val="00A50AE6"/>
    <w:rsid w:val="00A50B13"/>
    <w:rsid w:val="00A50C45"/>
    <w:rsid w:val="00A50C48"/>
    <w:rsid w:val="00A50D0B"/>
    <w:rsid w:val="00A50D17"/>
    <w:rsid w:val="00A50E29"/>
    <w:rsid w:val="00A50EB4"/>
    <w:rsid w:val="00A50ECA"/>
    <w:rsid w:val="00A50F7A"/>
    <w:rsid w:val="00A51060"/>
    <w:rsid w:val="00A510E1"/>
    <w:rsid w:val="00A5113C"/>
    <w:rsid w:val="00A51177"/>
    <w:rsid w:val="00A51184"/>
    <w:rsid w:val="00A511D9"/>
    <w:rsid w:val="00A51259"/>
    <w:rsid w:val="00A51286"/>
    <w:rsid w:val="00A5133D"/>
    <w:rsid w:val="00A5141D"/>
    <w:rsid w:val="00A51429"/>
    <w:rsid w:val="00A51603"/>
    <w:rsid w:val="00A517CE"/>
    <w:rsid w:val="00A5191B"/>
    <w:rsid w:val="00A519C5"/>
    <w:rsid w:val="00A51A95"/>
    <w:rsid w:val="00A51ADC"/>
    <w:rsid w:val="00A51AFE"/>
    <w:rsid w:val="00A51B8C"/>
    <w:rsid w:val="00A51BD5"/>
    <w:rsid w:val="00A51C07"/>
    <w:rsid w:val="00A51DB9"/>
    <w:rsid w:val="00A51E18"/>
    <w:rsid w:val="00A51F9B"/>
    <w:rsid w:val="00A51FF8"/>
    <w:rsid w:val="00A5207B"/>
    <w:rsid w:val="00A520E0"/>
    <w:rsid w:val="00A52131"/>
    <w:rsid w:val="00A52217"/>
    <w:rsid w:val="00A522DA"/>
    <w:rsid w:val="00A52384"/>
    <w:rsid w:val="00A52430"/>
    <w:rsid w:val="00A52431"/>
    <w:rsid w:val="00A5248D"/>
    <w:rsid w:val="00A5250A"/>
    <w:rsid w:val="00A52527"/>
    <w:rsid w:val="00A52680"/>
    <w:rsid w:val="00A526E5"/>
    <w:rsid w:val="00A52824"/>
    <w:rsid w:val="00A528C2"/>
    <w:rsid w:val="00A528DE"/>
    <w:rsid w:val="00A529AE"/>
    <w:rsid w:val="00A529C5"/>
    <w:rsid w:val="00A52A68"/>
    <w:rsid w:val="00A52A92"/>
    <w:rsid w:val="00A52BA1"/>
    <w:rsid w:val="00A52BC6"/>
    <w:rsid w:val="00A52C9D"/>
    <w:rsid w:val="00A52D97"/>
    <w:rsid w:val="00A52DBF"/>
    <w:rsid w:val="00A52E4E"/>
    <w:rsid w:val="00A52E88"/>
    <w:rsid w:val="00A52EAB"/>
    <w:rsid w:val="00A52EFA"/>
    <w:rsid w:val="00A52F5A"/>
    <w:rsid w:val="00A53034"/>
    <w:rsid w:val="00A530C7"/>
    <w:rsid w:val="00A53133"/>
    <w:rsid w:val="00A531CB"/>
    <w:rsid w:val="00A53273"/>
    <w:rsid w:val="00A5334E"/>
    <w:rsid w:val="00A53365"/>
    <w:rsid w:val="00A5343C"/>
    <w:rsid w:val="00A5353A"/>
    <w:rsid w:val="00A53550"/>
    <w:rsid w:val="00A5358B"/>
    <w:rsid w:val="00A536FB"/>
    <w:rsid w:val="00A537A6"/>
    <w:rsid w:val="00A537FD"/>
    <w:rsid w:val="00A53814"/>
    <w:rsid w:val="00A538E4"/>
    <w:rsid w:val="00A53961"/>
    <w:rsid w:val="00A539CB"/>
    <w:rsid w:val="00A53A6E"/>
    <w:rsid w:val="00A53AEF"/>
    <w:rsid w:val="00A53B4D"/>
    <w:rsid w:val="00A53B6A"/>
    <w:rsid w:val="00A53CA5"/>
    <w:rsid w:val="00A53CD7"/>
    <w:rsid w:val="00A53D3C"/>
    <w:rsid w:val="00A53E32"/>
    <w:rsid w:val="00A53E4A"/>
    <w:rsid w:val="00A53E74"/>
    <w:rsid w:val="00A53EF6"/>
    <w:rsid w:val="00A54198"/>
    <w:rsid w:val="00A5425C"/>
    <w:rsid w:val="00A5436C"/>
    <w:rsid w:val="00A5441B"/>
    <w:rsid w:val="00A54554"/>
    <w:rsid w:val="00A54574"/>
    <w:rsid w:val="00A545CC"/>
    <w:rsid w:val="00A5467B"/>
    <w:rsid w:val="00A54709"/>
    <w:rsid w:val="00A547F6"/>
    <w:rsid w:val="00A54834"/>
    <w:rsid w:val="00A548CC"/>
    <w:rsid w:val="00A5499A"/>
    <w:rsid w:val="00A549A5"/>
    <w:rsid w:val="00A549FA"/>
    <w:rsid w:val="00A54AE2"/>
    <w:rsid w:val="00A54C8D"/>
    <w:rsid w:val="00A54D16"/>
    <w:rsid w:val="00A54D4E"/>
    <w:rsid w:val="00A54D71"/>
    <w:rsid w:val="00A54E21"/>
    <w:rsid w:val="00A54E36"/>
    <w:rsid w:val="00A54F1C"/>
    <w:rsid w:val="00A54F21"/>
    <w:rsid w:val="00A54F74"/>
    <w:rsid w:val="00A54FE4"/>
    <w:rsid w:val="00A551AE"/>
    <w:rsid w:val="00A55459"/>
    <w:rsid w:val="00A55488"/>
    <w:rsid w:val="00A555A6"/>
    <w:rsid w:val="00A556AA"/>
    <w:rsid w:val="00A5572D"/>
    <w:rsid w:val="00A55776"/>
    <w:rsid w:val="00A558A2"/>
    <w:rsid w:val="00A55937"/>
    <w:rsid w:val="00A55A8D"/>
    <w:rsid w:val="00A55D24"/>
    <w:rsid w:val="00A55DFB"/>
    <w:rsid w:val="00A55ED0"/>
    <w:rsid w:val="00A55F59"/>
    <w:rsid w:val="00A5600F"/>
    <w:rsid w:val="00A56010"/>
    <w:rsid w:val="00A56092"/>
    <w:rsid w:val="00A56331"/>
    <w:rsid w:val="00A56430"/>
    <w:rsid w:val="00A564CF"/>
    <w:rsid w:val="00A5656C"/>
    <w:rsid w:val="00A565A3"/>
    <w:rsid w:val="00A56654"/>
    <w:rsid w:val="00A56773"/>
    <w:rsid w:val="00A5677B"/>
    <w:rsid w:val="00A56799"/>
    <w:rsid w:val="00A567AF"/>
    <w:rsid w:val="00A567E0"/>
    <w:rsid w:val="00A56806"/>
    <w:rsid w:val="00A56817"/>
    <w:rsid w:val="00A56EC0"/>
    <w:rsid w:val="00A56FE2"/>
    <w:rsid w:val="00A57036"/>
    <w:rsid w:val="00A5709B"/>
    <w:rsid w:val="00A5719D"/>
    <w:rsid w:val="00A571AB"/>
    <w:rsid w:val="00A572B1"/>
    <w:rsid w:val="00A5735E"/>
    <w:rsid w:val="00A57418"/>
    <w:rsid w:val="00A57420"/>
    <w:rsid w:val="00A574C9"/>
    <w:rsid w:val="00A57515"/>
    <w:rsid w:val="00A57563"/>
    <w:rsid w:val="00A576CD"/>
    <w:rsid w:val="00A578A2"/>
    <w:rsid w:val="00A578BE"/>
    <w:rsid w:val="00A5796B"/>
    <w:rsid w:val="00A579BB"/>
    <w:rsid w:val="00A57A37"/>
    <w:rsid w:val="00A57AF8"/>
    <w:rsid w:val="00A57B7F"/>
    <w:rsid w:val="00A57C45"/>
    <w:rsid w:val="00A57CA1"/>
    <w:rsid w:val="00A57CBA"/>
    <w:rsid w:val="00A57D22"/>
    <w:rsid w:val="00A57E48"/>
    <w:rsid w:val="00A57F06"/>
    <w:rsid w:val="00A57F11"/>
    <w:rsid w:val="00A57F31"/>
    <w:rsid w:val="00A57F8F"/>
    <w:rsid w:val="00A60010"/>
    <w:rsid w:val="00A6001C"/>
    <w:rsid w:val="00A60031"/>
    <w:rsid w:val="00A60059"/>
    <w:rsid w:val="00A600DF"/>
    <w:rsid w:val="00A600FF"/>
    <w:rsid w:val="00A6010D"/>
    <w:rsid w:val="00A602E7"/>
    <w:rsid w:val="00A604D1"/>
    <w:rsid w:val="00A60513"/>
    <w:rsid w:val="00A60542"/>
    <w:rsid w:val="00A605AA"/>
    <w:rsid w:val="00A6060F"/>
    <w:rsid w:val="00A60645"/>
    <w:rsid w:val="00A6071C"/>
    <w:rsid w:val="00A60723"/>
    <w:rsid w:val="00A6089B"/>
    <w:rsid w:val="00A60A82"/>
    <w:rsid w:val="00A60B3A"/>
    <w:rsid w:val="00A60BFE"/>
    <w:rsid w:val="00A60C39"/>
    <w:rsid w:val="00A60DD8"/>
    <w:rsid w:val="00A60E27"/>
    <w:rsid w:val="00A60EA9"/>
    <w:rsid w:val="00A60F0C"/>
    <w:rsid w:val="00A60F3C"/>
    <w:rsid w:val="00A60F8C"/>
    <w:rsid w:val="00A6116C"/>
    <w:rsid w:val="00A61304"/>
    <w:rsid w:val="00A6135D"/>
    <w:rsid w:val="00A6141A"/>
    <w:rsid w:val="00A614AE"/>
    <w:rsid w:val="00A614ED"/>
    <w:rsid w:val="00A61590"/>
    <w:rsid w:val="00A615E7"/>
    <w:rsid w:val="00A6162F"/>
    <w:rsid w:val="00A61706"/>
    <w:rsid w:val="00A61727"/>
    <w:rsid w:val="00A618BA"/>
    <w:rsid w:val="00A61A2E"/>
    <w:rsid w:val="00A61B1C"/>
    <w:rsid w:val="00A61B9A"/>
    <w:rsid w:val="00A61BD9"/>
    <w:rsid w:val="00A61BE6"/>
    <w:rsid w:val="00A61BEF"/>
    <w:rsid w:val="00A61CC1"/>
    <w:rsid w:val="00A61D16"/>
    <w:rsid w:val="00A61D2C"/>
    <w:rsid w:val="00A61E83"/>
    <w:rsid w:val="00A61F03"/>
    <w:rsid w:val="00A61F08"/>
    <w:rsid w:val="00A62122"/>
    <w:rsid w:val="00A6213C"/>
    <w:rsid w:val="00A62216"/>
    <w:rsid w:val="00A6229C"/>
    <w:rsid w:val="00A622BD"/>
    <w:rsid w:val="00A622C6"/>
    <w:rsid w:val="00A622E3"/>
    <w:rsid w:val="00A62383"/>
    <w:rsid w:val="00A62489"/>
    <w:rsid w:val="00A6248B"/>
    <w:rsid w:val="00A624DE"/>
    <w:rsid w:val="00A6264A"/>
    <w:rsid w:val="00A62690"/>
    <w:rsid w:val="00A626D3"/>
    <w:rsid w:val="00A627DA"/>
    <w:rsid w:val="00A6291E"/>
    <w:rsid w:val="00A629DA"/>
    <w:rsid w:val="00A62AAB"/>
    <w:rsid w:val="00A62ABA"/>
    <w:rsid w:val="00A62BEA"/>
    <w:rsid w:val="00A62D45"/>
    <w:rsid w:val="00A63080"/>
    <w:rsid w:val="00A630A4"/>
    <w:rsid w:val="00A630AE"/>
    <w:rsid w:val="00A6312B"/>
    <w:rsid w:val="00A631EA"/>
    <w:rsid w:val="00A63257"/>
    <w:rsid w:val="00A632FA"/>
    <w:rsid w:val="00A633FF"/>
    <w:rsid w:val="00A63543"/>
    <w:rsid w:val="00A63611"/>
    <w:rsid w:val="00A6364A"/>
    <w:rsid w:val="00A63709"/>
    <w:rsid w:val="00A6371A"/>
    <w:rsid w:val="00A6373F"/>
    <w:rsid w:val="00A6380D"/>
    <w:rsid w:val="00A6380F"/>
    <w:rsid w:val="00A63859"/>
    <w:rsid w:val="00A63AA1"/>
    <w:rsid w:val="00A63AAD"/>
    <w:rsid w:val="00A63AD0"/>
    <w:rsid w:val="00A63B4A"/>
    <w:rsid w:val="00A63BA7"/>
    <w:rsid w:val="00A63E22"/>
    <w:rsid w:val="00A63E72"/>
    <w:rsid w:val="00A63F79"/>
    <w:rsid w:val="00A64070"/>
    <w:rsid w:val="00A64130"/>
    <w:rsid w:val="00A64254"/>
    <w:rsid w:val="00A643F2"/>
    <w:rsid w:val="00A64404"/>
    <w:rsid w:val="00A64516"/>
    <w:rsid w:val="00A645E1"/>
    <w:rsid w:val="00A645EF"/>
    <w:rsid w:val="00A64797"/>
    <w:rsid w:val="00A647B6"/>
    <w:rsid w:val="00A647F2"/>
    <w:rsid w:val="00A6480E"/>
    <w:rsid w:val="00A648F0"/>
    <w:rsid w:val="00A64917"/>
    <w:rsid w:val="00A64948"/>
    <w:rsid w:val="00A64AD9"/>
    <w:rsid w:val="00A64AEE"/>
    <w:rsid w:val="00A64D2F"/>
    <w:rsid w:val="00A64DC4"/>
    <w:rsid w:val="00A64E57"/>
    <w:rsid w:val="00A64E97"/>
    <w:rsid w:val="00A64F7B"/>
    <w:rsid w:val="00A64FF5"/>
    <w:rsid w:val="00A65055"/>
    <w:rsid w:val="00A6518C"/>
    <w:rsid w:val="00A65228"/>
    <w:rsid w:val="00A652AE"/>
    <w:rsid w:val="00A654AF"/>
    <w:rsid w:val="00A65503"/>
    <w:rsid w:val="00A6569B"/>
    <w:rsid w:val="00A656A9"/>
    <w:rsid w:val="00A656BA"/>
    <w:rsid w:val="00A65A67"/>
    <w:rsid w:val="00A65BBC"/>
    <w:rsid w:val="00A65BE2"/>
    <w:rsid w:val="00A65C45"/>
    <w:rsid w:val="00A65CB1"/>
    <w:rsid w:val="00A65CE2"/>
    <w:rsid w:val="00A65D92"/>
    <w:rsid w:val="00A65DFD"/>
    <w:rsid w:val="00A65E6F"/>
    <w:rsid w:val="00A65ED7"/>
    <w:rsid w:val="00A65F5D"/>
    <w:rsid w:val="00A65F6C"/>
    <w:rsid w:val="00A6600E"/>
    <w:rsid w:val="00A66036"/>
    <w:rsid w:val="00A66072"/>
    <w:rsid w:val="00A660D7"/>
    <w:rsid w:val="00A66109"/>
    <w:rsid w:val="00A663FE"/>
    <w:rsid w:val="00A66481"/>
    <w:rsid w:val="00A6649B"/>
    <w:rsid w:val="00A664EA"/>
    <w:rsid w:val="00A6658D"/>
    <w:rsid w:val="00A66748"/>
    <w:rsid w:val="00A667F6"/>
    <w:rsid w:val="00A667FF"/>
    <w:rsid w:val="00A66849"/>
    <w:rsid w:val="00A669FA"/>
    <w:rsid w:val="00A66A2A"/>
    <w:rsid w:val="00A66AEE"/>
    <w:rsid w:val="00A66BE9"/>
    <w:rsid w:val="00A66C30"/>
    <w:rsid w:val="00A66D2B"/>
    <w:rsid w:val="00A66DE5"/>
    <w:rsid w:val="00A66E30"/>
    <w:rsid w:val="00A66EFF"/>
    <w:rsid w:val="00A66F61"/>
    <w:rsid w:val="00A66F90"/>
    <w:rsid w:val="00A66FB9"/>
    <w:rsid w:val="00A67122"/>
    <w:rsid w:val="00A6714C"/>
    <w:rsid w:val="00A672E1"/>
    <w:rsid w:val="00A6734D"/>
    <w:rsid w:val="00A673F2"/>
    <w:rsid w:val="00A67401"/>
    <w:rsid w:val="00A6755F"/>
    <w:rsid w:val="00A67602"/>
    <w:rsid w:val="00A67715"/>
    <w:rsid w:val="00A6790A"/>
    <w:rsid w:val="00A67C02"/>
    <w:rsid w:val="00A67D07"/>
    <w:rsid w:val="00A67D29"/>
    <w:rsid w:val="00A67D5F"/>
    <w:rsid w:val="00A67E07"/>
    <w:rsid w:val="00A7011C"/>
    <w:rsid w:val="00A7021C"/>
    <w:rsid w:val="00A7030E"/>
    <w:rsid w:val="00A70548"/>
    <w:rsid w:val="00A70700"/>
    <w:rsid w:val="00A707EE"/>
    <w:rsid w:val="00A7080B"/>
    <w:rsid w:val="00A70874"/>
    <w:rsid w:val="00A709E7"/>
    <w:rsid w:val="00A709EF"/>
    <w:rsid w:val="00A70AA2"/>
    <w:rsid w:val="00A70AF7"/>
    <w:rsid w:val="00A70CB8"/>
    <w:rsid w:val="00A70D50"/>
    <w:rsid w:val="00A70DBF"/>
    <w:rsid w:val="00A70DE8"/>
    <w:rsid w:val="00A70EC2"/>
    <w:rsid w:val="00A70F14"/>
    <w:rsid w:val="00A70F1E"/>
    <w:rsid w:val="00A71045"/>
    <w:rsid w:val="00A71088"/>
    <w:rsid w:val="00A7108A"/>
    <w:rsid w:val="00A710B2"/>
    <w:rsid w:val="00A711FB"/>
    <w:rsid w:val="00A71214"/>
    <w:rsid w:val="00A71235"/>
    <w:rsid w:val="00A712BB"/>
    <w:rsid w:val="00A7130C"/>
    <w:rsid w:val="00A713A9"/>
    <w:rsid w:val="00A713CD"/>
    <w:rsid w:val="00A713F9"/>
    <w:rsid w:val="00A71401"/>
    <w:rsid w:val="00A71453"/>
    <w:rsid w:val="00A714D1"/>
    <w:rsid w:val="00A71503"/>
    <w:rsid w:val="00A71514"/>
    <w:rsid w:val="00A7158C"/>
    <w:rsid w:val="00A715C1"/>
    <w:rsid w:val="00A7161E"/>
    <w:rsid w:val="00A717A2"/>
    <w:rsid w:val="00A718C7"/>
    <w:rsid w:val="00A71902"/>
    <w:rsid w:val="00A71A10"/>
    <w:rsid w:val="00A71A82"/>
    <w:rsid w:val="00A71B27"/>
    <w:rsid w:val="00A71B60"/>
    <w:rsid w:val="00A71B93"/>
    <w:rsid w:val="00A71C38"/>
    <w:rsid w:val="00A71C3C"/>
    <w:rsid w:val="00A71D41"/>
    <w:rsid w:val="00A71EB7"/>
    <w:rsid w:val="00A71F3B"/>
    <w:rsid w:val="00A71F5C"/>
    <w:rsid w:val="00A72028"/>
    <w:rsid w:val="00A72052"/>
    <w:rsid w:val="00A7209A"/>
    <w:rsid w:val="00A7210A"/>
    <w:rsid w:val="00A72175"/>
    <w:rsid w:val="00A722CC"/>
    <w:rsid w:val="00A722F5"/>
    <w:rsid w:val="00A723EC"/>
    <w:rsid w:val="00A72452"/>
    <w:rsid w:val="00A7245F"/>
    <w:rsid w:val="00A724A7"/>
    <w:rsid w:val="00A724E7"/>
    <w:rsid w:val="00A72530"/>
    <w:rsid w:val="00A725AD"/>
    <w:rsid w:val="00A72639"/>
    <w:rsid w:val="00A7267F"/>
    <w:rsid w:val="00A7269B"/>
    <w:rsid w:val="00A72A6B"/>
    <w:rsid w:val="00A72A91"/>
    <w:rsid w:val="00A72BAF"/>
    <w:rsid w:val="00A72D08"/>
    <w:rsid w:val="00A72D33"/>
    <w:rsid w:val="00A72D6A"/>
    <w:rsid w:val="00A72D7E"/>
    <w:rsid w:val="00A72F21"/>
    <w:rsid w:val="00A72F24"/>
    <w:rsid w:val="00A72F46"/>
    <w:rsid w:val="00A72F80"/>
    <w:rsid w:val="00A73164"/>
    <w:rsid w:val="00A731E2"/>
    <w:rsid w:val="00A7325A"/>
    <w:rsid w:val="00A732E9"/>
    <w:rsid w:val="00A7340F"/>
    <w:rsid w:val="00A73470"/>
    <w:rsid w:val="00A73471"/>
    <w:rsid w:val="00A735FB"/>
    <w:rsid w:val="00A7363B"/>
    <w:rsid w:val="00A736E0"/>
    <w:rsid w:val="00A73730"/>
    <w:rsid w:val="00A73820"/>
    <w:rsid w:val="00A73910"/>
    <w:rsid w:val="00A7398B"/>
    <w:rsid w:val="00A739F9"/>
    <w:rsid w:val="00A73A75"/>
    <w:rsid w:val="00A73A9C"/>
    <w:rsid w:val="00A73B69"/>
    <w:rsid w:val="00A73BE4"/>
    <w:rsid w:val="00A73BEC"/>
    <w:rsid w:val="00A73C37"/>
    <w:rsid w:val="00A73C63"/>
    <w:rsid w:val="00A73C7B"/>
    <w:rsid w:val="00A73CC8"/>
    <w:rsid w:val="00A73CE7"/>
    <w:rsid w:val="00A73CFF"/>
    <w:rsid w:val="00A73DC1"/>
    <w:rsid w:val="00A73DE2"/>
    <w:rsid w:val="00A740CF"/>
    <w:rsid w:val="00A74264"/>
    <w:rsid w:val="00A74326"/>
    <w:rsid w:val="00A7437E"/>
    <w:rsid w:val="00A74392"/>
    <w:rsid w:val="00A74398"/>
    <w:rsid w:val="00A743AC"/>
    <w:rsid w:val="00A744B4"/>
    <w:rsid w:val="00A745EA"/>
    <w:rsid w:val="00A74679"/>
    <w:rsid w:val="00A74689"/>
    <w:rsid w:val="00A746E8"/>
    <w:rsid w:val="00A74726"/>
    <w:rsid w:val="00A7478A"/>
    <w:rsid w:val="00A747FB"/>
    <w:rsid w:val="00A74889"/>
    <w:rsid w:val="00A748BB"/>
    <w:rsid w:val="00A748CD"/>
    <w:rsid w:val="00A748D9"/>
    <w:rsid w:val="00A74A86"/>
    <w:rsid w:val="00A74B5C"/>
    <w:rsid w:val="00A74BD1"/>
    <w:rsid w:val="00A74FF0"/>
    <w:rsid w:val="00A750AB"/>
    <w:rsid w:val="00A750E9"/>
    <w:rsid w:val="00A75175"/>
    <w:rsid w:val="00A75197"/>
    <w:rsid w:val="00A754C8"/>
    <w:rsid w:val="00A755C3"/>
    <w:rsid w:val="00A75606"/>
    <w:rsid w:val="00A7568B"/>
    <w:rsid w:val="00A7574F"/>
    <w:rsid w:val="00A75800"/>
    <w:rsid w:val="00A7588B"/>
    <w:rsid w:val="00A75A9F"/>
    <w:rsid w:val="00A75BE5"/>
    <w:rsid w:val="00A75D88"/>
    <w:rsid w:val="00A75E29"/>
    <w:rsid w:val="00A75E3B"/>
    <w:rsid w:val="00A75E8D"/>
    <w:rsid w:val="00A75F21"/>
    <w:rsid w:val="00A75F4A"/>
    <w:rsid w:val="00A75F83"/>
    <w:rsid w:val="00A75FB1"/>
    <w:rsid w:val="00A75FF0"/>
    <w:rsid w:val="00A76036"/>
    <w:rsid w:val="00A761C5"/>
    <w:rsid w:val="00A76284"/>
    <w:rsid w:val="00A7631E"/>
    <w:rsid w:val="00A763A3"/>
    <w:rsid w:val="00A764E8"/>
    <w:rsid w:val="00A76607"/>
    <w:rsid w:val="00A76639"/>
    <w:rsid w:val="00A7678A"/>
    <w:rsid w:val="00A76827"/>
    <w:rsid w:val="00A768F2"/>
    <w:rsid w:val="00A76A49"/>
    <w:rsid w:val="00A76A59"/>
    <w:rsid w:val="00A76BAA"/>
    <w:rsid w:val="00A76BB8"/>
    <w:rsid w:val="00A76BBA"/>
    <w:rsid w:val="00A76BF8"/>
    <w:rsid w:val="00A76CCD"/>
    <w:rsid w:val="00A76CD0"/>
    <w:rsid w:val="00A76CE7"/>
    <w:rsid w:val="00A76D55"/>
    <w:rsid w:val="00A76DA2"/>
    <w:rsid w:val="00A76FE9"/>
    <w:rsid w:val="00A77110"/>
    <w:rsid w:val="00A77149"/>
    <w:rsid w:val="00A772CD"/>
    <w:rsid w:val="00A7733E"/>
    <w:rsid w:val="00A77358"/>
    <w:rsid w:val="00A7735D"/>
    <w:rsid w:val="00A77414"/>
    <w:rsid w:val="00A7743F"/>
    <w:rsid w:val="00A7747B"/>
    <w:rsid w:val="00A77504"/>
    <w:rsid w:val="00A775B1"/>
    <w:rsid w:val="00A775CB"/>
    <w:rsid w:val="00A777CA"/>
    <w:rsid w:val="00A7780D"/>
    <w:rsid w:val="00A7786A"/>
    <w:rsid w:val="00A77910"/>
    <w:rsid w:val="00A77929"/>
    <w:rsid w:val="00A77AAC"/>
    <w:rsid w:val="00A77BB8"/>
    <w:rsid w:val="00A77C7A"/>
    <w:rsid w:val="00A77E41"/>
    <w:rsid w:val="00A77E7A"/>
    <w:rsid w:val="00A800A8"/>
    <w:rsid w:val="00A800EF"/>
    <w:rsid w:val="00A80120"/>
    <w:rsid w:val="00A80143"/>
    <w:rsid w:val="00A80163"/>
    <w:rsid w:val="00A80214"/>
    <w:rsid w:val="00A80300"/>
    <w:rsid w:val="00A803DA"/>
    <w:rsid w:val="00A804F0"/>
    <w:rsid w:val="00A80523"/>
    <w:rsid w:val="00A8052C"/>
    <w:rsid w:val="00A80667"/>
    <w:rsid w:val="00A8075A"/>
    <w:rsid w:val="00A80791"/>
    <w:rsid w:val="00A80903"/>
    <w:rsid w:val="00A80A3E"/>
    <w:rsid w:val="00A80A7E"/>
    <w:rsid w:val="00A80B15"/>
    <w:rsid w:val="00A80B26"/>
    <w:rsid w:val="00A80B8D"/>
    <w:rsid w:val="00A80BD5"/>
    <w:rsid w:val="00A80BEC"/>
    <w:rsid w:val="00A80C09"/>
    <w:rsid w:val="00A80CDB"/>
    <w:rsid w:val="00A80F84"/>
    <w:rsid w:val="00A812FA"/>
    <w:rsid w:val="00A81325"/>
    <w:rsid w:val="00A81402"/>
    <w:rsid w:val="00A81452"/>
    <w:rsid w:val="00A817AA"/>
    <w:rsid w:val="00A817B2"/>
    <w:rsid w:val="00A817BC"/>
    <w:rsid w:val="00A81840"/>
    <w:rsid w:val="00A81859"/>
    <w:rsid w:val="00A818C4"/>
    <w:rsid w:val="00A818F0"/>
    <w:rsid w:val="00A81A79"/>
    <w:rsid w:val="00A81AF3"/>
    <w:rsid w:val="00A81B52"/>
    <w:rsid w:val="00A81BAC"/>
    <w:rsid w:val="00A81C2F"/>
    <w:rsid w:val="00A81CF8"/>
    <w:rsid w:val="00A81DD9"/>
    <w:rsid w:val="00A820AC"/>
    <w:rsid w:val="00A82189"/>
    <w:rsid w:val="00A8227A"/>
    <w:rsid w:val="00A822D4"/>
    <w:rsid w:val="00A822DE"/>
    <w:rsid w:val="00A82435"/>
    <w:rsid w:val="00A8248B"/>
    <w:rsid w:val="00A8258A"/>
    <w:rsid w:val="00A825D7"/>
    <w:rsid w:val="00A828D5"/>
    <w:rsid w:val="00A82A63"/>
    <w:rsid w:val="00A82AD1"/>
    <w:rsid w:val="00A82B63"/>
    <w:rsid w:val="00A82B85"/>
    <w:rsid w:val="00A82B89"/>
    <w:rsid w:val="00A82BBC"/>
    <w:rsid w:val="00A82D30"/>
    <w:rsid w:val="00A82D7A"/>
    <w:rsid w:val="00A82DE5"/>
    <w:rsid w:val="00A83037"/>
    <w:rsid w:val="00A831DB"/>
    <w:rsid w:val="00A83299"/>
    <w:rsid w:val="00A832E5"/>
    <w:rsid w:val="00A833D3"/>
    <w:rsid w:val="00A83410"/>
    <w:rsid w:val="00A83413"/>
    <w:rsid w:val="00A8361E"/>
    <w:rsid w:val="00A836B9"/>
    <w:rsid w:val="00A83757"/>
    <w:rsid w:val="00A837E1"/>
    <w:rsid w:val="00A8381C"/>
    <w:rsid w:val="00A83839"/>
    <w:rsid w:val="00A839C8"/>
    <w:rsid w:val="00A83A11"/>
    <w:rsid w:val="00A83A9E"/>
    <w:rsid w:val="00A83B18"/>
    <w:rsid w:val="00A83B9C"/>
    <w:rsid w:val="00A83BC6"/>
    <w:rsid w:val="00A83EEF"/>
    <w:rsid w:val="00A83EF5"/>
    <w:rsid w:val="00A83F45"/>
    <w:rsid w:val="00A8406D"/>
    <w:rsid w:val="00A840FF"/>
    <w:rsid w:val="00A84103"/>
    <w:rsid w:val="00A84134"/>
    <w:rsid w:val="00A84308"/>
    <w:rsid w:val="00A843C3"/>
    <w:rsid w:val="00A8454E"/>
    <w:rsid w:val="00A84630"/>
    <w:rsid w:val="00A8472F"/>
    <w:rsid w:val="00A847A7"/>
    <w:rsid w:val="00A8484D"/>
    <w:rsid w:val="00A84887"/>
    <w:rsid w:val="00A84949"/>
    <w:rsid w:val="00A84AA4"/>
    <w:rsid w:val="00A84AE7"/>
    <w:rsid w:val="00A84B8D"/>
    <w:rsid w:val="00A84D66"/>
    <w:rsid w:val="00A84D7B"/>
    <w:rsid w:val="00A84DBE"/>
    <w:rsid w:val="00A85017"/>
    <w:rsid w:val="00A8508D"/>
    <w:rsid w:val="00A85150"/>
    <w:rsid w:val="00A851AD"/>
    <w:rsid w:val="00A851B9"/>
    <w:rsid w:val="00A853CB"/>
    <w:rsid w:val="00A853F6"/>
    <w:rsid w:val="00A85414"/>
    <w:rsid w:val="00A8555F"/>
    <w:rsid w:val="00A85598"/>
    <w:rsid w:val="00A857F5"/>
    <w:rsid w:val="00A85887"/>
    <w:rsid w:val="00A85892"/>
    <w:rsid w:val="00A85908"/>
    <w:rsid w:val="00A85A7A"/>
    <w:rsid w:val="00A85A95"/>
    <w:rsid w:val="00A85AA1"/>
    <w:rsid w:val="00A85B25"/>
    <w:rsid w:val="00A85B3A"/>
    <w:rsid w:val="00A85B85"/>
    <w:rsid w:val="00A85BE2"/>
    <w:rsid w:val="00A85DC2"/>
    <w:rsid w:val="00A85DC5"/>
    <w:rsid w:val="00A85EBB"/>
    <w:rsid w:val="00A85F14"/>
    <w:rsid w:val="00A85F53"/>
    <w:rsid w:val="00A85F5B"/>
    <w:rsid w:val="00A86007"/>
    <w:rsid w:val="00A86152"/>
    <w:rsid w:val="00A861DA"/>
    <w:rsid w:val="00A8622D"/>
    <w:rsid w:val="00A8636E"/>
    <w:rsid w:val="00A86587"/>
    <w:rsid w:val="00A8663C"/>
    <w:rsid w:val="00A8668F"/>
    <w:rsid w:val="00A8673E"/>
    <w:rsid w:val="00A86741"/>
    <w:rsid w:val="00A867E9"/>
    <w:rsid w:val="00A8683F"/>
    <w:rsid w:val="00A8690A"/>
    <w:rsid w:val="00A869B7"/>
    <w:rsid w:val="00A86A6F"/>
    <w:rsid w:val="00A86ADA"/>
    <w:rsid w:val="00A86B24"/>
    <w:rsid w:val="00A86B2C"/>
    <w:rsid w:val="00A86B55"/>
    <w:rsid w:val="00A86BFE"/>
    <w:rsid w:val="00A86C2F"/>
    <w:rsid w:val="00A86C3A"/>
    <w:rsid w:val="00A86C4A"/>
    <w:rsid w:val="00A86CD8"/>
    <w:rsid w:val="00A86D32"/>
    <w:rsid w:val="00A86EEB"/>
    <w:rsid w:val="00A86FD0"/>
    <w:rsid w:val="00A86FEF"/>
    <w:rsid w:val="00A870F5"/>
    <w:rsid w:val="00A87107"/>
    <w:rsid w:val="00A87189"/>
    <w:rsid w:val="00A87308"/>
    <w:rsid w:val="00A87443"/>
    <w:rsid w:val="00A87499"/>
    <w:rsid w:val="00A87561"/>
    <w:rsid w:val="00A87650"/>
    <w:rsid w:val="00A8776F"/>
    <w:rsid w:val="00A877AF"/>
    <w:rsid w:val="00A87916"/>
    <w:rsid w:val="00A87982"/>
    <w:rsid w:val="00A87A29"/>
    <w:rsid w:val="00A87A70"/>
    <w:rsid w:val="00A87A76"/>
    <w:rsid w:val="00A87B21"/>
    <w:rsid w:val="00A87BBF"/>
    <w:rsid w:val="00A87C29"/>
    <w:rsid w:val="00A87D1C"/>
    <w:rsid w:val="00A87D5A"/>
    <w:rsid w:val="00A87DBA"/>
    <w:rsid w:val="00A87E0F"/>
    <w:rsid w:val="00A87F49"/>
    <w:rsid w:val="00A87FAB"/>
    <w:rsid w:val="00A8FA97"/>
    <w:rsid w:val="00A9002C"/>
    <w:rsid w:val="00A9010F"/>
    <w:rsid w:val="00A901B2"/>
    <w:rsid w:val="00A9038B"/>
    <w:rsid w:val="00A90395"/>
    <w:rsid w:val="00A903BA"/>
    <w:rsid w:val="00A904A2"/>
    <w:rsid w:val="00A9057F"/>
    <w:rsid w:val="00A90691"/>
    <w:rsid w:val="00A906FC"/>
    <w:rsid w:val="00A907F1"/>
    <w:rsid w:val="00A9080A"/>
    <w:rsid w:val="00A9081E"/>
    <w:rsid w:val="00A908DC"/>
    <w:rsid w:val="00A908EB"/>
    <w:rsid w:val="00A90B2A"/>
    <w:rsid w:val="00A90B30"/>
    <w:rsid w:val="00A90BB6"/>
    <w:rsid w:val="00A90D24"/>
    <w:rsid w:val="00A90D2D"/>
    <w:rsid w:val="00A90E06"/>
    <w:rsid w:val="00A90E13"/>
    <w:rsid w:val="00A90E99"/>
    <w:rsid w:val="00A90F13"/>
    <w:rsid w:val="00A90F45"/>
    <w:rsid w:val="00A90F58"/>
    <w:rsid w:val="00A90F73"/>
    <w:rsid w:val="00A90FAD"/>
    <w:rsid w:val="00A90FF3"/>
    <w:rsid w:val="00A9119B"/>
    <w:rsid w:val="00A911A6"/>
    <w:rsid w:val="00A91241"/>
    <w:rsid w:val="00A913FD"/>
    <w:rsid w:val="00A9141A"/>
    <w:rsid w:val="00A91469"/>
    <w:rsid w:val="00A914CB"/>
    <w:rsid w:val="00A9157E"/>
    <w:rsid w:val="00A91593"/>
    <w:rsid w:val="00A91642"/>
    <w:rsid w:val="00A9168B"/>
    <w:rsid w:val="00A916E1"/>
    <w:rsid w:val="00A917A7"/>
    <w:rsid w:val="00A917CE"/>
    <w:rsid w:val="00A917FC"/>
    <w:rsid w:val="00A91867"/>
    <w:rsid w:val="00A91974"/>
    <w:rsid w:val="00A919CD"/>
    <w:rsid w:val="00A91A50"/>
    <w:rsid w:val="00A91CAB"/>
    <w:rsid w:val="00A91CF8"/>
    <w:rsid w:val="00A91DFC"/>
    <w:rsid w:val="00A92112"/>
    <w:rsid w:val="00A92201"/>
    <w:rsid w:val="00A92284"/>
    <w:rsid w:val="00A92288"/>
    <w:rsid w:val="00A92294"/>
    <w:rsid w:val="00A9234F"/>
    <w:rsid w:val="00A92452"/>
    <w:rsid w:val="00A928B6"/>
    <w:rsid w:val="00A92AF1"/>
    <w:rsid w:val="00A92B95"/>
    <w:rsid w:val="00A92BEB"/>
    <w:rsid w:val="00A92D91"/>
    <w:rsid w:val="00A92D93"/>
    <w:rsid w:val="00A92F9E"/>
    <w:rsid w:val="00A92FA3"/>
    <w:rsid w:val="00A92FCB"/>
    <w:rsid w:val="00A93002"/>
    <w:rsid w:val="00A93143"/>
    <w:rsid w:val="00A931B4"/>
    <w:rsid w:val="00A931E3"/>
    <w:rsid w:val="00A9338F"/>
    <w:rsid w:val="00A93525"/>
    <w:rsid w:val="00A9355F"/>
    <w:rsid w:val="00A9359E"/>
    <w:rsid w:val="00A935E9"/>
    <w:rsid w:val="00A937CA"/>
    <w:rsid w:val="00A9383F"/>
    <w:rsid w:val="00A938CD"/>
    <w:rsid w:val="00A93985"/>
    <w:rsid w:val="00A93BED"/>
    <w:rsid w:val="00A93C2F"/>
    <w:rsid w:val="00A93C9D"/>
    <w:rsid w:val="00A93F1A"/>
    <w:rsid w:val="00A93F59"/>
    <w:rsid w:val="00A94079"/>
    <w:rsid w:val="00A94128"/>
    <w:rsid w:val="00A9426A"/>
    <w:rsid w:val="00A9426D"/>
    <w:rsid w:val="00A942D4"/>
    <w:rsid w:val="00A942EE"/>
    <w:rsid w:val="00A9433A"/>
    <w:rsid w:val="00A943FF"/>
    <w:rsid w:val="00A944AD"/>
    <w:rsid w:val="00A94612"/>
    <w:rsid w:val="00A94805"/>
    <w:rsid w:val="00A94811"/>
    <w:rsid w:val="00A94841"/>
    <w:rsid w:val="00A94887"/>
    <w:rsid w:val="00A9491F"/>
    <w:rsid w:val="00A94948"/>
    <w:rsid w:val="00A94AC5"/>
    <w:rsid w:val="00A94AEB"/>
    <w:rsid w:val="00A94B53"/>
    <w:rsid w:val="00A94B81"/>
    <w:rsid w:val="00A94BF6"/>
    <w:rsid w:val="00A94CB4"/>
    <w:rsid w:val="00A94D6C"/>
    <w:rsid w:val="00A94DA9"/>
    <w:rsid w:val="00A94E2D"/>
    <w:rsid w:val="00A94E63"/>
    <w:rsid w:val="00A94EB7"/>
    <w:rsid w:val="00A95034"/>
    <w:rsid w:val="00A95107"/>
    <w:rsid w:val="00A9514E"/>
    <w:rsid w:val="00A952F0"/>
    <w:rsid w:val="00A953B9"/>
    <w:rsid w:val="00A953F9"/>
    <w:rsid w:val="00A954AB"/>
    <w:rsid w:val="00A954B6"/>
    <w:rsid w:val="00A95621"/>
    <w:rsid w:val="00A956FB"/>
    <w:rsid w:val="00A9578F"/>
    <w:rsid w:val="00A9585F"/>
    <w:rsid w:val="00A95894"/>
    <w:rsid w:val="00A958FA"/>
    <w:rsid w:val="00A959A3"/>
    <w:rsid w:val="00A95C63"/>
    <w:rsid w:val="00A95CDB"/>
    <w:rsid w:val="00A95CEB"/>
    <w:rsid w:val="00A95DC5"/>
    <w:rsid w:val="00A95E0C"/>
    <w:rsid w:val="00A95F18"/>
    <w:rsid w:val="00A9604D"/>
    <w:rsid w:val="00A96091"/>
    <w:rsid w:val="00A96141"/>
    <w:rsid w:val="00A961D3"/>
    <w:rsid w:val="00A962AA"/>
    <w:rsid w:val="00A962CD"/>
    <w:rsid w:val="00A9639B"/>
    <w:rsid w:val="00A9647D"/>
    <w:rsid w:val="00A964C3"/>
    <w:rsid w:val="00A9650B"/>
    <w:rsid w:val="00A9650C"/>
    <w:rsid w:val="00A96635"/>
    <w:rsid w:val="00A96663"/>
    <w:rsid w:val="00A966B8"/>
    <w:rsid w:val="00A966C4"/>
    <w:rsid w:val="00A96740"/>
    <w:rsid w:val="00A96771"/>
    <w:rsid w:val="00A9678E"/>
    <w:rsid w:val="00A967CA"/>
    <w:rsid w:val="00A96906"/>
    <w:rsid w:val="00A96A13"/>
    <w:rsid w:val="00A96BAC"/>
    <w:rsid w:val="00A96E4C"/>
    <w:rsid w:val="00A96EAA"/>
    <w:rsid w:val="00A97137"/>
    <w:rsid w:val="00A97306"/>
    <w:rsid w:val="00A97399"/>
    <w:rsid w:val="00A97430"/>
    <w:rsid w:val="00A976F8"/>
    <w:rsid w:val="00A977E9"/>
    <w:rsid w:val="00A977F1"/>
    <w:rsid w:val="00A9787B"/>
    <w:rsid w:val="00A9798A"/>
    <w:rsid w:val="00A97A66"/>
    <w:rsid w:val="00A97A90"/>
    <w:rsid w:val="00A97AF3"/>
    <w:rsid w:val="00A97AFE"/>
    <w:rsid w:val="00A97B9B"/>
    <w:rsid w:val="00A97C00"/>
    <w:rsid w:val="00A97C36"/>
    <w:rsid w:val="00A97C9D"/>
    <w:rsid w:val="00A97F9F"/>
    <w:rsid w:val="00AA0017"/>
    <w:rsid w:val="00AA007F"/>
    <w:rsid w:val="00AA00A5"/>
    <w:rsid w:val="00AA012D"/>
    <w:rsid w:val="00AA0140"/>
    <w:rsid w:val="00AA0217"/>
    <w:rsid w:val="00AA0267"/>
    <w:rsid w:val="00AA033B"/>
    <w:rsid w:val="00AA03AF"/>
    <w:rsid w:val="00AA04C1"/>
    <w:rsid w:val="00AA05BD"/>
    <w:rsid w:val="00AA05C8"/>
    <w:rsid w:val="00AA05CB"/>
    <w:rsid w:val="00AA0622"/>
    <w:rsid w:val="00AA06F2"/>
    <w:rsid w:val="00AA0700"/>
    <w:rsid w:val="00AA0868"/>
    <w:rsid w:val="00AA09BB"/>
    <w:rsid w:val="00AA0ACA"/>
    <w:rsid w:val="00AA0ADC"/>
    <w:rsid w:val="00AA0B18"/>
    <w:rsid w:val="00AA0B76"/>
    <w:rsid w:val="00AA0BFA"/>
    <w:rsid w:val="00AA0D6D"/>
    <w:rsid w:val="00AA0E7A"/>
    <w:rsid w:val="00AA0EF9"/>
    <w:rsid w:val="00AA0FAE"/>
    <w:rsid w:val="00AA10B1"/>
    <w:rsid w:val="00AA1109"/>
    <w:rsid w:val="00AA1118"/>
    <w:rsid w:val="00AA1131"/>
    <w:rsid w:val="00AA1287"/>
    <w:rsid w:val="00AA12FF"/>
    <w:rsid w:val="00AA1391"/>
    <w:rsid w:val="00AA13F6"/>
    <w:rsid w:val="00AA14B4"/>
    <w:rsid w:val="00AA16C8"/>
    <w:rsid w:val="00AA16CB"/>
    <w:rsid w:val="00AA1716"/>
    <w:rsid w:val="00AA1720"/>
    <w:rsid w:val="00AA1803"/>
    <w:rsid w:val="00AA1930"/>
    <w:rsid w:val="00AA19A2"/>
    <w:rsid w:val="00AA19B8"/>
    <w:rsid w:val="00AA1B29"/>
    <w:rsid w:val="00AA1B49"/>
    <w:rsid w:val="00AA1B6C"/>
    <w:rsid w:val="00AA1C5B"/>
    <w:rsid w:val="00AA1C86"/>
    <w:rsid w:val="00AA1C88"/>
    <w:rsid w:val="00AA1D2F"/>
    <w:rsid w:val="00AA1EC4"/>
    <w:rsid w:val="00AA1EFC"/>
    <w:rsid w:val="00AA1F3E"/>
    <w:rsid w:val="00AA1FE7"/>
    <w:rsid w:val="00AA20DA"/>
    <w:rsid w:val="00AA2129"/>
    <w:rsid w:val="00AA2157"/>
    <w:rsid w:val="00AA219E"/>
    <w:rsid w:val="00AA2309"/>
    <w:rsid w:val="00AA23D7"/>
    <w:rsid w:val="00AA2427"/>
    <w:rsid w:val="00AA2442"/>
    <w:rsid w:val="00AA2487"/>
    <w:rsid w:val="00AA2591"/>
    <w:rsid w:val="00AA2625"/>
    <w:rsid w:val="00AA2655"/>
    <w:rsid w:val="00AA26DC"/>
    <w:rsid w:val="00AA2791"/>
    <w:rsid w:val="00AA28DF"/>
    <w:rsid w:val="00AA2A14"/>
    <w:rsid w:val="00AA2A76"/>
    <w:rsid w:val="00AA2B68"/>
    <w:rsid w:val="00AA2C95"/>
    <w:rsid w:val="00AA2CCA"/>
    <w:rsid w:val="00AA2DD0"/>
    <w:rsid w:val="00AA2EF6"/>
    <w:rsid w:val="00AA2F1C"/>
    <w:rsid w:val="00AA3041"/>
    <w:rsid w:val="00AA3042"/>
    <w:rsid w:val="00AA30AC"/>
    <w:rsid w:val="00AA30BA"/>
    <w:rsid w:val="00AA30DC"/>
    <w:rsid w:val="00AA32AD"/>
    <w:rsid w:val="00AA3338"/>
    <w:rsid w:val="00AA34C8"/>
    <w:rsid w:val="00AA36D2"/>
    <w:rsid w:val="00AA3774"/>
    <w:rsid w:val="00AA37A2"/>
    <w:rsid w:val="00AA37BC"/>
    <w:rsid w:val="00AA3884"/>
    <w:rsid w:val="00AA38D6"/>
    <w:rsid w:val="00AA3936"/>
    <w:rsid w:val="00AA3A21"/>
    <w:rsid w:val="00AA3AF2"/>
    <w:rsid w:val="00AA3C62"/>
    <w:rsid w:val="00AA3CAA"/>
    <w:rsid w:val="00AA3CAE"/>
    <w:rsid w:val="00AA3CB8"/>
    <w:rsid w:val="00AA3D0E"/>
    <w:rsid w:val="00AA3ED1"/>
    <w:rsid w:val="00AA3F25"/>
    <w:rsid w:val="00AA3F5C"/>
    <w:rsid w:val="00AA4204"/>
    <w:rsid w:val="00AA420C"/>
    <w:rsid w:val="00AA43A5"/>
    <w:rsid w:val="00AA4447"/>
    <w:rsid w:val="00AA4462"/>
    <w:rsid w:val="00AA45EF"/>
    <w:rsid w:val="00AA4708"/>
    <w:rsid w:val="00AA47B9"/>
    <w:rsid w:val="00AA482E"/>
    <w:rsid w:val="00AA4890"/>
    <w:rsid w:val="00AA49C5"/>
    <w:rsid w:val="00AA4C1F"/>
    <w:rsid w:val="00AA4E00"/>
    <w:rsid w:val="00AA4ECA"/>
    <w:rsid w:val="00AA4F60"/>
    <w:rsid w:val="00AA4FB0"/>
    <w:rsid w:val="00AA4FEF"/>
    <w:rsid w:val="00AA5018"/>
    <w:rsid w:val="00AA5061"/>
    <w:rsid w:val="00AA50E3"/>
    <w:rsid w:val="00AA51EE"/>
    <w:rsid w:val="00AA520A"/>
    <w:rsid w:val="00AA5288"/>
    <w:rsid w:val="00AA540D"/>
    <w:rsid w:val="00AA5528"/>
    <w:rsid w:val="00AA5584"/>
    <w:rsid w:val="00AA561A"/>
    <w:rsid w:val="00AA56B3"/>
    <w:rsid w:val="00AA574D"/>
    <w:rsid w:val="00AA5752"/>
    <w:rsid w:val="00AA575E"/>
    <w:rsid w:val="00AA577A"/>
    <w:rsid w:val="00AA5842"/>
    <w:rsid w:val="00AA58A0"/>
    <w:rsid w:val="00AA58A6"/>
    <w:rsid w:val="00AA596B"/>
    <w:rsid w:val="00AA5984"/>
    <w:rsid w:val="00AA5A3B"/>
    <w:rsid w:val="00AA5A7A"/>
    <w:rsid w:val="00AA5ADF"/>
    <w:rsid w:val="00AA5BD1"/>
    <w:rsid w:val="00AA5EA5"/>
    <w:rsid w:val="00AA5F0B"/>
    <w:rsid w:val="00AA5F8F"/>
    <w:rsid w:val="00AA608C"/>
    <w:rsid w:val="00AA60F4"/>
    <w:rsid w:val="00AA616B"/>
    <w:rsid w:val="00AA6636"/>
    <w:rsid w:val="00AA665F"/>
    <w:rsid w:val="00AA6695"/>
    <w:rsid w:val="00AA67D1"/>
    <w:rsid w:val="00AA6844"/>
    <w:rsid w:val="00AA69B1"/>
    <w:rsid w:val="00AA6A2F"/>
    <w:rsid w:val="00AA6ADC"/>
    <w:rsid w:val="00AA6B2F"/>
    <w:rsid w:val="00AA6B7B"/>
    <w:rsid w:val="00AA6CA3"/>
    <w:rsid w:val="00AA6D38"/>
    <w:rsid w:val="00AA6D4F"/>
    <w:rsid w:val="00AA6E23"/>
    <w:rsid w:val="00AA6E83"/>
    <w:rsid w:val="00AA6F0C"/>
    <w:rsid w:val="00AA70D1"/>
    <w:rsid w:val="00AA712D"/>
    <w:rsid w:val="00AA7199"/>
    <w:rsid w:val="00AA72A6"/>
    <w:rsid w:val="00AA72E1"/>
    <w:rsid w:val="00AA7523"/>
    <w:rsid w:val="00AA7595"/>
    <w:rsid w:val="00AA7850"/>
    <w:rsid w:val="00AA7855"/>
    <w:rsid w:val="00AA78A1"/>
    <w:rsid w:val="00AA7977"/>
    <w:rsid w:val="00AA7979"/>
    <w:rsid w:val="00AA79C0"/>
    <w:rsid w:val="00AA7A41"/>
    <w:rsid w:val="00AA7A4D"/>
    <w:rsid w:val="00AA7AE5"/>
    <w:rsid w:val="00AA7C9E"/>
    <w:rsid w:val="00AA7D5A"/>
    <w:rsid w:val="00AA7E1F"/>
    <w:rsid w:val="00AA7F16"/>
    <w:rsid w:val="00AA7FBC"/>
    <w:rsid w:val="00AA7FD4"/>
    <w:rsid w:val="00AB000A"/>
    <w:rsid w:val="00AB0020"/>
    <w:rsid w:val="00AB00AF"/>
    <w:rsid w:val="00AB019D"/>
    <w:rsid w:val="00AB0339"/>
    <w:rsid w:val="00AB0516"/>
    <w:rsid w:val="00AB0579"/>
    <w:rsid w:val="00AB05B7"/>
    <w:rsid w:val="00AB05D2"/>
    <w:rsid w:val="00AB0612"/>
    <w:rsid w:val="00AB0634"/>
    <w:rsid w:val="00AB06A3"/>
    <w:rsid w:val="00AB06B0"/>
    <w:rsid w:val="00AB074E"/>
    <w:rsid w:val="00AB0861"/>
    <w:rsid w:val="00AB087B"/>
    <w:rsid w:val="00AB092D"/>
    <w:rsid w:val="00AB0A1E"/>
    <w:rsid w:val="00AB0A89"/>
    <w:rsid w:val="00AB0B4B"/>
    <w:rsid w:val="00AB0BCD"/>
    <w:rsid w:val="00AB0C10"/>
    <w:rsid w:val="00AB0DAB"/>
    <w:rsid w:val="00AB0E09"/>
    <w:rsid w:val="00AB0E8B"/>
    <w:rsid w:val="00AB0F63"/>
    <w:rsid w:val="00AB0FC3"/>
    <w:rsid w:val="00AB10D2"/>
    <w:rsid w:val="00AB10DD"/>
    <w:rsid w:val="00AB1223"/>
    <w:rsid w:val="00AB14B4"/>
    <w:rsid w:val="00AB1504"/>
    <w:rsid w:val="00AB157D"/>
    <w:rsid w:val="00AB165E"/>
    <w:rsid w:val="00AB16BE"/>
    <w:rsid w:val="00AB17CF"/>
    <w:rsid w:val="00AB19B9"/>
    <w:rsid w:val="00AB1A1F"/>
    <w:rsid w:val="00AB1A8E"/>
    <w:rsid w:val="00AB1B86"/>
    <w:rsid w:val="00AB1BF9"/>
    <w:rsid w:val="00AB1C4F"/>
    <w:rsid w:val="00AB1C5B"/>
    <w:rsid w:val="00AB1C79"/>
    <w:rsid w:val="00AB1D4E"/>
    <w:rsid w:val="00AB1DAD"/>
    <w:rsid w:val="00AB1ED6"/>
    <w:rsid w:val="00AB1F69"/>
    <w:rsid w:val="00AB200F"/>
    <w:rsid w:val="00AB204A"/>
    <w:rsid w:val="00AB21AD"/>
    <w:rsid w:val="00AB220D"/>
    <w:rsid w:val="00AB22AC"/>
    <w:rsid w:val="00AB23C9"/>
    <w:rsid w:val="00AB24D1"/>
    <w:rsid w:val="00AB258A"/>
    <w:rsid w:val="00AB2590"/>
    <w:rsid w:val="00AB25AD"/>
    <w:rsid w:val="00AB25E7"/>
    <w:rsid w:val="00AB2708"/>
    <w:rsid w:val="00AB2744"/>
    <w:rsid w:val="00AB2758"/>
    <w:rsid w:val="00AB2885"/>
    <w:rsid w:val="00AB28BB"/>
    <w:rsid w:val="00AB2904"/>
    <w:rsid w:val="00AB2911"/>
    <w:rsid w:val="00AB2CF4"/>
    <w:rsid w:val="00AB2D08"/>
    <w:rsid w:val="00AB2EFA"/>
    <w:rsid w:val="00AB2F48"/>
    <w:rsid w:val="00AB2FDC"/>
    <w:rsid w:val="00AB308D"/>
    <w:rsid w:val="00AB30E9"/>
    <w:rsid w:val="00AB31E6"/>
    <w:rsid w:val="00AB3210"/>
    <w:rsid w:val="00AB3230"/>
    <w:rsid w:val="00AB3287"/>
    <w:rsid w:val="00AB32E9"/>
    <w:rsid w:val="00AB330D"/>
    <w:rsid w:val="00AB3462"/>
    <w:rsid w:val="00AB34B3"/>
    <w:rsid w:val="00AB353A"/>
    <w:rsid w:val="00AB35E3"/>
    <w:rsid w:val="00AB3626"/>
    <w:rsid w:val="00AB383C"/>
    <w:rsid w:val="00AB3948"/>
    <w:rsid w:val="00AB3980"/>
    <w:rsid w:val="00AB3BE8"/>
    <w:rsid w:val="00AB3BF3"/>
    <w:rsid w:val="00AB3D38"/>
    <w:rsid w:val="00AB3D8B"/>
    <w:rsid w:val="00AB3D8D"/>
    <w:rsid w:val="00AB3E68"/>
    <w:rsid w:val="00AB3E91"/>
    <w:rsid w:val="00AB3FC9"/>
    <w:rsid w:val="00AB4055"/>
    <w:rsid w:val="00AB429A"/>
    <w:rsid w:val="00AB4350"/>
    <w:rsid w:val="00AB4482"/>
    <w:rsid w:val="00AB45D0"/>
    <w:rsid w:val="00AB47C9"/>
    <w:rsid w:val="00AB485B"/>
    <w:rsid w:val="00AB4869"/>
    <w:rsid w:val="00AB48DA"/>
    <w:rsid w:val="00AB4A18"/>
    <w:rsid w:val="00AB4A37"/>
    <w:rsid w:val="00AB4A48"/>
    <w:rsid w:val="00AB4A54"/>
    <w:rsid w:val="00AB4AA5"/>
    <w:rsid w:val="00AB4AF2"/>
    <w:rsid w:val="00AB4B2A"/>
    <w:rsid w:val="00AB4B71"/>
    <w:rsid w:val="00AB4C0B"/>
    <w:rsid w:val="00AB4C7E"/>
    <w:rsid w:val="00AB4D15"/>
    <w:rsid w:val="00AB4DAB"/>
    <w:rsid w:val="00AB4DCD"/>
    <w:rsid w:val="00AB4FCB"/>
    <w:rsid w:val="00AB5282"/>
    <w:rsid w:val="00AB52D7"/>
    <w:rsid w:val="00AB52ED"/>
    <w:rsid w:val="00AB538F"/>
    <w:rsid w:val="00AB53DC"/>
    <w:rsid w:val="00AB5511"/>
    <w:rsid w:val="00AB5543"/>
    <w:rsid w:val="00AB56EE"/>
    <w:rsid w:val="00AB5727"/>
    <w:rsid w:val="00AB57B6"/>
    <w:rsid w:val="00AB57BC"/>
    <w:rsid w:val="00AB583D"/>
    <w:rsid w:val="00AB5934"/>
    <w:rsid w:val="00AB5956"/>
    <w:rsid w:val="00AB596A"/>
    <w:rsid w:val="00AB5BB6"/>
    <w:rsid w:val="00AB5DA8"/>
    <w:rsid w:val="00AB5ECC"/>
    <w:rsid w:val="00AB5F9A"/>
    <w:rsid w:val="00AB6170"/>
    <w:rsid w:val="00AB627D"/>
    <w:rsid w:val="00AB63F5"/>
    <w:rsid w:val="00AB63F8"/>
    <w:rsid w:val="00AB651A"/>
    <w:rsid w:val="00AB679C"/>
    <w:rsid w:val="00AB6999"/>
    <w:rsid w:val="00AB6A8A"/>
    <w:rsid w:val="00AB6B41"/>
    <w:rsid w:val="00AB6BF2"/>
    <w:rsid w:val="00AB6C35"/>
    <w:rsid w:val="00AB6CB5"/>
    <w:rsid w:val="00AB6CFA"/>
    <w:rsid w:val="00AB6CFE"/>
    <w:rsid w:val="00AB6D0B"/>
    <w:rsid w:val="00AB6F0C"/>
    <w:rsid w:val="00AB6FB6"/>
    <w:rsid w:val="00AB7103"/>
    <w:rsid w:val="00AB7148"/>
    <w:rsid w:val="00AB718B"/>
    <w:rsid w:val="00AB71A5"/>
    <w:rsid w:val="00AB7211"/>
    <w:rsid w:val="00AB737C"/>
    <w:rsid w:val="00AB73C8"/>
    <w:rsid w:val="00AB7584"/>
    <w:rsid w:val="00AB77A2"/>
    <w:rsid w:val="00AB77C1"/>
    <w:rsid w:val="00AB77EC"/>
    <w:rsid w:val="00AB7880"/>
    <w:rsid w:val="00AB7909"/>
    <w:rsid w:val="00AB7ABD"/>
    <w:rsid w:val="00AB7BE8"/>
    <w:rsid w:val="00AB7BF7"/>
    <w:rsid w:val="00AB7C5C"/>
    <w:rsid w:val="00AB7DD7"/>
    <w:rsid w:val="00AB7DDF"/>
    <w:rsid w:val="00AB7E64"/>
    <w:rsid w:val="00AB7E8E"/>
    <w:rsid w:val="00AB7F3A"/>
    <w:rsid w:val="00AB7FCA"/>
    <w:rsid w:val="00AC0047"/>
    <w:rsid w:val="00AC0081"/>
    <w:rsid w:val="00AC0285"/>
    <w:rsid w:val="00AC0293"/>
    <w:rsid w:val="00AC02A7"/>
    <w:rsid w:val="00AC037C"/>
    <w:rsid w:val="00AC04A3"/>
    <w:rsid w:val="00AC05BD"/>
    <w:rsid w:val="00AC06C9"/>
    <w:rsid w:val="00AC06E9"/>
    <w:rsid w:val="00AC0757"/>
    <w:rsid w:val="00AC07DB"/>
    <w:rsid w:val="00AC0842"/>
    <w:rsid w:val="00AC094E"/>
    <w:rsid w:val="00AC09C5"/>
    <w:rsid w:val="00AC0A06"/>
    <w:rsid w:val="00AC0A83"/>
    <w:rsid w:val="00AC0B64"/>
    <w:rsid w:val="00AC0D76"/>
    <w:rsid w:val="00AC0D92"/>
    <w:rsid w:val="00AC0EB8"/>
    <w:rsid w:val="00AC0FC4"/>
    <w:rsid w:val="00AC0FF4"/>
    <w:rsid w:val="00AC10D8"/>
    <w:rsid w:val="00AC10F6"/>
    <w:rsid w:val="00AC1175"/>
    <w:rsid w:val="00AC1268"/>
    <w:rsid w:val="00AC1430"/>
    <w:rsid w:val="00AC144B"/>
    <w:rsid w:val="00AC14CC"/>
    <w:rsid w:val="00AC14DD"/>
    <w:rsid w:val="00AC1517"/>
    <w:rsid w:val="00AC1578"/>
    <w:rsid w:val="00AC1689"/>
    <w:rsid w:val="00AC16C3"/>
    <w:rsid w:val="00AC185F"/>
    <w:rsid w:val="00AC18AB"/>
    <w:rsid w:val="00AC1A07"/>
    <w:rsid w:val="00AC1A2A"/>
    <w:rsid w:val="00AC1B02"/>
    <w:rsid w:val="00AC1B27"/>
    <w:rsid w:val="00AC1BB5"/>
    <w:rsid w:val="00AC1D7F"/>
    <w:rsid w:val="00AC1DA6"/>
    <w:rsid w:val="00AC1E31"/>
    <w:rsid w:val="00AC1F27"/>
    <w:rsid w:val="00AC212A"/>
    <w:rsid w:val="00AC2152"/>
    <w:rsid w:val="00AC224E"/>
    <w:rsid w:val="00AC2253"/>
    <w:rsid w:val="00AC23F3"/>
    <w:rsid w:val="00AC24F8"/>
    <w:rsid w:val="00AC2631"/>
    <w:rsid w:val="00AC276D"/>
    <w:rsid w:val="00AC27A9"/>
    <w:rsid w:val="00AC2887"/>
    <w:rsid w:val="00AC28EC"/>
    <w:rsid w:val="00AC2A16"/>
    <w:rsid w:val="00AC2A1A"/>
    <w:rsid w:val="00AC2A3F"/>
    <w:rsid w:val="00AC2AE9"/>
    <w:rsid w:val="00AC2B85"/>
    <w:rsid w:val="00AC2BDA"/>
    <w:rsid w:val="00AC2C37"/>
    <w:rsid w:val="00AC2CF3"/>
    <w:rsid w:val="00AC2D8E"/>
    <w:rsid w:val="00AC2DCA"/>
    <w:rsid w:val="00AC2E95"/>
    <w:rsid w:val="00AC2EE3"/>
    <w:rsid w:val="00AC2EFD"/>
    <w:rsid w:val="00AC2F0B"/>
    <w:rsid w:val="00AC2F97"/>
    <w:rsid w:val="00AC3020"/>
    <w:rsid w:val="00AC3043"/>
    <w:rsid w:val="00AC317F"/>
    <w:rsid w:val="00AC31F8"/>
    <w:rsid w:val="00AC321B"/>
    <w:rsid w:val="00AC32D4"/>
    <w:rsid w:val="00AC3317"/>
    <w:rsid w:val="00AC3360"/>
    <w:rsid w:val="00AC339C"/>
    <w:rsid w:val="00AC34D7"/>
    <w:rsid w:val="00AC34F4"/>
    <w:rsid w:val="00AC36E3"/>
    <w:rsid w:val="00AC36F3"/>
    <w:rsid w:val="00AC3792"/>
    <w:rsid w:val="00AC39E1"/>
    <w:rsid w:val="00AC39FA"/>
    <w:rsid w:val="00AC3A0D"/>
    <w:rsid w:val="00AC3A37"/>
    <w:rsid w:val="00AC3D18"/>
    <w:rsid w:val="00AC3D66"/>
    <w:rsid w:val="00AC3D8E"/>
    <w:rsid w:val="00AC3DC0"/>
    <w:rsid w:val="00AC3E72"/>
    <w:rsid w:val="00AC3EA1"/>
    <w:rsid w:val="00AC3F83"/>
    <w:rsid w:val="00AC4076"/>
    <w:rsid w:val="00AC407A"/>
    <w:rsid w:val="00AC409E"/>
    <w:rsid w:val="00AC412D"/>
    <w:rsid w:val="00AC4220"/>
    <w:rsid w:val="00AC4233"/>
    <w:rsid w:val="00AC4268"/>
    <w:rsid w:val="00AC4298"/>
    <w:rsid w:val="00AC42A2"/>
    <w:rsid w:val="00AC435D"/>
    <w:rsid w:val="00AC4488"/>
    <w:rsid w:val="00AC44EA"/>
    <w:rsid w:val="00AC4503"/>
    <w:rsid w:val="00AC450E"/>
    <w:rsid w:val="00AC4596"/>
    <w:rsid w:val="00AC45AF"/>
    <w:rsid w:val="00AC45B8"/>
    <w:rsid w:val="00AC4688"/>
    <w:rsid w:val="00AC468E"/>
    <w:rsid w:val="00AC46E1"/>
    <w:rsid w:val="00AC4783"/>
    <w:rsid w:val="00AC4801"/>
    <w:rsid w:val="00AC4890"/>
    <w:rsid w:val="00AC49A2"/>
    <w:rsid w:val="00AC4A0D"/>
    <w:rsid w:val="00AC4C55"/>
    <w:rsid w:val="00AC4DC8"/>
    <w:rsid w:val="00AC4E69"/>
    <w:rsid w:val="00AC4EBD"/>
    <w:rsid w:val="00AC4F8D"/>
    <w:rsid w:val="00AC4FE3"/>
    <w:rsid w:val="00AC5022"/>
    <w:rsid w:val="00AC50E4"/>
    <w:rsid w:val="00AC53DE"/>
    <w:rsid w:val="00AC543A"/>
    <w:rsid w:val="00AC548C"/>
    <w:rsid w:val="00AC55E3"/>
    <w:rsid w:val="00AC55E5"/>
    <w:rsid w:val="00AC5649"/>
    <w:rsid w:val="00AC5666"/>
    <w:rsid w:val="00AC567A"/>
    <w:rsid w:val="00AC5693"/>
    <w:rsid w:val="00AC56E9"/>
    <w:rsid w:val="00AC5740"/>
    <w:rsid w:val="00AC578D"/>
    <w:rsid w:val="00AC57E3"/>
    <w:rsid w:val="00AC5996"/>
    <w:rsid w:val="00AC5A46"/>
    <w:rsid w:val="00AC5BBB"/>
    <w:rsid w:val="00AC5BC1"/>
    <w:rsid w:val="00AC5BCB"/>
    <w:rsid w:val="00AC5C8A"/>
    <w:rsid w:val="00AC5CC0"/>
    <w:rsid w:val="00AC5E1B"/>
    <w:rsid w:val="00AC5E1E"/>
    <w:rsid w:val="00AC5E73"/>
    <w:rsid w:val="00AC5F09"/>
    <w:rsid w:val="00AC5F15"/>
    <w:rsid w:val="00AC5FF4"/>
    <w:rsid w:val="00AC6117"/>
    <w:rsid w:val="00AC613E"/>
    <w:rsid w:val="00AC6197"/>
    <w:rsid w:val="00AC6294"/>
    <w:rsid w:val="00AC6316"/>
    <w:rsid w:val="00AC63D2"/>
    <w:rsid w:val="00AC63D6"/>
    <w:rsid w:val="00AC6420"/>
    <w:rsid w:val="00AC6453"/>
    <w:rsid w:val="00AC646A"/>
    <w:rsid w:val="00AC659D"/>
    <w:rsid w:val="00AC661C"/>
    <w:rsid w:val="00AC66A2"/>
    <w:rsid w:val="00AC672D"/>
    <w:rsid w:val="00AC676B"/>
    <w:rsid w:val="00AC6783"/>
    <w:rsid w:val="00AC69EB"/>
    <w:rsid w:val="00AC6AFE"/>
    <w:rsid w:val="00AC6C3B"/>
    <w:rsid w:val="00AC6DEA"/>
    <w:rsid w:val="00AC6E1F"/>
    <w:rsid w:val="00AC6E23"/>
    <w:rsid w:val="00AC6F62"/>
    <w:rsid w:val="00AC6F6B"/>
    <w:rsid w:val="00AC70DF"/>
    <w:rsid w:val="00AC71E5"/>
    <w:rsid w:val="00AC721F"/>
    <w:rsid w:val="00AC7285"/>
    <w:rsid w:val="00AC72A4"/>
    <w:rsid w:val="00AC7348"/>
    <w:rsid w:val="00AC7532"/>
    <w:rsid w:val="00AC7595"/>
    <w:rsid w:val="00AC769D"/>
    <w:rsid w:val="00AC76E1"/>
    <w:rsid w:val="00AC782E"/>
    <w:rsid w:val="00AC783F"/>
    <w:rsid w:val="00AC7925"/>
    <w:rsid w:val="00AC7969"/>
    <w:rsid w:val="00AC7A89"/>
    <w:rsid w:val="00AC7AF0"/>
    <w:rsid w:val="00AC7AFB"/>
    <w:rsid w:val="00AC7B1B"/>
    <w:rsid w:val="00AC7B93"/>
    <w:rsid w:val="00AC7C5A"/>
    <w:rsid w:val="00AD00F7"/>
    <w:rsid w:val="00AD0358"/>
    <w:rsid w:val="00AD037E"/>
    <w:rsid w:val="00AD0597"/>
    <w:rsid w:val="00AD0796"/>
    <w:rsid w:val="00AD07AC"/>
    <w:rsid w:val="00AD07C0"/>
    <w:rsid w:val="00AD07FE"/>
    <w:rsid w:val="00AD08D7"/>
    <w:rsid w:val="00AD0906"/>
    <w:rsid w:val="00AD0997"/>
    <w:rsid w:val="00AD0B96"/>
    <w:rsid w:val="00AD0BCA"/>
    <w:rsid w:val="00AD0BD4"/>
    <w:rsid w:val="00AD0C75"/>
    <w:rsid w:val="00AD0C8F"/>
    <w:rsid w:val="00AD0F4D"/>
    <w:rsid w:val="00AD0F54"/>
    <w:rsid w:val="00AD0FA1"/>
    <w:rsid w:val="00AD1049"/>
    <w:rsid w:val="00AD1096"/>
    <w:rsid w:val="00AD11B3"/>
    <w:rsid w:val="00AD1280"/>
    <w:rsid w:val="00AD139A"/>
    <w:rsid w:val="00AD13B3"/>
    <w:rsid w:val="00AD158A"/>
    <w:rsid w:val="00AD16DB"/>
    <w:rsid w:val="00AD1720"/>
    <w:rsid w:val="00AD176F"/>
    <w:rsid w:val="00AD17A9"/>
    <w:rsid w:val="00AD17B7"/>
    <w:rsid w:val="00AD17C7"/>
    <w:rsid w:val="00AD18A1"/>
    <w:rsid w:val="00AD1925"/>
    <w:rsid w:val="00AD19B9"/>
    <w:rsid w:val="00AD1A9F"/>
    <w:rsid w:val="00AD1B29"/>
    <w:rsid w:val="00AD1DB7"/>
    <w:rsid w:val="00AD1DE2"/>
    <w:rsid w:val="00AD1F1B"/>
    <w:rsid w:val="00AD200B"/>
    <w:rsid w:val="00AD202E"/>
    <w:rsid w:val="00AD20FC"/>
    <w:rsid w:val="00AD2136"/>
    <w:rsid w:val="00AD217F"/>
    <w:rsid w:val="00AD2196"/>
    <w:rsid w:val="00AD21EE"/>
    <w:rsid w:val="00AD2298"/>
    <w:rsid w:val="00AD22C3"/>
    <w:rsid w:val="00AD2309"/>
    <w:rsid w:val="00AD232F"/>
    <w:rsid w:val="00AD23F1"/>
    <w:rsid w:val="00AD253C"/>
    <w:rsid w:val="00AD2548"/>
    <w:rsid w:val="00AD257F"/>
    <w:rsid w:val="00AD2724"/>
    <w:rsid w:val="00AD27A4"/>
    <w:rsid w:val="00AD27DA"/>
    <w:rsid w:val="00AD2871"/>
    <w:rsid w:val="00AD28AC"/>
    <w:rsid w:val="00AD28F2"/>
    <w:rsid w:val="00AD2A4F"/>
    <w:rsid w:val="00AD2A8A"/>
    <w:rsid w:val="00AD2AB7"/>
    <w:rsid w:val="00AD2ADF"/>
    <w:rsid w:val="00AD2B71"/>
    <w:rsid w:val="00AD2BFC"/>
    <w:rsid w:val="00AD2C0F"/>
    <w:rsid w:val="00AD2F17"/>
    <w:rsid w:val="00AD303F"/>
    <w:rsid w:val="00AD3083"/>
    <w:rsid w:val="00AD31D7"/>
    <w:rsid w:val="00AD34C8"/>
    <w:rsid w:val="00AD35A0"/>
    <w:rsid w:val="00AD3769"/>
    <w:rsid w:val="00AD3787"/>
    <w:rsid w:val="00AD3844"/>
    <w:rsid w:val="00AD3906"/>
    <w:rsid w:val="00AD3BA3"/>
    <w:rsid w:val="00AD3C0B"/>
    <w:rsid w:val="00AD3C35"/>
    <w:rsid w:val="00AD3C45"/>
    <w:rsid w:val="00AD40B1"/>
    <w:rsid w:val="00AD40C7"/>
    <w:rsid w:val="00AD4117"/>
    <w:rsid w:val="00AD41BB"/>
    <w:rsid w:val="00AD41D6"/>
    <w:rsid w:val="00AD421A"/>
    <w:rsid w:val="00AD42CF"/>
    <w:rsid w:val="00AD42F7"/>
    <w:rsid w:val="00AD4455"/>
    <w:rsid w:val="00AD45A1"/>
    <w:rsid w:val="00AD4603"/>
    <w:rsid w:val="00AD4662"/>
    <w:rsid w:val="00AD471C"/>
    <w:rsid w:val="00AD4773"/>
    <w:rsid w:val="00AD47D4"/>
    <w:rsid w:val="00AD4848"/>
    <w:rsid w:val="00AD4985"/>
    <w:rsid w:val="00AD4991"/>
    <w:rsid w:val="00AD49C5"/>
    <w:rsid w:val="00AD4A05"/>
    <w:rsid w:val="00AD4A4F"/>
    <w:rsid w:val="00AD4AB0"/>
    <w:rsid w:val="00AD4B7B"/>
    <w:rsid w:val="00AD4C1C"/>
    <w:rsid w:val="00AD4C5A"/>
    <w:rsid w:val="00AD4D46"/>
    <w:rsid w:val="00AD4FAC"/>
    <w:rsid w:val="00AD521D"/>
    <w:rsid w:val="00AD52E3"/>
    <w:rsid w:val="00AD53A2"/>
    <w:rsid w:val="00AD53F4"/>
    <w:rsid w:val="00AD554B"/>
    <w:rsid w:val="00AD5652"/>
    <w:rsid w:val="00AD5774"/>
    <w:rsid w:val="00AD58EF"/>
    <w:rsid w:val="00AD58F8"/>
    <w:rsid w:val="00AD598E"/>
    <w:rsid w:val="00AD5A4A"/>
    <w:rsid w:val="00AD5BD7"/>
    <w:rsid w:val="00AD5C30"/>
    <w:rsid w:val="00AD5CD3"/>
    <w:rsid w:val="00AD5FA7"/>
    <w:rsid w:val="00AD5FD5"/>
    <w:rsid w:val="00AD6020"/>
    <w:rsid w:val="00AD607F"/>
    <w:rsid w:val="00AD60B7"/>
    <w:rsid w:val="00AD6115"/>
    <w:rsid w:val="00AD6247"/>
    <w:rsid w:val="00AD627C"/>
    <w:rsid w:val="00AD629F"/>
    <w:rsid w:val="00AD62AA"/>
    <w:rsid w:val="00AD62C0"/>
    <w:rsid w:val="00AD63DF"/>
    <w:rsid w:val="00AD640C"/>
    <w:rsid w:val="00AD641D"/>
    <w:rsid w:val="00AD657B"/>
    <w:rsid w:val="00AD65A2"/>
    <w:rsid w:val="00AD6744"/>
    <w:rsid w:val="00AD683C"/>
    <w:rsid w:val="00AD685B"/>
    <w:rsid w:val="00AD68DC"/>
    <w:rsid w:val="00AD6929"/>
    <w:rsid w:val="00AD69B8"/>
    <w:rsid w:val="00AD69DC"/>
    <w:rsid w:val="00AD69E1"/>
    <w:rsid w:val="00AD6A75"/>
    <w:rsid w:val="00AD6A8F"/>
    <w:rsid w:val="00AD6ACF"/>
    <w:rsid w:val="00AD6BED"/>
    <w:rsid w:val="00AD6C46"/>
    <w:rsid w:val="00AD6C69"/>
    <w:rsid w:val="00AD6CFC"/>
    <w:rsid w:val="00AD6D75"/>
    <w:rsid w:val="00AD6D91"/>
    <w:rsid w:val="00AD6DD5"/>
    <w:rsid w:val="00AD6F1B"/>
    <w:rsid w:val="00AD6F29"/>
    <w:rsid w:val="00AD70B1"/>
    <w:rsid w:val="00AD7152"/>
    <w:rsid w:val="00AD719D"/>
    <w:rsid w:val="00AD7223"/>
    <w:rsid w:val="00AD729E"/>
    <w:rsid w:val="00AD72C6"/>
    <w:rsid w:val="00AD7321"/>
    <w:rsid w:val="00AD7371"/>
    <w:rsid w:val="00AD7426"/>
    <w:rsid w:val="00AD744B"/>
    <w:rsid w:val="00AD7470"/>
    <w:rsid w:val="00AD747A"/>
    <w:rsid w:val="00AD7590"/>
    <w:rsid w:val="00AD762A"/>
    <w:rsid w:val="00AD7844"/>
    <w:rsid w:val="00AD7904"/>
    <w:rsid w:val="00AD792A"/>
    <w:rsid w:val="00AD79FF"/>
    <w:rsid w:val="00AD7A53"/>
    <w:rsid w:val="00AD7B8C"/>
    <w:rsid w:val="00AD7C0D"/>
    <w:rsid w:val="00AD7C6D"/>
    <w:rsid w:val="00AD7CC7"/>
    <w:rsid w:val="00AD7D88"/>
    <w:rsid w:val="00AD7E9C"/>
    <w:rsid w:val="00AD7EAD"/>
    <w:rsid w:val="00AE0128"/>
    <w:rsid w:val="00AE012E"/>
    <w:rsid w:val="00AE031E"/>
    <w:rsid w:val="00AE0334"/>
    <w:rsid w:val="00AE03F8"/>
    <w:rsid w:val="00AE040F"/>
    <w:rsid w:val="00AE0424"/>
    <w:rsid w:val="00AE0532"/>
    <w:rsid w:val="00AE06A2"/>
    <w:rsid w:val="00AE06CE"/>
    <w:rsid w:val="00AE06F6"/>
    <w:rsid w:val="00AE070B"/>
    <w:rsid w:val="00AE0762"/>
    <w:rsid w:val="00AE0814"/>
    <w:rsid w:val="00AE08BC"/>
    <w:rsid w:val="00AE08C8"/>
    <w:rsid w:val="00AE0AD0"/>
    <w:rsid w:val="00AE0B1A"/>
    <w:rsid w:val="00AE0B56"/>
    <w:rsid w:val="00AE0B6A"/>
    <w:rsid w:val="00AE0BA6"/>
    <w:rsid w:val="00AE0BE9"/>
    <w:rsid w:val="00AE0CB5"/>
    <w:rsid w:val="00AE0CF7"/>
    <w:rsid w:val="00AE0D03"/>
    <w:rsid w:val="00AE0D23"/>
    <w:rsid w:val="00AE0D36"/>
    <w:rsid w:val="00AE0DE2"/>
    <w:rsid w:val="00AE0DFC"/>
    <w:rsid w:val="00AE0EFE"/>
    <w:rsid w:val="00AE0F72"/>
    <w:rsid w:val="00AE0F88"/>
    <w:rsid w:val="00AE0FBB"/>
    <w:rsid w:val="00AE1004"/>
    <w:rsid w:val="00AE101E"/>
    <w:rsid w:val="00AE103C"/>
    <w:rsid w:val="00AE1145"/>
    <w:rsid w:val="00AE1370"/>
    <w:rsid w:val="00AE13BA"/>
    <w:rsid w:val="00AE13BC"/>
    <w:rsid w:val="00AE14F9"/>
    <w:rsid w:val="00AE1501"/>
    <w:rsid w:val="00AE164F"/>
    <w:rsid w:val="00AE1814"/>
    <w:rsid w:val="00AE189F"/>
    <w:rsid w:val="00AE19B0"/>
    <w:rsid w:val="00AE19CF"/>
    <w:rsid w:val="00AE1A35"/>
    <w:rsid w:val="00AE1A70"/>
    <w:rsid w:val="00AE1C29"/>
    <w:rsid w:val="00AE1C79"/>
    <w:rsid w:val="00AE1E92"/>
    <w:rsid w:val="00AE1F50"/>
    <w:rsid w:val="00AE208B"/>
    <w:rsid w:val="00AE21EC"/>
    <w:rsid w:val="00AE22CB"/>
    <w:rsid w:val="00AE22FD"/>
    <w:rsid w:val="00AE24E2"/>
    <w:rsid w:val="00AE2508"/>
    <w:rsid w:val="00AE259B"/>
    <w:rsid w:val="00AE2A54"/>
    <w:rsid w:val="00AE2A6A"/>
    <w:rsid w:val="00AE2B2E"/>
    <w:rsid w:val="00AE2B4B"/>
    <w:rsid w:val="00AE2BC4"/>
    <w:rsid w:val="00AE2BC5"/>
    <w:rsid w:val="00AE2BDA"/>
    <w:rsid w:val="00AE2E33"/>
    <w:rsid w:val="00AE2EBE"/>
    <w:rsid w:val="00AE2EC3"/>
    <w:rsid w:val="00AE3258"/>
    <w:rsid w:val="00AE355F"/>
    <w:rsid w:val="00AE35AC"/>
    <w:rsid w:val="00AE35C0"/>
    <w:rsid w:val="00AE35FD"/>
    <w:rsid w:val="00AE361B"/>
    <w:rsid w:val="00AE3661"/>
    <w:rsid w:val="00AE38BD"/>
    <w:rsid w:val="00AE39BE"/>
    <w:rsid w:val="00AE39FB"/>
    <w:rsid w:val="00AE3A75"/>
    <w:rsid w:val="00AE3A7D"/>
    <w:rsid w:val="00AE3ACD"/>
    <w:rsid w:val="00AE3AFB"/>
    <w:rsid w:val="00AE3F0A"/>
    <w:rsid w:val="00AE41C1"/>
    <w:rsid w:val="00AE4215"/>
    <w:rsid w:val="00AE451D"/>
    <w:rsid w:val="00AE452C"/>
    <w:rsid w:val="00AE4578"/>
    <w:rsid w:val="00AE457E"/>
    <w:rsid w:val="00AE4700"/>
    <w:rsid w:val="00AE4766"/>
    <w:rsid w:val="00AE480A"/>
    <w:rsid w:val="00AE484F"/>
    <w:rsid w:val="00AE4871"/>
    <w:rsid w:val="00AE4988"/>
    <w:rsid w:val="00AE4A02"/>
    <w:rsid w:val="00AE4A89"/>
    <w:rsid w:val="00AE4A99"/>
    <w:rsid w:val="00AE4B01"/>
    <w:rsid w:val="00AE4BF1"/>
    <w:rsid w:val="00AE4C4F"/>
    <w:rsid w:val="00AE4CCD"/>
    <w:rsid w:val="00AE4D20"/>
    <w:rsid w:val="00AE4DEE"/>
    <w:rsid w:val="00AE4F60"/>
    <w:rsid w:val="00AE5028"/>
    <w:rsid w:val="00AE5148"/>
    <w:rsid w:val="00AE51BF"/>
    <w:rsid w:val="00AE51E1"/>
    <w:rsid w:val="00AE51E2"/>
    <w:rsid w:val="00AE53C9"/>
    <w:rsid w:val="00AE53D3"/>
    <w:rsid w:val="00AE5642"/>
    <w:rsid w:val="00AE5645"/>
    <w:rsid w:val="00AE56C9"/>
    <w:rsid w:val="00AE5727"/>
    <w:rsid w:val="00AE578C"/>
    <w:rsid w:val="00AE57D7"/>
    <w:rsid w:val="00AE58AB"/>
    <w:rsid w:val="00AE58D8"/>
    <w:rsid w:val="00AE590C"/>
    <w:rsid w:val="00AE5991"/>
    <w:rsid w:val="00AE5BCB"/>
    <w:rsid w:val="00AE5BEF"/>
    <w:rsid w:val="00AE5C61"/>
    <w:rsid w:val="00AE5CBC"/>
    <w:rsid w:val="00AE5D82"/>
    <w:rsid w:val="00AE5DD8"/>
    <w:rsid w:val="00AE5E3A"/>
    <w:rsid w:val="00AE5E66"/>
    <w:rsid w:val="00AE5F80"/>
    <w:rsid w:val="00AE6051"/>
    <w:rsid w:val="00AE60BB"/>
    <w:rsid w:val="00AE60F3"/>
    <w:rsid w:val="00AE6121"/>
    <w:rsid w:val="00AE61FB"/>
    <w:rsid w:val="00AE6234"/>
    <w:rsid w:val="00AE63EC"/>
    <w:rsid w:val="00AE6473"/>
    <w:rsid w:val="00AE6609"/>
    <w:rsid w:val="00AE6666"/>
    <w:rsid w:val="00AE6688"/>
    <w:rsid w:val="00AE66B5"/>
    <w:rsid w:val="00AE6827"/>
    <w:rsid w:val="00AE6866"/>
    <w:rsid w:val="00AE68C8"/>
    <w:rsid w:val="00AE69DA"/>
    <w:rsid w:val="00AE6A1C"/>
    <w:rsid w:val="00AE6A94"/>
    <w:rsid w:val="00AE6BA7"/>
    <w:rsid w:val="00AE6C86"/>
    <w:rsid w:val="00AE6D80"/>
    <w:rsid w:val="00AE6D81"/>
    <w:rsid w:val="00AE6E56"/>
    <w:rsid w:val="00AE6E7C"/>
    <w:rsid w:val="00AE71BA"/>
    <w:rsid w:val="00AE71D0"/>
    <w:rsid w:val="00AE722F"/>
    <w:rsid w:val="00AE728A"/>
    <w:rsid w:val="00AE7406"/>
    <w:rsid w:val="00AE7524"/>
    <w:rsid w:val="00AE7570"/>
    <w:rsid w:val="00AE75BF"/>
    <w:rsid w:val="00AE76F1"/>
    <w:rsid w:val="00AE7799"/>
    <w:rsid w:val="00AE77C0"/>
    <w:rsid w:val="00AE77C3"/>
    <w:rsid w:val="00AE79CF"/>
    <w:rsid w:val="00AE7AFA"/>
    <w:rsid w:val="00AE7C7E"/>
    <w:rsid w:val="00AE7DD8"/>
    <w:rsid w:val="00AE7EA1"/>
    <w:rsid w:val="00AE7EE8"/>
    <w:rsid w:val="00AE7F9A"/>
    <w:rsid w:val="00AF006C"/>
    <w:rsid w:val="00AF007A"/>
    <w:rsid w:val="00AF00FD"/>
    <w:rsid w:val="00AF0187"/>
    <w:rsid w:val="00AF0406"/>
    <w:rsid w:val="00AF0569"/>
    <w:rsid w:val="00AF0614"/>
    <w:rsid w:val="00AF0787"/>
    <w:rsid w:val="00AF07E4"/>
    <w:rsid w:val="00AF0800"/>
    <w:rsid w:val="00AF09A8"/>
    <w:rsid w:val="00AF09E0"/>
    <w:rsid w:val="00AF0A4C"/>
    <w:rsid w:val="00AF0B77"/>
    <w:rsid w:val="00AF0BF8"/>
    <w:rsid w:val="00AF0DC0"/>
    <w:rsid w:val="00AF0DC5"/>
    <w:rsid w:val="00AF0DD5"/>
    <w:rsid w:val="00AF0F03"/>
    <w:rsid w:val="00AF1054"/>
    <w:rsid w:val="00AF1089"/>
    <w:rsid w:val="00AF1133"/>
    <w:rsid w:val="00AF1142"/>
    <w:rsid w:val="00AF1159"/>
    <w:rsid w:val="00AF116E"/>
    <w:rsid w:val="00AF1173"/>
    <w:rsid w:val="00AF12E7"/>
    <w:rsid w:val="00AF133F"/>
    <w:rsid w:val="00AF14B6"/>
    <w:rsid w:val="00AF14C2"/>
    <w:rsid w:val="00AF14F8"/>
    <w:rsid w:val="00AF1685"/>
    <w:rsid w:val="00AF16E4"/>
    <w:rsid w:val="00AF1729"/>
    <w:rsid w:val="00AF1841"/>
    <w:rsid w:val="00AF185F"/>
    <w:rsid w:val="00AF1868"/>
    <w:rsid w:val="00AF189E"/>
    <w:rsid w:val="00AF1901"/>
    <w:rsid w:val="00AF19C6"/>
    <w:rsid w:val="00AF1A20"/>
    <w:rsid w:val="00AF1BF2"/>
    <w:rsid w:val="00AF1D1D"/>
    <w:rsid w:val="00AF1DEB"/>
    <w:rsid w:val="00AF1E3C"/>
    <w:rsid w:val="00AF2161"/>
    <w:rsid w:val="00AF2254"/>
    <w:rsid w:val="00AF22F3"/>
    <w:rsid w:val="00AF24D6"/>
    <w:rsid w:val="00AF264A"/>
    <w:rsid w:val="00AF277A"/>
    <w:rsid w:val="00AF2780"/>
    <w:rsid w:val="00AF278F"/>
    <w:rsid w:val="00AF288A"/>
    <w:rsid w:val="00AF28B4"/>
    <w:rsid w:val="00AF29F8"/>
    <w:rsid w:val="00AF2A85"/>
    <w:rsid w:val="00AF2ABF"/>
    <w:rsid w:val="00AF2ACB"/>
    <w:rsid w:val="00AF2AFA"/>
    <w:rsid w:val="00AF2D67"/>
    <w:rsid w:val="00AF2DA3"/>
    <w:rsid w:val="00AF2DE2"/>
    <w:rsid w:val="00AF2DFE"/>
    <w:rsid w:val="00AF2E23"/>
    <w:rsid w:val="00AF2F1F"/>
    <w:rsid w:val="00AF3010"/>
    <w:rsid w:val="00AF30A9"/>
    <w:rsid w:val="00AF32BE"/>
    <w:rsid w:val="00AF32D0"/>
    <w:rsid w:val="00AF331C"/>
    <w:rsid w:val="00AF3459"/>
    <w:rsid w:val="00AF34F5"/>
    <w:rsid w:val="00AF3599"/>
    <w:rsid w:val="00AF359C"/>
    <w:rsid w:val="00AF35F1"/>
    <w:rsid w:val="00AF361A"/>
    <w:rsid w:val="00AF3668"/>
    <w:rsid w:val="00AF3689"/>
    <w:rsid w:val="00AF36A1"/>
    <w:rsid w:val="00AF36C1"/>
    <w:rsid w:val="00AF375D"/>
    <w:rsid w:val="00AF3813"/>
    <w:rsid w:val="00AF38CF"/>
    <w:rsid w:val="00AF3916"/>
    <w:rsid w:val="00AF3923"/>
    <w:rsid w:val="00AF395C"/>
    <w:rsid w:val="00AF39C1"/>
    <w:rsid w:val="00AF3B07"/>
    <w:rsid w:val="00AF3C1A"/>
    <w:rsid w:val="00AF3D6E"/>
    <w:rsid w:val="00AF3F68"/>
    <w:rsid w:val="00AF4109"/>
    <w:rsid w:val="00AF4386"/>
    <w:rsid w:val="00AF43D9"/>
    <w:rsid w:val="00AF43EC"/>
    <w:rsid w:val="00AF44BE"/>
    <w:rsid w:val="00AF453A"/>
    <w:rsid w:val="00AF4606"/>
    <w:rsid w:val="00AF462C"/>
    <w:rsid w:val="00AF464B"/>
    <w:rsid w:val="00AF46BA"/>
    <w:rsid w:val="00AF470B"/>
    <w:rsid w:val="00AF4924"/>
    <w:rsid w:val="00AF4AFC"/>
    <w:rsid w:val="00AF4B81"/>
    <w:rsid w:val="00AF4BC5"/>
    <w:rsid w:val="00AF4C80"/>
    <w:rsid w:val="00AF4CAC"/>
    <w:rsid w:val="00AF4CAF"/>
    <w:rsid w:val="00AF4D3C"/>
    <w:rsid w:val="00AF4DC7"/>
    <w:rsid w:val="00AF4E5A"/>
    <w:rsid w:val="00AF4ED9"/>
    <w:rsid w:val="00AF5046"/>
    <w:rsid w:val="00AF5100"/>
    <w:rsid w:val="00AF5152"/>
    <w:rsid w:val="00AF5283"/>
    <w:rsid w:val="00AF53F3"/>
    <w:rsid w:val="00AF549C"/>
    <w:rsid w:val="00AF5654"/>
    <w:rsid w:val="00AF568F"/>
    <w:rsid w:val="00AF56B6"/>
    <w:rsid w:val="00AF5758"/>
    <w:rsid w:val="00AF5770"/>
    <w:rsid w:val="00AF581E"/>
    <w:rsid w:val="00AF5849"/>
    <w:rsid w:val="00AF5983"/>
    <w:rsid w:val="00AF5A3C"/>
    <w:rsid w:val="00AF5A79"/>
    <w:rsid w:val="00AF5B15"/>
    <w:rsid w:val="00AF5DC1"/>
    <w:rsid w:val="00AF5DEF"/>
    <w:rsid w:val="00AF5EF6"/>
    <w:rsid w:val="00AF614E"/>
    <w:rsid w:val="00AF632B"/>
    <w:rsid w:val="00AF6370"/>
    <w:rsid w:val="00AF6379"/>
    <w:rsid w:val="00AF63A6"/>
    <w:rsid w:val="00AF640A"/>
    <w:rsid w:val="00AF6418"/>
    <w:rsid w:val="00AF6485"/>
    <w:rsid w:val="00AF65C7"/>
    <w:rsid w:val="00AF6677"/>
    <w:rsid w:val="00AF672A"/>
    <w:rsid w:val="00AF6747"/>
    <w:rsid w:val="00AF6832"/>
    <w:rsid w:val="00AF6882"/>
    <w:rsid w:val="00AF68FE"/>
    <w:rsid w:val="00AF6A92"/>
    <w:rsid w:val="00AF6AE0"/>
    <w:rsid w:val="00AF6AEC"/>
    <w:rsid w:val="00AF6D0E"/>
    <w:rsid w:val="00AF6D7A"/>
    <w:rsid w:val="00AF6E43"/>
    <w:rsid w:val="00AF6E6D"/>
    <w:rsid w:val="00AF6EBD"/>
    <w:rsid w:val="00AF6F73"/>
    <w:rsid w:val="00AF6F8C"/>
    <w:rsid w:val="00AF704A"/>
    <w:rsid w:val="00AF7061"/>
    <w:rsid w:val="00AF712C"/>
    <w:rsid w:val="00AF71E1"/>
    <w:rsid w:val="00AF741F"/>
    <w:rsid w:val="00AF7526"/>
    <w:rsid w:val="00AF7528"/>
    <w:rsid w:val="00AF7578"/>
    <w:rsid w:val="00AF7723"/>
    <w:rsid w:val="00AF7851"/>
    <w:rsid w:val="00AF78EE"/>
    <w:rsid w:val="00AF79EB"/>
    <w:rsid w:val="00AF7D4D"/>
    <w:rsid w:val="00AF7D6B"/>
    <w:rsid w:val="00AF7DA3"/>
    <w:rsid w:val="00AF7E6C"/>
    <w:rsid w:val="00AF7F40"/>
    <w:rsid w:val="00B0006F"/>
    <w:rsid w:val="00B00130"/>
    <w:rsid w:val="00B0020C"/>
    <w:rsid w:val="00B002B1"/>
    <w:rsid w:val="00B002F8"/>
    <w:rsid w:val="00B0035D"/>
    <w:rsid w:val="00B003AC"/>
    <w:rsid w:val="00B00429"/>
    <w:rsid w:val="00B00526"/>
    <w:rsid w:val="00B00569"/>
    <w:rsid w:val="00B005D4"/>
    <w:rsid w:val="00B00761"/>
    <w:rsid w:val="00B00862"/>
    <w:rsid w:val="00B009DC"/>
    <w:rsid w:val="00B00B51"/>
    <w:rsid w:val="00B00BE4"/>
    <w:rsid w:val="00B00CAC"/>
    <w:rsid w:val="00B00D3F"/>
    <w:rsid w:val="00B00E01"/>
    <w:rsid w:val="00B00E21"/>
    <w:rsid w:val="00B00E39"/>
    <w:rsid w:val="00B00E40"/>
    <w:rsid w:val="00B00E9E"/>
    <w:rsid w:val="00B00EAC"/>
    <w:rsid w:val="00B0103F"/>
    <w:rsid w:val="00B01040"/>
    <w:rsid w:val="00B010CF"/>
    <w:rsid w:val="00B01159"/>
    <w:rsid w:val="00B01176"/>
    <w:rsid w:val="00B011AE"/>
    <w:rsid w:val="00B012C2"/>
    <w:rsid w:val="00B012CE"/>
    <w:rsid w:val="00B01399"/>
    <w:rsid w:val="00B013AD"/>
    <w:rsid w:val="00B01508"/>
    <w:rsid w:val="00B01557"/>
    <w:rsid w:val="00B015CE"/>
    <w:rsid w:val="00B015EC"/>
    <w:rsid w:val="00B01764"/>
    <w:rsid w:val="00B0193A"/>
    <w:rsid w:val="00B01A27"/>
    <w:rsid w:val="00B01A8B"/>
    <w:rsid w:val="00B01B10"/>
    <w:rsid w:val="00B01C17"/>
    <w:rsid w:val="00B01C28"/>
    <w:rsid w:val="00B01C5A"/>
    <w:rsid w:val="00B01E37"/>
    <w:rsid w:val="00B01E44"/>
    <w:rsid w:val="00B01E5F"/>
    <w:rsid w:val="00B01EEA"/>
    <w:rsid w:val="00B01F0C"/>
    <w:rsid w:val="00B01F8F"/>
    <w:rsid w:val="00B01F91"/>
    <w:rsid w:val="00B01FDF"/>
    <w:rsid w:val="00B0207E"/>
    <w:rsid w:val="00B020DC"/>
    <w:rsid w:val="00B0216D"/>
    <w:rsid w:val="00B021BC"/>
    <w:rsid w:val="00B022E4"/>
    <w:rsid w:val="00B022EE"/>
    <w:rsid w:val="00B0239F"/>
    <w:rsid w:val="00B023A0"/>
    <w:rsid w:val="00B02458"/>
    <w:rsid w:val="00B0247C"/>
    <w:rsid w:val="00B0254D"/>
    <w:rsid w:val="00B0263F"/>
    <w:rsid w:val="00B02696"/>
    <w:rsid w:val="00B026BF"/>
    <w:rsid w:val="00B026F8"/>
    <w:rsid w:val="00B027B3"/>
    <w:rsid w:val="00B027BB"/>
    <w:rsid w:val="00B027FF"/>
    <w:rsid w:val="00B02988"/>
    <w:rsid w:val="00B029F3"/>
    <w:rsid w:val="00B02A8E"/>
    <w:rsid w:val="00B02AA5"/>
    <w:rsid w:val="00B02C4C"/>
    <w:rsid w:val="00B02DF0"/>
    <w:rsid w:val="00B02DFC"/>
    <w:rsid w:val="00B02E7D"/>
    <w:rsid w:val="00B02EC1"/>
    <w:rsid w:val="00B02ED1"/>
    <w:rsid w:val="00B02FCB"/>
    <w:rsid w:val="00B0312E"/>
    <w:rsid w:val="00B03206"/>
    <w:rsid w:val="00B0327E"/>
    <w:rsid w:val="00B032AA"/>
    <w:rsid w:val="00B032C0"/>
    <w:rsid w:val="00B03417"/>
    <w:rsid w:val="00B0354E"/>
    <w:rsid w:val="00B0377E"/>
    <w:rsid w:val="00B0382A"/>
    <w:rsid w:val="00B0386D"/>
    <w:rsid w:val="00B038E4"/>
    <w:rsid w:val="00B03B58"/>
    <w:rsid w:val="00B03B6E"/>
    <w:rsid w:val="00B03B73"/>
    <w:rsid w:val="00B03BBC"/>
    <w:rsid w:val="00B03CD7"/>
    <w:rsid w:val="00B03E27"/>
    <w:rsid w:val="00B03E7E"/>
    <w:rsid w:val="00B03F94"/>
    <w:rsid w:val="00B03FB5"/>
    <w:rsid w:val="00B03FED"/>
    <w:rsid w:val="00B03FF1"/>
    <w:rsid w:val="00B03FFB"/>
    <w:rsid w:val="00B04081"/>
    <w:rsid w:val="00B042A3"/>
    <w:rsid w:val="00B043FB"/>
    <w:rsid w:val="00B04624"/>
    <w:rsid w:val="00B04633"/>
    <w:rsid w:val="00B047BB"/>
    <w:rsid w:val="00B04848"/>
    <w:rsid w:val="00B04AFF"/>
    <w:rsid w:val="00B04C30"/>
    <w:rsid w:val="00B04C3B"/>
    <w:rsid w:val="00B04CDC"/>
    <w:rsid w:val="00B04D28"/>
    <w:rsid w:val="00B04D3C"/>
    <w:rsid w:val="00B04E3B"/>
    <w:rsid w:val="00B04EFC"/>
    <w:rsid w:val="00B0500A"/>
    <w:rsid w:val="00B05041"/>
    <w:rsid w:val="00B0507C"/>
    <w:rsid w:val="00B050F4"/>
    <w:rsid w:val="00B051E3"/>
    <w:rsid w:val="00B0526B"/>
    <w:rsid w:val="00B0531E"/>
    <w:rsid w:val="00B05436"/>
    <w:rsid w:val="00B05440"/>
    <w:rsid w:val="00B054B0"/>
    <w:rsid w:val="00B055B9"/>
    <w:rsid w:val="00B05702"/>
    <w:rsid w:val="00B05705"/>
    <w:rsid w:val="00B057B2"/>
    <w:rsid w:val="00B057D0"/>
    <w:rsid w:val="00B058F6"/>
    <w:rsid w:val="00B059F3"/>
    <w:rsid w:val="00B05A1E"/>
    <w:rsid w:val="00B05A44"/>
    <w:rsid w:val="00B05AA6"/>
    <w:rsid w:val="00B05B25"/>
    <w:rsid w:val="00B05B2E"/>
    <w:rsid w:val="00B05B56"/>
    <w:rsid w:val="00B05BFB"/>
    <w:rsid w:val="00B05D5D"/>
    <w:rsid w:val="00B05E17"/>
    <w:rsid w:val="00B05E18"/>
    <w:rsid w:val="00B05EA5"/>
    <w:rsid w:val="00B05EFA"/>
    <w:rsid w:val="00B05F4F"/>
    <w:rsid w:val="00B05F67"/>
    <w:rsid w:val="00B064AD"/>
    <w:rsid w:val="00B064B5"/>
    <w:rsid w:val="00B06561"/>
    <w:rsid w:val="00B06579"/>
    <w:rsid w:val="00B0663B"/>
    <w:rsid w:val="00B0675E"/>
    <w:rsid w:val="00B067A4"/>
    <w:rsid w:val="00B0682B"/>
    <w:rsid w:val="00B06845"/>
    <w:rsid w:val="00B06882"/>
    <w:rsid w:val="00B068FC"/>
    <w:rsid w:val="00B06975"/>
    <w:rsid w:val="00B06986"/>
    <w:rsid w:val="00B06A65"/>
    <w:rsid w:val="00B06A73"/>
    <w:rsid w:val="00B06A80"/>
    <w:rsid w:val="00B06B08"/>
    <w:rsid w:val="00B06EC4"/>
    <w:rsid w:val="00B072B2"/>
    <w:rsid w:val="00B073A6"/>
    <w:rsid w:val="00B07402"/>
    <w:rsid w:val="00B0747F"/>
    <w:rsid w:val="00B074E2"/>
    <w:rsid w:val="00B07600"/>
    <w:rsid w:val="00B07666"/>
    <w:rsid w:val="00B076CF"/>
    <w:rsid w:val="00B07783"/>
    <w:rsid w:val="00B07874"/>
    <w:rsid w:val="00B0787E"/>
    <w:rsid w:val="00B079D6"/>
    <w:rsid w:val="00B079E8"/>
    <w:rsid w:val="00B07A79"/>
    <w:rsid w:val="00B07AB0"/>
    <w:rsid w:val="00B07AD8"/>
    <w:rsid w:val="00B07AFC"/>
    <w:rsid w:val="00B07B23"/>
    <w:rsid w:val="00B07BD1"/>
    <w:rsid w:val="00B07C8A"/>
    <w:rsid w:val="00B07DCB"/>
    <w:rsid w:val="00B07E77"/>
    <w:rsid w:val="00B07EC4"/>
    <w:rsid w:val="00B100A7"/>
    <w:rsid w:val="00B1013D"/>
    <w:rsid w:val="00B101A5"/>
    <w:rsid w:val="00B101B6"/>
    <w:rsid w:val="00B1024E"/>
    <w:rsid w:val="00B102F6"/>
    <w:rsid w:val="00B103A9"/>
    <w:rsid w:val="00B10432"/>
    <w:rsid w:val="00B1056D"/>
    <w:rsid w:val="00B105F4"/>
    <w:rsid w:val="00B10671"/>
    <w:rsid w:val="00B10682"/>
    <w:rsid w:val="00B10683"/>
    <w:rsid w:val="00B10775"/>
    <w:rsid w:val="00B10987"/>
    <w:rsid w:val="00B10A41"/>
    <w:rsid w:val="00B10A99"/>
    <w:rsid w:val="00B10ACC"/>
    <w:rsid w:val="00B10B80"/>
    <w:rsid w:val="00B10D09"/>
    <w:rsid w:val="00B10DC5"/>
    <w:rsid w:val="00B10E67"/>
    <w:rsid w:val="00B10E77"/>
    <w:rsid w:val="00B10F62"/>
    <w:rsid w:val="00B110D4"/>
    <w:rsid w:val="00B1110C"/>
    <w:rsid w:val="00B11210"/>
    <w:rsid w:val="00B11260"/>
    <w:rsid w:val="00B11347"/>
    <w:rsid w:val="00B113E3"/>
    <w:rsid w:val="00B11498"/>
    <w:rsid w:val="00B11517"/>
    <w:rsid w:val="00B11543"/>
    <w:rsid w:val="00B117C6"/>
    <w:rsid w:val="00B1194E"/>
    <w:rsid w:val="00B11A11"/>
    <w:rsid w:val="00B11C05"/>
    <w:rsid w:val="00B11CFF"/>
    <w:rsid w:val="00B11D00"/>
    <w:rsid w:val="00B11D18"/>
    <w:rsid w:val="00B11D1E"/>
    <w:rsid w:val="00B11D2F"/>
    <w:rsid w:val="00B11D7E"/>
    <w:rsid w:val="00B11E32"/>
    <w:rsid w:val="00B11E50"/>
    <w:rsid w:val="00B11EFB"/>
    <w:rsid w:val="00B11FEC"/>
    <w:rsid w:val="00B1210A"/>
    <w:rsid w:val="00B1213E"/>
    <w:rsid w:val="00B12232"/>
    <w:rsid w:val="00B12233"/>
    <w:rsid w:val="00B1229E"/>
    <w:rsid w:val="00B1235F"/>
    <w:rsid w:val="00B1259C"/>
    <w:rsid w:val="00B12641"/>
    <w:rsid w:val="00B126B8"/>
    <w:rsid w:val="00B127F1"/>
    <w:rsid w:val="00B12802"/>
    <w:rsid w:val="00B12953"/>
    <w:rsid w:val="00B12AFB"/>
    <w:rsid w:val="00B12CFD"/>
    <w:rsid w:val="00B12E53"/>
    <w:rsid w:val="00B12FC6"/>
    <w:rsid w:val="00B13001"/>
    <w:rsid w:val="00B13095"/>
    <w:rsid w:val="00B13096"/>
    <w:rsid w:val="00B130D4"/>
    <w:rsid w:val="00B1313D"/>
    <w:rsid w:val="00B1325D"/>
    <w:rsid w:val="00B132B8"/>
    <w:rsid w:val="00B1339D"/>
    <w:rsid w:val="00B13405"/>
    <w:rsid w:val="00B13434"/>
    <w:rsid w:val="00B13497"/>
    <w:rsid w:val="00B1357D"/>
    <w:rsid w:val="00B13606"/>
    <w:rsid w:val="00B13610"/>
    <w:rsid w:val="00B136AE"/>
    <w:rsid w:val="00B13716"/>
    <w:rsid w:val="00B137B6"/>
    <w:rsid w:val="00B13848"/>
    <w:rsid w:val="00B13865"/>
    <w:rsid w:val="00B13909"/>
    <w:rsid w:val="00B13AC9"/>
    <w:rsid w:val="00B13C93"/>
    <w:rsid w:val="00B13CDD"/>
    <w:rsid w:val="00B13DB2"/>
    <w:rsid w:val="00B13E25"/>
    <w:rsid w:val="00B13F84"/>
    <w:rsid w:val="00B13F9C"/>
    <w:rsid w:val="00B14073"/>
    <w:rsid w:val="00B140A4"/>
    <w:rsid w:val="00B14128"/>
    <w:rsid w:val="00B14142"/>
    <w:rsid w:val="00B14165"/>
    <w:rsid w:val="00B141BB"/>
    <w:rsid w:val="00B142D4"/>
    <w:rsid w:val="00B14372"/>
    <w:rsid w:val="00B14394"/>
    <w:rsid w:val="00B143F7"/>
    <w:rsid w:val="00B1462C"/>
    <w:rsid w:val="00B14738"/>
    <w:rsid w:val="00B14770"/>
    <w:rsid w:val="00B1483B"/>
    <w:rsid w:val="00B1484C"/>
    <w:rsid w:val="00B1486A"/>
    <w:rsid w:val="00B1487C"/>
    <w:rsid w:val="00B149F1"/>
    <w:rsid w:val="00B14A3B"/>
    <w:rsid w:val="00B14ACE"/>
    <w:rsid w:val="00B14B19"/>
    <w:rsid w:val="00B14BD2"/>
    <w:rsid w:val="00B14BE9"/>
    <w:rsid w:val="00B14C91"/>
    <w:rsid w:val="00B14D1E"/>
    <w:rsid w:val="00B14DA3"/>
    <w:rsid w:val="00B14E11"/>
    <w:rsid w:val="00B14EBE"/>
    <w:rsid w:val="00B14EF8"/>
    <w:rsid w:val="00B14F5E"/>
    <w:rsid w:val="00B15004"/>
    <w:rsid w:val="00B15036"/>
    <w:rsid w:val="00B151B2"/>
    <w:rsid w:val="00B15203"/>
    <w:rsid w:val="00B15384"/>
    <w:rsid w:val="00B1539B"/>
    <w:rsid w:val="00B153BA"/>
    <w:rsid w:val="00B1541C"/>
    <w:rsid w:val="00B156A0"/>
    <w:rsid w:val="00B15888"/>
    <w:rsid w:val="00B159C7"/>
    <w:rsid w:val="00B15A09"/>
    <w:rsid w:val="00B15A70"/>
    <w:rsid w:val="00B15B13"/>
    <w:rsid w:val="00B15B1A"/>
    <w:rsid w:val="00B15BA4"/>
    <w:rsid w:val="00B15C84"/>
    <w:rsid w:val="00B15E51"/>
    <w:rsid w:val="00B16168"/>
    <w:rsid w:val="00B161A2"/>
    <w:rsid w:val="00B163D0"/>
    <w:rsid w:val="00B16798"/>
    <w:rsid w:val="00B16800"/>
    <w:rsid w:val="00B16891"/>
    <w:rsid w:val="00B168B7"/>
    <w:rsid w:val="00B1691F"/>
    <w:rsid w:val="00B16931"/>
    <w:rsid w:val="00B16A96"/>
    <w:rsid w:val="00B16B04"/>
    <w:rsid w:val="00B16BF7"/>
    <w:rsid w:val="00B16CF5"/>
    <w:rsid w:val="00B16D80"/>
    <w:rsid w:val="00B16DAB"/>
    <w:rsid w:val="00B16DE0"/>
    <w:rsid w:val="00B16E0C"/>
    <w:rsid w:val="00B16FDB"/>
    <w:rsid w:val="00B17061"/>
    <w:rsid w:val="00B170FD"/>
    <w:rsid w:val="00B171CC"/>
    <w:rsid w:val="00B17324"/>
    <w:rsid w:val="00B17384"/>
    <w:rsid w:val="00B1739F"/>
    <w:rsid w:val="00B17430"/>
    <w:rsid w:val="00B1747E"/>
    <w:rsid w:val="00B1761E"/>
    <w:rsid w:val="00B176DB"/>
    <w:rsid w:val="00B17A4D"/>
    <w:rsid w:val="00B17B70"/>
    <w:rsid w:val="00B17D4B"/>
    <w:rsid w:val="00B17DDD"/>
    <w:rsid w:val="00B17DEF"/>
    <w:rsid w:val="00B17E5A"/>
    <w:rsid w:val="00B17E8C"/>
    <w:rsid w:val="00B17EF1"/>
    <w:rsid w:val="00B20004"/>
    <w:rsid w:val="00B200A2"/>
    <w:rsid w:val="00B202B7"/>
    <w:rsid w:val="00B20403"/>
    <w:rsid w:val="00B2044E"/>
    <w:rsid w:val="00B2048E"/>
    <w:rsid w:val="00B205DB"/>
    <w:rsid w:val="00B2060D"/>
    <w:rsid w:val="00B2063A"/>
    <w:rsid w:val="00B2063E"/>
    <w:rsid w:val="00B20704"/>
    <w:rsid w:val="00B20708"/>
    <w:rsid w:val="00B207A8"/>
    <w:rsid w:val="00B20804"/>
    <w:rsid w:val="00B20893"/>
    <w:rsid w:val="00B208F8"/>
    <w:rsid w:val="00B2094C"/>
    <w:rsid w:val="00B209F3"/>
    <w:rsid w:val="00B20A1B"/>
    <w:rsid w:val="00B20ABF"/>
    <w:rsid w:val="00B20BC8"/>
    <w:rsid w:val="00B20C27"/>
    <w:rsid w:val="00B20C84"/>
    <w:rsid w:val="00B20D78"/>
    <w:rsid w:val="00B20DDE"/>
    <w:rsid w:val="00B20E47"/>
    <w:rsid w:val="00B20EC1"/>
    <w:rsid w:val="00B20FAD"/>
    <w:rsid w:val="00B20FE7"/>
    <w:rsid w:val="00B2110A"/>
    <w:rsid w:val="00B212D3"/>
    <w:rsid w:val="00B212DA"/>
    <w:rsid w:val="00B213E1"/>
    <w:rsid w:val="00B21482"/>
    <w:rsid w:val="00B21501"/>
    <w:rsid w:val="00B21534"/>
    <w:rsid w:val="00B21616"/>
    <w:rsid w:val="00B21625"/>
    <w:rsid w:val="00B2180F"/>
    <w:rsid w:val="00B218D8"/>
    <w:rsid w:val="00B2191E"/>
    <w:rsid w:val="00B21966"/>
    <w:rsid w:val="00B219ED"/>
    <w:rsid w:val="00B21A2F"/>
    <w:rsid w:val="00B21AF0"/>
    <w:rsid w:val="00B21BE9"/>
    <w:rsid w:val="00B21C8D"/>
    <w:rsid w:val="00B21D30"/>
    <w:rsid w:val="00B21E3B"/>
    <w:rsid w:val="00B21ED0"/>
    <w:rsid w:val="00B21EF8"/>
    <w:rsid w:val="00B21F1C"/>
    <w:rsid w:val="00B21FBB"/>
    <w:rsid w:val="00B21FF7"/>
    <w:rsid w:val="00B2204A"/>
    <w:rsid w:val="00B220C7"/>
    <w:rsid w:val="00B2214A"/>
    <w:rsid w:val="00B22173"/>
    <w:rsid w:val="00B2217A"/>
    <w:rsid w:val="00B22286"/>
    <w:rsid w:val="00B222AA"/>
    <w:rsid w:val="00B2231F"/>
    <w:rsid w:val="00B2237E"/>
    <w:rsid w:val="00B22381"/>
    <w:rsid w:val="00B2248A"/>
    <w:rsid w:val="00B224C4"/>
    <w:rsid w:val="00B22503"/>
    <w:rsid w:val="00B22593"/>
    <w:rsid w:val="00B225A1"/>
    <w:rsid w:val="00B225A5"/>
    <w:rsid w:val="00B22631"/>
    <w:rsid w:val="00B22740"/>
    <w:rsid w:val="00B22858"/>
    <w:rsid w:val="00B228C0"/>
    <w:rsid w:val="00B22995"/>
    <w:rsid w:val="00B22ABD"/>
    <w:rsid w:val="00B22B43"/>
    <w:rsid w:val="00B22C2B"/>
    <w:rsid w:val="00B22CAB"/>
    <w:rsid w:val="00B22CFB"/>
    <w:rsid w:val="00B22DB9"/>
    <w:rsid w:val="00B22E3C"/>
    <w:rsid w:val="00B22E85"/>
    <w:rsid w:val="00B22EE4"/>
    <w:rsid w:val="00B22EF8"/>
    <w:rsid w:val="00B22F21"/>
    <w:rsid w:val="00B22F24"/>
    <w:rsid w:val="00B23071"/>
    <w:rsid w:val="00B230DF"/>
    <w:rsid w:val="00B23187"/>
    <w:rsid w:val="00B232A3"/>
    <w:rsid w:val="00B2337B"/>
    <w:rsid w:val="00B233BB"/>
    <w:rsid w:val="00B233F2"/>
    <w:rsid w:val="00B2365C"/>
    <w:rsid w:val="00B23705"/>
    <w:rsid w:val="00B237BA"/>
    <w:rsid w:val="00B238FD"/>
    <w:rsid w:val="00B2394B"/>
    <w:rsid w:val="00B23985"/>
    <w:rsid w:val="00B23A68"/>
    <w:rsid w:val="00B23C36"/>
    <w:rsid w:val="00B23C90"/>
    <w:rsid w:val="00B23CC9"/>
    <w:rsid w:val="00B23CDB"/>
    <w:rsid w:val="00B23D8B"/>
    <w:rsid w:val="00B23D9B"/>
    <w:rsid w:val="00B23E19"/>
    <w:rsid w:val="00B23E84"/>
    <w:rsid w:val="00B2420F"/>
    <w:rsid w:val="00B24220"/>
    <w:rsid w:val="00B24244"/>
    <w:rsid w:val="00B2424B"/>
    <w:rsid w:val="00B242A1"/>
    <w:rsid w:val="00B242E3"/>
    <w:rsid w:val="00B24332"/>
    <w:rsid w:val="00B24353"/>
    <w:rsid w:val="00B24366"/>
    <w:rsid w:val="00B2444B"/>
    <w:rsid w:val="00B244C5"/>
    <w:rsid w:val="00B24536"/>
    <w:rsid w:val="00B2453B"/>
    <w:rsid w:val="00B245F8"/>
    <w:rsid w:val="00B24755"/>
    <w:rsid w:val="00B2482B"/>
    <w:rsid w:val="00B24865"/>
    <w:rsid w:val="00B2496B"/>
    <w:rsid w:val="00B249EC"/>
    <w:rsid w:val="00B24A0D"/>
    <w:rsid w:val="00B24AD7"/>
    <w:rsid w:val="00B24B14"/>
    <w:rsid w:val="00B24BB9"/>
    <w:rsid w:val="00B24C37"/>
    <w:rsid w:val="00B24D50"/>
    <w:rsid w:val="00B24E4C"/>
    <w:rsid w:val="00B24E5F"/>
    <w:rsid w:val="00B24F24"/>
    <w:rsid w:val="00B2501E"/>
    <w:rsid w:val="00B250E5"/>
    <w:rsid w:val="00B25208"/>
    <w:rsid w:val="00B2521D"/>
    <w:rsid w:val="00B25235"/>
    <w:rsid w:val="00B2523C"/>
    <w:rsid w:val="00B2525D"/>
    <w:rsid w:val="00B253AA"/>
    <w:rsid w:val="00B25444"/>
    <w:rsid w:val="00B25495"/>
    <w:rsid w:val="00B254EB"/>
    <w:rsid w:val="00B2551B"/>
    <w:rsid w:val="00B2556A"/>
    <w:rsid w:val="00B2563C"/>
    <w:rsid w:val="00B25685"/>
    <w:rsid w:val="00B256D6"/>
    <w:rsid w:val="00B2570F"/>
    <w:rsid w:val="00B257E5"/>
    <w:rsid w:val="00B257F3"/>
    <w:rsid w:val="00B25831"/>
    <w:rsid w:val="00B25AA7"/>
    <w:rsid w:val="00B25BED"/>
    <w:rsid w:val="00B25CDE"/>
    <w:rsid w:val="00B25DAB"/>
    <w:rsid w:val="00B25EF3"/>
    <w:rsid w:val="00B25F4C"/>
    <w:rsid w:val="00B25F94"/>
    <w:rsid w:val="00B25FC5"/>
    <w:rsid w:val="00B2609B"/>
    <w:rsid w:val="00B260F0"/>
    <w:rsid w:val="00B26125"/>
    <w:rsid w:val="00B26258"/>
    <w:rsid w:val="00B26287"/>
    <w:rsid w:val="00B2629F"/>
    <w:rsid w:val="00B262EF"/>
    <w:rsid w:val="00B26484"/>
    <w:rsid w:val="00B26538"/>
    <w:rsid w:val="00B26548"/>
    <w:rsid w:val="00B266D8"/>
    <w:rsid w:val="00B26718"/>
    <w:rsid w:val="00B269BE"/>
    <w:rsid w:val="00B26AE7"/>
    <w:rsid w:val="00B26AEA"/>
    <w:rsid w:val="00B26AF0"/>
    <w:rsid w:val="00B26B23"/>
    <w:rsid w:val="00B26BFC"/>
    <w:rsid w:val="00B26C91"/>
    <w:rsid w:val="00B26D01"/>
    <w:rsid w:val="00B26D71"/>
    <w:rsid w:val="00B26D81"/>
    <w:rsid w:val="00B26D99"/>
    <w:rsid w:val="00B26DC7"/>
    <w:rsid w:val="00B26DF0"/>
    <w:rsid w:val="00B27016"/>
    <w:rsid w:val="00B27068"/>
    <w:rsid w:val="00B270C8"/>
    <w:rsid w:val="00B270CE"/>
    <w:rsid w:val="00B270DA"/>
    <w:rsid w:val="00B2715C"/>
    <w:rsid w:val="00B271E0"/>
    <w:rsid w:val="00B272A0"/>
    <w:rsid w:val="00B272C6"/>
    <w:rsid w:val="00B27305"/>
    <w:rsid w:val="00B275DE"/>
    <w:rsid w:val="00B27613"/>
    <w:rsid w:val="00B27623"/>
    <w:rsid w:val="00B2767E"/>
    <w:rsid w:val="00B27696"/>
    <w:rsid w:val="00B276F8"/>
    <w:rsid w:val="00B27C98"/>
    <w:rsid w:val="00B27DEB"/>
    <w:rsid w:val="00B27E9E"/>
    <w:rsid w:val="00B27F0B"/>
    <w:rsid w:val="00B27FE9"/>
    <w:rsid w:val="00B3011B"/>
    <w:rsid w:val="00B3038A"/>
    <w:rsid w:val="00B30436"/>
    <w:rsid w:val="00B30636"/>
    <w:rsid w:val="00B3066A"/>
    <w:rsid w:val="00B306DD"/>
    <w:rsid w:val="00B3082F"/>
    <w:rsid w:val="00B30A18"/>
    <w:rsid w:val="00B30A69"/>
    <w:rsid w:val="00B30B39"/>
    <w:rsid w:val="00B30B5B"/>
    <w:rsid w:val="00B30C34"/>
    <w:rsid w:val="00B30C74"/>
    <w:rsid w:val="00B30D53"/>
    <w:rsid w:val="00B30D81"/>
    <w:rsid w:val="00B30D84"/>
    <w:rsid w:val="00B30E14"/>
    <w:rsid w:val="00B30E43"/>
    <w:rsid w:val="00B30EAB"/>
    <w:rsid w:val="00B30EDF"/>
    <w:rsid w:val="00B3107F"/>
    <w:rsid w:val="00B3108E"/>
    <w:rsid w:val="00B31137"/>
    <w:rsid w:val="00B31176"/>
    <w:rsid w:val="00B311AD"/>
    <w:rsid w:val="00B31334"/>
    <w:rsid w:val="00B3137B"/>
    <w:rsid w:val="00B31434"/>
    <w:rsid w:val="00B3162E"/>
    <w:rsid w:val="00B3163E"/>
    <w:rsid w:val="00B3178E"/>
    <w:rsid w:val="00B31799"/>
    <w:rsid w:val="00B318DC"/>
    <w:rsid w:val="00B319CF"/>
    <w:rsid w:val="00B31AA4"/>
    <w:rsid w:val="00B31BD2"/>
    <w:rsid w:val="00B31C44"/>
    <w:rsid w:val="00B31D26"/>
    <w:rsid w:val="00B31DD2"/>
    <w:rsid w:val="00B31DF9"/>
    <w:rsid w:val="00B31EF0"/>
    <w:rsid w:val="00B321C9"/>
    <w:rsid w:val="00B32268"/>
    <w:rsid w:val="00B322A2"/>
    <w:rsid w:val="00B322F9"/>
    <w:rsid w:val="00B3238F"/>
    <w:rsid w:val="00B323DB"/>
    <w:rsid w:val="00B32433"/>
    <w:rsid w:val="00B3256A"/>
    <w:rsid w:val="00B325C2"/>
    <w:rsid w:val="00B326C3"/>
    <w:rsid w:val="00B326DC"/>
    <w:rsid w:val="00B3276F"/>
    <w:rsid w:val="00B32790"/>
    <w:rsid w:val="00B327A9"/>
    <w:rsid w:val="00B3282A"/>
    <w:rsid w:val="00B3285A"/>
    <w:rsid w:val="00B328D0"/>
    <w:rsid w:val="00B32998"/>
    <w:rsid w:val="00B329FB"/>
    <w:rsid w:val="00B32C25"/>
    <w:rsid w:val="00B32DD9"/>
    <w:rsid w:val="00B32EB5"/>
    <w:rsid w:val="00B32FE7"/>
    <w:rsid w:val="00B32FEE"/>
    <w:rsid w:val="00B3307E"/>
    <w:rsid w:val="00B330B8"/>
    <w:rsid w:val="00B3328E"/>
    <w:rsid w:val="00B3331C"/>
    <w:rsid w:val="00B33346"/>
    <w:rsid w:val="00B33408"/>
    <w:rsid w:val="00B33443"/>
    <w:rsid w:val="00B33560"/>
    <w:rsid w:val="00B33566"/>
    <w:rsid w:val="00B335A6"/>
    <w:rsid w:val="00B336A6"/>
    <w:rsid w:val="00B337A7"/>
    <w:rsid w:val="00B3380A"/>
    <w:rsid w:val="00B3382D"/>
    <w:rsid w:val="00B338B5"/>
    <w:rsid w:val="00B33906"/>
    <w:rsid w:val="00B33933"/>
    <w:rsid w:val="00B33935"/>
    <w:rsid w:val="00B33942"/>
    <w:rsid w:val="00B339A3"/>
    <w:rsid w:val="00B33A76"/>
    <w:rsid w:val="00B33B08"/>
    <w:rsid w:val="00B33B34"/>
    <w:rsid w:val="00B33C74"/>
    <w:rsid w:val="00B33CCE"/>
    <w:rsid w:val="00B33D62"/>
    <w:rsid w:val="00B33DCE"/>
    <w:rsid w:val="00B33DFA"/>
    <w:rsid w:val="00B33E02"/>
    <w:rsid w:val="00B33E2B"/>
    <w:rsid w:val="00B33E8E"/>
    <w:rsid w:val="00B33F79"/>
    <w:rsid w:val="00B3411B"/>
    <w:rsid w:val="00B34183"/>
    <w:rsid w:val="00B34185"/>
    <w:rsid w:val="00B341D0"/>
    <w:rsid w:val="00B34280"/>
    <w:rsid w:val="00B34407"/>
    <w:rsid w:val="00B34437"/>
    <w:rsid w:val="00B344D3"/>
    <w:rsid w:val="00B3457F"/>
    <w:rsid w:val="00B34767"/>
    <w:rsid w:val="00B34799"/>
    <w:rsid w:val="00B3493E"/>
    <w:rsid w:val="00B34980"/>
    <w:rsid w:val="00B34B74"/>
    <w:rsid w:val="00B34DE9"/>
    <w:rsid w:val="00B34EE8"/>
    <w:rsid w:val="00B34FAF"/>
    <w:rsid w:val="00B34FC6"/>
    <w:rsid w:val="00B34FFE"/>
    <w:rsid w:val="00B35217"/>
    <w:rsid w:val="00B352E6"/>
    <w:rsid w:val="00B353C3"/>
    <w:rsid w:val="00B353C7"/>
    <w:rsid w:val="00B35525"/>
    <w:rsid w:val="00B3567A"/>
    <w:rsid w:val="00B359B9"/>
    <w:rsid w:val="00B359ED"/>
    <w:rsid w:val="00B35A65"/>
    <w:rsid w:val="00B35AAB"/>
    <w:rsid w:val="00B35B4C"/>
    <w:rsid w:val="00B35C31"/>
    <w:rsid w:val="00B35C9C"/>
    <w:rsid w:val="00B35E54"/>
    <w:rsid w:val="00B35E9A"/>
    <w:rsid w:val="00B35F8F"/>
    <w:rsid w:val="00B35FB0"/>
    <w:rsid w:val="00B3605F"/>
    <w:rsid w:val="00B3610B"/>
    <w:rsid w:val="00B36185"/>
    <w:rsid w:val="00B3623D"/>
    <w:rsid w:val="00B36422"/>
    <w:rsid w:val="00B36511"/>
    <w:rsid w:val="00B3653F"/>
    <w:rsid w:val="00B36654"/>
    <w:rsid w:val="00B36682"/>
    <w:rsid w:val="00B3668C"/>
    <w:rsid w:val="00B366B6"/>
    <w:rsid w:val="00B366CF"/>
    <w:rsid w:val="00B36703"/>
    <w:rsid w:val="00B3672A"/>
    <w:rsid w:val="00B3677F"/>
    <w:rsid w:val="00B367A6"/>
    <w:rsid w:val="00B3686F"/>
    <w:rsid w:val="00B3696F"/>
    <w:rsid w:val="00B369D2"/>
    <w:rsid w:val="00B369FA"/>
    <w:rsid w:val="00B36A84"/>
    <w:rsid w:val="00B36CFC"/>
    <w:rsid w:val="00B36DCF"/>
    <w:rsid w:val="00B36E42"/>
    <w:rsid w:val="00B37010"/>
    <w:rsid w:val="00B37043"/>
    <w:rsid w:val="00B37075"/>
    <w:rsid w:val="00B37114"/>
    <w:rsid w:val="00B37134"/>
    <w:rsid w:val="00B371E6"/>
    <w:rsid w:val="00B37273"/>
    <w:rsid w:val="00B372A9"/>
    <w:rsid w:val="00B37394"/>
    <w:rsid w:val="00B3745B"/>
    <w:rsid w:val="00B37487"/>
    <w:rsid w:val="00B37551"/>
    <w:rsid w:val="00B3766A"/>
    <w:rsid w:val="00B37868"/>
    <w:rsid w:val="00B3795A"/>
    <w:rsid w:val="00B37B6F"/>
    <w:rsid w:val="00B37D88"/>
    <w:rsid w:val="00B37D90"/>
    <w:rsid w:val="00B37E13"/>
    <w:rsid w:val="00B37E60"/>
    <w:rsid w:val="00B3D0D2"/>
    <w:rsid w:val="00B40005"/>
    <w:rsid w:val="00B400AA"/>
    <w:rsid w:val="00B400AE"/>
    <w:rsid w:val="00B40112"/>
    <w:rsid w:val="00B4013E"/>
    <w:rsid w:val="00B40269"/>
    <w:rsid w:val="00B40273"/>
    <w:rsid w:val="00B402A5"/>
    <w:rsid w:val="00B40372"/>
    <w:rsid w:val="00B403EF"/>
    <w:rsid w:val="00B4049B"/>
    <w:rsid w:val="00B40546"/>
    <w:rsid w:val="00B40695"/>
    <w:rsid w:val="00B407D4"/>
    <w:rsid w:val="00B4086B"/>
    <w:rsid w:val="00B408EB"/>
    <w:rsid w:val="00B408F4"/>
    <w:rsid w:val="00B4098B"/>
    <w:rsid w:val="00B40A68"/>
    <w:rsid w:val="00B40A8E"/>
    <w:rsid w:val="00B40C17"/>
    <w:rsid w:val="00B40DA3"/>
    <w:rsid w:val="00B40E59"/>
    <w:rsid w:val="00B40F0F"/>
    <w:rsid w:val="00B40F2E"/>
    <w:rsid w:val="00B40FE9"/>
    <w:rsid w:val="00B41012"/>
    <w:rsid w:val="00B410AB"/>
    <w:rsid w:val="00B410DE"/>
    <w:rsid w:val="00B411A1"/>
    <w:rsid w:val="00B4123B"/>
    <w:rsid w:val="00B412CD"/>
    <w:rsid w:val="00B4130E"/>
    <w:rsid w:val="00B41339"/>
    <w:rsid w:val="00B41393"/>
    <w:rsid w:val="00B413CA"/>
    <w:rsid w:val="00B41689"/>
    <w:rsid w:val="00B41690"/>
    <w:rsid w:val="00B416CE"/>
    <w:rsid w:val="00B416EF"/>
    <w:rsid w:val="00B418AD"/>
    <w:rsid w:val="00B41ADB"/>
    <w:rsid w:val="00B41BB9"/>
    <w:rsid w:val="00B41C12"/>
    <w:rsid w:val="00B41CC8"/>
    <w:rsid w:val="00B41D24"/>
    <w:rsid w:val="00B41E48"/>
    <w:rsid w:val="00B4206C"/>
    <w:rsid w:val="00B42098"/>
    <w:rsid w:val="00B420A7"/>
    <w:rsid w:val="00B420AC"/>
    <w:rsid w:val="00B42108"/>
    <w:rsid w:val="00B42153"/>
    <w:rsid w:val="00B4254C"/>
    <w:rsid w:val="00B425EF"/>
    <w:rsid w:val="00B42625"/>
    <w:rsid w:val="00B4278A"/>
    <w:rsid w:val="00B4282D"/>
    <w:rsid w:val="00B4286D"/>
    <w:rsid w:val="00B42991"/>
    <w:rsid w:val="00B42A28"/>
    <w:rsid w:val="00B42B2A"/>
    <w:rsid w:val="00B42B45"/>
    <w:rsid w:val="00B42BE1"/>
    <w:rsid w:val="00B42CC1"/>
    <w:rsid w:val="00B42E0A"/>
    <w:rsid w:val="00B42E6B"/>
    <w:rsid w:val="00B42E7C"/>
    <w:rsid w:val="00B42FBE"/>
    <w:rsid w:val="00B430AE"/>
    <w:rsid w:val="00B43277"/>
    <w:rsid w:val="00B43298"/>
    <w:rsid w:val="00B43333"/>
    <w:rsid w:val="00B433E0"/>
    <w:rsid w:val="00B4341C"/>
    <w:rsid w:val="00B4352F"/>
    <w:rsid w:val="00B43589"/>
    <w:rsid w:val="00B43872"/>
    <w:rsid w:val="00B4389B"/>
    <w:rsid w:val="00B43935"/>
    <w:rsid w:val="00B4399D"/>
    <w:rsid w:val="00B43A17"/>
    <w:rsid w:val="00B43A74"/>
    <w:rsid w:val="00B43B4B"/>
    <w:rsid w:val="00B43B91"/>
    <w:rsid w:val="00B43CA0"/>
    <w:rsid w:val="00B43D73"/>
    <w:rsid w:val="00B43D9F"/>
    <w:rsid w:val="00B43F24"/>
    <w:rsid w:val="00B44122"/>
    <w:rsid w:val="00B44132"/>
    <w:rsid w:val="00B441C7"/>
    <w:rsid w:val="00B4427D"/>
    <w:rsid w:val="00B442A7"/>
    <w:rsid w:val="00B44363"/>
    <w:rsid w:val="00B443BD"/>
    <w:rsid w:val="00B44439"/>
    <w:rsid w:val="00B444B4"/>
    <w:rsid w:val="00B444D2"/>
    <w:rsid w:val="00B444E1"/>
    <w:rsid w:val="00B4460E"/>
    <w:rsid w:val="00B446F5"/>
    <w:rsid w:val="00B4486B"/>
    <w:rsid w:val="00B44979"/>
    <w:rsid w:val="00B44A08"/>
    <w:rsid w:val="00B44A33"/>
    <w:rsid w:val="00B44BA6"/>
    <w:rsid w:val="00B44C1C"/>
    <w:rsid w:val="00B44CF2"/>
    <w:rsid w:val="00B4507F"/>
    <w:rsid w:val="00B4543A"/>
    <w:rsid w:val="00B4561F"/>
    <w:rsid w:val="00B456E5"/>
    <w:rsid w:val="00B4572E"/>
    <w:rsid w:val="00B457E8"/>
    <w:rsid w:val="00B45803"/>
    <w:rsid w:val="00B4580D"/>
    <w:rsid w:val="00B45824"/>
    <w:rsid w:val="00B45865"/>
    <w:rsid w:val="00B458A8"/>
    <w:rsid w:val="00B45966"/>
    <w:rsid w:val="00B45A96"/>
    <w:rsid w:val="00B45C58"/>
    <w:rsid w:val="00B45CCA"/>
    <w:rsid w:val="00B45DA2"/>
    <w:rsid w:val="00B45E39"/>
    <w:rsid w:val="00B45E68"/>
    <w:rsid w:val="00B45EBD"/>
    <w:rsid w:val="00B45EEB"/>
    <w:rsid w:val="00B45F01"/>
    <w:rsid w:val="00B46054"/>
    <w:rsid w:val="00B4606C"/>
    <w:rsid w:val="00B4606D"/>
    <w:rsid w:val="00B46087"/>
    <w:rsid w:val="00B46176"/>
    <w:rsid w:val="00B4625A"/>
    <w:rsid w:val="00B462BB"/>
    <w:rsid w:val="00B462FD"/>
    <w:rsid w:val="00B46389"/>
    <w:rsid w:val="00B46427"/>
    <w:rsid w:val="00B46498"/>
    <w:rsid w:val="00B46530"/>
    <w:rsid w:val="00B46574"/>
    <w:rsid w:val="00B467CB"/>
    <w:rsid w:val="00B468AC"/>
    <w:rsid w:val="00B468E8"/>
    <w:rsid w:val="00B46A33"/>
    <w:rsid w:val="00B46A44"/>
    <w:rsid w:val="00B46AB8"/>
    <w:rsid w:val="00B46BDC"/>
    <w:rsid w:val="00B46C00"/>
    <w:rsid w:val="00B46C14"/>
    <w:rsid w:val="00B46CC9"/>
    <w:rsid w:val="00B46CEE"/>
    <w:rsid w:val="00B46D9A"/>
    <w:rsid w:val="00B46DDB"/>
    <w:rsid w:val="00B46E85"/>
    <w:rsid w:val="00B46EC3"/>
    <w:rsid w:val="00B470C1"/>
    <w:rsid w:val="00B47170"/>
    <w:rsid w:val="00B471DA"/>
    <w:rsid w:val="00B47288"/>
    <w:rsid w:val="00B47466"/>
    <w:rsid w:val="00B474AD"/>
    <w:rsid w:val="00B474E1"/>
    <w:rsid w:val="00B475E0"/>
    <w:rsid w:val="00B47656"/>
    <w:rsid w:val="00B4766D"/>
    <w:rsid w:val="00B4775B"/>
    <w:rsid w:val="00B4785E"/>
    <w:rsid w:val="00B478E5"/>
    <w:rsid w:val="00B4795A"/>
    <w:rsid w:val="00B479F4"/>
    <w:rsid w:val="00B47A6A"/>
    <w:rsid w:val="00B47AAF"/>
    <w:rsid w:val="00B47BB0"/>
    <w:rsid w:val="00B47BCB"/>
    <w:rsid w:val="00B47CA1"/>
    <w:rsid w:val="00B47DE6"/>
    <w:rsid w:val="00B47F2A"/>
    <w:rsid w:val="00B47FB3"/>
    <w:rsid w:val="00B47FF3"/>
    <w:rsid w:val="00B50119"/>
    <w:rsid w:val="00B50172"/>
    <w:rsid w:val="00B501B9"/>
    <w:rsid w:val="00B501D8"/>
    <w:rsid w:val="00B50208"/>
    <w:rsid w:val="00B5037D"/>
    <w:rsid w:val="00B50502"/>
    <w:rsid w:val="00B506C5"/>
    <w:rsid w:val="00B506D3"/>
    <w:rsid w:val="00B5074E"/>
    <w:rsid w:val="00B507D5"/>
    <w:rsid w:val="00B50816"/>
    <w:rsid w:val="00B50AEE"/>
    <w:rsid w:val="00B50AFB"/>
    <w:rsid w:val="00B50D03"/>
    <w:rsid w:val="00B50D97"/>
    <w:rsid w:val="00B50EB4"/>
    <w:rsid w:val="00B50EC5"/>
    <w:rsid w:val="00B50FD0"/>
    <w:rsid w:val="00B511E8"/>
    <w:rsid w:val="00B51203"/>
    <w:rsid w:val="00B513A9"/>
    <w:rsid w:val="00B51470"/>
    <w:rsid w:val="00B5148C"/>
    <w:rsid w:val="00B51516"/>
    <w:rsid w:val="00B515B0"/>
    <w:rsid w:val="00B515F6"/>
    <w:rsid w:val="00B51689"/>
    <w:rsid w:val="00B5175C"/>
    <w:rsid w:val="00B51A9A"/>
    <w:rsid w:val="00B51B4A"/>
    <w:rsid w:val="00B51B5A"/>
    <w:rsid w:val="00B51C03"/>
    <w:rsid w:val="00B51C57"/>
    <w:rsid w:val="00B51C9F"/>
    <w:rsid w:val="00B51E13"/>
    <w:rsid w:val="00B51FCE"/>
    <w:rsid w:val="00B52122"/>
    <w:rsid w:val="00B5226E"/>
    <w:rsid w:val="00B522D1"/>
    <w:rsid w:val="00B522D2"/>
    <w:rsid w:val="00B522F4"/>
    <w:rsid w:val="00B522FC"/>
    <w:rsid w:val="00B52315"/>
    <w:rsid w:val="00B523C8"/>
    <w:rsid w:val="00B52447"/>
    <w:rsid w:val="00B52488"/>
    <w:rsid w:val="00B524D8"/>
    <w:rsid w:val="00B52601"/>
    <w:rsid w:val="00B5264E"/>
    <w:rsid w:val="00B52706"/>
    <w:rsid w:val="00B52816"/>
    <w:rsid w:val="00B528AF"/>
    <w:rsid w:val="00B52909"/>
    <w:rsid w:val="00B52B1C"/>
    <w:rsid w:val="00B52C0F"/>
    <w:rsid w:val="00B52C26"/>
    <w:rsid w:val="00B52C72"/>
    <w:rsid w:val="00B52D49"/>
    <w:rsid w:val="00B53055"/>
    <w:rsid w:val="00B53058"/>
    <w:rsid w:val="00B5313C"/>
    <w:rsid w:val="00B53179"/>
    <w:rsid w:val="00B532FD"/>
    <w:rsid w:val="00B5338A"/>
    <w:rsid w:val="00B5340F"/>
    <w:rsid w:val="00B535CB"/>
    <w:rsid w:val="00B536A0"/>
    <w:rsid w:val="00B53826"/>
    <w:rsid w:val="00B53933"/>
    <w:rsid w:val="00B53A87"/>
    <w:rsid w:val="00B53B56"/>
    <w:rsid w:val="00B53BDE"/>
    <w:rsid w:val="00B53C91"/>
    <w:rsid w:val="00B53CCD"/>
    <w:rsid w:val="00B53D7D"/>
    <w:rsid w:val="00B53DB9"/>
    <w:rsid w:val="00B5400A"/>
    <w:rsid w:val="00B5404B"/>
    <w:rsid w:val="00B54073"/>
    <w:rsid w:val="00B541DA"/>
    <w:rsid w:val="00B5442D"/>
    <w:rsid w:val="00B54456"/>
    <w:rsid w:val="00B544C2"/>
    <w:rsid w:val="00B545A3"/>
    <w:rsid w:val="00B54755"/>
    <w:rsid w:val="00B54871"/>
    <w:rsid w:val="00B548AA"/>
    <w:rsid w:val="00B548BF"/>
    <w:rsid w:val="00B54928"/>
    <w:rsid w:val="00B5495E"/>
    <w:rsid w:val="00B54A5B"/>
    <w:rsid w:val="00B54B9E"/>
    <w:rsid w:val="00B54BBA"/>
    <w:rsid w:val="00B54D45"/>
    <w:rsid w:val="00B54D8E"/>
    <w:rsid w:val="00B54D9B"/>
    <w:rsid w:val="00B54F6A"/>
    <w:rsid w:val="00B550F2"/>
    <w:rsid w:val="00B5512E"/>
    <w:rsid w:val="00B551EA"/>
    <w:rsid w:val="00B552B0"/>
    <w:rsid w:val="00B55324"/>
    <w:rsid w:val="00B553F9"/>
    <w:rsid w:val="00B554A1"/>
    <w:rsid w:val="00B55593"/>
    <w:rsid w:val="00B55608"/>
    <w:rsid w:val="00B557B3"/>
    <w:rsid w:val="00B55A9F"/>
    <w:rsid w:val="00B55AEA"/>
    <w:rsid w:val="00B55C3A"/>
    <w:rsid w:val="00B55CA8"/>
    <w:rsid w:val="00B55CB0"/>
    <w:rsid w:val="00B55DB9"/>
    <w:rsid w:val="00B55F26"/>
    <w:rsid w:val="00B55F2E"/>
    <w:rsid w:val="00B55FE7"/>
    <w:rsid w:val="00B5614F"/>
    <w:rsid w:val="00B561F5"/>
    <w:rsid w:val="00B562FD"/>
    <w:rsid w:val="00B563AD"/>
    <w:rsid w:val="00B56420"/>
    <w:rsid w:val="00B56433"/>
    <w:rsid w:val="00B56508"/>
    <w:rsid w:val="00B567B3"/>
    <w:rsid w:val="00B56848"/>
    <w:rsid w:val="00B56858"/>
    <w:rsid w:val="00B5695C"/>
    <w:rsid w:val="00B56CB0"/>
    <w:rsid w:val="00B56CDA"/>
    <w:rsid w:val="00B56CF0"/>
    <w:rsid w:val="00B56D3D"/>
    <w:rsid w:val="00B56D56"/>
    <w:rsid w:val="00B56D5C"/>
    <w:rsid w:val="00B56ED0"/>
    <w:rsid w:val="00B56FD7"/>
    <w:rsid w:val="00B571B2"/>
    <w:rsid w:val="00B57211"/>
    <w:rsid w:val="00B572C1"/>
    <w:rsid w:val="00B574CA"/>
    <w:rsid w:val="00B574D9"/>
    <w:rsid w:val="00B57525"/>
    <w:rsid w:val="00B5754F"/>
    <w:rsid w:val="00B57628"/>
    <w:rsid w:val="00B57896"/>
    <w:rsid w:val="00B578E1"/>
    <w:rsid w:val="00B5796C"/>
    <w:rsid w:val="00B57A84"/>
    <w:rsid w:val="00B57B46"/>
    <w:rsid w:val="00B57C31"/>
    <w:rsid w:val="00B57DC5"/>
    <w:rsid w:val="00B57EC9"/>
    <w:rsid w:val="00B57EFB"/>
    <w:rsid w:val="00B600D9"/>
    <w:rsid w:val="00B60173"/>
    <w:rsid w:val="00B601C6"/>
    <w:rsid w:val="00B6021F"/>
    <w:rsid w:val="00B60238"/>
    <w:rsid w:val="00B6028C"/>
    <w:rsid w:val="00B6030F"/>
    <w:rsid w:val="00B603AB"/>
    <w:rsid w:val="00B6041E"/>
    <w:rsid w:val="00B604F9"/>
    <w:rsid w:val="00B60672"/>
    <w:rsid w:val="00B606E6"/>
    <w:rsid w:val="00B607DF"/>
    <w:rsid w:val="00B608D4"/>
    <w:rsid w:val="00B608DA"/>
    <w:rsid w:val="00B60947"/>
    <w:rsid w:val="00B6095B"/>
    <w:rsid w:val="00B60A92"/>
    <w:rsid w:val="00B60AA4"/>
    <w:rsid w:val="00B60AAA"/>
    <w:rsid w:val="00B60B68"/>
    <w:rsid w:val="00B60C2B"/>
    <w:rsid w:val="00B60FE0"/>
    <w:rsid w:val="00B61088"/>
    <w:rsid w:val="00B61115"/>
    <w:rsid w:val="00B611E7"/>
    <w:rsid w:val="00B61211"/>
    <w:rsid w:val="00B612C5"/>
    <w:rsid w:val="00B61449"/>
    <w:rsid w:val="00B61684"/>
    <w:rsid w:val="00B61811"/>
    <w:rsid w:val="00B6181E"/>
    <w:rsid w:val="00B61AC4"/>
    <w:rsid w:val="00B61C0B"/>
    <w:rsid w:val="00B61C53"/>
    <w:rsid w:val="00B61CA8"/>
    <w:rsid w:val="00B61E43"/>
    <w:rsid w:val="00B61FBB"/>
    <w:rsid w:val="00B62037"/>
    <w:rsid w:val="00B62124"/>
    <w:rsid w:val="00B622DC"/>
    <w:rsid w:val="00B623E2"/>
    <w:rsid w:val="00B62486"/>
    <w:rsid w:val="00B6252C"/>
    <w:rsid w:val="00B62539"/>
    <w:rsid w:val="00B625FA"/>
    <w:rsid w:val="00B6281C"/>
    <w:rsid w:val="00B6283A"/>
    <w:rsid w:val="00B62867"/>
    <w:rsid w:val="00B62869"/>
    <w:rsid w:val="00B62A75"/>
    <w:rsid w:val="00B62B64"/>
    <w:rsid w:val="00B62BA0"/>
    <w:rsid w:val="00B62C53"/>
    <w:rsid w:val="00B62C62"/>
    <w:rsid w:val="00B62EC3"/>
    <w:rsid w:val="00B62FD9"/>
    <w:rsid w:val="00B630A5"/>
    <w:rsid w:val="00B6311A"/>
    <w:rsid w:val="00B63219"/>
    <w:rsid w:val="00B6335C"/>
    <w:rsid w:val="00B63782"/>
    <w:rsid w:val="00B638AA"/>
    <w:rsid w:val="00B63914"/>
    <w:rsid w:val="00B639D6"/>
    <w:rsid w:val="00B63A27"/>
    <w:rsid w:val="00B63C57"/>
    <w:rsid w:val="00B63E9D"/>
    <w:rsid w:val="00B63F1A"/>
    <w:rsid w:val="00B63F47"/>
    <w:rsid w:val="00B63FF5"/>
    <w:rsid w:val="00B64005"/>
    <w:rsid w:val="00B64056"/>
    <w:rsid w:val="00B64222"/>
    <w:rsid w:val="00B64258"/>
    <w:rsid w:val="00B64259"/>
    <w:rsid w:val="00B6436C"/>
    <w:rsid w:val="00B643CB"/>
    <w:rsid w:val="00B64483"/>
    <w:rsid w:val="00B644B2"/>
    <w:rsid w:val="00B645BD"/>
    <w:rsid w:val="00B6460E"/>
    <w:rsid w:val="00B6463D"/>
    <w:rsid w:val="00B6468D"/>
    <w:rsid w:val="00B646EE"/>
    <w:rsid w:val="00B6481C"/>
    <w:rsid w:val="00B64883"/>
    <w:rsid w:val="00B648FB"/>
    <w:rsid w:val="00B649A1"/>
    <w:rsid w:val="00B64A5D"/>
    <w:rsid w:val="00B64A60"/>
    <w:rsid w:val="00B64B00"/>
    <w:rsid w:val="00B64B47"/>
    <w:rsid w:val="00B64B87"/>
    <w:rsid w:val="00B64C2C"/>
    <w:rsid w:val="00B64C37"/>
    <w:rsid w:val="00B64DC2"/>
    <w:rsid w:val="00B65028"/>
    <w:rsid w:val="00B65146"/>
    <w:rsid w:val="00B651E3"/>
    <w:rsid w:val="00B65230"/>
    <w:rsid w:val="00B652DB"/>
    <w:rsid w:val="00B65386"/>
    <w:rsid w:val="00B65445"/>
    <w:rsid w:val="00B6546A"/>
    <w:rsid w:val="00B65493"/>
    <w:rsid w:val="00B654E9"/>
    <w:rsid w:val="00B654F6"/>
    <w:rsid w:val="00B65814"/>
    <w:rsid w:val="00B65903"/>
    <w:rsid w:val="00B659F1"/>
    <w:rsid w:val="00B65A28"/>
    <w:rsid w:val="00B65AAC"/>
    <w:rsid w:val="00B65B8E"/>
    <w:rsid w:val="00B65CFB"/>
    <w:rsid w:val="00B65E98"/>
    <w:rsid w:val="00B65F37"/>
    <w:rsid w:val="00B65F4C"/>
    <w:rsid w:val="00B66147"/>
    <w:rsid w:val="00B66216"/>
    <w:rsid w:val="00B663CD"/>
    <w:rsid w:val="00B663D0"/>
    <w:rsid w:val="00B6646E"/>
    <w:rsid w:val="00B664BE"/>
    <w:rsid w:val="00B664C7"/>
    <w:rsid w:val="00B66571"/>
    <w:rsid w:val="00B66589"/>
    <w:rsid w:val="00B66700"/>
    <w:rsid w:val="00B66775"/>
    <w:rsid w:val="00B66B12"/>
    <w:rsid w:val="00B66B64"/>
    <w:rsid w:val="00B66B7A"/>
    <w:rsid w:val="00B66BBD"/>
    <w:rsid w:val="00B66C69"/>
    <w:rsid w:val="00B66C87"/>
    <w:rsid w:val="00B66D2A"/>
    <w:rsid w:val="00B66E0D"/>
    <w:rsid w:val="00B66E7A"/>
    <w:rsid w:val="00B66E8A"/>
    <w:rsid w:val="00B66FA0"/>
    <w:rsid w:val="00B6705C"/>
    <w:rsid w:val="00B67160"/>
    <w:rsid w:val="00B671A4"/>
    <w:rsid w:val="00B67297"/>
    <w:rsid w:val="00B6759A"/>
    <w:rsid w:val="00B677A0"/>
    <w:rsid w:val="00B678C1"/>
    <w:rsid w:val="00B679AF"/>
    <w:rsid w:val="00B67A17"/>
    <w:rsid w:val="00B67B11"/>
    <w:rsid w:val="00B67B99"/>
    <w:rsid w:val="00B67BF3"/>
    <w:rsid w:val="00B67CB0"/>
    <w:rsid w:val="00B67CB8"/>
    <w:rsid w:val="00B67D02"/>
    <w:rsid w:val="00B67D20"/>
    <w:rsid w:val="00B67ED1"/>
    <w:rsid w:val="00B67F10"/>
    <w:rsid w:val="00B70048"/>
    <w:rsid w:val="00B70135"/>
    <w:rsid w:val="00B70217"/>
    <w:rsid w:val="00B702B7"/>
    <w:rsid w:val="00B70362"/>
    <w:rsid w:val="00B7038B"/>
    <w:rsid w:val="00B70479"/>
    <w:rsid w:val="00B70480"/>
    <w:rsid w:val="00B70487"/>
    <w:rsid w:val="00B70675"/>
    <w:rsid w:val="00B70793"/>
    <w:rsid w:val="00B70797"/>
    <w:rsid w:val="00B70836"/>
    <w:rsid w:val="00B708D5"/>
    <w:rsid w:val="00B70912"/>
    <w:rsid w:val="00B70AF5"/>
    <w:rsid w:val="00B70C31"/>
    <w:rsid w:val="00B70C8E"/>
    <w:rsid w:val="00B70E14"/>
    <w:rsid w:val="00B70E7F"/>
    <w:rsid w:val="00B70F5E"/>
    <w:rsid w:val="00B70F67"/>
    <w:rsid w:val="00B70F8A"/>
    <w:rsid w:val="00B70F97"/>
    <w:rsid w:val="00B71082"/>
    <w:rsid w:val="00B71120"/>
    <w:rsid w:val="00B71132"/>
    <w:rsid w:val="00B711A8"/>
    <w:rsid w:val="00B7141B"/>
    <w:rsid w:val="00B714C8"/>
    <w:rsid w:val="00B71646"/>
    <w:rsid w:val="00B71687"/>
    <w:rsid w:val="00B716F5"/>
    <w:rsid w:val="00B7177F"/>
    <w:rsid w:val="00B7181B"/>
    <w:rsid w:val="00B71839"/>
    <w:rsid w:val="00B7187E"/>
    <w:rsid w:val="00B71904"/>
    <w:rsid w:val="00B71A23"/>
    <w:rsid w:val="00B71AF0"/>
    <w:rsid w:val="00B71B01"/>
    <w:rsid w:val="00B71B1C"/>
    <w:rsid w:val="00B71B38"/>
    <w:rsid w:val="00B71B44"/>
    <w:rsid w:val="00B71B89"/>
    <w:rsid w:val="00B71C19"/>
    <w:rsid w:val="00B71C25"/>
    <w:rsid w:val="00B71CFD"/>
    <w:rsid w:val="00B71D76"/>
    <w:rsid w:val="00B71DA3"/>
    <w:rsid w:val="00B71DFE"/>
    <w:rsid w:val="00B71E04"/>
    <w:rsid w:val="00B71EA8"/>
    <w:rsid w:val="00B71EFA"/>
    <w:rsid w:val="00B71FD0"/>
    <w:rsid w:val="00B720E3"/>
    <w:rsid w:val="00B7218E"/>
    <w:rsid w:val="00B72276"/>
    <w:rsid w:val="00B72284"/>
    <w:rsid w:val="00B722B6"/>
    <w:rsid w:val="00B72440"/>
    <w:rsid w:val="00B725B3"/>
    <w:rsid w:val="00B72668"/>
    <w:rsid w:val="00B727E6"/>
    <w:rsid w:val="00B7286F"/>
    <w:rsid w:val="00B7287C"/>
    <w:rsid w:val="00B728F0"/>
    <w:rsid w:val="00B7293F"/>
    <w:rsid w:val="00B72A7D"/>
    <w:rsid w:val="00B72B40"/>
    <w:rsid w:val="00B72C25"/>
    <w:rsid w:val="00B72E3C"/>
    <w:rsid w:val="00B72E48"/>
    <w:rsid w:val="00B73259"/>
    <w:rsid w:val="00B73310"/>
    <w:rsid w:val="00B73342"/>
    <w:rsid w:val="00B733A7"/>
    <w:rsid w:val="00B73403"/>
    <w:rsid w:val="00B73452"/>
    <w:rsid w:val="00B73603"/>
    <w:rsid w:val="00B736A0"/>
    <w:rsid w:val="00B73724"/>
    <w:rsid w:val="00B73814"/>
    <w:rsid w:val="00B73823"/>
    <w:rsid w:val="00B73907"/>
    <w:rsid w:val="00B73915"/>
    <w:rsid w:val="00B73ABF"/>
    <w:rsid w:val="00B73BE9"/>
    <w:rsid w:val="00B73CAC"/>
    <w:rsid w:val="00B73D04"/>
    <w:rsid w:val="00B73D47"/>
    <w:rsid w:val="00B73D5F"/>
    <w:rsid w:val="00B73D82"/>
    <w:rsid w:val="00B73E68"/>
    <w:rsid w:val="00B73EED"/>
    <w:rsid w:val="00B73FB5"/>
    <w:rsid w:val="00B73FC0"/>
    <w:rsid w:val="00B73FEB"/>
    <w:rsid w:val="00B7423B"/>
    <w:rsid w:val="00B74249"/>
    <w:rsid w:val="00B74337"/>
    <w:rsid w:val="00B7438C"/>
    <w:rsid w:val="00B743AE"/>
    <w:rsid w:val="00B74552"/>
    <w:rsid w:val="00B7458F"/>
    <w:rsid w:val="00B74621"/>
    <w:rsid w:val="00B746C0"/>
    <w:rsid w:val="00B746C5"/>
    <w:rsid w:val="00B746FA"/>
    <w:rsid w:val="00B747A6"/>
    <w:rsid w:val="00B747F2"/>
    <w:rsid w:val="00B74929"/>
    <w:rsid w:val="00B74B18"/>
    <w:rsid w:val="00B74B1D"/>
    <w:rsid w:val="00B74B51"/>
    <w:rsid w:val="00B74BCD"/>
    <w:rsid w:val="00B74C28"/>
    <w:rsid w:val="00B74CA9"/>
    <w:rsid w:val="00B74D10"/>
    <w:rsid w:val="00B74DC9"/>
    <w:rsid w:val="00B74E2D"/>
    <w:rsid w:val="00B74FB6"/>
    <w:rsid w:val="00B7500B"/>
    <w:rsid w:val="00B7513A"/>
    <w:rsid w:val="00B751BC"/>
    <w:rsid w:val="00B75212"/>
    <w:rsid w:val="00B752FB"/>
    <w:rsid w:val="00B75315"/>
    <w:rsid w:val="00B75317"/>
    <w:rsid w:val="00B75375"/>
    <w:rsid w:val="00B754F9"/>
    <w:rsid w:val="00B75509"/>
    <w:rsid w:val="00B7555D"/>
    <w:rsid w:val="00B7566E"/>
    <w:rsid w:val="00B75824"/>
    <w:rsid w:val="00B7582A"/>
    <w:rsid w:val="00B7583D"/>
    <w:rsid w:val="00B75994"/>
    <w:rsid w:val="00B75A2E"/>
    <w:rsid w:val="00B75B75"/>
    <w:rsid w:val="00B75D98"/>
    <w:rsid w:val="00B76047"/>
    <w:rsid w:val="00B76116"/>
    <w:rsid w:val="00B76155"/>
    <w:rsid w:val="00B76190"/>
    <w:rsid w:val="00B76358"/>
    <w:rsid w:val="00B76476"/>
    <w:rsid w:val="00B765EF"/>
    <w:rsid w:val="00B76609"/>
    <w:rsid w:val="00B766E0"/>
    <w:rsid w:val="00B7671D"/>
    <w:rsid w:val="00B767A7"/>
    <w:rsid w:val="00B767D7"/>
    <w:rsid w:val="00B76877"/>
    <w:rsid w:val="00B768DD"/>
    <w:rsid w:val="00B7694C"/>
    <w:rsid w:val="00B769E1"/>
    <w:rsid w:val="00B769EB"/>
    <w:rsid w:val="00B76AA1"/>
    <w:rsid w:val="00B76AC9"/>
    <w:rsid w:val="00B76C04"/>
    <w:rsid w:val="00B76E0B"/>
    <w:rsid w:val="00B76EA0"/>
    <w:rsid w:val="00B76F28"/>
    <w:rsid w:val="00B76FB3"/>
    <w:rsid w:val="00B77015"/>
    <w:rsid w:val="00B77049"/>
    <w:rsid w:val="00B7719B"/>
    <w:rsid w:val="00B77251"/>
    <w:rsid w:val="00B772C5"/>
    <w:rsid w:val="00B77527"/>
    <w:rsid w:val="00B7772C"/>
    <w:rsid w:val="00B77A6A"/>
    <w:rsid w:val="00B77B9D"/>
    <w:rsid w:val="00B77C23"/>
    <w:rsid w:val="00B77C7D"/>
    <w:rsid w:val="00B77CAC"/>
    <w:rsid w:val="00B77D23"/>
    <w:rsid w:val="00B77D81"/>
    <w:rsid w:val="00B77DB0"/>
    <w:rsid w:val="00B77DEC"/>
    <w:rsid w:val="00B77E0C"/>
    <w:rsid w:val="00B77E27"/>
    <w:rsid w:val="00B77E54"/>
    <w:rsid w:val="00B77E6A"/>
    <w:rsid w:val="00B77F0F"/>
    <w:rsid w:val="00B77FA8"/>
    <w:rsid w:val="00B8008E"/>
    <w:rsid w:val="00B80207"/>
    <w:rsid w:val="00B8021F"/>
    <w:rsid w:val="00B802CC"/>
    <w:rsid w:val="00B802EB"/>
    <w:rsid w:val="00B80346"/>
    <w:rsid w:val="00B80469"/>
    <w:rsid w:val="00B80520"/>
    <w:rsid w:val="00B805A1"/>
    <w:rsid w:val="00B805AF"/>
    <w:rsid w:val="00B80763"/>
    <w:rsid w:val="00B80929"/>
    <w:rsid w:val="00B809E0"/>
    <w:rsid w:val="00B80B0E"/>
    <w:rsid w:val="00B80B76"/>
    <w:rsid w:val="00B80BA4"/>
    <w:rsid w:val="00B80BE0"/>
    <w:rsid w:val="00B80DFE"/>
    <w:rsid w:val="00B80E3D"/>
    <w:rsid w:val="00B80EFB"/>
    <w:rsid w:val="00B80F02"/>
    <w:rsid w:val="00B80F1A"/>
    <w:rsid w:val="00B80F94"/>
    <w:rsid w:val="00B81118"/>
    <w:rsid w:val="00B81183"/>
    <w:rsid w:val="00B81244"/>
    <w:rsid w:val="00B81313"/>
    <w:rsid w:val="00B81355"/>
    <w:rsid w:val="00B815C5"/>
    <w:rsid w:val="00B81642"/>
    <w:rsid w:val="00B8169E"/>
    <w:rsid w:val="00B81817"/>
    <w:rsid w:val="00B81941"/>
    <w:rsid w:val="00B819A4"/>
    <w:rsid w:val="00B81A81"/>
    <w:rsid w:val="00B81AC3"/>
    <w:rsid w:val="00B81AE5"/>
    <w:rsid w:val="00B81AFF"/>
    <w:rsid w:val="00B81CBF"/>
    <w:rsid w:val="00B81CF8"/>
    <w:rsid w:val="00B81DE6"/>
    <w:rsid w:val="00B81E76"/>
    <w:rsid w:val="00B81ED4"/>
    <w:rsid w:val="00B81EFD"/>
    <w:rsid w:val="00B82021"/>
    <w:rsid w:val="00B8207A"/>
    <w:rsid w:val="00B8214F"/>
    <w:rsid w:val="00B82265"/>
    <w:rsid w:val="00B82266"/>
    <w:rsid w:val="00B822F8"/>
    <w:rsid w:val="00B8236B"/>
    <w:rsid w:val="00B823FA"/>
    <w:rsid w:val="00B8248A"/>
    <w:rsid w:val="00B8250A"/>
    <w:rsid w:val="00B82535"/>
    <w:rsid w:val="00B8256C"/>
    <w:rsid w:val="00B825CF"/>
    <w:rsid w:val="00B82602"/>
    <w:rsid w:val="00B8262D"/>
    <w:rsid w:val="00B82756"/>
    <w:rsid w:val="00B827BB"/>
    <w:rsid w:val="00B827EB"/>
    <w:rsid w:val="00B829B9"/>
    <w:rsid w:val="00B829BA"/>
    <w:rsid w:val="00B82A71"/>
    <w:rsid w:val="00B82AB1"/>
    <w:rsid w:val="00B82AB9"/>
    <w:rsid w:val="00B82BC7"/>
    <w:rsid w:val="00B833EE"/>
    <w:rsid w:val="00B8344A"/>
    <w:rsid w:val="00B83648"/>
    <w:rsid w:val="00B83692"/>
    <w:rsid w:val="00B83768"/>
    <w:rsid w:val="00B837F9"/>
    <w:rsid w:val="00B83845"/>
    <w:rsid w:val="00B8389E"/>
    <w:rsid w:val="00B83A06"/>
    <w:rsid w:val="00B83B10"/>
    <w:rsid w:val="00B83B77"/>
    <w:rsid w:val="00B83C60"/>
    <w:rsid w:val="00B83E0B"/>
    <w:rsid w:val="00B83F5B"/>
    <w:rsid w:val="00B8404C"/>
    <w:rsid w:val="00B84097"/>
    <w:rsid w:val="00B840B6"/>
    <w:rsid w:val="00B840D5"/>
    <w:rsid w:val="00B840DE"/>
    <w:rsid w:val="00B841E3"/>
    <w:rsid w:val="00B84234"/>
    <w:rsid w:val="00B8424D"/>
    <w:rsid w:val="00B84299"/>
    <w:rsid w:val="00B842B2"/>
    <w:rsid w:val="00B84400"/>
    <w:rsid w:val="00B844C7"/>
    <w:rsid w:val="00B844EE"/>
    <w:rsid w:val="00B84630"/>
    <w:rsid w:val="00B84696"/>
    <w:rsid w:val="00B846A4"/>
    <w:rsid w:val="00B84761"/>
    <w:rsid w:val="00B84888"/>
    <w:rsid w:val="00B848B6"/>
    <w:rsid w:val="00B84959"/>
    <w:rsid w:val="00B849C2"/>
    <w:rsid w:val="00B849D5"/>
    <w:rsid w:val="00B84A91"/>
    <w:rsid w:val="00B84A9C"/>
    <w:rsid w:val="00B84BAF"/>
    <w:rsid w:val="00B84BDE"/>
    <w:rsid w:val="00B84C0C"/>
    <w:rsid w:val="00B84C8D"/>
    <w:rsid w:val="00B84CA6"/>
    <w:rsid w:val="00B84CAB"/>
    <w:rsid w:val="00B84D92"/>
    <w:rsid w:val="00B84D95"/>
    <w:rsid w:val="00B84DBD"/>
    <w:rsid w:val="00B84E9E"/>
    <w:rsid w:val="00B84EE1"/>
    <w:rsid w:val="00B8500F"/>
    <w:rsid w:val="00B85035"/>
    <w:rsid w:val="00B85084"/>
    <w:rsid w:val="00B851B3"/>
    <w:rsid w:val="00B851B7"/>
    <w:rsid w:val="00B852D8"/>
    <w:rsid w:val="00B8534C"/>
    <w:rsid w:val="00B85448"/>
    <w:rsid w:val="00B8544D"/>
    <w:rsid w:val="00B854FD"/>
    <w:rsid w:val="00B8557C"/>
    <w:rsid w:val="00B855E0"/>
    <w:rsid w:val="00B85847"/>
    <w:rsid w:val="00B85A8A"/>
    <w:rsid w:val="00B85A93"/>
    <w:rsid w:val="00B85CA6"/>
    <w:rsid w:val="00B85EEF"/>
    <w:rsid w:val="00B85EF3"/>
    <w:rsid w:val="00B85F4F"/>
    <w:rsid w:val="00B862D7"/>
    <w:rsid w:val="00B864CF"/>
    <w:rsid w:val="00B864E1"/>
    <w:rsid w:val="00B86514"/>
    <w:rsid w:val="00B865A0"/>
    <w:rsid w:val="00B865F6"/>
    <w:rsid w:val="00B86636"/>
    <w:rsid w:val="00B8665D"/>
    <w:rsid w:val="00B866D6"/>
    <w:rsid w:val="00B86704"/>
    <w:rsid w:val="00B8671B"/>
    <w:rsid w:val="00B86790"/>
    <w:rsid w:val="00B867C6"/>
    <w:rsid w:val="00B869E2"/>
    <w:rsid w:val="00B869F9"/>
    <w:rsid w:val="00B869FE"/>
    <w:rsid w:val="00B86A47"/>
    <w:rsid w:val="00B86A7D"/>
    <w:rsid w:val="00B86BEC"/>
    <w:rsid w:val="00B86C0D"/>
    <w:rsid w:val="00B86C63"/>
    <w:rsid w:val="00B86DCB"/>
    <w:rsid w:val="00B86FA6"/>
    <w:rsid w:val="00B870AD"/>
    <w:rsid w:val="00B870C7"/>
    <w:rsid w:val="00B870C9"/>
    <w:rsid w:val="00B87113"/>
    <w:rsid w:val="00B8712D"/>
    <w:rsid w:val="00B871B6"/>
    <w:rsid w:val="00B871FC"/>
    <w:rsid w:val="00B872CA"/>
    <w:rsid w:val="00B8734D"/>
    <w:rsid w:val="00B87365"/>
    <w:rsid w:val="00B87428"/>
    <w:rsid w:val="00B87460"/>
    <w:rsid w:val="00B87533"/>
    <w:rsid w:val="00B8753A"/>
    <w:rsid w:val="00B87587"/>
    <w:rsid w:val="00B8762A"/>
    <w:rsid w:val="00B8762E"/>
    <w:rsid w:val="00B87642"/>
    <w:rsid w:val="00B8764D"/>
    <w:rsid w:val="00B87750"/>
    <w:rsid w:val="00B87769"/>
    <w:rsid w:val="00B87791"/>
    <w:rsid w:val="00B87845"/>
    <w:rsid w:val="00B878BC"/>
    <w:rsid w:val="00B878E6"/>
    <w:rsid w:val="00B879D8"/>
    <w:rsid w:val="00B87A67"/>
    <w:rsid w:val="00B87AA0"/>
    <w:rsid w:val="00B87BFA"/>
    <w:rsid w:val="00B87C48"/>
    <w:rsid w:val="00B87CBB"/>
    <w:rsid w:val="00B87DFB"/>
    <w:rsid w:val="00B87FB8"/>
    <w:rsid w:val="00B90099"/>
    <w:rsid w:val="00B9017B"/>
    <w:rsid w:val="00B901AD"/>
    <w:rsid w:val="00B901E8"/>
    <w:rsid w:val="00B90276"/>
    <w:rsid w:val="00B903BD"/>
    <w:rsid w:val="00B904E9"/>
    <w:rsid w:val="00B90543"/>
    <w:rsid w:val="00B905BE"/>
    <w:rsid w:val="00B90608"/>
    <w:rsid w:val="00B9070B"/>
    <w:rsid w:val="00B90956"/>
    <w:rsid w:val="00B909B3"/>
    <w:rsid w:val="00B90A3E"/>
    <w:rsid w:val="00B90A60"/>
    <w:rsid w:val="00B90AD4"/>
    <w:rsid w:val="00B90BCE"/>
    <w:rsid w:val="00B90C6E"/>
    <w:rsid w:val="00B90DF0"/>
    <w:rsid w:val="00B90FE5"/>
    <w:rsid w:val="00B90FFD"/>
    <w:rsid w:val="00B91014"/>
    <w:rsid w:val="00B910FF"/>
    <w:rsid w:val="00B91130"/>
    <w:rsid w:val="00B91174"/>
    <w:rsid w:val="00B911E9"/>
    <w:rsid w:val="00B911FC"/>
    <w:rsid w:val="00B912EB"/>
    <w:rsid w:val="00B91358"/>
    <w:rsid w:val="00B915B2"/>
    <w:rsid w:val="00B9165B"/>
    <w:rsid w:val="00B9169A"/>
    <w:rsid w:val="00B918DF"/>
    <w:rsid w:val="00B918EF"/>
    <w:rsid w:val="00B91BC9"/>
    <w:rsid w:val="00B91CCF"/>
    <w:rsid w:val="00B91E5E"/>
    <w:rsid w:val="00B91E69"/>
    <w:rsid w:val="00B91EB0"/>
    <w:rsid w:val="00B92166"/>
    <w:rsid w:val="00B921FF"/>
    <w:rsid w:val="00B92231"/>
    <w:rsid w:val="00B92278"/>
    <w:rsid w:val="00B92312"/>
    <w:rsid w:val="00B9266F"/>
    <w:rsid w:val="00B926E5"/>
    <w:rsid w:val="00B92706"/>
    <w:rsid w:val="00B9279A"/>
    <w:rsid w:val="00B9287C"/>
    <w:rsid w:val="00B9287D"/>
    <w:rsid w:val="00B92A32"/>
    <w:rsid w:val="00B92A81"/>
    <w:rsid w:val="00B92AD9"/>
    <w:rsid w:val="00B92C1D"/>
    <w:rsid w:val="00B92CBE"/>
    <w:rsid w:val="00B92E0A"/>
    <w:rsid w:val="00B92EDF"/>
    <w:rsid w:val="00B92F16"/>
    <w:rsid w:val="00B92F78"/>
    <w:rsid w:val="00B9303A"/>
    <w:rsid w:val="00B9306F"/>
    <w:rsid w:val="00B931BE"/>
    <w:rsid w:val="00B932BD"/>
    <w:rsid w:val="00B932DE"/>
    <w:rsid w:val="00B932EF"/>
    <w:rsid w:val="00B934B0"/>
    <w:rsid w:val="00B934E4"/>
    <w:rsid w:val="00B93530"/>
    <w:rsid w:val="00B93698"/>
    <w:rsid w:val="00B937A8"/>
    <w:rsid w:val="00B938E7"/>
    <w:rsid w:val="00B93951"/>
    <w:rsid w:val="00B939DA"/>
    <w:rsid w:val="00B93A3A"/>
    <w:rsid w:val="00B93BF2"/>
    <w:rsid w:val="00B93C4B"/>
    <w:rsid w:val="00B93D0E"/>
    <w:rsid w:val="00B93D1B"/>
    <w:rsid w:val="00B93ED0"/>
    <w:rsid w:val="00B940E3"/>
    <w:rsid w:val="00B941B9"/>
    <w:rsid w:val="00B9424F"/>
    <w:rsid w:val="00B94283"/>
    <w:rsid w:val="00B942BD"/>
    <w:rsid w:val="00B942E7"/>
    <w:rsid w:val="00B943BE"/>
    <w:rsid w:val="00B943C4"/>
    <w:rsid w:val="00B94408"/>
    <w:rsid w:val="00B944C7"/>
    <w:rsid w:val="00B9453B"/>
    <w:rsid w:val="00B94621"/>
    <w:rsid w:val="00B946B7"/>
    <w:rsid w:val="00B9470E"/>
    <w:rsid w:val="00B947C1"/>
    <w:rsid w:val="00B948E4"/>
    <w:rsid w:val="00B9491E"/>
    <w:rsid w:val="00B949AD"/>
    <w:rsid w:val="00B94A3F"/>
    <w:rsid w:val="00B94A6F"/>
    <w:rsid w:val="00B94B34"/>
    <w:rsid w:val="00B94BA3"/>
    <w:rsid w:val="00B94BB1"/>
    <w:rsid w:val="00B94C65"/>
    <w:rsid w:val="00B94DC6"/>
    <w:rsid w:val="00B94DF4"/>
    <w:rsid w:val="00B94E49"/>
    <w:rsid w:val="00B94EAE"/>
    <w:rsid w:val="00B94EC5"/>
    <w:rsid w:val="00B94EFF"/>
    <w:rsid w:val="00B94F40"/>
    <w:rsid w:val="00B950AD"/>
    <w:rsid w:val="00B950D6"/>
    <w:rsid w:val="00B951BA"/>
    <w:rsid w:val="00B95215"/>
    <w:rsid w:val="00B95332"/>
    <w:rsid w:val="00B95454"/>
    <w:rsid w:val="00B954DA"/>
    <w:rsid w:val="00B95630"/>
    <w:rsid w:val="00B95642"/>
    <w:rsid w:val="00B956D0"/>
    <w:rsid w:val="00B9582B"/>
    <w:rsid w:val="00B9584B"/>
    <w:rsid w:val="00B958A9"/>
    <w:rsid w:val="00B958FD"/>
    <w:rsid w:val="00B9594F"/>
    <w:rsid w:val="00B959A7"/>
    <w:rsid w:val="00B95B17"/>
    <w:rsid w:val="00B95C87"/>
    <w:rsid w:val="00B95CE9"/>
    <w:rsid w:val="00B95D16"/>
    <w:rsid w:val="00B95DBE"/>
    <w:rsid w:val="00B95E61"/>
    <w:rsid w:val="00B95F28"/>
    <w:rsid w:val="00B9613E"/>
    <w:rsid w:val="00B9619D"/>
    <w:rsid w:val="00B961F1"/>
    <w:rsid w:val="00B961F5"/>
    <w:rsid w:val="00B96207"/>
    <w:rsid w:val="00B963DF"/>
    <w:rsid w:val="00B964A4"/>
    <w:rsid w:val="00B9664C"/>
    <w:rsid w:val="00B966F7"/>
    <w:rsid w:val="00B96952"/>
    <w:rsid w:val="00B969DA"/>
    <w:rsid w:val="00B96AA0"/>
    <w:rsid w:val="00B96B3B"/>
    <w:rsid w:val="00B96B5A"/>
    <w:rsid w:val="00B96C0F"/>
    <w:rsid w:val="00B96C2B"/>
    <w:rsid w:val="00B96CB5"/>
    <w:rsid w:val="00B96D8B"/>
    <w:rsid w:val="00B96D9D"/>
    <w:rsid w:val="00B96E05"/>
    <w:rsid w:val="00B97226"/>
    <w:rsid w:val="00B9724F"/>
    <w:rsid w:val="00B973C7"/>
    <w:rsid w:val="00B973CE"/>
    <w:rsid w:val="00B97444"/>
    <w:rsid w:val="00B974A5"/>
    <w:rsid w:val="00B97793"/>
    <w:rsid w:val="00B97942"/>
    <w:rsid w:val="00B9796A"/>
    <w:rsid w:val="00B979D3"/>
    <w:rsid w:val="00B97A37"/>
    <w:rsid w:val="00B97A50"/>
    <w:rsid w:val="00B97BBA"/>
    <w:rsid w:val="00B97BBB"/>
    <w:rsid w:val="00B97EBF"/>
    <w:rsid w:val="00B97EC5"/>
    <w:rsid w:val="00BA0057"/>
    <w:rsid w:val="00BA0064"/>
    <w:rsid w:val="00BA0093"/>
    <w:rsid w:val="00BA0125"/>
    <w:rsid w:val="00BA0375"/>
    <w:rsid w:val="00BA03AD"/>
    <w:rsid w:val="00BA0401"/>
    <w:rsid w:val="00BA0449"/>
    <w:rsid w:val="00BA0629"/>
    <w:rsid w:val="00BA06A0"/>
    <w:rsid w:val="00BA06BE"/>
    <w:rsid w:val="00BA079C"/>
    <w:rsid w:val="00BA07EA"/>
    <w:rsid w:val="00BA083B"/>
    <w:rsid w:val="00BA0850"/>
    <w:rsid w:val="00BA08A0"/>
    <w:rsid w:val="00BA0992"/>
    <w:rsid w:val="00BA09FC"/>
    <w:rsid w:val="00BA0A78"/>
    <w:rsid w:val="00BA0AC6"/>
    <w:rsid w:val="00BA0B40"/>
    <w:rsid w:val="00BA0BC0"/>
    <w:rsid w:val="00BA0C05"/>
    <w:rsid w:val="00BA0D0C"/>
    <w:rsid w:val="00BA0D9A"/>
    <w:rsid w:val="00BA0DC8"/>
    <w:rsid w:val="00BA0DE6"/>
    <w:rsid w:val="00BA0E45"/>
    <w:rsid w:val="00BA1000"/>
    <w:rsid w:val="00BA1047"/>
    <w:rsid w:val="00BA116E"/>
    <w:rsid w:val="00BA129C"/>
    <w:rsid w:val="00BA12FA"/>
    <w:rsid w:val="00BA14F5"/>
    <w:rsid w:val="00BA1505"/>
    <w:rsid w:val="00BA1645"/>
    <w:rsid w:val="00BA167E"/>
    <w:rsid w:val="00BA1800"/>
    <w:rsid w:val="00BA181B"/>
    <w:rsid w:val="00BA189C"/>
    <w:rsid w:val="00BA1BCB"/>
    <w:rsid w:val="00BA1BEF"/>
    <w:rsid w:val="00BA1D7F"/>
    <w:rsid w:val="00BA1E43"/>
    <w:rsid w:val="00BA1F06"/>
    <w:rsid w:val="00BA1FE0"/>
    <w:rsid w:val="00BA1FF1"/>
    <w:rsid w:val="00BA20E6"/>
    <w:rsid w:val="00BA2165"/>
    <w:rsid w:val="00BA21F8"/>
    <w:rsid w:val="00BA23A2"/>
    <w:rsid w:val="00BA2438"/>
    <w:rsid w:val="00BA2440"/>
    <w:rsid w:val="00BA24C5"/>
    <w:rsid w:val="00BA270C"/>
    <w:rsid w:val="00BA2724"/>
    <w:rsid w:val="00BA275E"/>
    <w:rsid w:val="00BA27DA"/>
    <w:rsid w:val="00BA27F7"/>
    <w:rsid w:val="00BA28FA"/>
    <w:rsid w:val="00BA2A28"/>
    <w:rsid w:val="00BA2AE1"/>
    <w:rsid w:val="00BA2B12"/>
    <w:rsid w:val="00BA2B22"/>
    <w:rsid w:val="00BA2B78"/>
    <w:rsid w:val="00BA2C60"/>
    <w:rsid w:val="00BA2C6E"/>
    <w:rsid w:val="00BA2E2A"/>
    <w:rsid w:val="00BA2E31"/>
    <w:rsid w:val="00BA2F5C"/>
    <w:rsid w:val="00BA3053"/>
    <w:rsid w:val="00BA3075"/>
    <w:rsid w:val="00BA311B"/>
    <w:rsid w:val="00BA315A"/>
    <w:rsid w:val="00BA3257"/>
    <w:rsid w:val="00BA3320"/>
    <w:rsid w:val="00BA33AA"/>
    <w:rsid w:val="00BA33B7"/>
    <w:rsid w:val="00BA33FB"/>
    <w:rsid w:val="00BA3423"/>
    <w:rsid w:val="00BA3442"/>
    <w:rsid w:val="00BA344E"/>
    <w:rsid w:val="00BA347D"/>
    <w:rsid w:val="00BA3AB7"/>
    <w:rsid w:val="00BA3AF2"/>
    <w:rsid w:val="00BA3B22"/>
    <w:rsid w:val="00BA3C1B"/>
    <w:rsid w:val="00BA3CF7"/>
    <w:rsid w:val="00BA3D6A"/>
    <w:rsid w:val="00BA3E3F"/>
    <w:rsid w:val="00BA3E50"/>
    <w:rsid w:val="00BA3F57"/>
    <w:rsid w:val="00BA4005"/>
    <w:rsid w:val="00BA4210"/>
    <w:rsid w:val="00BA4250"/>
    <w:rsid w:val="00BA438B"/>
    <w:rsid w:val="00BA440F"/>
    <w:rsid w:val="00BA441E"/>
    <w:rsid w:val="00BA462F"/>
    <w:rsid w:val="00BA46F4"/>
    <w:rsid w:val="00BA471F"/>
    <w:rsid w:val="00BA4791"/>
    <w:rsid w:val="00BA482E"/>
    <w:rsid w:val="00BA487A"/>
    <w:rsid w:val="00BA4880"/>
    <w:rsid w:val="00BA48F9"/>
    <w:rsid w:val="00BA496D"/>
    <w:rsid w:val="00BA49F8"/>
    <w:rsid w:val="00BA4A48"/>
    <w:rsid w:val="00BA4A66"/>
    <w:rsid w:val="00BA4B2B"/>
    <w:rsid w:val="00BA4BAC"/>
    <w:rsid w:val="00BA4BFA"/>
    <w:rsid w:val="00BA4C06"/>
    <w:rsid w:val="00BA4C0D"/>
    <w:rsid w:val="00BA4DE6"/>
    <w:rsid w:val="00BA4E09"/>
    <w:rsid w:val="00BA4E44"/>
    <w:rsid w:val="00BA4FB6"/>
    <w:rsid w:val="00BA50AE"/>
    <w:rsid w:val="00BA50E2"/>
    <w:rsid w:val="00BA51E8"/>
    <w:rsid w:val="00BA52C0"/>
    <w:rsid w:val="00BA5366"/>
    <w:rsid w:val="00BA538E"/>
    <w:rsid w:val="00BA53F8"/>
    <w:rsid w:val="00BA5516"/>
    <w:rsid w:val="00BA55F0"/>
    <w:rsid w:val="00BA5642"/>
    <w:rsid w:val="00BA56BD"/>
    <w:rsid w:val="00BA57DB"/>
    <w:rsid w:val="00BA5875"/>
    <w:rsid w:val="00BA5883"/>
    <w:rsid w:val="00BA5B14"/>
    <w:rsid w:val="00BA5C32"/>
    <w:rsid w:val="00BA5C50"/>
    <w:rsid w:val="00BA5D37"/>
    <w:rsid w:val="00BA6149"/>
    <w:rsid w:val="00BA615D"/>
    <w:rsid w:val="00BA616C"/>
    <w:rsid w:val="00BA61E6"/>
    <w:rsid w:val="00BA61F3"/>
    <w:rsid w:val="00BA61F9"/>
    <w:rsid w:val="00BA6210"/>
    <w:rsid w:val="00BA631E"/>
    <w:rsid w:val="00BA6396"/>
    <w:rsid w:val="00BA63F1"/>
    <w:rsid w:val="00BA64CC"/>
    <w:rsid w:val="00BA64D2"/>
    <w:rsid w:val="00BA65B9"/>
    <w:rsid w:val="00BA65CA"/>
    <w:rsid w:val="00BA6632"/>
    <w:rsid w:val="00BA677E"/>
    <w:rsid w:val="00BA67B5"/>
    <w:rsid w:val="00BA68AA"/>
    <w:rsid w:val="00BA694A"/>
    <w:rsid w:val="00BA6958"/>
    <w:rsid w:val="00BA6AC9"/>
    <w:rsid w:val="00BA6B17"/>
    <w:rsid w:val="00BA6B33"/>
    <w:rsid w:val="00BA6B42"/>
    <w:rsid w:val="00BA6C2D"/>
    <w:rsid w:val="00BA6CBD"/>
    <w:rsid w:val="00BA6CCB"/>
    <w:rsid w:val="00BA6D0D"/>
    <w:rsid w:val="00BA6D30"/>
    <w:rsid w:val="00BA6E8F"/>
    <w:rsid w:val="00BA6EA5"/>
    <w:rsid w:val="00BA6EAD"/>
    <w:rsid w:val="00BA707D"/>
    <w:rsid w:val="00BA7370"/>
    <w:rsid w:val="00BA738F"/>
    <w:rsid w:val="00BA759F"/>
    <w:rsid w:val="00BA76D4"/>
    <w:rsid w:val="00BA78AE"/>
    <w:rsid w:val="00BA7920"/>
    <w:rsid w:val="00BA799F"/>
    <w:rsid w:val="00BA7A6E"/>
    <w:rsid w:val="00BA7AA3"/>
    <w:rsid w:val="00BA7B48"/>
    <w:rsid w:val="00BA7C72"/>
    <w:rsid w:val="00BA7E6E"/>
    <w:rsid w:val="00BA7EDF"/>
    <w:rsid w:val="00BA7F97"/>
    <w:rsid w:val="00BB0040"/>
    <w:rsid w:val="00BB010B"/>
    <w:rsid w:val="00BB01E9"/>
    <w:rsid w:val="00BB034C"/>
    <w:rsid w:val="00BB04B7"/>
    <w:rsid w:val="00BB0535"/>
    <w:rsid w:val="00BB0561"/>
    <w:rsid w:val="00BB0798"/>
    <w:rsid w:val="00BB07B1"/>
    <w:rsid w:val="00BB07CA"/>
    <w:rsid w:val="00BB081E"/>
    <w:rsid w:val="00BB0924"/>
    <w:rsid w:val="00BB0A91"/>
    <w:rsid w:val="00BB0AA8"/>
    <w:rsid w:val="00BB0AB9"/>
    <w:rsid w:val="00BB0B3A"/>
    <w:rsid w:val="00BB0BFF"/>
    <w:rsid w:val="00BB0C95"/>
    <w:rsid w:val="00BB0C9F"/>
    <w:rsid w:val="00BB0CE5"/>
    <w:rsid w:val="00BB0E56"/>
    <w:rsid w:val="00BB0F18"/>
    <w:rsid w:val="00BB0F70"/>
    <w:rsid w:val="00BB0FFE"/>
    <w:rsid w:val="00BB12AD"/>
    <w:rsid w:val="00BB1427"/>
    <w:rsid w:val="00BB1471"/>
    <w:rsid w:val="00BB148C"/>
    <w:rsid w:val="00BB1525"/>
    <w:rsid w:val="00BB1632"/>
    <w:rsid w:val="00BB17B7"/>
    <w:rsid w:val="00BB185E"/>
    <w:rsid w:val="00BB1874"/>
    <w:rsid w:val="00BB188C"/>
    <w:rsid w:val="00BB18DE"/>
    <w:rsid w:val="00BB1A8A"/>
    <w:rsid w:val="00BB1CA1"/>
    <w:rsid w:val="00BB1CC6"/>
    <w:rsid w:val="00BB1CEE"/>
    <w:rsid w:val="00BB1D31"/>
    <w:rsid w:val="00BB1D50"/>
    <w:rsid w:val="00BB1D85"/>
    <w:rsid w:val="00BB1D86"/>
    <w:rsid w:val="00BB1E75"/>
    <w:rsid w:val="00BB1F7D"/>
    <w:rsid w:val="00BB1FB8"/>
    <w:rsid w:val="00BB1FB9"/>
    <w:rsid w:val="00BB2023"/>
    <w:rsid w:val="00BB2027"/>
    <w:rsid w:val="00BB2197"/>
    <w:rsid w:val="00BB2199"/>
    <w:rsid w:val="00BB21F6"/>
    <w:rsid w:val="00BB221C"/>
    <w:rsid w:val="00BB2224"/>
    <w:rsid w:val="00BB2300"/>
    <w:rsid w:val="00BB233E"/>
    <w:rsid w:val="00BB2379"/>
    <w:rsid w:val="00BB23EE"/>
    <w:rsid w:val="00BB2401"/>
    <w:rsid w:val="00BB24C7"/>
    <w:rsid w:val="00BB2581"/>
    <w:rsid w:val="00BB261C"/>
    <w:rsid w:val="00BB2646"/>
    <w:rsid w:val="00BB26D3"/>
    <w:rsid w:val="00BB27B1"/>
    <w:rsid w:val="00BB27F9"/>
    <w:rsid w:val="00BB28D1"/>
    <w:rsid w:val="00BB29B6"/>
    <w:rsid w:val="00BB2AD8"/>
    <w:rsid w:val="00BB2C4A"/>
    <w:rsid w:val="00BB2D37"/>
    <w:rsid w:val="00BB2D74"/>
    <w:rsid w:val="00BB2E0B"/>
    <w:rsid w:val="00BB2E49"/>
    <w:rsid w:val="00BB2EB4"/>
    <w:rsid w:val="00BB3054"/>
    <w:rsid w:val="00BB307A"/>
    <w:rsid w:val="00BB30BB"/>
    <w:rsid w:val="00BB30D2"/>
    <w:rsid w:val="00BB3139"/>
    <w:rsid w:val="00BB31F7"/>
    <w:rsid w:val="00BB3236"/>
    <w:rsid w:val="00BB3249"/>
    <w:rsid w:val="00BB32BA"/>
    <w:rsid w:val="00BB32C5"/>
    <w:rsid w:val="00BB3444"/>
    <w:rsid w:val="00BB34B9"/>
    <w:rsid w:val="00BB3623"/>
    <w:rsid w:val="00BB374C"/>
    <w:rsid w:val="00BB387B"/>
    <w:rsid w:val="00BB3964"/>
    <w:rsid w:val="00BB39CA"/>
    <w:rsid w:val="00BB39CF"/>
    <w:rsid w:val="00BB3BDA"/>
    <w:rsid w:val="00BB3C98"/>
    <w:rsid w:val="00BB3DE5"/>
    <w:rsid w:val="00BB3E36"/>
    <w:rsid w:val="00BB3E7B"/>
    <w:rsid w:val="00BB3F02"/>
    <w:rsid w:val="00BB4000"/>
    <w:rsid w:val="00BB4075"/>
    <w:rsid w:val="00BB4252"/>
    <w:rsid w:val="00BB432D"/>
    <w:rsid w:val="00BB44A4"/>
    <w:rsid w:val="00BB45E5"/>
    <w:rsid w:val="00BB46BE"/>
    <w:rsid w:val="00BB4702"/>
    <w:rsid w:val="00BB4832"/>
    <w:rsid w:val="00BB48AA"/>
    <w:rsid w:val="00BB48FE"/>
    <w:rsid w:val="00BB497C"/>
    <w:rsid w:val="00BB4AA8"/>
    <w:rsid w:val="00BB4CE7"/>
    <w:rsid w:val="00BB4D5C"/>
    <w:rsid w:val="00BB4DA2"/>
    <w:rsid w:val="00BB4FB5"/>
    <w:rsid w:val="00BB5039"/>
    <w:rsid w:val="00BB50CF"/>
    <w:rsid w:val="00BB5175"/>
    <w:rsid w:val="00BB538D"/>
    <w:rsid w:val="00BB5454"/>
    <w:rsid w:val="00BB54C3"/>
    <w:rsid w:val="00BB54F4"/>
    <w:rsid w:val="00BB54FC"/>
    <w:rsid w:val="00BB570E"/>
    <w:rsid w:val="00BB57C2"/>
    <w:rsid w:val="00BB5883"/>
    <w:rsid w:val="00BB5886"/>
    <w:rsid w:val="00BB5927"/>
    <w:rsid w:val="00BB592F"/>
    <w:rsid w:val="00BB5930"/>
    <w:rsid w:val="00BB593C"/>
    <w:rsid w:val="00BB59B2"/>
    <w:rsid w:val="00BB59FC"/>
    <w:rsid w:val="00BB5AA9"/>
    <w:rsid w:val="00BB5AF4"/>
    <w:rsid w:val="00BB5B6C"/>
    <w:rsid w:val="00BB5BE7"/>
    <w:rsid w:val="00BB5DA0"/>
    <w:rsid w:val="00BB5FA7"/>
    <w:rsid w:val="00BB6011"/>
    <w:rsid w:val="00BB605A"/>
    <w:rsid w:val="00BB609A"/>
    <w:rsid w:val="00BB60A9"/>
    <w:rsid w:val="00BB615A"/>
    <w:rsid w:val="00BB6382"/>
    <w:rsid w:val="00BB65A2"/>
    <w:rsid w:val="00BB663E"/>
    <w:rsid w:val="00BB664A"/>
    <w:rsid w:val="00BB6694"/>
    <w:rsid w:val="00BB66F4"/>
    <w:rsid w:val="00BB6756"/>
    <w:rsid w:val="00BB6870"/>
    <w:rsid w:val="00BB690A"/>
    <w:rsid w:val="00BB6953"/>
    <w:rsid w:val="00BB6974"/>
    <w:rsid w:val="00BB69D8"/>
    <w:rsid w:val="00BB6B30"/>
    <w:rsid w:val="00BB6B6D"/>
    <w:rsid w:val="00BB6C12"/>
    <w:rsid w:val="00BB6DA8"/>
    <w:rsid w:val="00BB6F6E"/>
    <w:rsid w:val="00BB6FB9"/>
    <w:rsid w:val="00BB708B"/>
    <w:rsid w:val="00BB713A"/>
    <w:rsid w:val="00BB7222"/>
    <w:rsid w:val="00BB72CD"/>
    <w:rsid w:val="00BB7343"/>
    <w:rsid w:val="00BB734C"/>
    <w:rsid w:val="00BB73E9"/>
    <w:rsid w:val="00BB7434"/>
    <w:rsid w:val="00BB7481"/>
    <w:rsid w:val="00BB7557"/>
    <w:rsid w:val="00BB75F0"/>
    <w:rsid w:val="00BB761B"/>
    <w:rsid w:val="00BB76BE"/>
    <w:rsid w:val="00BB7734"/>
    <w:rsid w:val="00BB7739"/>
    <w:rsid w:val="00BB77A7"/>
    <w:rsid w:val="00BB77C6"/>
    <w:rsid w:val="00BB7827"/>
    <w:rsid w:val="00BB78B9"/>
    <w:rsid w:val="00BB79DC"/>
    <w:rsid w:val="00BB7A24"/>
    <w:rsid w:val="00BB7A72"/>
    <w:rsid w:val="00BB7A7B"/>
    <w:rsid w:val="00BB7A92"/>
    <w:rsid w:val="00BB7AEA"/>
    <w:rsid w:val="00BB7B37"/>
    <w:rsid w:val="00BB7B5B"/>
    <w:rsid w:val="00BB7BC5"/>
    <w:rsid w:val="00BB7C19"/>
    <w:rsid w:val="00BB7C61"/>
    <w:rsid w:val="00BB7D84"/>
    <w:rsid w:val="00BB7E20"/>
    <w:rsid w:val="00BC0044"/>
    <w:rsid w:val="00BC01B7"/>
    <w:rsid w:val="00BC025C"/>
    <w:rsid w:val="00BC03E7"/>
    <w:rsid w:val="00BC047A"/>
    <w:rsid w:val="00BC05FB"/>
    <w:rsid w:val="00BC070A"/>
    <w:rsid w:val="00BC0736"/>
    <w:rsid w:val="00BC0767"/>
    <w:rsid w:val="00BC07F8"/>
    <w:rsid w:val="00BC0936"/>
    <w:rsid w:val="00BC0A35"/>
    <w:rsid w:val="00BC0AF2"/>
    <w:rsid w:val="00BC0B3B"/>
    <w:rsid w:val="00BC0BE8"/>
    <w:rsid w:val="00BC0C17"/>
    <w:rsid w:val="00BC0D5F"/>
    <w:rsid w:val="00BC0D79"/>
    <w:rsid w:val="00BC0D7B"/>
    <w:rsid w:val="00BC0EAF"/>
    <w:rsid w:val="00BC0EF4"/>
    <w:rsid w:val="00BC10B5"/>
    <w:rsid w:val="00BC1207"/>
    <w:rsid w:val="00BC1241"/>
    <w:rsid w:val="00BC125B"/>
    <w:rsid w:val="00BC1394"/>
    <w:rsid w:val="00BC13B4"/>
    <w:rsid w:val="00BC15F9"/>
    <w:rsid w:val="00BC16B1"/>
    <w:rsid w:val="00BC1716"/>
    <w:rsid w:val="00BC17EE"/>
    <w:rsid w:val="00BC185F"/>
    <w:rsid w:val="00BC1967"/>
    <w:rsid w:val="00BC1AAC"/>
    <w:rsid w:val="00BC1AD1"/>
    <w:rsid w:val="00BC1B0B"/>
    <w:rsid w:val="00BC1B5A"/>
    <w:rsid w:val="00BC1B5B"/>
    <w:rsid w:val="00BC1D07"/>
    <w:rsid w:val="00BC1D0A"/>
    <w:rsid w:val="00BC1F2C"/>
    <w:rsid w:val="00BC1F86"/>
    <w:rsid w:val="00BC20D1"/>
    <w:rsid w:val="00BC215D"/>
    <w:rsid w:val="00BC2209"/>
    <w:rsid w:val="00BC220E"/>
    <w:rsid w:val="00BC22F4"/>
    <w:rsid w:val="00BC240D"/>
    <w:rsid w:val="00BC2468"/>
    <w:rsid w:val="00BC2487"/>
    <w:rsid w:val="00BC2493"/>
    <w:rsid w:val="00BC24CA"/>
    <w:rsid w:val="00BC259D"/>
    <w:rsid w:val="00BC2626"/>
    <w:rsid w:val="00BC268B"/>
    <w:rsid w:val="00BC26D6"/>
    <w:rsid w:val="00BC2727"/>
    <w:rsid w:val="00BC273A"/>
    <w:rsid w:val="00BC2796"/>
    <w:rsid w:val="00BC27AE"/>
    <w:rsid w:val="00BC27E1"/>
    <w:rsid w:val="00BC2832"/>
    <w:rsid w:val="00BC284F"/>
    <w:rsid w:val="00BC2896"/>
    <w:rsid w:val="00BC28D3"/>
    <w:rsid w:val="00BC28F4"/>
    <w:rsid w:val="00BC29CA"/>
    <w:rsid w:val="00BC2B38"/>
    <w:rsid w:val="00BC2BBA"/>
    <w:rsid w:val="00BC2D3B"/>
    <w:rsid w:val="00BC2E4C"/>
    <w:rsid w:val="00BC3017"/>
    <w:rsid w:val="00BC30DB"/>
    <w:rsid w:val="00BC3296"/>
    <w:rsid w:val="00BC335C"/>
    <w:rsid w:val="00BC3394"/>
    <w:rsid w:val="00BC33E1"/>
    <w:rsid w:val="00BC3666"/>
    <w:rsid w:val="00BC3732"/>
    <w:rsid w:val="00BC37D2"/>
    <w:rsid w:val="00BC37DA"/>
    <w:rsid w:val="00BC3977"/>
    <w:rsid w:val="00BC3990"/>
    <w:rsid w:val="00BC39BF"/>
    <w:rsid w:val="00BC3AB9"/>
    <w:rsid w:val="00BC3E7E"/>
    <w:rsid w:val="00BC3F49"/>
    <w:rsid w:val="00BC3FC7"/>
    <w:rsid w:val="00BC41D3"/>
    <w:rsid w:val="00BC4222"/>
    <w:rsid w:val="00BC4288"/>
    <w:rsid w:val="00BC43F5"/>
    <w:rsid w:val="00BC44F6"/>
    <w:rsid w:val="00BC4513"/>
    <w:rsid w:val="00BC4679"/>
    <w:rsid w:val="00BC4725"/>
    <w:rsid w:val="00BC48C7"/>
    <w:rsid w:val="00BC48E7"/>
    <w:rsid w:val="00BC4A6F"/>
    <w:rsid w:val="00BC4A7F"/>
    <w:rsid w:val="00BC4B2C"/>
    <w:rsid w:val="00BC4B33"/>
    <w:rsid w:val="00BC4B95"/>
    <w:rsid w:val="00BC4C1D"/>
    <w:rsid w:val="00BC4CE6"/>
    <w:rsid w:val="00BC4E27"/>
    <w:rsid w:val="00BC4E4E"/>
    <w:rsid w:val="00BC4E6A"/>
    <w:rsid w:val="00BC4E95"/>
    <w:rsid w:val="00BC4EF9"/>
    <w:rsid w:val="00BC50FE"/>
    <w:rsid w:val="00BC51BC"/>
    <w:rsid w:val="00BC52F0"/>
    <w:rsid w:val="00BC5341"/>
    <w:rsid w:val="00BC5356"/>
    <w:rsid w:val="00BC53BC"/>
    <w:rsid w:val="00BC53C6"/>
    <w:rsid w:val="00BC5446"/>
    <w:rsid w:val="00BC547C"/>
    <w:rsid w:val="00BC54C8"/>
    <w:rsid w:val="00BC5530"/>
    <w:rsid w:val="00BC5793"/>
    <w:rsid w:val="00BC5823"/>
    <w:rsid w:val="00BC5898"/>
    <w:rsid w:val="00BC5A90"/>
    <w:rsid w:val="00BC5B09"/>
    <w:rsid w:val="00BC5CED"/>
    <w:rsid w:val="00BC5E47"/>
    <w:rsid w:val="00BC5EC1"/>
    <w:rsid w:val="00BC5FA7"/>
    <w:rsid w:val="00BC60F4"/>
    <w:rsid w:val="00BC61D0"/>
    <w:rsid w:val="00BC624F"/>
    <w:rsid w:val="00BC6369"/>
    <w:rsid w:val="00BC6394"/>
    <w:rsid w:val="00BC64BD"/>
    <w:rsid w:val="00BC64E6"/>
    <w:rsid w:val="00BC65B0"/>
    <w:rsid w:val="00BC65F9"/>
    <w:rsid w:val="00BC6632"/>
    <w:rsid w:val="00BC6645"/>
    <w:rsid w:val="00BC671A"/>
    <w:rsid w:val="00BC697C"/>
    <w:rsid w:val="00BC69C5"/>
    <w:rsid w:val="00BC6A0E"/>
    <w:rsid w:val="00BC6AEA"/>
    <w:rsid w:val="00BC6B57"/>
    <w:rsid w:val="00BC6B95"/>
    <w:rsid w:val="00BC6B97"/>
    <w:rsid w:val="00BC6D99"/>
    <w:rsid w:val="00BC6DD9"/>
    <w:rsid w:val="00BC6DED"/>
    <w:rsid w:val="00BC6EA2"/>
    <w:rsid w:val="00BC6F83"/>
    <w:rsid w:val="00BC7123"/>
    <w:rsid w:val="00BC7242"/>
    <w:rsid w:val="00BC72C7"/>
    <w:rsid w:val="00BC72FF"/>
    <w:rsid w:val="00BC73E8"/>
    <w:rsid w:val="00BC74D4"/>
    <w:rsid w:val="00BC7775"/>
    <w:rsid w:val="00BC77C5"/>
    <w:rsid w:val="00BC7855"/>
    <w:rsid w:val="00BC78D5"/>
    <w:rsid w:val="00BC7912"/>
    <w:rsid w:val="00BC7947"/>
    <w:rsid w:val="00BC795C"/>
    <w:rsid w:val="00BC79C7"/>
    <w:rsid w:val="00BC79C8"/>
    <w:rsid w:val="00BC79E3"/>
    <w:rsid w:val="00BC7B51"/>
    <w:rsid w:val="00BC7B73"/>
    <w:rsid w:val="00BC7B8B"/>
    <w:rsid w:val="00BC7BC1"/>
    <w:rsid w:val="00BC7C48"/>
    <w:rsid w:val="00BC7C5D"/>
    <w:rsid w:val="00BC7CE5"/>
    <w:rsid w:val="00BC7D06"/>
    <w:rsid w:val="00BC7DD0"/>
    <w:rsid w:val="00BC7F2A"/>
    <w:rsid w:val="00BD007E"/>
    <w:rsid w:val="00BD0191"/>
    <w:rsid w:val="00BD024B"/>
    <w:rsid w:val="00BD03A6"/>
    <w:rsid w:val="00BD040D"/>
    <w:rsid w:val="00BD045B"/>
    <w:rsid w:val="00BD0460"/>
    <w:rsid w:val="00BD04B7"/>
    <w:rsid w:val="00BD05A4"/>
    <w:rsid w:val="00BD05E5"/>
    <w:rsid w:val="00BD06A8"/>
    <w:rsid w:val="00BD08E1"/>
    <w:rsid w:val="00BD08F2"/>
    <w:rsid w:val="00BD0927"/>
    <w:rsid w:val="00BD092A"/>
    <w:rsid w:val="00BD092B"/>
    <w:rsid w:val="00BD0C58"/>
    <w:rsid w:val="00BD1077"/>
    <w:rsid w:val="00BD119F"/>
    <w:rsid w:val="00BD11A1"/>
    <w:rsid w:val="00BD130E"/>
    <w:rsid w:val="00BD1314"/>
    <w:rsid w:val="00BD1602"/>
    <w:rsid w:val="00BD1691"/>
    <w:rsid w:val="00BD171B"/>
    <w:rsid w:val="00BD1A51"/>
    <w:rsid w:val="00BD1A74"/>
    <w:rsid w:val="00BD1A98"/>
    <w:rsid w:val="00BD1B61"/>
    <w:rsid w:val="00BD1BD3"/>
    <w:rsid w:val="00BD1C6E"/>
    <w:rsid w:val="00BD1E3A"/>
    <w:rsid w:val="00BD1E55"/>
    <w:rsid w:val="00BD1E70"/>
    <w:rsid w:val="00BD1F79"/>
    <w:rsid w:val="00BD1FEB"/>
    <w:rsid w:val="00BD2254"/>
    <w:rsid w:val="00BD2328"/>
    <w:rsid w:val="00BD2356"/>
    <w:rsid w:val="00BD23AA"/>
    <w:rsid w:val="00BD248C"/>
    <w:rsid w:val="00BD2570"/>
    <w:rsid w:val="00BD25B6"/>
    <w:rsid w:val="00BD25D3"/>
    <w:rsid w:val="00BD264C"/>
    <w:rsid w:val="00BD2705"/>
    <w:rsid w:val="00BD2723"/>
    <w:rsid w:val="00BD2773"/>
    <w:rsid w:val="00BD27E2"/>
    <w:rsid w:val="00BD2831"/>
    <w:rsid w:val="00BD2867"/>
    <w:rsid w:val="00BD28CD"/>
    <w:rsid w:val="00BD28EA"/>
    <w:rsid w:val="00BD2911"/>
    <w:rsid w:val="00BD2A8D"/>
    <w:rsid w:val="00BD2AC2"/>
    <w:rsid w:val="00BD2B69"/>
    <w:rsid w:val="00BD2C69"/>
    <w:rsid w:val="00BD2FF7"/>
    <w:rsid w:val="00BD3037"/>
    <w:rsid w:val="00BD304B"/>
    <w:rsid w:val="00BD3076"/>
    <w:rsid w:val="00BD31BB"/>
    <w:rsid w:val="00BD3249"/>
    <w:rsid w:val="00BD325C"/>
    <w:rsid w:val="00BD32CA"/>
    <w:rsid w:val="00BD32F4"/>
    <w:rsid w:val="00BD33C3"/>
    <w:rsid w:val="00BD345B"/>
    <w:rsid w:val="00BD34BA"/>
    <w:rsid w:val="00BD351A"/>
    <w:rsid w:val="00BD359E"/>
    <w:rsid w:val="00BD36B3"/>
    <w:rsid w:val="00BD3806"/>
    <w:rsid w:val="00BD3885"/>
    <w:rsid w:val="00BD3AA4"/>
    <w:rsid w:val="00BD3AC1"/>
    <w:rsid w:val="00BD3B60"/>
    <w:rsid w:val="00BD3C0E"/>
    <w:rsid w:val="00BD3EAC"/>
    <w:rsid w:val="00BD3F4F"/>
    <w:rsid w:val="00BD3F6B"/>
    <w:rsid w:val="00BD4009"/>
    <w:rsid w:val="00BD4096"/>
    <w:rsid w:val="00BD40DE"/>
    <w:rsid w:val="00BD4166"/>
    <w:rsid w:val="00BD418D"/>
    <w:rsid w:val="00BD41F9"/>
    <w:rsid w:val="00BD4403"/>
    <w:rsid w:val="00BD44C3"/>
    <w:rsid w:val="00BD45AF"/>
    <w:rsid w:val="00BD466C"/>
    <w:rsid w:val="00BD4699"/>
    <w:rsid w:val="00BD474E"/>
    <w:rsid w:val="00BD48CA"/>
    <w:rsid w:val="00BD490E"/>
    <w:rsid w:val="00BD49DC"/>
    <w:rsid w:val="00BD4BFE"/>
    <w:rsid w:val="00BD4DF7"/>
    <w:rsid w:val="00BD4E12"/>
    <w:rsid w:val="00BD4F1D"/>
    <w:rsid w:val="00BD4F60"/>
    <w:rsid w:val="00BD50B1"/>
    <w:rsid w:val="00BD5141"/>
    <w:rsid w:val="00BD5495"/>
    <w:rsid w:val="00BD54BA"/>
    <w:rsid w:val="00BD552E"/>
    <w:rsid w:val="00BD5613"/>
    <w:rsid w:val="00BD574F"/>
    <w:rsid w:val="00BD57DD"/>
    <w:rsid w:val="00BD5858"/>
    <w:rsid w:val="00BD589F"/>
    <w:rsid w:val="00BD5983"/>
    <w:rsid w:val="00BD5B53"/>
    <w:rsid w:val="00BD5C6B"/>
    <w:rsid w:val="00BD5CEC"/>
    <w:rsid w:val="00BD5D06"/>
    <w:rsid w:val="00BD5D64"/>
    <w:rsid w:val="00BD5D8A"/>
    <w:rsid w:val="00BD5E03"/>
    <w:rsid w:val="00BD5EA7"/>
    <w:rsid w:val="00BD5EBE"/>
    <w:rsid w:val="00BD5F65"/>
    <w:rsid w:val="00BD5FED"/>
    <w:rsid w:val="00BD60C6"/>
    <w:rsid w:val="00BD6265"/>
    <w:rsid w:val="00BD626E"/>
    <w:rsid w:val="00BD6291"/>
    <w:rsid w:val="00BD63DD"/>
    <w:rsid w:val="00BD6480"/>
    <w:rsid w:val="00BD64D2"/>
    <w:rsid w:val="00BD663B"/>
    <w:rsid w:val="00BD6651"/>
    <w:rsid w:val="00BD6672"/>
    <w:rsid w:val="00BD66D0"/>
    <w:rsid w:val="00BD6767"/>
    <w:rsid w:val="00BD67AD"/>
    <w:rsid w:val="00BD684E"/>
    <w:rsid w:val="00BD684F"/>
    <w:rsid w:val="00BD68D2"/>
    <w:rsid w:val="00BD68DD"/>
    <w:rsid w:val="00BD692B"/>
    <w:rsid w:val="00BD6A21"/>
    <w:rsid w:val="00BD6A83"/>
    <w:rsid w:val="00BD6B32"/>
    <w:rsid w:val="00BD6B36"/>
    <w:rsid w:val="00BD6BD5"/>
    <w:rsid w:val="00BD6CF8"/>
    <w:rsid w:val="00BD6D44"/>
    <w:rsid w:val="00BD6E19"/>
    <w:rsid w:val="00BD6E84"/>
    <w:rsid w:val="00BD6F0A"/>
    <w:rsid w:val="00BD6F17"/>
    <w:rsid w:val="00BD7078"/>
    <w:rsid w:val="00BD712C"/>
    <w:rsid w:val="00BD713F"/>
    <w:rsid w:val="00BD7279"/>
    <w:rsid w:val="00BD72B2"/>
    <w:rsid w:val="00BD739C"/>
    <w:rsid w:val="00BD76AF"/>
    <w:rsid w:val="00BD76D1"/>
    <w:rsid w:val="00BD789B"/>
    <w:rsid w:val="00BD78E5"/>
    <w:rsid w:val="00BD7942"/>
    <w:rsid w:val="00BD7965"/>
    <w:rsid w:val="00BD79A2"/>
    <w:rsid w:val="00BD7B69"/>
    <w:rsid w:val="00BD7B7C"/>
    <w:rsid w:val="00BD7C3B"/>
    <w:rsid w:val="00BD7CA5"/>
    <w:rsid w:val="00BD7DCC"/>
    <w:rsid w:val="00BD7E21"/>
    <w:rsid w:val="00BD7E41"/>
    <w:rsid w:val="00BD7E9A"/>
    <w:rsid w:val="00BE007D"/>
    <w:rsid w:val="00BE0162"/>
    <w:rsid w:val="00BE017D"/>
    <w:rsid w:val="00BE018A"/>
    <w:rsid w:val="00BE01EA"/>
    <w:rsid w:val="00BE030B"/>
    <w:rsid w:val="00BE0363"/>
    <w:rsid w:val="00BE03B5"/>
    <w:rsid w:val="00BE048A"/>
    <w:rsid w:val="00BE04A0"/>
    <w:rsid w:val="00BE051E"/>
    <w:rsid w:val="00BE064B"/>
    <w:rsid w:val="00BE06C6"/>
    <w:rsid w:val="00BE0849"/>
    <w:rsid w:val="00BE08C1"/>
    <w:rsid w:val="00BE08D7"/>
    <w:rsid w:val="00BE09AB"/>
    <w:rsid w:val="00BE0AA6"/>
    <w:rsid w:val="00BE0ACF"/>
    <w:rsid w:val="00BE0C72"/>
    <w:rsid w:val="00BE0C74"/>
    <w:rsid w:val="00BE0E20"/>
    <w:rsid w:val="00BE0E7C"/>
    <w:rsid w:val="00BE0E9B"/>
    <w:rsid w:val="00BE0F10"/>
    <w:rsid w:val="00BE0F6C"/>
    <w:rsid w:val="00BE0FAC"/>
    <w:rsid w:val="00BE0FE2"/>
    <w:rsid w:val="00BE1091"/>
    <w:rsid w:val="00BE112C"/>
    <w:rsid w:val="00BE119E"/>
    <w:rsid w:val="00BE1361"/>
    <w:rsid w:val="00BE137F"/>
    <w:rsid w:val="00BE13C4"/>
    <w:rsid w:val="00BE149A"/>
    <w:rsid w:val="00BE14AB"/>
    <w:rsid w:val="00BE15F6"/>
    <w:rsid w:val="00BE1675"/>
    <w:rsid w:val="00BE1678"/>
    <w:rsid w:val="00BE1688"/>
    <w:rsid w:val="00BE1689"/>
    <w:rsid w:val="00BE17BA"/>
    <w:rsid w:val="00BE19C5"/>
    <w:rsid w:val="00BE1A56"/>
    <w:rsid w:val="00BE1B56"/>
    <w:rsid w:val="00BE1B60"/>
    <w:rsid w:val="00BE1C0D"/>
    <w:rsid w:val="00BE1E08"/>
    <w:rsid w:val="00BE1E6B"/>
    <w:rsid w:val="00BE1F08"/>
    <w:rsid w:val="00BE1F3A"/>
    <w:rsid w:val="00BE2085"/>
    <w:rsid w:val="00BE20CF"/>
    <w:rsid w:val="00BE22D1"/>
    <w:rsid w:val="00BE2373"/>
    <w:rsid w:val="00BE2497"/>
    <w:rsid w:val="00BE24FD"/>
    <w:rsid w:val="00BE2545"/>
    <w:rsid w:val="00BE2596"/>
    <w:rsid w:val="00BE25B7"/>
    <w:rsid w:val="00BE25EB"/>
    <w:rsid w:val="00BE277B"/>
    <w:rsid w:val="00BE2823"/>
    <w:rsid w:val="00BE2827"/>
    <w:rsid w:val="00BE29A5"/>
    <w:rsid w:val="00BE2A43"/>
    <w:rsid w:val="00BE2A5A"/>
    <w:rsid w:val="00BE2A6B"/>
    <w:rsid w:val="00BE2C8E"/>
    <w:rsid w:val="00BE2DD6"/>
    <w:rsid w:val="00BE2E91"/>
    <w:rsid w:val="00BE2F76"/>
    <w:rsid w:val="00BE2F8F"/>
    <w:rsid w:val="00BE30B7"/>
    <w:rsid w:val="00BE30B8"/>
    <w:rsid w:val="00BE318D"/>
    <w:rsid w:val="00BE3265"/>
    <w:rsid w:val="00BE329C"/>
    <w:rsid w:val="00BE3300"/>
    <w:rsid w:val="00BE3521"/>
    <w:rsid w:val="00BE372F"/>
    <w:rsid w:val="00BE37CA"/>
    <w:rsid w:val="00BE3811"/>
    <w:rsid w:val="00BE3843"/>
    <w:rsid w:val="00BE39B3"/>
    <w:rsid w:val="00BE39BE"/>
    <w:rsid w:val="00BE39F2"/>
    <w:rsid w:val="00BE3AA6"/>
    <w:rsid w:val="00BE3B43"/>
    <w:rsid w:val="00BE3BCF"/>
    <w:rsid w:val="00BE3BE4"/>
    <w:rsid w:val="00BE3DA4"/>
    <w:rsid w:val="00BE3DC8"/>
    <w:rsid w:val="00BE3E67"/>
    <w:rsid w:val="00BE3F96"/>
    <w:rsid w:val="00BE3FB9"/>
    <w:rsid w:val="00BE4154"/>
    <w:rsid w:val="00BE41C3"/>
    <w:rsid w:val="00BE422C"/>
    <w:rsid w:val="00BE42DC"/>
    <w:rsid w:val="00BE42EA"/>
    <w:rsid w:val="00BE445A"/>
    <w:rsid w:val="00BE4569"/>
    <w:rsid w:val="00BE456D"/>
    <w:rsid w:val="00BE4643"/>
    <w:rsid w:val="00BE472A"/>
    <w:rsid w:val="00BE47A4"/>
    <w:rsid w:val="00BE47EB"/>
    <w:rsid w:val="00BE485A"/>
    <w:rsid w:val="00BE4933"/>
    <w:rsid w:val="00BE49E3"/>
    <w:rsid w:val="00BE4B1C"/>
    <w:rsid w:val="00BE4B3A"/>
    <w:rsid w:val="00BE4B54"/>
    <w:rsid w:val="00BE4BBC"/>
    <w:rsid w:val="00BE4CBA"/>
    <w:rsid w:val="00BE4D3D"/>
    <w:rsid w:val="00BE4D8F"/>
    <w:rsid w:val="00BE4F39"/>
    <w:rsid w:val="00BE4F5B"/>
    <w:rsid w:val="00BE4FA7"/>
    <w:rsid w:val="00BE5026"/>
    <w:rsid w:val="00BE514A"/>
    <w:rsid w:val="00BE52F5"/>
    <w:rsid w:val="00BE535B"/>
    <w:rsid w:val="00BE54C8"/>
    <w:rsid w:val="00BE562F"/>
    <w:rsid w:val="00BE5680"/>
    <w:rsid w:val="00BE56A2"/>
    <w:rsid w:val="00BE56DD"/>
    <w:rsid w:val="00BE57B5"/>
    <w:rsid w:val="00BE583F"/>
    <w:rsid w:val="00BE5877"/>
    <w:rsid w:val="00BE5885"/>
    <w:rsid w:val="00BE58E6"/>
    <w:rsid w:val="00BE5906"/>
    <w:rsid w:val="00BE59B8"/>
    <w:rsid w:val="00BE5ADA"/>
    <w:rsid w:val="00BE5B53"/>
    <w:rsid w:val="00BE5B60"/>
    <w:rsid w:val="00BE5D7E"/>
    <w:rsid w:val="00BE5E17"/>
    <w:rsid w:val="00BE5EBB"/>
    <w:rsid w:val="00BE5F45"/>
    <w:rsid w:val="00BE5FDA"/>
    <w:rsid w:val="00BE615F"/>
    <w:rsid w:val="00BE6183"/>
    <w:rsid w:val="00BE61DE"/>
    <w:rsid w:val="00BE61EB"/>
    <w:rsid w:val="00BE6318"/>
    <w:rsid w:val="00BE6411"/>
    <w:rsid w:val="00BE6452"/>
    <w:rsid w:val="00BE647A"/>
    <w:rsid w:val="00BE6586"/>
    <w:rsid w:val="00BE6697"/>
    <w:rsid w:val="00BE6749"/>
    <w:rsid w:val="00BE67C2"/>
    <w:rsid w:val="00BE6897"/>
    <w:rsid w:val="00BE694B"/>
    <w:rsid w:val="00BE69AD"/>
    <w:rsid w:val="00BE6A20"/>
    <w:rsid w:val="00BE6A80"/>
    <w:rsid w:val="00BE6A9D"/>
    <w:rsid w:val="00BE6B59"/>
    <w:rsid w:val="00BE6CF0"/>
    <w:rsid w:val="00BE6D82"/>
    <w:rsid w:val="00BE6DCE"/>
    <w:rsid w:val="00BE6E03"/>
    <w:rsid w:val="00BE6E71"/>
    <w:rsid w:val="00BE70E4"/>
    <w:rsid w:val="00BE7123"/>
    <w:rsid w:val="00BE716B"/>
    <w:rsid w:val="00BE7174"/>
    <w:rsid w:val="00BE71D7"/>
    <w:rsid w:val="00BE71D9"/>
    <w:rsid w:val="00BE72F3"/>
    <w:rsid w:val="00BE72F5"/>
    <w:rsid w:val="00BE72FE"/>
    <w:rsid w:val="00BE7311"/>
    <w:rsid w:val="00BE73A0"/>
    <w:rsid w:val="00BE7423"/>
    <w:rsid w:val="00BE7486"/>
    <w:rsid w:val="00BE7553"/>
    <w:rsid w:val="00BE758E"/>
    <w:rsid w:val="00BE75B6"/>
    <w:rsid w:val="00BE76B5"/>
    <w:rsid w:val="00BE77C6"/>
    <w:rsid w:val="00BE784D"/>
    <w:rsid w:val="00BE7A23"/>
    <w:rsid w:val="00BE7AAE"/>
    <w:rsid w:val="00BE7AC0"/>
    <w:rsid w:val="00BE7AD9"/>
    <w:rsid w:val="00BE7B9F"/>
    <w:rsid w:val="00BE7CD8"/>
    <w:rsid w:val="00BE7F19"/>
    <w:rsid w:val="00BE962C"/>
    <w:rsid w:val="00BF0019"/>
    <w:rsid w:val="00BF01A9"/>
    <w:rsid w:val="00BF02AF"/>
    <w:rsid w:val="00BF03E3"/>
    <w:rsid w:val="00BF045D"/>
    <w:rsid w:val="00BF0543"/>
    <w:rsid w:val="00BF05E9"/>
    <w:rsid w:val="00BF05F5"/>
    <w:rsid w:val="00BF0702"/>
    <w:rsid w:val="00BF0828"/>
    <w:rsid w:val="00BF0934"/>
    <w:rsid w:val="00BF0950"/>
    <w:rsid w:val="00BF0A2D"/>
    <w:rsid w:val="00BF0B09"/>
    <w:rsid w:val="00BF0B6C"/>
    <w:rsid w:val="00BF0C50"/>
    <w:rsid w:val="00BF0C7A"/>
    <w:rsid w:val="00BF0E3B"/>
    <w:rsid w:val="00BF0E82"/>
    <w:rsid w:val="00BF0FD3"/>
    <w:rsid w:val="00BF1033"/>
    <w:rsid w:val="00BF1050"/>
    <w:rsid w:val="00BF1067"/>
    <w:rsid w:val="00BF13DF"/>
    <w:rsid w:val="00BF1546"/>
    <w:rsid w:val="00BF15C1"/>
    <w:rsid w:val="00BF1762"/>
    <w:rsid w:val="00BF1856"/>
    <w:rsid w:val="00BF1AAA"/>
    <w:rsid w:val="00BF1ABC"/>
    <w:rsid w:val="00BF1AC4"/>
    <w:rsid w:val="00BF1AE6"/>
    <w:rsid w:val="00BF1B6C"/>
    <w:rsid w:val="00BF1BBE"/>
    <w:rsid w:val="00BF1D5A"/>
    <w:rsid w:val="00BF1DE9"/>
    <w:rsid w:val="00BF1DF8"/>
    <w:rsid w:val="00BF1FD7"/>
    <w:rsid w:val="00BF209B"/>
    <w:rsid w:val="00BF20C9"/>
    <w:rsid w:val="00BF2193"/>
    <w:rsid w:val="00BF21CB"/>
    <w:rsid w:val="00BF2204"/>
    <w:rsid w:val="00BF2229"/>
    <w:rsid w:val="00BF23BA"/>
    <w:rsid w:val="00BF2615"/>
    <w:rsid w:val="00BF26E2"/>
    <w:rsid w:val="00BF26E8"/>
    <w:rsid w:val="00BF26F8"/>
    <w:rsid w:val="00BF271E"/>
    <w:rsid w:val="00BF277F"/>
    <w:rsid w:val="00BF27BA"/>
    <w:rsid w:val="00BF293C"/>
    <w:rsid w:val="00BF2993"/>
    <w:rsid w:val="00BF2BCB"/>
    <w:rsid w:val="00BF2C0B"/>
    <w:rsid w:val="00BF2C3C"/>
    <w:rsid w:val="00BF2CD6"/>
    <w:rsid w:val="00BF2D22"/>
    <w:rsid w:val="00BF2D57"/>
    <w:rsid w:val="00BF2DA2"/>
    <w:rsid w:val="00BF2DC9"/>
    <w:rsid w:val="00BF2E16"/>
    <w:rsid w:val="00BF2F61"/>
    <w:rsid w:val="00BF30DF"/>
    <w:rsid w:val="00BF322B"/>
    <w:rsid w:val="00BF3316"/>
    <w:rsid w:val="00BF3353"/>
    <w:rsid w:val="00BF3414"/>
    <w:rsid w:val="00BF349B"/>
    <w:rsid w:val="00BF35AE"/>
    <w:rsid w:val="00BF363A"/>
    <w:rsid w:val="00BF365B"/>
    <w:rsid w:val="00BF3688"/>
    <w:rsid w:val="00BF371E"/>
    <w:rsid w:val="00BF375C"/>
    <w:rsid w:val="00BF384F"/>
    <w:rsid w:val="00BF38EA"/>
    <w:rsid w:val="00BF3A2F"/>
    <w:rsid w:val="00BF3A75"/>
    <w:rsid w:val="00BF3AE6"/>
    <w:rsid w:val="00BF3B60"/>
    <w:rsid w:val="00BF3BA0"/>
    <w:rsid w:val="00BF3F4A"/>
    <w:rsid w:val="00BF3F6C"/>
    <w:rsid w:val="00BF40A3"/>
    <w:rsid w:val="00BF4182"/>
    <w:rsid w:val="00BF419F"/>
    <w:rsid w:val="00BF41AC"/>
    <w:rsid w:val="00BF41D8"/>
    <w:rsid w:val="00BF447A"/>
    <w:rsid w:val="00BF459B"/>
    <w:rsid w:val="00BF46FA"/>
    <w:rsid w:val="00BF47AF"/>
    <w:rsid w:val="00BF481D"/>
    <w:rsid w:val="00BF48A2"/>
    <w:rsid w:val="00BF48D1"/>
    <w:rsid w:val="00BF48FD"/>
    <w:rsid w:val="00BF4A46"/>
    <w:rsid w:val="00BF4A6A"/>
    <w:rsid w:val="00BF4AB3"/>
    <w:rsid w:val="00BF4ADC"/>
    <w:rsid w:val="00BF4AF6"/>
    <w:rsid w:val="00BF4AFD"/>
    <w:rsid w:val="00BF4D89"/>
    <w:rsid w:val="00BF4D8C"/>
    <w:rsid w:val="00BF4F75"/>
    <w:rsid w:val="00BF4FD3"/>
    <w:rsid w:val="00BF5092"/>
    <w:rsid w:val="00BF511D"/>
    <w:rsid w:val="00BF5122"/>
    <w:rsid w:val="00BF5160"/>
    <w:rsid w:val="00BF51D4"/>
    <w:rsid w:val="00BF51F7"/>
    <w:rsid w:val="00BF521F"/>
    <w:rsid w:val="00BF53F1"/>
    <w:rsid w:val="00BF5523"/>
    <w:rsid w:val="00BF55CF"/>
    <w:rsid w:val="00BF55FC"/>
    <w:rsid w:val="00BF560A"/>
    <w:rsid w:val="00BF5633"/>
    <w:rsid w:val="00BF5669"/>
    <w:rsid w:val="00BF56AE"/>
    <w:rsid w:val="00BF570A"/>
    <w:rsid w:val="00BF5960"/>
    <w:rsid w:val="00BF5996"/>
    <w:rsid w:val="00BF5CAB"/>
    <w:rsid w:val="00BF5CE9"/>
    <w:rsid w:val="00BF5D22"/>
    <w:rsid w:val="00BF5D8A"/>
    <w:rsid w:val="00BF5E00"/>
    <w:rsid w:val="00BF5E1C"/>
    <w:rsid w:val="00BF5E22"/>
    <w:rsid w:val="00BF5EF5"/>
    <w:rsid w:val="00BF600D"/>
    <w:rsid w:val="00BF6010"/>
    <w:rsid w:val="00BF604A"/>
    <w:rsid w:val="00BF6206"/>
    <w:rsid w:val="00BF623F"/>
    <w:rsid w:val="00BF6317"/>
    <w:rsid w:val="00BF6438"/>
    <w:rsid w:val="00BF64AF"/>
    <w:rsid w:val="00BF65A4"/>
    <w:rsid w:val="00BF65DA"/>
    <w:rsid w:val="00BF663A"/>
    <w:rsid w:val="00BF6698"/>
    <w:rsid w:val="00BF67CE"/>
    <w:rsid w:val="00BF67D4"/>
    <w:rsid w:val="00BF685B"/>
    <w:rsid w:val="00BF6942"/>
    <w:rsid w:val="00BF6944"/>
    <w:rsid w:val="00BF6970"/>
    <w:rsid w:val="00BF6AEC"/>
    <w:rsid w:val="00BF6B9B"/>
    <w:rsid w:val="00BF6CF9"/>
    <w:rsid w:val="00BF6DD3"/>
    <w:rsid w:val="00BF6F43"/>
    <w:rsid w:val="00BF6FE7"/>
    <w:rsid w:val="00BF6FFC"/>
    <w:rsid w:val="00BF71C5"/>
    <w:rsid w:val="00BF7267"/>
    <w:rsid w:val="00BF74BF"/>
    <w:rsid w:val="00BF74D0"/>
    <w:rsid w:val="00BF7525"/>
    <w:rsid w:val="00BF7633"/>
    <w:rsid w:val="00BF77A5"/>
    <w:rsid w:val="00BF7809"/>
    <w:rsid w:val="00BF780F"/>
    <w:rsid w:val="00BF7970"/>
    <w:rsid w:val="00BF7972"/>
    <w:rsid w:val="00BF79ED"/>
    <w:rsid w:val="00BF79F1"/>
    <w:rsid w:val="00BF7AA1"/>
    <w:rsid w:val="00BF7AA4"/>
    <w:rsid w:val="00BF7AE0"/>
    <w:rsid w:val="00BF7B0B"/>
    <w:rsid w:val="00BF7BE0"/>
    <w:rsid w:val="00BF7C28"/>
    <w:rsid w:val="00BF7C2D"/>
    <w:rsid w:val="00BF7C86"/>
    <w:rsid w:val="00BF7CA3"/>
    <w:rsid w:val="00BF7E5A"/>
    <w:rsid w:val="00BF7EF2"/>
    <w:rsid w:val="00C0008F"/>
    <w:rsid w:val="00C000CE"/>
    <w:rsid w:val="00C000D9"/>
    <w:rsid w:val="00C00129"/>
    <w:rsid w:val="00C0013C"/>
    <w:rsid w:val="00C001EE"/>
    <w:rsid w:val="00C00207"/>
    <w:rsid w:val="00C00284"/>
    <w:rsid w:val="00C0033B"/>
    <w:rsid w:val="00C003E6"/>
    <w:rsid w:val="00C0045B"/>
    <w:rsid w:val="00C005CF"/>
    <w:rsid w:val="00C00658"/>
    <w:rsid w:val="00C007AC"/>
    <w:rsid w:val="00C007E6"/>
    <w:rsid w:val="00C00864"/>
    <w:rsid w:val="00C0088C"/>
    <w:rsid w:val="00C008D2"/>
    <w:rsid w:val="00C008DD"/>
    <w:rsid w:val="00C009C0"/>
    <w:rsid w:val="00C009F2"/>
    <w:rsid w:val="00C00A10"/>
    <w:rsid w:val="00C00A87"/>
    <w:rsid w:val="00C00B88"/>
    <w:rsid w:val="00C00C74"/>
    <w:rsid w:val="00C00C78"/>
    <w:rsid w:val="00C00E1F"/>
    <w:rsid w:val="00C00E6D"/>
    <w:rsid w:val="00C00E91"/>
    <w:rsid w:val="00C01034"/>
    <w:rsid w:val="00C01048"/>
    <w:rsid w:val="00C0125C"/>
    <w:rsid w:val="00C01334"/>
    <w:rsid w:val="00C01345"/>
    <w:rsid w:val="00C01392"/>
    <w:rsid w:val="00C013D8"/>
    <w:rsid w:val="00C0142A"/>
    <w:rsid w:val="00C01687"/>
    <w:rsid w:val="00C01806"/>
    <w:rsid w:val="00C0183D"/>
    <w:rsid w:val="00C019FF"/>
    <w:rsid w:val="00C01B04"/>
    <w:rsid w:val="00C01BFF"/>
    <w:rsid w:val="00C01C0D"/>
    <w:rsid w:val="00C01D26"/>
    <w:rsid w:val="00C01D84"/>
    <w:rsid w:val="00C01DF5"/>
    <w:rsid w:val="00C01E2F"/>
    <w:rsid w:val="00C01ED9"/>
    <w:rsid w:val="00C01EFE"/>
    <w:rsid w:val="00C01F65"/>
    <w:rsid w:val="00C02112"/>
    <w:rsid w:val="00C02121"/>
    <w:rsid w:val="00C02199"/>
    <w:rsid w:val="00C0219F"/>
    <w:rsid w:val="00C0228A"/>
    <w:rsid w:val="00C02373"/>
    <w:rsid w:val="00C024F2"/>
    <w:rsid w:val="00C02594"/>
    <w:rsid w:val="00C025F3"/>
    <w:rsid w:val="00C026AE"/>
    <w:rsid w:val="00C027FD"/>
    <w:rsid w:val="00C02865"/>
    <w:rsid w:val="00C0294E"/>
    <w:rsid w:val="00C02995"/>
    <w:rsid w:val="00C02997"/>
    <w:rsid w:val="00C02A84"/>
    <w:rsid w:val="00C02ACC"/>
    <w:rsid w:val="00C02C11"/>
    <w:rsid w:val="00C02CAA"/>
    <w:rsid w:val="00C02CE1"/>
    <w:rsid w:val="00C02E18"/>
    <w:rsid w:val="00C030DA"/>
    <w:rsid w:val="00C03198"/>
    <w:rsid w:val="00C031A6"/>
    <w:rsid w:val="00C03203"/>
    <w:rsid w:val="00C0349C"/>
    <w:rsid w:val="00C035C2"/>
    <w:rsid w:val="00C03608"/>
    <w:rsid w:val="00C03817"/>
    <w:rsid w:val="00C03889"/>
    <w:rsid w:val="00C038FD"/>
    <w:rsid w:val="00C0392D"/>
    <w:rsid w:val="00C03953"/>
    <w:rsid w:val="00C039EE"/>
    <w:rsid w:val="00C03AE9"/>
    <w:rsid w:val="00C03B18"/>
    <w:rsid w:val="00C03C08"/>
    <w:rsid w:val="00C03C69"/>
    <w:rsid w:val="00C03D3D"/>
    <w:rsid w:val="00C03E36"/>
    <w:rsid w:val="00C03F4A"/>
    <w:rsid w:val="00C0415E"/>
    <w:rsid w:val="00C04375"/>
    <w:rsid w:val="00C0446E"/>
    <w:rsid w:val="00C045CA"/>
    <w:rsid w:val="00C046E5"/>
    <w:rsid w:val="00C047FC"/>
    <w:rsid w:val="00C04879"/>
    <w:rsid w:val="00C049E2"/>
    <w:rsid w:val="00C049E6"/>
    <w:rsid w:val="00C04B09"/>
    <w:rsid w:val="00C04B36"/>
    <w:rsid w:val="00C04BC2"/>
    <w:rsid w:val="00C04C4D"/>
    <w:rsid w:val="00C050CE"/>
    <w:rsid w:val="00C05225"/>
    <w:rsid w:val="00C0526E"/>
    <w:rsid w:val="00C052E9"/>
    <w:rsid w:val="00C05330"/>
    <w:rsid w:val="00C05428"/>
    <w:rsid w:val="00C05435"/>
    <w:rsid w:val="00C05576"/>
    <w:rsid w:val="00C055B5"/>
    <w:rsid w:val="00C055D0"/>
    <w:rsid w:val="00C057C0"/>
    <w:rsid w:val="00C059C6"/>
    <w:rsid w:val="00C059C8"/>
    <w:rsid w:val="00C05A2A"/>
    <w:rsid w:val="00C05C5C"/>
    <w:rsid w:val="00C05CEC"/>
    <w:rsid w:val="00C05DE5"/>
    <w:rsid w:val="00C05E35"/>
    <w:rsid w:val="00C05EBD"/>
    <w:rsid w:val="00C05EC8"/>
    <w:rsid w:val="00C0606F"/>
    <w:rsid w:val="00C06147"/>
    <w:rsid w:val="00C06173"/>
    <w:rsid w:val="00C0619F"/>
    <w:rsid w:val="00C0625D"/>
    <w:rsid w:val="00C062A1"/>
    <w:rsid w:val="00C062B5"/>
    <w:rsid w:val="00C0630F"/>
    <w:rsid w:val="00C06361"/>
    <w:rsid w:val="00C063E1"/>
    <w:rsid w:val="00C064E6"/>
    <w:rsid w:val="00C0652D"/>
    <w:rsid w:val="00C065F1"/>
    <w:rsid w:val="00C0660B"/>
    <w:rsid w:val="00C06630"/>
    <w:rsid w:val="00C06632"/>
    <w:rsid w:val="00C067D8"/>
    <w:rsid w:val="00C068A4"/>
    <w:rsid w:val="00C069F0"/>
    <w:rsid w:val="00C06A49"/>
    <w:rsid w:val="00C06A74"/>
    <w:rsid w:val="00C06A7B"/>
    <w:rsid w:val="00C06AC2"/>
    <w:rsid w:val="00C06BD0"/>
    <w:rsid w:val="00C06C04"/>
    <w:rsid w:val="00C06C23"/>
    <w:rsid w:val="00C06E0A"/>
    <w:rsid w:val="00C06E15"/>
    <w:rsid w:val="00C06ECC"/>
    <w:rsid w:val="00C06FF2"/>
    <w:rsid w:val="00C07011"/>
    <w:rsid w:val="00C07258"/>
    <w:rsid w:val="00C0729C"/>
    <w:rsid w:val="00C07341"/>
    <w:rsid w:val="00C07381"/>
    <w:rsid w:val="00C0752D"/>
    <w:rsid w:val="00C07566"/>
    <w:rsid w:val="00C075AA"/>
    <w:rsid w:val="00C07666"/>
    <w:rsid w:val="00C07796"/>
    <w:rsid w:val="00C07898"/>
    <w:rsid w:val="00C078E0"/>
    <w:rsid w:val="00C07A83"/>
    <w:rsid w:val="00C07ADB"/>
    <w:rsid w:val="00C07C00"/>
    <w:rsid w:val="00C07C5F"/>
    <w:rsid w:val="00C07D3C"/>
    <w:rsid w:val="00C07DE5"/>
    <w:rsid w:val="00C07E15"/>
    <w:rsid w:val="00C07F25"/>
    <w:rsid w:val="00C10070"/>
    <w:rsid w:val="00C1021A"/>
    <w:rsid w:val="00C102E9"/>
    <w:rsid w:val="00C104F2"/>
    <w:rsid w:val="00C1052D"/>
    <w:rsid w:val="00C10686"/>
    <w:rsid w:val="00C10924"/>
    <w:rsid w:val="00C10942"/>
    <w:rsid w:val="00C10B7E"/>
    <w:rsid w:val="00C10C86"/>
    <w:rsid w:val="00C10C9C"/>
    <w:rsid w:val="00C10D02"/>
    <w:rsid w:val="00C10D1A"/>
    <w:rsid w:val="00C10E02"/>
    <w:rsid w:val="00C10E24"/>
    <w:rsid w:val="00C10E93"/>
    <w:rsid w:val="00C10EAA"/>
    <w:rsid w:val="00C10EE4"/>
    <w:rsid w:val="00C10EFA"/>
    <w:rsid w:val="00C10F52"/>
    <w:rsid w:val="00C10F56"/>
    <w:rsid w:val="00C10F74"/>
    <w:rsid w:val="00C10FBA"/>
    <w:rsid w:val="00C110C1"/>
    <w:rsid w:val="00C1115C"/>
    <w:rsid w:val="00C1117B"/>
    <w:rsid w:val="00C113C7"/>
    <w:rsid w:val="00C1140A"/>
    <w:rsid w:val="00C11456"/>
    <w:rsid w:val="00C11532"/>
    <w:rsid w:val="00C11548"/>
    <w:rsid w:val="00C1157F"/>
    <w:rsid w:val="00C115B9"/>
    <w:rsid w:val="00C115EF"/>
    <w:rsid w:val="00C11615"/>
    <w:rsid w:val="00C117B7"/>
    <w:rsid w:val="00C11A1B"/>
    <w:rsid w:val="00C11A47"/>
    <w:rsid w:val="00C11AF5"/>
    <w:rsid w:val="00C11B3E"/>
    <w:rsid w:val="00C11B6C"/>
    <w:rsid w:val="00C11B99"/>
    <w:rsid w:val="00C11BD5"/>
    <w:rsid w:val="00C11C16"/>
    <w:rsid w:val="00C11D7E"/>
    <w:rsid w:val="00C11DF8"/>
    <w:rsid w:val="00C11F78"/>
    <w:rsid w:val="00C12055"/>
    <w:rsid w:val="00C12066"/>
    <w:rsid w:val="00C1207E"/>
    <w:rsid w:val="00C1232B"/>
    <w:rsid w:val="00C1241C"/>
    <w:rsid w:val="00C12427"/>
    <w:rsid w:val="00C12546"/>
    <w:rsid w:val="00C126C5"/>
    <w:rsid w:val="00C127F9"/>
    <w:rsid w:val="00C12BEF"/>
    <w:rsid w:val="00C12C42"/>
    <w:rsid w:val="00C12CB0"/>
    <w:rsid w:val="00C12DD2"/>
    <w:rsid w:val="00C12ED3"/>
    <w:rsid w:val="00C13154"/>
    <w:rsid w:val="00C131CD"/>
    <w:rsid w:val="00C13487"/>
    <w:rsid w:val="00C135BB"/>
    <w:rsid w:val="00C1362F"/>
    <w:rsid w:val="00C13635"/>
    <w:rsid w:val="00C136C0"/>
    <w:rsid w:val="00C1378E"/>
    <w:rsid w:val="00C138FE"/>
    <w:rsid w:val="00C13A8F"/>
    <w:rsid w:val="00C13B06"/>
    <w:rsid w:val="00C13B09"/>
    <w:rsid w:val="00C13C92"/>
    <w:rsid w:val="00C13CAF"/>
    <w:rsid w:val="00C13D86"/>
    <w:rsid w:val="00C13E5F"/>
    <w:rsid w:val="00C13EED"/>
    <w:rsid w:val="00C14045"/>
    <w:rsid w:val="00C1409A"/>
    <w:rsid w:val="00C14247"/>
    <w:rsid w:val="00C142B7"/>
    <w:rsid w:val="00C143E2"/>
    <w:rsid w:val="00C14461"/>
    <w:rsid w:val="00C14471"/>
    <w:rsid w:val="00C14542"/>
    <w:rsid w:val="00C145DB"/>
    <w:rsid w:val="00C145F9"/>
    <w:rsid w:val="00C1479C"/>
    <w:rsid w:val="00C147E2"/>
    <w:rsid w:val="00C148A0"/>
    <w:rsid w:val="00C14A36"/>
    <w:rsid w:val="00C14A5F"/>
    <w:rsid w:val="00C14A71"/>
    <w:rsid w:val="00C14B40"/>
    <w:rsid w:val="00C14C7F"/>
    <w:rsid w:val="00C14CDC"/>
    <w:rsid w:val="00C14CFC"/>
    <w:rsid w:val="00C14D2B"/>
    <w:rsid w:val="00C14E89"/>
    <w:rsid w:val="00C14FFC"/>
    <w:rsid w:val="00C15044"/>
    <w:rsid w:val="00C15090"/>
    <w:rsid w:val="00C1525D"/>
    <w:rsid w:val="00C152FF"/>
    <w:rsid w:val="00C1531C"/>
    <w:rsid w:val="00C15349"/>
    <w:rsid w:val="00C15430"/>
    <w:rsid w:val="00C15476"/>
    <w:rsid w:val="00C154ED"/>
    <w:rsid w:val="00C15539"/>
    <w:rsid w:val="00C15630"/>
    <w:rsid w:val="00C156E6"/>
    <w:rsid w:val="00C15738"/>
    <w:rsid w:val="00C15756"/>
    <w:rsid w:val="00C1579A"/>
    <w:rsid w:val="00C15972"/>
    <w:rsid w:val="00C15A60"/>
    <w:rsid w:val="00C15B16"/>
    <w:rsid w:val="00C15B51"/>
    <w:rsid w:val="00C15BB7"/>
    <w:rsid w:val="00C15BF2"/>
    <w:rsid w:val="00C15C07"/>
    <w:rsid w:val="00C15C22"/>
    <w:rsid w:val="00C15D7C"/>
    <w:rsid w:val="00C15D8D"/>
    <w:rsid w:val="00C15DAC"/>
    <w:rsid w:val="00C15DEE"/>
    <w:rsid w:val="00C15E0B"/>
    <w:rsid w:val="00C15F9B"/>
    <w:rsid w:val="00C16123"/>
    <w:rsid w:val="00C16196"/>
    <w:rsid w:val="00C161B9"/>
    <w:rsid w:val="00C162B3"/>
    <w:rsid w:val="00C16372"/>
    <w:rsid w:val="00C163F5"/>
    <w:rsid w:val="00C163F7"/>
    <w:rsid w:val="00C16507"/>
    <w:rsid w:val="00C16657"/>
    <w:rsid w:val="00C167B3"/>
    <w:rsid w:val="00C16811"/>
    <w:rsid w:val="00C168D3"/>
    <w:rsid w:val="00C169AC"/>
    <w:rsid w:val="00C169F2"/>
    <w:rsid w:val="00C16A5F"/>
    <w:rsid w:val="00C16BB0"/>
    <w:rsid w:val="00C16C17"/>
    <w:rsid w:val="00C16C4C"/>
    <w:rsid w:val="00C16CA9"/>
    <w:rsid w:val="00C16CBC"/>
    <w:rsid w:val="00C16CF3"/>
    <w:rsid w:val="00C16D22"/>
    <w:rsid w:val="00C16D2B"/>
    <w:rsid w:val="00C16DA8"/>
    <w:rsid w:val="00C16F03"/>
    <w:rsid w:val="00C16F38"/>
    <w:rsid w:val="00C16FE1"/>
    <w:rsid w:val="00C16FFC"/>
    <w:rsid w:val="00C172BA"/>
    <w:rsid w:val="00C172D3"/>
    <w:rsid w:val="00C172D7"/>
    <w:rsid w:val="00C172DA"/>
    <w:rsid w:val="00C17340"/>
    <w:rsid w:val="00C173C6"/>
    <w:rsid w:val="00C173FF"/>
    <w:rsid w:val="00C17502"/>
    <w:rsid w:val="00C17535"/>
    <w:rsid w:val="00C176DC"/>
    <w:rsid w:val="00C1782B"/>
    <w:rsid w:val="00C1794A"/>
    <w:rsid w:val="00C17A1F"/>
    <w:rsid w:val="00C17B1D"/>
    <w:rsid w:val="00C17B8B"/>
    <w:rsid w:val="00C17C18"/>
    <w:rsid w:val="00C17C23"/>
    <w:rsid w:val="00C17C31"/>
    <w:rsid w:val="00C17DB6"/>
    <w:rsid w:val="00C17E3A"/>
    <w:rsid w:val="00C20013"/>
    <w:rsid w:val="00C20130"/>
    <w:rsid w:val="00C201DA"/>
    <w:rsid w:val="00C20210"/>
    <w:rsid w:val="00C20379"/>
    <w:rsid w:val="00C20415"/>
    <w:rsid w:val="00C20463"/>
    <w:rsid w:val="00C20497"/>
    <w:rsid w:val="00C204D3"/>
    <w:rsid w:val="00C204FE"/>
    <w:rsid w:val="00C20556"/>
    <w:rsid w:val="00C205DE"/>
    <w:rsid w:val="00C2069B"/>
    <w:rsid w:val="00C207C5"/>
    <w:rsid w:val="00C207E7"/>
    <w:rsid w:val="00C2083B"/>
    <w:rsid w:val="00C208DF"/>
    <w:rsid w:val="00C20928"/>
    <w:rsid w:val="00C20A09"/>
    <w:rsid w:val="00C20A49"/>
    <w:rsid w:val="00C20A77"/>
    <w:rsid w:val="00C20AB0"/>
    <w:rsid w:val="00C20AE2"/>
    <w:rsid w:val="00C20B61"/>
    <w:rsid w:val="00C20C04"/>
    <w:rsid w:val="00C20D1B"/>
    <w:rsid w:val="00C20D4A"/>
    <w:rsid w:val="00C20D60"/>
    <w:rsid w:val="00C20E20"/>
    <w:rsid w:val="00C20E32"/>
    <w:rsid w:val="00C20E8D"/>
    <w:rsid w:val="00C20ED0"/>
    <w:rsid w:val="00C20F0C"/>
    <w:rsid w:val="00C20F5D"/>
    <w:rsid w:val="00C20FE5"/>
    <w:rsid w:val="00C2100A"/>
    <w:rsid w:val="00C210D4"/>
    <w:rsid w:val="00C21356"/>
    <w:rsid w:val="00C21384"/>
    <w:rsid w:val="00C213E7"/>
    <w:rsid w:val="00C2149F"/>
    <w:rsid w:val="00C214D7"/>
    <w:rsid w:val="00C21562"/>
    <w:rsid w:val="00C21567"/>
    <w:rsid w:val="00C216AC"/>
    <w:rsid w:val="00C21735"/>
    <w:rsid w:val="00C2176A"/>
    <w:rsid w:val="00C2189D"/>
    <w:rsid w:val="00C218D6"/>
    <w:rsid w:val="00C2194D"/>
    <w:rsid w:val="00C2198D"/>
    <w:rsid w:val="00C21A1C"/>
    <w:rsid w:val="00C21C8E"/>
    <w:rsid w:val="00C21D3E"/>
    <w:rsid w:val="00C21D7E"/>
    <w:rsid w:val="00C21DA9"/>
    <w:rsid w:val="00C21E1F"/>
    <w:rsid w:val="00C21E7F"/>
    <w:rsid w:val="00C21F9B"/>
    <w:rsid w:val="00C22023"/>
    <w:rsid w:val="00C22285"/>
    <w:rsid w:val="00C222BF"/>
    <w:rsid w:val="00C2234F"/>
    <w:rsid w:val="00C22421"/>
    <w:rsid w:val="00C224CE"/>
    <w:rsid w:val="00C22567"/>
    <w:rsid w:val="00C226DA"/>
    <w:rsid w:val="00C22896"/>
    <w:rsid w:val="00C22970"/>
    <w:rsid w:val="00C22990"/>
    <w:rsid w:val="00C22A5A"/>
    <w:rsid w:val="00C22C2D"/>
    <w:rsid w:val="00C22C43"/>
    <w:rsid w:val="00C22DE3"/>
    <w:rsid w:val="00C22E72"/>
    <w:rsid w:val="00C22F0D"/>
    <w:rsid w:val="00C231DF"/>
    <w:rsid w:val="00C23225"/>
    <w:rsid w:val="00C234B9"/>
    <w:rsid w:val="00C23546"/>
    <w:rsid w:val="00C23662"/>
    <w:rsid w:val="00C23711"/>
    <w:rsid w:val="00C2373D"/>
    <w:rsid w:val="00C23772"/>
    <w:rsid w:val="00C237A3"/>
    <w:rsid w:val="00C23838"/>
    <w:rsid w:val="00C2385B"/>
    <w:rsid w:val="00C2394A"/>
    <w:rsid w:val="00C23962"/>
    <w:rsid w:val="00C23A37"/>
    <w:rsid w:val="00C23AFD"/>
    <w:rsid w:val="00C23BA6"/>
    <w:rsid w:val="00C23BD6"/>
    <w:rsid w:val="00C23BF3"/>
    <w:rsid w:val="00C23DC9"/>
    <w:rsid w:val="00C23DD4"/>
    <w:rsid w:val="00C23EF7"/>
    <w:rsid w:val="00C240A7"/>
    <w:rsid w:val="00C2410B"/>
    <w:rsid w:val="00C24348"/>
    <w:rsid w:val="00C24408"/>
    <w:rsid w:val="00C24464"/>
    <w:rsid w:val="00C24514"/>
    <w:rsid w:val="00C2465A"/>
    <w:rsid w:val="00C24661"/>
    <w:rsid w:val="00C2468A"/>
    <w:rsid w:val="00C24709"/>
    <w:rsid w:val="00C247CB"/>
    <w:rsid w:val="00C24880"/>
    <w:rsid w:val="00C24A06"/>
    <w:rsid w:val="00C24A2A"/>
    <w:rsid w:val="00C24ACF"/>
    <w:rsid w:val="00C24B37"/>
    <w:rsid w:val="00C24B4C"/>
    <w:rsid w:val="00C24B79"/>
    <w:rsid w:val="00C24C4F"/>
    <w:rsid w:val="00C24CB4"/>
    <w:rsid w:val="00C24D2A"/>
    <w:rsid w:val="00C24F4C"/>
    <w:rsid w:val="00C24FAF"/>
    <w:rsid w:val="00C24FE8"/>
    <w:rsid w:val="00C25098"/>
    <w:rsid w:val="00C25173"/>
    <w:rsid w:val="00C2527D"/>
    <w:rsid w:val="00C252E6"/>
    <w:rsid w:val="00C25325"/>
    <w:rsid w:val="00C2538A"/>
    <w:rsid w:val="00C253AA"/>
    <w:rsid w:val="00C2547B"/>
    <w:rsid w:val="00C255F0"/>
    <w:rsid w:val="00C2579F"/>
    <w:rsid w:val="00C25827"/>
    <w:rsid w:val="00C25908"/>
    <w:rsid w:val="00C25992"/>
    <w:rsid w:val="00C259CF"/>
    <w:rsid w:val="00C25A1E"/>
    <w:rsid w:val="00C25AFF"/>
    <w:rsid w:val="00C25B8B"/>
    <w:rsid w:val="00C25BA5"/>
    <w:rsid w:val="00C25CD8"/>
    <w:rsid w:val="00C25E47"/>
    <w:rsid w:val="00C25F8B"/>
    <w:rsid w:val="00C25FA8"/>
    <w:rsid w:val="00C260CE"/>
    <w:rsid w:val="00C26152"/>
    <w:rsid w:val="00C26205"/>
    <w:rsid w:val="00C262A6"/>
    <w:rsid w:val="00C26453"/>
    <w:rsid w:val="00C26596"/>
    <w:rsid w:val="00C26936"/>
    <w:rsid w:val="00C26968"/>
    <w:rsid w:val="00C269BD"/>
    <w:rsid w:val="00C269CD"/>
    <w:rsid w:val="00C26A18"/>
    <w:rsid w:val="00C26A4F"/>
    <w:rsid w:val="00C26B06"/>
    <w:rsid w:val="00C26CA4"/>
    <w:rsid w:val="00C26D42"/>
    <w:rsid w:val="00C26D6D"/>
    <w:rsid w:val="00C26F38"/>
    <w:rsid w:val="00C26FA1"/>
    <w:rsid w:val="00C2701A"/>
    <w:rsid w:val="00C2702B"/>
    <w:rsid w:val="00C27074"/>
    <w:rsid w:val="00C2708C"/>
    <w:rsid w:val="00C270A5"/>
    <w:rsid w:val="00C270C2"/>
    <w:rsid w:val="00C2710D"/>
    <w:rsid w:val="00C271FE"/>
    <w:rsid w:val="00C2727F"/>
    <w:rsid w:val="00C272ED"/>
    <w:rsid w:val="00C2730D"/>
    <w:rsid w:val="00C273E9"/>
    <w:rsid w:val="00C2749A"/>
    <w:rsid w:val="00C27563"/>
    <w:rsid w:val="00C2765F"/>
    <w:rsid w:val="00C2773C"/>
    <w:rsid w:val="00C278A1"/>
    <w:rsid w:val="00C278AB"/>
    <w:rsid w:val="00C2799E"/>
    <w:rsid w:val="00C27A21"/>
    <w:rsid w:val="00C27A7E"/>
    <w:rsid w:val="00C27B53"/>
    <w:rsid w:val="00C27B64"/>
    <w:rsid w:val="00C27B84"/>
    <w:rsid w:val="00C27D4C"/>
    <w:rsid w:val="00C27D90"/>
    <w:rsid w:val="00C27EE3"/>
    <w:rsid w:val="00C27F30"/>
    <w:rsid w:val="00C27F59"/>
    <w:rsid w:val="00C27FC2"/>
    <w:rsid w:val="00C30091"/>
    <w:rsid w:val="00C30190"/>
    <w:rsid w:val="00C3049A"/>
    <w:rsid w:val="00C304C3"/>
    <w:rsid w:val="00C304EB"/>
    <w:rsid w:val="00C30657"/>
    <w:rsid w:val="00C306F2"/>
    <w:rsid w:val="00C30755"/>
    <w:rsid w:val="00C30865"/>
    <w:rsid w:val="00C3087B"/>
    <w:rsid w:val="00C30883"/>
    <w:rsid w:val="00C30B43"/>
    <w:rsid w:val="00C30C73"/>
    <w:rsid w:val="00C30D16"/>
    <w:rsid w:val="00C30D20"/>
    <w:rsid w:val="00C30DF6"/>
    <w:rsid w:val="00C30EB6"/>
    <w:rsid w:val="00C30EDA"/>
    <w:rsid w:val="00C30F8F"/>
    <w:rsid w:val="00C30FB0"/>
    <w:rsid w:val="00C31010"/>
    <w:rsid w:val="00C311DA"/>
    <w:rsid w:val="00C31366"/>
    <w:rsid w:val="00C313AA"/>
    <w:rsid w:val="00C31674"/>
    <w:rsid w:val="00C31688"/>
    <w:rsid w:val="00C316E4"/>
    <w:rsid w:val="00C317A1"/>
    <w:rsid w:val="00C317F3"/>
    <w:rsid w:val="00C31823"/>
    <w:rsid w:val="00C31878"/>
    <w:rsid w:val="00C31A53"/>
    <w:rsid w:val="00C31DB3"/>
    <w:rsid w:val="00C31DF0"/>
    <w:rsid w:val="00C31E25"/>
    <w:rsid w:val="00C31E61"/>
    <w:rsid w:val="00C31EDB"/>
    <w:rsid w:val="00C3202A"/>
    <w:rsid w:val="00C32286"/>
    <w:rsid w:val="00C32348"/>
    <w:rsid w:val="00C323CC"/>
    <w:rsid w:val="00C32493"/>
    <w:rsid w:val="00C324CC"/>
    <w:rsid w:val="00C328AE"/>
    <w:rsid w:val="00C32A71"/>
    <w:rsid w:val="00C32B03"/>
    <w:rsid w:val="00C32C04"/>
    <w:rsid w:val="00C32C58"/>
    <w:rsid w:val="00C32D06"/>
    <w:rsid w:val="00C32D45"/>
    <w:rsid w:val="00C3300E"/>
    <w:rsid w:val="00C33015"/>
    <w:rsid w:val="00C3303E"/>
    <w:rsid w:val="00C33066"/>
    <w:rsid w:val="00C330A8"/>
    <w:rsid w:val="00C331CD"/>
    <w:rsid w:val="00C332E8"/>
    <w:rsid w:val="00C33636"/>
    <w:rsid w:val="00C33686"/>
    <w:rsid w:val="00C336E4"/>
    <w:rsid w:val="00C337D5"/>
    <w:rsid w:val="00C3384A"/>
    <w:rsid w:val="00C338D8"/>
    <w:rsid w:val="00C3397D"/>
    <w:rsid w:val="00C33B5F"/>
    <w:rsid w:val="00C33CEC"/>
    <w:rsid w:val="00C33D65"/>
    <w:rsid w:val="00C33E9D"/>
    <w:rsid w:val="00C33F35"/>
    <w:rsid w:val="00C33F5D"/>
    <w:rsid w:val="00C34053"/>
    <w:rsid w:val="00C34079"/>
    <w:rsid w:val="00C34097"/>
    <w:rsid w:val="00C340E2"/>
    <w:rsid w:val="00C341E1"/>
    <w:rsid w:val="00C34241"/>
    <w:rsid w:val="00C345FD"/>
    <w:rsid w:val="00C3469D"/>
    <w:rsid w:val="00C346AC"/>
    <w:rsid w:val="00C347C7"/>
    <w:rsid w:val="00C3494D"/>
    <w:rsid w:val="00C34AC1"/>
    <w:rsid w:val="00C34C25"/>
    <w:rsid w:val="00C34C39"/>
    <w:rsid w:val="00C34DB2"/>
    <w:rsid w:val="00C34E18"/>
    <w:rsid w:val="00C34EF3"/>
    <w:rsid w:val="00C34EF9"/>
    <w:rsid w:val="00C34F0E"/>
    <w:rsid w:val="00C34F25"/>
    <w:rsid w:val="00C34FC7"/>
    <w:rsid w:val="00C35056"/>
    <w:rsid w:val="00C3505B"/>
    <w:rsid w:val="00C352BF"/>
    <w:rsid w:val="00C3532C"/>
    <w:rsid w:val="00C3538D"/>
    <w:rsid w:val="00C353F0"/>
    <w:rsid w:val="00C3554E"/>
    <w:rsid w:val="00C35664"/>
    <w:rsid w:val="00C35694"/>
    <w:rsid w:val="00C35746"/>
    <w:rsid w:val="00C35770"/>
    <w:rsid w:val="00C357A4"/>
    <w:rsid w:val="00C35873"/>
    <w:rsid w:val="00C35A58"/>
    <w:rsid w:val="00C35A8A"/>
    <w:rsid w:val="00C35AD0"/>
    <w:rsid w:val="00C35CC2"/>
    <w:rsid w:val="00C35DCF"/>
    <w:rsid w:val="00C35F8B"/>
    <w:rsid w:val="00C3604B"/>
    <w:rsid w:val="00C36103"/>
    <w:rsid w:val="00C36170"/>
    <w:rsid w:val="00C362AE"/>
    <w:rsid w:val="00C3655A"/>
    <w:rsid w:val="00C36562"/>
    <w:rsid w:val="00C3673B"/>
    <w:rsid w:val="00C367BD"/>
    <w:rsid w:val="00C367BF"/>
    <w:rsid w:val="00C3681F"/>
    <w:rsid w:val="00C36991"/>
    <w:rsid w:val="00C36A28"/>
    <w:rsid w:val="00C36AE3"/>
    <w:rsid w:val="00C36B19"/>
    <w:rsid w:val="00C36B72"/>
    <w:rsid w:val="00C36B8B"/>
    <w:rsid w:val="00C36C7C"/>
    <w:rsid w:val="00C36D70"/>
    <w:rsid w:val="00C36D97"/>
    <w:rsid w:val="00C36DC6"/>
    <w:rsid w:val="00C36F03"/>
    <w:rsid w:val="00C36FB5"/>
    <w:rsid w:val="00C3702A"/>
    <w:rsid w:val="00C3703F"/>
    <w:rsid w:val="00C3727C"/>
    <w:rsid w:val="00C3733D"/>
    <w:rsid w:val="00C3746E"/>
    <w:rsid w:val="00C37606"/>
    <w:rsid w:val="00C37641"/>
    <w:rsid w:val="00C3781C"/>
    <w:rsid w:val="00C37823"/>
    <w:rsid w:val="00C37957"/>
    <w:rsid w:val="00C379C7"/>
    <w:rsid w:val="00C379E9"/>
    <w:rsid w:val="00C37A27"/>
    <w:rsid w:val="00C37A98"/>
    <w:rsid w:val="00C37D17"/>
    <w:rsid w:val="00C37DFE"/>
    <w:rsid w:val="00C37F2C"/>
    <w:rsid w:val="00C37F68"/>
    <w:rsid w:val="00C40208"/>
    <w:rsid w:val="00C40415"/>
    <w:rsid w:val="00C404D2"/>
    <w:rsid w:val="00C405D2"/>
    <w:rsid w:val="00C40741"/>
    <w:rsid w:val="00C407FA"/>
    <w:rsid w:val="00C4080A"/>
    <w:rsid w:val="00C4085A"/>
    <w:rsid w:val="00C40880"/>
    <w:rsid w:val="00C4090B"/>
    <w:rsid w:val="00C40946"/>
    <w:rsid w:val="00C40952"/>
    <w:rsid w:val="00C40985"/>
    <w:rsid w:val="00C40A1C"/>
    <w:rsid w:val="00C40A52"/>
    <w:rsid w:val="00C40A6F"/>
    <w:rsid w:val="00C40A89"/>
    <w:rsid w:val="00C40ADA"/>
    <w:rsid w:val="00C40AF0"/>
    <w:rsid w:val="00C40BA2"/>
    <w:rsid w:val="00C40D18"/>
    <w:rsid w:val="00C40DA1"/>
    <w:rsid w:val="00C40E27"/>
    <w:rsid w:val="00C40E30"/>
    <w:rsid w:val="00C40E5F"/>
    <w:rsid w:val="00C40EC0"/>
    <w:rsid w:val="00C40EFE"/>
    <w:rsid w:val="00C40F39"/>
    <w:rsid w:val="00C4105A"/>
    <w:rsid w:val="00C4122A"/>
    <w:rsid w:val="00C412BA"/>
    <w:rsid w:val="00C4145F"/>
    <w:rsid w:val="00C41506"/>
    <w:rsid w:val="00C4155D"/>
    <w:rsid w:val="00C4156D"/>
    <w:rsid w:val="00C41597"/>
    <w:rsid w:val="00C41647"/>
    <w:rsid w:val="00C417E2"/>
    <w:rsid w:val="00C41914"/>
    <w:rsid w:val="00C41961"/>
    <w:rsid w:val="00C41975"/>
    <w:rsid w:val="00C41996"/>
    <w:rsid w:val="00C41AA8"/>
    <w:rsid w:val="00C41BAA"/>
    <w:rsid w:val="00C41BBA"/>
    <w:rsid w:val="00C41BD3"/>
    <w:rsid w:val="00C41C83"/>
    <w:rsid w:val="00C41C89"/>
    <w:rsid w:val="00C41CDC"/>
    <w:rsid w:val="00C41CE1"/>
    <w:rsid w:val="00C41DC5"/>
    <w:rsid w:val="00C41F08"/>
    <w:rsid w:val="00C41F9A"/>
    <w:rsid w:val="00C41FED"/>
    <w:rsid w:val="00C42119"/>
    <w:rsid w:val="00C42257"/>
    <w:rsid w:val="00C4227F"/>
    <w:rsid w:val="00C42300"/>
    <w:rsid w:val="00C4231C"/>
    <w:rsid w:val="00C42409"/>
    <w:rsid w:val="00C42422"/>
    <w:rsid w:val="00C424C1"/>
    <w:rsid w:val="00C42529"/>
    <w:rsid w:val="00C425B5"/>
    <w:rsid w:val="00C42779"/>
    <w:rsid w:val="00C42898"/>
    <w:rsid w:val="00C42A26"/>
    <w:rsid w:val="00C42BE8"/>
    <w:rsid w:val="00C42E07"/>
    <w:rsid w:val="00C42E0C"/>
    <w:rsid w:val="00C42E40"/>
    <w:rsid w:val="00C42F4A"/>
    <w:rsid w:val="00C42F7A"/>
    <w:rsid w:val="00C430A0"/>
    <w:rsid w:val="00C430EA"/>
    <w:rsid w:val="00C43224"/>
    <w:rsid w:val="00C43244"/>
    <w:rsid w:val="00C432B8"/>
    <w:rsid w:val="00C432EF"/>
    <w:rsid w:val="00C433FF"/>
    <w:rsid w:val="00C43540"/>
    <w:rsid w:val="00C43669"/>
    <w:rsid w:val="00C436AD"/>
    <w:rsid w:val="00C437AC"/>
    <w:rsid w:val="00C439D8"/>
    <w:rsid w:val="00C43A7E"/>
    <w:rsid w:val="00C43BF5"/>
    <w:rsid w:val="00C43C05"/>
    <w:rsid w:val="00C43C39"/>
    <w:rsid w:val="00C43C42"/>
    <w:rsid w:val="00C43DE0"/>
    <w:rsid w:val="00C43E2E"/>
    <w:rsid w:val="00C43E3B"/>
    <w:rsid w:val="00C43F36"/>
    <w:rsid w:val="00C43F59"/>
    <w:rsid w:val="00C43FFD"/>
    <w:rsid w:val="00C43FFF"/>
    <w:rsid w:val="00C44032"/>
    <w:rsid w:val="00C441A4"/>
    <w:rsid w:val="00C442F2"/>
    <w:rsid w:val="00C44318"/>
    <w:rsid w:val="00C44363"/>
    <w:rsid w:val="00C443FD"/>
    <w:rsid w:val="00C44540"/>
    <w:rsid w:val="00C445A1"/>
    <w:rsid w:val="00C445E2"/>
    <w:rsid w:val="00C447DF"/>
    <w:rsid w:val="00C44844"/>
    <w:rsid w:val="00C44849"/>
    <w:rsid w:val="00C44A1F"/>
    <w:rsid w:val="00C44A2B"/>
    <w:rsid w:val="00C44A51"/>
    <w:rsid w:val="00C44A5B"/>
    <w:rsid w:val="00C44B16"/>
    <w:rsid w:val="00C44B8A"/>
    <w:rsid w:val="00C44B9D"/>
    <w:rsid w:val="00C44C22"/>
    <w:rsid w:val="00C44C76"/>
    <w:rsid w:val="00C44E5D"/>
    <w:rsid w:val="00C44E90"/>
    <w:rsid w:val="00C44EAE"/>
    <w:rsid w:val="00C44FFA"/>
    <w:rsid w:val="00C45183"/>
    <w:rsid w:val="00C4527D"/>
    <w:rsid w:val="00C45303"/>
    <w:rsid w:val="00C45724"/>
    <w:rsid w:val="00C4572A"/>
    <w:rsid w:val="00C45753"/>
    <w:rsid w:val="00C458D4"/>
    <w:rsid w:val="00C45A1B"/>
    <w:rsid w:val="00C45A65"/>
    <w:rsid w:val="00C45AA2"/>
    <w:rsid w:val="00C45B01"/>
    <w:rsid w:val="00C45B27"/>
    <w:rsid w:val="00C45CE0"/>
    <w:rsid w:val="00C45DBB"/>
    <w:rsid w:val="00C45DC5"/>
    <w:rsid w:val="00C45E86"/>
    <w:rsid w:val="00C45E8D"/>
    <w:rsid w:val="00C45ED6"/>
    <w:rsid w:val="00C46002"/>
    <w:rsid w:val="00C4612B"/>
    <w:rsid w:val="00C4620A"/>
    <w:rsid w:val="00C4623B"/>
    <w:rsid w:val="00C463DE"/>
    <w:rsid w:val="00C463F5"/>
    <w:rsid w:val="00C46523"/>
    <w:rsid w:val="00C466D5"/>
    <w:rsid w:val="00C46757"/>
    <w:rsid w:val="00C46920"/>
    <w:rsid w:val="00C469D2"/>
    <w:rsid w:val="00C46B86"/>
    <w:rsid w:val="00C46C83"/>
    <w:rsid w:val="00C46E42"/>
    <w:rsid w:val="00C46F8B"/>
    <w:rsid w:val="00C470D8"/>
    <w:rsid w:val="00C472BA"/>
    <w:rsid w:val="00C473F8"/>
    <w:rsid w:val="00C47497"/>
    <w:rsid w:val="00C47518"/>
    <w:rsid w:val="00C47560"/>
    <w:rsid w:val="00C47640"/>
    <w:rsid w:val="00C47735"/>
    <w:rsid w:val="00C4775B"/>
    <w:rsid w:val="00C47872"/>
    <w:rsid w:val="00C47912"/>
    <w:rsid w:val="00C47B72"/>
    <w:rsid w:val="00C47C8F"/>
    <w:rsid w:val="00C47F52"/>
    <w:rsid w:val="00C50101"/>
    <w:rsid w:val="00C5022A"/>
    <w:rsid w:val="00C50283"/>
    <w:rsid w:val="00C502F7"/>
    <w:rsid w:val="00C504E0"/>
    <w:rsid w:val="00C505E1"/>
    <w:rsid w:val="00C50638"/>
    <w:rsid w:val="00C50751"/>
    <w:rsid w:val="00C507A2"/>
    <w:rsid w:val="00C5083C"/>
    <w:rsid w:val="00C508A9"/>
    <w:rsid w:val="00C508C0"/>
    <w:rsid w:val="00C50B1A"/>
    <w:rsid w:val="00C50B50"/>
    <w:rsid w:val="00C50B61"/>
    <w:rsid w:val="00C50C92"/>
    <w:rsid w:val="00C50CED"/>
    <w:rsid w:val="00C50DEC"/>
    <w:rsid w:val="00C50E21"/>
    <w:rsid w:val="00C50E7A"/>
    <w:rsid w:val="00C50E87"/>
    <w:rsid w:val="00C50EFB"/>
    <w:rsid w:val="00C50F9A"/>
    <w:rsid w:val="00C51079"/>
    <w:rsid w:val="00C511CE"/>
    <w:rsid w:val="00C511F7"/>
    <w:rsid w:val="00C51320"/>
    <w:rsid w:val="00C51408"/>
    <w:rsid w:val="00C5149C"/>
    <w:rsid w:val="00C5163A"/>
    <w:rsid w:val="00C51645"/>
    <w:rsid w:val="00C5176D"/>
    <w:rsid w:val="00C51828"/>
    <w:rsid w:val="00C5182C"/>
    <w:rsid w:val="00C51A68"/>
    <w:rsid w:val="00C51C2E"/>
    <w:rsid w:val="00C51D65"/>
    <w:rsid w:val="00C51D69"/>
    <w:rsid w:val="00C51E22"/>
    <w:rsid w:val="00C51ECD"/>
    <w:rsid w:val="00C51EDD"/>
    <w:rsid w:val="00C51EE3"/>
    <w:rsid w:val="00C51F33"/>
    <w:rsid w:val="00C51FD1"/>
    <w:rsid w:val="00C520F6"/>
    <w:rsid w:val="00C5228B"/>
    <w:rsid w:val="00C522F2"/>
    <w:rsid w:val="00C5241B"/>
    <w:rsid w:val="00C52459"/>
    <w:rsid w:val="00C52562"/>
    <w:rsid w:val="00C526BB"/>
    <w:rsid w:val="00C528A8"/>
    <w:rsid w:val="00C529FA"/>
    <w:rsid w:val="00C52ABC"/>
    <w:rsid w:val="00C52B4E"/>
    <w:rsid w:val="00C52B61"/>
    <w:rsid w:val="00C52BD5"/>
    <w:rsid w:val="00C52C79"/>
    <w:rsid w:val="00C52D59"/>
    <w:rsid w:val="00C52D79"/>
    <w:rsid w:val="00C52D95"/>
    <w:rsid w:val="00C52F3F"/>
    <w:rsid w:val="00C52F6F"/>
    <w:rsid w:val="00C52FA9"/>
    <w:rsid w:val="00C530A5"/>
    <w:rsid w:val="00C530D1"/>
    <w:rsid w:val="00C531D1"/>
    <w:rsid w:val="00C5324A"/>
    <w:rsid w:val="00C53361"/>
    <w:rsid w:val="00C533ED"/>
    <w:rsid w:val="00C53482"/>
    <w:rsid w:val="00C53728"/>
    <w:rsid w:val="00C53775"/>
    <w:rsid w:val="00C53818"/>
    <w:rsid w:val="00C538B7"/>
    <w:rsid w:val="00C53A6B"/>
    <w:rsid w:val="00C53C6C"/>
    <w:rsid w:val="00C53D74"/>
    <w:rsid w:val="00C53DB9"/>
    <w:rsid w:val="00C53E82"/>
    <w:rsid w:val="00C53F17"/>
    <w:rsid w:val="00C53F51"/>
    <w:rsid w:val="00C53F67"/>
    <w:rsid w:val="00C53FA9"/>
    <w:rsid w:val="00C5404A"/>
    <w:rsid w:val="00C54179"/>
    <w:rsid w:val="00C5425C"/>
    <w:rsid w:val="00C54500"/>
    <w:rsid w:val="00C54506"/>
    <w:rsid w:val="00C5462B"/>
    <w:rsid w:val="00C5471A"/>
    <w:rsid w:val="00C547BE"/>
    <w:rsid w:val="00C5481A"/>
    <w:rsid w:val="00C54894"/>
    <w:rsid w:val="00C548B9"/>
    <w:rsid w:val="00C5494E"/>
    <w:rsid w:val="00C54951"/>
    <w:rsid w:val="00C54A25"/>
    <w:rsid w:val="00C54A90"/>
    <w:rsid w:val="00C54AA1"/>
    <w:rsid w:val="00C54B78"/>
    <w:rsid w:val="00C54BCD"/>
    <w:rsid w:val="00C54C9C"/>
    <w:rsid w:val="00C54D8E"/>
    <w:rsid w:val="00C54D9C"/>
    <w:rsid w:val="00C54E77"/>
    <w:rsid w:val="00C54E81"/>
    <w:rsid w:val="00C54E88"/>
    <w:rsid w:val="00C54EB5"/>
    <w:rsid w:val="00C54EBA"/>
    <w:rsid w:val="00C54F81"/>
    <w:rsid w:val="00C54FAE"/>
    <w:rsid w:val="00C5501F"/>
    <w:rsid w:val="00C5502A"/>
    <w:rsid w:val="00C5507C"/>
    <w:rsid w:val="00C550F4"/>
    <w:rsid w:val="00C55229"/>
    <w:rsid w:val="00C55237"/>
    <w:rsid w:val="00C55252"/>
    <w:rsid w:val="00C552B0"/>
    <w:rsid w:val="00C552D8"/>
    <w:rsid w:val="00C5535F"/>
    <w:rsid w:val="00C55408"/>
    <w:rsid w:val="00C55423"/>
    <w:rsid w:val="00C55454"/>
    <w:rsid w:val="00C55471"/>
    <w:rsid w:val="00C55553"/>
    <w:rsid w:val="00C55591"/>
    <w:rsid w:val="00C55672"/>
    <w:rsid w:val="00C556A2"/>
    <w:rsid w:val="00C556CF"/>
    <w:rsid w:val="00C556EE"/>
    <w:rsid w:val="00C5577E"/>
    <w:rsid w:val="00C5592C"/>
    <w:rsid w:val="00C559C0"/>
    <w:rsid w:val="00C55B94"/>
    <w:rsid w:val="00C55C9A"/>
    <w:rsid w:val="00C55DF0"/>
    <w:rsid w:val="00C55E04"/>
    <w:rsid w:val="00C55E29"/>
    <w:rsid w:val="00C55E54"/>
    <w:rsid w:val="00C55FE6"/>
    <w:rsid w:val="00C5604E"/>
    <w:rsid w:val="00C56103"/>
    <w:rsid w:val="00C56350"/>
    <w:rsid w:val="00C564C4"/>
    <w:rsid w:val="00C56563"/>
    <w:rsid w:val="00C565A5"/>
    <w:rsid w:val="00C5660B"/>
    <w:rsid w:val="00C5662E"/>
    <w:rsid w:val="00C566B4"/>
    <w:rsid w:val="00C566C2"/>
    <w:rsid w:val="00C56731"/>
    <w:rsid w:val="00C56744"/>
    <w:rsid w:val="00C567C1"/>
    <w:rsid w:val="00C56845"/>
    <w:rsid w:val="00C56908"/>
    <w:rsid w:val="00C5697E"/>
    <w:rsid w:val="00C56A0C"/>
    <w:rsid w:val="00C56B22"/>
    <w:rsid w:val="00C56D25"/>
    <w:rsid w:val="00C56E26"/>
    <w:rsid w:val="00C56ECE"/>
    <w:rsid w:val="00C56F5E"/>
    <w:rsid w:val="00C56FA7"/>
    <w:rsid w:val="00C5706A"/>
    <w:rsid w:val="00C5708C"/>
    <w:rsid w:val="00C5713B"/>
    <w:rsid w:val="00C572DD"/>
    <w:rsid w:val="00C57345"/>
    <w:rsid w:val="00C5749D"/>
    <w:rsid w:val="00C5752E"/>
    <w:rsid w:val="00C5758B"/>
    <w:rsid w:val="00C5768B"/>
    <w:rsid w:val="00C576A6"/>
    <w:rsid w:val="00C576ED"/>
    <w:rsid w:val="00C5791D"/>
    <w:rsid w:val="00C5792E"/>
    <w:rsid w:val="00C57A07"/>
    <w:rsid w:val="00C57A84"/>
    <w:rsid w:val="00C57AAD"/>
    <w:rsid w:val="00C57B3D"/>
    <w:rsid w:val="00C57C17"/>
    <w:rsid w:val="00C57D30"/>
    <w:rsid w:val="00C57D43"/>
    <w:rsid w:val="00C57D7B"/>
    <w:rsid w:val="00C57E0D"/>
    <w:rsid w:val="00C57E19"/>
    <w:rsid w:val="00C57E74"/>
    <w:rsid w:val="00C57F3A"/>
    <w:rsid w:val="00C600BB"/>
    <w:rsid w:val="00C6025C"/>
    <w:rsid w:val="00C60268"/>
    <w:rsid w:val="00C603A0"/>
    <w:rsid w:val="00C603C5"/>
    <w:rsid w:val="00C6046E"/>
    <w:rsid w:val="00C604A1"/>
    <w:rsid w:val="00C604B2"/>
    <w:rsid w:val="00C6055C"/>
    <w:rsid w:val="00C6057E"/>
    <w:rsid w:val="00C605D6"/>
    <w:rsid w:val="00C605EB"/>
    <w:rsid w:val="00C60676"/>
    <w:rsid w:val="00C60697"/>
    <w:rsid w:val="00C6069B"/>
    <w:rsid w:val="00C607D1"/>
    <w:rsid w:val="00C60851"/>
    <w:rsid w:val="00C6085F"/>
    <w:rsid w:val="00C6086E"/>
    <w:rsid w:val="00C60873"/>
    <w:rsid w:val="00C60931"/>
    <w:rsid w:val="00C609D7"/>
    <w:rsid w:val="00C609E0"/>
    <w:rsid w:val="00C60A54"/>
    <w:rsid w:val="00C60AE2"/>
    <w:rsid w:val="00C60B81"/>
    <w:rsid w:val="00C60B83"/>
    <w:rsid w:val="00C60C66"/>
    <w:rsid w:val="00C60CD2"/>
    <w:rsid w:val="00C60DCD"/>
    <w:rsid w:val="00C60DE3"/>
    <w:rsid w:val="00C60E21"/>
    <w:rsid w:val="00C61063"/>
    <w:rsid w:val="00C610DF"/>
    <w:rsid w:val="00C61116"/>
    <w:rsid w:val="00C6112F"/>
    <w:rsid w:val="00C61246"/>
    <w:rsid w:val="00C613A9"/>
    <w:rsid w:val="00C6141D"/>
    <w:rsid w:val="00C6152C"/>
    <w:rsid w:val="00C61638"/>
    <w:rsid w:val="00C61731"/>
    <w:rsid w:val="00C61A31"/>
    <w:rsid w:val="00C61A34"/>
    <w:rsid w:val="00C61E2B"/>
    <w:rsid w:val="00C61E42"/>
    <w:rsid w:val="00C61EA7"/>
    <w:rsid w:val="00C61EE3"/>
    <w:rsid w:val="00C62119"/>
    <w:rsid w:val="00C6222B"/>
    <w:rsid w:val="00C62293"/>
    <w:rsid w:val="00C622C6"/>
    <w:rsid w:val="00C623BE"/>
    <w:rsid w:val="00C623FC"/>
    <w:rsid w:val="00C62484"/>
    <w:rsid w:val="00C62565"/>
    <w:rsid w:val="00C6264E"/>
    <w:rsid w:val="00C6266E"/>
    <w:rsid w:val="00C627BB"/>
    <w:rsid w:val="00C6286D"/>
    <w:rsid w:val="00C62B06"/>
    <w:rsid w:val="00C62BB8"/>
    <w:rsid w:val="00C62BD2"/>
    <w:rsid w:val="00C62C66"/>
    <w:rsid w:val="00C62D93"/>
    <w:rsid w:val="00C62DFD"/>
    <w:rsid w:val="00C62F8A"/>
    <w:rsid w:val="00C62FD9"/>
    <w:rsid w:val="00C63007"/>
    <w:rsid w:val="00C63019"/>
    <w:rsid w:val="00C6302D"/>
    <w:rsid w:val="00C63067"/>
    <w:rsid w:val="00C63119"/>
    <w:rsid w:val="00C6320C"/>
    <w:rsid w:val="00C632AD"/>
    <w:rsid w:val="00C63451"/>
    <w:rsid w:val="00C63455"/>
    <w:rsid w:val="00C6348C"/>
    <w:rsid w:val="00C6357A"/>
    <w:rsid w:val="00C635CF"/>
    <w:rsid w:val="00C6360B"/>
    <w:rsid w:val="00C63620"/>
    <w:rsid w:val="00C63741"/>
    <w:rsid w:val="00C638CF"/>
    <w:rsid w:val="00C63901"/>
    <w:rsid w:val="00C63A5C"/>
    <w:rsid w:val="00C63B76"/>
    <w:rsid w:val="00C63B8E"/>
    <w:rsid w:val="00C63B93"/>
    <w:rsid w:val="00C63C5A"/>
    <w:rsid w:val="00C63D9D"/>
    <w:rsid w:val="00C63DB8"/>
    <w:rsid w:val="00C640D5"/>
    <w:rsid w:val="00C64198"/>
    <w:rsid w:val="00C641E5"/>
    <w:rsid w:val="00C6431C"/>
    <w:rsid w:val="00C643F7"/>
    <w:rsid w:val="00C64665"/>
    <w:rsid w:val="00C646E0"/>
    <w:rsid w:val="00C6478D"/>
    <w:rsid w:val="00C647A8"/>
    <w:rsid w:val="00C648AE"/>
    <w:rsid w:val="00C64B7C"/>
    <w:rsid w:val="00C64CAF"/>
    <w:rsid w:val="00C64D2C"/>
    <w:rsid w:val="00C64E1D"/>
    <w:rsid w:val="00C64E8D"/>
    <w:rsid w:val="00C64F5E"/>
    <w:rsid w:val="00C65101"/>
    <w:rsid w:val="00C65348"/>
    <w:rsid w:val="00C653A5"/>
    <w:rsid w:val="00C654C7"/>
    <w:rsid w:val="00C65526"/>
    <w:rsid w:val="00C655A9"/>
    <w:rsid w:val="00C655C9"/>
    <w:rsid w:val="00C65730"/>
    <w:rsid w:val="00C657AC"/>
    <w:rsid w:val="00C65809"/>
    <w:rsid w:val="00C65887"/>
    <w:rsid w:val="00C6590C"/>
    <w:rsid w:val="00C6591D"/>
    <w:rsid w:val="00C65923"/>
    <w:rsid w:val="00C6597A"/>
    <w:rsid w:val="00C65981"/>
    <w:rsid w:val="00C65996"/>
    <w:rsid w:val="00C65BBF"/>
    <w:rsid w:val="00C65CC3"/>
    <w:rsid w:val="00C65DD3"/>
    <w:rsid w:val="00C65EAF"/>
    <w:rsid w:val="00C65FBA"/>
    <w:rsid w:val="00C66169"/>
    <w:rsid w:val="00C6624A"/>
    <w:rsid w:val="00C66255"/>
    <w:rsid w:val="00C662DC"/>
    <w:rsid w:val="00C6670E"/>
    <w:rsid w:val="00C66742"/>
    <w:rsid w:val="00C6674A"/>
    <w:rsid w:val="00C66973"/>
    <w:rsid w:val="00C66AD3"/>
    <w:rsid w:val="00C66B8C"/>
    <w:rsid w:val="00C66BEA"/>
    <w:rsid w:val="00C66CC8"/>
    <w:rsid w:val="00C66E63"/>
    <w:rsid w:val="00C66E96"/>
    <w:rsid w:val="00C66F4C"/>
    <w:rsid w:val="00C6719D"/>
    <w:rsid w:val="00C67272"/>
    <w:rsid w:val="00C67289"/>
    <w:rsid w:val="00C67299"/>
    <w:rsid w:val="00C67350"/>
    <w:rsid w:val="00C673BB"/>
    <w:rsid w:val="00C6744B"/>
    <w:rsid w:val="00C67469"/>
    <w:rsid w:val="00C6757E"/>
    <w:rsid w:val="00C675DC"/>
    <w:rsid w:val="00C6778C"/>
    <w:rsid w:val="00C678EA"/>
    <w:rsid w:val="00C679C9"/>
    <w:rsid w:val="00C67A5E"/>
    <w:rsid w:val="00C67C8D"/>
    <w:rsid w:val="00C67DB5"/>
    <w:rsid w:val="00C67E7F"/>
    <w:rsid w:val="00C67F4C"/>
    <w:rsid w:val="00C67FFC"/>
    <w:rsid w:val="00C70109"/>
    <w:rsid w:val="00C70424"/>
    <w:rsid w:val="00C704E8"/>
    <w:rsid w:val="00C70521"/>
    <w:rsid w:val="00C70531"/>
    <w:rsid w:val="00C70547"/>
    <w:rsid w:val="00C705DC"/>
    <w:rsid w:val="00C70694"/>
    <w:rsid w:val="00C707C7"/>
    <w:rsid w:val="00C70806"/>
    <w:rsid w:val="00C70894"/>
    <w:rsid w:val="00C708ED"/>
    <w:rsid w:val="00C70911"/>
    <w:rsid w:val="00C7091D"/>
    <w:rsid w:val="00C70B0E"/>
    <w:rsid w:val="00C70BCD"/>
    <w:rsid w:val="00C70C64"/>
    <w:rsid w:val="00C70DD1"/>
    <w:rsid w:val="00C70F63"/>
    <w:rsid w:val="00C71014"/>
    <w:rsid w:val="00C7122C"/>
    <w:rsid w:val="00C712A4"/>
    <w:rsid w:val="00C712B4"/>
    <w:rsid w:val="00C71378"/>
    <w:rsid w:val="00C713DE"/>
    <w:rsid w:val="00C713E6"/>
    <w:rsid w:val="00C71485"/>
    <w:rsid w:val="00C714AF"/>
    <w:rsid w:val="00C7154D"/>
    <w:rsid w:val="00C7155F"/>
    <w:rsid w:val="00C715EC"/>
    <w:rsid w:val="00C716FE"/>
    <w:rsid w:val="00C71A38"/>
    <w:rsid w:val="00C71A93"/>
    <w:rsid w:val="00C71B13"/>
    <w:rsid w:val="00C71C8C"/>
    <w:rsid w:val="00C71CEC"/>
    <w:rsid w:val="00C71E4C"/>
    <w:rsid w:val="00C71E51"/>
    <w:rsid w:val="00C71EAB"/>
    <w:rsid w:val="00C71ECF"/>
    <w:rsid w:val="00C71EE5"/>
    <w:rsid w:val="00C71F99"/>
    <w:rsid w:val="00C7205D"/>
    <w:rsid w:val="00C7241A"/>
    <w:rsid w:val="00C72596"/>
    <w:rsid w:val="00C7276F"/>
    <w:rsid w:val="00C728F4"/>
    <w:rsid w:val="00C729DB"/>
    <w:rsid w:val="00C72B02"/>
    <w:rsid w:val="00C72B21"/>
    <w:rsid w:val="00C72C10"/>
    <w:rsid w:val="00C72C6F"/>
    <w:rsid w:val="00C72CEC"/>
    <w:rsid w:val="00C72E02"/>
    <w:rsid w:val="00C72E1E"/>
    <w:rsid w:val="00C72EC9"/>
    <w:rsid w:val="00C72F79"/>
    <w:rsid w:val="00C732CC"/>
    <w:rsid w:val="00C732D1"/>
    <w:rsid w:val="00C734F9"/>
    <w:rsid w:val="00C734FF"/>
    <w:rsid w:val="00C73520"/>
    <w:rsid w:val="00C73648"/>
    <w:rsid w:val="00C7376A"/>
    <w:rsid w:val="00C737DF"/>
    <w:rsid w:val="00C73804"/>
    <w:rsid w:val="00C73848"/>
    <w:rsid w:val="00C73917"/>
    <w:rsid w:val="00C7394D"/>
    <w:rsid w:val="00C739EB"/>
    <w:rsid w:val="00C73A09"/>
    <w:rsid w:val="00C73AA8"/>
    <w:rsid w:val="00C73AE8"/>
    <w:rsid w:val="00C73B06"/>
    <w:rsid w:val="00C73BF8"/>
    <w:rsid w:val="00C73CE6"/>
    <w:rsid w:val="00C73E8E"/>
    <w:rsid w:val="00C73EF6"/>
    <w:rsid w:val="00C73F97"/>
    <w:rsid w:val="00C73FAF"/>
    <w:rsid w:val="00C74098"/>
    <w:rsid w:val="00C740FA"/>
    <w:rsid w:val="00C7426B"/>
    <w:rsid w:val="00C74273"/>
    <w:rsid w:val="00C742CF"/>
    <w:rsid w:val="00C7439C"/>
    <w:rsid w:val="00C743AC"/>
    <w:rsid w:val="00C744B8"/>
    <w:rsid w:val="00C74607"/>
    <w:rsid w:val="00C747BC"/>
    <w:rsid w:val="00C74919"/>
    <w:rsid w:val="00C7498C"/>
    <w:rsid w:val="00C7499B"/>
    <w:rsid w:val="00C74A76"/>
    <w:rsid w:val="00C74BB7"/>
    <w:rsid w:val="00C74BC8"/>
    <w:rsid w:val="00C74BDF"/>
    <w:rsid w:val="00C74C53"/>
    <w:rsid w:val="00C74E02"/>
    <w:rsid w:val="00C74EDD"/>
    <w:rsid w:val="00C74F12"/>
    <w:rsid w:val="00C74F30"/>
    <w:rsid w:val="00C74F34"/>
    <w:rsid w:val="00C7502B"/>
    <w:rsid w:val="00C75032"/>
    <w:rsid w:val="00C750E9"/>
    <w:rsid w:val="00C7557B"/>
    <w:rsid w:val="00C7567A"/>
    <w:rsid w:val="00C756C3"/>
    <w:rsid w:val="00C756D8"/>
    <w:rsid w:val="00C75704"/>
    <w:rsid w:val="00C75750"/>
    <w:rsid w:val="00C75881"/>
    <w:rsid w:val="00C758F2"/>
    <w:rsid w:val="00C7593A"/>
    <w:rsid w:val="00C7595D"/>
    <w:rsid w:val="00C759AD"/>
    <w:rsid w:val="00C75A14"/>
    <w:rsid w:val="00C75B2E"/>
    <w:rsid w:val="00C75BBA"/>
    <w:rsid w:val="00C75BDF"/>
    <w:rsid w:val="00C75C9C"/>
    <w:rsid w:val="00C75F63"/>
    <w:rsid w:val="00C76020"/>
    <w:rsid w:val="00C7607A"/>
    <w:rsid w:val="00C760CE"/>
    <w:rsid w:val="00C760EC"/>
    <w:rsid w:val="00C761FC"/>
    <w:rsid w:val="00C762BF"/>
    <w:rsid w:val="00C763D7"/>
    <w:rsid w:val="00C764F3"/>
    <w:rsid w:val="00C765FE"/>
    <w:rsid w:val="00C76675"/>
    <w:rsid w:val="00C76690"/>
    <w:rsid w:val="00C7682C"/>
    <w:rsid w:val="00C768C7"/>
    <w:rsid w:val="00C76938"/>
    <w:rsid w:val="00C769CC"/>
    <w:rsid w:val="00C76B24"/>
    <w:rsid w:val="00C76B8C"/>
    <w:rsid w:val="00C76BB5"/>
    <w:rsid w:val="00C76BC8"/>
    <w:rsid w:val="00C76D44"/>
    <w:rsid w:val="00C76E3F"/>
    <w:rsid w:val="00C76F1B"/>
    <w:rsid w:val="00C76F2B"/>
    <w:rsid w:val="00C76F35"/>
    <w:rsid w:val="00C76F76"/>
    <w:rsid w:val="00C7705D"/>
    <w:rsid w:val="00C770A4"/>
    <w:rsid w:val="00C770FA"/>
    <w:rsid w:val="00C77101"/>
    <w:rsid w:val="00C77181"/>
    <w:rsid w:val="00C77194"/>
    <w:rsid w:val="00C772BB"/>
    <w:rsid w:val="00C774B9"/>
    <w:rsid w:val="00C77500"/>
    <w:rsid w:val="00C7757B"/>
    <w:rsid w:val="00C775C8"/>
    <w:rsid w:val="00C77613"/>
    <w:rsid w:val="00C77659"/>
    <w:rsid w:val="00C778DB"/>
    <w:rsid w:val="00C778F1"/>
    <w:rsid w:val="00C77A40"/>
    <w:rsid w:val="00C77A79"/>
    <w:rsid w:val="00C77A8C"/>
    <w:rsid w:val="00C77AB6"/>
    <w:rsid w:val="00C77B25"/>
    <w:rsid w:val="00C77C1C"/>
    <w:rsid w:val="00C77C41"/>
    <w:rsid w:val="00C77E19"/>
    <w:rsid w:val="00C77EC0"/>
    <w:rsid w:val="00C80037"/>
    <w:rsid w:val="00C80042"/>
    <w:rsid w:val="00C80094"/>
    <w:rsid w:val="00C8010E"/>
    <w:rsid w:val="00C80227"/>
    <w:rsid w:val="00C8023D"/>
    <w:rsid w:val="00C803E1"/>
    <w:rsid w:val="00C80419"/>
    <w:rsid w:val="00C804BB"/>
    <w:rsid w:val="00C80583"/>
    <w:rsid w:val="00C805D6"/>
    <w:rsid w:val="00C805F7"/>
    <w:rsid w:val="00C80624"/>
    <w:rsid w:val="00C80643"/>
    <w:rsid w:val="00C80678"/>
    <w:rsid w:val="00C80773"/>
    <w:rsid w:val="00C8091D"/>
    <w:rsid w:val="00C80A14"/>
    <w:rsid w:val="00C80BA4"/>
    <w:rsid w:val="00C80D29"/>
    <w:rsid w:val="00C80D63"/>
    <w:rsid w:val="00C80EBB"/>
    <w:rsid w:val="00C80F75"/>
    <w:rsid w:val="00C80F80"/>
    <w:rsid w:val="00C811ED"/>
    <w:rsid w:val="00C81276"/>
    <w:rsid w:val="00C8132F"/>
    <w:rsid w:val="00C81336"/>
    <w:rsid w:val="00C813F0"/>
    <w:rsid w:val="00C81462"/>
    <w:rsid w:val="00C814A0"/>
    <w:rsid w:val="00C814DB"/>
    <w:rsid w:val="00C814F6"/>
    <w:rsid w:val="00C815FD"/>
    <w:rsid w:val="00C81670"/>
    <w:rsid w:val="00C81779"/>
    <w:rsid w:val="00C81858"/>
    <w:rsid w:val="00C819AD"/>
    <w:rsid w:val="00C819D8"/>
    <w:rsid w:val="00C81A18"/>
    <w:rsid w:val="00C81A9A"/>
    <w:rsid w:val="00C81B28"/>
    <w:rsid w:val="00C81C35"/>
    <w:rsid w:val="00C81C42"/>
    <w:rsid w:val="00C81C73"/>
    <w:rsid w:val="00C81CC1"/>
    <w:rsid w:val="00C81DFB"/>
    <w:rsid w:val="00C81E3C"/>
    <w:rsid w:val="00C81EA8"/>
    <w:rsid w:val="00C81ED6"/>
    <w:rsid w:val="00C81EEF"/>
    <w:rsid w:val="00C81F0E"/>
    <w:rsid w:val="00C81FB5"/>
    <w:rsid w:val="00C82061"/>
    <w:rsid w:val="00C822FD"/>
    <w:rsid w:val="00C82358"/>
    <w:rsid w:val="00C82546"/>
    <w:rsid w:val="00C8262B"/>
    <w:rsid w:val="00C826B0"/>
    <w:rsid w:val="00C8289C"/>
    <w:rsid w:val="00C828BB"/>
    <w:rsid w:val="00C82A92"/>
    <w:rsid w:val="00C82AA7"/>
    <w:rsid w:val="00C82C77"/>
    <w:rsid w:val="00C82CE6"/>
    <w:rsid w:val="00C82D03"/>
    <w:rsid w:val="00C82D60"/>
    <w:rsid w:val="00C82D84"/>
    <w:rsid w:val="00C82DCE"/>
    <w:rsid w:val="00C82E92"/>
    <w:rsid w:val="00C82EA0"/>
    <w:rsid w:val="00C82EB5"/>
    <w:rsid w:val="00C82EED"/>
    <w:rsid w:val="00C831DB"/>
    <w:rsid w:val="00C832BD"/>
    <w:rsid w:val="00C833B6"/>
    <w:rsid w:val="00C833C3"/>
    <w:rsid w:val="00C833D6"/>
    <w:rsid w:val="00C834ED"/>
    <w:rsid w:val="00C8370B"/>
    <w:rsid w:val="00C83729"/>
    <w:rsid w:val="00C8380C"/>
    <w:rsid w:val="00C83AA8"/>
    <w:rsid w:val="00C83B23"/>
    <w:rsid w:val="00C83C44"/>
    <w:rsid w:val="00C83C9A"/>
    <w:rsid w:val="00C83D2B"/>
    <w:rsid w:val="00C83D82"/>
    <w:rsid w:val="00C83D86"/>
    <w:rsid w:val="00C83DA7"/>
    <w:rsid w:val="00C83E5F"/>
    <w:rsid w:val="00C83E6F"/>
    <w:rsid w:val="00C83EF2"/>
    <w:rsid w:val="00C83F1C"/>
    <w:rsid w:val="00C84037"/>
    <w:rsid w:val="00C8407B"/>
    <w:rsid w:val="00C84080"/>
    <w:rsid w:val="00C8411B"/>
    <w:rsid w:val="00C841A3"/>
    <w:rsid w:val="00C842C9"/>
    <w:rsid w:val="00C84395"/>
    <w:rsid w:val="00C84677"/>
    <w:rsid w:val="00C8473E"/>
    <w:rsid w:val="00C847CE"/>
    <w:rsid w:val="00C84803"/>
    <w:rsid w:val="00C84985"/>
    <w:rsid w:val="00C84A45"/>
    <w:rsid w:val="00C84A69"/>
    <w:rsid w:val="00C84B88"/>
    <w:rsid w:val="00C84C4C"/>
    <w:rsid w:val="00C84E02"/>
    <w:rsid w:val="00C850A3"/>
    <w:rsid w:val="00C85230"/>
    <w:rsid w:val="00C8526B"/>
    <w:rsid w:val="00C8532D"/>
    <w:rsid w:val="00C85345"/>
    <w:rsid w:val="00C853A9"/>
    <w:rsid w:val="00C855B8"/>
    <w:rsid w:val="00C856CB"/>
    <w:rsid w:val="00C8572B"/>
    <w:rsid w:val="00C85753"/>
    <w:rsid w:val="00C857D4"/>
    <w:rsid w:val="00C85897"/>
    <w:rsid w:val="00C859F0"/>
    <w:rsid w:val="00C85A1F"/>
    <w:rsid w:val="00C85A28"/>
    <w:rsid w:val="00C85A8E"/>
    <w:rsid w:val="00C85BF5"/>
    <w:rsid w:val="00C85C48"/>
    <w:rsid w:val="00C85D81"/>
    <w:rsid w:val="00C85E63"/>
    <w:rsid w:val="00C85EC6"/>
    <w:rsid w:val="00C86123"/>
    <w:rsid w:val="00C8622B"/>
    <w:rsid w:val="00C862B6"/>
    <w:rsid w:val="00C86394"/>
    <w:rsid w:val="00C863B2"/>
    <w:rsid w:val="00C8643E"/>
    <w:rsid w:val="00C8648E"/>
    <w:rsid w:val="00C8649A"/>
    <w:rsid w:val="00C866A8"/>
    <w:rsid w:val="00C86960"/>
    <w:rsid w:val="00C8696E"/>
    <w:rsid w:val="00C86B7A"/>
    <w:rsid w:val="00C86C0E"/>
    <w:rsid w:val="00C86CC9"/>
    <w:rsid w:val="00C86D3D"/>
    <w:rsid w:val="00C86D86"/>
    <w:rsid w:val="00C86DAF"/>
    <w:rsid w:val="00C86E3E"/>
    <w:rsid w:val="00C86EB0"/>
    <w:rsid w:val="00C86F13"/>
    <w:rsid w:val="00C870F5"/>
    <w:rsid w:val="00C87106"/>
    <w:rsid w:val="00C87129"/>
    <w:rsid w:val="00C87190"/>
    <w:rsid w:val="00C87439"/>
    <w:rsid w:val="00C874C2"/>
    <w:rsid w:val="00C87577"/>
    <w:rsid w:val="00C87598"/>
    <w:rsid w:val="00C875AA"/>
    <w:rsid w:val="00C876E9"/>
    <w:rsid w:val="00C878F4"/>
    <w:rsid w:val="00C8794E"/>
    <w:rsid w:val="00C87993"/>
    <w:rsid w:val="00C87A09"/>
    <w:rsid w:val="00C87B80"/>
    <w:rsid w:val="00C87B92"/>
    <w:rsid w:val="00C87BB5"/>
    <w:rsid w:val="00C87BFA"/>
    <w:rsid w:val="00C87D4D"/>
    <w:rsid w:val="00C87D8F"/>
    <w:rsid w:val="00C87D94"/>
    <w:rsid w:val="00C87E85"/>
    <w:rsid w:val="00C87EA4"/>
    <w:rsid w:val="00C87F26"/>
    <w:rsid w:val="00C87FA7"/>
    <w:rsid w:val="00C90248"/>
    <w:rsid w:val="00C90376"/>
    <w:rsid w:val="00C903E4"/>
    <w:rsid w:val="00C90473"/>
    <w:rsid w:val="00C90501"/>
    <w:rsid w:val="00C9050A"/>
    <w:rsid w:val="00C90517"/>
    <w:rsid w:val="00C90566"/>
    <w:rsid w:val="00C905AB"/>
    <w:rsid w:val="00C905F1"/>
    <w:rsid w:val="00C9069F"/>
    <w:rsid w:val="00C9078E"/>
    <w:rsid w:val="00C90850"/>
    <w:rsid w:val="00C90861"/>
    <w:rsid w:val="00C90B63"/>
    <w:rsid w:val="00C90B77"/>
    <w:rsid w:val="00C90C3D"/>
    <w:rsid w:val="00C90C6E"/>
    <w:rsid w:val="00C90CD4"/>
    <w:rsid w:val="00C90D58"/>
    <w:rsid w:val="00C90FD6"/>
    <w:rsid w:val="00C90FE8"/>
    <w:rsid w:val="00C9112C"/>
    <w:rsid w:val="00C911B4"/>
    <w:rsid w:val="00C911D9"/>
    <w:rsid w:val="00C9138E"/>
    <w:rsid w:val="00C913E9"/>
    <w:rsid w:val="00C91459"/>
    <w:rsid w:val="00C914CD"/>
    <w:rsid w:val="00C914F9"/>
    <w:rsid w:val="00C914FE"/>
    <w:rsid w:val="00C9170F"/>
    <w:rsid w:val="00C917A3"/>
    <w:rsid w:val="00C917EC"/>
    <w:rsid w:val="00C917FF"/>
    <w:rsid w:val="00C919B5"/>
    <w:rsid w:val="00C919DB"/>
    <w:rsid w:val="00C91A50"/>
    <w:rsid w:val="00C91A96"/>
    <w:rsid w:val="00C91AE2"/>
    <w:rsid w:val="00C91BED"/>
    <w:rsid w:val="00C91CC0"/>
    <w:rsid w:val="00C91D78"/>
    <w:rsid w:val="00C91DF2"/>
    <w:rsid w:val="00C91F1F"/>
    <w:rsid w:val="00C92026"/>
    <w:rsid w:val="00C9204C"/>
    <w:rsid w:val="00C92071"/>
    <w:rsid w:val="00C920DB"/>
    <w:rsid w:val="00C921A0"/>
    <w:rsid w:val="00C921A1"/>
    <w:rsid w:val="00C92292"/>
    <w:rsid w:val="00C92364"/>
    <w:rsid w:val="00C923B5"/>
    <w:rsid w:val="00C9249E"/>
    <w:rsid w:val="00C924CD"/>
    <w:rsid w:val="00C925BA"/>
    <w:rsid w:val="00C925EF"/>
    <w:rsid w:val="00C9265A"/>
    <w:rsid w:val="00C926F6"/>
    <w:rsid w:val="00C928D2"/>
    <w:rsid w:val="00C92958"/>
    <w:rsid w:val="00C929A8"/>
    <w:rsid w:val="00C92A06"/>
    <w:rsid w:val="00C92A1B"/>
    <w:rsid w:val="00C92AFD"/>
    <w:rsid w:val="00C92B3C"/>
    <w:rsid w:val="00C92B67"/>
    <w:rsid w:val="00C92CB7"/>
    <w:rsid w:val="00C92E44"/>
    <w:rsid w:val="00C92E7E"/>
    <w:rsid w:val="00C92F18"/>
    <w:rsid w:val="00C9315A"/>
    <w:rsid w:val="00C931C2"/>
    <w:rsid w:val="00C9320C"/>
    <w:rsid w:val="00C93216"/>
    <w:rsid w:val="00C932AF"/>
    <w:rsid w:val="00C932E5"/>
    <w:rsid w:val="00C93399"/>
    <w:rsid w:val="00C934E7"/>
    <w:rsid w:val="00C93573"/>
    <w:rsid w:val="00C93694"/>
    <w:rsid w:val="00C936A9"/>
    <w:rsid w:val="00C938B1"/>
    <w:rsid w:val="00C93A0C"/>
    <w:rsid w:val="00C93A4A"/>
    <w:rsid w:val="00C93AAC"/>
    <w:rsid w:val="00C93B0D"/>
    <w:rsid w:val="00C93B22"/>
    <w:rsid w:val="00C93B43"/>
    <w:rsid w:val="00C93B6F"/>
    <w:rsid w:val="00C93DDE"/>
    <w:rsid w:val="00C93F0F"/>
    <w:rsid w:val="00C93FF2"/>
    <w:rsid w:val="00C94153"/>
    <w:rsid w:val="00C941AE"/>
    <w:rsid w:val="00C9421E"/>
    <w:rsid w:val="00C94280"/>
    <w:rsid w:val="00C942B3"/>
    <w:rsid w:val="00C942C3"/>
    <w:rsid w:val="00C943AB"/>
    <w:rsid w:val="00C944BD"/>
    <w:rsid w:val="00C944C8"/>
    <w:rsid w:val="00C94671"/>
    <w:rsid w:val="00C94686"/>
    <w:rsid w:val="00C946C2"/>
    <w:rsid w:val="00C94716"/>
    <w:rsid w:val="00C948D3"/>
    <w:rsid w:val="00C94A11"/>
    <w:rsid w:val="00C94A15"/>
    <w:rsid w:val="00C94A3D"/>
    <w:rsid w:val="00C94AB9"/>
    <w:rsid w:val="00C94AF4"/>
    <w:rsid w:val="00C94BAB"/>
    <w:rsid w:val="00C94D0B"/>
    <w:rsid w:val="00C94E2B"/>
    <w:rsid w:val="00C94E2D"/>
    <w:rsid w:val="00C94E99"/>
    <w:rsid w:val="00C94FE5"/>
    <w:rsid w:val="00C95036"/>
    <w:rsid w:val="00C95054"/>
    <w:rsid w:val="00C9506A"/>
    <w:rsid w:val="00C95119"/>
    <w:rsid w:val="00C95162"/>
    <w:rsid w:val="00C95181"/>
    <w:rsid w:val="00C951B4"/>
    <w:rsid w:val="00C95361"/>
    <w:rsid w:val="00C954DF"/>
    <w:rsid w:val="00C9551E"/>
    <w:rsid w:val="00C955C7"/>
    <w:rsid w:val="00C955CA"/>
    <w:rsid w:val="00C95647"/>
    <w:rsid w:val="00C956B4"/>
    <w:rsid w:val="00C95764"/>
    <w:rsid w:val="00C957F3"/>
    <w:rsid w:val="00C958CC"/>
    <w:rsid w:val="00C95931"/>
    <w:rsid w:val="00C959B4"/>
    <w:rsid w:val="00C95AD9"/>
    <w:rsid w:val="00C95ADA"/>
    <w:rsid w:val="00C95B52"/>
    <w:rsid w:val="00C95DF6"/>
    <w:rsid w:val="00C95E2F"/>
    <w:rsid w:val="00C95FD2"/>
    <w:rsid w:val="00C95FF4"/>
    <w:rsid w:val="00C960CB"/>
    <w:rsid w:val="00C96215"/>
    <w:rsid w:val="00C96278"/>
    <w:rsid w:val="00C96289"/>
    <w:rsid w:val="00C962B7"/>
    <w:rsid w:val="00C9632C"/>
    <w:rsid w:val="00C96352"/>
    <w:rsid w:val="00C9636E"/>
    <w:rsid w:val="00C963E1"/>
    <w:rsid w:val="00C96444"/>
    <w:rsid w:val="00C96447"/>
    <w:rsid w:val="00C96451"/>
    <w:rsid w:val="00C967B2"/>
    <w:rsid w:val="00C967E1"/>
    <w:rsid w:val="00C96881"/>
    <w:rsid w:val="00C968FE"/>
    <w:rsid w:val="00C96926"/>
    <w:rsid w:val="00C96959"/>
    <w:rsid w:val="00C96BE2"/>
    <w:rsid w:val="00C96BEB"/>
    <w:rsid w:val="00C96DF6"/>
    <w:rsid w:val="00C96E29"/>
    <w:rsid w:val="00C96F22"/>
    <w:rsid w:val="00C96F89"/>
    <w:rsid w:val="00C96F96"/>
    <w:rsid w:val="00C96FAB"/>
    <w:rsid w:val="00C9712F"/>
    <w:rsid w:val="00C97133"/>
    <w:rsid w:val="00C97144"/>
    <w:rsid w:val="00C97274"/>
    <w:rsid w:val="00C9728D"/>
    <w:rsid w:val="00C9736D"/>
    <w:rsid w:val="00C973C0"/>
    <w:rsid w:val="00C974C2"/>
    <w:rsid w:val="00C974D5"/>
    <w:rsid w:val="00C97535"/>
    <w:rsid w:val="00C97571"/>
    <w:rsid w:val="00C977EE"/>
    <w:rsid w:val="00C97813"/>
    <w:rsid w:val="00C97848"/>
    <w:rsid w:val="00C978DA"/>
    <w:rsid w:val="00C97A0A"/>
    <w:rsid w:val="00C97A2C"/>
    <w:rsid w:val="00C97B83"/>
    <w:rsid w:val="00C97BC8"/>
    <w:rsid w:val="00C97C2A"/>
    <w:rsid w:val="00C97E64"/>
    <w:rsid w:val="00C97F29"/>
    <w:rsid w:val="00C97F71"/>
    <w:rsid w:val="00CA00A4"/>
    <w:rsid w:val="00CA00CC"/>
    <w:rsid w:val="00CA0185"/>
    <w:rsid w:val="00CA02F5"/>
    <w:rsid w:val="00CA0659"/>
    <w:rsid w:val="00CA06A2"/>
    <w:rsid w:val="00CA06B7"/>
    <w:rsid w:val="00CA0944"/>
    <w:rsid w:val="00CA0966"/>
    <w:rsid w:val="00CA096A"/>
    <w:rsid w:val="00CA0CB2"/>
    <w:rsid w:val="00CA0DE6"/>
    <w:rsid w:val="00CA0E78"/>
    <w:rsid w:val="00CA0E9B"/>
    <w:rsid w:val="00CA0F6A"/>
    <w:rsid w:val="00CA0F89"/>
    <w:rsid w:val="00CA0F8C"/>
    <w:rsid w:val="00CA1080"/>
    <w:rsid w:val="00CA11B6"/>
    <w:rsid w:val="00CA1297"/>
    <w:rsid w:val="00CA15B0"/>
    <w:rsid w:val="00CA165B"/>
    <w:rsid w:val="00CA16A8"/>
    <w:rsid w:val="00CA192A"/>
    <w:rsid w:val="00CA1A39"/>
    <w:rsid w:val="00CA1A9F"/>
    <w:rsid w:val="00CA1B0E"/>
    <w:rsid w:val="00CA1BDD"/>
    <w:rsid w:val="00CA1C8F"/>
    <w:rsid w:val="00CA1CA7"/>
    <w:rsid w:val="00CA1D94"/>
    <w:rsid w:val="00CA1DD0"/>
    <w:rsid w:val="00CA21FC"/>
    <w:rsid w:val="00CA22D4"/>
    <w:rsid w:val="00CA2365"/>
    <w:rsid w:val="00CA2658"/>
    <w:rsid w:val="00CA27E5"/>
    <w:rsid w:val="00CA2816"/>
    <w:rsid w:val="00CA2888"/>
    <w:rsid w:val="00CA28A1"/>
    <w:rsid w:val="00CA29C7"/>
    <w:rsid w:val="00CA2B33"/>
    <w:rsid w:val="00CA2B3E"/>
    <w:rsid w:val="00CA2BE4"/>
    <w:rsid w:val="00CA2C74"/>
    <w:rsid w:val="00CA2C85"/>
    <w:rsid w:val="00CA2C9F"/>
    <w:rsid w:val="00CA2D63"/>
    <w:rsid w:val="00CA2D75"/>
    <w:rsid w:val="00CA2DC9"/>
    <w:rsid w:val="00CA2DEF"/>
    <w:rsid w:val="00CA2E6D"/>
    <w:rsid w:val="00CA2E90"/>
    <w:rsid w:val="00CA2EB5"/>
    <w:rsid w:val="00CA2EE3"/>
    <w:rsid w:val="00CA2FA6"/>
    <w:rsid w:val="00CA30C9"/>
    <w:rsid w:val="00CA31EC"/>
    <w:rsid w:val="00CA34A3"/>
    <w:rsid w:val="00CA34CB"/>
    <w:rsid w:val="00CA357B"/>
    <w:rsid w:val="00CA35ED"/>
    <w:rsid w:val="00CA3680"/>
    <w:rsid w:val="00CA36C6"/>
    <w:rsid w:val="00CA3811"/>
    <w:rsid w:val="00CA3831"/>
    <w:rsid w:val="00CA38EE"/>
    <w:rsid w:val="00CA393A"/>
    <w:rsid w:val="00CA3A54"/>
    <w:rsid w:val="00CA3A61"/>
    <w:rsid w:val="00CA3A87"/>
    <w:rsid w:val="00CA3B3B"/>
    <w:rsid w:val="00CA3B71"/>
    <w:rsid w:val="00CA3C22"/>
    <w:rsid w:val="00CA3C24"/>
    <w:rsid w:val="00CA3CF5"/>
    <w:rsid w:val="00CA3DF9"/>
    <w:rsid w:val="00CA3E0B"/>
    <w:rsid w:val="00CA3F56"/>
    <w:rsid w:val="00CA408A"/>
    <w:rsid w:val="00CA40D8"/>
    <w:rsid w:val="00CA41D8"/>
    <w:rsid w:val="00CA4290"/>
    <w:rsid w:val="00CA4303"/>
    <w:rsid w:val="00CA43B0"/>
    <w:rsid w:val="00CA44A9"/>
    <w:rsid w:val="00CA456F"/>
    <w:rsid w:val="00CA45C0"/>
    <w:rsid w:val="00CA45FE"/>
    <w:rsid w:val="00CA460E"/>
    <w:rsid w:val="00CA4646"/>
    <w:rsid w:val="00CA4663"/>
    <w:rsid w:val="00CA470B"/>
    <w:rsid w:val="00CA4840"/>
    <w:rsid w:val="00CA4854"/>
    <w:rsid w:val="00CA48C9"/>
    <w:rsid w:val="00CA4979"/>
    <w:rsid w:val="00CA4A5D"/>
    <w:rsid w:val="00CA4C6D"/>
    <w:rsid w:val="00CA4D53"/>
    <w:rsid w:val="00CA4E30"/>
    <w:rsid w:val="00CA4FDC"/>
    <w:rsid w:val="00CA5408"/>
    <w:rsid w:val="00CA5420"/>
    <w:rsid w:val="00CA542F"/>
    <w:rsid w:val="00CA547B"/>
    <w:rsid w:val="00CA5502"/>
    <w:rsid w:val="00CA55FB"/>
    <w:rsid w:val="00CA578A"/>
    <w:rsid w:val="00CA5895"/>
    <w:rsid w:val="00CA58E6"/>
    <w:rsid w:val="00CA5C13"/>
    <w:rsid w:val="00CA5DA9"/>
    <w:rsid w:val="00CA602C"/>
    <w:rsid w:val="00CA6033"/>
    <w:rsid w:val="00CA6048"/>
    <w:rsid w:val="00CA604D"/>
    <w:rsid w:val="00CA62B2"/>
    <w:rsid w:val="00CA62C9"/>
    <w:rsid w:val="00CA63B0"/>
    <w:rsid w:val="00CA63F1"/>
    <w:rsid w:val="00CA6534"/>
    <w:rsid w:val="00CA65EC"/>
    <w:rsid w:val="00CA661C"/>
    <w:rsid w:val="00CA6692"/>
    <w:rsid w:val="00CA6711"/>
    <w:rsid w:val="00CA6778"/>
    <w:rsid w:val="00CA6878"/>
    <w:rsid w:val="00CA68CA"/>
    <w:rsid w:val="00CA696B"/>
    <w:rsid w:val="00CA6993"/>
    <w:rsid w:val="00CA69D8"/>
    <w:rsid w:val="00CA69FA"/>
    <w:rsid w:val="00CA6A4A"/>
    <w:rsid w:val="00CA6A4B"/>
    <w:rsid w:val="00CA6B84"/>
    <w:rsid w:val="00CA6D2B"/>
    <w:rsid w:val="00CA6D2C"/>
    <w:rsid w:val="00CA6D5D"/>
    <w:rsid w:val="00CA6D87"/>
    <w:rsid w:val="00CA6F02"/>
    <w:rsid w:val="00CA7013"/>
    <w:rsid w:val="00CA719C"/>
    <w:rsid w:val="00CA71A4"/>
    <w:rsid w:val="00CA71B5"/>
    <w:rsid w:val="00CA722C"/>
    <w:rsid w:val="00CA72ED"/>
    <w:rsid w:val="00CA7382"/>
    <w:rsid w:val="00CA755E"/>
    <w:rsid w:val="00CA75C6"/>
    <w:rsid w:val="00CA7643"/>
    <w:rsid w:val="00CA788C"/>
    <w:rsid w:val="00CA7901"/>
    <w:rsid w:val="00CA797E"/>
    <w:rsid w:val="00CA79AB"/>
    <w:rsid w:val="00CA7A4B"/>
    <w:rsid w:val="00CA7A52"/>
    <w:rsid w:val="00CA7B2A"/>
    <w:rsid w:val="00CA7C25"/>
    <w:rsid w:val="00CA7E0F"/>
    <w:rsid w:val="00CA7E89"/>
    <w:rsid w:val="00CB014B"/>
    <w:rsid w:val="00CB01B2"/>
    <w:rsid w:val="00CB01BB"/>
    <w:rsid w:val="00CB0432"/>
    <w:rsid w:val="00CB0579"/>
    <w:rsid w:val="00CB06EA"/>
    <w:rsid w:val="00CB0776"/>
    <w:rsid w:val="00CB07DC"/>
    <w:rsid w:val="00CB0931"/>
    <w:rsid w:val="00CB0948"/>
    <w:rsid w:val="00CB094F"/>
    <w:rsid w:val="00CB0A6B"/>
    <w:rsid w:val="00CB0ADF"/>
    <w:rsid w:val="00CB0C97"/>
    <w:rsid w:val="00CB0CF7"/>
    <w:rsid w:val="00CB0E63"/>
    <w:rsid w:val="00CB0F4E"/>
    <w:rsid w:val="00CB0F80"/>
    <w:rsid w:val="00CB105B"/>
    <w:rsid w:val="00CB10B8"/>
    <w:rsid w:val="00CB120E"/>
    <w:rsid w:val="00CB1226"/>
    <w:rsid w:val="00CB1229"/>
    <w:rsid w:val="00CB1375"/>
    <w:rsid w:val="00CB1397"/>
    <w:rsid w:val="00CB1486"/>
    <w:rsid w:val="00CB15A4"/>
    <w:rsid w:val="00CB1626"/>
    <w:rsid w:val="00CB16E1"/>
    <w:rsid w:val="00CB16EA"/>
    <w:rsid w:val="00CB179B"/>
    <w:rsid w:val="00CB181D"/>
    <w:rsid w:val="00CB181F"/>
    <w:rsid w:val="00CB1A6E"/>
    <w:rsid w:val="00CB1BB7"/>
    <w:rsid w:val="00CB1BCB"/>
    <w:rsid w:val="00CB1C01"/>
    <w:rsid w:val="00CB1C45"/>
    <w:rsid w:val="00CB1CAB"/>
    <w:rsid w:val="00CB1D58"/>
    <w:rsid w:val="00CB1D7F"/>
    <w:rsid w:val="00CB1E23"/>
    <w:rsid w:val="00CB1EB0"/>
    <w:rsid w:val="00CB1ED9"/>
    <w:rsid w:val="00CB1EDB"/>
    <w:rsid w:val="00CB1F11"/>
    <w:rsid w:val="00CB200B"/>
    <w:rsid w:val="00CB2014"/>
    <w:rsid w:val="00CB2101"/>
    <w:rsid w:val="00CB2106"/>
    <w:rsid w:val="00CB217B"/>
    <w:rsid w:val="00CB220A"/>
    <w:rsid w:val="00CB2367"/>
    <w:rsid w:val="00CB24DC"/>
    <w:rsid w:val="00CB24F7"/>
    <w:rsid w:val="00CB2549"/>
    <w:rsid w:val="00CB2578"/>
    <w:rsid w:val="00CB25CF"/>
    <w:rsid w:val="00CB2768"/>
    <w:rsid w:val="00CB27FF"/>
    <w:rsid w:val="00CB2926"/>
    <w:rsid w:val="00CB298D"/>
    <w:rsid w:val="00CB2AB1"/>
    <w:rsid w:val="00CB2B94"/>
    <w:rsid w:val="00CB2C49"/>
    <w:rsid w:val="00CB2D6F"/>
    <w:rsid w:val="00CB2DD9"/>
    <w:rsid w:val="00CB2F4F"/>
    <w:rsid w:val="00CB306C"/>
    <w:rsid w:val="00CB3203"/>
    <w:rsid w:val="00CB32CE"/>
    <w:rsid w:val="00CB343A"/>
    <w:rsid w:val="00CB34B4"/>
    <w:rsid w:val="00CB355B"/>
    <w:rsid w:val="00CB358C"/>
    <w:rsid w:val="00CB367D"/>
    <w:rsid w:val="00CB36E9"/>
    <w:rsid w:val="00CB3831"/>
    <w:rsid w:val="00CB398D"/>
    <w:rsid w:val="00CB39D3"/>
    <w:rsid w:val="00CB3A7A"/>
    <w:rsid w:val="00CB3A86"/>
    <w:rsid w:val="00CB3B0A"/>
    <w:rsid w:val="00CB3B0D"/>
    <w:rsid w:val="00CB3B7A"/>
    <w:rsid w:val="00CB3B7B"/>
    <w:rsid w:val="00CB3DA4"/>
    <w:rsid w:val="00CB3DBA"/>
    <w:rsid w:val="00CB3DD9"/>
    <w:rsid w:val="00CB3DF4"/>
    <w:rsid w:val="00CB3E08"/>
    <w:rsid w:val="00CB3E47"/>
    <w:rsid w:val="00CB3E6D"/>
    <w:rsid w:val="00CB3F14"/>
    <w:rsid w:val="00CB4004"/>
    <w:rsid w:val="00CB415D"/>
    <w:rsid w:val="00CB42FD"/>
    <w:rsid w:val="00CB46CD"/>
    <w:rsid w:val="00CB484B"/>
    <w:rsid w:val="00CB49E7"/>
    <w:rsid w:val="00CB4AA9"/>
    <w:rsid w:val="00CB4AD7"/>
    <w:rsid w:val="00CB4B0D"/>
    <w:rsid w:val="00CB4D2F"/>
    <w:rsid w:val="00CB4DA7"/>
    <w:rsid w:val="00CB5111"/>
    <w:rsid w:val="00CB52F6"/>
    <w:rsid w:val="00CB5330"/>
    <w:rsid w:val="00CB5414"/>
    <w:rsid w:val="00CB55CB"/>
    <w:rsid w:val="00CB573D"/>
    <w:rsid w:val="00CB583A"/>
    <w:rsid w:val="00CB58AB"/>
    <w:rsid w:val="00CB58AD"/>
    <w:rsid w:val="00CB5962"/>
    <w:rsid w:val="00CB5965"/>
    <w:rsid w:val="00CB5B2A"/>
    <w:rsid w:val="00CB5B60"/>
    <w:rsid w:val="00CB5BF0"/>
    <w:rsid w:val="00CB5C84"/>
    <w:rsid w:val="00CB5E47"/>
    <w:rsid w:val="00CB5F75"/>
    <w:rsid w:val="00CB613B"/>
    <w:rsid w:val="00CB61E5"/>
    <w:rsid w:val="00CB6243"/>
    <w:rsid w:val="00CB62D0"/>
    <w:rsid w:val="00CB639F"/>
    <w:rsid w:val="00CB6457"/>
    <w:rsid w:val="00CB651C"/>
    <w:rsid w:val="00CB6532"/>
    <w:rsid w:val="00CB657C"/>
    <w:rsid w:val="00CB659B"/>
    <w:rsid w:val="00CB65A5"/>
    <w:rsid w:val="00CB65AE"/>
    <w:rsid w:val="00CB664E"/>
    <w:rsid w:val="00CB6869"/>
    <w:rsid w:val="00CB68AC"/>
    <w:rsid w:val="00CB6A41"/>
    <w:rsid w:val="00CB6AFC"/>
    <w:rsid w:val="00CB6B3D"/>
    <w:rsid w:val="00CB6C5B"/>
    <w:rsid w:val="00CB6CC5"/>
    <w:rsid w:val="00CB6CE9"/>
    <w:rsid w:val="00CB6D90"/>
    <w:rsid w:val="00CB6E39"/>
    <w:rsid w:val="00CB6E51"/>
    <w:rsid w:val="00CB70E7"/>
    <w:rsid w:val="00CB7257"/>
    <w:rsid w:val="00CB7292"/>
    <w:rsid w:val="00CB7393"/>
    <w:rsid w:val="00CB741A"/>
    <w:rsid w:val="00CB750E"/>
    <w:rsid w:val="00CB757C"/>
    <w:rsid w:val="00CB76A1"/>
    <w:rsid w:val="00CB76B9"/>
    <w:rsid w:val="00CB76D4"/>
    <w:rsid w:val="00CB7782"/>
    <w:rsid w:val="00CB77A1"/>
    <w:rsid w:val="00CB77BF"/>
    <w:rsid w:val="00CB77EC"/>
    <w:rsid w:val="00CB78DE"/>
    <w:rsid w:val="00CB7976"/>
    <w:rsid w:val="00CB7A9C"/>
    <w:rsid w:val="00CB7B0D"/>
    <w:rsid w:val="00CB7B53"/>
    <w:rsid w:val="00CB7BA2"/>
    <w:rsid w:val="00CB7C8B"/>
    <w:rsid w:val="00CB7CFF"/>
    <w:rsid w:val="00CB7D31"/>
    <w:rsid w:val="00CB7D55"/>
    <w:rsid w:val="00CB7D91"/>
    <w:rsid w:val="00CB7EEE"/>
    <w:rsid w:val="00CB7F46"/>
    <w:rsid w:val="00CB7F48"/>
    <w:rsid w:val="00CC0286"/>
    <w:rsid w:val="00CC02F8"/>
    <w:rsid w:val="00CC0363"/>
    <w:rsid w:val="00CC03E8"/>
    <w:rsid w:val="00CC0416"/>
    <w:rsid w:val="00CC052B"/>
    <w:rsid w:val="00CC05A3"/>
    <w:rsid w:val="00CC07BB"/>
    <w:rsid w:val="00CC08C5"/>
    <w:rsid w:val="00CC08E2"/>
    <w:rsid w:val="00CC0936"/>
    <w:rsid w:val="00CC09C0"/>
    <w:rsid w:val="00CC0AD6"/>
    <w:rsid w:val="00CC0B36"/>
    <w:rsid w:val="00CC0B6C"/>
    <w:rsid w:val="00CC0B79"/>
    <w:rsid w:val="00CC0C05"/>
    <w:rsid w:val="00CC0C26"/>
    <w:rsid w:val="00CC0CE9"/>
    <w:rsid w:val="00CC0D72"/>
    <w:rsid w:val="00CC0E34"/>
    <w:rsid w:val="00CC0E83"/>
    <w:rsid w:val="00CC0F47"/>
    <w:rsid w:val="00CC115E"/>
    <w:rsid w:val="00CC1257"/>
    <w:rsid w:val="00CC131E"/>
    <w:rsid w:val="00CC1346"/>
    <w:rsid w:val="00CC1357"/>
    <w:rsid w:val="00CC1377"/>
    <w:rsid w:val="00CC1393"/>
    <w:rsid w:val="00CC14E2"/>
    <w:rsid w:val="00CC1760"/>
    <w:rsid w:val="00CC181B"/>
    <w:rsid w:val="00CC187E"/>
    <w:rsid w:val="00CC19B4"/>
    <w:rsid w:val="00CC1C0E"/>
    <w:rsid w:val="00CC1C74"/>
    <w:rsid w:val="00CC1CCE"/>
    <w:rsid w:val="00CC1D0A"/>
    <w:rsid w:val="00CC1DDF"/>
    <w:rsid w:val="00CC1E1A"/>
    <w:rsid w:val="00CC1E54"/>
    <w:rsid w:val="00CC1F18"/>
    <w:rsid w:val="00CC2136"/>
    <w:rsid w:val="00CC21BF"/>
    <w:rsid w:val="00CC21F7"/>
    <w:rsid w:val="00CC2201"/>
    <w:rsid w:val="00CC2228"/>
    <w:rsid w:val="00CC237E"/>
    <w:rsid w:val="00CC24A6"/>
    <w:rsid w:val="00CC27F6"/>
    <w:rsid w:val="00CC2815"/>
    <w:rsid w:val="00CC2827"/>
    <w:rsid w:val="00CC2847"/>
    <w:rsid w:val="00CC28BE"/>
    <w:rsid w:val="00CC2917"/>
    <w:rsid w:val="00CC2A48"/>
    <w:rsid w:val="00CC2AD6"/>
    <w:rsid w:val="00CC2B2A"/>
    <w:rsid w:val="00CC2BB4"/>
    <w:rsid w:val="00CC2D68"/>
    <w:rsid w:val="00CC2F1B"/>
    <w:rsid w:val="00CC3176"/>
    <w:rsid w:val="00CC3213"/>
    <w:rsid w:val="00CC3239"/>
    <w:rsid w:val="00CC3302"/>
    <w:rsid w:val="00CC3312"/>
    <w:rsid w:val="00CC331E"/>
    <w:rsid w:val="00CC3333"/>
    <w:rsid w:val="00CC339B"/>
    <w:rsid w:val="00CC3603"/>
    <w:rsid w:val="00CC3766"/>
    <w:rsid w:val="00CC3888"/>
    <w:rsid w:val="00CC38F2"/>
    <w:rsid w:val="00CC3A62"/>
    <w:rsid w:val="00CC3AFB"/>
    <w:rsid w:val="00CC3B0F"/>
    <w:rsid w:val="00CC3BCB"/>
    <w:rsid w:val="00CC3BF0"/>
    <w:rsid w:val="00CC3D54"/>
    <w:rsid w:val="00CC3D5D"/>
    <w:rsid w:val="00CC3DBD"/>
    <w:rsid w:val="00CC3EFA"/>
    <w:rsid w:val="00CC4012"/>
    <w:rsid w:val="00CC4094"/>
    <w:rsid w:val="00CC4223"/>
    <w:rsid w:val="00CC4370"/>
    <w:rsid w:val="00CC4424"/>
    <w:rsid w:val="00CC4471"/>
    <w:rsid w:val="00CC4525"/>
    <w:rsid w:val="00CC454A"/>
    <w:rsid w:val="00CC4637"/>
    <w:rsid w:val="00CC46E2"/>
    <w:rsid w:val="00CC4837"/>
    <w:rsid w:val="00CC484B"/>
    <w:rsid w:val="00CC48DC"/>
    <w:rsid w:val="00CC496B"/>
    <w:rsid w:val="00CC4977"/>
    <w:rsid w:val="00CC4A43"/>
    <w:rsid w:val="00CC4C3E"/>
    <w:rsid w:val="00CC4C63"/>
    <w:rsid w:val="00CC4D03"/>
    <w:rsid w:val="00CC4E5F"/>
    <w:rsid w:val="00CC50F9"/>
    <w:rsid w:val="00CC5115"/>
    <w:rsid w:val="00CC5147"/>
    <w:rsid w:val="00CC520D"/>
    <w:rsid w:val="00CC524E"/>
    <w:rsid w:val="00CC5281"/>
    <w:rsid w:val="00CC53B7"/>
    <w:rsid w:val="00CC53FA"/>
    <w:rsid w:val="00CC544B"/>
    <w:rsid w:val="00CC54CA"/>
    <w:rsid w:val="00CC54D1"/>
    <w:rsid w:val="00CC56AE"/>
    <w:rsid w:val="00CC56F9"/>
    <w:rsid w:val="00CC5816"/>
    <w:rsid w:val="00CC5918"/>
    <w:rsid w:val="00CC5973"/>
    <w:rsid w:val="00CC59A2"/>
    <w:rsid w:val="00CC5A25"/>
    <w:rsid w:val="00CC5A64"/>
    <w:rsid w:val="00CC5A88"/>
    <w:rsid w:val="00CC5AC2"/>
    <w:rsid w:val="00CC5B9D"/>
    <w:rsid w:val="00CC5BBD"/>
    <w:rsid w:val="00CC5CE5"/>
    <w:rsid w:val="00CC5D34"/>
    <w:rsid w:val="00CC5DC2"/>
    <w:rsid w:val="00CC5E85"/>
    <w:rsid w:val="00CC5EAD"/>
    <w:rsid w:val="00CC5F36"/>
    <w:rsid w:val="00CC5F62"/>
    <w:rsid w:val="00CC5F71"/>
    <w:rsid w:val="00CC603F"/>
    <w:rsid w:val="00CC6257"/>
    <w:rsid w:val="00CC6338"/>
    <w:rsid w:val="00CC6424"/>
    <w:rsid w:val="00CC6457"/>
    <w:rsid w:val="00CC6482"/>
    <w:rsid w:val="00CC658D"/>
    <w:rsid w:val="00CC66DC"/>
    <w:rsid w:val="00CC6742"/>
    <w:rsid w:val="00CC674E"/>
    <w:rsid w:val="00CC6841"/>
    <w:rsid w:val="00CC6856"/>
    <w:rsid w:val="00CC69A7"/>
    <w:rsid w:val="00CC6A4D"/>
    <w:rsid w:val="00CC6AB3"/>
    <w:rsid w:val="00CC6B63"/>
    <w:rsid w:val="00CC6D89"/>
    <w:rsid w:val="00CC6E3D"/>
    <w:rsid w:val="00CC6EEA"/>
    <w:rsid w:val="00CC7071"/>
    <w:rsid w:val="00CC7098"/>
    <w:rsid w:val="00CC7240"/>
    <w:rsid w:val="00CC724D"/>
    <w:rsid w:val="00CC7297"/>
    <w:rsid w:val="00CC72C8"/>
    <w:rsid w:val="00CC72F2"/>
    <w:rsid w:val="00CC73B8"/>
    <w:rsid w:val="00CC7438"/>
    <w:rsid w:val="00CC7443"/>
    <w:rsid w:val="00CC7556"/>
    <w:rsid w:val="00CC75A9"/>
    <w:rsid w:val="00CC765A"/>
    <w:rsid w:val="00CC776D"/>
    <w:rsid w:val="00CC7778"/>
    <w:rsid w:val="00CC77E0"/>
    <w:rsid w:val="00CC783B"/>
    <w:rsid w:val="00CC7885"/>
    <w:rsid w:val="00CC7A15"/>
    <w:rsid w:val="00CC7AC7"/>
    <w:rsid w:val="00CC7BD4"/>
    <w:rsid w:val="00CC7ED6"/>
    <w:rsid w:val="00CD01A5"/>
    <w:rsid w:val="00CD022D"/>
    <w:rsid w:val="00CD028B"/>
    <w:rsid w:val="00CD0378"/>
    <w:rsid w:val="00CD041B"/>
    <w:rsid w:val="00CD055E"/>
    <w:rsid w:val="00CD059A"/>
    <w:rsid w:val="00CD05DE"/>
    <w:rsid w:val="00CD0791"/>
    <w:rsid w:val="00CD07D9"/>
    <w:rsid w:val="00CD07FE"/>
    <w:rsid w:val="00CD0908"/>
    <w:rsid w:val="00CD0A29"/>
    <w:rsid w:val="00CD0BF6"/>
    <w:rsid w:val="00CD0C79"/>
    <w:rsid w:val="00CD0D16"/>
    <w:rsid w:val="00CD0E1D"/>
    <w:rsid w:val="00CD0F12"/>
    <w:rsid w:val="00CD1021"/>
    <w:rsid w:val="00CD102F"/>
    <w:rsid w:val="00CD117D"/>
    <w:rsid w:val="00CD11E6"/>
    <w:rsid w:val="00CD123C"/>
    <w:rsid w:val="00CD1419"/>
    <w:rsid w:val="00CD154A"/>
    <w:rsid w:val="00CD159D"/>
    <w:rsid w:val="00CD16A1"/>
    <w:rsid w:val="00CD16CB"/>
    <w:rsid w:val="00CD1720"/>
    <w:rsid w:val="00CD1817"/>
    <w:rsid w:val="00CD18FB"/>
    <w:rsid w:val="00CD194E"/>
    <w:rsid w:val="00CD19D7"/>
    <w:rsid w:val="00CD1ABA"/>
    <w:rsid w:val="00CD1BF0"/>
    <w:rsid w:val="00CD1C0B"/>
    <w:rsid w:val="00CD1C14"/>
    <w:rsid w:val="00CD1C64"/>
    <w:rsid w:val="00CD1C73"/>
    <w:rsid w:val="00CD1C7F"/>
    <w:rsid w:val="00CD1D7D"/>
    <w:rsid w:val="00CD1E56"/>
    <w:rsid w:val="00CD1F9E"/>
    <w:rsid w:val="00CD2237"/>
    <w:rsid w:val="00CD223E"/>
    <w:rsid w:val="00CD224B"/>
    <w:rsid w:val="00CD230A"/>
    <w:rsid w:val="00CD233F"/>
    <w:rsid w:val="00CD237A"/>
    <w:rsid w:val="00CD23AC"/>
    <w:rsid w:val="00CD2419"/>
    <w:rsid w:val="00CD247B"/>
    <w:rsid w:val="00CD24A1"/>
    <w:rsid w:val="00CD2529"/>
    <w:rsid w:val="00CD25DC"/>
    <w:rsid w:val="00CD2627"/>
    <w:rsid w:val="00CD2661"/>
    <w:rsid w:val="00CD2680"/>
    <w:rsid w:val="00CD2719"/>
    <w:rsid w:val="00CD276D"/>
    <w:rsid w:val="00CD276F"/>
    <w:rsid w:val="00CD28E4"/>
    <w:rsid w:val="00CD2980"/>
    <w:rsid w:val="00CD29AC"/>
    <w:rsid w:val="00CD2ABB"/>
    <w:rsid w:val="00CD2AE5"/>
    <w:rsid w:val="00CD2B8D"/>
    <w:rsid w:val="00CD2BD9"/>
    <w:rsid w:val="00CD2C54"/>
    <w:rsid w:val="00CD2D57"/>
    <w:rsid w:val="00CD2DD4"/>
    <w:rsid w:val="00CD30C9"/>
    <w:rsid w:val="00CD3212"/>
    <w:rsid w:val="00CD3253"/>
    <w:rsid w:val="00CD32C8"/>
    <w:rsid w:val="00CD330A"/>
    <w:rsid w:val="00CD3401"/>
    <w:rsid w:val="00CD3424"/>
    <w:rsid w:val="00CD35E0"/>
    <w:rsid w:val="00CD35EB"/>
    <w:rsid w:val="00CD35F0"/>
    <w:rsid w:val="00CD38B5"/>
    <w:rsid w:val="00CD39A4"/>
    <w:rsid w:val="00CD3BFF"/>
    <w:rsid w:val="00CD3C15"/>
    <w:rsid w:val="00CD3D87"/>
    <w:rsid w:val="00CD3E1D"/>
    <w:rsid w:val="00CD3F1E"/>
    <w:rsid w:val="00CD3F3A"/>
    <w:rsid w:val="00CD3FE1"/>
    <w:rsid w:val="00CD402C"/>
    <w:rsid w:val="00CD403F"/>
    <w:rsid w:val="00CD40F7"/>
    <w:rsid w:val="00CD41B0"/>
    <w:rsid w:val="00CD42FA"/>
    <w:rsid w:val="00CD4408"/>
    <w:rsid w:val="00CD4507"/>
    <w:rsid w:val="00CD4578"/>
    <w:rsid w:val="00CD47A7"/>
    <w:rsid w:val="00CD47DD"/>
    <w:rsid w:val="00CD49FA"/>
    <w:rsid w:val="00CD4A26"/>
    <w:rsid w:val="00CD4A72"/>
    <w:rsid w:val="00CD4B06"/>
    <w:rsid w:val="00CD4BD0"/>
    <w:rsid w:val="00CD4BE2"/>
    <w:rsid w:val="00CD4CE4"/>
    <w:rsid w:val="00CD4D28"/>
    <w:rsid w:val="00CD4D46"/>
    <w:rsid w:val="00CD4EFC"/>
    <w:rsid w:val="00CD4F0B"/>
    <w:rsid w:val="00CD4F28"/>
    <w:rsid w:val="00CD5113"/>
    <w:rsid w:val="00CD529A"/>
    <w:rsid w:val="00CD52F6"/>
    <w:rsid w:val="00CD5373"/>
    <w:rsid w:val="00CD5413"/>
    <w:rsid w:val="00CD5466"/>
    <w:rsid w:val="00CD5476"/>
    <w:rsid w:val="00CD54F0"/>
    <w:rsid w:val="00CD5680"/>
    <w:rsid w:val="00CD5842"/>
    <w:rsid w:val="00CD5850"/>
    <w:rsid w:val="00CD5924"/>
    <w:rsid w:val="00CD5A72"/>
    <w:rsid w:val="00CD5AB7"/>
    <w:rsid w:val="00CD5B0C"/>
    <w:rsid w:val="00CD5B46"/>
    <w:rsid w:val="00CD5BED"/>
    <w:rsid w:val="00CD5C21"/>
    <w:rsid w:val="00CD5CA1"/>
    <w:rsid w:val="00CD5F7F"/>
    <w:rsid w:val="00CD5FB0"/>
    <w:rsid w:val="00CD5FB4"/>
    <w:rsid w:val="00CD615F"/>
    <w:rsid w:val="00CD6170"/>
    <w:rsid w:val="00CD617F"/>
    <w:rsid w:val="00CD6215"/>
    <w:rsid w:val="00CD621D"/>
    <w:rsid w:val="00CD622B"/>
    <w:rsid w:val="00CD6251"/>
    <w:rsid w:val="00CD6350"/>
    <w:rsid w:val="00CD63E5"/>
    <w:rsid w:val="00CD66EF"/>
    <w:rsid w:val="00CD6752"/>
    <w:rsid w:val="00CD67DE"/>
    <w:rsid w:val="00CD6AA8"/>
    <w:rsid w:val="00CD6AEE"/>
    <w:rsid w:val="00CD6B0C"/>
    <w:rsid w:val="00CD6B2D"/>
    <w:rsid w:val="00CD6F35"/>
    <w:rsid w:val="00CD6F68"/>
    <w:rsid w:val="00CD6FB5"/>
    <w:rsid w:val="00CD7057"/>
    <w:rsid w:val="00CD706C"/>
    <w:rsid w:val="00CD7119"/>
    <w:rsid w:val="00CD71A2"/>
    <w:rsid w:val="00CD71C1"/>
    <w:rsid w:val="00CD721A"/>
    <w:rsid w:val="00CD72BE"/>
    <w:rsid w:val="00CD72D9"/>
    <w:rsid w:val="00CD72DF"/>
    <w:rsid w:val="00CD7347"/>
    <w:rsid w:val="00CD73E0"/>
    <w:rsid w:val="00CD74B2"/>
    <w:rsid w:val="00CD75FC"/>
    <w:rsid w:val="00CD76B6"/>
    <w:rsid w:val="00CD7700"/>
    <w:rsid w:val="00CD7796"/>
    <w:rsid w:val="00CD77E6"/>
    <w:rsid w:val="00CD7955"/>
    <w:rsid w:val="00CD7989"/>
    <w:rsid w:val="00CD79E7"/>
    <w:rsid w:val="00CD7B21"/>
    <w:rsid w:val="00CD7CDA"/>
    <w:rsid w:val="00CD7DF5"/>
    <w:rsid w:val="00CD7E3C"/>
    <w:rsid w:val="00CD7EA6"/>
    <w:rsid w:val="00CD7F3A"/>
    <w:rsid w:val="00CD7F76"/>
    <w:rsid w:val="00CE0011"/>
    <w:rsid w:val="00CE0063"/>
    <w:rsid w:val="00CE022B"/>
    <w:rsid w:val="00CE022C"/>
    <w:rsid w:val="00CE02DB"/>
    <w:rsid w:val="00CE0331"/>
    <w:rsid w:val="00CE038B"/>
    <w:rsid w:val="00CE03FA"/>
    <w:rsid w:val="00CE048D"/>
    <w:rsid w:val="00CE051D"/>
    <w:rsid w:val="00CE06A3"/>
    <w:rsid w:val="00CE07B7"/>
    <w:rsid w:val="00CE085E"/>
    <w:rsid w:val="00CE0888"/>
    <w:rsid w:val="00CE08F1"/>
    <w:rsid w:val="00CE0904"/>
    <w:rsid w:val="00CE09D6"/>
    <w:rsid w:val="00CE0A86"/>
    <w:rsid w:val="00CE0AA8"/>
    <w:rsid w:val="00CE0C0B"/>
    <w:rsid w:val="00CE0D4E"/>
    <w:rsid w:val="00CE0D8B"/>
    <w:rsid w:val="00CE0E90"/>
    <w:rsid w:val="00CE0EF1"/>
    <w:rsid w:val="00CE10E1"/>
    <w:rsid w:val="00CE1144"/>
    <w:rsid w:val="00CE115E"/>
    <w:rsid w:val="00CE12A3"/>
    <w:rsid w:val="00CE1407"/>
    <w:rsid w:val="00CE147E"/>
    <w:rsid w:val="00CE163D"/>
    <w:rsid w:val="00CE16F2"/>
    <w:rsid w:val="00CE16FE"/>
    <w:rsid w:val="00CE1712"/>
    <w:rsid w:val="00CE1713"/>
    <w:rsid w:val="00CE177B"/>
    <w:rsid w:val="00CE18DD"/>
    <w:rsid w:val="00CE1905"/>
    <w:rsid w:val="00CE19CD"/>
    <w:rsid w:val="00CE1A19"/>
    <w:rsid w:val="00CE1B71"/>
    <w:rsid w:val="00CE1C19"/>
    <w:rsid w:val="00CE1D0D"/>
    <w:rsid w:val="00CE1D6C"/>
    <w:rsid w:val="00CE1E75"/>
    <w:rsid w:val="00CE1EA9"/>
    <w:rsid w:val="00CE1EBB"/>
    <w:rsid w:val="00CE2097"/>
    <w:rsid w:val="00CE2117"/>
    <w:rsid w:val="00CE2215"/>
    <w:rsid w:val="00CE22AC"/>
    <w:rsid w:val="00CE22C7"/>
    <w:rsid w:val="00CE22EC"/>
    <w:rsid w:val="00CE2450"/>
    <w:rsid w:val="00CE25A8"/>
    <w:rsid w:val="00CE25C6"/>
    <w:rsid w:val="00CE2607"/>
    <w:rsid w:val="00CE2733"/>
    <w:rsid w:val="00CE2766"/>
    <w:rsid w:val="00CE27DE"/>
    <w:rsid w:val="00CE27F8"/>
    <w:rsid w:val="00CE28B0"/>
    <w:rsid w:val="00CE28DE"/>
    <w:rsid w:val="00CE2BCC"/>
    <w:rsid w:val="00CE2CB7"/>
    <w:rsid w:val="00CE2CD3"/>
    <w:rsid w:val="00CE2DA1"/>
    <w:rsid w:val="00CE2DDE"/>
    <w:rsid w:val="00CE2F5F"/>
    <w:rsid w:val="00CE30AB"/>
    <w:rsid w:val="00CE31C5"/>
    <w:rsid w:val="00CE3240"/>
    <w:rsid w:val="00CE3281"/>
    <w:rsid w:val="00CE3329"/>
    <w:rsid w:val="00CE3382"/>
    <w:rsid w:val="00CE3384"/>
    <w:rsid w:val="00CE3418"/>
    <w:rsid w:val="00CE3476"/>
    <w:rsid w:val="00CE34B2"/>
    <w:rsid w:val="00CE35B0"/>
    <w:rsid w:val="00CE367B"/>
    <w:rsid w:val="00CE3749"/>
    <w:rsid w:val="00CE3795"/>
    <w:rsid w:val="00CE3931"/>
    <w:rsid w:val="00CE394F"/>
    <w:rsid w:val="00CE3AF2"/>
    <w:rsid w:val="00CE3B46"/>
    <w:rsid w:val="00CE3C00"/>
    <w:rsid w:val="00CE3D8A"/>
    <w:rsid w:val="00CE3DAF"/>
    <w:rsid w:val="00CE409B"/>
    <w:rsid w:val="00CE40B6"/>
    <w:rsid w:val="00CE4291"/>
    <w:rsid w:val="00CE42DE"/>
    <w:rsid w:val="00CE44A9"/>
    <w:rsid w:val="00CE45C0"/>
    <w:rsid w:val="00CE4688"/>
    <w:rsid w:val="00CE4704"/>
    <w:rsid w:val="00CE48A5"/>
    <w:rsid w:val="00CE4A55"/>
    <w:rsid w:val="00CE4A66"/>
    <w:rsid w:val="00CE4C59"/>
    <w:rsid w:val="00CE4CE8"/>
    <w:rsid w:val="00CE4D03"/>
    <w:rsid w:val="00CE4DD4"/>
    <w:rsid w:val="00CE4E36"/>
    <w:rsid w:val="00CE4E65"/>
    <w:rsid w:val="00CE4F25"/>
    <w:rsid w:val="00CE4F57"/>
    <w:rsid w:val="00CE4FBD"/>
    <w:rsid w:val="00CE5075"/>
    <w:rsid w:val="00CE50C4"/>
    <w:rsid w:val="00CE50DB"/>
    <w:rsid w:val="00CE545C"/>
    <w:rsid w:val="00CE5649"/>
    <w:rsid w:val="00CE57B0"/>
    <w:rsid w:val="00CE588B"/>
    <w:rsid w:val="00CE58F1"/>
    <w:rsid w:val="00CE59A6"/>
    <w:rsid w:val="00CE5A09"/>
    <w:rsid w:val="00CE5AE0"/>
    <w:rsid w:val="00CE5B88"/>
    <w:rsid w:val="00CE5C89"/>
    <w:rsid w:val="00CE5E24"/>
    <w:rsid w:val="00CE5E37"/>
    <w:rsid w:val="00CE5E5E"/>
    <w:rsid w:val="00CE5ECB"/>
    <w:rsid w:val="00CE5F8A"/>
    <w:rsid w:val="00CE60CC"/>
    <w:rsid w:val="00CE60DA"/>
    <w:rsid w:val="00CE6190"/>
    <w:rsid w:val="00CE62C5"/>
    <w:rsid w:val="00CE62EF"/>
    <w:rsid w:val="00CE6317"/>
    <w:rsid w:val="00CE64D8"/>
    <w:rsid w:val="00CE64FF"/>
    <w:rsid w:val="00CE65DE"/>
    <w:rsid w:val="00CE680C"/>
    <w:rsid w:val="00CE6867"/>
    <w:rsid w:val="00CE6879"/>
    <w:rsid w:val="00CE68D5"/>
    <w:rsid w:val="00CE6901"/>
    <w:rsid w:val="00CE6A4D"/>
    <w:rsid w:val="00CE6A94"/>
    <w:rsid w:val="00CE6B18"/>
    <w:rsid w:val="00CE6B58"/>
    <w:rsid w:val="00CE6B78"/>
    <w:rsid w:val="00CE6BAA"/>
    <w:rsid w:val="00CE6BBD"/>
    <w:rsid w:val="00CE6BCF"/>
    <w:rsid w:val="00CE6CBF"/>
    <w:rsid w:val="00CE6D3F"/>
    <w:rsid w:val="00CE6D4C"/>
    <w:rsid w:val="00CE6DA0"/>
    <w:rsid w:val="00CE6DB9"/>
    <w:rsid w:val="00CE6DDE"/>
    <w:rsid w:val="00CE6E55"/>
    <w:rsid w:val="00CE6E7A"/>
    <w:rsid w:val="00CE6EEC"/>
    <w:rsid w:val="00CE6EF1"/>
    <w:rsid w:val="00CE6F42"/>
    <w:rsid w:val="00CE6FFF"/>
    <w:rsid w:val="00CE7173"/>
    <w:rsid w:val="00CE7187"/>
    <w:rsid w:val="00CE7337"/>
    <w:rsid w:val="00CE7399"/>
    <w:rsid w:val="00CE739F"/>
    <w:rsid w:val="00CE73CB"/>
    <w:rsid w:val="00CE744D"/>
    <w:rsid w:val="00CE759A"/>
    <w:rsid w:val="00CE7630"/>
    <w:rsid w:val="00CE76A9"/>
    <w:rsid w:val="00CE778B"/>
    <w:rsid w:val="00CE7B18"/>
    <w:rsid w:val="00CE7BEF"/>
    <w:rsid w:val="00CE7BFF"/>
    <w:rsid w:val="00CE7E86"/>
    <w:rsid w:val="00CE7EFE"/>
    <w:rsid w:val="00CE7FE9"/>
    <w:rsid w:val="00CF000C"/>
    <w:rsid w:val="00CF0026"/>
    <w:rsid w:val="00CF016D"/>
    <w:rsid w:val="00CF0180"/>
    <w:rsid w:val="00CF01DF"/>
    <w:rsid w:val="00CF02E2"/>
    <w:rsid w:val="00CF02FE"/>
    <w:rsid w:val="00CF0318"/>
    <w:rsid w:val="00CF0395"/>
    <w:rsid w:val="00CF03D5"/>
    <w:rsid w:val="00CF03E8"/>
    <w:rsid w:val="00CF059E"/>
    <w:rsid w:val="00CF06E6"/>
    <w:rsid w:val="00CF06FE"/>
    <w:rsid w:val="00CF0753"/>
    <w:rsid w:val="00CF07C4"/>
    <w:rsid w:val="00CF097D"/>
    <w:rsid w:val="00CF0AC4"/>
    <w:rsid w:val="00CF0ADE"/>
    <w:rsid w:val="00CF0BBE"/>
    <w:rsid w:val="00CF0C76"/>
    <w:rsid w:val="00CF0C8D"/>
    <w:rsid w:val="00CF0CC8"/>
    <w:rsid w:val="00CF0EA5"/>
    <w:rsid w:val="00CF119C"/>
    <w:rsid w:val="00CF12AC"/>
    <w:rsid w:val="00CF150F"/>
    <w:rsid w:val="00CF15D9"/>
    <w:rsid w:val="00CF1693"/>
    <w:rsid w:val="00CF1793"/>
    <w:rsid w:val="00CF1797"/>
    <w:rsid w:val="00CF195B"/>
    <w:rsid w:val="00CF19FE"/>
    <w:rsid w:val="00CF1A2A"/>
    <w:rsid w:val="00CF1A2D"/>
    <w:rsid w:val="00CF1B6B"/>
    <w:rsid w:val="00CF1C38"/>
    <w:rsid w:val="00CF1CF9"/>
    <w:rsid w:val="00CF1E4C"/>
    <w:rsid w:val="00CF1F21"/>
    <w:rsid w:val="00CF1F56"/>
    <w:rsid w:val="00CF216C"/>
    <w:rsid w:val="00CF2181"/>
    <w:rsid w:val="00CF21B9"/>
    <w:rsid w:val="00CF2238"/>
    <w:rsid w:val="00CF2483"/>
    <w:rsid w:val="00CF255D"/>
    <w:rsid w:val="00CF25BF"/>
    <w:rsid w:val="00CF2862"/>
    <w:rsid w:val="00CF2881"/>
    <w:rsid w:val="00CF28F9"/>
    <w:rsid w:val="00CF2A8F"/>
    <w:rsid w:val="00CF2AC3"/>
    <w:rsid w:val="00CF2D73"/>
    <w:rsid w:val="00CF2E2F"/>
    <w:rsid w:val="00CF2E88"/>
    <w:rsid w:val="00CF2FDF"/>
    <w:rsid w:val="00CF3057"/>
    <w:rsid w:val="00CF30FA"/>
    <w:rsid w:val="00CF318A"/>
    <w:rsid w:val="00CF31BA"/>
    <w:rsid w:val="00CF31BB"/>
    <w:rsid w:val="00CF32D2"/>
    <w:rsid w:val="00CF3443"/>
    <w:rsid w:val="00CF362C"/>
    <w:rsid w:val="00CF36A0"/>
    <w:rsid w:val="00CF37BA"/>
    <w:rsid w:val="00CF3803"/>
    <w:rsid w:val="00CF39BC"/>
    <w:rsid w:val="00CF39C4"/>
    <w:rsid w:val="00CF3AE2"/>
    <w:rsid w:val="00CF3B6B"/>
    <w:rsid w:val="00CF3CB4"/>
    <w:rsid w:val="00CF3D0C"/>
    <w:rsid w:val="00CF3D37"/>
    <w:rsid w:val="00CF3D4C"/>
    <w:rsid w:val="00CF3D86"/>
    <w:rsid w:val="00CF3FFA"/>
    <w:rsid w:val="00CF40C6"/>
    <w:rsid w:val="00CF4133"/>
    <w:rsid w:val="00CF418E"/>
    <w:rsid w:val="00CF41A0"/>
    <w:rsid w:val="00CF41A5"/>
    <w:rsid w:val="00CF4227"/>
    <w:rsid w:val="00CF426D"/>
    <w:rsid w:val="00CF42D2"/>
    <w:rsid w:val="00CF42D5"/>
    <w:rsid w:val="00CF4429"/>
    <w:rsid w:val="00CF457D"/>
    <w:rsid w:val="00CF459C"/>
    <w:rsid w:val="00CF464B"/>
    <w:rsid w:val="00CF4657"/>
    <w:rsid w:val="00CF46CE"/>
    <w:rsid w:val="00CF46F5"/>
    <w:rsid w:val="00CF4998"/>
    <w:rsid w:val="00CF49B5"/>
    <w:rsid w:val="00CF4A05"/>
    <w:rsid w:val="00CF4BA3"/>
    <w:rsid w:val="00CF4BF6"/>
    <w:rsid w:val="00CF4CEE"/>
    <w:rsid w:val="00CF4D7E"/>
    <w:rsid w:val="00CF4ED9"/>
    <w:rsid w:val="00CF4F6F"/>
    <w:rsid w:val="00CF4F9B"/>
    <w:rsid w:val="00CF5038"/>
    <w:rsid w:val="00CF5050"/>
    <w:rsid w:val="00CF5058"/>
    <w:rsid w:val="00CF50E3"/>
    <w:rsid w:val="00CF51C0"/>
    <w:rsid w:val="00CF5547"/>
    <w:rsid w:val="00CF576B"/>
    <w:rsid w:val="00CF5A23"/>
    <w:rsid w:val="00CF5AC5"/>
    <w:rsid w:val="00CF5B79"/>
    <w:rsid w:val="00CF5BE0"/>
    <w:rsid w:val="00CF5BF4"/>
    <w:rsid w:val="00CF5C28"/>
    <w:rsid w:val="00CF5D97"/>
    <w:rsid w:val="00CF5E0C"/>
    <w:rsid w:val="00CF5EED"/>
    <w:rsid w:val="00CF5F10"/>
    <w:rsid w:val="00CF5F86"/>
    <w:rsid w:val="00CF6020"/>
    <w:rsid w:val="00CF61B0"/>
    <w:rsid w:val="00CF62DA"/>
    <w:rsid w:val="00CF637B"/>
    <w:rsid w:val="00CF6388"/>
    <w:rsid w:val="00CF63F6"/>
    <w:rsid w:val="00CF6411"/>
    <w:rsid w:val="00CF64D1"/>
    <w:rsid w:val="00CF669A"/>
    <w:rsid w:val="00CF670C"/>
    <w:rsid w:val="00CF672A"/>
    <w:rsid w:val="00CF697C"/>
    <w:rsid w:val="00CF6997"/>
    <w:rsid w:val="00CF69B0"/>
    <w:rsid w:val="00CF6A23"/>
    <w:rsid w:val="00CF6A39"/>
    <w:rsid w:val="00CF6A4E"/>
    <w:rsid w:val="00CF6AD7"/>
    <w:rsid w:val="00CF6D9E"/>
    <w:rsid w:val="00CF6DDB"/>
    <w:rsid w:val="00CF6F67"/>
    <w:rsid w:val="00CF7121"/>
    <w:rsid w:val="00CF7151"/>
    <w:rsid w:val="00CF71CF"/>
    <w:rsid w:val="00CF72E1"/>
    <w:rsid w:val="00CF730B"/>
    <w:rsid w:val="00CF74BD"/>
    <w:rsid w:val="00CF7539"/>
    <w:rsid w:val="00CF754F"/>
    <w:rsid w:val="00CF7565"/>
    <w:rsid w:val="00CF7630"/>
    <w:rsid w:val="00CF76A9"/>
    <w:rsid w:val="00CF76AD"/>
    <w:rsid w:val="00CF77DA"/>
    <w:rsid w:val="00CF77DB"/>
    <w:rsid w:val="00CF77E8"/>
    <w:rsid w:val="00CF7828"/>
    <w:rsid w:val="00CF7AAA"/>
    <w:rsid w:val="00CF7AAE"/>
    <w:rsid w:val="00CF7BA1"/>
    <w:rsid w:val="00CF7C57"/>
    <w:rsid w:val="00CF7CF3"/>
    <w:rsid w:val="00CF7D87"/>
    <w:rsid w:val="00D00058"/>
    <w:rsid w:val="00D00136"/>
    <w:rsid w:val="00D0029A"/>
    <w:rsid w:val="00D00358"/>
    <w:rsid w:val="00D0040E"/>
    <w:rsid w:val="00D00482"/>
    <w:rsid w:val="00D0055B"/>
    <w:rsid w:val="00D007CB"/>
    <w:rsid w:val="00D007DD"/>
    <w:rsid w:val="00D0081E"/>
    <w:rsid w:val="00D0089D"/>
    <w:rsid w:val="00D00ACF"/>
    <w:rsid w:val="00D00AE3"/>
    <w:rsid w:val="00D00D3C"/>
    <w:rsid w:val="00D00DAD"/>
    <w:rsid w:val="00D00E52"/>
    <w:rsid w:val="00D0112C"/>
    <w:rsid w:val="00D0119D"/>
    <w:rsid w:val="00D011A9"/>
    <w:rsid w:val="00D01293"/>
    <w:rsid w:val="00D0130A"/>
    <w:rsid w:val="00D01310"/>
    <w:rsid w:val="00D01317"/>
    <w:rsid w:val="00D01321"/>
    <w:rsid w:val="00D01670"/>
    <w:rsid w:val="00D0170B"/>
    <w:rsid w:val="00D01791"/>
    <w:rsid w:val="00D01797"/>
    <w:rsid w:val="00D0180C"/>
    <w:rsid w:val="00D01946"/>
    <w:rsid w:val="00D01B60"/>
    <w:rsid w:val="00D01DAB"/>
    <w:rsid w:val="00D01E48"/>
    <w:rsid w:val="00D01EE6"/>
    <w:rsid w:val="00D01F82"/>
    <w:rsid w:val="00D02050"/>
    <w:rsid w:val="00D0212D"/>
    <w:rsid w:val="00D0216D"/>
    <w:rsid w:val="00D021AD"/>
    <w:rsid w:val="00D0232D"/>
    <w:rsid w:val="00D0233B"/>
    <w:rsid w:val="00D023AA"/>
    <w:rsid w:val="00D0251C"/>
    <w:rsid w:val="00D02647"/>
    <w:rsid w:val="00D0285D"/>
    <w:rsid w:val="00D0292F"/>
    <w:rsid w:val="00D02978"/>
    <w:rsid w:val="00D02993"/>
    <w:rsid w:val="00D02AC7"/>
    <w:rsid w:val="00D02AF8"/>
    <w:rsid w:val="00D02AFD"/>
    <w:rsid w:val="00D02C59"/>
    <w:rsid w:val="00D02D8B"/>
    <w:rsid w:val="00D02DB9"/>
    <w:rsid w:val="00D02E54"/>
    <w:rsid w:val="00D02E7C"/>
    <w:rsid w:val="00D02F0C"/>
    <w:rsid w:val="00D02F79"/>
    <w:rsid w:val="00D030D3"/>
    <w:rsid w:val="00D030E3"/>
    <w:rsid w:val="00D030F6"/>
    <w:rsid w:val="00D031E7"/>
    <w:rsid w:val="00D03253"/>
    <w:rsid w:val="00D032D2"/>
    <w:rsid w:val="00D0335F"/>
    <w:rsid w:val="00D03482"/>
    <w:rsid w:val="00D034C2"/>
    <w:rsid w:val="00D03561"/>
    <w:rsid w:val="00D03599"/>
    <w:rsid w:val="00D035D9"/>
    <w:rsid w:val="00D03AFF"/>
    <w:rsid w:val="00D03B7F"/>
    <w:rsid w:val="00D03C0C"/>
    <w:rsid w:val="00D03C55"/>
    <w:rsid w:val="00D03CB0"/>
    <w:rsid w:val="00D03E0E"/>
    <w:rsid w:val="00D03E4F"/>
    <w:rsid w:val="00D04079"/>
    <w:rsid w:val="00D0410C"/>
    <w:rsid w:val="00D041AC"/>
    <w:rsid w:val="00D041EF"/>
    <w:rsid w:val="00D04202"/>
    <w:rsid w:val="00D043C6"/>
    <w:rsid w:val="00D04432"/>
    <w:rsid w:val="00D044B0"/>
    <w:rsid w:val="00D044D4"/>
    <w:rsid w:val="00D0464C"/>
    <w:rsid w:val="00D04787"/>
    <w:rsid w:val="00D047BA"/>
    <w:rsid w:val="00D048C5"/>
    <w:rsid w:val="00D04902"/>
    <w:rsid w:val="00D049F0"/>
    <w:rsid w:val="00D04B3E"/>
    <w:rsid w:val="00D04C60"/>
    <w:rsid w:val="00D04C97"/>
    <w:rsid w:val="00D04D5F"/>
    <w:rsid w:val="00D04E8B"/>
    <w:rsid w:val="00D04E9E"/>
    <w:rsid w:val="00D05133"/>
    <w:rsid w:val="00D0524F"/>
    <w:rsid w:val="00D0527D"/>
    <w:rsid w:val="00D0538F"/>
    <w:rsid w:val="00D053C5"/>
    <w:rsid w:val="00D05484"/>
    <w:rsid w:val="00D0549E"/>
    <w:rsid w:val="00D054B0"/>
    <w:rsid w:val="00D054C4"/>
    <w:rsid w:val="00D05746"/>
    <w:rsid w:val="00D0582E"/>
    <w:rsid w:val="00D05979"/>
    <w:rsid w:val="00D059DC"/>
    <w:rsid w:val="00D05A94"/>
    <w:rsid w:val="00D05AA3"/>
    <w:rsid w:val="00D05B21"/>
    <w:rsid w:val="00D05C14"/>
    <w:rsid w:val="00D05D39"/>
    <w:rsid w:val="00D05D6A"/>
    <w:rsid w:val="00D05E3A"/>
    <w:rsid w:val="00D05F3E"/>
    <w:rsid w:val="00D06006"/>
    <w:rsid w:val="00D0601A"/>
    <w:rsid w:val="00D060AA"/>
    <w:rsid w:val="00D060BD"/>
    <w:rsid w:val="00D060CE"/>
    <w:rsid w:val="00D06143"/>
    <w:rsid w:val="00D061E8"/>
    <w:rsid w:val="00D06240"/>
    <w:rsid w:val="00D06448"/>
    <w:rsid w:val="00D06526"/>
    <w:rsid w:val="00D06572"/>
    <w:rsid w:val="00D065E3"/>
    <w:rsid w:val="00D06667"/>
    <w:rsid w:val="00D0669B"/>
    <w:rsid w:val="00D0698D"/>
    <w:rsid w:val="00D069AD"/>
    <w:rsid w:val="00D06CB4"/>
    <w:rsid w:val="00D06D6D"/>
    <w:rsid w:val="00D06E17"/>
    <w:rsid w:val="00D06E9E"/>
    <w:rsid w:val="00D06ECE"/>
    <w:rsid w:val="00D06F81"/>
    <w:rsid w:val="00D06FC4"/>
    <w:rsid w:val="00D06FEA"/>
    <w:rsid w:val="00D07139"/>
    <w:rsid w:val="00D07199"/>
    <w:rsid w:val="00D071EB"/>
    <w:rsid w:val="00D0727C"/>
    <w:rsid w:val="00D072AF"/>
    <w:rsid w:val="00D0732B"/>
    <w:rsid w:val="00D07364"/>
    <w:rsid w:val="00D07417"/>
    <w:rsid w:val="00D0741F"/>
    <w:rsid w:val="00D075EA"/>
    <w:rsid w:val="00D07656"/>
    <w:rsid w:val="00D076FD"/>
    <w:rsid w:val="00D07921"/>
    <w:rsid w:val="00D079A3"/>
    <w:rsid w:val="00D07A05"/>
    <w:rsid w:val="00D07A06"/>
    <w:rsid w:val="00D07A2E"/>
    <w:rsid w:val="00D07B31"/>
    <w:rsid w:val="00D07BE9"/>
    <w:rsid w:val="00D07DD0"/>
    <w:rsid w:val="00D07E36"/>
    <w:rsid w:val="00D07EA5"/>
    <w:rsid w:val="00D07EB5"/>
    <w:rsid w:val="00D07F27"/>
    <w:rsid w:val="00D0BF72"/>
    <w:rsid w:val="00D0EA07"/>
    <w:rsid w:val="00D10042"/>
    <w:rsid w:val="00D101AD"/>
    <w:rsid w:val="00D10219"/>
    <w:rsid w:val="00D10226"/>
    <w:rsid w:val="00D10238"/>
    <w:rsid w:val="00D102BE"/>
    <w:rsid w:val="00D10335"/>
    <w:rsid w:val="00D10392"/>
    <w:rsid w:val="00D10571"/>
    <w:rsid w:val="00D10588"/>
    <w:rsid w:val="00D105BA"/>
    <w:rsid w:val="00D105F9"/>
    <w:rsid w:val="00D105FC"/>
    <w:rsid w:val="00D10617"/>
    <w:rsid w:val="00D10726"/>
    <w:rsid w:val="00D1072B"/>
    <w:rsid w:val="00D107CC"/>
    <w:rsid w:val="00D10872"/>
    <w:rsid w:val="00D108A9"/>
    <w:rsid w:val="00D108C4"/>
    <w:rsid w:val="00D10928"/>
    <w:rsid w:val="00D109B6"/>
    <w:rsid w:val="00D10B78"/>
    <w:rsid w:val="00D10D00"/>
    <w:rsid w:val="00D10DDE"/>
    <w:rsid w:val="00D10E74"/>
    <w:rsid w:val="00D10E9D"/>
    <w:rsid w:val="00D11025"/>
    <w:rsid w:val="00D110C1"/>
    <w:rsid w:val="00D1117E"/>
    <w:rsid w:val="00D1126E"/>
    <w:rsid w:val="00D112A9"/>
    <w:rsid w:val="00D112ED"/>
    <w:rsid w:val="00D11486"/>
    <w:rsid w:val="00D114DE"/>
    <w:rsid w:val="00D11506"/>
    <w:rsid w:val="00D115AF"/>
    <w:rsid w:val="00D115CA"/>
    <w:rsid w:val="00D1168F"/>
    <w:rsid w:val="00D11691"/>
    <w:rsid w:val="00D117CB"/>
    <w:rsid w:val="00D1181B"/>
    <w:rsid w:val="00D1182A"/>
    <w:rsid w:val="00D11862"/>
    <w:rsid w:val="00D11936"/>
    <w:rsid w:val="00D11947"/>
    <w:rsid w:val="00D11B4C"/>
    <w:rsid w:val="00D11D51"/>
    <w:rsid w:val="00D11D91"/>
    <w:rsid w:val="00D11DAB"/>
    <w:rsid w:val="00D11DEA"/>
    <w:rsid w:val="00D11E09"/>
    <w:rsid w:val="00D11E7C"/>
    <w:rsid w:val="00D11F3E"/>
    <w:rsid w:val="00D12125"/>
    <w:rsid w:val="00D12290"/>
    <w:rsid w:val="00D122B8"/>
    <w:rsid w:val="00D1233B"/>
    <w:rsid w:val="00D12444"/>
    <w:rsid w:val="00D1250D"/>
    <w:rsid w:val="00D125FD"/>
    <w:rsid w:val="00D126F8"/>
    <w:rsid w:val="00D12750"/>
    <w:rsid w:val="00D127D5"/>
    <w:rsid w:val="00D128E0"/>
    <w:rsid w:val="00D12930"/>
    <w:rsid w:val="00D1299F"/>
    <w:rsid w:val="00D12A3D"/>
    <w:rsid w:val="00D12B97"/>
    <w:rsid w:val="00D12D97"/>
    <w:rsid w:val="00D12DA2"/>
    <w:rsid w:val="00D12E08"/>
    <w:rsid w:val="00D12E8C"/>
    <w:rsid w:val="00D12EB5"/>
    <w:rsid w:val="00D12F50"/>
    <w:rsid w:val="00D12F54"/>
    <w:rsid w:val="00D1322F"/>
    <w:rsid w:val="00D1325F"/>
    <w:rsid w:val="00D13284"/>
    <w:rsid w:val="00D132F1"/>
    <w:rsid w:val="00D1341E"/>
    <w:rsid w:val="00D13495"/>
    <w:rsid w:val="00D13540"/>
    <w:rsid w:val="00D13659"/>
    <w:rsid w:val="00D137B7"/>
    <w:rsid w:val="00D137D0"/>
    <w:rsid w:val="00D13883"/>
    <w:rsid w:val="00D13962"/>
    <w:rsid w:val="00D139D4"/>
    <w:rsid w:val="00D13A3D"/>
    <w:rsid w:val="00D13BA3"/>
    <w:rsid w:val="00D13BDE"/>
    <w:rsid w:val="00D13C1A"/>
    <w:rsid w:val="00D13E5C"/>
    <w:rsid w:val="00D13E76"/>
    <w:rsid w:val="00D1409A"/>
    <w:rsid w:val="00D1411C"/>
    <w:rsid w:val="00D141AD"/>
    <w:rsid w:val="00D141ED"/>
    <w:rsid w:val="00D14256"/>
    <w:rsid w:val="00D1426D"/>
    <w:rsid w:val="00D142EA"/>
    <w:rsid w:val="00D1436E"/>
    <w:rsid w:val="00D143D2"/>
    <w:rsid w:val="00D144A0"/>
    <w:rsid w:val="00D14518"/>
    <w:rsid w:val="00D14697"/>
    <w:rsid w:val="00D146C5"/>
    <w:rsid w:val="00D147DF"/>
    <w:rsid w:val="00D14872"/>
    <w:rsid w:val="00D14ACC"/>
    <w:rsid w:val="00D14B51"/>
    <w:rsid w:val="00D14CFB"/>
    <w:rsid w:val="00D14D58"/>
    <w:rsid w:val="00D14DC3"/>
    <w:rsid w:val="00D14DD0"/>
    <w:rsid w:val="00D14E00"/>
    <w:rsid w:val="00D14E4B"/>
    <w:rsid w:val="00D14E77"/>
    <w:rsid w:val="00D14EC7"/>
    <w:rsid w:val="00D14EED"/>
    <w:rsid w:val="00D14F58"/>
    <w:rsid w:val="00D1504A"/>
    <w:rsid w:val="00D1509F"/>
    <w:rsid w:val="00D15191"/>
    <w:rsid w:val="00D1519C"/>
    <w:rsid w:val="00D154F2"/>
    <w:rsid w:val="00D154FE"/>
    <w:rsid w:val="00D156ED"/>
    <w:rsid w:val="00D157CB"/>
    <w:rsid w:val="00D15820"/>
    <w:rsid w:val="00D15867"/>
    <w:rsid w:val="00D15943"/>
    <w:rsid w:val="00D15966"/>
    <w:rsid w:val="00D159A1"/>
    <w:rsid w:val="00D15A75"/>
    <w:rsid w:val="00D15AF3"/>
    <w:rsid w:val="00D15BB3"/>
    <w:rsid w:val="00D15E30"/>
    <w:rsid w:val="00D15E5A"/>
    <w:rsid w:val="00D15ECD"/>
    <w:rsid w:val="00D15F82"/>
    <w:rsid w:val="00D160B9"/>
    <w:rsid w:val="00D162F8"/>
    <w:rsid w:val="00D16340"/>
    <w:rsid w:val="00D1640A"/>
    <w:rsid w:val="00D16529"/>
    <w:rsid w:val="00D1652E"/>
    <w:rsid w:val="00D1653B"/>
    <w:rsid w:val="00D165AA"/>
    <w:rsid w:val="00D16663"/>
    <w:rsid w:val="00D166D0"/>
    <w:rsid w:val="00D1680A"/>
    <w:rsid w:val="00D1687C"/>
    <w:rsid w:val="00D1692C"/>
    <w:rsid w:val="00D16976"/>
    <w:rsid w:val="00D16A71"/>
    <w:rsid w:val="00D16ABA"/>
    <w:rsid w:val="00D16ADE"/>
    <w:rsid w:val="00D16C10"/>
    <w:rsid w:val="00D16C21"/>
    <w:rsid w:val="00D16C4C"/>
    <w:rsid w:val="00D16DB3"/>
    <w:rsid w:val="00D16DEF"/>
    <w:rsid w:val="00D1716D"/>
    <w:rsid w:val="00D172A8"/>
    <w:rsid w:val="00D17358"/>
    <w:rsid w:val="00D1737A"/>
    <w:rsid w:val="00D1740B"/>
    <w:rsid w:val="00D17444"/>
    <w:rsid w:val="00D17480"/>
    <w:rsid w:val="00D175C8"/>
    <w:rsid w:val="00D176B6"/>
    <w:rsid w:val="00D1770A"/>
    <w:rsid w:val="00D17718"/>
    <w:rsid w:val="00D1773B"/>
    <w:rsid w:val="00D17765"/>
    <w:rsid w:val="00D178E8"/>
    <w:rsid w:val="00D17913"/>
    <w:rsid w:val="00D17930"/>
    <w:rsid w:val="00D17991"/>
    <w:rsid w:val="00D179BB"/>
    <w:rsid w:val="00D179E5"/>
    <w:rsid w:val="00D17A11"/>
    <w:rsid w:val="00D17AE2"/>
    <w:rsid w:val="00D17AED"/>
    <w:rsid w:val="00D17C29"/>
    <w:rsid w:val="00D17C85"/>
    <w:rsid w:val="00D17D93"/>
    <w:rsid w:val="00D17DDC"/>
    <w:rsid w:val="00D17E2E"/>
    <w:rsid w:val="00D17E53"/>
    <w:rsid w:val="00D17EF0"/>
    <w:rsid w:val="00D17FB5"/>
    <w:rsid w:val="00D17FF3"/>
    <w:rsid w:val="00D19449"/>
    <w:rsid w:val="00D2018C"/>
    <w:rsid w:val="00D2029F"/>
    <w:rsid w:val="00D205DB"/>
    <w:rsid w:val="00D20667"/>
    <w:rsid w:val="00D2067B"/>
    <w:rsid w:val="00D20685"/>
    <w:rsid w:val="00D206E7"/>
    <w:rsid w:val="00D20912"/>
    <w:rsid w:val="00D20924"/>
    <w:rsid w:val="00D20967"/>
    <w:rsid w:val="00D20A22"/>
    <w:rsid w:val="00D20B36"/>
    <w:rsid w:val="00D20C0D"/>
    <w:rsid w:val="00D20C2A"/>
    <w:rsid w:val="00D20C47"/>
    <w:rsid w:val="00D20CD7"/>
    <w:rsid w:val="00D20D75"/>
    <w:rsid w:val="00D20E6D"/>
    <w:rsid w:val="00D20EB9"/>
    <w:rsid w:val="00D20EF5"/>
    <w:rsid w:val="00D20F13"/>
    <w:rsid w:val="00D20FBB"/>
    <w:rsid w:val="00D2101D"/>
    <w:rsid w:val="00D2105B"/>
    <w:rsid w:val="00D21090"/>
    <w:rsid w:val="00D21091"/>
    <w:rsid w:val="00D210B7"/>
    <w:rsid w:val="00D21205"/>
    <w:rsid w:val="00D212FA"/>
    <w:rsid w:val="00D214B2"/>
    <w:rsid w:val="00D2152E"/>
    <w:rsid w:val="00D2157D"/>
    <w:rsid w:val="00D215FD"/>
    <w:rsid w:val="00D21684"/>
    <w:rsid w:val="00D21826"/>
    <w:rsid w:val="00D2186E"/>
    <w:rsid w:val="00D21876"/>
    <w:rsid w:val="00D218E2"/>
    <w:rsid w:val="00D2199C"/>
    <w:rsid w:val="00D219CA"/>
    <w:rsid w:val="00D21AB8"/>
    <w:rsid w:val="00D21AD0"/>
    <w:rsid w:val="00D21B1B"/>
    <w:rsid w:val="00D21CA3"/>
    <w:rsid w:val="00D21DEF"/>
    <w:rsid w:val="00D2205C"/>
    <w:rsid w:val="00D2214A"/>
    <w:rsid w:val="00D2219D"/>
    <w:rsid w:val="00D22215"/>
    <w:rsid w:val="00D22278"/>
    <w:rsid w:val="00D223D2"/>
    <w:rsid w:val="00D22435"/>
    <w:rsid w:val="00D22457"/>
    <w:rsid w:val="00D22551"/>
    <w:rsid w:val="00D225A5"/>
    <w:rsid w:val="00D22603"/>
    <w:rsid w:val="00D226ED"/>
    <w:rsid w:val="00D226F9"/>
    <w:rsid w:val="00D2271C"/>
    <w:rsid w:val="00D22A19"/>
    <w:rsid w:val="00D22A5E"/>
    <w:rsid w:val="00D22B81"/>
    <w:rsid w:val="00D22CB2"/>
    <w:rsid w:val="00D22D33"/>
    <w:rsid w:val="00D22DAB"/>
    <w:rsid w:val="00D22E4D"/>
    <w:rsid w:val="00D22EA4"/>
    <w:rsid w:val="00D22F0D"/>
    <w:rsid w:val="00D22F2A"/>
    <w:rsid w:val="00D22F5C"/>
    <w:rsid w:val="00D23155"/>
    <w:rsid w:val="00D23205"/>
    <w:rsid w:val="00D232F8"/>
    <w:rsid w:val="00D23441"/>
    <w:rsid w:val="00D23606"/>
    <w:rsid w:val="00D237C7"/>
    <w:rsid w:val="00D238F7"/>
    <w:rsid w:val="00D23931"/>
    <w:rsid w:val="00D239AD"/>
    <w:rsid w:val="00D23A99"/>
    <w:rsid w:val="00D23AA5"/>
    <w:rsid w:val="00D23B55"/>
    <w:rsid w:val="00D23B6A"/>
    <w:rsid w:val="00D23B9D"/>
    <w:rsid w:val="00D23D2D"/>
    <w:rsid w:val="00D23DA1"/>
    <w:rsid w:val="00D23E89"/>
    <w:rsid w:val="00D23F55"/>
    <w:rsid w:val="00D24205"/>
    <w:rsid w:val="00D2428D"/>
    <w:rsid w:val="00D2431F"/>
    <w:rsid w:val="00D243B8"/>
    <w:rsid w:val="00D24454"/>
    <w:rsid w:val="00D24464"/>
    <w:rsid w:val="00D24585"/>
    <w:rsid w:val="00D246F3"/>
    <w:rsid w:val="00D24774"/>
    <w:rsid w:val="00D247DB"/>
    <w:rsid w:val="00D24866"/>
    <w:rsid w:val="00D248E5"/>
    <w:rsid w:val="00D249A1"/>
    <w:rsid w:val="00D24AC8"/>
    <w:rsid w:val="00D24C85"/>
    <w:rsid w:val="00D24CA5"/>
    <w:rsid w:val="00D2503A"/>
    <w:rsid w:val="00D25077"/>
    <w:rsid w:val="00D250B2"/>
    <w:rsid w:val="00D25146"/>
    <w:rsid w:val="00D2515C"/>
    <w:rsid w:val="00D251D0"/>
    <w:rsid w:val="00D25438"/>
    <w:rsid w:val="00D25549"/>
    <w:rsid w:val="00D25666"/>
    <w:rsid w:val="00D25688"/>
    <w:rsid w:val="00D256AE"/>
    <w:rsid w:val="00D2573B"/>
    <w:rsid w:val="00D257FB"/>
    <w:rsid w:val="00D258D3"/>
    <w:rsid w:val="00D25961"/>
    <w:rsid w:val="00D259D7"/>
    <w:rsid w:val="00D25A13"/>
    <w:rsid w:val="00D25B04"/>
    <w:rsid w:val="00D25B09"/>
    <w:rsid w:val="00D25B57"/>
    <w:rsid w:val="00D25B5B"/>
    <w:rsid w:val="00D25C38"/>
    <w:rsid w:val="00D25C4F"/>
    <w:rsid w:val="00D25D18"/>
    <w:rsid w:val="00D25DAD"/>
    <w:rsid w:val="00D25E05"/>
    <w:rsid w:val="00D25E1C"/>
    <w:rsid w:val="00D25E27"/>
    <w:rsid w:val="00D25EF8"/>
    <w:rsid w:val="00D25F40"/>
    <w:rsid w:val="00D260A8"/>
    <w:rsid w:val="00D260DD"/>
    <w:rsid w:val="00D26252"/>
    <w:rsid w:val="00D262F5"/>
    <w:rsid w:val="00D263EA"/>
    <w:rsid w:val="00D2645C"/>
    <w:rsid w:val="00D2646D"/>
    <w:rsid w:val="00D2651D"/>
    <w:rsid w:val="00D26542"/>
    <w:rsid w:val="00D26599"/>
    <w:rsid w:val="00D267E5"/>
    <w:rsid w:val="00D268FC"/>
    <w:rsid w:val="00D26962"/>
    <w:rsid w:val="00D269DD"/>
    <w:rsid w:val="00D26ACD"/>
    <w:rsid w:val="00D26C30"/>
    <w:rsid w:val="00D270D2"/>
    <w:rsid w:val="00D270D4"/>
    <w:rsid w:val="00D270FA"/>
    <w:rsid w:val="00D2718E"/>
    <w:rsid w:val="00D271BF"/>
    <w:rsid w:val="00D272CD"/>
    <w:rsid w:val="00D272ED"/>
    <w:rsid w:val="00D273AB"/>
    <w:rsid w:val="00D27439"/>
    <w:rsid w:val="00D274DD"/>
    <w:rsid w:val="00D2759E"/>
    <w:rsid w:val="00D275C8"/>
    <w:rsid w:val="00D2765B"/>
    <w:rsid w:val="00D2774F"/>
    <w:rsid w:val="00D27811"/>
    <w:rsid w:val="00D2788B"/>
    <w:rsid w:val="00D2789B"/>
    <w:rsid w:val="00D2793C"/>
    <w:rsid w:val="00D27949"/>
    <w:rsid w:val="00D27958"/>
    <w:rsid w:val="00D2799B"/>
    <w:rsid w:val="00D27A9B"/>
    <w:rsid w:val="00D27AD0"/>
    <w:rsid w:val="00D27AEE"/>
    <w:rsid w:val="00D27C61"/>
    <w:rsid w:val="00D27D43"/>
    <w:rsid w:val="00D27E00"/>
    <w:rsid w:val="00D27F8F"/>
    <w:rsid w:val="00D27FBF"/>
    <w:rsid w:val="00D27FC2"/>
    <w:rsid w:val="00D30063"/>
    <w:rsid w:val="00D300C2"/>
    <w:rsid w:val="00D300EB"/>
    <w:rsid w:val="00D302B9"/>
    <w:rsid w:val="00D302BC"/>
    <w:rsid w:val="00D30498"/>
    <w:rsid w:val="00D30519"/>
    <w:rsid w:val="00D3054A"/>
    <w:rsid w:val="00D30565"/>
    <w:rsid w:val="00D3059F"/>
    <w:rsid w:val="00D30665"/>
    <w:rsid w:val="00D30689"/>
    <w:rsid w:val="00D30693"/>
    <w:rsid w:val="00D306A6"/>
    <w:rsid w:val="00D30B63"/>
    <w:rsid w:val="00D30B8D"/>
    <w:rsid w:val="00D30D32"/>
    <w:rsid w:val="00D30DB5"/>
    <w:rsid w:val="00D30E5B"/>
    <w:rsid w:val="00D31107"/>
    <w:rsid w:val="00D31194"/>
    <w:rsid w:val="00D311DB"/>
    <w:rsid w:val="00D311E4"/>
    <w:rsid w:val="00D31201"/>
    <w:rsid w:val="00D31303"/>
    <w:rsid w:val="00D31355"/>
    <w:rsid w:val="00D313B7"/>
    <w:rsid w:val="00D31434"/>
    <w:rsid w:val="00D314CA"/>
    <w:rsid w:val="00D31585"/>
    <w:rsid w:val="00D31627"/>
    <w:rsid w:val="00D316A1"/>
    <w:rsid w:val="00D31717"/>
    <w:rsid w:val="00D31721"/>
    <w:rsid w:val="00D31967"/>
    <w:rsid w:val="00D319AE"/>
    <w:rsid w:val="00D31A4A"/>
    <w:rsid w:val="00D31B3B"/>
    <w:rsid w:val="00D31B55"/>
    <w:rsid w:val="00D31B72"/>
    <w:rsid w:val="00D31B92"/>
    <w:rsid w:val="00D31D31"/>
    <w:rsid w:val="00D31E5E"/>
    <w:rsid w:val="00D31F63"/>
    <w:rsid w:val="00D31F93"/>
    <w:rsid w:val="00D31FB9"/>
    <w:rsid w:val="00D32065"/>
    <w:rsid w:val="00D32079"/>
    <w:rsid w:val="00D3211F"/>
    <w:rsid w:val="00D32186"/>
    <w:rsid w:val="00D3235F"/>
    <w:rsid w:val="00D323E7"/>
    <w:rsid w:val="00D3257B"/>
    <w:rsid w:val="00D326C6"/>
    <w:rsid w:val="00D326E8"/>
    <w:rsid w:val="00D32703"/>
    <w:rsid w:val="00D327B2"/>
    <w:rsid w:val="00D327B9"/>
    <w:rsid w:val="00D32840"/>
    <w:rsid w:val="00D3285C"/>
    <w:rsid w:val="00D32B4C"/>
    <w:rsid w:val="00D32B84"/>
    <w:rsid w:val="00D32C70"/>
    <w:rsid w:val="00D32C99"/>
    <w:rsid w:val="00D32D22"/>
    <w:rsid w:val="00D32D84"/>
    <w:rsid w:val="00D32DA5"/>
    <w:rsid w:val="00D33019"/>
    <w:rsid w:val="00D330D4"/>
    <w:rsid w:val="00D331C4"/>
    <w:rsid w:val="00D3320E"/>
    <w:rsid w:val="00D3324C"/>
    <w:rsid w:val="00D33362"/>
    <w:rsid w:val="00D33373"/>
    <w:rsid w:val="00D333DD"/>
    <w:rsid w:val="00D3347C"/>
    <w:rsid w:val="00D33628"/>
    <w:rsid w:val="00D3365F"/>
    <w:rsid w:val="00D336EE"/>
    <w:rsid w:val="00D337F3"/>
    <w:rsid w:val="00D33808"/>
    <w:rsid w:val="00D33812"/>
    <w:rsid w:val="00D3385D"/>
    <w:rsid w:val="00D33A04"/>
    <w:rsid w:val="00D33AF3"/>
    <w:rsid w:val="00D33B16"/>
    <w:rsid w:val="00D33BAB"/>
    <w:rsid w:val="00D33D33"/>
    <w:rsid w:val="00D33DF3"/>
    <w:rsid w:val="00D33FAC"/>
    <w:rsid w:val="00D33FCC"/>
    <w:rsid w:val="00D34153"/>
    <w:rsid w:val="00D341EE"/>
    <w:rsid w:val="00D342C1"/>
    <w:rsid w:val="00D34393"/>
    <w:rsid w:val="00D34436"/>
    <w:rsid w:val="00D34582"/>
    <w:rsid w:val="00D34710"/>
    <w:rsid w:val="00D3477F"/>
    <w:rsid w:val="00D3487A"/>
    <w:rsid w:val="00D348B7"/>
    <w:rsid w:val="00D348D7"/>
    <w:rsid w:val="00D3495E"/>
    <w:rsid w:val="00D34A56"/>
    <w:rsid w:val="00D34AFD"/>
    <w:rsid w:val="00D34BDA"/>
    <w:rsid w:val="00D34C16"/>
    <w:rsid w:val="00D34C1A"/>
    <w:rsid w:val="00D34DEF"/>
    <w:rsid w:val="00D34DF9"/>
    <w:rsid w:val="00D34E8D"/>
    <w:rsid w:val="00D34ECC"/>
    <w:rsid w:val="00D34F39"/>
    <w:rsid w:val="00D34F86"/>
    <w:rsid w:val="00D34F9E"/>
    <w:rsid w:val="00D34F9F"/>
    <w:rsid w:val="00D35100"/>
    <w:rsid w:val="00D35212"/>
    <w:rsid w:val="00D35397"/>
    <w:rsid w:val="00D35465"/>
    <w:rsid w:val="00D35552"/>
    <w:rsid w:val="00D3557C"/>
    <w:rsid w:val="00D35765"/>
    <w:rsid w:val="00D357AF"/>
    <w:rsid w:val="00D357B9"/>
    <w:rsid w:val="00D358AD"/>
    <w:rsid w:val="00D359C1"/>
    <w:rsid w:val="00D35AE0"/>
    <w:rsid w:val="00D35B69"/>
    <w:rsid w:val="00D35B97"/>
    <w:rsid w:val="00D35C2A"/>
    <w:rsid w:val="00D35E8E"/>
    <w:rsid w:val="00D35EE7"/>
    <w:rsid w:val="00D36038"/>
    <w:rsid w:val="00D3613A"/>
    <w:rsid w:val="00D36149"/>
    <w:rsid w:val="00D36168"/>
    <w:rsid w:val="00D36178"/>
    <w:rsid w:val="00D364A6"/>
    <w:rsid w:val="00D364B7"/>
    <w:rsid w:val="00D365F0"/>
    <w:rsid w:val="00D3660F"/>
    <w:rsid w:val="00D36611"/>
    <w:rsid w:val="00D36716"/>
    <w:rsid w:val="00D369D3"/>
    <w:rsid w:val="00D36A17"/>
    <w:rsid w:val="00D36A20"/>
    <w:rsid w:val="00D36A65"/>
    <w:rsid w:val="00D36AAA"/>
    <w:rsid w:val="00D36CDC"/>
    <w:rsid w:val="00D36D15"/>
    <w:rsid w:val="00D36EDB"/>
    <w:rsid w:val="00D37309"/>
    <w:rsid w:val="00D373B1"/>
    <w:rsid w:val="00D373EF"/>
    <w:rsid w:val="00D37408"/>
    <w:rsid w:val="00D3743C"/>
    <w:rsid w:val="00D3752F"/>
    <w:rsid w:val="00D3753E"/>
    <w:rsid w:val="00D37645"/>
    <w:rsid w:val="00D376A1"/>
    <w:rsid w:val="00D377F8"/>
    <w:rsid w:val="00D378B9"/>
    <w:rsid w:val="00D378E3"/>
    <w:rsid w:val="00D37932"/>
    <w:rsid w:val="00D379AE"/>
    <w:rsid w:val="00D379BE"/>
    <w:rsid w:val="00D37A43"/>
    <w:rsid w:val="00D37A6E"/>
    <w:rsid w:val="00D37B23"/>
    <w:rsid w:val="00D37B2C"/>
    <w:rsid w:val="00D37CCE"/>
    <w:rsid w:val="00D37D63"/>
    <w:rsid w:val="00D37D64"/>
    <w:rsid w:val="00D402C3"/>
    <w:rsid w:val="00D4034C"/>
    <w:rsid w:val="00D404E6"/>
    <w:rsid w:val="00D4050B"/>
    <w:rsid w:val="00D405E6"/>
    <w:rsid w:val="00D408E7"/>
    <w:rsid w:val="00D40A93"/>
    <w:rsid w:val="00D40B54"/>
    <w:rsid w:val="00D40C0F"/>
    <w:rsid w:val="00D40CF4"/>
    <w:rsid w:val="00D40DF4"/>
    <w:rsid w:val="00D40E42"/>
    <w:rsid w:val="00D4115C"/>
    <w:rsid w:val="00D411FC"/>
    <w:rsid w:val="00D4131C"/>
    <w:rsid w:val="00D41419"/>
    <w:rsid w:val="00D41496"/>
    <w:rsid w:val="00D414BD"/>
    <w:rsid w:val="00D4159C"/>
    <w:rsid w:val="00D41718"/>
    <w:rsid w:val="00D41734"/>
    <w:rsid w:val="00D41776"/>
    <w:rsid w:val="00D41796"/>
    <w:rsid w:val="00D41886"/>
    <w:rsid w:val="00D41AA4"/>
    <w:rsid w:val="00D41AD7"/>
    <w:rsid w:val="00D41B29"/>
    <w:rsid w:val="00D41C43"/>
    <w:rsid w:val="00D41D1F"/>
    <w:rsid w:val="00D41D78"/>
    <w:rsid w:val="00D41DA6"/>
    <w:rsid w:val="00D41EC0"/>
    <w:rsid w:val="00D41F5E"/>
    <w:rsid w:val="00D41FD3"/>
    <w:rsid w:val="00D420A9"/>
    <w:rsid w:val="00D422D6"/>
    <w:rsid w:val="00D4232A"/>
    <w:rsid w:val="00D42438"/>
    <w:rsid w:val="00D42490"/>
    <w:rsid w:val="00D424BE"/>
    <w:rsid w:val="00D424DF"/>
    <w:rsid w:val="00D42662"/>
    <w:rsid w:val="00D426E6"/>
    <w:rsid w:val="00D4276F"/>
    <w:rsid w:val="00D42793"/>
    <w:rsid w:val="00D427F0"/>
    <w:rsid w:val="00D428BA"/>
    <w:rsid w:val="00D42A90"/>
    <w:rsid w:val="00D42ACE"/>
    <w:rsid w:val="00D42BFF"/>
    <w:rsid w:val="00D42D36"/>
    <w:rsid w:val="00D42DAC"/>
    <w:rsid w:val="00D42E1E"/>
    <w:rsid w:val="00D42E25"/>
    <w:rsid w:val="00D42EF1"/>
    <w:rsid w:val="00D42F71"/>
    <w:rsid w:val="00D43024"/>
    <w:rsid w:val="00D43061"/>
    <w:rsid w:val="00D43127"/>
    <w:rsid w:val="00D43165"/>
    <w:rsid w:val="00D43181"/>
    <w:rsid w:val="00D43274"/>
    <w:rsid w:val="00D4330C"/>
    <w:rsid w:val="00D4333B"/>
    <w:rsid w:val="00D43376"/>
    <w:rsid w:val="00D43400"/>
    <w:rsid w:val="00D43581"/>
    <w:rsid w:val="00D436F1"/>
    <w:rsid w:val="00D438C3"/>
    <w:rsid w:val="00D438E1"/>
    <w:rsid w:val="00D438F7"/>
    <w:rsid w:val="00D43950"/>
    <w:rsid w:val="00D439D7"/>
    <w:rsid w:val="00D43A2C"/>
    <w:rsid w:val="00D43AE0"/>
    <w:rsid w:val="00D43B34"/>
    <w:rsid w:val="00D43C85"/>
    <w:rsid w:val="00D43CAA"/>
    <w:rsid w:val="00D43CC3"/>
    <w:rsid w:val="00D43CDF"/>
    <w:rsid w:val="00D43D06"/>
    <w:rsid w:val="00D43DE2"/>
    <w:rsid w:val="00D43F65"/>
    <w:rsid w:val="00D44021"/>
    <w:rsid w:val="00D44089"/>
    <w:rsid w:val="00D44111"/>
    <w:rsid w:val="00D44279"/>
    <w:rsid w:val="00D4435A"/>
    <w:rsid w:val="00D4447A"/>
    <w:rsid w:val="00D4449C"/>
    <w:rsid w:val="00D444C1"/>
    <w:rsid w:val="00D44693"/>
    <w:rsid w:val="00D446E7"/>
    <w:rsid w:val="00D447E1"/>
    <w:rsid w:val="00D44854"/>
    <w:rsid w:val="00D448EA"/>
    <w:rsid w:val="00D44924"/>
    <w:rsid w:val="00D4492A"/>
    <w:rsid w:val="00D4492D"/>
    <w:rsid w:val="00D44A2A"/>
    <w:rsid w:val="00D44A58"/>
    <w:rsid w:val="00D44B0F"/>
    <w:rsid w:val="00D44C19"/>
    <w:rsid w:val="00D44C54"/>
    <w:rsid w:val="00D44CFF"/>
    <w:rsid w:val="00D44D5A"/>
    <w:rsid w:val="00D44E20"/>
    <w:rsid w:val="00D44E42"/>
    <w:rsid w:val="00D44FB3"/>
    <w:rsid w:val="00D44FCF"/>
    <w:rsid w:val="00D450B1"/>
    <w:rsid w:val="00D45111"/>
    <w:rsid w:val="00D451AB"/>
    <w:rsid w:val="00D4527B"/>
    <w:rsid w:val="00D452CF"/>
    <w:rsid w:val="00D453A2"/>
    <w:rsid w:val="00D4549C"/>
    <w:rsid w:val="00D45508"/>
    <w:rsid w:val="00D455B2"/>
    <w:rsid w:val="00D4562E"/>
    <w:rsid w:val="00D456AF"/>
    <w:rsid w:val="00D456FD"/>
    <w:rsid w:val="00D4576F"/>
    <w:rsid w:val="00D4578C"/>
    <w:rsid w:val="00D45798"/>
    <w:rsid w:val="00D45802"/>
    <w:rsid w:val="00D45817"/>
    <w:rsid w:val="00D4582F"/>
    <w:rsid w:val="00D45881"/>
    <w:rsid w:val="00D45993"/>
    <w:rsid w:val="00D45AD5"/>
    <w:rsid w:val="00D45B2F"/>
    <w:rsid w:val="00D45B62"/>
    <w:rsid w:val="00D45BFB"/>
    <w:rsid w:val="00D45C00"/>
    <w:rsid w:val="00D45C09"/>
    <w:rsid w:val="00D45C28"/>
    <w:rsid w:val="00D45C55"/>
    <w:rsid w:val="00D45C6F"/>
    <w:rsid w:val="00D45DFE"/>
    <w:rsid w:val="00D45EF6"/>
    <w:rsid w:val="00D45F0D"/>
    <w:rsid w:val="00D4601E"/>
    <w:rsid w:val="00D46131"/>
    <w:rsid w:val="00D46165"/>
    <w:rsid w:val="00D461BB"/>
    <w:rsid w:val="00D4620C"/>
    <w:rsid w:val="00D462DA"/>
    <w:rsid w:val="00D463D9"/>
    <w:rsid w:val="00D463E0"/>
    <w:rsid w:val="00D46448"/>
    <w:rsid w:val="00D464D1"/>
    <w:rsid w:val="00D465A6"/>
    <w:rsid w:val="00D465E2"/>
    <w:rsid w:val="00D465E6"/>
    <w:rsid w:val="00D466DF"/>
    <w:rsid w:val="00D4672C"/>
    <w:rsid w:val="00D467CC"/>
    <w:rsid w:val="00D4699E"/>
    <w:rsid w:val="00D469C6"/>
    <w:rsid w:val="00D46A7C"/>
    <w:rsid w:val="00D46AA8"/>
    <w:rsid w:val="00D46C46"/>
    <w:rsid w:val="00D46CDB"/>
    <w:rsid w:val="00D46CF3"/>
    <w:rsid w:val="00D46D53"/>
    <w:rsid w:val="00D46F0A"/>
    <w:rsid w:val="00D46F15"/>
    <w:rsid w:val="00D46F3B"/>
    <w:rsid w:val="00D47075"/>
    <w:rsid w:val="00D4708A"/>
    <w:rsid w:val="00D470AD"/>
    <w:rsid w:val="00D4736E"/>
    <w:rsid w:val="00D4748F"/>
    <w:rsid w:val="00D4756F"/>
    <w:rsid w:val="00D475C1"/>
    <w:rsid w:val="00D475F6"/>
    <w:rsid w:val="00D476DA"/>
    <w:rsid w:val="00D4777F"/>
    <w:rsid w:val="00D478F8"/>
    <w:rsid w:val="00D47A7E"/>
    <w:rsid w:val="00D47BB1"/>
    <w:rsid w:val="00D47C2F"/>
    <w:rsid w:val="00D47E0E"/>
    <w:rsid w:val="00D47EC0"/>
    <w:rsid w:val="00D47F11"/>
    <w:rsid w:val="00D47F9D"/>
    <w:rsid w:val="00D50166"/>
    <w:rsid w:val="00D501F1"/>
    <w:rsid w:val="00D5036E"/>
    <w:rsid w:val="00D503D2"/>
    <w:rsid w:val="00D503F2"/>
    <w:rsid w:val="00D50451"/>
    <w:rsid w:val="00D50486"/>
    <w:rsid w:val="00D504AB"/>
    <w:rsid w:val="00D50669"/>
    <w:rsid w:val="00D50741"/>
    <w:rsid w:val="00D50774"/>
    <w:rsid w:val="00D5086D"/>
    <w:rsid w:val="00D50967"/>
    <w:rsid w:val="00D5098F"/>
    <w:rsid w:val="00D50A00"/>
    <w:rsid w:val="00D50BAE"/>
    <w:rsid w:val="00D50CDE"/>
    <w:rsid w:val="00D50DAE"/>
    <w:rsid w:val="00D50E96"/>
    <w:rsid w:val="00D50F3C"/>
    <w:rsid w:val="00D51013"/>
    <w:rsid w:val="00D510DE"/>
    <w:rsid w:val="00D5110C"/>
    <w:rsid w:val="00D5128C"/>
    <w:rsid w:val="00D51292"/>
    <w:rsid w:val="00D512FD"/>
    <w:rsid w:val="00D514CA"/>
    <w:rsid w:val="00D51561"/>
    <w:rsid w:val="00D517EF"/>
    <w:rsid w:val="00D5183F"/>
    <w:rsid w:val="00D518FE"/>
    <w:rsid w:val="00D51959"/>
    <w:rsid w:val="00D51AF8"/>
    <w:rsid w:val="00D51C32"/>
    <w:rsid w:val="00D51CD9"/>
    <w:rsid w:val="00D51DD8"/>
    <w:rsid w:val="00D51E83"/>
    <w:rsid w:val="00D51F4D"/>
    <w:rsid w:val="00D51F66"/>
    <w:rsid w:val="00D52114"/>
    <w:rsid w:val="00D52116"/>
    <w:rsid w:val="00D522CF"/>
    <w:rsid w:val="00D52327"/>
    <w:rsid w:val="00D523C6"/>
    <w:rsid w:val="00D52559"/>
    <w:rsid w:val="00D525AD"/>
    <w:rsid w:val="00D525FF"/>
    <w:rsid w:val="00D52748"/>
    <w:rsid w:val="00D52880"/>
    <w:rsid w:val="00D528D9"/>
    <w:rsid w:val="00D5297C"/>
    <w:rsid w:val="00D52AA8"/>
    <w:rsid w:val="00D52AAA"/>
    <w:rsid w:val="00D52B5F"/>
    <w:rsid w:val="00D52BEE"/>
    <w:rsid w:val="00D52C95"/>
    <w:rsid w:val="00D52DD3"/>
    <w:rsid w:val="00D52E64"/>
    <w:rsid w:val="00D5302C"/>
    <w:rsid w:val="00D530EE"/>
    <w:rsid w:val="00D53178"/>
    <w:rsid w:val="00D531FF"/>
    <w:rsid w:val="00D53232"/>
    <w:rsid w:val="00D5334B"/>
    <w:rsid w:val="00D534EE"/>
    <w:rsid w:val="00D534F9"/>
    <w:rsid w:val="00D5353E"/>
    <w:rsid w:val="00D5354D"/>
    <w:rsid w:val="00D535A6"/>
    <w:rsid w:val="00D5361B"/>
    <w:rsid w:val="00D536EC"/>
    <w:rsid w:val="00D53731"/>
    <w:rsid w:val="00D5373E"/>
    <w:rsid w:val="00D53787"/>
    <w:rsid w:val="00D538B4"/>
    <w:rsid w:val="00D5392E"/>
    <w:rsid w:val="00D53986"/>
    <w:rsid w:val="00D539BD"/>
    <w:rsid w:val="00D53B12"/>
    <w:rsid w:val="00D53B60"/>
    <w:rsid w:val="00D53BA7"/>
    <w:rsid w:val="00D53BD3"/>
    <w:rsid w:val="00D53C1B"/>
    <w:rsid w:val="00D53D2A"/>
    <w:rsid w:val="00D53E4A"/>
    <w:rsid w:val="00D53E63"/>
    <w:rsid w:val="00D53E9F"/>
    <w:rsid w:val="00D53F10"/>
    <w:rsid w:val="00D53F53"/>
    <w:rsid w:val="00D53FB0"/>
    <w:rsid w:val="00D54139"/>
    <w:rsid w:val="00D5420E"/>
    <w:rsid w:val="00D54296"/>
    <w:rsid w:val="00D54302"/>
    <w:rsid w:val="00D5430A"/>
    <w:rsid w:val="00D54319"/>
    <w:rsid w:val="00D5437D"/>
    <w:rsid w:val="00D543C8"/>
    <w:rsid w:val="00D54490"/>
    <w:rsid w:val="00D544EF"/>
    <w:rsid w:val="00D54505"/>
    <w:rsid w:val="00D54601"/>
    <w:rsid w:val="00D54652"/>
    <w:rsid w:val="00D5480C"/>
    <w:rsid w:val="00D54820"/>
    <w:rsid w:val="00D54845"/>
    <w:rsid w:val="00D54894"/>
    <w:rsid w:val="00D548F9"/>
    <w:rsid w:val="00D54988"/>
    <w:rsid w:val="00D54A48"/>
    <w:rsid w:val="00D54B21"/>
    <w:rsid w:val="00D54BB1"/>
    <w:rsid w:val="00D54D17"/>
    <w:rsid w:val="00D54D22"/>
    <w:rsid w:val="00D54D8A"/>
    <w:rsid w:val="00D54DAB"/>
    <w:rsid w:val="00D54E06"/>
    <w:rsid w:val="00D54EB7"/>
    <w:rsid w:val="00D54EF0"/>
    <w:rsid w:val="00D54F0D"/>
    <w:rsid w:val="00D551F7"/>
    <w:rsid w:val="00D55306"/>
    <w:rsid w:val="00D55382"/>
    <w:rsid w:val="00D5551B"/>
    <w:rsid w:val="00D555DA"/>
    <w:rsid w:val="00D556A3"/>
    <w:rsid w:val="00D556A7"/>
    <w:rsid w:val="00D5578A"/>
    <w:rsid w:val="00D5578F"/>
    <w:rsid w:val="00D55848"/>
    <w:rsid w:val="00D5593F"/>
    <w:rsid w:val="00D55A1B"/>
    <w:rsid w:val="00D55B30"/>
    <w:rsid w:val="00D55C7D"/>
    <w:rsid w:val="00D55C8C"/>
    <w:rsid w:val="00D55C8E"/>
    <w:rsid w:val="00D55D9E"/>
    <w:rsid w:val="00D55DA3"/>
    <w:rsid w:val="00D56010"/>
    <w:rsid w:val="00D56140"/>
    <w:rsid w:val="00D561AE"/>
    <w:rsid w:val="00D5622C"/>
    <w:rsid w:val="00D565D5"/>
    <w:rsid w:val="00D56666"/>
    <w:rsid w:val="00D56791"/>
    <w:rsid w:val="00D56836"/>
    <w:rsid w:val="00D56A4E"/>
    <w:rsid w:val="00D56ABD"/>
    <w:rsid w:val="00D56AED"/>
    <w:rsid w:val="00D56B15"/>
    <w:rsid w:val="00D56B80"/>
    <w:rsid w:val="00D56BA3"/>
    <w:rsid w:val="00D56CF4"/>
    <w:rsid w:val="00D56D15"/>
    <w:rsid w:val="00D56D4D"/>
    <w:rsid w:val="00D56E6C"/>
    <w:rsid w:val="00D56EF6"/>
    <w:rsid w:val="00D56F71"/>
    <w:rsid w:val="00D56FF0"/>
    <w:rsid w:val="00D57086"/>
    <w:rsid w:val="00D570C4"/>
    <w:rsid w:val="00D57123"/>
    <w:rsid w:val="00D572F4"/>
    <w:rsid w:val="00D57393"/>
    <w:rsid w:val="00D574F8"/>
    <w:rsid w:val="00D57624"/>
    <w:rsid w:val="00D576FF"/>
    <w:rsid w:val="00D5775B"/>
    <w:rsid w:val="00D5796C"/>
    <w:rsid w:val="00D57A83"/>
    <w:rsid w:val="00D57ACC"/>
    <w:rsid w:val="00D57ADD"/>
    <w:rsid w:val="00D57C98"/>
    <w:rsid w:val="00D57CC1"/>
    <w:rsid w:val="00D57D7A"/>
    <w:rsid w:val="00D57DE0"/>
    <w:rsid w:val="00D57F0E"/>
    <w:rsid w:val="00D57F6A"/>
    <w:rsid w:val="00D57FD2"/>
    <w:rsid w:val="00D6011E"/>
    <w:rsid w:val="00D60123"/>
    <w:rsid w:val="00D601D4"/>
    <w:rsid w:val="00D60311"/>
    <w:rsid w:val="00D60358"/>
    <w:rsid w:val="00D6035C"/>
    <w:rsid w:val="00D603AD"/>
    <w:rsid w:val="00D6060B"/>
    <w:rsid w:val="00D606AB"/>
    <w:rsid w:val="00D6079A"/>
    <w:rsid w:val="00D607E8"/>
    <w:rsid w:val="00D608AC"/>
    <w:rsid w:val="00D60900"/>
    <w:rsid w:val="00D60913"/>
    <w:rsid w:val="00D6093E"/>
    <w:rsid w:val="00D609A8"/>
    <w:rsid w:val="00D60A94"/>
    <w:rsid w:val="00D60AD5"/>
    <w:rsid w:val="00D60AF8"/>
    <w:rsid w:val="00D60B81"/>
    <w:rsid w:val="00D60C61"/>
    <w:rsid w:val="00D60CF7"/>
    <w:rsid w:val="00D60D71"/>
    <w:rsid w:val="00D60DCA"/>
    <w:rsid w:val="00D60E46"/>
    <w:rsid w:val="00D6105C"/>
    <w:rsid w:val="00D61170"/>
    <w:rsid w:val="00D61194"/>
    <w:rsid w:val="00D611D2"/>
    <w:rsid w:val="00D61358"/>
    <w:rsid w:val="00D613BF"/>
    <w:rsid w:val="00D613E3"/>
    <w:rsid w:val="00D614F7"/>
    <w:rsid w:val="00D616F6"/>
    <w:rsid w:val="00D61747"/>
    <w:rsid w:val="00D617F5"/>
    <w:rsid w:val="00D618CB"/>
    <w:rsid w:val="00D6194B"/>
    <w:rsid w:val="00D61975"/>
    <w:rsid w:val="00D61A90"/>
    <w:rsid w:val="00D61AAF"/>
    <w:rsid w:val="00D61B1F"/>
    <w:rsid w:val="00D61B2D"/>
    <w:rsid w:val="00D61B73"/>
    <w:rsid w:val="00D61BAF"/>
    <w:rsid w:val="00D61BE9"/>
    <w:rsid w:val="00D61C07"/>
    <w:rsid w:val="00D61C79"/>
    <w:rsid w:val="00D61D43"/>
    <w:rsid w:val="00D61DD7"/>
    <w:rsid w:val="00D61E16"/>
    <w:rsid w:val="00D61EB4"/>
    <w:rsid w:val="00D61EEC"/>
    <w:rsid w:val="00D61F21"/>
    <w:rsid w:val="00D61F91"/>
    <w:rsid w:val="00D62017"/>
    <w:rsid w:val="00D620D4"/>
    <w:rsid w:val="00D6232C"/>
    <w:rsid w:val="00D623EF"/>
    <w:rsid w:val="00D6247A"/>
    <w:rsid w:val="00D6249E"/>
    <w:rsid w:val="00D624CA"/>
    <w:rsid w:val="00D62509"/>
    <w:rsid w:val="00D62621"/>
    <w:rsid w:val="00D62695"/>
    <w:rsid w:val="00D626E7"/>
    <w:rsid w:val="00D6275D"/>
    <w:rsid w:val="00D62797"/>
    <w:rsid w:val="00D62998"/>
    <w:rsid w:val="00D629DB"/>
    <w:rsid w:val="00D62A64"/>
    <w:rsid w:val="00D62A69"/>
    <w:rsid w:val="00D62B0B"/>
    <w:rsid w:val="00D62BF6"/>
    <w:rsid w:val="00D62D22"/>
    <w:rsid w:val="00D62D68"/>
    <w:rsid w:val="00D62DBE"/>
    <w:rsid w:val="00D62E5E"/>
    <w:rsid w:val="00D62EBC"/>
    <w:rsid w:val="00D62FCE"/>
    <w:rsid w:val="00D62FE4"/>
    <w:rsid w:val="00D63016"/>
    <w:rsid w:val="00D63357"/>
    <w:rsid w:val="00D634EF"/>
    <w:rsid w:val="00D6352A"/>
    <w:rsid w:val="00D6357A"/>
    <w:rsid w:val="00D636A4"/>
    <w:rsid w:val="00D63789"/>
    <w:rsid w:val="00D637CE"/>
    <w:rsid w:val="00D6387D"/>
    <w:rsid w:val="00D63930"/>
    <w:rsid w:val="00D63970"/>
    <w:rsid w:val="00D639D6"/>
    <w:rsid w:val="00D63A05"/>
    <w:rsid w:val="00D63C1A"/>
    <w:rsid w:val="00D63C67"/>
    <w:rsid w:val="00D63CA6"/>
    <w:rsid w:val="00D63CBE"/>
    <w:rsid w:val="00D63D00"/>
    <w:rsid w:val="00D63E37"/>
    <w:rsid w:val="00D63E90"/>
    <w:rsid w:val="00D63EB1"/>
    <w:rsid w:val="00D63F96"/>
    <w:rsid w:val="00D63FC7"/>
    <w:rsid w:val="00D6403D"/>
    <w:rsid w:val="00D64282"/>
    <w:rsid w:val="00D642B8"/>
    <w:rsid w:val="00D64323"/>
    <w:rsid w:val="00D64378"/>
    <w:rsid w:val="00D643A2"/>
    <w:rsid w:val="00D64475"/>
    <w:rsid w:val="00D64535"/>
    <w:rsid w:val="00D6455B"/>
    <w:rsid w:val="00D6456E"/>
    <w:rsid w:val="00D645B3"/>
    <w:rsid w:val="00D645DA"/>
    <w:rsid w:val="00D64606"/>
    <w:rsid w:val="00D64621"/>
    <w:rsid w:val="00D64730"/>
    <w:rsid w:val="00D64771"/>
    <w:rsid w:val="00D647A3"/>
    <w:rsid w:val="00D64988"/>
    <w:rsid w:val="00D64C2B"/>
    <w:rsid w:val="00D64CF5"/>
    <w:rsid w:val="00D64E85"/>
    <w:rsid w:val="00D64E89"/>
    <w:rsid w:val="00D64FCB"/>
    <w:rsid w:val="00D65034"/>
    <w:rsid w:val="00D650B0"/>
    <w:rsid w:val="00D653F0"/>
    <w:rsid w:val="00D6556E"/>
    <w:rsid w:val="00D65575"/>
    <w:rsid w:val="00D655EA"/>
    <w:rsid w:val="00D6564A"/>
    <w:rsid w:val="00D65682"/>
    <w:rsid w:val="00D656FC"/>
    <w:rsid w:val="00D657C0"/>
    <w:rsid w:val="00D65838"/>
    <w:rsid w:val="00D65969"/>
    <w:rsid w:val="00D65A36"/>
    <w:rsid w:val="00D65D22"/>
    <w:rsid w:val="00D65DF9"/>
    <w:rsid w:val="00D65EAB"/>
    <w:rsid w:val="00D65EDE"/>
    <w:rsid w:val="00D65F32"/>
    <w:rsid w:val="00D66043"/>
    <w:rsid w:val="00D66122"/>
    <w:rsid w:val="00D66161"/>
    <w:rsid w:val="00D663FC"/>
    <w:rsid w:val="00D66550"/>
    <w:rsid w:val="00D666D4"/>
    <w:rsid w:val="00D66899"/>
    <w:rsid w:val="00D66A8F"/>
    <w:rsid w:val="00D66A92"/>
    <w:rsid w:val="00D66B27"/>
    <w:rsid w:val="00D66BE7"/>
    <w:rsid w:val="00D66C2E"/>
    <w:rsid w:val="00D66CE7"/>
    <w:rsid w:val="00D66D1F"/>
    <w:rsid w:val="00D66D39"/>
    <w:rsid w:val="00D67022"/>
    <w:rsid w:val="00D6703E"/>
    <w:rsid w:val="00D670B6"/>
    <w:rsid w:val="00D670CE"/>
    <w:rsid w:val="00D67181"/>
    <w:rsid w:val="00D67189"/>
    <w:rsid w:val="00D67270"/>
    <w:rsid w:val="00D67314"/>
    <w:rsid w:val="00D67567"/>
    <w:rsid w:val="00D67620"/>
    <w:rsid w:val="00D676F4"/>
    <w:rsid w:val="00D6774A"/>
    <w:rsid w:val="00D677BE"/>
    <w:rsid w:val="00D67809"/>
    <w:rsid w:val="00D6787D"/>
    <w:rsid w:val="00D67920"/>
    <w:rsid w:val="00D679A5"/>
    <w:rsid w:val="00D67A85"/>
    <w:rsid w:val="00D67AB8"/>
    <w:rsid w:val="00D67B55"/>
    <w:rsid w:val="00D67CB4"/>
    <w:rsid w:val="00D67E76"/>
    <w:rsid w:val="00D67EE6"/>
    <w:rsid w:val="00D70057"/>
    <w:rsid w:val="00D700BC"/>
    <w:rsid w:val="00D7018C"/>
    <w:rsid w:val="00D701B3"/>
    <w:rsid w:val="00D701C6"/>
    <w:rsid w:val="00D70217"/>
    <w:rsid w:val="00D70333"/>
    <w:rsid w:val="00D703A1"/>
    <w:rsid w:val="00D70453"/>
    <w:rsid w:val="00D705D5"/>
    <w:rsid w:val="00D707F6"/>
    <w:rsid w:val="00D70842"/>
    <w:rsid w:val="00D7087B"/>
    <w:rsid w:val="00D708D9"/>
    <w:rsid w:val="00D7091E"/>
    <w:rsid w:val="00D70925"/>
    <w:rsid w:val="00D70A06"/>
    <w:rsid w:val="00D70B3E"/>
    <w:rsid w:val="00D70CBB"/>
    <w:rsid w:val="00D70E97"/>
    <w:rsid w:val="00D70F74"/>
    <w:rsid w:val="00D7113E"/>
    <w:rsid w:val="00D71253"/>
    <w:rsid w:val="00D712B2"/>
    <w:rsid w:val="00D712E1"/>
    <w:rsid w:val="00D71323"/>
    <w:rsid w:val="00D71325"/>
    <w:rsid w:val="00D713EB"/>
    <w:rsid w:val="00D7141B"/>
    <w:rsid w:val="00D7145F"/>
    <w:rsid w:val="00D71533"/>
    <w:rsid w:val="00D71598"/>
    <w:rsid w:val="00D715FF"/>
    <w:rsid w:val="00D716BF"/>
    <w:rsid w:val="00D71807"/>
    <w:rsid w:val="00D71866"/>
    <w:rsid w:val="00D71C5F"/>
    <w:rsid w:val="00D71CCA"/>
    <w:rsid w:val="00D71CDE"/>
    <w:rsid w:val="00D71DC8"/>
    <w:rsid w:val="00D71E77"/>
    <w:rsid w:val="00D71F2A"/>
    <w:rsid w:val="00D71F5E"/>
    <w:rsid w:val="00D71FCC"/>
    <w:rsid w:val="00D72070"/>
    <w:rsid w:val="00D72185"/>
    <w:rsid w:val="00D72393"/>
    <w:rsid w:val="00D72435"/>
    <w:rsid w:val="00D72468"/>
    <w:rsid w:val="00D724C8"/>
    <w:rsid w:val="00D72549"/>
    <w:rsid w:val="00D72555"/>
    <w:rsid w:val="00D72586"/>
    <w:rsid w:val="00D72652"/>
    <w:rsid w:val="00D726E4"/>
    <w:rsid w:val="00D727B0"/>
    <w:rsid w:val="00D728A3"/>
    <w:rsid w:val="00D728EF"/>
    <w:rsid w:val="00D72AB2"/>
    <w:rsid w:val="00D72C7B"/>
    <w:rsid w:val="00D72DD6"/>
    <w:rsid w:val="00D72F11"/>
    <w:rsid w:val="00D72F36"/>
    <w:rsid w:val="00D72FDE"/>
    <w:rsid w:val="00D72FF3"/>
    <w:rsid w:val="00D731CA"/>
    <w:rsid w:val="00D73301"/>
    <w:rsid w:val="00D7332F"/>
    <w:rsid w:val="00D733F4"/>
    <w:rsid w:val="00D7341B"/>
    <w:rsid w:val="00D734EF"/>
    <w:rsid w:val="00D73575"/>
    <w:rsid w:val="00D7367F"/>
    <w:rsid w:val="00D7379C"/>
    <w:rsid w:val="00D737E3"/>
    <w:rsid w:val="00D73806"/>
    <w:rsid w:val="00D73838"/>
    <w:rsid w:val="00D739D3"/>
    <w:rsid w:val="00D73A62"/>
    <w:rsid w:val="00D73AF6"/>
    <w:rsid w:val="00D73B0F"/>
    <w:rsid w:val="00D73B26"/>
    <w:rsid w:val="00D73BBC"/>
    <w:rsid w:val="00D73BF2"/>
    <w:rsid w:val="00D73DA2"/>
    <w:rsid w:val="00D73DFD"/>
    <w:rsid w:val="00D73E5A"/>
    <w:rsid w:val="00D73E7B"/>
    <w:rsid w:val="00D73E98"/>
    <w:rsid w:val="00D73E99"/>
    <w:rsid w:val="00D740EA"/>
    <w:rsid w:val="00D74317"/>
    <w:rsid w:val="00D74356"/>
    <w:rsid w:val="00D743B3"/>
    <w:rsid w:val="00D744E5"/>
    <w:rsid w:val="00D745FD"/>
    <w:rsid w:val="00D746B5"/>
    <w:rsid w:val="00D746C2"/>
    <w:rsid w:val="00D748E3"/>
    <w:rsid w:val="00D748F1"/>
    <w:rsid w:val="00D7493D"/>
    <w:rsid w:val="00D74981"/>
    <w:rsid w:val="00D749F3"/>
    <w:rsid w:val="00D74A6A"/>
    <w:rsid w:val="00D74B70"/>
    <w:rsid w:val="00D74C8D"/>
    <w:rsid w:val="00D74D38"/>
    <w:rsid w:val="00D74DEB"/>
    <w:rsid w:val="00D74F65"/>
    <w:rsid w:val="00D7503A"/>
    <w:rsid w:val="00D7503E"/>
    <w:rsid w:val="00D7518A"/>
    <w:rsid w:val="00D75228"/>
    <w:rsid w:val="00D75239"/>
    <w:rsid w:val="00D75250"/>
    <w:rsid w:val="00D75341"/>
    <w:rsid w:val="00D753D7"/>
    <w:rsid w:val="00D753DF"/>
    <w:rsid w:val="00D75468"/>
    <w:rsid w:val="00D75486"/>
    <w:rsid w:val="00D7559F"/>
    <w:rsid w:val="00D75612"/>
    <w:rsid w:val="00D75703"/>
    <w:rsid w:val="00D757F3"/>
    <w:rsid w:val="00D7587A"/>
    <w:rsid w:val="00D75A3B"/>
    <w:rsid w:val="00D75B60"/>
    <w:rsid w:val="00D75BDA"/>
    <w:rsid w:val="00D75C36"/>
    <w:rsid w:val="00D75DA1"/>
    <w:rsid w:val="00D75F2C"/>
    <w:rsid w:val="00D76082"/>
    <w:rsid w:val="00D760C1"/>
    <w:rsid w:val="00D761AA"/>
    <w:rsid w:val="00D76231"/>
    <w:rsid w:val="00D76275"/>
    <w:rsid w:val="00D7627D"/>
    <w:rsid w:val="00D763AC"/>
    <w:rsid w:val="00D76404"/>
    <w:rsid w:val="00D76431"/>
    <w:rsid w:val="00D764D2"/>
    <w:rsid w:val="00D76551"/>
    <w:rsid w:val="00D76594"/>
    <w:rsid w:val="00D765D2"/>
    <w:rsid w:val="00D76694"/>
    <w:rsid w:val="00D76696"/>
    <w:rsid w:val="00D7674B"/>
    <w:rsid w:val="00D7688C"/>
    <w:rsid w:val="00D76934"/>
    <w:rsid w:val="00D769F7"/>
    <w:rsid w:val="00D76A2C"/>
    <w:rsid w:val="00D76A95"/>
    <w:rsid w:val="00D76B2A"/>
    <w:rsid w:val="00D76BC4"/>
    <w:rsid w:val="00D76C22"/>
    <w:rsid w:val="00D76CE5"/>
    <w:rsid w:val="00D76D0B"/>
    <w:rsid w:val="00D76D35"/>
    <w:rsid w:val="00D76DAA"/>
    <w:rsid w:val="00D76E23"/>
    <w:rsid w:val="00D77080"/>
    <w:rsid w:val="00D77089"/>
    <w:rsid w:val="00D770BA"/>
    <w:rsid w:val="00D771CB"/>
    <w:rsid w:val="00D7720D"/>
    <w:rsid w:val="00D7732D"/>
    <w:rsid w:val="00D77443"/>
    <w:rsid w:val="00D7747C"/>
    <w:rsid w:val="00D77540"/>
    <w:rsid w:val="00D775C3"/>
    <w:rsid w:val="00D775C4"/>
    <w:rsid w:val="00D77717"/>
    <w:rsid w:val="00D77824"/>
    <w:rsid w:val="00D778A5"/>
    <w:rsid w:val="00D77929"/>
    <w:rsid w:val="00D77B88"/>
    <w:rsid w:val="00D77B93"/>
    <w:rsid w:val="00D77CD3"/>
    <w:rsid w:val="00D77D36"/>
    <w:rsid w:val="00D77D39"/>
    <w:rsid w:val="00D77D61"/>
    <w:rsid w:val="00D77E2D"/>
    <w:rsid w:val="00D77E38"/>
    <w:rsid w:val="00D77E8D"/>
    <w:rsid w:val="00D80157"/>
    <w:rsid w:val="00D801B9"/>
    <w:rsid w:val="00D801BF"/>
    <w:rsid w:val="00D8031F"/>
    <w:rsid w:val="00D803A7"/>
    <w:rsid w:val="00D8044C"/>
    <w:rsid w:val="00D8057E"/>
    <w:rsid w:val="00D80647"/>
    <w:rsid w:val="00D806BB"/>
    <w:rsid w:val="00D806FF"/>
    <w:rsid w:val="00D80887"/>
    <w:rsid w:val="00D808ED"/>
    <w:rsid w:val="00D8096D"/>
    <w:rsid w:val="00D80A51"/>
    <w:rsid w:val="00D80AFF"/>
    <w:rsid w:val="00D80B15"/>
    <w:rsid w:val="00D80BD8"/>
    <w:rsid w:val="00D80BFB"/>
    <w:rsid w:val="00D80C3A"/>
    <w:rsid w:val="00D80C3C"/>
    <w:rsid w:val="00D80C78"/>
    <w:rsid w:val="00D80C8D"/>
    <w:rsid w:val="00D80EA0"/>
    <w:rsid w:val="00D80FED"/>
    <w:rsid w:val="00D81026"/>
    <w:rsid w:val="00D8105C"/>
    <w:rsid w:val="00D810AF"/>
    <w:rsid w:val="00D810C8"/>
    <w:rsid w:val="00D810FD"/>
    <w:rsid w:val="00D8111B"/>
    <w:rsid w:val="00D8113A"/>
    <w:rsid w:val="00D8114F"/>
    <w:rsid w:val="00D812D8"/>
    <w:rsid w:val="00D812E8"/>
    <w:rsid w:val="00D8151D"/>
    <w:rsid w:val="00D81655"/>
    <w:rsid w:val="00D81668"/>
    <w:rsid w:val="00D8178F"/>
    <w:rsid w:val="00D818B7"/>
    <w:rsid w:val="00D818EF"/>
    <w:rsid w:val="00D819B2"/>
    <w:rsid w:val="00D819CD"/>
    <w:rsid w:val="00D81B03"/>
    <w:rsid w:val="00D81BE0"/>
    <w:rsid w:val="00D81D13"/>
    <w:rsid w:val="00D81DAA"/>
    <w:rsid w:val="00D81DFF"/>
    <w:rsid w:val="00D81EFF"/>
    <w:rsid w:val="00D81F94"/>
    <w:rsid w:val="00D81FB4"/>
    <w:rsid w:val="00D8203E"/>
    <w:rsid w:val="00D82088"/>
    <w:rsid w:val="00D820BB"/>
    <w:rsid w:val="00D82170"/>
    <w:rsid w:val="00D8222B"/>
    <w:rsid w:val="00D8222E"/>
    <w:rsid w:val="00D823F6"/>
    <w:rsid w:val="00D82506"/>
    <w:rsid w:val="00D825D2"/>
    <w:rsid w:val="00D82602"/>
    <w:rsid w:val="00D82653"/>
    <w:rsid w:val="00D82655"/>
    <w:rsid w:val="00D828E8"/>
    <w:rsid w:val="00D82942"/>
    <w:rsid w:val="00D82C3D"/>
    <w:rsid w:val="00D82D75"/>
    <w:rsid w:val="00D82DD9"/>
    <w:rsid w:val="00D82E28"/>
    <w:rsid w:val="00D82E3F"/>
    <w:rsid w:val="00D82E71"/>
    <w:rsid w:val="00D82E9E"/>
    <w:rsid w:val="00D82EE7"/>
    <w:rsid w:val="00D82EEC"/>
    <w:rsid w:val="00D82F84"/>
    <w:rsid w:val="00D834E7"/>
    <w:rsid w:val="00D834F0"/>
    <w:rsid w:val="00D834F1"/>
    <w:rsid w:val="00D83799"/>
    <w:rsid w:val="00D837DE"/>
    <w:rsid w:val="00D83857"/>
    <w:rsid w:val="00D839DB"/>
    <w:rsid w:val="00D83A67"/>
    <w:rsid w:val="00D83A92"/>
    <w:rsid w:val="00D83B19"/>
    <w:rsid w:val="00D83BA6"/>
    <w:rsid w:val="00D83CAD"/>
    <w:rsid w:val="00D83D94"/>
    <w:rsid w:val="00D83DD1"/>
    <w:rsid w:val="00D83F7E"/>
    <w:rsid w:val="00D83FDD"/>
    <w:rsid w:val="00D840D1"/>
    <w:rsid w:val="00D841AE"/>
    <w:rsid w:val="00D84214"/>
    <w:rsid w:val="00D842C7"/>
    <w:rsid w:val="00D843E0"/>
    <w:rsid w:val="00D84442"/>
    <w:rsid w:val="00D84486"/>
    <w:rsid w:val="00D8457F"/>
    <w:rsid w:val="00D847D1"/>
    <w:rsid w:val="00D84A01"/>
    <w:rsid w:val="00D84A50"/>
    <w:rsid w:val="00D84A62"/>
    <w:rsid w:val="00D84DB4"/>
    <w:rsid w:val="00D84ECB"/>
    <w:rsid w:val="00D8526C"/>
    <w:rsid w:val="00D85271"/>
    <w:rsid w:val="00D8531A"/>
    <w:rsid w:val="00D85443"/>
    <w:rsid w:val="00D85658"/>
    <w:rsid w:val="00D85690"/>
    <w:rsid w:val="00D85704"/>
    <w:rsid w:val="00D857D3"/>
    <w:rsid w:val="00D857D5"/>
    <w:rsid w:val="00D8587B"/>
    <w:rsid w:val="00D85957"/>
    <w:rsid w:val="00D85A2A"/>
    <w:rsid w:val="00D85A2F"/>
    <w:rsid w:val="00D85A55"/>
    <w:rsid w:val="00D85B1F"/>
    <w:rsid w:val="00D85B94"/>
    <w:rsid w:val="00D85C11"/>
    <w:rsid w:val="00D85C48"/>
    <w:rsid w:val="00D85C98"/>
    <w:rsid w:val="00D85E44"/>
    <w:rsid w:val="00D85E81"/>
    <w:rsid w:val="00D86504"/>
    <w:rsid w:val="00D86593"/>
    <w:rsid w:val="00D865DB"/>
    <w:rsid w:val="00D867E2"/>
    <w:rsid w:val="00D86885"/>
    <w:rsid w:val="00D86998"/>
    <w:rsid w:val="00D86C3C"/>
    <w:rsid w:val="00D86C76"/>
    <w:rsid w:val="00D86C99"/>
    <w:rsid w:val="00D86CBE"/>
    <w:rsid w:val="00D86E87"/>
    <w:rsid w:val="00D86EE1"/>
    <w:rsid w:val="00D86F9E"/>
    <w:rsid w:val="00D86FC6"/>
    <w:rsid w:val="00D8725C"/>
    <w:rsid w:val="00D872A2"/>
    <w:rsid w:val="00D87520"/>
    <w:rsid w:val="00D87642"/>
    <w:rsid w:val="00D877C3"/>
    <w:rsid w:val="00D877D9"/>
    <w:rsid w:val="00D87816"/>
    <w:rsid w:val="00D87941"/>
    <w:rsid w:val="00D8794A"/>
    <w:rsid w:val="00D87A28"/>
    <w:rsid w:val="00D87B01"/>
    <w:rsid w:val="00D87BAB"/>
    <w:rsid w:val="00D87C03"/>
    <w:rsid w:val="00D87C33"/>
    <w:rsid w:val="00D87CE7"/>
    <w:rsid w:val="00D87D95"/>
    <w:rsid w:val="00D87EA3"/>
    <w:rsid w:val="00D87F65"/>
    <w:rsid w:val="00D87FA8"/>
    <w:rsid w:val="00D87FAD"/>
    <w:rsid w:val="00D87FC1"/>
    <w:rsid w:val="00D9003A"/>
    <w:rsid w:val="00D900EF"/>
    <w:rsid w:val="00D902B5"/>
    <w:rsid w:val="00D902C7"/>
    <w:rsid w:val="00D9033D"/>
    <w:rsid w:val="00D903A0"/>
    <w:rsid w:val="00D903B8"/>
    <w:rsid w:val="00D903E5"/>
    <w:rsid w:val="00D90450"/>
    <w:rsid w:val="00D90561"/>
    <w:rsid w:val="00D90584"/>
    <w:rsid w:val="00D90597"/>
    <w:rsid w:val="00D905CC"/>
    <w:rsid w:val="00D905DD"/>
    <w:rsid w:val="00D905F6"/>
    <w:rsid w:val="00D907FB"/>
    <w:rsid w:val="00D90858"/>
    <w:rsid w:val="00D90872"/>
    <w:rsid w:val="00D90880"/>
    <w:rsid w:val="00D909F1"/>
    <w:rsid w:val="00D90AA4"/>
    <w:rsid w:val="00D90ACE"/>
    <w:rsid w:val="00D90B89"/>
    <w:rsid w:val="00D90BF1"/>
    <w:rsid w:val="00D90D76"/>
    <w:rsid w:val="00D90E23"/>
    <w:rsid w:val="00D90EEF"/>
    <w:rsid w:val="00D90FA8"/>
    <w:rsid w:val="00D90FD2"/>
    <w:rsid w:val="00D9102A"/>
    <w:rsid w:val="00D91038"/>
    <w:rsid w:val="00D9106B"/>
    <w:rsid w:val="00D910E8"/>
    <w:rsid w:val="00D910FD"/>
    <w:rsid w:val="00D9117A"/>
    <w:rsid w:val="00D911DC"/>
    <w:rsid w:val="00D9125B"/>
    <w:rsid w:val="00D9129A"/>
    <w:rsid w:val="00D912F0"/>
    <w:rsid w:val="00D91472"/>
    <w:rsid w:val="00D9152C"/>
    <w:rsid w:val="00D9154E"/>
    <w:rsid w:val="00D9154F"/>
    <w:rsid w:val="00D916FE"/>
    <w:rsid w:val="00D917CB"/>
    <w:rsid w:val="00D9190E"/>
    <w:rsid w:val="00D91C33"/>
    <w:rsid w:val="00D91CE2"/>
    <w:rsid w:val="00D91D38"/>
    <w:rsid w:val="00D91D59"/>
    <w:rsid w:val="00D9205F"/>
    <w:rsid w:val="00D92067"/>
    <w:rsid w:val="00D920E0"/>
    <w:rsid w:val="00D9223A"/>
    <w:rsid w:val="00D92251"/>
    <w:rsid w:val="00D923A5"/>
    <w:rsid w:val="00D923B6"/>
    <w:rsid w:val="00D923D3"/>
    <w:rsid w:val="00D92426"/>
    <w:rsid w:val="00D92449"/>
    <w:rsid w:val="00D92652"/>
    <w:rsid w:val="00D9279B"/>
    <w:rsid w:val="00D927E9"/>
    <w:rsid w:val="00D929C8"/>
    <w:rsid w:val="00D929DF"/>
    <w:rsid w:val="00D929FC"/>
    <w:rsid w:val="00D92B4E"/>
    <w:rsid w:val="00D92BF2"/>
    <w:rsid w:val="00D92C8C"/>
    <w:rsid w:val="00D92F31"/>
    <w:rsid w:val="00D93038"/>
    <w:rsid w:val="00D93075"/>
    <w:rsid w:val="00D930B3"/>
    <w:rsid w:val="00D931B8"/>
    <w:rsid w:val="00D932C6"/>
    <w:rsid w:val="00D93369"/>
    <w:rsid w:val="00D93422"/>
    <w:rsid w:val="00D93440"/>
    <w:rsid w:val="00D93555"/>
    <w:rsid w:val="00D9366D"/>
    <w:rsid w:val="00D93702"/>
    <w:rsid w:val="00D93764"/>
    <w:rsid w:val="00D937C2"/>
    <w:rsid w:val="00D938B2"/>
    <w:rsid w:val="00D939DD"/>
    <w:rsid w:val="00D939FF"/>
    <w:rsid w:val="00D93A43"/>
    <w:rsid w:val="00D93B3D"/>
    <w:rsid w:val="00D93B47"/>
    <w:rsid w:val="00D93B77"/>
    <w:rsid w:val="00D93B90"/>
    <w:rsid w:val="00D93CD2"/>
    <w:rsid w:val="00D93CF9"/>
    <w:rsid w:val="00D93DEC"/>
    <w:rsid w:val="00D93E05"/>
    <w:rsid w:val="00D93E19"/>
    <w:rsid w:val="00D93E6C"/>
    <w:rsid w:val="00D94238"/>
    <w:rsid w:val="00D942C0"/>
    <w:rsid w:val="00D942FA"/>
    <w:rsid w:val="00D94306"/>
    <w:rsid w:val="00D94397"/>
    <w:rsid w:val="00D943CE"/>
    <w:rsid w:val="00D943D8"/>
    <w:rsid w:val="00D943E3"/>
    <w:rsid w:val="00D94474"/>
    <w:rsid w:val="00D944C2"/>
    <w:rsid w:val="00D9451E"/>
    <w:rsid w:val="00D9455C"/>
    <w:rsid w:val="00D945FB"/>
    <w:rsid w:val="00D946AE"/>
    <w:rsid w:val="00D946CB"/>
    <w:rsid w:val="00D9472D"/>
    <w:rsid w:val="00D9473E"/>
    <w:rsid w:val="00D9477B"/>
    <w:rsid w:val="00D947AA"/>
    <w:rsid w:val="00D9485A"/>
    <w:rsid w:val="00D9495D"/>
    <w:rsid w:val="00D94A04"/>
    <w:rsid w:val="00D94AB0"/>
    <w:rsid w:val="00D94B7D"/>
    <w:rsid w:val="00D94B8E"/>
    <w:rsid w:val="00D94BAA"/>
    <w:rsid w:val="00D94C93"/>
    <w:rsid w:val="00D94D55"/>
    <w:rsid w:val="00D94E57"/>
    <w:rsid w:val="00D94EA8"/>
    <w:rsid w:val="00D951D0"/>
    <w:rsid w:val="00D95273"/>
    <w:rsid w:val="00D9528E"/>
    <w:rsid w:val="00D95292"/>
    <w:rsid w:val="00D95317"/>
    <w:rsid w:val="00D953FF"/>
    <w:rsid w:val="00D9540D"/>
    <w:rsid w:val="00D9541E"/>
    <w:rsid w:val="00D95486"/>
    <w:rsid w:val="00D954D5"/>
    <w:rsid w:val="00D9551A"/>
    <w:rsid w:val="00D9564F"/>
    <w:rsid w:val="00D9565C"/>
    <w:rsid w:val="00D9567E"/>
    <w:rsid w:val="00D9578C"/>
    <w:rsid w:val="00D9586D"/>
    <w:rsid w:val="00D95895"/>
    <w:rsid w:val="00D9594F"/>
    <w:rsid w:val="00D95A94"/>
    <w:rsid w:val="00D95ADE"/>
    <w:rsid w:val="00D95B79"/>
    <w:rsid w:val="00D95B80"/>
    <w:rsid w:val="00D95BD2"/>
    <w:rsid w:val="00D95BD6"/>
    <w:rsid w:val="00D95D06"/>
    <w:rsid w:val="00D95D3E"/>
    <w:rsid w:val="00D95E2A"/>
    <w:rsid w:val="00D95F5C"/>
    <w:rsid w:val="00D962E8"/>
    <w:rsid w:val="00D9633E"/>
    <w:rsid w:val="00D963F1"/>
    <w:rsid w:val="00D966A7"/>
    <w:rsid w:val="00D966D2"/>
    <w:rsid w:val="00D96779"/>
    <w:rsid w:val="00D967D9"/>
    <w:rsid w:val="00D96865"/>
    <w:rsid w:val="00D96978"/>
    <w:rsid w:val="00D96A11"/>
    <w:rsid w:val="00D96A33"/>
    <w:rsid w:val="00D96AE1"/>
    <w:rsid w:val="00D96B1B"/>
    <w:rsid w:val="00D96E7A"/>
    <w:rsid w:val="00D96F79"/>
    <w:rsid w:val="00D970D1"/>
    <w:rsid w:val="00D9719E"/>
    <w:rsid w:val="00D971D1"/>
    <w:rsid w:val="00D97333"/>
    <w:rsid w:val="00D973F8"/>
    <w:rsid w:val="00D97495"/>
    <w:rsid w:val="00D974DC"/>
    <w:rsid w:val="00D975F4"/>
    <w:rsid w:val="00D9772E"/>
    <w:rsid w:val="00D97889"/>
    <w:rsid w:val="00D97893"/>
    <w:rsid w:val="00D97896"/>
    <w:rsid w:val="00D979E3"/>
    <w:rsid w:val="00D97A89"/>
    <w:rsid w:val="00D97AB5"/>
    <w:rsid w:val="00D97B8B"/>
    <w:rsid w:val="00D97E4D"/>
    <w:rsid w:val="00D97FD9"/>
    <w:rsid w:val="00DA011F"/>
    <w:rsid w:val="00DA0175"/>
    <w:rsid w:val="00DA02A4"/>
    <w:rsid w:val="00DA0329"/>
    <w:rsid w:val="00DA035A"/>
    <w:rsid w:val="00DA0376"/>
    <w:rsid w:val="00DA0378"/>
    <w:rsid w:val="00DA03CE"/>
    <w:rsid w:val="00DA050F"/>
    <w:rsid w:val="00DA06B6"/>
    <w:rsid w:val="00DA06B8"/>
    <w:rsid w:val="00DA06D7"/>
    <w:rsid w:val="00DA0703"/>
    <w:rsid w:val="00DA073D"/>
    <w:rsid w:val="00DA077B"/>
    <w:rsid w:val="00DA0993"/>
    <w:rsid w:val="00DA0A0A"/>
    <w:rsid w:val="00DA0ABA"/>
    <w:rsid w:val="00DA0B4A"/>
    <w:rsid w:val="00DA0B5A"/>
    <w:rsid w:val="00DA0DB2"/>
    <w:rsid w:val="00DA0EAB"/>
    <w:rsid w:val="00DA1008"/>
    <w:rsid w:val="00DA1018"/>
    <w:rsid w:val="00DA1099"/>
    <w:rsid w:val="00DA1156"/>
    <w:rsid w:val="00DA1285"/>
    <w:rsid w:val="00DA12C1"/>
    <w:rsid w:val="00DA15B6"/>
    <w:rsid w:val="00DA16D5"/>
    <w:rsid w:val="00DA184B"/>
    <w:rsid w:val="00DA186F"/>
    <w:rsid w:val="00DA18EF"/>
    <w:rsid w:val="00DA1906"/>
    <w:rsid w:val="00DA1996"/>
    <w:rsid w:val="00DA19EF"/>
    <w:rsid w:val="00DA1AD4"/>
    <w:rsid w:val="00DA1B1D"/>
    <w:rsid w:val="00DA1B2F"/>
    <w:rsid w:val="00DA1B3F"/>
    <w:rsid w:val="00DA1C5E"/>
    <w:rsid w:val="00DA1C88"/>
    <w:rsid w:val="00DA1C8D"/>
    <w:rsid w:val="00DA1CEA"/>
    <w:rsid w:val="00DA1D7D"/>
    <w:rsid w:val="00DA1DC8"/>
    <w:rsid w:val="00DA1E93"/>
    <w:rsid w:val="00DA1EA2"/>
    <w:rsid w:val="00DA1EEE"/>
    <w:rsid w:val="00DA1F99"/>
    <w:rsid w:val="00DA200F"/>
    <w:rsid w:val="00DA201A"/>
    <w:rsid w:val="00DA201F"/>
    <w:rsid w:val="00DA2050"/>
    <w:rsid w:val="00DA20E9"/>
    <w:rsid w:val="00DA2345"/>
    <w:rsid w:val="00DA23B8"/>
    <w:rsid w:val="00DA246B"/>
    <w:rsid w:val="00DA24A6"/>
    <w:rsid w:val="00DA24BF"/>
    <w:rsid w:val="00DA24E3"/>
    <w:rsid w:val="00DA25AD"/>
    <w:rsid w:val="00DA2637"/>
    <w:rsid w:val="00DA265B"/>
    <w:rsid w:val="00DA270F"/>
    <w:rsid w:val="00DA2759"/>
    <w:rsid w:val="00DA277D"/>
    <w:rsid w:val="00DA284B"/>
    <w:rsid w:val="00DA28C3"/>
    <w:rsid w:val="00DA28E2"/>
    <w:rsid w:val="00DA291B"/>
    <w:rsid w:val="00DA2956"/>
    <w:rsid w:val="00DA29BB"/>
    <w:rsid w:val="00DA29D2"/>
    <w:rsid w:val="00DA2A84"/>
    <w:rsid w:val="00DA2AB8"/>
    <w:rsid w:val="00DA2AFE"/>
    <w:rsid w:val="00DA2B1B"/>
    <w:rsid w:val="00DA2B83"/>
    <w:rsid w:val="00DA2C1A"/>
    <w:rsid w:val="00DA2CB5"/>
    <w:rsid w:val="00DA2CFD"/>
    <w:rsid w:val="00DA2D33"/>
    <w:rsid w:val="00DA2D57"/>
    <w:rsid w:val="00DA2E66"/>
    <w:rsid w:val="00DA2F94"/>
    <w:rsid w:val="00DA3023"/>
    <w:rsid w:val="00DA3502"/>
    <w:rsid w:val="00DA3523"/>
    <w:rsid w:val="00DA3630"/>
    <w:rsid w:val="00DA3667"/>
    <w:rsid w:val="00DA36D4"/>
    <w:rsid w:val="00DA36E0"/>
    <w:rsid w:val="00DA3717"/>
    <w:rsid w:val="00DA393E"/>
    <w:rsid w:val="00DA397D"/>
    <w:rsid w:val="00DA399A"/>
    <w:rsid w:val="00DA39DD"/>
    <w:rsid w:val="00DA3A33"/>
    <w:rsid w:val="00DA3AF8"/>
    <w:rsid w:val="00DA3BA8"/>
    <w:rsid w:val="00DA3BF0"/>
    <w:rsid w:val="00DA3D04"/>
    <w:rsid w:val="00DA3D0D"/>
    <w:rsid w:val="00DA3DA9"/>
    <w:rsid w:val="00DA3E4C"/>
    <w:rsid w:val="00DA3F33"/>
    <w:rsid w:val="00DA3FE8"/>
    <w:rsid w:val="00DA4047"/>
    <w:rsid w:val="00DA415E"/>
    <w:rsid w:val="00DA4203"/>
    <w:rsid w:val="00DA42F6"/>
    <w:rsid w:val="00DA4396"/>
    <w:rsid w:val="00DA43B6"/>
    <w:rsid w:val="00DA444A"/>
    <w:rsid w:val="00DA4692"/>
    <w:rsid w:val="00DA46BE"/>
    <w:rsid w:val="00DA46DA"/>
    <w:rsid w:val="00DA4854"/>
    <w:rsid w:val="00DA48FA"/>
    <w:rsid w:val="00DA49AC"/>
    <w:rsid w:val="00DA4A3F"/>
    <w:rsid w:val="00DA4AB6"/>
    <w:rsid w:val="00DA4AE9"/>
    <w:rsid w:val="00DA4B48"/>
    <w:rsid w:val="00DA4D91"/>
    <w:rsid w:val="00DA4E28"/>
    <w:rsid w:val="00DA4FB8"/>
    <w:rsid w:val="00DA500C"/>
    <w:rsid w:val="00DA50EA"/>
    <w:rsid w:val="00DA512B"/>
    <w:rsid w:val="00DA5141"/>
    <w:rsid w:val="00DA522F"/>
    <w:rsid w:val="00DA52BA"/>
    <w:rsid w:val="00DA5339"/>
    <w:rsid w:val="00DA5361"/>
    <w:rsid w:val="00DA538B"/>
    <w:rsid w:val="00DA539A"/>
    <w:rsid w:val="00DA540F"/>
    <w:rsid w:val="00DA5468"/>
    <w:rsid w:val="00DA55B1"/>
    <w:rsid w:val="00DA5655"/>
    <w:rsid w:val="00DA57E0"/>
    <w:rsid w:val="00DA583D"/>
    <w:rsid w:val="00DA5875"/>
    <w:rsid w:val="00DA590C"/>
    <w:rsid w:val="00DA59A1"/>
    <w:rsid w:val="00DA5A2B"/>
    <w:rsid w:val="00DA5B05"/>
    <w:rsid w:val="00DA5B4A"/>
    <w:rsid w:val="00DA5C10"/>
    <w:rsid w:val="00DA5C6E"/>
    <w:rsid w:val="00DA5CCF"/>
    <w:rsid w:val="00DA5DF4"/>
    <w:rsid w:val="00DA5E75"/>
    <w:rsid w:val="00DA5EC4"/>
    <w:rsid w:val="00DA5F5E"/>
    <w:rsid w:val="00DA5FD5"/>
    <w:rsid w:val="00DA6059"/>
    <w:rsid w:val="00DA6065"/>
    <w:rsid w:val="00DA61DF"/>
    <w:rsid w:val="00DA61F8"/>
    <w:rsid w:val="00DA6213"/>
    <w:rsid w:val="00DA6247"/>
    <w:rsid w:val="00DA627C"/>
    <w:rsid w:val="00DA6292"/>
    <w:rsid w:val="00DA62E5"/>
    <w:rsid w:val="00DA63BB"/>
    <w:rsid w:val="00DA64D9"/>
    <w:rsid w:val="00DA6535"/>
    <w:rsid w:val="00DA666C"/>
    <w:rsid w:val="00DA6712"/>
    <w:rsid w:val="00DA684A"/>
    <w:rsid w:val="00DA6A6A"/>
    <w:rsid w:val="00DA6A97"/>
    <w:rsid w:val="00DA6AE4"/>
    <w:rsid w:val="00DA6BFC"/>
    <w:rsid w:val="00DA6D72"/>
    <w:rsid w:val="00DA6F17"/>
    <w:rsid w:val="00DA6F69"/>
    <w:rsid w:val="00DA70AC"/>
    <w:rsid w:val="00DA70B8"/>
    <w:rsid w:val="00DA710C"/>
    <w:rsid w:val="00DA71A7"/>
    <w:rsid w:val="00DA7675"/>
    <w:rsid w:val="00DA76D3"/>
    <w:rsid w:val="00DA78CF"/>
    <w:rsid w:val="00DA7905"/>
    <w:rsid w:val="00DA7964"/>
    <w:rsid w:val="00DA79BA"/>
    <w:rsid w:val="00DA7A53"/>
    <w:rsid w:val="00DA7A97"/>
    <w:rsid w:val="00DA7B72"/>
    <w:rsid w:val="00DA7B80"/>
    <w:rsid w:val="00DA7B87"/>
    <w:rsid w:val="00DA7C1E"/>
    <w:rsid w:val="00DA7DB5"/>
    <w:rsid w:val="00DA7DBD"/>
    <w:rsid w:val="00DA7F46"/>
    <w:rsid w:val="00DB001E"/>
    <w:rsid w:val="00DB0064"/>
    <w:rsid w:val="00DB0440"/>
    <w:rsid w:val="00DB0593"/>
    <w:rsid w:val="00DB064B"/>
    <w:rsid w:val="00DB06F4"/>
    <w:rsid w:val="00DB0778"/>
    <w:rsid w:val="00DB077A"/>
    <w:rsid w:val="00DB09A8"/>
    <w:rsid w:val="00DB09F1"/>
    <w:rsid w:val="00DB0A5F"/>
    <w:rsid w:val="00DB0CFB"/>
    <w:rsid w:val="00DB0DFE"/>
    <w:rsid w:val="00DB0E22"/>
    <w:rsid w:val="00DB0E95"/>
    <w:rsid w:val="00DB0F30"/>
    <w:rsid w:val="00DB0F45"/>
    <w:rsid w:val="00DB0FF1"/>
    <w:rsid w:val="00DB1091"/>
    <w:rsid w:val="00DB11A6"/>
    <w:rsid w:val="00DB1200"/>
    <w:rsid w:val="00DB124D"/>
    <w:rsid w:val="00DB12CB"/>
    <w:rsid w:val="00DB12D6"/>
    <w:rsid w:val="00DB12EC"/>
    <w:rsid w:val="00DB134C"/>
    <w:rsid w:val="00DB1361"/>
    <w:rsid w:val="00DB140E"/>
    <w:rsid w:val="00DB150F"/>
    <w:rsid w:val="00DB1522"/>
    <w:rsid w:val="00DB1688"/>
    <w:rsid w:val="00DB1796"/>
    <w:rsid w:val="00DB1819"/>
    <w:rsid w:val="00DB183C"/>
    <w:rsid w:val="00DB1AC4"/>
    <w:rsid w:val="00DB1AD1"/>
    <w:rsid w:val="00DB1D9D"/>
    <w:rsid w:val="00DB1F5D"/>
    <w:rsid w:val="00DB1FC7"/>
    <w:rsid w:val="00DB2140"/>
    <w:rsid w:val="00DB2195"/>
    <w:rsid w:val="00DB22E6"/>
    <w:rsid w:val="00DB23E8"/>
    <w:rsid w:val="00DB2428"/>
    <w:rsid w:val="00DB2648"/>
    <w:rsid w:val="00DB2869"/>
    <w:rsid w:val="00DB287C"/>
    <w:rsid w:val="00DB28EF"/>
    <w:rsid w:val="00DB295B"/>
    <w:rsid w:val="00DB2A29"/>
    <w:rsid w:val="00DB2E81"/>
    <w:rsid w:val="00DB2EE2"/>
    <w:rsid w:val="00DB2EFD"/>
    <w:rsid w:val="00DB2F9E"/>
    <w:rsid w:val="00DB308E"/>
    <w:rsid w:val="00DB3104"/>
    <w:rsid w:val="00DB31A3"/>
    <w:rsid w:val="00DB32F4"/>
    <w:rsid w:val="00DB357B"/>
    <w:rsid w:val="00DB3666"/>
    <w:rsid w:val="00DB396B"/>
    <w:rsid w:val="00DB39A7"/>
    <w:rsid w:val="00DB39E2"/>
    <w:rsid w:val="00DB39E3"/>
    <w:rsid w:val="00DB3A71"/>
    <w:rsid w:val="00DB3BA9"/>
    <w:rsid w:val="00DB3BFC"/>
    <w:rsid w:val="00DB3C4C"/>
    <w:rsid w:val="00DB3E03"/>
    <w:rsid w:val="00DB3F15"/>
    <w:rsid w:val="00DB3F9C"/>
    <w:rsid w:val="00DB405F"/>
    <w:rsid w:val="00DB4064"/>
    <w:rsid w:val="00DB40CD"/>
    <w:rsid w:val="00DB4218"/>
    <w:rsid w:val="00DB433D"/>
    <w:rsid w:val="00DB4373"/>
    <w:rsid w:val="00DB442E"/>
    <w:rsid w:val="00DB44BC"/>
    <w:rsid w:val="00DB455C"/>
    <w:rsid w:val="00DB4590"/>
    <w:rsid w:val="00DB46D2"/>
    <w:rsid w:val="00DB4720"/>
    <w:rsid w:val="00DB477B"/>
    <w:rsid w:val="00DB48C2"/>
    <w:rsid w:val="00DB491C"/>
    <w:rsid w:val="00DB4B44"/>
    <w:rsid w:val="00DB4BD1"/>
    <w:rsid w:val="00DB4D92"/>
    <w:rsid w:val="00DB4FE1"/>
    <w:rsid w:val="00DB51E9"/>
    <w:rsid w:val="00DB5388"/>
    <w:rsid w:val="00DB5482"/>
    <w:rsid w:val="00DB556D"/>
    <w:rsid w:val="00DB55C4"/>
    <w:rsid w:val="00DB5641"/>
    <w:rsid w:val="00DB5899"/>
    <w:rsid w:val="00DB5905"/>
    <w:rsid w:val="00DB590A"/>
    <w:rsid w:val="00DB592F"/>
    <w:rsid w:val="00DB5973"/>
    <w:rsid w:val="00DB597D"/>
    <w:rsid w:val="00DB598A"/>
    <w:rsid w:val="00DB5A3B"/>
    <w:rsid w:val="00DB5B2E"/>
    <w:rsid w:val="00DB5CD7"/>
    <w:rsid w:val="00DB5CDE"/>
    <w:rsid w:val="00DB5F02"/>
    <w:rsid w:val="00DB5F77"/>
    <w:rsid w:val="00DB6049"/>
    <w:rsid w:val="00DB626A"/>
    <w:rsid w:val="00DB6272"/>
    <w:rsid w:val="00DB643D"/>
    <w:rsid w:val="00DB643E"/>
    <w:rsid w:val="00DB6492"/>
    <w:rsid w:val="00DB64FB"/>
    <w:rsid w:val="00DB65F0"/>
    <w:rsid w:val="00DB66D4"/>
    <w:rsid w:val="00DB679F"/>
    <w:rsid w:val="00DB6A28"/>
    <w:rsid w:val="00DB6A65"/>
    <w:rsid w:val="00DB6A79"/>
    <w:rsid w:val="00DB6E2D"/>
    <w:rsid w:val="00DB6E6F"/>
    <w:rsid w:val="00DB70B5"/>
    <w:rsid w:val="00DB70BD"/>
    <w:rsid w:val="00DB70E9"/>
    <w:rsid w:val="00DB715C"/>
    <w:rsid w:val="00DB719F"/>
    <w:rsid w:val="00DB72BB"/>
    <w:rsid w:val="00DB746C"/>
    <w:rsid w:val="00DB74A7"/>
    <w:rsid w:val="00DB74AF"/>
    <w:rsid w:val="00DB757C"/>
    <w:rsid w:val="00DB75C1"/>
    <w:rsid w:val="00DB76BB"/>
    <w:rsid w:val="00DB76EB"/>
    <w:rsid w:val="00DB776A"/>
    <w:rsid w:val="00DB7940"/>
    <w:rsid w:val="00DB79B6"/>
    <w:rsid w:val="00DB79F3"/>
    <w:rsid w:val="00DB79F4"/>
    <w:rsid w:val="00DB7A10"/>
    <w:rsid w:val="00DB7A4F"/>
    <w:rsid w:val="00DB7B15"/>
    <w:rsid w:val="00DB7D18"/>
    <w:rsid w:val="00DB7DC0"/>
    <w:rsid w:val="00DB7E3A"/>
    <w:rsid w:val="00DB7EA7"/>
    <w:rsid w:val="00DB7F3A"/>
    <w:rsid w:val="00DB7F68"/>
    <w:rsid w:val="00DC0280"/>
    <w:rsid w:val="00DC05AC"/>
    <w:rsid w:val="00DC06D9"/>
    <w:rsid w:val="00DC09E2"/>
    <w:rsid w:val="00DC0C51"/>
    <w:rsid w:val="00DC0CB6"/>
    <w:rsid w:val="00DC0D5D"/>
    <w:rsid w:val="00DC0E1D"/>
    <w:rsid w:val="00DC0E3E"/>
    <w:rsid w:val="00DC0FAE"/>
    <w:rsid w:val="00DC0FCC"/>
    <w:rsid w:val="00DC0FE0"/>
    <w:rsid w:val="00DC0FEA"/>
    <w:rsid w:val="00DC1057"/>
    <w:rsid w:val="00DC107F"/>
    <w:rsid w:val="00DC10EB"/>
    <w:rsid w:val="00DC1236"/>
    <w:rsid w:val="00DC12DC"/>
    <w:rsid w:val="00DC12F3"/>
    <w:rsid w:val="00DC139A"/>
    <w:rsid w:val="00DC13D7"/>
    <w:rsid w:val="00DC1534"/>
    <w:rsid w:val="00DC17ED"/>
    <w:rsid w:val="00DC17F5"/>
    <w:rsid w:val="00DC185E"/>
    <w:rsid w:val="00DC18D0"/>
    <w:rsid w:val="00DC19E1"/>
    <w:rsid w:val="00DC1A17"/>
    <w:rsid w:val="00DC1A3A"/>
    <w:rsid w:val="00DC1BE4"/>
    <w:rsid w:val="00DC1C1E"/>
    <w:rsid w:val="00DC1C2B"/>
    <w:rsid w:val="00DC1CF0"/>
    <w:rsid w:val="00DC20EC"/>
    <w:rsid w:val="00DC2141"/>
    <w:rsid w:val="00DC2252"/>
    <w:rsid w:val="00DC25D0"/>
    <w:rsid w:val="00DC26D3"/>
    <w:rsid w:val="00DC277F"/>
    <w:rsid w:val="00DC28C4"/>
    <w:rsid w:val="00DC2962"/>
    <w:rsid w:val="00DC29CC"/>
    <w:rsid w:val="00DC2A2F"/>
    <w:rsid w:val="00DC2AFE"/>
    <w:rsid w:val="00DC2B29"/>
    <w:rsid w:val="00DC2B91"/>
    <w:rsid w:val="00DC2C9A"/>
    <w:rsid w:val="00DC2D1B"/>
    <w:rsid w:val="00DC2DB5"/>
    <w:rsid w:val="00DC2EE5"/>
    <w:rsid w:val="00DC2FC9"/>
    <w:rsid w:val="00DC3151"/>
    <w:rsid w:val="00DC31D3"/>
    <w:rsid w:val="00DC31FA"/>
    <w:rsid w:val="00DC32EC"/>
    <w:rsid w:val="00DC344B"/>
    <w:rsid w:val="00DC3486"/>
    <w:rsid w:val="00DC37BD"/>
    <w:rsid w:val="00DC37D6"/>
    <w:rsid w:val="00DC3A5F"/>
    <w:rsid w:val="00DC3B5F"/>
    <w:rsid w:val="00DC3BCF"/>
    <w:rsid w:val="00DC3C44"/>
    <w:rsid w:val="00DC3D32"/>
    <w:rsid w:val="00DC3DD9"/>
    <w:rsid w:val="00DC3E11"/>
    <w:rsid w:val="00DC3EA4"/>
    <w:rsid w:val="00DC3ECA"/>
    <w:rsid w:val="00DC3ED3"/>
    <w:rsid w:val="00DC3EF4"/>
    <w:rsid w:val="00DC3FA0"/>
    <w:rsid w:val="00DC4022"/>
    <w:rsid w:val="00DC40BD"/>
    <w:rsid w:val="00DC41E3"/>
    <w:rsid w:val="00DC4256"/>
    <w:rsid w:val="00DC42F2"/>
    <w:rsid w:val="00DC4303"/>
    <w:rsid w:val="00DC432D"/>
    <w:rsid w:val="00DC434B"/>
    <w:rsid w:val="00DC4354"/>
    <w:rsid w:val="00DC4450"/>
    <w:rsid w:val="00DC455C"/>
    <w:rsid w:val="00DC4570"/>
    <w:rsid w:val="00DC4595"/>
    <w:rsid w:val="00DC45F9"/>
    <w:rsid w:val="00DC463F"/>
    <w:rsid w:val="00DC4643"/>
    <w:rsid w:val="00DC473A"/>
    <w:rsid w:val="00DC4891"/>
    <w:rsid w:val="00DC49E0"/>
    <w:rsid w:val="00DC4D2D"/>
    <w:rsid w:val="00DC4D3A"/>
    <w:rsid w:val="00DC4D72"/>
    <w:rsid w:val="00DC4D7D"/>
    <w:rsid w:val="00DC4E2D"/>
    <w:rsid w:val="00DC4E93"/>
    <w:rsid w:val="00DC5161"/>
    <w:rsid w:val="00DC524D"/>
    <w:rsid w:val="00DC5280"/>
    <w:rsid w:val="00DC52A7"/>
    <w:rsid w:val="00DC53ED"/>
    <w:rsid w:val="00DC55B2"/>
    <w:rsid w:val="00DC55E0"/>
    <w:rsid w:val="00DC55F5"/>
    <w:rsid w:val="00DC56DA"/>
    <w:rsid w:val="00DC57BA"/>
    <w:rsid w:val="00DC58AE"/>
    <w:rsid w:val="00DC5914"/>
    <w:rsid w:val="00DC592F"/>
    <w:rsid w:val="00DC59B3"/>
    <w:rsid w:val="00DC5BD1"/>
    <w:rsid w:val="00DC5C75"/>
    <w:rsid w:val="00DC5C7D"/>
    <w:rsid w:val="00DC5CAC"/>
    <w:rsid w:val="00DC5CBA"/>
    <w:rsid w:val="00DC5D24"/>
    <w:rsid w:val="00DC5D83"/>
    <w:rsid w:val="00DC5E98"/>
    <w:rsid w:val="00DC5F2C"/>
    <w:rsid w:val="00DC601A"/>
    <w:rsid w:val="00DC61DF"/>
    <w:rsid w:val="00DC6464"/>
    <w:rsid w:val="00DC649E"/>
    <w:rsid w:val="00DC64FA"/>
    <w:rsid w:val="00DC65FF"/>
    <w:rsid w:val="00DC6839"/>
    <w:rsid w:val="00DC68A0"/>
    <w:rsid w:val="00DC68C6"/>
    <w:rsid w:val="00DC68FB"/>
    <w:rsid w:val="00DC6A3D"/>
    <w:rsid w:val="00DC6AC5"/>
    <w:rsid w:val="00DC6B36"/>
    <w:rsid w:val="00DC6EA1"/>
    <w:rsid w:val="00DC6EB2"/>
    <w:rsid w:val="00DC6F45"/>
    <w:rsid w:val="00DC6F55"/>
    <w:rsid w:val="00DC70D2"/>
    <w:rsid w:val="00DC710D"/>
    <w:rsid w:val="00DC72CF"/>
    <w:rsid w:val="00DC7301"/>
    <w:rsid w:val="00DC7324"/>
    <w:rsid w:val="00DC7448"/>
    <w:rsid w:val="00DC7485"/>
    <w:rsid w:val="00DC74F7"/>
    <w:rsid w:val="00DC7555"/>
    <w:rsid w:val="00DC75AF"/>
    <w:rsid w:val="00DC75B4"/>
    <w:rsid w:val="00DC7615"/>
    <w:rsid w:val="00DC7797"/>
    <w:rsid w:val="00DC7837"/>
    <w:rsid w:val="00DC786C"/>
    <w:rsid w:val="00DC79E6"/>
    <w:rsid w:val="00DC7A1E"/>
    <w:rsid w:val="00DC7AB2"/>
    <w:rsid w:val="00DC7AC5"/>
    <w:rsid w:val="00DC7BDF"/>
    <w:rsid w:val="00DC7C7B"/>
    <w:rsid w:val="00DC7CD4"/>
    <w:rsid w:val="00DC7CD7"/>
    <w:rsid w:val="00DC7DD9"/>
    <w:rsid w:val="00DC7E1A"/>
    <w:rsid w:val="00DC7F6D"/>
    <w:rsid w:val="00DC7FD9"/>
    <w:rsid w:val="00DD0099"/>
    <w:rsid w:val="00DD00D6"/>
    <w:rsid w:val="00DD03FF"/>
    <w:rsid w:val="00DD04BE"/>
    <w:rsid w:val="00DD059F"/>
    <w:rsid w:val="00DD0616"/>
    <w:rsid w:val="00DD06E1"/>
    <w:rsid w:val="00DD086F"/>
    <w:rsid w:val="00DD08EC"/>
    <w:rsid w:val="00DD0943"/>
    <w:rsid w:val="00DD094E"/>
    <w:rsid w:val="00DD0BFC"/>
    <w:rsid w:val="00DD0D37"/>
    <w:rsid w:val="00DD0DC6"/>
    <w:rsid w:val="00DD0E61"/>
    <w:rsid w:val="00DD0E76"/>
    <w:rsid w:val="00DD1123"/>
    <w:rsid w:val="00DD124C"/>
    <w:rsid w:val="00DD13B2"/>
    <w:rsid w:val="00DD13F6"/>
    <w:rsid w:val="00DD13FB"/>
    <w:rsid w:val="00DD15FF"/>
    <w:rsid w:val="00DD17ED"/>
    <w:rsid w:val="00DD182B"/>
    <w:rsid w:val="00DD18A9"/>
    <w:rsid w:val="00DD199E"/>
    <w:rsid w:val="00DD1ABB"/>
    <w:rsid w:val="00DD1B0F"/>
    <w:rsid w:val="00DD1B1C"/>
    <w:rsid w:val="00DD1C12"/>
    <w:rsid w:val="00DD1C70"/>
    <w:rsid w:val="00DD1D1E"/>
    <w:rsid w:val="00DD1E41"/>
    <w:rsid w:val="00DD1E57"/>
    <w:rsid w:val="00DD1F5F"/>
    <w:rsid w:val="00DD1FAD"/>
    <w:rsid w:val="00DD1FD4"/>
    <w:rsid w:val="00DD203D"/>
    <w:rsid w:val="00DD20B8"/>
    <w:rsid w:val="00DD2190"/>
    <w:rsid w:val="00DD2552"/>
    <w:rsid w:val="00DD25BC"/>
    <w:rsid w:val="00DD2699"/>
    <w:rsid w:val="00DD26A3"/>
    <w:rsid w:val="00DD2824"/>
    <w:rsid w:val="00DD2888"/>
    <w:rsid w:val="00DD2C5C"/>
    <w:rsid w:val="00DD2D57"/>
    <w:rsid w:val="00DD2DCD"/>
    <w:rsid w:val="00DD2E12"/>
    <w:rsid w:val="00DD2EE3"/>
    <w:rsid w:val="00DD2F2A"/>
    <w:rsid w:val="00DD2F32"/>
    <w:rsid w:val="00DD2FE8"/>
    <w:rsid w:val="00DD30E4"/>
    <w:rsid w:val="00DD319A"/>
    <w:rsid w:val="00DD32CD"/>
    <w:rsid w:val="00DD343A"/>
    <w:rsid w:val="00DD367C"/>
    <w:rsid w:val="00DD375D"/>
    <w:rsid w:val="00DD37C2"/>
    <w:rsid w:val="00DD37CF"/>
    <w:rsid w:val="00DD382A"/>
    <w:rsid w:val="00DD386D"/>
    <w:rsid w:val="00DD3872"/>
    <w:rsid w:val="00DD38BA"/>
    <w:rsid w:val="00DD3903"/>
    <w:rsid w:val="00DD3975"/>
    <w:rsid w:val="00DD39B6"/>
    <w:rsid w:val="00DD39F6"/>
    <w:rsid w:val="00DD3AD2"/>
    <w:rsid w:val="00DD3B31"/>
    <w:rsid w:val="00DD3B86"/>
    <w:rsid w:val="00DD3BAF"/>
    <w:rsid w:val="00DD3BF7"/>
    <w:rsid w:val="00DD3D55"/>
    <w:rsid w:val="00DD3E41"/>
    <w:rsid w:val="00DD3EA7"/>
    <w:rsid w:val="00DD3EF4"/>
    <w:rsid w:val="00DD3F25"/>
    <w:rsid w:val="00DD3FCE"/>
    <w:rsid w:val="00DD3FE2"/>
    <w:rsid w:val="00DD4104"/>
    <w:rsid w:val="00DD4129"/>
    <w:rsid w:val="00DD4145"/>
    <w:rsid w:val="00DD4183"/>
    <w:rsid w:val="00DD4206"/>
    <w:rsid w:val="00DD43E2"/>
    <w:rsid w:val="00DD452A"/>
    <w:rsid w:val="00DD4609"/>
    <w:rsid w:val="00DD4666"/>
    <w:rsid w:val="00DD4699"/>
    <w:rsid w:val="00DD47AB"/>
    <w:rsid w:val="00DD4852"/>
    <w:rsid w:val="00DD48BC"/>
    <w:rsid w:val="00DD4922"/>
    <w:rsid w:val="00DD4972"/>
    <w:rsid w:val="00DD4994"/>
    <w:rsid w:val="00DD49A6"/>
    <w:rsid w:val="00DD4A6F"/>
    <w:rsid w:val="00DD4B16"/>
    <w:rsid w:val="00DD4B8F"/>
    <w:rsid w:val="00DD4B9F"/>
    <w:rsid w:val="00DD4C35"/>
    <w:rsid w:val="00DD4C75"/>
    <w:rsid w:val="00DD4C9F"/>
    <w:rsid w:val="00DD4CFC"/>
    <w:rsid w:val="00DD4D71"/>
    <w:rsid w:val="00DD4DA4"/>
    <w:rsid w:val="00DD4E2B"/>
    <w:rsid w:val="00DD4EE1"/>
    <w:rsid w:val="00DD4EFC"/>
    <w:rsid w:val="00DD50DB"/>
    <w:rsid w:val="00DD524D"/>
    <w:rsid w:val="00DD5312"/>
    <w:rsid w:val="00DD551A"/>
    <w:rsid w:val="00DD5536"/>
    <w:rsid w:val="00DD58B2"/>
    <w:rsid w:val="00DD58BE"/>
    <w:rsid w:val="00DD58E4"/>
    <w:rsid w:val="00DD5986"/>
    <w:rsid w:val="00DD5A50"/>
    <w:rsid w:val="00DD5B70"/>
    <w:rsid w:val="00DD5C06"/>
    <w:rsid w:val="00DD5D42"/>
    <w:rsid w:val="00DD5FA2"/>
    <w:rsid w:val="00DD5FDF"/>
    <w:rsid w:val="00DD60DE"/>
    <w:rsid w:val="00DD6105"/>
    <w:rsid w:val="00DD6152"/>
    <w:rsid w:val="00DD64A7"/>
    <w:rsid w:val="00DD655E"/>
    <w:rsid w:val="00DD659B"/>
    <w:rsid w:val="00DD6748"/>
    <w:rsid w:val="00DD69DF"/>
    <w:rsid w:val="00DD6A6C"/>
    <w:rsid w:val="00DD6A6E"/>
    <w:rsid w:val="00DD6B2A"/>
    <w:rsid w:val="00DD6B9F"/>
    <w:rsid w:val="00DD6BD8"/>
    <w:rsid w:val="00DD6BE2"/>
    <w:rsid w:val="00DD6D28"/>
    <w:rsid w:val="00DD6F3D"/>
    <w:rsid w:val="00DD7003"/>
    <w:rsid w:val="00DD716B"/>
    <w:rsid w:val="00DD719B"/>
    <w:rsid w:val="00DD71C4"/>
    <w:rsid w:val="00DD732C"/>
    <w:rsid w:val="00DD73BB"/>
    <w:rsid w:val="00DD74A8"/>
    <w:rsid w:val="00DD76C7"/>
    <w:rsid w:val="00DD76D0"/>
    <w:rsid w:val="00DD76FF"/>
    <w:rsid w:val="00DD770D"/>
    <w:rsid w:val="00DD77F8"/>
    <w:rsid w:val="00DD78D0"/>
    <w:rsid w:val="00DD79BF"/>
    <w:rsid w:val="00DD7A53"/>
    <w:rsid w:val="00DD7AD0"/>
    <w:rsid w:val="00DD7AF0"/>
    <w:rsid w:val="00DD7BBD"/>
    <w:rsid w:val="00DD7C21"/>
    <w:rsid w:val="00DD7D11"/>
    <w:rsid w:val="00DD7DEE"/>
    <w:rsid w:val="00DD7FD0"/>
    <w:rsid w:val="00DE0087"/>
    <w:rsid w:val="00DE008D"/>
    <w:rsid w:val="00DE00BC"/>
    <w:rsid w:val="00DE041C"/>
    <w:rsid w:val="00DE0475"/>
    <w:rsid w:val="00DE060D"/>
    <w:rsid w:val="00DE070B"/>
    <w:rsid w:val="00DE0884"/>
    <w:rsid w:val="00DE08DF"/>
    <w:rsid w:val="00DE09D8"/>
    <w:rsid w:val="00DE0A14"/>
    <w:rsid w:val="00DE0A34"/>
    <w:rsid w:val="00DE0A97"/>
    <w:rsid w:val="00DE0ABC"/>
    <w:rsid w:val="00DE0B1F"/>
    <w:rsid w:val="00DE0B63"/>
    <w:rsid w:val="00DE0B65"/>
    <w:rsid w:val="00DE0B7E"/>
    <w:rsid w:val="00DE0BB2"/>
    <w:rsid w:val="00DE0CD0"/>
    <w:rsid w:val="00DE0D34"/>
    <w:rsid w:val="00DE0EB5"/>
    <w:rsid w:val="00DE0F37"/>
    <w:rsid w:val="00DE10FD"/>
    <w:rsid w:val="00DE113C"/>
    <w:rsid w:val="00DE1162"/>
    <w:rsid w:val="00DE1370"/>
    <w:rsid w:val="00DE1600"/>
    <w:rsid w:val="00DE16D4"/>
    <w:rsid w:val="00DE1729"/>
    <w:rsid w:val="00DE174C"/>
    <w:rsid w:val="00DE1853"/>
    <w:rsid w:val="00DE1883"/>
    <w:rsid w:val="00DE19BC"/>
    <w:rsid w:val="00DE19F3"/>
    <w:rsid w:val="00DE1AC0"/>
    <w:rsid w:val="00DE1ADA"/>
    <w:rsid w:val="00DE1BB6"/>
    <w:rsid w:val="00DE1CBC"/>
    <w:rsid w:val="00DE1CC6"/>
    <w:rsid w:val="00DE1CDF"/>
    <w:rsid w:val="00DE1CF5"/>
    <w:rsid w:val="00DE1DA7"/>
    <w:rsid w:val="00DE1ED0"/>
    <w:rsid w:val="00DE1F25"/>
    <w:rsid w:val="00DE1FB5"/>
    <w:rsid w:val="00DE2001"/>
    <w:rsid w:val="00DE2003"/>
    <w:rsid w:val="00DE2023"/>
    <w:rsid w:val="00DE212D"/>
    <w:rsid w:val="00DE217E"/>
    <w:rsid w:val="00DE2187"/>
    <w:rsid w:val="00DE2236"/>
    <w:rsid w:val="00DE225D"/>
    <w:rsid w:val="00DE226D"/>
    <w:rsid w:val="00DE22A5"/>
    <w:rsid w:val="00DE22BF"/>
    <w:rsid w:val="00DE2335"/>
    <w:rsid w:val="00DE2368"/>
    <w:rsid w:val="00DE236A"/>
    <w:rsid w:val="00DE236F"/>
    <w:rsid w:val="00DE2401"/>
    <w:rsid w:val="00DE2418"/>
    <w:rsid w:val="00DE268C"/>
    <w:rsid w:val="00DE2731"/>
    <w:rsid w:val="00DE2771"/>
    <w:rsid w:val="00DE2787"/>
    <w:rsid w:val="00DE2863"/>
    <w:rsid w:val="00DE288F"/>
    <w:rsid w:val="00DE2996"/>
    <w:rsid w:val="00DE2A12"/>
    <w:rsid w:val="00DE2A27"/>
    <w:rsid w:val="00DE2A28"/>
    <w:rsid w:val="00DE2CF3"/>
    <w:rsid w:val="00DE2D39"/>
    <w:rsid w:val="00DE2D7A"/>
    <w:rsid w:val="00DE2DD2"/>
    <w:rsid w:val="00DE2E38"/>
    <w:rsid w:val="00DE2FB7"/>
    <w:rsid w:val="00DE30EC"/>
    <w:rsid w:val="00DE30ED"/>
    <w:rsid w:val="00DE3147"/>
    <w:rsid w:val="00DE3381"/>
    <w:rsid w:val="00DE3412"/>
    <w:rsid w:val="00DE34BF"/>
    <w:rsid w:val="00DE3568"/>
    <w:rsid w:val="00DE358E"/>
    <w:rsid w:val="00DE3590"/>
    <w:rsid w:val="00DE3626"/>
    <w:rsid w:val="00DE36D5"/>
    <w:rsid w:val="00DE376E"/>
    <w:rsid w:val="00DE37D8"/>
    <w:rsid w:val="00DE38D9"/>
    <w:rsid w:val="00DE39B5"/>
    <w:rsid w:val="00DE3A7C"/>
    <w:rsid w:val="00DE3B41"/>
    <w:rsid w:val="00DE3BEA"/>
    <w:rsid w:val="00DE3C1C"/>
    <w:rsid w:val="00DE3C33"/>
    <w:rsid w:val="00DE3CE8"/>
    <w:rsid w:val="00DE3F1E"/>
    <w:rsid w:val="00DE3F2F"/>
    <w:rsid w:val="00DE3FC4"/>
    <w:rsid w:val="00DE4069"/>
    <w:rsid w:val="00DE4074"/>
    <w:rsid w:val="00DE40DA"/>
    <w:rsid w:val="00DE4157"/>
    <w:rsid w:val="00DE41ED"/>
    <w:rsid w:val="00DE422B"/>
    <w:rsid w:val="00DE42C3"/>
    <w:rsid w:val="00DE44D8"/>
    <w:rsid w:val="00DE44F9"/>
    <w:rsid w:val="00DE4552"/>
    <w:rsid w:val="00DE45D5"/>
    <w:rsid w:val="00DE46D1"/>
    <w:rsid w:val="00DE4720"/>
    <w:rsid w:val="00DE4773"/>
    <w:rsid w:val="00DE47F5"/>
    <w:rsid w:val="00DE484C"/>
    <w:rsid w:val="00DE4857"/>
    <w:rsid w:val="00DE49BA"/>
    <w:rsid w:val="00DE49DF"/>
    <w:rsid w:val="00DE4A59"/>
    <w:rsid w:val="00DE4AB2"/>
    <w:rsid w:val="00DE4BA0"/>
    <w:rsid w:val="00DE4BB5"/>
    <w:rsid w:val="00DE4C84"/>
    <w:rsid w:val="00DE4E92"/>
    <w:rsid w:val="00DE4ED5"/>
    <w:rsid w:val="00DE51BC"/>
    <w:rsid w:val="00DE51E9"/>
    <w:rsid w:val="00DE52F1"/>
    <w:rsid w:val="00DE5316"/>
    <w:rsid w:val="00DE548A"/>
    <w:rsid w:val="00DE54FD"/>
    <w:rsid w:val="00DE5544"/>
    <w:rsid w:val="00DE5643"/>
    <w:rsid w:val="00DE571B"/>
    <w:rsid w:val="00DE5768"/>
    <w:rsid w:val="00DE5945"/>
    <w:rsid w:val="00DE5970"/>
    <w:rsid w:val="00DE59EC"/>
    <w:rsid w:val="00DE5A18"/>
    <w:rsid w:val="00DE5C69"/>
    <w:rsid w:val="00DE5CE6"/>
    <w:rsid w:val="00DE5D08"/>
    <w:rsid w:val="00DE5DFC"/>
    <w:rsid w:val="00DE5E13"/>
    <w:rsid w:val="00DE5ED9"/>
    <w:rsid w:val="00DE6022"/>
    <w:rsid w:val="00DE6117"/>
    <w:rsid w:val="00DE614D"/>
    <w:rsid w:val="00DE6165"/>
    <w:rsid w:val="00DE61B9"/>
    <w:rsid w:val="00DE6202"/>
    <w:rsid w:val="00DE6297"/>
    <w:rsid w:val="00DE63D8"/>
    <w:rsid w:val="00DE6474"/>
    <w:rsid w:val="00DE6571"/>
    <w:rsid w:val="00DE65B5"/>
    <w:rsid w:val="00DE660A"/>
    <w:rsid w:val="00DE6640"/>
    <w:rsid w:val="00DE6703"/>
    <w:rsid w:val="00DE6772"/>
    <w:rsid w:val="00DE679E"/>
    <w:rsid w:val="00DE6809"/>
    <w:rsid w:val="00DE6854"/>
    <w:rsid w:val="00DE6A08"/>
    <w:rsid w:val="00DE6AA4"/>
    <w:rsid w:val="00DE6B3D"/>
    <w:rsid w:val="00DE6C1F"/>
    <w:rsid w:val="00DE6C88"/>
    <w:rsid w:val="00DE6D0F"/>
    <w:rsid w:val="00DE6DB9"/>
    <w:rsid w:val="00DE6E10"/>
    <w:rsid w:val="00DE6E73"/>
    <w:rsid w:val="00DE6FAE"/>
    <w:rsid w:val="00DE7022"/>
    <w:rsid w:val="00DE7043"/>
    <w:rsid w:val="00DE7199"/>
    <w:rsid w:val="00DE7236"/>
    <w:rsid w:val="00DE72F9"/>
    <w:rsid w:val="00DE73CF"/>
    <w:rsid w:val="00DE73EF"/>
    <w:rsid w:val="00DE7442"/>
    <w:rsid w:val="00DE7481"/>
    <w:rsid w:val="00DE74F7"/>
    <w:rsid w:val="00DE7538"/>
    <w:rsid w:val="00DE7627"/>
    <w:rsid w:val="00DE7840"/>
    <w:rsid w:val="00DE78F5"/>
    <w:rsid w:val="00DE7919"/>
    <w:rsid w:val="00DE7A7B"/>
    <w:rsid w:val="00DE7B9E"/>
    <w:rsid w:val="00DE7BAA"/>
    <w:rsid w:val="00DE7C3E"/>
    <w:rsid w:val="00DE7D14"/>
    <w:rsid w:val="00DE7DD1"/>
    <w:rsid w:val="00DF00D5"/>
    <w:rsid w:val="00DF015A"/>
    <w:rsid w:val="00DF01BD"/>
    <w:rsid w:val="00DF024F"/>
    <w:rsid w:val="00DF02FB"/>
    <w:rsid w:val="00DF03FD"/>
    <w:rsid w:val="00DF0521"/>
    <w:rsid w:val="00DF0640"/>
    <w:rsid w:val="00DF0644"/>
    <w:rsid w:val="00DF072E"/>
    <w:rsid w:val="00DF0779"/>
    <w:rsid w:val="00DF07D9"/>
    <w:rsid w:val="00DF0992"/>
    <w:rsid w:val="00DF0B17"/>
    <w:rsid w:val="00DF0B26"/>
    <w:rsid w:val="00DF0C21"/>
    <w:rsid w:val="00DF0C55"/>
    <w:rsid w:val="00DF0E71"/>
    <w:rsid w:val="00DF0F2D"/>
    <w:rsid w:val="00DF0F49"/>
    <w:rsid w:val="00DF0F6E"/>
    <w:rsid w:val="00DF0FDE"/>
    <w:rsid w:val="00DF1001"/>
    <w:rsid w:val="00DF1018"/>
    <w:rsid w:val="00DF103C"/>
    <w:rsid w:val="00DF103D"/>
    <w:rsid w:val="00DF1101"/>
    <w:rsid w:val="00DF11BB"/>
    <w:rsid w:val="00DF1244"/>
    <w:rsid w:val="00DF12F9"/>
    <w:rsid w:val="00DF1334"/>
    <w:rsid w:val="00DF1395"/>
    <w:rsid w:val="00DF1403"/>
    <w:rsid w:val="00DF14EA"/>
    <w:rsid w:val="00DF14FD"/>
    <w:rsid w:val="00DF1535"/>
    <w:rsid w:val="00DF15B7"/>
    <w:rsid w:val="00DF15CD"/>
    <w:rsid w:val="00DF1649"/>
    <w:rsid w:val="00DF1673"/>
    <w:rsid w:val="00DF168C"/>
    <w:rsid w:val="00DF1880"/>
    <w:rsid w:val="00DF1892"/>
    <w:rsid w:val="00DF18A3"/>
    <w:rsid w:val="00DF18C6"/>
    <w:rsid w:val="00DF1A47"/>
    <w:rsid w:val="00DF1B6F"/>
    <w:rsid w:val="00DF1D13"/>
    <w:rsid w:val="00DF1E7D"/>
    <w:rsid w:val="00DF1F12"/>
    <w:rsid w:val="00DF201B"/>
    <w:rsid w:val="00DF20BB"/>
    <w:rsid w:val="00DF20DD"/>
    <w:rsid w:val="00DF20FA"/>
    <w:rsid w:val="00DF213D"/>
    <w:rsid w:val="00DF21A9"/>
    <w:rsid w:val="00DF2241"/>
    <w:rsid w:val="00DF24E1"/>
    <w:rsid w:val="00DF24FF"/>
    <w:rsid w:val="00DF2587"/>
    <w:rsid w:val="00DF258F"/>
    <w:rsid w:val="00DF2743"/>
    <w:rsid w:val="00DF2841"/>
    <w:rsid w:val="00DF2895"/>
    <w:rsid w:val="00DF2A83"/>
    <w:rsid w:val="00DF2B11"/>
    <w:rsid w:val="00DF2C08"/>
    <w:rsid w:val="00DF2D3D"/>
    <w:rsid w:val="00DF2E2F"/>
    <w:rsid w:val="00DF2E4A"/>
    <w:rsid w:val="00DF2E78"/>
    <w:rsid w:val="00DF2E83"/>
    <w:rsid w:val="00DF2F71"/>
    <w:rsid w:val="00DF2F7B"/>
    <w:rsid w:val="00DF3038"/>
    <w:rsid w:val="00DF30E4"/>
    <w:rsid w:val="00DF31B4"/>
    <w:rsid w:val="00DF31C1"/>
    <w:rsid w:val="00DF32BA"/>
    <w:rsid w:val="00DF32CD"/>
    <w:rsid w:val="00DF32F5"/>
    <w:rsid w:val="00DF330B"/>
    <w:rsid w:val="00DF33DB"/>
    <w:rsid w:val="00DF34CA"/>
    <w:rsid w:val="00DF3513"/>
    <w:rsid w:val="00DF3555"/>
    <w:rsid w:val="00DF378D"/>
    <w:rsid w:val="00DF39F2"/>
    <w:rsid w:val="00DF3A78"/>
    <w:rsid w:val="00DF3ACD"/>
    <w:rsid w:val="00DF3BDC"/>
    <w:rsid w:val="00DF3C7F"/>
    <w:rsid w:val="00DF3CF5"/>
    <w:rsid w:val="00DF3D3A"/>
    <w:rsid w:val="00DF3D6D"/>
    <w:rsid w:val="00DF3E36"/>
    <w:rsid w:val="00DF3F04"/>
    <w:rsid w:val="00DF3F21"/>
    <w:rsid w:val="00DF430F"/>
    <w:rsid w:val="00DF445B"/>
    <w:rsid w:val="00DF44CD"/>
    <w:rsid w:val="00DF460A"/>
    <w:rsid w:val="00DF46BB"/>
    <w:rsid w:val="00DF4775"/>
    <w:rsid w:val="00DF47FA"/>
    <w:rsid w:val="00DF4887"/>
    <w:rsid w:val="00DF495D"/>
    <w:rsid w:val="00DF4970"/>
    <w:rsid w:val="00DF4B61"/>
    <w:rsid w:val="00DF4C00"/>
    <w:rsid w:val="00DF4C06"/>
    <w:rsid w:val="00DF4C6C"/>
    <w:rsid w:val="00DF4CF6"/>
    <w:rsid w:val="00DF4F31"/>
    <w:rsid w:val="00DF4F35"/>
    <w:rsid w:val="00DF4F39"/>
    <w:rsid w:val="00DF5022"/>
    <w:rsid w:val="00DF5055"/>
    <w:rsid w:val="00DF50A8"/>
    <w:rsid w:val="00DF50CB"/>
    <w:rsid w:val="00DF5117"/>
    <w:rsid w:val="00DF51CB"/>
    <w:rsid w:val="00DF51F3"/>
    <w:rsid w:val="00DF5201"/>
    <w:rsid w:val="00DF520A"/>
    <w:rsid w:val="00DF520B"/>
    <w:rsid w:val="00DF5237"/>
    <w:rsid w:val="00DF5416"/>
    <w:rsid w:val="00DF54FA"/>
    <w:rsid w:val="00DF5684"/>
    <w:rsid w:val="00DF56AA"/>
    <w:rsid w:val="00DF56E6"/>
    <w:rsid w:val="00DF5771"/>
    <w:rsid w:val="00DF5832"/>
    <w:rsid w:val="00DF589C"/>
    <w:rsid w:val="00DF58D7"/>
    <w:rsid w:val="00DF5A8B"/>
    <w:rsid w:val="00DF5B59"/>
    <w:rsid w:val="00DF5BE6"/>
    <w:rsid w:val="00DF5C4C"/>
    <w:rsid w:val="00DF5C8F"/>
    <w:rsid w:val="00DF5C98"/>
    <w:rsid w:val="00DF5DD4"/>
    <w:rsid w:val="00DF5E2E"/>
    <w:rsid w:val="00DF5E66"/>
    <w:rsid w:val="00DF5F6E"/>
    <w:rsid w:val="00DF5FAE"/>
    <w:rsid w:val="00DF6023"/>
    <w:rsid w:val="00DF614D"/>
    <w:rsid w:val="00DF6241"/>
    <w:rsid w:val="00DF64A3"/>
    <w:rsid w:val="00DF6520"/>
    <w:rsid w:val="00DF65E6"/>
    <w:rsid w:val="00DF66E3"/>
    <w:rsid w:val="00DF6748"/>
    <w:rsid w:val="00DF6790"/>
    <w:rsid w:val="00DF6821"/>
    <w:rsid w:val="00DF687A"/>
    <w:rsid w:val="00DF6927"/>
    <w:rsid w:val="00DF6947"/>
    <w:rsid w:val="00DF6951"/>
    <w:rsid w:val="00DF69E7"/>
    <w:rsid w:val="00DF6A0D"/>
    <w:rsid w:val="00DF6A75"/>
    <w:rsid w:val="00DF6DD3"/>
    <w:rsid w:val="00DF6E8D"/>
    <w:rsid w:val="00DF6ED5"/>
    <w:rsid w:val="00DF6EFF"/>
    <w:rsid w:val="00DF701F"/>
    <w:rsid w:val="00DF718F"/>
    <w:rsid w:val="00DF722B"/>
    <w:rsid w:val="00DF726F"/>
    <w:rsid w:val="00DF732B"/>
    <w:rsid w:val="00DF73C0"/>
    <w:rsid w:val="00DF745D"/>
    <w:rsid w:val="00DF74C3"/>
    <w:rsid w:val="00DF7556"/>
    <w:rsid w:val="00DF760B"/>
    <w:rsid w:val="00DF77C1"/>
    <w:rsid w:val="00DF77C2"/>
    <w:rsid w:val="00DF7848"/>
    <w:rsid w:val="00DF78B3"/>
    <w:rsid w:val="00DF7940"/>
    <w:rsid w:val="00DF7A2F"/>
    <w:rsid w:val="00DF7A67"/>
    <w:rsid w:val="00DF7A79"/>
    <w:rsid w:val="00DF7A7C"/>
    <w:rsid w:val="00DF7A91"/>
    <w:rsid w:val="00DF7CA3"/>
    <w:rsid w:val="00DF7DE8"/>
    <w:rsid w:val="00DF7EFC"/>
    <w:rsid w:val="00DF7F0F"/>
    <w:rsid w:val="00DF7FF7"/>
    <w:rsid w:val="00E0001F"/>
    <w:rsid w:val="00E00071"/>
    <w:rsid w:val="00E0007F"/>
    <w:rsid w:val="00E000A3"/>
    <w:rsid w:val="00E000CE"/>
    <w:rsid w:val="00E0010F"/>
    <w:rsid w:val="00E001C7"/>
    <w:rsid w:val="00E001FD"/>
    <w:rsid w:val="00E0026F"/>
    <w:rsid w:val="00E00381"/>
    <w:rsid w:val="00E0039E"/>
    <w:rsid w:val="00E003BA"/>
    <w:rsid w:val="00E003D5"/>
    <w:rsid w:val="00E00508"/>
    <w:rsid w:val="00E0052A"/>
    <w:rsid w:val="00E0060F"/>
    <w:rsid w:val="00E006DC"/>
    <w:rsid w:val="00E00757"/>
    <w:rsid w:val="00E0080C"/>
    <w:rsid w:val="00E008C7"/>
    <w:rsid w:val="00E00913"/>
    <w:rsid w:val="00E009F0"/>
    <w:rsid w:val="00E00B5D"/>
    <w:rsid w:val="00E00C30"/>
    <w:rsid w:val="00E00C7D"/>
    <w:rsid w:val="00E00CD9"/>
    <w:rsid w:val="00E00D97"/>
    <w:rsid w:val="00E00EB0"/>
    <w:rsid w:val="00E00EBF"/>
    <w:rsid w:val="00E00F43"/>
    <w:rsid w:val="00E00F47"/>
    <w:rsid w:val="00E0105A"/>
    <w:rsid w:val="00E010E5"/>
    <w:rsid w:val="00E01192"/>
    <w:rsid w:val="00E0127C"/>
    <w:rsid w:val="00E01309"/>
    <w:rsid w:val="00E01362"/>
    <w:rsid w:val="00E013D4"/>
    <w:rsid w:val="00E014BC"/>
    <w:rsid w:val="00E01593"/>
    <w:rsid w:val="00E015AE"/>
    <w:rsid w:val="00E0174B"/>
    <w:rsid w:val="00E017B0"/>
    <w:rsid w:val="00E017E7"/>
    <w:rsid w:val="00E01844"/>
    <w:rsid w:val="00E018A0"/>
    <w:rsid w:val="00E01921"/>
    <w:rsid w:val="00E01959"/>
    <w:rsid w:val="00E019B5"/>
    <w:rsid w:val="00E019C9"/>
    <w:rsid w:val="00E01AC9"/>
    <w:rsid w:val="00E01B23"/>
    <w:rsid w:val="00E01C39"/>
    <w:rsid w:val="00E01EB9"/>
    <w:rsid w:val="00E01F43"/>
    <w:rsid w:val="00E01F44"/>
    <w:rsid w:val="00E01FC4"/>
    <w:rsid w:val="00E02001"/>
    <w:rsid w:val="00E0204D"/>
    <w:rsid w:val="00E02056"/>
    <w:rsid w:val="00E020D6"/>
    <w:rsid w:val="00E02214"/>
    <w:rsid w:val="00E022DC"/>
    <w:rsid w:val="00E02328"/>
    <w:rsid w:val="00E023A3"/>
    <w:rsid w:val="00E024DC"/>
    <w:rsid w:val="00E0255E"/>
    <w:rsid w:val="00E02572"/>
    <w:rsid w:val="00E0266F"/>
    <w:rsid w:val="00E026DA"/>
    <w:rsid w:val="00E026F0"/>
    <w:rsid w:val="00E027BA"/>
    <w:rsid w:val="00E028B6"/>
    <w:rsid w:val="00E028DA"/>
    <w:rsid w:val="00E02943"/>
    <w:rsid w:val="00E029EF"/>
    <w:rsid w:val="00E02C13"/>
    <w:rsid w:val="00E02C2D"/>
    <w:rsid w:val="00E02C74"/>
    <w:rsid w:val="00E02D03"/>
    <w:rsid w:val="00E02D19"/>
    <w:rsid w:val="00E02D55"/>
    <w:rsid w:val="00E02D84"/>
    <w:rsid w:val="00E02EC4"/>
    <w:rsid w:val="00E02ED2"/>
    <w:rsid w:val="00E02FB2"/>
    <w:rsid w:val="00E02FF3"/>
    <w:rsid w:val="00E0325C"/>
    <w:rsid w:val="00E0335B"/>
    <w:rsid w:val="00E033AA"/>
    <w:rsid w:val="00E033F5"/>
    <w:rsid w:val="00E034E6"/>
    <w:rsid w:val="00E0367F"/>
    <w:rsid w:val="00E0376B"/>
    <w:rsid w:val="00E037C3"/>
    <w:rsid w:val="00E03896"/>
    <w:rsid w:val="00E0396E"/>
    <w:rsid w:val="00E03B98"/>
    <w:rsid w:val="00E03BE1"/>
    <w:rsid w:val="00E03C1D"/>
    <w:rsid w:val="00E03C3B"/>
    <w:rsid w:val="00E03CCE"/>
    <w:rsid w:val="00E03D07"/>
    <w:rsid w:val="00E03E2E"/>
    <w:rsid w:val="00E03E30"/>
    <w:rsid w:val="00E03E4C"/>
    <w:rsid w:val="00E03F25"/>
    <w:rsid w:val="00E03FA4"/>
    <w:rsid w:val="00E04107"/>
    <w:rsid w:val="00E0413E"/>
    <w:rsid w:val="00E04179"/>
    <w:rsid w:val="00E0431E"/>
    <w:rsid w:val="00E043BB"/>
    <w:rsid w:val="00E044FB"/>
    <w:rsid w:val="00E0450B"/>
    <w:rsid w:val="00E04587"/>
    <w:rsid w:val="00E0463A"/>
    <w:rsid w:val="00E04640"/>
    <w:rsid w:val="00E0465D"/>
    <w:rsid w:val="00E04703"/>
    <w:rsid w:val="00E047D2"/>
    <w:rsid w:val="00E047D4"/>
    <w:rsid w:val="00E048CE"/>
    <w:rsid w:val="00E048FD"/>
    <w:rsid w:val="00E0497A"/>
    <w:rsid w:val="00E0498B"/>
    <w:rsid w:val="00E049EA"/>
    <w:rsid w:val="00E049F6"/>
    <w:rsid w:val="00E04A7C"/>
    <w:rsid w:val="00E04BC0"/>
    <w:rsid w:val="00E04C6B"/>
    <w:rsid w:val="00E04C98"/>
    <w:rsid w:val="00E04E77"/>
    <w:rsid w:val="00E04EC0"/>
    <w:rsid w:val="00E050F4"/>
    <w:rsid w:val="00E05222"/>
    <w:rsid w:val="00E0523E"/>
    <w:rsid w:val="00E053F0"/>
    <w:rsid w:val="00E05465"/>
    <w:rsid w:val="00E05478"/>
    <w:rsid w:val="00E05677"/>
    <w:rsid w:val="00E056A2"/>
    <w:rsid w:val="00E05732"/>
    <w:rsid w:val="00E0586F"/>
    <w:rsid w:val="00E0588F"/>
    <w:rsid w:val="00E058A2"/>
    <w:rsid w:val="00E058C6"/>
    <w:rsid w:val="00E05A33"/>
    <w:rsid w:val="00E05A71"/>
    <w:rsid w:val="00E05BE9"/>
    <w:rsid w:val="00E05C18"/>
    <w:rsid w:val="00E05C8D"/>
    <w:rsid w:val="00E05E4B"/>
    <w:rsid w:val="00E060C7"/>
    <w:rsid w:val="00E06112"/>
    <w:rsid w:val="00E06134"/>
    <w:rsid w:val="00E062C9"/>
    <w:rsid w:val="00E063E1"/>
    <w:rsid w:val="00E064D3"/>
    <w:rsid w:val="00E064EA"/>
    <w:rsid w:val="00E06548"/>
    <w:rsid w:val="00E065D5"/>
    <w:rsid w:val="00E06602"/>
    <w:rsid w:val="00E06610"/>
    <w:rsid w:val="00E06640"/>
    <w:rsid w:val="00E066CB"/>
    <w:rsid w:val="00E06750"/>
    <w:rsid w:val="00E067C5"/>
    <w:rsid w:val="00E067CE"/>
    <w:rsid w:val="00E06840"/>
    <w:rsid w:val="00E068ED"/>
    <w:rsid w:val="00E06903"/>
    <w:rsid w:val="00E0695A"/>
    <w:rsid w:val="00E0698F"/>
    <w:rsid w:val="00E06AA8"/>
    <w:rsid w:val="00E06B17"/>
    <w:rsid w:val="00E06B2E"/>
    <w:rsid w:val="00E06BD6"/>
    <w:rsid w:val="00E06CC0"/>
    <w:rsid w:val="00E06CD4"/>
    <w:rsid w:val="00E06CF3"/>
    <w:rsid w:val="00E06D17"/>
    <w:rsid w:val="00E06D38"/>
    <w:rsid w:val="00E06D5B"/>
    <w:rsid w:val="00E06E86"/>
    <w:rsid w:val="00E06EA0"/>
    <w:rsid w:val="00E06FE7"/>
    <w:rsid w:val="00E070AD"/>
    <w:rsid w:val="00E070CE"/>
    <w:rsid w:val="00E0716D"/>
    <w:rsid w:val="00E071B1"/>
    <w:rsid w:val="00E071FA"/>
    <w:rsid w:val="00E07278"/>
    <w:rsid w:val="00E072E0"/>
    <w:rsid w:val="00E07419"/>
    <w:rsid w:val="00E077BF"/>
    <w:rsid w:val="00E07844"/>
    <w:rsid w:val="00E07936"/>
    <w:rsid w:val="00E07938"/>
    <w:rsid w:val="00E079AA"/>
    <w:rsid w:val="00E07A05"/>
    <w:rsid w:val="00E07B50"/>
    <w:rsid w:val="00E07C0C"/>
    <w:rsid w:val="00E07D46"/>
    <w:rsid w:val="00E07DF7"/>
    <w:rsid w:val="00E07E8F"/>
    <w:rsid w:val="00E07EE4"/>
    <w:rsid w:val="00E07F29"/>
    <w:rsid w:val="00E07FC9"/>
    <w:rsid w:val="00E10021"/>
    <w:rsid w:val="00E10085"/>
    <w:rsid w:val="00E10169"/>
    <w:rsid w:val="00E10226"/>
    <w:rsid w:val="00E102B0"/>
    <w:rsid w:val="00E104BE"/>
    <w:rsid w:val="00E10561"/>
    <w:rsid w:val="00E10579"/>
    <w:rsid w:val="00E10596"/>
    <w:rsid w:val="00E1060F"/>
    <w:rsid w:val="00E10643"/>
    <w:rsid w:val="00E106D7"/>
    <w:rsid w:val="00E106FB"/>
    <w:rsid w:val="00E10718"/>
    <w:rsid w:val="00E108B8"/>
    <w:rsid w:val="00E108CE"/>
    <w:rsid w:val="00E108EB"/>
    <w:rsid w:val="00E10955"/>
    <w:rsid w:val="00E10961"/>
    <w:rsid w:val="00E10A4A"/>
    <w:rsid w:val="00E10B24"/>
    <w:rsid w:val="00E10BF5"/>
    <w:rsid w:val="00E10C4E"/>
    <w:rsid w:val="00E10D98"/>
    <w:rsid w:val="00E10E05"/>
    <w:rsid w:val="00E10E8E"/>
    <w:rsid w:val="00E10EA3"/>
    <w:rsid w:val="00E1108B"/>
    <w:rsid w:val="00E111E6"/>
    <w:rsid w:val="00E11214"/>
    <w:rsid w:val="00E11226"/>
    <w:rsid w:val="00E112E6"/>
    <w:rsid w:val="00E11348"/>
    <w:rsid w:val="00E1136B"/>
    <w:rsid w:val="00E1140F"/>
    <w:rsid w:val="00E11588"/>
    <w:rsid w:val="00E115EA"/>
    <w:rsid w:val="00E11709"/>
    <w:rsid w:val="00E117AA"/>
    <w:rsid w:val="00E117B5"/>
    <w:rsid w:val="00E118C6"/>
    <w:rsid w:val="00E119B2"/>
    <w:rsid w:val="00E119D1"/>
    <w:rsid w:val="00E119E3"/>
    <w:rsid w:val="00E119F7"/>
    <w:rsid w:val="00E11BFD"/>
    <w:rsid w:val="00E11C02"/>
    <w:rsid w:val="00E11C0D"/>
    <w:rsid w:val="00E11CB2"/>
    <w:rsid w:val="00E11CF4"/>
    <w:rsid w:val="00E11D2E"/>
    <w:rsid w:val="00E11F8A"/>
    <w:rsid w:val="00E11F92"/>
    <w:rsid w:val="00E120BB"/>
    <w:rsid w:val="00E12168"/>
    <w:rsid w:val="00E122DB"/>
    <w:rsid w:val="00E1248B"/>
    <w:rsid w:val="00E12726"/>
    <w:rsid w:val="00E12732"/>
    <w:rsid w:val="00E1278C"/>
    <w:rsid w:val="00E12963"/>
    <w:rsid w:val="00E12A2F"/>
    <w:rsid w:val="00E12C6C"/>
    <w:rsid w:val="00E12E4F"/>
    <w:rsid w:val="00E12F18"/>
    <w:rsid w:val="00E1300C"/>
    <w:rsid w:val="00E130B4"/>
    <w:rsid w:val="00E130BE"/>
    <w:rsid w:val="00E13128"/>
    <w:rsid w:val="00E132E5"/>
    <w:rsid w:val="00E132FF"/>
    <w:rsid w:val="00E13312"/>
    <w:rsid w:val="00E13439"/>
    <w:rsid w:val="00E134C9"/>
    <w:rsid w:val="00E13501"/>
    <w:rsid w:val="00E13558"/>
    <w:rsid w:val="00E135E2"/>
    <w:rsid w:val="00E135F2"/>
    <w:rsid w:val="00E136E6"/>
    <w:rsid w:val="00E13770"/>
    <w:rsid w:val="00E137F7"/>
    <w:rsid w:val="00E1388A"/>
    <w:rsid w:val="00E139D5"/>
    <w:rsid w:val="00E13A20"/>
    <w:rsid w:val="00E13BB6"/>
    <w:rsid w:val="00E13D0E"/>
    <w:rsid w:val="00E13DC4"/>
    <w:rsid w:val="00E13DDF"/>
    <w:rsid w:val="00E13FB6"/>
    <w:rsid w:val="00E13FCB"/>
    <w:rsid w:val="00E13FD5"/>
    <w:rsid w:val="00E1406A"/>
    <w:rsid w:val="00E14079"/>
    <w:rsid w:val="00E141E2"/>
    <w:rsid w:val="00E141E9"/>
    <w:rsid w:val="00E142B1"/>
    <w:rsid w:val="00E142C3"/>
    <w:rsid w:val="00E143BD"/>
    <w:rsid w:val="00E1445D"/>
    <w:rsid w:val="00E144B4"/>
    <w:rsid w:val="00E1451A"/>
    <w:rsid w:val="00E1464F"/>
    <w:rsid w:val="00E146AB"/>
    <w:rsid w:val="00E14772"/>
    <w:rsid w:val="00E147C3"/>
    <w:rsid w:val="00E1482E"/>
    <w:rsid w:val="00E14903"/>
    <w:rsid w:val="00E14912"/>
    <w:rsid w:val="00E149B6"/>
    <w:rsid w:val="00E149DF"/>
    <w:rsid w:val="00E14BD0"/>
    <w:rsid w:val="00E14C2D"/>
    <w:rsid w:val="00E14C65"/>
    <w:rsid w:val="00E14CC3"/>
    <w:rsid w:val="00E14CD7"/>
    <w:rsid w:val="00E14F59"/>
    <w:rsid w:val="00E14FD7"/>
    <w:rsid w:val="00E15143"/>
    <w:rsid w:val="00E15194"/>
    <w:rsid w:val="00E1519A"/>
    <w:rsid w:val="00E1519B"/>
    <w:rsid w:val="00E153DD"/>
    <w:rsid w:val="00E154FB"/>
    <w:rsid w:val="00E1553A"/>
    <w:rsid w:val="00E155D0"/>
    <w:rsid w:val="00E1563B"/>
    <w:rsid w:val="00E15728"/>
    <w:rsid w:val="00E158DB"/>
    <w:rsid w:val="00E15A47"/>
    <w:rsid w:val="00E15AA6"/>
    <w:rsid w:val="00E15B4B"/>
    <w:rsid w:val="00E15B5E"/>
    <w:rsid w:val="00E15C59"/>
    <w:rsid w:val="00E15D51"/>
    <w:rsid w:val="00E15DB2"/>
    <w:rsid w:val="00E15DEE"/>
    <w:rsid w:val="00E15DFB"/>
    <w:rsid w:val="00E15FFE"/>
    <w:rsid w:val="00E16008"/>
    <w:rsid w:val="00E16041"/>
    <w:rsid w:val="00E1607A"/>
    <w:rsid w:val="00E16089"/>
    <w:rsid w:val="00E1609D"/>
    <w:rsid w:val="00E160B0"/>
    <w:rsid w:val="00E16277"/>
    <w:rsid w:val="00E162B5"/>
    <w:rsid w:val="00E16307"/>
    <w:rsid w:val="00E16318"/>
    <w:rsid w:val="00E163B9"/>
    <w:rsid w:val="00E16460"/>
    <w:rsid w:val="00E164B6"/>
    <w:rsid w:val="00E1651A"/>
    <w:rsid w:val="00E16544"/>
    <w:rsid w:val="00E166F3"/>
    <w:rsid w:val="00E16848"/>
    <w:rsid w:val="00E169F6"/>
    <w:rsid w:val="00E16A9B"/>
    <w:rsid w:val="00E16B54"/>
    <w:rsid w:val="00E16B87"/>
    <w:rsid w:val="00E16C12"/>
    <w:rsid w:val="00E16C2E"/>
    <w:rsid w:val="00E16C31"/>
    <w:rsid w:val="00E16CF6"/>
    <w:rsid w:val="00E16E7F"/>
    <w:rsid w:val="00E16F0F"/>
    <w:rsid w:val="00E16F89"/>
    <w:rsid w:val="00E16FF2"/>
    <w:rsid w:val="00E1701B"/>
    <w:rsid w:val="00E1702F"/>
    <w:rsid w:val="00E17040"/>
    <w:rsid w:val="00E170BD"/>
    <w:rsid w:val="00E1715B"/>
    <w:rsid w:val="00E171DA"/>
    <w:rsid w:val="00E171F2"/>
    <w:rsid w:val="00E1721A"/>
    <w:rsid w:val="00E172DA"/>
    <w:rsid w:val="00E17386"/>
    <w:rsid w:val="00E17684"/>
    <w:rsid w:val="00E17705"/>
    <w:rsid w:val="00E1774B"/>
    <w:rsid w:val="00E177B1"/>
    <w:rsid w:val="00E177C7"/>
    <w:rsid w:val="00E17844"/>
    <w:rsid w:val="00E178DA"/>
    <w:rsid w:val="00E17929"/>
    <w:rsid w:val="00E17966"/>
    <w:rsid w:val="00E179FC"/>
    <w:rsid w:val="00E17A08"/>
    <w:rsid w:val="00E17A54"/>
    <w:rsid w:val="00E17AA0"/>
    <w:rsid w:val="00E17AF3"/>
    <w:rsid w:val="00E17C52"/>
    <w:rsid w:val="00E17D97"/>
    <w:rsid w:val="00E17E21"/>
    <w:rsid w:val="00E17E4E"/>
    <w:rsid w:val="00E17ED0"/>
    <w:rsid w:val="00E17FC5"/>
    <w:rsid w:val="00E17FD8"/>
    <w:rsid w:val="00E17FEA"/>
    <w:rsid w:val="00E20138"/>
    <w:rsid w:val="00E2015B"/>
    <w:rsid w:val="00E201B2"/>
    <w:rsid w:val="00E20272"/>
    <w:rsid w:val="00E20280"/>
    <w:rsid w:val="00E2030C"/>
    <w:rsid w:val="00E20339"/>
    <w:rsid w:val="00E20355"/>
    <w:rsid w:val="00E2036B"/>
    <w:rsid w:val="00E203CE"/>
    <w:rsid w:val="00E20680"/>
    <w:rsid w:val="00E206A6"/>
    <w:rsid w:val="00E206AA"/>
    <w:rsid w:val="00E206EB"/>
    <w:rsid w:val="00E207D8"/>
    <w:rsid w:val="00E20828"/>
    <w:rsid w:val="00E2089D"/>
    <w:rsid w:val="00E20A93"/>
    <w:rsid w:val="00E20C9A"/>
    <w:rsid w:val="00E20F3D"/>
    <w:rsid w:val="00E20F6E"/>
    <w:rsid w:val="00E21133"/>
    <w:rsid w:val="00E21238"/>
    <w:rsid w:val="00E2135F"/>
    <w:rsid w:val="00E21446"/>
    <w:rsid w:val="00E21477"/>
    <w:rsid w:val="00E214AE"/>
    <w:rsid w:val="00E21698"/>
    <w:rsid w:val="00E216ED"/>
    <w:rsid w:val="00E2177C"/>
    <w:rsid w:val="00E2195A"/>
    <w:rsid w:val="00E219E9"/>
    <w:rsid w:val="00E21A86"/>
    <w:rsid w:val="00E21C5C"/>
    <w:rsid w:val="00E21D36"/>
    <w:rsid w:val="00E21D8D"/>
    <w:rsid w:val="00E21DF1"/>
    <w:rsid w:val="00E21F39"/>
    <w:rsid w:val="00E21F8E"/>
    <w:rsid w:val="00E22011"/>
    <w:rsid w:val="00E22149"/>
    <w:rsid w:val="00E2235F"/>
    <w:rsid w:val="00E22558"/>
    <w:rsid w:val="00E2263D"/>
    <w:rsid w:val="00E2267E"/>
    <w:rsid w:val="00E226C4"/>
    <w:rsid w:val="00E22817"/>
    <w:rsid w:val="00E228C6"/>
    <w:rsid w:val="00E22949"/>
    <w:rsid w:val="00E229A8"/>
    <w:rsid w:val="00E22A51"/>
    <w:rsid w:val="00E22AEB"/>
    <w:rsid w:val="00E22C45"/>
    <w:rsid w:val="00E22D32"/>
    <w:rsid w:val="00E22D8C"/>
    <w:rsid w:val="00E22D8E"/>
    <w:rsid w:val="00E22DB8"/>
    <w:rsid w:val="00E22E17"/>
    <w:rsid w:val="00E22E72"/>
    <w:rsid w:val="00E230E8"/>
    <w:rsid w:val="00E230F2"/>
    <w:rsid w:val="00E23294"/>
    <w:rsid w:val="00E232A6"/>
    <w:rsid w:val="00E23423"/>
    <w:rsid w:val="00E234AA"/>
    <w:rsid w:val="00E23528"/>
    <w:rsid w:val="00E235D5"/>
    <w:rsid w:val="00E2360E"/>
    <w:rsid w:val="00E236A2"/>
    <w:rsid w:val="00E236D1"/>
    <w:rsid w:val="00E23715"/>
    <w:rsid w:val="00E238B6"/>
    <w:rsid w:val="00E238F5"/>
    <w:rsid w:val="00E23968"/>
    <w:rsid w:val="00E239B7"/>
    <w:rsid w:val="00E23B1D"/>
    <w:rsid w:val="00E23C6A"/>
    <w:rsid w:val="00E23CC9"/>
    <w:rsid w:val="00E23E44"/>
    <w:rsid w:val="00E23E9E"/>
    <w:rsid w:val="00E23F47"/>
    <w:rsid w:val="00E23F70"/>
    <w:rsid w:val="00E23F76"/>
    <w:rsid w:val="00E24070"/>
    <w:rsid w:val="00E24094"/>
    <w:rsid w:val="00E240A5"/>
    <w:rsid w:val="00E240BF"/>
    <w:rsid w:val="00E240D3"/>
    <w:rsid w:val="00E24152"/>
    <w:rsid w:val="00E2420E"/>
    <w:rsid w:val="00E24293"/>
    <w:rsid w:val="00E24372"/>
    <w:rsid w:val="00E24456"/>
    <w:rsid w:val="00E2458D"/>
    <w:rsid w:val="00E246AB"/>
    <w:rsid w:val="00E24731"/>
    <w:rsid w:val="00E24739"/>
    <w:rsid w:val="00E24922"/>
    <w:rsid w:val="00E249B7"/>
    <w:rsid w:val="00E249EC"/>
    <w:rsid w:val="00E24ACF"/>
    <w:rsid w:val="00E24B62"/>
    <w:rsid w:val="00E24BB1"/>
    <w:rsid w:val="00E24BEC"/>
    <w:rsid w:val="00E24C15"/>
    <w:rsid w:val="00E24C5A"/>
    <w:rsid w:val="00E24C88"/>
    <w:rsid w:val="00E24C9C"/>
    <w:rsid w:val="00E24CB1"/>
    <w:rsid w:val="00E24CED"/>
    <w:rsid w:val="00E24D2D"/>
    <w:rsid w:val="00E24E39"/>
    <w:rsid w:val="00E24EC8"/>
    <w:rsid w:val="00E24F1B"/>
    <w:rsid w:val="00E24F79"/>
    <w:rsid w:val="00E24FC9"/>
    <w:rsid w:val="00E24FDC"/>
    <w:rsid w:val="00E25009"/>
    <w:rsid w:val="00E25104"/>
    <w:rsid w:val="00E25107"/>
    <w:rsid w:val="00E25280"/>
    <w:rsid w:val="00E25348"/>
    <w:rsid w:val="00E25405"/>
    <w:rsid w:val="00E25406"/>
    <w:rsid w:val="00E255EF"/>
    <w:rsid w:val="00E256E7"/>
    <w:rsid w:val="00E256ED"/>
    <w:rsid w:val="00E2570F"/>
    <w:rsid w:val="00E2576C"/>
    <w:rsid w:val="00E25789"/>
    <w:rsid w:val="00E25875"/>
    <w:rsid w:val="00E2597A"/>
    <w:rsid w:val="00E25B41"/>
    <w:rsid w:val="00E25B5B"/>
    <w:rsid w:val="00E25B68"/>
    <w:rsid w:val="00E25BB0"/>
    <w:rsid w:val="00E25BC2"/>
    <w:rsid w:val="00E25BFD"/>
    <w:rsid w:val="00E25CD8"/>
    <w:rsid w:val="00E25CFA"/>
    <w:rsid w:val="00E25D0C"/>
    <w:rsid w:val="00E25D65"/>
    <w:rsid w:val="00E25DA6"/>
    <w:rsid w:val="00E25E07"/>
    <w:rsid w:val="00E25EBA"/>
    <w:rsid w:val="00E25F8F"/>
    <w:rsid w:val="00E260EB"/>
    <w:rsid w:val="00E26118"/>
    <w:rsid w:val="00E26209"/>
    <w:rsid w:val="00E26431"/>
    <w:rsid w:val="00E26544"/>
    <w:rsid w:val="00E26672"/>
    <w:rsid w:val="00E2673D"/>
    <w:rsid w:val="00E26799"/>
    <w:rsid w:val="00E267C9"/>
    <w:rsid w:val="00E267D4"/>
    <w:rsid w:val="00E2681E"/>
    <w:rsid w:val="00E26A6D"/>
    <w:rsid w:val="00E26AD9"/>
    <w:rsid w:val="00E26AFF"/>
    <w:rsid w:val="00E26CFA"/>
    <w:rsid w:val="00E26EE7"/>
    <w:rsid w:val="00E26FAB"/>
    <w:rsid w:val="00E26FB5"/>
    <w:rsid w:val="00E2700C"/>
    <w:rsid w:val="00E27010"/>
    <w:rsid w:val="00E27068"/>
    <w:rsid w:val="00E27071"/>
    <w:rsid w:val="00E27232"/>
    <w:rsid w:val="00E272AE"/>
    <w:rsid w:val="00E274CB"/>
    <w:rsid w:val="00E27506"/>
    <w:rsid w:val="00E27655"/>
    <w:rsid w:val="00E27691"/>
    <w:rsid w:val="00E27856"/>
    <w:rsid w:val="00E2799A"/>
    <w:rsid w:val="00E27A99"/>
    <w:rsid w:val="00E27A9E"/>
    <w:rsid w:val="00E27AFA"/>
    <w:rsid w:val="00E27B9E"/>
    <w:rsid w:val="00E27D80"/>
    <w:rsid w:val="00E27E3F"/>
    <w:rsid w:val="00E27E61"/>
    <w:rsid w:val="00E27F64"/>
    <w:rsid w:val="00E27FAE"/>
    <w:rsid w:val="00E27FC1"/>
    <w:rsid w:val="00E3001D"/>
    <w:rsid w:val="00E3015E"/>
    <w:rsid w:val="00E30261"/>
    <w:rsid w:val="00E30262"/>
    <w:rsid w:val="00E302EE"/>
    <w:rsid w:val="00E30364"/>
    <w:rsid w:val="00E303FF"/>
    <w:rsid w:val="00E30511"/>
    <w:rsid w:val="00E30514"/>
    <w:rsid w:val="00E3059A"/>
    <w:rsid w:val="00E30692"/>
    <w:rsid w:val="00E3070A"/>
    <w:rsid w:val="00E30818"/>
    <w:rsid w:val="00E30914"/>
    <w:rsid w:val="00E30ADB"/>
    <w:rsid w:val="00E30B34"/>
    <w:rsid w:val="00E30B55"/>
    <w:rsid w:val="00E30C96"/>
    <w:rsid w:val="00E30D08"/>
    <w:rsid w:val="00E30D8B"/>
    <w:rsid w:val="00E30F61"/>
    <w:rsid w:val="00E30FFC"/>
    <w:rsid w:val="00E31079"/>
    <w:rsid w:val="00E31166"/>
    <w:rsid w:val="00E312BA"/>
    <w:rsid w:val="00E312D8"/>
    <w:rsid w:val="00E312F9"/>
    <w:rsid w:val="00E31345"/>
    <w:rsid w:val="00E313BB"/>
    <w:rsid w:val="00E313F3"/>
    <w:rsid w:val="00E313F8"/>
    <w:rsid w:val="00E31474"/>
    <w:rsid w:val="00E3164A"/>
    <w:rsid w:val="00E3176F"/>
    <w:rsid w:val="00E31906"/>
    <w:rsid w:val="00E31913"/>
    <w:rsid w:val="00E319C3"/>
    <w:rsid w:val="00E319D5"/>
    <w:rsid w:val="00E319E2"/>
    <w:rsid w:val="00E31C6F"/>
    <w:rsid w:val="00E31D01"/>
    <w:rsid w:val="00E31D3F"/>
    <w:rsid w:val="00E31DD0"/>
    <w:rsid w:val="00E31EC1"/>
    <w:rsid w:val="00E3208D"/>
    <w:rsid w:val="00E322AF"/>
    <w:rsid w:val="00E323FC"/>
    <w:rsid w:val="00E324A8"/>
    <w:rsid w:val="00E324AA"/>
    <w:rsid w:val="00E32528"/>
    <w:rsid w:val="00E325C5"/>
    <w:rsid w:val="00E32628"/>
    <w:rsid w:val="00E32677"/>
    <w:rsid w:val="00E3268F"/>
    <w:rsid w:val="00E327AB"/>
    <w:rsid w:val="00E32802"/>
    <w:rsid w:val="00E32840"/>
    <w:rsid w:val="00E32991"/>
    <w:rsid w:val="00E32993"/>
    <w:rsid w:val="00E32AF6"/>
    <w:rsid w:val="00E32B66"/>
    <w:rsid w:val="00E32B9E"/>
    <w:rsid w:val="00E32BCF"/>
    <w:rsid w:val="00E32C24"/>
    <w:rsid w:val="00E32C69"/>
    <w:rsid w:val="00E32D42"/>
    <w:rsid w:val="00E32D53"/>
    <w:rsid w:val="00E32DE6"/>
    <w:rsid w:val="00E32EE2"/>
    <w:rsid w:val="00E32F3E"/>
    <w:rsid w:val="00E3316C"/>
    <w:rsid w:val="00E331B5"/>
    <w:rsid w:val="00E33283"/>
    <w:rsid w:val="00E3329D"/>
    <w:rsid w:val="00E332D0"/>
    <w:rsid w:val="00E33333"/>
    <w:rsid w:val="00E333B9"/>
    <w:rsid w:val="00E334F3"/>
    <w:rsid w:val="00E33527"/>
    <w:rsid w:val="00E335C7"/>
    <w:rsid w:val="00E33765"/>
    <w:rsid w:val="00E33781"/>
    <w:rsid w:val="00E338F2"/>
    <w:rsid w:val="00E33977"/>
    <w:rsid w:val="00E33AB1"/>
    <w:rsid w:val="00E33AF5"/>
    <w:rsid w:val="00E33BB7"/>
    <w:rsid w:val="00E33CFF"/>
    <w:rsid w:val="00E33D9F"/>
    <w:rsid w:val="00E33F49"/>
    <w:rsid w:val="00E33F9C"/>
    <w:rsid w:val="00E33FBA"/>
    <w:rsid w:val="00E34115"/>
    <w:rsid w:val="00E34186"/>
    <w:rsid w:val="00E3425A"/>
    <w:rsid w:val="00E3427C"/>
    <w:rsid w:val="00E3433D"/>
    <w:rsid w:val="00E3438E"/>
    <w:rsid w:val="00E3440F"/>
    <w:rsid w:val="00E344FA"/>
    <w:rsid w:val="00E34588"/>
    <w:rsid w:val="00E345AA"/>
    <w:rsid w:val="00E34605"/>
    <w:rsid w:val="00E3460D"/>
    <w:rsid w:val="00E34780"/>
    <w:rsid w:val="00E34785"/>
    <w:rsid w:val="00E348B7"/>
    <w:rsid w:val="00E34959"/>
    <w:rsid w:val="00E34976"/>
    <w:rsid w:val="00E34A70"/>
    <w:rsid w:val="00E34C37"/>
    <w:rsid w:val="00E34CF8"/>
    <w:rsid w:val="00E34DFC"/>
    <w:rsid w:val="00E34EDC"/>
    <w:rsid w:val="00E352C1"/>
    <w:rsid w:val="00E352C2"/>
    <w:rsid w:val="00E354C0"/>
    <w:rsid w:val="00E354C3"/>
    <w:rsid w:val="00E354CA"/>
    <w:rsid w:val="00E35609"/>
    <w:rsid w:val="00E356B1"/>
    <w:rsid w:val="00E356B7"/>
    <w:rsid w:val="00E3591C"/>
    <w:rsid w:val="00E3593A"/>
    <w:rsid w:val="00E359D4"/>
    <w:rsid w:val="00E35AED"/>
    <w:rsid w:val="00E35B11"/>
    <w:rsid w:val="00E35CCB"/>
    <w:rsid w:val="00E35D1E"/>
    <w:rsid w:val="00E35F79"/>
    <w:rsid w:val="00E362CC"/>
    <w:rsid w:val="00E362F1"/>
    <w:rsid w:val="00E36323"/>
    <w:rsid w:val="00E36611"/>
    <w:rsid w:val="00E36730"/>
    <w:rsid w:val="00E36757"/>
    <w:rsid w:val="00E36958"/>
    <w:rsid w:val="00E36AC3"/>
    <w:rsid w:val="00E36B26"/>
    <w:rsid w:val="00E36C7A"/>
    <w:rsid w:val="00E36DC3"/>
    <w:rsid w:val="00E36E2E"/>
    <w:rsid w:val="00E36E33"/>
    <w:rsid w:val="00E36F82"/>
    <w:rsid w:val="00E36FE6"/>
    <w:rsid w:val="00E371DC"/>
    <w:rsid w:val="00E371E2"/>
    <w:rsid w:val="00E3725E"/>
    <w:rsid w:val="00E373E0"/>
    <w:rsid w:val="00E373E4"/>
    <w:rsid w:val="00E37409"/>
    <w:rsid w:val="00E374C4"/>
    <w:rsid w:val="00E3752E"/>
    <w:rsid w:val="00E37535"/>
    <w:rsid w:val="00E37562"/>
    <w:rsid w:val="00E375B5"/>
    <w:rsid w:val="00E37634"/>
    <w:rsid w:val="00E37671"/>
    <w:rsid w:val="00E376A8"/>
    <w:rsid w:val="00E376E2"/>
    <w:rsid w:val="00E37733"/>
    <w:rsid w:val="00E37812"/>
    <w:rsid w:val="00E37899"/>
    <w:rsid w:val="00E379B0"/>
    <w:rsid w:val="00E379EB"/>
    <w:rsid w:val="00E37ABF"/>
    <w:rsid w:val="00E37B09"/>
    <w:rsid w:val="00E37E3B"/>
    <w:rsid w:val="00E37EA3"/>
    <w:rsid w:val="00E37EFE"/>
    <w:rsid w:val="00E37FA3"/>
    <w:rsid w:val="00E37FB1"/>
    <w:rsid w:val="00E4006D"/>
    <w:rsid w:val="00E400B5"/>
    <w:rsid w:val="00E400BE"/>
    <w:rsid w:val="00E400CC"/>
    <w:rsid w:val="00E4011A"/>
    <w:rsid w:val="00E401C9"/>
    <w:rsid w:val="00E4037E"/>
    <w:rsid w:val="00E4052F"/>
    <w:rsid w:val="00E40624"/>
    <w:rsid w:val="00E4068F"/>
    <w:rsid w:val="00E407B4"/>
    <w:rsid w:val="00E407E8"/>
    <w:rsid w:val="00E4082D"/>
    <w:rsid w:val="00E408B1"/>
    <w:rsid w:val="00E4095C"/>
    <w:rsid w:val="00E40991"/>
    <w:rsid w:val="00E40A6F"/>
    <w:rsid w:val="00E40A83"/>
    <w:rsid w:val="00E40A8A"/>
    <w:rsid w:val="00E40B19"/>
    <w:rsid w:val="00E40B91"/>
    <w:rsid w:val="00E40BE6"/>
    <w:rsid w:val="00E40CE1"/>
    <w:rsid w:val="00E40E01"/>
    <w:rsid w:val="00E40E64"/>
    <w:rsid w:val="00E40F52"/>
    <w:rsid w:val="00E40FB6"/>
    <w:rsid w:val="00E4100E"/>
    <w:rsid w:val="00E41042"/>
    <w:rsid w:val="00E41117"/>
    <w:rsid w:val="00E41180"/>
    <w:rsid w:val="00E41265"/>
    <w:rsid w:val="00E41278"/>
    <w:rsid w:val="00E4143A"/>
    <w:rsid w:val="00E41479"/>
    <w:rsid w:val="00E414AE"/>
    <w:rsid w:val="00E414B1"/>
    <w:rsid w:val="00E414CD"/>
    <w:rsid w:val="00E4153A"/>
    <w:rsid w:val="00E41568"/>
    <w:rsid w:val="00E416A6"/>
    <w:rsid w:val="00E416F7"/>
    <w:rsid w:val="00E417CA"/>
    <w:rsid w:val="00E4181E"/>
    <w:rsid w:val="00E41821"/>
    <w:rsid w:val="00E41858"/>
    <w:rsid w:val="00E419ED"/>
    <w:rsid w:val="00E41B5E"/>
    <w:rsid w:val="00E41BFF"/>
    <w:rsid w:val="00E41C29"/>
    <w:rsid w:val="00E41C58"/>
    <w:rsid w:val="00E41CD9"/>
    <w:rsid w:val="00E41EFF"/>
    <w:rsid w:val="00E42017"/>
    <w:rsid w:val="00E42042"/>
    <w:rsid w:val="00E42069"/>
    <w:rsid w:val="00E42138"/>
    <w:rsid w:val="00E42180"/>
    <w:rsid w:val="00E421D6"/>
    <w:rsid w:val="00E42232"/>
    <w:rsid w:val="00E42258"/>
    <w:rsid w:val="00E423AC"/>
    <w:rsid w:val="00E42698"/>
    <w:rsid w:val="00E428E2"/>
    <w:rsid w:val="00E4290C"/>
    <w:rsid w:val="00E42919"/>
    <w:rsid w:val="00E42927"/>
    <w:rsid w:val="00E42965"/>
    <w:rsid w:val="00E429AA"/>
    <w:rsid w:val="00E42A92"/>
    <w:rsid w:val="00E42B67"/>
    <w:rsid w:val="00E42CD3"/>
    <w:rsid w:val="00E42DD3"/>
    <w:rsid w:val="00E42E67"/>
    <w:rsid w:val="00E42F97"/>
    <w:rsid w:val="00E43115"/>
    <w:rsid w:val="00E4314D"/>
    <w:rsid w:val="00E4334C"/>
    <w:rsid w:val="00E43479"/>
    <w:rsid w:val="00E434D3"/>
    <w:rsid w:val="00E434E2"/>
    <w:rsid w:val="00E435DC"/>
    <w:rsid w:val="00E438FA"/>
    <w:rsid w:val="00E43A91"/>
    <w:rsid w:val="00E43B07"/>
    <w:rsid w:val="00E43B8D"/>
    <w:rsid w:val="00E43C83"/>
    <w:rsid w:val="00E43CAE"/>
    <w:rsid w:val="00E43D2F"/>
    <w:rsid w:val="00E43D36"/>
    <w:rsid w:val="00E43D52"/>
    <w:rsid w:val="00E43D54"/>
    <w:rsid w:val="00E43E28"/>
    <w:rsid w:val="00E43E8D"/>
    <w:rsid w:val="00E43FC3"/>
    <w:rsid w:val="00E44038"/>
    <w:rsid w:val="00E44218"/>
    <w:rsid w:val="00E44367"/>
    <w:rsid w:val="00E44376"/>
    <w:rsid w:val="00E4448E"/>
    <w:rsid w:val="00E44581"/>
    <w:rsid w:val="00E44651"/>
    <w:rsid w:val="00E44711"/>
    <w:rsid w:val="00E44956"/>
    <w:rsid w:val="00E4495C"/>
    <w:rsid w:val="00E44A85"/>
    <w:rsid w:val="00E44AC8"/>
    <w:rsid w:val="00E44B23"/>
    <w:rsid w:val="00E44BE7"/>
    <w:rsid w:val="00E44BF4"/>
    <w:rsid w:val="00E44C17"/>
    <w:rsid w:val="00E44CCE"/>
    <w:rsid w:val="00E44CEC"/>
    <w:rsid w:val="00E44D0E"/>
    <w:rsid w:val="00E44DE6"/>
    <w:rsid w:val="00E44DEE"/>
    <w:rsid w:val="00E44DFA"/>
    <w:rsid w:val="00E44E1C"/>
    <w:rsid w:val="00E44E89"/>
    <w:rsid w:val="00E44FFE"/>
    <w:rsid w:val="00E45069"/>
    <w:rsid w:val="00E45090"/>
    <w:rsid w:val="00E45128"/>
    <w:rsid w:val="00E4524C"/>
    <w:rsid w:val="00E452D2"/>
    <w:rsid w:val="00E45544"/>
    <w:rsid w:val="00E4557A"/>
    <w:rsid w:val="00E455E6"/>
    <w:rsid w:val="00E456C9"/>
    <w:rsid w:val="00E4583F"/>
    <w:rsid w:val="00E458A7"/>
    <w:rsid w:val="00E458BC"/>
    <w:rsid w:val="00E45A4F"/>
    <w:rsid w:val="00E45AAF"/>
    <w:rsid w:val="00E45BA9"/>
    <w:rsid w:val="00E45C51"/>
    <w:rsid w:val="00E45E9E"/>
    <w:rsid w:val="00E46095"/>
    <w:rsid w:val="00E460AB"/>
    <w:rsid w:val="00E46198"/>
    <w:rsid w:val="00E461CE"/>
    <w:rsid w:val="00E461EB"/>
    <w:rsid w:val="00E4626F"/>
    <w:rsid w:val="00E462AC"/>
    <w:rsid w:val="00E46448"/>
    <w:rsid w:val="00E46477"/>
    <w:rsid w:val="00E464C1"/>
    <w:rsid w:val="00E46638"/>
    <w:rsid w:val="00E4670C"/>
    <w:rsid w:val="00E46818"/>
    <w:rsid w:val="00E46865"/>
    <w:rsid w:val="00E46868"/>
    <w:rsid w:val="00E468D0"/>
    <w:rsid w:val="00E468E6"/>
    <w:rsid w:val="00E46930"/>
    <w:rsid w:val="00E4697C"/>
    <w:rsid w:val="00E46A9E"/>
    <w:rsid w:val="00E46B3B"/>
    <w:rsid w:val="00E46BA0"/>
    <w:rsid w:val="00E46C23"/>
    <w:rsid w:val="00E46CE2"/>
    <w:rsid w:val="00E46EE0"/>
    <w:rsid w:val="00E470E3"/>
    <w:rsid w:val="00E471D7"/>
    <w:rsid w:val="00E47303"/>
    <w:rsid w:val="00E473B8"/>
    <w:rsid w:val="00E47655"/>
    <w:rsid w:val="00E47754"/>
    <w:rsid w:val="00E477BC"/>
    <w:rsid w:val="00E47872"/>
    <w:rsid w:val="00E47881"/>
    <w:rsid w:val="00E478B6"/>
    <w:rsid w:val="00E478CB"/>
    <w:rsid w:val="00E478E8"/>
    <w:rsid w:val="00E479C3"/>
    <w:rsid w:val="00E479CE"/>
    <w:rsid w:val="00E47A3E"/>
    <w:rsid w:val="00E47B2A"/>
    <w:rsid w:val="00E47C83"/>
    <w:rsid w:val="00E47E16"/>
    <w:rsid w:val="00E47E88"/>
    <w:rsid w:val="00E47E9C"/>
    <w:rsid w:val="00E47EB0"/>
    <w:rsid w:val="00E47ED2"/>
    <w:rsid w:val="00E47FC4"/>
    <w:rsid w:val="00E47FE4"/>
    <w:rsid w:val="00E47FEC"/>
    <w:rsid w:val="00E501F0"/>
    <w:rsid w:val="00E5028D"/>
    <w:rsid w:val="00E502EA"/>
    <w:rsid w:val="00E5035B"/>
    <w:rsid w:val="00E5040C"/>
    <w:rsid w:val="00E5041D"/>
    <w:rsid w:val="00E50572"/>
    <w:rsid w:val="00E50636"/>
    <w:rsid w:val="00E50740"/>
    <w:rsid w:val="00E50753"/>
    <w:rsid w:val="00E5091C"/>
    <w:rsid w:val="00E5098F"/>
    <w:rsid w:val="00E509B7"/>
    <w:rsid w:val="00E50AC6"/>
    <w:rsid w:val="00E50BC4"/>
    <w:rsid w:val="00E50BC5"/>
    <w:rsid w:val="00E50C6A"/>
    <w:rsid w:val="00E50CE4"/>
    <w:rsid w:val="00E50E77"/>
    <w:rsid w:val="00E50F35"/>
    <w:rsid w:val="00E50F99"/>
    <w:rsid w:val="00E51084"/>
    <w:rsid w:val="00E510BC"/>
    <w:rsid w:val="00E510C3"/>
    <w:rsid w:val="00E510C8"/>
    <w:rsid w:val="00E512D1"/>
    <w:rsid w:val="00E51325"/>
    <w:rsid w:val="00E513F0"/>
    <w:rsid w:val="00E51405"/>
    <w:rsid w:val="00E51459"/>
    <w:rsid w:val="00E51590"/>
    <w:rsid w:val="00E51756"/>
    <w:rsid w:val="00E5175A"/>
    <w:rsid w:val="00E51791"/>
    <w:rsid w:val="00E518A6"/>
    <w:rsid w:val="00E518D4"/>
    <w:rsid w:val="00E51976"/>
    <w:rsid w:val="00E519A1"/>
    <w:rsid w:val="00E519F3"/>
    <w:rsid w:val="00E51C02"/>
    <w:rsid w:val="00E51C3D"/>
    <w:rsid w:val="00E51D8C"/>
    <w:rsid w:val="00E51DFE"/>
    <w:rsid w:val="00E51FD1"/>
    <w:rsid w:val="00E52016"/>
    <w:rsid w:val="00E52083"/>
    <w:rsid w:val="00E52096"/>
    <w:rsid w:val="00E52220"/>
    <w:rsid w:val="00E523FE"/>
    <w:rsid w:val="00E5250D"/>
    <w:rsid w:val="00E52826"/>
    <w:rsid w:val="00E528F1"/>
    <w:rsid w:val="00E52918"/>
    <w:rsid w:val="00E52B4A"/>
    <w:rsid w:val="00E52BF8"/>
    <w:rsid w:val="00E52DFB"/>
    <w:rsid w:val="00E52E13"/>
    <w:rsid w:val="00E52E68"/>
    <w:rsid w:val="00E52F08"/>
    <w:rsid w:val="00E52FFB"/>
    <w:rsid w:val="00E53038"/>
    <w:rsid w:val="00E5312D"/>
    <w:rsid w:val="00E53218"/>
    <w:rsid w:val="00E5330F"/>
    <w:rsid w:val="00E533AC"/>
    <w:rsid w:val="00E53435"/>
    <w:rsid w:val="00E534C7"/>
    <w:rsid w:val="00E5354C"/>
    <w:rsid w:val="00E535B3"/>
    <w:rsid w:val="00E535D8"/>
    <w:rsid w:val="00E53619"/>
    <w:rsid w:val="00E536D2"/>
    <w:rsid w:val="00E53740"/>
    <w:rsid w:val="00E53780"/>
    <w:rsid w:val="00E537BA"/>
    <w:rsid w:val="00E5385F"/>
    <w:rsid w:val="00E5396B"/>
    <w:rsid w:val="00E53A12"/>
    <w:rsid w:val="00E53C13"/>
    <w:rsid w:val="00E53C93"/>
    <w:rsid w:val="00E53D80"/>
    <w:rsid w:val="00E53E31"/>
    <w:rsid w:val="00E53E5A"/>
    <w:rsid w:val="00E53EE2"/>
    <w:rsid w:val="00E5403B"/>
    <w:rsid w:val="00E540A6"/>
    <w:rsid w:val="00E5422F"/>
    <w:rsid w:val="00E542D0"/>
    <w:rsid w:val="00E542F9"/>
    <w:rsid w:val="00E54363"/>
    <w:rsid w:val="00E543A3"/>
    <w:rsid w:val="00E543C3"/>
    <w:rsid w:val="00E543E7"/>
    <w:rsid w:val="00E54441"/>
    <w:rsid w:val="00E5445D"/>
    <w:rsid w:val="00E544B3"/>
    <w:rsid w:val="00E545B7"/>
    <w:rsid w:val="00E545CA"/>
    <w:rsid w:val="00E546B6"/>
    <w:rsid w:val="00E5470A"/>
    <w:rsid w:val="00E5477E"/>
    <w:rsid w:val="00E548F1"/>
    <w:rsid w:val="00E5496F"/>
    <w:rsid w:val="00E549B8"/>
    <w:rsid w:val="00E54B06"/>
    <w:rsid w:val="00E54B3A"/>
    <w:rsid w:val="00E54C25"/>
    <w:rsid w:val="00E54D48"/>
    <w:rsid w:val="00E54D8E"/>
    <w:rsid w:val="00E54DD2"/>
    <w:rsid w:val="00E54DE2"/>
    <w:rsid w:val="00E55008"/>
    <w:rsid w:val="00E550E3"/>
    <w:rsid w:val="00E5513E"/>
    <w:rsid w:val="00E55243"/>
    <w:rsid w:val="00E5533F"/>
    <w:rsid w:val="00E55538"/>
    <w:rsid w:val="00E5554D"/>
    <w:rsid w:val="00E555A3"/>
    <w:rsid w:val="00E55697"/>
    <w:rsid w:val="00E55748"/>
    <w:rsid w:val="00E557FD"/>
    <w:rsid w:val="00E5585F"/>
    <w:rsid w:val="00E55871"/>
    <w:rsid w:val="00E558AC"/>
    <w:rsid w:val="00E558B5"/>
    <w:rsid w:val="00E5596A"/>
    <w:rsid w:val="00E5599E"/>
    <w:rsid w:val="00E55AE5"/>
    <w:rsid w:val="00E55B3F"/>
    <w:rsid w:val="00E55D2E"/>
    <w:rsid w:val="00E55D59"/>
    <w:rsid w:val="00E55DED"/>
    <w:rsid w:val="00E55EEE"/>
    <w:rsid w:val="00E56055"/>
    <w:rsid w:val="00E5606D"/>
    <w:rsid w:val="00E5608B"/>
    <w:rsid w:val="00E5617B"/>
    <w:rsid w:val="00E56354"/>
    <w:rsid w:val="00E56463"/>
    <w:rsid w:val="00E5648F"/>
    <w:rsid w:val="00E564FC"/>
    <w:rsid w:val="00E5653D"/>
    <w:rsid w:val="00E56690"/>
    <w:rsid w:val="00E566F1"/>
    <w:rsid w:val="00E56737"/>
    <w:rsid w:val="00E5673F"/>
    <w:rsid w:val="00E56754"/>
    <w:rsid w:val="00E569AC"/>
    <w:rsid w:val="00E56A9C"/>
    <w:rsid w:val="00E56C30"/>
    <w:rsid w:val="00E56C69"/>
    <w:rsid w:val="00E56C7D"/>
    <w:rsid w:val="00E56D32"/>
    <w:rsid w:val="00E56E9D"/>
    <w:rsid w:val="00E56F15"/>
    <w:rsid w:val="00E56FD1"/>
    <w:rsid w:val="00E56FEC"/>
    <w:rsid w:val="00E57149"/>
    <w:rsid w:val="00E57196"/>
    <w:rsid w:val="00E57197"/>
    <w:rsid w:val="00E571C8"/>
    <w:rsid w:val="00E571CF"/>
    <w:rsid w:val="00E571F3"/>
    <w:rsid w:val="00E57454"/>
    <w:rsid w:val="00E574C6"/>
    <w:rsid w:val="00E577BB"/>
    <w:rsid w:val="00E578F2"/>
    <w:rsid w:val="00E5797E"/>
    <w:rsid w:val="00E57A70"/>
    <w:rsid w:val="00E57A89"/>
    <w:rsid w:val="00E57AF2"/>
    <w:rsid w:val="00E57CC2"/>
    <w:rsid w:val="00E57D6C"/>
    <w:rsid w:val="00E57EAE"/>
    <w:rsid w:val="00E57EC0"/>
    <w:rsid w:val="00E60025"/>
    <w:rsid w:val="00E600C8"/>
    <w:rsid w:val="00E6011B"/>
    <w:rsid w:val="00E60191"/>
    <w:rsid w:val="00E601B8"/>
    <w:rsid w:val="00E60217"/>
    <w:rsid w:val="00E60237"/>
    <w:rsid w:val="00E603F5"/>
    <w:rsid w:val="00E6045E"/>
    <w:rsid w:val="00E6049E"/>
    <w:rsid w:val="00E6058E"/>
    <w:rsid w:val="00E605DE"/>
    <w:rsid w:val="00E606CA"/>
    <w:rsid w:val="00E606E7"/>
    <w:rsid w:val="00E60709"/>
    <w:rsid w:val="00E60847"/>
    <w:rsid w:val="00E60953"/>
    <w:rsid w:val="00E6095F"/>
    <w:rsid w:val="00E60C2F"/>
    <w:rsid w:val="00E60D4D"/>
    <w:rsid w:val="00E60DBD"/>
    <w:rsid w:val="00E60E04"/>
    <w:rsid w:val="00E60E47"/>
    <w:rsid w:val="00E60EA2"/>
    <w:rsid w:val="00E60F5F"/>
    <w:rsid w:val="00E61109"/>
    <w:rsid w:val="00E6123A"/>
    <w:rsid w:val="00E612B9"/>
    <w:rsid w:val="00E6146A"/>
    <w:rsid w:val="00E6155A"/>
    <w:rsid w:val="00E61593"/>
    <w:rsid w:val="00E61670"/>
    <w:rsid w:val="00E6171A"/>
    <w:rsid w:val="00E6173C"/>
    <w:rsid w:val="00E61791"/>
    <w:rsid w:val="00E617DF"/>
    <w:rsid w:val="00E61833"/>
    <w:rsid w:val="00E61856"/>
    <w:rsid w:val="00E61926"/>
    <w:rsid w:val="00E61955"/>
    <w:rsid w:val="00E61AED"/>
    <w:rsid w:val="00E61BAD"/>
    <w:rsid w:val="00E61BF1"/>
    <w:rsid w:val="00E61C30"/>
    <w:rsid w:val="00E61D4F"/>
    <w:rsid w:val="00E61E5A"/>
    <w:rsid w:val="00E61FDA"/>
    <w:rsid w:val="00E6206A"/>
    <w:rsid w:val="00E62070"/>
    <w:rsid w:val="00E622EA"/>
    <w:rsid w:val="00E62332"/>
    <w:rsid w:val="00E6236C"/>
    <w:rsid w:val="00E623A6"/>
    <w:rsid w:val="00E62410"/>
    <w:rsid w:val="00E62440"/>
    <w:rsid w:val="00E6244A"/>
    <w:rsid w:val="00E62540"/>
    <w:rsid w:val="00E62581"/>
    <w:rsid w:val="00E626D7"/>
    <w:rsid w:val="00E6275B"/>
    <w:rsid w:val="00E62899"/>
    <w:rsid w:val="00E629A5"/>
    <w:rsid w:val="00E629C6"/>
    <w:rsid w:val="00E62AC8"/>
    <w:rsid w:val="00E62B0F"/>
    <w:rsid w:val="00E62B26"/>
    <w:rsid w:val="00E62C06"/>
    <w:rsid w:val="00E62CAC"/>
    <w:rsid w:val="00E62D07"/>
    <w:rsid w:val="00E62D71"/>
    <w:rsid w:val="00E62E22"/>
    <w:rsid w:val="00E62E66"/>
    <w:rsid w:val="00E62F3E"/>
    <w:rsid w:val="00E630B5"/>
    <w:rsid w:val="00E631A8"/>
    <w:rsid w:val="00E632DB"/>
    <w:rsid w:val="00E6337B"/>
    <w:rsid w:val="00E633BD"/>
    <w:rsid w:val="00E6358A"/>
    <w:rsid w:val="00E63721"/>
    <w:rsid w:val="00E63870"/>
    <w:rsid w:val="00E639C3"/>
    <w:rsid w:val="00E639E3"/>
    <w:rsid w:val="00E63B97"/>
    <w:rsid w:val="00E63BA0"/>
    <w:rsid w:val="00E63BBF"/>
    <w:rsid w:val="00E63C8C"/>
    <w:rsid w:val="00E63CEE"/>
    <w:rsid w:val="00E63D99"/>
    <w:rsid w:val="00E63F7F"/>
    <w:rsid w:val="00E63F88"/>
    <w:rsid w:val="00E63FEC"/>
    <w:rsid w:val="00E640F2"/>
    <w:rsid w:val="00E641DD"/>
    <w:rsid w:val="00E64425"/>
    <w:rsid w:val="00E6467F"/>
    <w:rsid w:val="00E64711"/>
    <w:rsid w:val="00E6485F"/>
    <w:rsid w:val="00E648C6"/>
    <w:rsid w:val="00E648E8"/>
    <w:rsid w:val="00E6495B"/>
    <w:rsid w:val="00E64973"/>
    <w:rsid w:val="00E64979"/>
    <w:rsid w:val="00E64A5C"/>
    <w:rsid w:val="00E64A89"/>
    <w:rsid w:val="00E64AC8"/>
    <w:rsid w:val="00E64AD2"/>
    <w:rsid w:val="00E64B7F"/>
    <w:rsid w:val="00E64C90"/>
    <w:rsid w:val="00E64CB4"/>
    <w:rsid w:val="00E64D7D"/>
    <w:rsid w:val="00E64DA4"/>
    <w:rsid w:val="00E64DFB"/>
    <w:rsid w:val="00E64E95"/>
    <w:rsid w:val="00E64EFA"/>
    <w:rsid w:val="00E64F0C"/>
    <w:rsid w:val="00E64F7E"/>
    <w:rsid w:val="00E65095"/>
    <w:rsid w:val="00E65172"/>
    <w:rsid w:val="00E651B7"/>
    <w:rsid w:val="00E651E7"/>
    <w:rsid w:val="00E6527F"/>
    <w:rsid w:val="00E652BE"/>
    <w:rsid w:val="00E65334"/>
    <w:rsid w:val="00E65396"/>
    <w:rsid w:val="00E6571D"/>
    <w:rsid w:val="00E657C6"/>
    <w:rsid w:val="00E65838"/>
    <w:rsid w:val="00E65867"/>
    <w:rsid w:val="00E658C9"/>
    <w:rsid w:val="00E659A5"/>
    <w:rsid w:val="00E659A6"/>
    <w:rsid w:val="00E65AAD"/>
    <w:rsid w:val="00E65B5E"/>
    <w:rsid w:val="00E65D67"/>
    <w:rsid w:val="00E65FCD"/>
    <w:rsid w:val="00E66081"/>
    <w:rsid w:val="00E660C6"/>
    <w:rsid w:val="00E6612D"/>
    <w:rsid w:val="00E661AC"/>
    <w:rsid w:val="00E662C1"/>
    <w:rsid w:val="00E66327"/>
    <w:rsid w:val="00E663CA"/>
    <w:rsid w:val="00E66531"/>
    <w:rsid w:val="00E665CF"/>
    <w:rsid w:val="00E6686A"/>
    <w:rsid w:val="00E66916"/>
    <w:rsid w:val="00E6691E"/>
    <w:rsid w:val="00E66A0C"/>
    <w:rsid w:val="00E66A58"/>
    <w:rsid w:val="00E66A5D"/>
    <w:rsid w:val="00E66CC8"/>
    <w:rsid w:val="00E66D93"/>
    <w:rsid w:val="00E66DCF"/>
    <w:rsid w:val="00E66F38"/>
    <w:rsid w:val="00E66FF3"/>
    <w:rsid w:val="00E6707D"/>
    <w:rsid w:val="00E67186"/>
    <w:rsid w:val="00E671F5"/>
    <w:rsid w:val="00E67230"/>
    <w:rsid w:val="00E6738D"/>
    <w:rsid w:val="00E673F1"/>
    <w:rsid w:val="00E67540"/>
    <w:rsid w:val="00E676C8"/>
    <w:rsid w:val="00E67756"/>
    <w:rsid w:val="00E677BC"/>
    <w:rsid w:val="00E677DD"/>
    <w:rsid w:val="00E67834"/>
    <w:rsid w:val="00E67921"/>
    <w:rsid w:val="00E67A84"/>
    <w:rsid w:val="00E67B90"/>
    <w:rsid w:val="00E67C17"/>
    <w:rsid w:val="00E67D9B"/>
    <w:rsid w:val="00E67DFF"/>
    <w:rsid w:val="00E67E8C"/>
    <w:rsid w:val="00E67EAC"/>
    <w:rsid w:val="00E67F77"/>
    <w:rsid w:val="00E67FA3"/>
    <w:rsid w:val="00E6AB95"/>
    <w:rsid w:val="00E6E748"/>
    <w:rsid w:val="00E700D2"/>
    <w:rsid w:val="00E70222"/>
    <w:rsid w:val="00E70283"/>
    <w:rsid w:val="00E70365"/>
    <w:rsid w:val="00E70456"/>
    <w:rsid w:val="00E705D1"/>
    <w:rsid w:val="00E705E0"/>
    <w:rsid w:val="00E705FA"/>
    <w:rsid w:val="00E7071B"/>
    <w:rsid w:val="00E70769"/>
    <w:rsid w:val="00E7077A"/>
    <w:rsid w:val="00E707D5"/>
    <w:rsid w:val="00E70821"/>
    <w:rsid w:val="00E708D6"/>
    <w:rsid w:val="00E709E6"/>
    <w:rsid w:val="00E70A80"/>
    <w:rsid w:val="00E70D3A"/>
    <w:rsid w:val="00E70E1D"/>
    <w:rsid w:val="00E70EC2"/>
    <w:rsid w:val="00E70EC3"/>
    <w:rsid w:val="00E70EDC"/>
    <w:rsid w:val="00E70F58"/>
    <w:rsid w:val="00E711B2"/>
    <w:rsid w:val="00E71322"/>
    <w:rsid w:val="00E71351"/>
    <w:rsid w:val="00E71448"/>
    <w:rsid w:val="00E714C0"/>
    <w:rsid w:val="00E71631"/>
    <w:rsid w:val="00E71665"/>
    <w:rsid w:val="00E71688"/>
    <w:rsid w:val="00E71906"/>
    <w:rsid w:val="00E7191D"/>
    <w:rsid w:val="00E71965"/>
    <w:rsid w:val="00E71C25"/>
    <w:rsid w:val="00E71CE6"/>
    <w:rsid w:val="00E71D98"/>
    <w:rsid w:val="00E71E38"/>
    <w:rsid w:val="00E71E7D"/>
    <w:rsid w:val="00E71E94"/>
    <w:rsid w:val="00E71F99"/>
    <w:rsid w:val="00E7203C"/>
    <w:rsid w:val="00E722BA"/>
    <w:rsid w:val="00E723C3"/>
    <w:rsid w:val="00E723ED"/>
    <w:rsid w:val="00E72767"/>
    <w:rsid w:val="00E727AE"/>
    <w:rsid w:val="00E72877"/>
    <w:rsid w:val="00E728DD"/>
    <w:rsid w:val="00E72919"/>
    <w:rsid w:val="00E7299E"/>
    <w:rsid w:val="00E729B1"/>
    <w:rsid w:val="00E729C8"/>
    <w:rsid w:val="00E72A3B"/>
    <w:rsid w:val="00E72B0B"/>
    <w:rsid w:val="00E72C47"/>
    <w:rsid w:val="00E72D29"/>
    <w:rsid w:val="00E72D78"/>
    <w:rsid w:val="00E72EA5"/>
    <w:rsid w:val="00E73224"/>
    <w:rsid w:val="00E73277"/>
    <w:rsid w:val="00E7328E"/>
    <w:rsid w:val="00E73292"/>
    <w:rsid w:val="00E7339C"/>
    <w:rsid w:val="00E7344C"/>
    <w:rsid w:val="00E7345D"/>
    <w:rsid w:val="00E735FB"/>
    <w:rsid w:val="00E73773"/>
    <w:rsid w:val="00E73865"/>
    <w:rsid w:val="00E738C5"/>
    <w:rsid w:val="00E738E3"/>
    <w:rsid w:val="00E73977"/>
    <w:rsid w:val="00E7398C"/>
    <w:rsid w:val="00E73B04"/>
    <w:rsid w:val="00E73BAC"/>
    <w:rsid w:val="00E73C99"/>
    <w:rsid w:val="00E73CD5"/>
    <w:rsid w:val="00E73DBD"/>
    <w:rsid w:val="00E73E29"/>
    <w:rsid w:val="00E73E35"/>
    <w:rsid w:val="00E73E8B"/>
    <w:rsid w:val="00E73EE2"/>
    <w:rsid w:val="00E73EE9"/>
    <w:rsid w:val="00E73F6C"/>
    <w:rsid w:val="00E7409E"/>
    <w:rsid w:val="00E740FC"/>
    <w:rsid w:val="00E74122"/>
    <w:rsid w:val="00E7416F"/>
    <w:rsid w:val="00E7422A"/>
    <w:rsid w:val="00E74328"/>
    <w:rsid w:val="00E7463E"/>
    <w:rsid w:val="00E7476C"/>
    <w:rsid w:val="00E747E0"/>
    <w:rsid w:val="00E74925"/>
    <w:rsid w:val="00E749D3"/>
    <w:rsid w:val="00E74A5B"/>
    <w:rsid w:val="00E74B53"/>
    <w:rsid w:val="00E74C56"/>
    <w:rsid w:val="00E74D2C"/>
    <w:rsid w:val="00E74D61"/>
    <w:rsid w:val="00E74DF3"/>
    <w:rsid w:val="00E74E1D"/>
    <w:rsid w:val="00E74F56"/>
    <w:rsid w:val="00E74F9D"/>
    <w:rsid w:val="00E74FD5"/>
    <w:rsid w:val="00E74FE3"/>
    <w:rsid w:val="00E750CA"/>
    <w:rsid w:val="00E75206"/>
    <w:rsid w:val="00E75257"/>
    <w:rsid w:val="00E75272"/>
    <w:rsid w:val="00E7531A"/>
    <w:rsid w:val="00E75329"/>
    <w:rsid w:val="00E75377"/>
    <w:rsid w:val="00E75394"/>
    <w:rsid w:val="00E753A4"/>
    <w:rsid w:val="00E755CA"/>
    <w:rsid w:val="00E75607"/>
    <w:rsid w:val="00E75688"/>
    <w:rsid w:val="00E7593E"/>
    <w:rsid w:val="00E7595E"/>
    <w:rsid w:val="00E75A35"/>
    <w:rsid w:val="00E75B35"/>
    <w:rsid w:val="00E75B8C"/>
    <w:rsid w:val="00E75BFC"/>
    <w:rsid w:val="00E75C6B"/>
    <w:rsid w:val="00E75C7C"/>
    <w:rsid w:val="00E75DFD"/>
    <w:rsid w:val="00E75EA9"/>
    <w:rsid w:val="00E76062"/>
    <w:rsid w:val="00E76383"/>
    <w:rsid w:val="00E76418"/>
    <w:rsid w:val="00E764D6"/>
    <w:rsid w:val="00E766D5"/>
    <w:rsid w:val="00E7673E"/>
    <w:rsid w:val="00E767AB"/>
    <w:rsid w:val="00E767C8"/>
    <w:rsid w:val="00E76800"/>
    <w:rsid w:val="00E76877"/>
    <w:rsid w:val="00E769C8"/>
    <w:rsid w:val="00E769EE"/>
    <w:rsid w:val="00E76A7D"/>
    <w:rsid w:val="00E76B1E"/>
    <w:rsid w:val="00E76B76"/>
    <w:rsid w:val="00E76F21"/>
    <w:rsid w:val="00E76F5F"/>
    <w:rsid w:val="00E76F88"/>
    <w:rsid w:val="00E76FEB"/>
    <w:rsid w:val="00E76FF6"/>
    <w:rsid w:val="00E77017"/>
    <w:rsid w:val="00E77039"/>
    <w:rsid w:val="00E7707A"/>
    <w:rsid w:val="00E77288"/>
    <w:rsid w:val="00E772A8"/>
    <w:rsid w:val="00E77384"/>
    <w:rsid w:val="00E77400"/>
    <w:rsid w:val="00E774B0"/>
    <w:rsid w:val="00E775CA"/>
    <w:rsid w:val="00E77619"/>
    <w:rsid w:val="00E7762F"/>
    <w:rsid w:val="00E7789C"/>
    <w:rsid w:val="00E778B5"/>
    <w:rsid w:val="00E77A26"/>
    <w:rsid w:val="00E77A6F"/>
    <w:rsid w:val="00E77A96"/>
    <w:rsid w:val="00E77CF2"/>
    <w:rsid w:val="00E77CFC"/>
    <w:rsid w:val="00E77DEF"/>
    <w:rsid w:val="00E77E01"/>
    <w:rsid w:val="00E77E8B"/>
    <w:rsid w:val="00E77FF6"/>
    <w:rsid w:val="00E802ED"/>
    <w:rsid w:val="00E8031D"/>
    <w:rsid w:val="00E80417"/>
    <w:rsid w:val="00E80540"/>
    <w:rsid w:val="00E8055B"/>
    <w:rsid w:val="00E805D4"/>
    <w:rsid w:val="00E80696"/>
    <w:rsid w:val="00E80B79"/>
    <w:rsid w:val="00E80DCB"/>
    <w:rsid w:val="00E80EF6"/>
    <w:rsid w:val="00E81011"/>
    <w:rsid w:val="00E810DE"/>
    <w:rsid w:val="00E810E0"/>
    <w:rsid w:val="00E81136"/>
    <w:rsid w:val="00E8123B"/>
    <w:rsid w:val="00E812CD"/>
    <w:rsid w:val="00E8137A"/>
    <w:rsid w:val="00E81506"/>
    <w:rsid w:val="00E8156C"/>
    <w:rsid w:val="00E81634"/>
    <w:rsid w:val="00E81713"/>
    <w:rsid w:val="00E8176B"/>
    <w:rsid w:val="00E8178B"/>
    <w:rsid w:val="00E81877"/>
    <w:rsid w:val="00E8198D"/>
    <w:rsid w:val="00E819C5"/>
    <w:rsid w:val="00E819DB"/>
    <w:rsid w:val="00E81A46"/>
    <w:rsid w:val="00E81A92"/>
    <w:rsid w:val="00E81B72"/>
    <w:rsid w:val="00E81BC1"/>
    <w:rsid w:val="00E81BFA"/>
    <w:rsid w:val="00E81C11"/>
    <w:rsid w:val="00E81CCD"/>
    <w:rsid w:val="00E81D30"/>
    <w:rsid w:val="00E81D66"/>
    <w:rsid w:val="00E81F37"/>
    <w:rsid w:val="00E81F45"/>
    <w:rsid w:val="00E81F80"/>
    <w:rsid w:val="00E82086"/>
    <w:rsid w:val="00E82142"/>
    <w:rsid w:val="00E82217"/>
    <w:rsid w:val="00E8253C"/>
    <w:rsid w:val="00E825D3"/>
    <w:rsid w:val="00E82786"/>
    <w:rsid w:val="00E827D7"/>
    <w:rsid w:val="00E829DD"/>
    <w:rsid w:val="00E82AC0"/>
    <w:rsid w:val="00E82C00"/>
    <w:rsid w:val="00E82C52"/>
    <w:rsid w:val="00E82DD7"/>
    <w:rsid w:val="00E82EE9"/>
    <w:rsid w:val="00E82F49"/>
    <w:rsid w:val="00E8307C"/>
    <w:rsid w:val="00E832C1"/>
    <w:rsid w:val="00E832F5"/>
    <w:rsid w:val="00E83370"/>
    <w:rsid w:val="00E835EA"/>
    <w:rsid w:val="00E836CF"/>
    <w:rsid w:val="00E8370F"/>
    <w:rsid w:val="00E837BF"/>
    <w:rsid w:val="00E83807"/>
    <w:rsid w:val="00E83862"/>
    <w:rsid w:val="00E83967"/>
    <w:rsid w:val="00E839C1"/>
    <w:rsid w:val="00E83A12"/>
    <w:rsid w:val="00E83A36"/>
    <w:rsid w:val="00E83AF3"/>
    <w:rsid w:val="00E83C5E"/>
    <w:rsid w:val="00E83D0B"/>
    <w:rsid w:val="00E83DC3"/>
    <w:rsid w:val="00E83EDD"/>
    <w:rsid w:val="00E83FE0"/>
    <w:rsid w:val="00E8400B"/>
    <w:rsid w:val="00E8405A"/>
    <w:rsid w:val="00E840B1"/>
    <w:rsid w:val="00E842A4"/>
    <w:rsid w:val="00E8433A"/>
    <w:rsid w:val="00E843BF"/>
    <w:rsid w:val="00E84520"/>
    <w:rsid w:val="00E8457B"/>
    <w:rsid w:val="00E84600"/>
    <w:rsid w:val="00E84671"/>
    <w:rsid w:val="00E846D0"/>
    <w:rsid w:val="00E8485F"/>
    <w:rsid w:val="00E84860"/>
    <w:rsid w:val="00E84919"/>
    <w:rsid w:val="00E849CC"/>
    <w:rsid w:val="00E849DB"/>
    <w:rsid w:val="00E84AEE"/>
    <w:rsid w:val="00E84B00"/>
    <w:rsid w:val="00E84B3D"/>
    <w:rsid w:val="00E84B6C"/>
    <w:rsid w:val="00E84BBB"/>
    <w:rsid w:val="00E84BE7"/>
    <w:rsid w:val="00E84BF7"/>
    <w:rsid w:val="00E84C50"/>
    <w:rsid w:val="00E84CC3"/>
    <w:rsid w:val="00E84DB2"/>
    <w:rsid w:val="00E84E6D"/>
    <w:rsid w:val="00E84FC2"/>
    <w:rsid w:val="00E851A5"/>
    <w:rsid w:val="00E851E0"/>
    <w:rsid w:val="00E851EB"/>
    <w:rsid w:val="00E85212"/>
    <w:rsid w:val="00E8539F"/>
    <w:rsid w:val="00E8540A"/>
    <w:rsid w:val="00E85555"/>
    <w:rsid w:val="00E855B2"/>
    <w:rsid w:val="00E85600"/>
    <w:rsid w:val="00E8566A"/>
    <w:rsid w:val="00E8584E"/>
    <w:rsid w:val="00E8598A"/>
    <w:rsid w:val="00E85A02"/>
    <w:rsid w:val="00E85BDC"/>
    <w:rsid w:val="00E85C3C"/>
    <w:rsid w:val="00E85CC6"/>
    <w:rsid w:val="00E85D8F"/>
    <w:rsid w:val="00E85FD3"/>
    <w:rsid w:val="00E86047"/>
    <w:rsid w:val="00E86105"/>
    <w:rsid w:val="00E861C2"/>
    <w:rsid w:val="00E861E6"/>
    <w:rsid w:val="00E861F2"/>
    <w:rsid w:val="00E862CC"/>
    <w:rsid w:val="00E862F5"/>
    <w:rsid w:val="00E86369"/>
    <w:rsid w:val="00E86424"/>
    <w:rsid w:val="00E86445"/>
    <w:rsid w:val="00E864F2"/>
    <w:rsid w:val="00E8653B"/>
    <w:rsid w:val="00E8666E"/>
    <w:rsid w:val="00E8667C"/>
    <w:rsid w:val="00E866E3"/>
    <w:rsid w:val="00E8696A"/>
    <w:rsid w:val="00E869EB"/>
    <w:rsid w:val="00E86ABC"/>
    <w:rsid w:val="00E86B84"/>
    <w:rsid w:val="00E86C25"/>
    <w:rsid w:val="00E86DDD"/>
    <w:rsid w:val="00E86E17"/>
    <w:rsid w:val="00E86E4F"/>
    <w:rsid w:val="00E86EA9"/>
    <w:rsid w:val="00E86F38"/>
    <w:rsid w:val="00E86FB1"/>
    <w:rsid w:val="00E86FF8"/>
    <w:rsid w:val="00E8702F"/>
    <w:rsid w:val="00E870DB"/>
    <w:rsid w:val="00E87197"/>
    <w:rsid w:val="00E8724B"/>
    <w:rsid w:val="00E87253"/>
    <w:rsid w:val="00E872AD"/>
    <w:rsid w:val="00E8732F"/>
    <w:rsid w:val="00E873C6"/>
    <w:rsid w:val="00E8755D"/>
    <w:rsid w:val="00E87573"/>
    <w:rsid w:val="00E87694"/>
    <w:rsid w:val="00E87700"/>
    <w:rsid w:val="00E877D7"/>
    <w:rsid w:val="00E87865"/>
    <w:rsid w:val="00E878F9"/>
    <w:rsid w:val="00E8791F"/>
    <w:rsid w:val="00E87977"/>
    <w:rsid w:val="00E879CE"/>
    <w:rsid w:val="00E879CF"/>
    <w:rsid w:val="00E87AA5"/>
    <w:rsid w:val="00E87AA9"/>
    <w:rsid w:val="00E87ACC"/>
    <w:rsid w:val="00E87C9F"/>
    <w:rsid w:val="00E87CCB"/>
    <w:rsid w:val="00E87EA1"/>
    <w:rsid w:val="00E87F85"/>
    <w:rsid w:val="00E87FE3"/>
    <w:rsid w:val="00E90035"/>
    <w:rsid w:val="00E900C4"/>
    <w:rsid w:val="00E90325"/>
    <w:rsid w:val="00E904A7"/>
    <w:rsid w:val="00E905C6"/>
    <w:rsid w:val="00E9066A"/>
    <w:rsid w:val="00E9067D"/>
    <w:rsid w:val="00E9071B"/>
    <w:rsid w:val="00E9080D"/>
    <w:rsid w:val="00E90929"/>
    <w:rsid w:val="00E90A40"/>
    <w:rsid w:val="00E90A74"/>
    <w:rsid w:val="00E90B69"/>
    <w:rsid w:val="00E90C80"/>
    <w:rsid w:val="00E90C8D"/>
    <w:rsid w:val="00E90D81"/>
    <w:rsid w:val="00E90EBF"/>
    <w:rsid w:val="00E90EEC"/>
    <w:rsid w:val="00E90F49"/>
    <w:rsid w:val="00E90FD3"/>
    <w:rsid w:val="00E9103C"/>
    <w:rsid w:val="00E91081"/>
    <w:rsid w:val="00E91097"/>
    <w:rsid w:val="00E910D1"/>
    <w:rsid w:val="00E910FD"/>
    <w:rsid w:val="00E91285"/>
    <w:rsid w:val="00E91294"/>
    <w:rsid w:val="00E912F3"/>
    <w:rsid w:val="00E9134B"/>
    <w:rsid w:val="00E91357"/>
    <w:rsid w:val="00E914A0"/>
    <w:rsid w:val="00E91513"/>
    <w:rsid w:val="00E9159A"/>
    <w:rsid w:val="00E915FF"/>
    <w:rsid w:val="00E91718"/>
    <w:rsid w:val="00E91815"/>
    <w:rsid w:val="00E91858"/>
    <w:rsid w:val="00E9187D"/>
    <w:rsid w:val="00E9196E"/>
    <w:rsid w:val="00E91A38"/>
    <w:rsid w:val="00E91A9F"/>
    <w:rsid w:val="00E91B4F"/>
    <w:rsid w:val="00E91BDB"/>
    <w:rsid w:val="00E91D28"/>
    <w:rsid w:val="00E91D7C"/>
    <w:rsid w:val="00E91DD7"/>
    <w:rsid w:val="00E91E8D"/>
    <w:rsid w:val="00E91F24"/>
    <w:rsid w:val="00E91F44"/>
    <w:rsid w:val="00E91FEA"/>
    <w:rsid w:val="00E920C3"/>
    <w:rsid w:val="00E92143"/>
    <w:rsid w:val="00E92167"/>
    <w:rsid w:val="00E921F0"/>
    <w:rsid w:val="00E923CD"/>
    <w:rsid w:val="00E9243E"/>
    <w:rsid w:val="00E924CC"/>
    <w:rsid w:val="00E925E2"/>
    <w:rsid w:val="00E9260E"/>
    <w:rsid w:val="00E92650"/>
    <w:rsid w:val="00E926AE"/>
    <w:rsid w:val="00E927D5"/>
    <w:rsid w:val="00E9281E"/>
    <w:rsid w:val="00E9286D"/>
    <w:rsid w:val="00E92918"/>
    <w:rsid w:val="00E929BA"/>
    <w:rsid w:val="00E92A3A"/>
    <w:rsid w:val="00E92B31"/>
    <w:rsid w:val="00E92BC2"/>
    <w:rsid w:val="00E92C72"/>
    <w:rsid w:val="00E92D60"/>
    <w:rsid w:val="00E92DF0"/>
    <w:rsid w:val="00E92FFA"/>
    <w:rsid w:val="00E930D7"/>
    <w:rsid w:val="00E93111"/>
    <w:rsid w:val="00E93123"/>
    <w:rsid w:val="00E931BB"/>
    <w:rsid w:val="00E931C6"/>
    <w:rsid w:val="00E931DD"/>
    <w:rsid w:val="00E932FA"/>
    <w:rsid w:val="00E933C7"/>
    <w:rsid w:val="00E9341E"/>
    <w:rsid w:val="00E934BE"/>
    <w:rsid w:val="00E934C7"/>
    <w:rsid w:val="00E9362E"/>
    <w:rsid w:val="00E936E6"/>
    <w:rsid w:val="00E9379C"/>
    <w:rsid w:val="00E93964"/>
    <w:rsid w:val="00E93A95"/>
    <w:rsid w:val="00E93B0A"/>
    <w:rsid w:val="00E93BC5"/>
    <w:rsid w:val="00E93C61"/>
    <w:rsid w:val="00E93CF4"/>
    <w:rsid w:val="00E93D2C"/>
    <w:rsid w:val="00E93D39"/>
    <w:rsid w:val="00E93ED5"/>
    <w:rsid w:val="00E93F52"/>
    <w:rsid w:val="00E93FD0"/>
    <w:rsid w:val="00E940CF"/>
    <w:rsid w:val="00E94124"/>
    <w:rsid w:val="00E941EA"/>
    <w:rsid w:val="00E942B0"/>
    <w:rsid w:val="00E942C3"/>
    <w:rsid w:val="00E942E6"/>
    <w:rsid w:val="00E94318"/>
    <w:rsid w:val="00E94436"/>
    <w:rsid w:val="00E9460F"/>
    <w:rsid w:val="00E9461D"/>
    <w:rsid w:val="00E9462B"/>
    <w:rsid w:val="00E9473D"/>
    <w:rsid w:val="00E94913"/>
    <w:rsid w:val="00E94A87"/>
    <w:rsid w:val="00E94B63"/>
    <w:rsid w:val="00E94D0B"/>
    <w:rsid w:val="00E94D18"/>
    <w:rsid w:val="00E94D55"/>
    <w:rsid w:val="00E94E0E"/>
    <w:rsid w:val="00E94E3B"/>
    <w:rsid w:val="00E94EE3"/>
    <w:rsid w:val="00E94EEB"/>
    <w:rsid w:val="00E94F06"/>
    <w:rsid w:val="00E94F33"/>
    <w:rsid w:val="00E94FDA"/>
    <w:rsid w:val="00E9509E"/>
    <w:rsid w:val="00E95249"/>
    <w:rsid w:val="00E9527C"/>
    <w:rsid w:val="00E952E6"/>
    <w:rsid w:val="00E95304"/>
    <w:rsid w:val="00E955CF"/>
    <w:rsid w:val="00E95612"/>
    <w:rsid w:val="00E95617"/>
    <w:rsid w:val="00E95695"/>
    <w:rsid w:val="00E956B5"/>
    <w:rsid w:val="00E95738"/>
    <w:rsid w:val="00E9573F"/>
    <w:rsid w:val="00E95851"/>
    <w:rsid w:val="00E95885"/>
    <w:rsid w:val="00E95898"/>
    <w:rsid w:val="00E958E0"/>
    <w:rsid w:val="00E95C9F"/>
    <w:rsid w:val="00E95DA1"/>
    <w:rsid w:val="00E95DB3"/>
    <w:rsid w:val="00E95DD2"/>
    <w:rsid w:val="00E95E26"/>
    <w:rsid w:val="00E95F2F"/>
    <w:rsid w:val="00E95FCD"/>
    <w:rsid w:val="00E96028"/>
    <w:rsid w:val="00E960FE"/>
    <w:rsid w:val="00E96102"/>
    <w:rsid w:val="00E96124"/>
    <w:rsid w:val="00E961C6"/>
    <w:rsid w:val="00E96318"/>
    <w:rsid w:val="00E96357"/>
    <w:rsid w:val="00E963DF"/>
    <w:rsid w:val="00E9646F"/>
    <w:rsid w:val="00E9649A"/>
    <w:rsid w:val="00E96511"/>
    <w:rsid w:val="00E96564"/>
    <w:rsid w:val="00E96776"/>
    <w:rsid w:val="00E967F9"/>
    <w:rsid w:val="00E967FE"/>
    <w:rsid w:val="00E96891"/>
    <w:rsid w:val="00E9689C"/>
    <w:rsid w:val="00E96907"/>
    <w:rsid w:val="00E96BCD"/>
    <w:rsid w:val="00E96C74"/>
    <w:rsid w:val="00E96CB3"/>
    <w:rsid w:val="00E96E59"/>
    <w:rsid w:val="00E96E89"/>
    <w:rsid w:val="00E96FE5"/>
    <w:rsid w:val="00E97186"/>
    <w:rsid w:val="00E9718A"/>
    <w:rsid w:val="00E9720D"/>
    <w:rsid w:val="00E97236"/>
    <w:rsid w:val="00E97284"/>
    <w:rsid w:val="00E97288"/>
    <w:rsid w:val="00E972AE"/>
    <w:rsid w:val="00E972D1"/>
    <w:rsid w:val="00E97352"/>
    <w:rsid w:val="00E9736B"/>
    <w:rsid w:val="00E973B7"/>
    <w:rsid w:val="00E97417"/>
    <w:rsid w:val="00E97475"/>
    <w:rsid w:val="00E974CF"/>
    <w:rsid w:val="00E97523"/>
    <w:rsid w:val="00E97540"/>
    <w:rsid w:val="00E97557"/>
    <w:rsid w:val="00E97572"/>
    <w:rsid w:val="00E975D9"/>
    <w:rsid w:val="00E97639"/>
    <w:rsid w:val="00E97674"/>
    <w:rsid w:val="00E976AF"/>
    <w:rsid w:val="00E979CB"/>
    <w:rsid w:val="00E97AFE"/>
    <w:rsid w:val="00E97CC3"/>
    <w:rsid w:val="00E97D28"/>
    <w:rsid w:val="00E97D56"/>
    <w:rsid w:val="00E97DED"/>
    <w:rsid w:val="00E97E76"/>
    <w:rsid w:val="00E97E97"/>
    <w:rsid w:val="00E97EE9"/>
    <w:rsid w:val="00E97F0B"/>
    <w:rsid w:val="00E97F27"/>
    <w:rsid w:val="00E9DFA4"/>
    <w:rsid w:val="00EA0126"/>
    <w:rsid w:val="00EA016D"/>
    <w:rsid w:val="00EA02E4"/>
    <w:rsid w:val="00EA043F"/>
    <w:rsid w:val="00EA044B"/>
    <w:rsid w:val="00EA0483"/>
    <w:rsid w:val="00EA04A3"/>
    <w:rsid w:val="00EA04DE"/>
    <w:rsid w:val="00EA0518"/>
    <w:rsid w:val="00EA063C"/>
    <w:rsid w:val="00EA06D1"/>
    <w:rsid w:val="00EA076A"/>
    <w:rsid w:val="00EA08B4"/>
    <w:rsid w:val="00EA098C"/>
    <w:rsid w:val="00EA09DB"/>
    <w:rsid w:val="00EA0ABD"/>
    <w:rsid w:val="00EA0B5D"/>
    <w:rsid w:val="00EA0C7E"/>
    <w:rsid w:val="00EA0D1A"/>
    <w:rsid w:val="00EA0D21"/>
    <w:rsid w:val="00EA0D60"/>
    <w:rsid w:val="00EA0E86"/>
    <w:rsid w:val="00EA0EC2"/>
    <w:rsid w:val="00EA0ED1"/>
    <w:rsid w:val="00EA0F76"/>
    <w:rsid w:val="00EA0FD9"/>
    <w:rsid w:val="00EA1115"/>
    <w:rsid w:val="00EA113D"/>
    <w:rsid w:val="00EA1169"/>
    <w:rsid w:val="00EA125F"/>
    <w:rsid w:val="00EA1535"/>
    <w:rsid w:val="00EA187A"/>
    <w:rsid w:val="00EA18B0"/>
    <w:rsid w:val="00EA1A38"/>
    <w:rsid w:val="00EA1A67"/>
    <w:rsid w:val="00EA1BF1"/>
    <w:rsid w:val="00EA1CD3"/>
    <w:rsid w:val="00EA1D09"/>
    <w:rsid w:val="00EA1E97"/>
    <w:rsid w:val="00EA1EF0"/>
    <w:rsid w:val="00EA1EFF"/>
    <w:rsid w:val="00EA1FD4"/>
    <w:rsid w:val="00EA2008"/>
    <w:rsid w:val="00EA21B3"/>
    <w:rsid w:val="00EA2228"/>
    <w:rsid w:val="00EA2303"/>
    <w:rsid w:val="00EA2355"/>
    <w:rsid w:val="00EA24C9"/>
    <w:rsid w:val="00EA2517"/>
    <w:rsid w:val="00EA25AF"/>
    <w:rsid w:val="00EA25EC"/>
    <w:rsid w:val="00EA2608"/>
    <w:rsid w:val="00EA26C2"/>
    <w:rsid w:val="00EA26DF"/>
    <w:rsid w:val="00EA26EE"/>
    <w:rsid w:val="00EA2855"/>
    <w:rsid w:val="00EA2974"/>
    <w:rsid w:val="00EA2B13"/>
    <w:rsid w:val="00EA2B66"/>
    <w:rsid w:val="00EA2BEB"/>
    <w:rsid w:val="00EA2C13"/>
    <w:rsid w:val="00EA2C3D"/>
    <w:rsid w:val="00EA2CDB"/>
    <w:rsid w:val="00EA2D52"/>
    <w:rsid w:val="00EA2DCC"/>
    <w:rsid w:val="00EA2E70"/>
    <w:rsid w:val="00EA3019"/>
    <w:rsid w:val="00EA301B"/>
    <w:rsid w:val="00EA3125"/>
    <w:rsid w:val="00EA320D"/>
    <w:rsid w:val="00EA3375"/>
    <w:rsid w:val="00EA340D"/>
    <w:rsid w:val="00EA3624"/>
    <w:rsid w:val="00EA3781"/>
    <w:rsid w:val="00EA37D8"/>
    <w:rsid w:val="00EA37DB"/>
    <w:rsid w:val="00EA388C"/>
    <w:rsid w:val="00EA3920"/>
    <w:rsid w:val="00EA396F"/>
    <w:rsid w:val="00EA39F2"/>
    <w:rsid w:val="00EA3A0C"/>
    <w:rsid w:val="00EA3A57"/>
    <w:rsid w:val="00EA3AFB"/>
    <w:rsid w:val="00EA3BE2"/>
    <w:rsid w:val="00EA3BF6"/>
    <w:rsid w:val="00EA3C02"/>
    <w:rsid w:val="00EA3C93"/>
    <w:rsid w:val="00EA3E9B"/>
    <w:rsid w:val="00EA3F91"/>
    <w:rsid w:val="00EA3FCF"/>
    <w:rsid w:val="00EA3FDC"/>
    <w:rsid w:val="00EA3FEC"/>
    <w:rsid w:val="00EA4188"/>
    <w:rsid w:val="00EA4257"/>
    <w:rsid w:val="00EA42AC"/>
    <w:rsid w:val="00EA4329"/>
    <w:rsid w:val="00EA4370"/>
    <w:rsid w:val="00EA43A6"/>
    <w:rsid w:val="00EA4452"/>
    <w:rsid w:val="00EA44AB"/>
    <w:rsid w:val="00EA4525"/>
    <w:rsid w:val="00EA4532"/>
    <w:rsid w:val="00EA45A0"/>
    <w:rsid w:val="00EA45F1"/>
    <w:rsid w:val="00EA464C"/>
    <w:rsid w:val="00EA467A"/>
    <w:rsid w:val="00EA4684"/>
    <w:rsid w:val="00EA46CA"/>
    <w:rsid w:val="00EA4752"/>
    <w:rsid w:val="00EA47A2"/>
    <w:rsid w:val="00EA48B5"/>
    <w:rsid w:val="00EA4901"/>
    <w:rsid w:val="00EA4AD9"/>
    <w:rsid w:val="00EA4BAE"/>
    <w:rsid w:val="00EA4BCC"/>
    <w:rsid w:val="00EA4E01"/>
    <w:rsid w:val="00EA4EA2"/>
    <w:rsid w:val="00EA4ED1"/>
    <w:rsid w:val="00EA4F02"/>
    <w:rsid w:val="00EA5001"/>
    <w:rsid w:val="00EA505F"/>
    <w:rsid w:val="00EA50F2"/>
    <w:rsid w:val="00EA5169"/>
    <w:rsid w:val="00EA5186"/>
    <w:rsid w:val="00EA5278"/>
    <w:rsid w:val="00EA52C1"/>
    <w:rsid w:val="00EA5397"/>
    <w:rsid w:val="00EA5472"/>
    <w:rsid w:val="00EA5682"/>
    <w:rsid w:val="00EA56D5"/>
    <w:rsid w:val="00EA5745"/>
    <w:rsid w:val="00EA5962"/>
    <w:rsid w:val="00EA5991"/>
    <w:rsid w:val="00EA59CF"/>
    <w:rsid w:val="00EA5CF9"/>
    <w:rsid w:val="00EA5D34"/>
    <w:rsid w:val="00EA5E2A"/>
    <w:rsid w:val="00EA5F20"/>
    <w:rsid w:val="00EA5FA9"/>
    <w:rsid w:val="00EA606A"/>
    <w:rsid w:val="00EA6075"/>
    <w:rsid w:val="00EA60D3"/>
    <w:rsid w:val="00EA60D6"/>
    <w:rsid w:val="00EA6157"/>
    <w:rsid w:val="00EA621E"/>
    <w:rsid w:val="00EA62D7"/>
    <w:rsid w:val="00EA6477"/>
    <w:rsid w:val="00EA64F2"/>
    <w:rsid w:val="00EA65EC"/>
    <w:rsid w:val="00EA6731"/>
    <w:rsid w:val="00EA67C6"/>
    <w:rsid w:val="00EA68B4"/>
    <w:rsid w:val="00EA6908"/>
    <w:rsid w:val="00EA693F"/>
    <w:rsid w:val="00EA6AA5"/>
    <w:rsid w:val="00EA6B91"/>
    <w:rsid w:val="00EA6C6D"/>
    <w:rsid w:val="00EA6E05"/>
    <w:rsid w:val="00EA6E6A"/>
    <w:rsid w:val="00EA6E99"/>
    <w:rsid w:val="00EA6EAF"/>
    <w:rsid w:val="00EA6FD4"/>
    <w:rsid w:val="00EA70CD"/>
    <w:rsid w:val="00EA71DF"/>
    <w:rsid w:val="00EA739C"/>
    <w:rsid w:val="00EA7475"/>
    <w:rsid w:val="00EA74EB"/>
    <w:rsid w:val="00EA766D"/>
    <w:rsid w:val="00EA76E2"/>
    <w:rsid w:val="00EA77FC"/>
    <w:rsid w:val="00EA7848"/>
    <w:rsid w:val="00EA7988"/>
    <w:rsid w:val="00EA79AF"/>
    <w:rsid w:val="00EA7BEF"/>
    <w:rsid w:val="00EA7C1E"/>
    <w:rsid w:val="00EA7CCD"/>
    <w:rsid w:val="00EA7E0C"/>
    <w:rsid w:val="00EA7E4D"/>
    <w:rsid w:val="00EA7FAA"/>
    <w:rsid w:val="00EB00A7"/>
    <w:rsid w:val="00EB00E2"/>
    <w:rsid w:val="00EB0299"/>
    <w:rsid w:val="00EB0351"/>
    <w:rsid w:val="00EB0407"/>
    <w:rsid w:val="00EB0416"/>
    <w:rsid w:val="00EB0549"/>
    <w:rsid w:val="00EB059A"/>
    <w:rsid w:val="00EB05EF"/>
    <w:rsid w:val="00EB060C"/>
    <w:rsid w:val="00EB0703"/>
    <w:rsid w:val="00EB077E"/>
    <w:rsid w:val="00EB083E"/>
    <w:rsid w:val="00EB08AD"/>
    <w:rsid w:val="00EB08DD"/>
    <w:rsid w:val="00EB091A"/>
    <w:rsid w:val="00EB0A0D"/>
    <w:rsid w:val="00EB0A84"/>
    <w:rsid w:val="00EB0AB0"/>
    <w:rsid w:val="00EB0CA1"/>
    <w:rsid w:val="00EB0D25"/>
    <w:rsid w:val="00EB0D5C"/>
    <w:rsid w:val="00EB0E42"/>
    <w:rsid w:val="00EB0E7C"/>
    <w:rsid w:val="00EB0FC7"/>
    <w:rsid w:val="00EB0FD7"/>
    <w:rsid w:val="00EB10DA"/>
    <w:rsid w:val="00EB12D1"/>
    <w:rsid w:val="00EB1463"/>
    <w:rsid w:val="00EB1483"/>
    <w:rsid w:val="00EB157C"/>
    <w:rsid w:val="00EB1595"/>
    <w:rsid w:val="00EB1597"/>
    <w:rsid w:val="00EB15FF"/>
    <w:rsid w:val="00EB165A"/>
    <w:rsid w:val="00EB16FC"/>
    <w:rsid w:val="00EB1767"/>
    <w:rsid w:val="00EB183C"/>
    <w:rsid w:val="00EB188A"/>
    <w:rsid w:val="00EB18E6"/>
    <w:rsid w:val="00EB19FF"/>
    <w:rsid w:val="00EB1A33"/>
    <w:rsid w:val="00EB1B3C"/>
    <w:rsid w:val="00EB1BF8"/>
    <w:rsid w:val="00EB1BFB"/>
    <w:rsid w:val="00EB1C31"/>
    <w:rsid w:val="00EB1E9C"/>
    <w:rsid w:val="00EB2168"/>
    <w:rsid w:val="00EB225F"/>
    <w:rsid w:val="00EB22E2"/>
    <w:rsid w:val="00EB2329"/>
    <w:rsid w:val="00EB233C"/>
    <w:rsid w:val="00EB2374"/>
    <w:rsid w:val="00EB2643"/>
    <w:rsid w:val="00EB2682"/>
    <w:rsid w:val="00EB2765"/>
    <w:rsid w:val="00EB27D6"/>
    <w:rsid w:val="00EB2896"/>
    <w:rsid w:val="00EB2922"/>
    <w:rsid w:val="00EB296E"/>
    <w:rsid w:val="00EB2B38"/>
    <w:rsid w:val="00EB2CA4"/>
    <w:rsid w:val="00EB2DE7"/>
    <w:rsid w:val="00EB2ECC"/>
    <w:rsid w:val="00EB3094"/>
    <w:rsid w:val="00EB30AA"/>
    <w:rsid w:val="00EB30AD"/>
    <w:rsid w:val="00EB31BB"/>
    <w:rsid w:val="00EB31C2"/>
    <w:rsid w:val="00EB3268"/>
    <w:rsid w:val="00EB347A"/>
    <w:rsid w:val="00EB3485"/>
    <w:rsid w:val="00EB34B3"/>
    <w:rsid w:val="00EB34C8"/>
    <w:rsid w:val="00EB35BA"/>
    <w:rsid w:val="00EB35CB"/>
    <w:rsid w:val="00EB374B"/>
    <w:rsid w:val="00EB374D"/>
    <w:rsid w:val="00EB3864"/>
    <w:rsid w:val="00EB3894"/>
    <w:rsid w:val="00EB3986"/>
    <w:rsid w:val="00EB3B93"/>
    <w:rsid w:val="00EB3BEC"/>
    <w:rsid w:val="00EB3BF9"/>
    <w:rsid w:val="00EB3EDD"/>
    <w:rsid w:val="00EB3F12"/>
    <w:rsid w:val="00EB3F32"/>
    <w:rsid w:val="00EB3FE6"/>
    <w:rsid w:val="00EB3FF4"/>
    <w:rsid w:val="00EB4110"/>
    <w:rsid w:val="00EB41C7"/>
    <w:rsid w:val="00EB41F7"/>
    <w:rsid w:val="00EB4246"/>
    <w:rsid w:val="00EB4364"/>
    <w:rsid w:val="00EB43EA"/>
    <w:rsid w:val="00EB4488"/>
    <w:rsid w:val="00EB4643"/>
    <w:rsid w:val="00EB4663"/>
    <w:rsid w:val="00EB47A9"/>
    <w:rsid w:val="00EB4819"/>
    <w:rsid w:val="00EB4909"/>
    <w:rsid w:val="00EB4912"/>
    <w:rsid w:val="00EB49B0"/>
    <w:rsid w:val="00EB4A18"/>
    <w:rsid w:val="00EB4A26"/>
    <w:rsid w:val="00EB4A42"/>
    <w:rsid w:val="00EB4A67"/>
    <w:rsid w:val="00EB4AC7"/>
    <w:rsid w:val="00EB4B03"/>
    <w:rsid w:val="00EB4BB3"/>
    <w:rsid w:val="00EB4C24"/>
    <w:rsid w:val="00EB4C8E"/>
    <w:rsid w:val="00EB4CEB"/>
    <w:rsid w:val="00EB5053"/>
    <w:rsid w:val="00EB5066"/>
    <w:rsid w:val="00EB511D"/>
    <w:rsid w:val="00EB5171"/>
    <w:rsid w:val="00EB5198"/>
    <w:rsid w:val="00EB51E0"/>
    <w:rsid w:val="00EB51EA"/>
    <w:rsid w:val="00EB5262"/>
    <w:rsid w:val="00EB52F4"/>
    <w:rsid w:val="00EB5396"/>
    <w:rsid w:val="00EB53AC"/>
    <w:rsid w:val="00EB54C8"/>
    <w:rsid w:val="00EB56D2"/>
    <w:rsid w:val="00EB574B"/>
    <w:rsid w:val="00EB5790"/>
    <w:rsid w:val="00EB5825"/>
    <w:rsid w:val="00EB5882"/>
    <w:rsid w:val="00EB5B21"/>
    <w:rsid w:val="00EB5B3A"/>
    <w:rsid w:val="00EB5B84"/>
    <w:rsid w:val="00EB5BB9"/>
    <w:rsid w:val="00EB5D71"/>
    <w:rsid w:val="00EB5D76"/>
    <w:rsid w:val="00EB5E17"/>
    <w:rsid w:val="00EB5EA0"/>
    <w:rsid w:val="00EB6028"/>
    <w:rsid w:val="00EB6070"/>
    <w:rsid w:val="00EB61AA"/>
    <w:rsid w:val="00EB61DA"/>
    <w:rsid w:val="00EB62E2"/>
    <w:rsid w:val="00EB630D"/>
    <w:rsid w:val="00EB638F"/>
    <w:rsid w:val="00EB649A"/>
    <w:rsid w:val="00EB6582"/>
    <w:rsid w:val="00EB66A5"/>
    <w:rsid w:val="00EB66C1"/>
    <w:rsid w:val="00EB66DA"/>
    <w:rsid w:val="00EB6804"/>
    <w:rsid w:val="00EB688D"/>
    <w:rsid w:val="00EB68AB"/>
    <w:rsid w:val="00EB6907"/>
    <w:rsid w:val="00EB69D7"/>
    <w:rsid w:val="00EB6AD0"/>
    <w:rsid w:val="00EB6BEE"/>
    <w:rsid w:val="00EB6C57"/>
    <w:rsid w:val="00EB6DB5"/>
    <w:rsid w:val="00EB6DFA"/>
    <w:rsid w:val="00EB7047"/>
    <w:rsid w:val="00EB70C5"/>
    <w:rsid w:val="00EB7115"/>
    <w:rsid w:val="00EB713D"/>
    <w:rsid w:val="00EB7165"/>
    <w:rsid w:val="00EB7254"/>
    <w:rsid w:val="00EB73EB"/>
    <w:rsid w:val="00EB74EB"/>
    <w:rsid w:val="00EB7581"/>
    <w:rsid w:val="00EB7608"/>
    <w:rsid w:val="00EB765B"/>
    <w:rsid w:val="00EB774F"/>
    <w:rsid w:val="00EB7806"/>
    <w:rsid w:val="00EB784F"/>
    <w:rsid w:val="00EB78A0"/>
    <w:rsid w:val="00EB7917"/>
    <w:rsid w:val="00EB7954"/>
    <w:rsid w:val="00EB798C"/>
    <w:rsid w:val="00EB7CA1"/>
    <w:rsid w:val="00EB7CB0"/>
    <w:rsid w:val="00EB7D09"/>
    <w:rsid w:val="00EB7D5A"/>
    <w:rsid w:val="00EB7DC5"/>
    <w:rsid w:val="00EB7DCE"/>
    <w:rsid w:val="00EB7E43"/>
    <w:rsid w:val="00EB7F72"/>
    <w:rsid w:val="00EC0004"/>
    <w:rsid w:val="00EC004D"/>
    <w:rsid w:val="00EC0334"/>
    <w:rsid w:val="00EC033B"/>
    <w:rsid w:val="00EC034F"/>
    <w:rsid w:val="00EC0416"/>
    <w:rsid w:val="00EC0458"/>
    <w:rsid w:val="00EC0463"/>
    <w:rsid w:val="00EC0491"/>
    <w:rsid w:val="00EC0536"/>
    <w:rsid w:val="00EC06D5"/>
    <w:rsid w:val="00EC0895"/>
    <w:rsid w:val="00EC08A2"/>
    <w:rsid w:val="00EC08AA"/>
    <w:rsid w:val="00EC09FD"/>
    <w:rsid w:val="00EC0A92"/>
    <w:rsid w:val="00EC0B6E"/>
    <w:rsid w:val="00EC0B8C"/>
    <w:rsid w:val="00EC0BDB"/>
    <w:rsid w:val="00EC0DD3"/>
    <w:rsid w:val="00EC0E97"/>
    <w:rsid w:val="00EC0EB3"/>
    <w:rsid w:val="00EC0F37"/>
    <w:rsid w:val="00EC1070"/>
    <w:rsid w:val="00EC1266"/>
    <w:rsid w:val="00EC12CB"/>
    <w:rsid w:val="00EC12E8"/>
    <w:rsid w:val="00EC137C"/>
    <w:rsid w:val="00EC140C"/>
    <w:rsid w:val="00EC148C"/>
    <w:rsid w:val="00EC14B7"/>
    <w:rsid w:val="00EC1516"/>
    <w:rsid w:val="00EC1564"/>
    <w:rsid w:val="00EC15A7"/>
    <w:rsid w:val="00EC15CE"/>
    <w:rsid w:val="00EC176A"/>
    <w:rsid w:val="00EC177A"/>
    <w:rsid w:val="00EC17AB"/>
    <w:rsid w:val="00EC17BD"/>
    <w:rsid w:val="00EC187E"/>
    <w:rsid w:val="00EC1911"/>
    <w:rsid w:val="00EC192E"/>
    <w:rsid w:val="00EC19A3"/>
    <w:rsid w:val="00EC19C4"/>
    <w:rsid w:val="00EC1A89"/>
    <w:rsid w:val="00EC1A92"/>
    <w:rsid w:val="00EC1AC5"/>
    <w:rsid w:val="00EC1B02"/>
    <w:rsid w:val="00EC1B08"/>
    <w:rsid w:val="00EC1CC9"/>
    <w:rsid w:val="00EC1D0E"/>
    <w:rsid w:val="00EC1F65"/>
    <w:rsid w:val="00EC200E"/>
    <w:rsid w:val="00EC2072"/>
    <w:rsid w:val="00EC20A3"/>
    <w:rsid w:val="00EC20BF"/>
    <w:rsid w:val="00EC2146"/>
    <w:rsid w:val="00EC2195"/>
    <w:rsid w:val="00EC2201"/>
    <w:rsid w:val="00EC22A3"/>
    <w:rsid w:val="00EC2404"/>
    <w:rsid w:val="00EC24CD"/>
    <w:rsid w:val="00EC25B3"/>
    <w:rsid w:val="00EC26D6"/>
    <w:rsid w:val="00EC27A2"/>
    <w:rsid w:val="00EC2810"/>
    <w:rsid w:val="00EC29AF"/>
    <w:rsid w:val="00EC29CC"/>
    <w:rsid w:val="00EC2A7B"/>
    <w:rsid w:val="00EC2AF7"/>
    <w:rsid w:val="00EC2B52"/>
    <w:rsid w:val="00EC2B96"/>
    <w:rsid w:val="00EC2BF9"/>
    <w:rsid w:val="00EC2C96"/>
    <w:rsid w:val="00EC2CFB"/>
    <w:rsid w:val="00EC2DEF"/>
    <w:rsid w:val="00EC3017"/>
    <w:rsid w:val="00EC3089"/>
    <w:rsid w:val="00EC308A"/>
    <w:rsid w:val="00EC3161"/>
    <w:rsid w:val="00EC3178"/>
    <w:rsid w:val="00EC3246"/>
    <w:rsid w:val="00EC33B7"/>
    <w:rsid w:val="00EC3790"/>
    <w:rsid w:val="00EC381E"/>
    <w:rsid w:val="00EC386A"/>
    <w:rsid w:val="00EC3968"/>
    <w:rsid w:val="00EC3A7C"/>
    <w:rsid w:val="00EC3B41"/>
    <w:rsid w:val="00EC3B74"/>
    <w:rsid w:val="00EC3CFA"/>
    <w:rsid w:val="00EC3F74"/>
    <w:rsid w:val="00EC3F78"/>
    <w:rsid w:val="00EC4153"/>
    <w:rsid w:val="00EC4450"/>
    <w:rsid w:val="00EC4481"/>
    <w:rsid w:val="00EC450C"/>
    <w:rsid w:val="00EC4594"/>
    <w:rsid w:val="00EC45EF"/>
    <w:rsid w:val="00EC45FE"/>
    <w:rsid w:val="00EC462D"/>
    <w:rsid w:val="00EC46E1"/>
    <w:rsid w:val="00EC4758"/>
    <w:rsid w:val="00EC48CB"/>
    <w:rsid w:val="00EC4974"/>
    <w:rsid w:val="00EC4A49"/>
    <w:rsid w:val="00EC4A9F"/>
    <w:rsid w:val="00EC4BC7"/>
    <w:rsid w:val="00EC4C53"/>
    <w:rsid w:val="00EC4DE0"/>
    <w:rsid w:val="00EC5059"/>
    <w:rsid w:val="00EC51C2"/>
    <w:rsid w:val="00EC532E"/>
    <w:rsid w:val="00EC5330"/>
    <w:rsid w:val="00EC5365"/>
    <w:rsid w:val="00EC54C6"/>
    <w:rsid w:val="00EC561B"/>
    <w:rsid w:val="00EC562B"/>
    <w:rsid w:val="00EC56C3"/>
    <w:rsid w:val="00EC5709"/>
    <w:rsid w:val="00EC5958"/>
    <w:rsid w:val="00EC5989"/>
    <w:rsid w:val="00EC5A6E"/>
    <w:rsid w:val="00EC5B04"/>
    <w:rsid w:val="00EC5C28"/>
    <w:rsid w:val="00EC5C46"/>
    <w:rsid w:val="00EC5C7A"/>
    <w:rsid w:val="00EC5C96"/>
    <w:rsid w:val="00EC5E15"/>
    <w:rsid w:val="00EC5E7B"/>
    <w:rsid w:val="00EC60BD"/>
    <w:rsid w:val="00EC62F2"/>
    <w:rsid w:val="00EC63E3"/>
    <w:rsid w:val="00EC6423"/>
    <w:rsid w:val="00EC6454"/>
    <w:rsid w:val="00EC6505"/>
    <w:rsid w:val="00EC6511"/>
    <w:rsid w:val="00EC6559"/>
    <w:rsid w:val="00EC65BD"/>
    <w:rsid w:val="00EC6739"/>
    <w:rsid w:val="00EC69DA"/>
    <w:rsid w:val="00EC6A7D"/>
    <w:rsid w:val="00EC6C3C"/>
    <w:rsid w:val="00EC6CE4"/>
    <w:rsid w:val="00EC6CFB"/>
    <w:rsid w:val="00EC6DF3"/>
    <w:rsid w:val="00EC6E99"/>
    <w:rsid w:val="00EC6EB3"/>
    <w:rsid w:val="00EC6EFE"/>
    <w:rsid w:val="00EC701C"/>
    <w:rsid w:val="00EC70AD"/>
    <w:rsid w:val="00EC7112"/>
    <w:rsid w:val="00EC726C"/>
    <w:rsid w:val="00EC72ED"/>
    <w:rsid w:val="00EC7366"/>
    <w:rsid w:val="00EC73E4"/>
    <w:rsid w:val="00EC742F"/>
    <w:rsid w:val="00EC74EE"/>
    <w:rsid w:val="00EC756E"/>
    <w:rsid w:val="00EC7629"/>
    <w:rsid w:val="00EC7682"/>
    <w:rsid w:val="00EC783B"/>
    <w:rsid w:val="00EC785F"/>
    <w:rsid w:val="00EC7911"/>
    <w:rsid w:val="00EC7923"/>
    <w:rsid w:val="00EC7A59"/>
    <w:rsid w:val="00EC7A7B"/>
    <w:rsid w:val="00EC7AAB"/>
    <w:rsid w:val="00EC7AAD"/>
    <w:rsid w:val="00EC7B06"/>
    <w:rsid w:val="00EC7C18"/>
    <w:rsid w:val="00EC7C29"/>
    <w:rsid w:val="00EC7C67"/>
    <w:rsid w:val="00EC7D1E"/>
    <w:rsid w:val="00EC7D60"/>
    <w:rsid w:val="00EC7F13"/>
    <w:rsid w:val="00ED0086"/>
    <w:rsid w:val="00ED00BA"/>
    <w:rsid w:val="00ED0163"/>
    <w:rsid w:val="00ED0183"/>
    <w:rsid w:val="00ED0291"/>
    <w:rsid w:val="00ED02AA"/>
    <w:rsid w:val="00ED037D"/>
    <w:rsid w:val="00ED03EE"/>
    <w:rsid w:val="00ED0556"/>
    <w:rsid w:val="00ED0638"/>
    <w:rsid w:val="00ED063F"/>
    <w:rsid w:val="00ED0748"/>
    <w:rsid w:val="00ED07C1"/>
    <w:rsid w:val="00ED08C6"/>
    <w:rsid w:val="00ED08CC"/>
    <w:rsid w:val="00ED0953"/>
    <w:rsid w:val="00ED0975"/>
    <w:rsid w:val="00ED09F2"/>
    <w:rsid w:val="00ED0A1E"/>
    <w:rsid w:val="00ED0A42"/>
    <w:rsid w:val="00ED0A4B"/>
    <w:rsid w:val="00ED0B2F"/>
    <w:rsid w:val="00ED0B63"/>
    <w:rsid w:val="00ED0B6C"/>
    <w:rsid w:val="00ED0BAF"/>
    <w:rsid w:val="00ED0BC3"/>
    <w:rsid w:val="00ED0BF4"/>
    <w:rsid w:val="00ED0D86"/>
    <w:rsid w:val="00ED0E86"/>
    <w:rsid w:val="00ED0EAE"/>
    <w:rsid w:val="00ED0ED4"/>
    <w:rsid w:val="00ED0F35"/>
    <w:rsid w:val="00ED1026"/>
    <w:rsid w:val="00ED1068"/>
    <w:rsid w:val="00ED1127"/>
    <w:rsid w:val="00ED14A8"/>
    <w:rsid w:val="00ED1530"/>
    <w:rsid w:val="00ED156B"/>
    <w:rsid w:val="00ED15F4"/>
    <w:rsid w:val="00ED1612"/>
    <w:rsid w:val="00ED1643"/>
    <w:rsid w:val="00ED167E"/>
    <w:rsid w:val="00ED1868"/>
    <w:rsid w:val="00ED1888"/>
    <w:rsid w:val="00ED18D5"/>
    <w:rsid w:val="00ED1A73"/>
    <w:rsid w:val="00ED1B9A"/>
    <w:rsid w:val="00ED1BFF"/>
    <w:rsid w:val="00ED1C09"/>
    <w:rsid w:val="00ED1C22"/>
    <w:rsid w:val="00ED1C76"/>
    <w:rsid w:val="00ED1CC4"/>
    <w:rsid w:val="00ED1D00"/>
    <w:rsid w:val="00ED1D3D"/>
    <w:rsid w:val="00ED1F55"/>
    <w:rsid w:val="00ED1FCA"/>
    <w:rsid w:val="00ED209E"/>
    <w:rsid w:val="00ED20DC"/>
    <w:rsid w:val="00ED21C4"/>
    <w:rsid w:val="00ED21DD"/>
    <w:rsid w:val="00ED2280"/>
    <w:rsid w:val="00ED22A2"/>
    <w:rsid w:val="00ED22CF"/>
    <w:rsid w:val="00ED231A"/>
    <w:rsid w:val="00ED2448"/>
    <w:rsid w:val="00ED246A"/>
    <w:rsid w:val="00ED2524"/>
    <w:rsid w:val="00ED2666"/>
    <w:rsid w:val="00ED275B"/>
    <w:rsid w:val="00ED288F"/>
    <w:rsid w:val="00ED29A3"/>
    <w:rsid w:val="00ED2A7A"/>
    <w:rsid w:val="00ED2C1E"/>
    <w:rsid w:val="00ED2C4C"/>
    <w:rsid w:val="00ED2C99"/>
    <w:rsid w:val="00ED2ECA"/>
    <w:rsid w:val="00ED2F87"/>
    <w:rsid w:val="00ED3084"/>
    <w:rsid w:val="00ED3090"/>
    <w:rsid w:val="00ED30A3"/>
    <w:rsid w:val="00ED30FF"/>
    <w:rsid w:val="00ED3177"/>
    <w:rsid w:val="00ED3230"/>
    <w:rsid w:val="00ED3268"/>
    <w:rsid w:val="00ED3378"/>
    <w:rsid w:val="00ED3428"/>
    <w:rsid w:val="00ED345D"/>
    <w:rsid w:val="00ED3517"/>
    <w:rsid w:val="00ED3591"/>
    <w:rsid w:val="00ED3615"/>
    <w:rsid w:val="00ED361E"/>
    <w:rsid w:val="00ED36D3"/>
    <w:rsid w:val="00ED3796"/>
    <w:rsid w:val="00ED39FD"/>
    <w:rsid w:val="00ED3A27"/>
    <w:rsid w:val="00ED3A4A"/>
    <w:rsid w:val="00ED3A8D"/>
    <w:rsid w:val="00ED3B4B"/>
    <w:rsid w:val="00ED3B6E"/>
    <w:rsid w:val="00ED3CAC"/>
    <w:rsid w:val="00ED3CDC"/>
    <w:rsid w:val="00ED3D5C"/>
    <w:rsid w:val="00ED3E1E"/>
    <w:rsid w:val="00ED3ED3"/>
    <w:rsid w:val="00ED3FDC"/>
    <w:rsid w:val="00ED40C0"/>
    <w:rsid w:val="00ED413C"/>
    <w:rsid w:val="00ED41B0"/>
    <w:rsid w:val="00ED4246"/>
    <w:rsid w:val="00ED42A1"/>
    <w:rsid w:val="00ED4366"/>
    <w:rsid w:val="00ED437D"/>
    <w:rsid w:val="00ED43A5"/>
    <w:rsid w:val="00ED4443"/>
    <w:rsid w:val="00ED44C0"/>
    <w:rsid w:val="00ED44FE"/>
    <w:rsid w:val="00ED455E"/>
    <w:rsid w:val="00ED4608"/>
    <w:rsid w:val="00ED472A"/>
    <w:rsid w:val="00ED4843"/>
    <w:rsid w:val="00ED484D"/>
    <w:rsid w:val="00ED48F0"/>
    <w:rsid w:val="00ED4924"/>
    <w:rsid w:val="00ED4942"/>
    <w:rsid w:val="00ED49BC"/>
    <w:rsid w:val="00ED4A50"/>
    <w:rsid w:val="00ED4A66"/>
    <w:rsid w:val="00ED4A9B"/>
    <w:rsid w:val="00ED4AF7"/>
    <w:rsid w:val="00ED4B19"/>
    <w:rsid w:val="00ED4B83"/>
    <w:rsid w:val="00ED4BA1"/>
    <w:rsid w:val="00ED4CD7"/>
    <w:rsid w:val="00ED4CF6"/>
    <w:rsid w:val="00ED4D46"/>
    <w:rsid w:val="00ED4DF8"/>
    <w:rsid w:val="00ED4EED"/>
    <w:rsid w:val="00ED4FEB"/>
    <w:rsid w:val="00ED5015"/>
    <w:rsid w:val="00ED50E6"/>
    <w:rsid w:val="00ED51E9"/>
    <w:rsid w:val="00ED53CD"/>
    <w:rsid w:val="00ED53EE"/>
    <w:rsid w:val="00ED548E"/>
    <w:rsid w:val="00ED550C"/>
    <w:rsid w:val="00ED562C"/>
    <w:rsid w:val="00ED5718"/>
    <w:rsid w:val="00ED5740"/>
    <w:rsid w:val="00ED57DC"/>
    <w:rsid w:val="00ED583E"/>
    <w:rsid w:val="00ED59F7"/>
    <w:rsid w:val="00ED5A57"/>
    <w:rsid w:val="00ED5ABA"/>
    <w:rsid w:val="00ED5B2A"/>
    <w:rsid w:val="00ED5BA4"/>
    <w:rsid w:val="00ED5BF8"/>
    <w:rsid w:val="00ED5CDA"/>
    <w:rsid w:val="00ED5D43"/>
    <w:rsid w:val="00ED5D6B"/>
    <w:rsid w:val="00ED5DED"/>
    <w:rsid w:val="00ED601A"/>
    <w:rsid w:val="00ED6056"/>
    <w:rsid w:val="00ED612C"/>
    <w:rsid w:val="00ED6183"/>
    <w:rsid w:val="00ED61E9"/>
    <w:rsid w:val="00ED6438"/>
    <w:rsid w:val="00ED6611"/>
    <w:rsid w:val="00ED6712"/>
    <w:rsid w:val="00ED676A"/>
    <w:rsid w:val="00ED6934"/>
    <w:rsid w:val="00ED6A8A"/>
    <w:rsid w:val="00ED6AED"/>
    <w:rsid w:val="00ED6B53"/>
    <w:rsid w:val="00ED6C3B"/>
    <w:rsid w:val="00ED6C3C"/>
    <w:rsid w:val="00ED6CDA"/>
    <w:rsid w:val="00ED6CE7"/>
    <w:rsid w:val="00ED6D82"/>
    <w:rsid w:val="00ED6DAF"/>
    <w:rsid w:val="00ED6E42"/>
    <w:rsid w:val="00ED6E49"/>
    <w:rsid w:val="00ED6EDF"/>
    <w:rsid w:val="00ED6FE5"/>
    <w:rsid w:val="00ED6FFB"/>
    <w:rsid w:val="00ED7028"/>
    <w:rsid w:val="00ED7050"/>
    <w:rsid w:val="00ED70CA"/>
    <w:rsid w:val="00ED71E6"/>
    <w:rsid w:val="00ED7232"/>
    <w:rsid w:val="00ED7381"/>
    <w:rsid w:val="00ED7389"/>
    <w:rsid w:val="00ED73DB"/>
    <w:rsid w:val="00ED7489"/>
    <w:rsid w:val="00ED7495"/>
    <w:rsid w:val="00ED7628"/>
    <w:rsid w:val="00ED7672"/>
    <w:rsid w:val="00ED76B9"/>
    <w:rsid w:val="00ED76C0"/>
    <w:rsid w:val="00ED76FF"/>
    <w:rsid w:val="00ED77DE"/>
    <w:rsid w:val="00ED7876"/>
    <w:rsid w:val="00ED79A2"/>
    <w:rsid w:val="00ED79F3"/>
    <w:rsid w:val="00ED7A2E"/>
    <w:rsid w:val="00ED7AE3"/>
    <w:rsid w:val="00ED7B50"/>
    <w:rsid w:val="00ED7C27"/>
    <w:rsid w:val="00ED7E01"/>
    <w:rsid w:val="00ED7F07"/>
    <w:rsid w:val="00ED7F2E"/>
    <w:rsid w:val="00ED7F8C"/>
    <w:rsid w:val="00EE0002"/>
    <w:rsid w:val="00EE024E"/>
    <w:rsid w:val="00EE026D"/>
    <w:rsid w:val="00EE0391"/>
    <w:rsid w:val="00EE0526"/>
    <w:rsid w:val="00EE0575"/>
    <w:rsid w:val="00EE05E5"/>
    <w:rsid w:val="00EE0610"/>
    <w:rsid w:val="00EE0696"/>
    <w:rsid w:val="00EE06A9"/>
    <w:rsid w:val="00EE0883"/>
    <w:rsid w:val="00EE09DC"/>
    <w:rsid w:val="00EE0AC4"/>
    <w:rsid w:val="00EE0B5D"/>
    <w:rsid w:val="00EE0BC4"/>
    <w:rsid w:val="00EE0BF6"/>
    <w:rsid w:val="00EE0C47"/>
    <w:rsid w:val="00EE0D0B"/>
    <w:rsid w:val="00EE0E01"/>
    <w:rsid w:val="00EE0E89"/>
    <w:rsid w:val="00EE0F03"/>
    <w:rsid w:val="00EE0F94"/>
    <w:rsid w:val="00EE0FFE"/>
    <w:rsid w:val="00EE102D"/>
    <w:rsid w:val="00EE1040"/>
    <w:rsid w:val="00EE12F9"/>
    <w:rsid w:val="00EE1380"/>
    <w:rsid w:val="00EE1442"/>
    <w:rsid w:val="00EE1469"/>
    <w:rsid w:val="00EE14C3"/>
    <w:rsid w:val="00EE152C"/>
    <w:rsid w:val="00EE1591"/>
    <w:rsid w:val="00EE15A1"/>
    <w:rsid w:val="00EE15BC"/>
    <w:rsid w:val="00EE180D"/>
    <w:rsid w:val="00EE1864"/>
    <w:rsid w:val="00EE18E5"/>
    <w:rsid w:val="00EE190E"/>
    <w:rsid w:val="00EE19B4"/>
    <w:rsid w:val="00EE1A06"/>
    <w:rsid w:val="00EE1A75"/>
    <w:rsid w:val="00EE1AF8"/>
    <w:rsid w:val="00EE1B0A"/>
    <w:rsid w:val="00EE1B46"/>
    <w:rsid w:val="00EE1D23"/>
    <w:rsid w:val="00EE1D51"/>
    <w:rsid w:val="00EE1D8C"/>
    <w:rsid w:val="00EE1DB7"/>
    <w:rsid w:val="00EE1DDB"/>
    <w:rsid w:val="00EE1E7F"/>
    <w:rsid w:val="00EE1F01"/>
    <w:rsid w:val="00EE1FC4"/>
    <w:rsid w:val="00EE2170"/>
    <w:rsid w:val="00EE21BB"/>
    <w:rsid w:val="00EE22B5"/>
    <w:rsid w:val="00EE246C"/>
    <w:rsid w:val="00EE2482"/>
    <w:rsid w:val="00EE256B"/>
    <w:rsid w:val="00EE25E3"/>
    <w:rsid w:val="00EE266F"/>
    <w:rsid w:val="00EE2839"/>
    <w:rsid w:val="00EE2874"/>
    <w:rsid w:val="00EE289B"/>
    <w:rsid w:val="00EE28CF"/>
    <w:rsid w:val="00EE2945"/>
    <w:rsid w:val="00EE297C"/>
    <w:rsid w:val="00EE29E3"/>
    <w:rsid w:val="00EE2A12"/>
    <w:rsid w:val="00EE2A80"/>
    <w:rsid w:val="00EE2D49"/>
    <w:rsid w:val="00EE2DCB"/>
    <w:rsid w:val="00EE2E9C"/>
    <w:rsid w:val="00EE2EAB"/>
    <w:rsid w:val="00EE2F8D"/>
    <w:rsid w:val="00EE2FB5"/>
    <w:rsid w:val="00EE2FBF"/>
    <w:rsid w:val="00EE2FED"/>
    <w:rsid w:val="00EE30A2"/>
    <w:rsid w:val="00EE3225"/>
    <w:rsid w:val="00EE339C"/>
    <w:rsid w:val="00EE3496"/>
    <w:rsid w:val="00EE34F2"/>
    <w:rsid w:val="00EE3515"/>
    <w:rsid w:val="00EE36A9"/>
    <w:rsid w:val="00EE36F8"/>
    <w:rsid w:val="00EE3756"/>
    <w:rsid w:val="00EE38DF"/>
    <w:rsid w:val="00EE3A94"/>
    <w:rsid w:val="00EE3A97"/>
    <w:rsid w:val="00EE3B65"/>
    <w:rsid w:val="00EE3C60"/>
    <w:rsid w:val="00EE3CCA"/>
    <w:rsid w:val="00EE3CF8"/>
    <w:rsid w:val="00EE3E35"/>
    <w:rsid w:val="00EE3EFD"/>
    <w:rsid w:val="00EE3F24"/>
    <w:rsid w:val="00EE3F61"/>
    <w:rsid w:val="00EE3F63"/>
    <w:rsid w:val="00EE4031"/>
    <w:rsid w:val="00EE408A"/>
    <w:rsid w:val="00EE4224"/>
    <w:rsid w:val="00EE42C3"/>
    <w:rsid w:val="00EE432B"/>
    <w:rsid w:val="00EE4436"/>
    <w:rsid w:val="00EE4454"/>
    <w:rsid w:val="00EE4459"/>
    <w:rsid w:val="00EE44B2"/>
    <w:rsid w:val="00EE4521"/>
    <w:rsid w:val="00EE475E"/>
    <w:rsid w:val="00EE47A1"/>
    <w:rsid w:val="00EE48F2"/>
    <w:rsid w:val="00EE499D"/>
    <w:rsid w:val="00EE49BF"/>
    <w:rsid w:val="00EE4A14"/>
    <w:rsid w:val="00EE4A2F"/>
    <w:rsid w:val="00EE4BC4"/>
    <w:rsid w:val="00EE4CBF"/>
    <w:rsid w:val="00EE4D23"/>
    <w:rsid w:val="00EE4D69"/>
    <w:rsid w:val="00EE4D77"/>
    <w:rsid w:val="00EE4DD5"/>
    <w:rsid w:val="00EE4F60"/>
    <w:rsid w:val="00EE502E"/>
    <w:rsid w:val="00EE50AC"/>
    <w:rsid w:val="00EE50BF"/>
    <w:rsid w:val="00EE5145"/>
    <w:rsid w:val="00EE5172"/>
    <w:rsid w:val="00EE5343"/>
    <w:rsid w:val="00EE54ED"/>
    <w:rsid w:val="00EE5534"/>
    <w:rsid w:val="00EE558D"/>
    <w:rsid w:val="00EE55D6"/>
    <w:rsid w:val="00EE568F"/>
    <w:rsid w:val="00EE56AF"/>
    <w:rsid w:val="00EE56EC"/>
    <w:rsid w:val="00EE57EE"/>
    <w:rsid w:val="00EE5808"/>
    <w:rsid w:val="00EE58F7"/>
    <w:rsid w:val="00EE5907"/>
    <w:rsid w:val="00EE594E"/>
    <w:rsid w:val="00EE5CE9"/>
    <w:rsid w:val="00EE5DE7"/>
    <w:rsid w:val="00EE5E5D"/>
    <w:rsid w:val="00EE5EA0"/>
    <w:rsid w:val="00EE5EBF"/>
    <w:rsid w:val="00EE5F6D"/>
    <w:rsid w:val="00EE5F8B"/>
    <w:rsid w:val="00EE60BC"/>
    <w:rsid w:val="00EE6169"/>
    <w:rsid w:val="00EE6170"/>
    <w:rsid w:val="00EE61BB"/>
    <w:rsid w:val="00EE6216"/>
    <w:rsid w:val="00EE627D"/>
    <w:rsid w:val="00EE62FC"/>
    <w:rsid w:val="00EE6400"/>
    <w:rsid w:val="00EE655E"/>
    <w:rsid w:val="00EE6569"/>
    <w:rsid w:val="00EE662C"/>
    <w:rsid w:val="00EE66DF"/>
    <w:rsid w:val="00EE6749"/>
    <w:rsid w:val="00EE679D"/>
    <w:rsid w:val="00EE67F4"/>
    <w:rsid w:val="00EE691A"/>
    <w:rsid w:val="00EE692B"/>
    <w:rsid w:val="00EE6994"/>
    <w:rsid w:val="00EE69FA"/>
    <w:rsid w:val="00EE6C2A"/>
    <w:rsid w:val="00EE6C4B"/>
    <w:rsid w:val="00EE6DE6"/>
    <w:rsid w:val="00EE6ED2"/>
    <w:rsid w:val="00EE6F23"/>
    <w:rsid w:val="00EE6F93"/>
    <w:rsid w:val="00EE6FEB"/>
    <w:rsid w:val="00EE703B"/>
    <w:rsid w:val="00EE7043"/>
    <w:rsid w:val="00EE7160"/>
    <w:rsid w:val="00EE73D1"/>
    <w:rsid w:val="00EE7473"/>
    <w:rsid w:val="00EE74F8"/>
    <w:rsid w:val="00EE7538"/>
    <w:rsid w:val="00EE75A8"/>
    <w:rsid w:val="00EE75C6"/>
    <w:rsid w:val="00EE75ED"/>
    <w:rsid w:val="00EE765B"/>
    <w:rsid w:val="00EE766A"/>
    <w:rsid w:val="00EE7843"/>
    <w:rsid w:val="00EE7943"/>
    <w:rsid w:val="00EE796E"/>
    <w:rsid w:val="00EE7ACB"/>
    <w:rsid w:val="00EE7BB2"/>
    <w:rsid w:val="00EE7C70"/>
    <w:rsid w:val="00EE7CC7"/>
    <w:rsid w:val="00EE7D1A"/>
    <w:rsid w:val="00EE7E0E"/>
    <w:rsid w:val="00EE7EF6"/>
    <w:rsid w:val="00EE7F33"/>
    <w:rsid w:val="00EE7FD5"/>
    <w:rsid w:val="00EF006A"/>
    <w:rsid w:val="00EF01CD"/>
    <w:rsid w:val="00EF01E4"/>
    <w:rsid w:val="00EF0248"/>
    <w:rsid w:val="00EF03A5"/>
    <w:rsid w:val="00EF03BF"/>
    <w:rsid w:val="00EF03D4"/>
    <w:rsid w:val="00EF0501"/>
    <w:rsid w:val="00EF0589"/>
    <w:rsid w:val="00EF062B"/>
    <w:rsid w:val="00EF0679"/>
    <w:rsid w:val="00EF0697"/>
    <w:rsid w:val="00EF0701"/>
    <w:rsid w:val="00EF0723"/>
    <w:rsid w:val="00EF0893"/>
    <w:rsid w:val="00EF0987"/>
    <w:rsid w:val="00EF09CC"/>
    <w:rsid w:val="00EF0AAF"/>
    <w:rsid w:val="00EF0BF7"/>
    <w:rsid w:val="00EF0BF8"/>
    <w:rsid w:val="00EF0C1D"/>
    <w:rsid w:val="00EF0CEA"/>
    <w:rsid w:val="00EF0E0C"/>
    <w:rsid w:val="00EF0ED2"/>
    <w:rsid w:val="00EF10A5"/>
    <w:rsid w:val="00EF1204"/>
    <w:rsid w:val="00EF1258"/>
    <w:rsid w:val="00EF12F2"/>
    <w:rsid w:val="00EF135C"/>
    <w:rsid w:val="00EF13A7"/>
    <w:rsid w:val="00EF1545"/>
    <w:rsid w:val="00EF154E"/>
    <w:rsid w:val="00EF15DD"/>
    <w:rsid w:val="00EF195E"/>
    <w:rsid w:val="00EF197A"/>
    <w:rsid w:val="00EF1AD9"/>
    <w:rsid w:val="00EF1B13"/>
    <w:rsid w:val="00EF1F45"/>
    <w:rsid w:val="00EF1FA1"/>
    <w:rsid w:val="00EF1FB1"/>
    <w:rsid w:val="00EF2042"/>
    <w:rsid w:val="00EF21C4"/>
    <w:rsid w:val="00EF21E9"/>
    <w:rsid w:val="00EF22CF"/>
    <w:rsid w:val="00EF22D6"/>
    <w:rsid w:val="00EF242D"/>
    <w:rsid w:val="00EF24EB"/>
    <w:rsid w:val="00EF252A"/>
    <w:rsid w:val="00EF25B3"/>
    <w:rsid w:val="00EF265E"/>
    <w:rsid w:val="00EF26B1"/>
    <w:rsid w:val="00EF2852"/>
    <w:rsid w:val="00EF2927"/>
    <w:rsid w:val="00EF2938"/>
    <w:rsid w:val="00EF2987"/>
    <w:rsid w:val="00EF2A24"/>
    <w:rsid w:val="00EF2A44"/>
    <w:rsid w:val="00EF2C8D"/>
    <w:rsid w:val="00EF2CC8"/>
    <w:rsid w:val="00EF2EB6"/>
    <w:rsid w:val="00EF2F63"/>
    <w:rsid w:val="00EF314F"/>
    <w:rsid w:val="00EF318D"/>
    <w:rsid w:val="00EF31C0"/>
    <w:rsid w:val="00EF327B"/>
    <w:rsid w:val="00EF349A"/>
    <w:rsid w:val="00EF3504"/>
    <w:rsid w:val="00EF350B"/>
    <w:rsid w:val="00EF3510"/>
    <w:rsid w:val="00EF353C"/>
    <w:rsid w:val="00EF354F"/>
    <w:rsid w:val="00EF35C9"/>
    <w:rsid w:val="00EF36AF"/>
    <w:rsid w:val="00EF36B5"/>
    <w:rsid w:val="00EF3738"/>
    <w:rsid w:val="00EF37E5"/>
    <w:rsid w:val="00EF380E"/>
    <w:rsid w:val="00EF3918"/>
    <w:rsid w:val="00EF39F9"/>
    <w:rsid w:val="00EF3A5D"/>
    <w:rsid w:val="00EF3C47"/>
    <w:rsid w:val="00EF3D65"/>
    <w:rsid w:val="00EF3E58"/>
    <w:rsid w:val="00EF3F06"/>
    <w:rsid w:val="00EF3F27"/>
    <w:rsid w:val="00EF3FB3"/>
    <w:rsid w:val="00EF3FD3"/>
    <w:rsid w:val="00EF40B3"/>
    <w:rsid w:val="00EF4166"/>
    <w:rsid w:val="00EF42E7"/>
    <w:rsid w:val="00EF4308"/>
    <w:rsid w:val="00EF4333"/>
    <w:rsid w:val="00EF441A"/>
    <w:rsid w:val="00EF4481"/>
    <w:rsid w:val="00EF4482"/>
    <w:rsid w:val="00EF457C"/>
    <w:rsid w:val="00EF45DD"/>
    <w:rsid w:val="00EF46CC"/>
    <w:rsid w:val="00EF47A0"/>
    <w:rsid w:val="00EF4805"/>
    <w:rsid w:val="00EF4848"/>
    <w:rsid w:val="00EF4B08"/>
    <w:rsid w:val="00EF4C21"/>
    <w:rsid w:val="00EF4CBB"/>
    <w:rsid w:val="00EF4D34"/>
    <w:rsid w:val="00EF4D3C"/>
    <w:rsid w:val="00EF4DE0"/>
    <w:rsid w:val="00EF4E34"/>
    <w:rsid w:val="00EF5088"/>
    <w:rsid w:val="00EF5193"/>
    <w:rsid w:val="00EF51B9"/>
    <w:rsid w:val="00EF51CC"/>
    <w:rsid w:val="00EF51ED"/>
    <w:rsid w:val="00EF522C"/>
    <w:rsid w:val="00EF53D5"/>
    <w:rsid w:val="00EF54AE"/>
    <w:rsid w:val="00EF556C"/>
    <w:rsid w:val="00EF55CD"/>
    <w:rsid w:val="00EF5744"/>
    <w:rsid w:val="00EF57AE"/>
    <w:rsid w:val="00EF5834"/>
    <w:rsid w:val="00EF5917"/>
    <w:rsid w:val="00EF5A78"/>
    <w:rsid w:val="00EF5B95"/>
    <w:rsid w:val="00EF5C42"/>
    <w:rsid w:val="00EF5C7D"/>
    <w:rsid w:val="00EF5D5D"/>
    <w:rsid w:val="00EF5DD3"/>
    <w:rsid w:val="00EF5EEE"/>
    <w:rsid w:val="00EF5F9A"/>
    <w:rsid w:val="00EF5FED"/>
    <w:rsid w:val="00EF60E0"/>
    <w:rsid w:val="00EF6244"/>
    <w:rsid w:val="00EF6297"/>
    <w:rsid w:val="00EF64F0"/>
    <w:rsid w:val="00EF67C7"/>
    <w:rsid w:val="00EF69D2"/>
    <w:rsid w:val="00EF6AB1"/>
    <w:rsid w:val="00EF6AC3"/>
    <w:rsid w:val="00EF6BEC"/>
    <w:rsid w:val="00EF6C6E"/>
    <w:rsid w:val="00EF6ECB"/>
    <w:rsid w:val="00EF6F9C"/>
    <w:rsid w:val="00EF6FCA"/>
    <w:rsid w:val="00EF6FE2"/>
    <w:rsid w:val="00EF70E1"/>
    <w:rsid w:val="00EF71E1"/>
    <w:rsid w:val="00EF7280"/>
    <w:rsid w:val="00EF72F7"/>
    <w:rsid w:val="00EF7347"/>
    <w:rsid w:val="00EF746F"/>
    <w:rsid w:val="00EF7566"/>
    <w:rsid w:val="00EF756D"/>
    <w:rsid w:val="00EF7624"/>
    <w:rsid w:val="00EF76E1"/>
    <w:rsid w:val="00EF774E"/>
    <w:rsid w:val="00EF77BE"/>
    <w:rsid w:val="00EF77D3"/>
    <w:rsid w:val="00EF784D"/>
    <w:rsid w:val="00EF7A61"/>
    <w:rsid w:val="00EF7B06"/>
    <w:rsid w:val="00EF7BE5"/>
    <w:rsid w:val="00EF7D35"/>
    <w:rsid w:val="00EF7DBC"/>
    <w:rsid w:val="00EF7E23"/>
    <w:rsid w:val="00F0005A"/>
    <w:rsid w:val="00F00089"/>
    <w:rsid w:val="00F001ED"/>
    <w:rsid w:val="00F00241"/>
    <w:rsid w:val="00F00249"/>
    <w:rsid w:val="00F0033E"/>
    <w:rsid w:val="00F00454"/>
    <w:rsid w:val="00F0046A"/>
    <w:rsid w:val="00F00560"/>
    <w:rsid w:val="00F0057B"/>
    <w:rsid w:val="00F0059D"/>
    <w:rsid w:val="00F005A7"/>
    <w:rsid w:val="00F005FC"/>
    <w:rsid w:val="00F00667"/>
    <w:rsid w:val="00F00691"/>
    <w:rsid w:val="00F007C7"/>
    <w:rsid w:val="00F0092F"/>
    <w:rsid w:val="00F0094A"/>
    <w:rsid w:val="00F0096A"/>
    <w:rsid w:val="00F0098A"/>
    <w:rsid w:val="00F00A82"/>
    <w:rsid w:val="00F00A9A"/>
    <w:rsid w:val="00F00B56"/>
    <w:rsid w:val="00F00B62"/>
    <w:rsid w:val="00F00B7B"/>
    <w:rsid w:val="00F00C21"/>
    <w:rsid w:val="00F00D24"/>
    <w:rsid w:val="00F00D5E"/>
    <w:rsid w:val="00F00D64"/>
    <w:rsid w:val="00F00D80"/>
    <w:rsid w:val="00F00D99"/>
    <w:rsid w:val="00F00DB0"/>
    <w:rsid w:val="00F00DEC"/>
    <w:rsid w:val="00F00F00"/>
    <w:rsid w:val="00F00FF1"/>
    <w:rsid w:val="00F00FFE"/>
    <w:rsid w:val="00F01055"/>
    <w:rsid w:val="00F010F9"/>
    <w:rsid w:val="00F01137"/>
    <w:rsid w:val="00F0117D"/>
    <w:rsid w:val="00F0125C"/>
    <w:rsid w:val="00F01299"/>
    <w:rsid w:val="00F012AB"/>
    <w:rsid w:val="00F01392"/>
    <w:rsid w:val="00F013A6"/>
    <w:rsid w:val="00F01435"/>
    <w:rsid w:val="00F01580"/>
    <w:rsid w:val="00F01647"/>
    <w:rsid w:val="00F01768"/>
    <w:rsid w:val="00F0180D"/>
    <w:rsid w:val="00F01828"/>
    <w:rsid w:val="00F01978"/>
    <w:rsid w:val="00F01993"/>
    <w:rsid w:val="00F019F2"/>
    <w:rsid w:val="00F019F8"/>
    <w:rsid w:val="00F01A66"/>
    <w:rsid w:val="00F01B0F"/>
    <w:rsid w:val="00F01B93"/>
    <w:rsid w:val="00F01C02"/>
    <w:rsid w:val="00F01C56"/>
    <w:rsid w:val="00F01C87"/>
    <w:rsid w:val="00F01CCD"/>
    <w:rsid w:val="00F01CE1"/>
    <w:rsid w:val="00F01D24"/>
    <w:rsid w:val="00F01F02"/>
    <w:rsid w:val="00F01F99"/>
    <w:rsid w:val="00F01FAA"/>
    <w:rsid w:val="00F01FF9"/>
    <w:rsid w:val="00F020E6"/>
    <w:rsid w:val="00F02285"/>
    <w:rsid w:val="00F022A5"/>
    <w:rsid w:val="00F02540"/>
    <w:rsid w:val="00F02557"/>
    <w:rsid w:val="00F0256E"/>
    <w:rsid w:val="00F0262D"/>
    <w:rsid w:val="00F02662"/>
    <w:rsid w:val="00F02772"/>
    <w:rsid w:val="00F02899"/>
    <w:rsid w:val="00F028FA"/>
    <w:rsid w:val="00F0296F"/>
    <w:rsid w:val="00F0297E"/>
    <w:rsid w:val="00F029B3"/>
    <w:rsid w:val="00F02A06"/>
    <w:rsid w:val="00F02A33"/>
    <w:rsid w:val="00F02B04"/>
    <w:rsid w:val="00F02C34"/>
    <w:rsid w:val="00F02D11"/>
    <w:rsid w:val="00F02F88"/>
    <w:rsid w:val="00F03111"/>
    <w:rsid w:val="00F0323F"/>
    <w:rsid w:val="00F033CF"/>
    <w:rsid w:val="00F03595"/>
    <w:rsid w:val="00F0363C"/>
    <w:rsid w:val="00F0371B"/>
    <w:rsid w:val="00F03759"/>
    <w:rsid w:val="00F037C3"/>
    <w:rsid w:val="00F03AF7"/>
    <w:rsid w:val="00F03C73"/>
    <w:rsid w:val="00F03CA3"/>
    <w:rsid w:val="00F03CF3"/>
    <w:rsid w:val="00F03D2E"/>
    <w:rsid w:val="00F03D8B"/>
    <w:rsid w:val="00F03D96"/>
    <w:rsid w:val="00F03DF1"/>
    <w:rsid w:val="00F03E96"/>
    <w:rsid w:val="00F03F13"/>
    <w:rsid w:val="00F03F5E"/>
    <w:rsid w:val="00F04018"/>
    <w:rsid w:val="00F041F2"/>
    <w:rsid w:val="00F041F4"/>
    <w:rsid w:val="00F045E7"/>
    <w:rsid w:val="00F04610"/>
    <w:rsid w:val="00F04621"/>
    <w:rsid w:val="00F046E3"/>
    <w:rsid w:val="00F04806"/>
    <w:rsid w:val="00F0481E"/>
    <w:rsid w:val="00F048A0"/>
    <w:rsid w:val="00F049CF"/>
    <w:rsid w:val="00F04B8B"/>
    <w:rsid w:val="00F04BD4"/>
    <w:rsid w:val="00F04C33"/>
    <w:rsid w:val="00F04CC8"/>
    <w:rsid w:val="00F04DD2"/>
    <w:rsid w:val="00F04E81"/>
    <w:rsid w:val="00F04E8E"/>
    <w:rsid w:val="00F04FBE"/>
    <w:rsid w:val="00F04FD6"/>
    <w:rsid w:val="00F050ED"/>
    <w:rsid w:val="00F051BE"/>
    <w:rsid w:val="00F05218"/>
    <w:rsid w:val="00F0537F"/>
    <w:rsid w:val="00F054DD"/>
    <w:rsid w:val="00F05595"/>
    <w:rsid w:val="00F05804"/>
    <w:rsid w:val="00F05882"/>
    <w:rsid w:val="00F058F2"/>
    <w:rsid w:val="00F0590F"/>
    <w:rsid w:val="00F05A26"/>
    <w:rsid w:val="00F05B01"/>
    <w:rsid w:val="00F05B93"/>
    <w:rsid w:val="00F05CDE"/>
    <w:rsid w:val="00F05EF2"/>
    <w:rsid w:val="00F05F0E"/>
    <w:rsid w:val="00F06104"/>
    <w:rsid w:val="00F06111"/>
    <w:rsid w:val="00F06200"/>
    <w:rsid w:val="00F06202"/>
    <w:rsid w:val="00F06435"/>
    <w:rsid w:val="00F06454"/>
    <w:rsid w:val="00F064A7"/>
    <w:rsid w:val="00F06531"/>
    <w:rsid w:val="00F066E3"/>
    <w:rsid w:val="00F0685C"/>
    <w:rsid w:val="00F06961"/>
    <w:rsid w:val="00F06A3C"/>
    <w:rsid w:val="00F06B39"/>
    <w:rsid w:val="00F06BF5"/>
    <w:rsid w:val="00F06DF3"/>
    <w:rsid w:val="00F06E2F"/>
    <w:rsid w:val="00F0707F"/>
    <w:rsid w:val="00F0708C"/>
    <w:rsid w:val="00F070C3"/>
    <w:rsid w:val="00F074D2"/>
    <w:rsid w:val="00F07505"/>
    <w:rsid w:val="00F0779C"/>
    <w:rsid w:val="00F078E2"/>
    <w:rsid w:val="00F0790E"/>
    <w:rsid w:val="00F07997"/>
    <w:rsid w:val="00F079AA"/>
    <w:rsid w:val="00F07A67"/>
    <w:rsid w:val="00F07A87"/>
    <w:rsid w:val="00F07B66"/>
    <w:rsid w:val="00F07C86"/>
    <w:rsid w:val="00F07C9E"/>
    <w:rsid w:val="00F07DCA"/>
    <w:rsid w:val="00F10087"/>
    <w:rsid w:val="00F100DB"/>
    <w:rsid w:val="00F1015E"/>
    <w:rsid w:val="00F101B9"/>
    <w:rsid w:val="00F10200"/>
    <w:rsid w:val="00F1022F"/>
    <w:rsid w:val="00F10273"/>
    <w:rsid w:val="00F1027F"/>
    <w:rsid w:val="00F103F9"/>
    <w:rsid w:val="00F1066F"/>
    <w:rsid w:val="00F1072C"/>
    <w:rsid w:val="00F10777"/>
    <w:rsid w:val="00F107A1"/>
    <w:rsid w:val="00F107D6"/>
    <w:rsid w:val="00F10804"/>
    <w:rsid w:val="00F10815"/>
    <w:rsid w:val="00F1085A"/>
    <w:rsid w:val="00F10919"/>
    <w:rsid w:val="00F10962"/>
    <w:rsid w:val="00F109F6"/>
    <w:rsid w:val="00F10B41"/>
    <w:rsid w:val="00F10B8D"/>
    <w:rsid w:val="00F10CA0"/>
    <w:rsid w:val="00F10D7E"/>
    <w:rsid w:val="00F10DD3"/>
    <w:rsid w:val="00F10E06"/>
    <w:rsid w:val="00F10E98"/>
    <w:rsid w:val="00F10EAC"/>
    <w:rsid w:val="00F10EC5"/>
    <w:rsid w:val="00F10F05"/>
    <w:rsid w:val="00F10F12"/>
    <w:rsid w:val="00F1104C"/>
    <w:rsid w:val="00F11346"/>
    <w:rsid w:val="00F1139A"/>
    <w:rsid w:val="00F113CA"/>
    <w:rsid w:val="00F1148E"/>
    <w:rsid w:val="00F115E4"/>
    <w:rsid w:val="00F11601"/>
    <w:rsid w:val="00F11761"/>
    <w:rsid w:val="00F11786"/>
    <w:rsid w:val="00F11817"/>
    <w:rsid w:val="00F11819"/>
    <w:rsid w:val="00F11897"/>
    <w:rsid w:val="00F11914"/>
    <w:rsid w:val="00F1191C"/>
    <w:rsid w:val="00F11970"/>
    <w:rsid w:val="00F11984"/>
    <w:rsid w:val="00F119A8"/>
    <w:rsid w:val="00F11AF1"/>
    <w:rsid w:val="00F11C17"/>
    <w:rsid w:val="00F11C24"/>
    <w:rsid w:val="00F11CCF"/>
    <w:rsid w:val="00F11D58"/>
    <w:rsid w:val="00F11D90"/>
    <w:rsid w:val="00F11E4F"/>
    <w:rsid w:val="00F11ED6"/>
    <w:rsid w:val="00F11EE8"/>
    <w:rsid w:val="00F12241"/>
    <w:rsid w:val="00F12275"/>
    <w:rsid w:val="00F12386"/>
    <w:rsid w:val="00F1245D"/>
    <w:rsid w:val="00F12483"/>
    <w:rsid w:val="00F124FB"/>
    <w:rsid w:val="00F12587"/>
    <w:rsid w:val="00F1260E"/>
    <w:rsid w:val="00F126CE"/>
    <w:rsid w:val="00F1271B"/>
    <w:rsid w:val="00F1274A"/>
    <w:rsid w:val="00F128EB"/>
    <w:rsid w:val="00F12943"/>
    <w:rsid w:val="00F129A1"/>
    <w:rsid w:val="00F12A7A"/>
    <w:rsid w:val="00F12D15"/>
    <w:rsid w:val="00F12D5D"/>
    <w:rsid w:val="00F12FD5"/>
    <w:rsid w:val="00F12FF0"/>
    <w:rsid w:val="00F130A5"/>
    <w:rsid w:val="00F1310F"/>
    <w:rsid w:val="00F131B2"/>
    <w:rsid w:val="00F13226"/>
    <w:rsid w:val="00F133BB"/>
    <w:rsid w:val="00F133E8"/>
    <w:rsid w:val="00F135C5"/>
    <w:rsid w:val="00F13702"/>
    <w:rsid w:val="00F137E6"/>
    <w:rsid w:val="00F1383B"/>
    <w:rsid w:val="00F13840"/>
    <w:rsid w:val="00F138B5"/>
    <w:rsid w:val="00F13992"/>
    <w:rsid w:val="00F139B7"/>
    <w:rsid w:val="00F13B24"/>
    <w:rsid w:val="00F13C1D"/>
    <w:rsid w:val="00F13CA6"/>
    <w:rsid w:val="00F13D03"/>
    <w:rsid w:val="00F13F0A"/>
    <w:rsid w:val="00F13FD5"/>
    <w:rsid w:val="00F13FE8"/>
    <w:rsid w:val="00F140B9"/>
    <w:rsid w:val="00F1415F"/>
    <w:rsid w:val="00F141DF"/>
    <w:rsid w:val="00F1435D"/>
    <w:rsid w:val="00F144DE"/>
    <w:rsid w:val="00F1462E"/>
    <w:rsid w:val="00F14694"/>
    <w:rsid w:val="00F146C2"/>
    <w:rsid w:val="00F147CC"/>
    <w:rsid w:val="00F1481E"/>
    <w:rsid w:val="00F14A3B"/>
    <w:rsid w:val="00F14B16"/>
    <w:rsid w:val="00F14C00"/>
    <w:rsid w:val="00F14C3D"/>
    <w:rsid w:val="00F14CB8"/>
    <w:rsid w:val="00F14D4C"/>
    <w:rsid w:val="00F14E06"/>
    <w:rsid w:val="00F14E6C"/>
    <w:rsid w:val="00F14FAF"/>
    <w:rsid w:val="00F14FD9"/>
    <w:rsid w:val="00F15018"/>
    <w:rsid w:val="00F150F9"/>
    <w:rsid w:val="00F151AF"/>
    <w:rsid w:val="00F15306"/>
    <w:rsid w:val="00F1534F"/>
    <w:rsid w:val="00F15379"/>
    <w:rsid w:val="00F15395"/>
    <w:rsid w:val="00F153AD"/>
    <w:rsid w:val="00F15662"/>
    <w:rsid w:val="00F1573A"/>
    <w:rsid w:val="00F15742"/>
    <w:rsid w:val="00F1579C"/>
    <w:rsid w:val="00F157B1"/>
    <w:rsid w:val="00F1585F"/>
    <w:rsid w:val="00F15918"/>
    <w:rsid w:val="00F15949"/>
    <w:rsid w:val="00F159CB"/>
    <w:rsid w:val="00F159D6"/>
    <w:rsid w:val="00F15AC8"/>
    <w:rsid w:val="00F15BD0"/>
    <w:rsid w:val="00F15C70"/>
    <w:rsid w:val="00F15D00"/>
    <w:rsid w:val="00F15EC5"/>
    <w:rsid w:val="00F15ECE"/>
    <w:rsid w:val="00F15F55"/>
    <w:rsid w:val="00F15FFA"/>
    <w:rsid w:val="00F16040"/>
    <w:rsid w:val="00F1626E"/>
    <w:rsid w:val="00F16342"/>
    <w:rsid w:val="00F16344"/>
    <w:rsid w:val="00F163AF"/>
    <w:rsid w:val="00F163BE"/>
    <w:rsid w:val="00F165FC"/>
    <w:rsid w:val="00F16634"/>
    <w:rsid w:val="00F166BC"/>
    <w:rsid w:val="00F16746"/>
    <w:rsid w:val="00F167EB"/>
    <w:rsid w:val="00F16AC4"/>
    <w:rsid w:val="00F16B44"/>
    <w:rsid w:val="00F16B59"/>
    <w:rsid w:val="00F16BB7"/>
    <w:rsid w:val="00F16C37"/>
    <w:rsid w:val="00F16DE2"/>
    <w:rsid w:val="00F16F2B"/>
    <w:rsid w:val="00F170BA"/>
    <w:rsid w:val="00F170BF"/>
    <w:rsid w:val="00F17165"/>
    <w:rsid w:val="00F1732F"/>
    <w:rsid w:val="00F17358"/>
    <w:rsid w:val="00F17491"/>
    <w:rsid w:val="00F1751E"/>
    <w:rsid w:val="00F17535"/>
    <w:rsid w:val="00F176AC"/>
    <w:rsid w:val="00F1789B"/>
    <w:rsid w:val="00F17934"/>
    <w:rsid w:val="00F17BBF"/>
    <w:rsid w:val="00F17C3A"/>
    <w:rsid w:val="00F17E90"/>
    <w:rsid w:val="00F17EFC"/>
    <w:rsid w:val="00F2002D"/>
    <w:rsid w:val="00F2003A"/>
    <w:rsid w:val="00F20302"/>
    <w:rsid w:val="00F204B1"/>
    <w:rsid w:val="00F204D0"/>
    <w:rsid w:val="00F20651"/>
    <w:rsid w:val="00F20784"/>
    <w:rsid w:val="00F2081F"/>
    <w:rsid w:val="00F2083E"/>
    <w:rsid w:val="00F20906"/>
    <w:rsid w:val="00F20A8C"/>
    <w:rsid w:val="00F20A99"/>
    <w:rsid w:val="00F20AEE"/>
    <w:rsid w:val="00F20B2B"/>
    <w:rsid w:val="00F20C5B"/>
    <w:rsid w:val="00F20C74"/>
    <w:rsid w:val="00F20CAC"/>
    <w:rsid w:val="00F20D55"/>
    <w:rsid w:val="00F20E4B"/>
    <w:rsid w:val="00F20F8D"/>
    <w:rsid w:val="00F2111C"/>
    <w:rsid w:val="00F211B0"/>
    <w:rsid w:val="00F21401"/>
    <w:rsid w:val="00F214D5"/>
    <w:rsid w:val="00F21577"/>
    <w:rsid w:val="00F2157E"/>
    <w:rsid w:val="00F2158D"/>
    <w:rsid w:val="00F21594"/>
    <w:rsid w:val="00F215A2"/>
    <w:rsid w:val="00F2190F"/>
    <w:rsid w:val="00F21918"/>
    <w:rsid w:val="00F219BB"/>
    <w:rsid w:val="00F219DC"/>
    <w:rsid w:val="00F219E5"/>
    <w:rsid w:val="00F21CAB"/>
    <w:rsid w:val="00F21CBF"/>
    <w:rsid w:val="00F21F25"/>
    <w:rsid w:val="00F21F6F"/>
    <w:rsid w:val="00F2218C"/>
    <w:rsid w:val="00F2232A"/>
    <w:rsid w:val="00F22333"/>
    <w:rsid w:val="00F22362"/>
    <w:rsid w:val="00F223C3"/>
    <w:rsid w:val="00F224CF"/>
    <w:rsid w:val="00F22510"/>
    <w:rsid w:val="00F22578"/>
    <w:rsid w:val="00F226E8"/>
    <w:rsid w:val="00F228F1"/>
    <w:rsid w:val="00F22912"/>
    <w:rsid w:val="00F229A1"/>
    <w:rsid w:val="00F229F7"/>
    <w:rsid w:val="00F22A53"/>
    <w:rsid w:val="00F22A99"/>
    <w:rsid w:val="00F22B51"/>
    <w:rsid w:val="00F22BA9"/>
    <w:rsid w:val="00F22BCC"/>
    <w:rsid w:val="00F22CA1"/>
    <w:rsid w:val="00F22DF4"/>
    <w:rsid w:val="00F22E51"/>
    <w:rsid w:val="00F22E80"/>
    <w:rsid w:val="00F22F8A"/>
    <w:rsid w:val="00F22FCC"/>
    <w:rsid w:val="00F23027"/>
    <w:rsid w:val="00F23048"/>
    <w:rsid w:val="00F230A3"/>
    <w:rsid w:val="00F23121"/>
    <w:rsid w:val="00F231FC"/>
    <w:rsid w:val="00F232C7"/>
    <w:rsid w:val="00F2334A"/>
    <w:rsid w:val="00F233A0"/>
    <w:rsid w:val="00F233EC"/>
    <w:rsid w:val="00F2347A"/>
    <w:rsid w:val="00F23520"/>
    <w:rsid w:val="00F2353E"/>
    <w:rsid w:val="00F235ED"/>
    <w:rsid w:val="00F23740"/>
    <w:rsid w:val="00F23763"/>
    <w:rsid w:val="00F238C0"/>
    <w:rsid w:val="00F239D6"/>
    <w:rsid w:val="00F239F2"/>
    <w:rsid w:val="00F23B15"/>
    <w:rsid w:val="00F23B2A"/>
    <w:rsid w:val="00F23C36"/>
    <w:rsid w:val="00F23CFC"/>
    <w:rsid w:val="00F23D05"/>
    <w:rsid w:val="00F23E1C"/>
    <w:rsid w:val="00F23F41"/>
    <w:rsid w:val="00F23F7A"/>
    <w:rsid w:val="00F24019"/>
    <w:rsid w:val="00F240A1"/>
    <w:rsid w:val="00F240D7"/>
    <w:rsid w:val="00F2414E"/>
    <w:rsid w:val="00F241C4"/>
    <w:rsid w:val="00F24275"/>
    <w:rsid w:val="00F2431B"/>
    <w:rsid w:val="00F244CA"/>
    <w:rsid w:val="00F245CD"/>
    <w:rsid w:val="00F245D7"/>
    <w:rsid w:val="00F24619"/>
    <w:rsid w:val="00F2479F"/>
    <w:rsid w:val="00F2486E"/>
    <w:rsid w:val="00F24BBB"/>
    <w:rsid w:val="00F24D33"/>
    <w:rsid w:val="00F24D40"/>
    <w:rsid w:val="00F24D6C"/>
    <w:rsid w:val="00F24D79"/>
    <w:rsid w:val="00F24D82"/>
    <w:rsid w:val="00F24D87"/>
    <w:rsid w:val="00F24E5A"/>
    <w:rsid w:val="00F24F58"/>
    <w:rsid w:val="00F24FFC"/>
    <w:rsid w:val="00F25017"/>
    <w:rsid w:val="00F25084"/>
    <w:rsid w:val="00F250DC"/>
    <w:rsid w:val="00F250EB"/>
    <w:rsid w:val="00F251EA"/>
    <w:rsid w:val="00F252D0"/>
    <w:rsid w:val="00F253B9"/>
    <w:rsid w:val="00F253DD"/>
    <w:rsid w:val="00F25525"/>
    <w:rsid w:val="00F25539"/>
    <w:rsid w:val="00F25715"/>
    <w:rsid w:val="00F257FF"/>
    <w:rsid w:val="00F258EF"/>
    <w:rsid w:val="00F2590D"/>
    <w:rsid w:val="00F2593F"/>
    <w:rsid w:val="00F25986"/>
    <w:rsid w:val="00F259BE"/>
    <w:rsid w:val="00F25B0E"/>
    <w:rsid w:val="00F25B86"/>
    <w:rsid w:val="00F25C01"/>
    <w:rsid w:val="00F25CF2"/>
    <w:rsid w:val="00F25D26"/>
    <w:rsid w:val="00F25EE4"/>
    <w:rsid w:val="00F25FB8"/>
    <w:rsid w:val="00F2612A"/>
    <w:rsid w:val="00F261C0"/>
    <w:rsid w:val="00F261C3"/>
    <w:rsid w:val="00F2625C"/>
    <w:rsid w:val="00F262FD"/>
    <w:rsid w:val="00F26465"/>
    <w:rsid w:val="00F264C2"/>
    <w:rsid w:val="00F26539"/>
    <w:rsid w:val="00F268BE"/>
    <w:rsid w:val="00F268DA"/>
    <w:rsid w:val="00F26980"/>
    <w:rsid w:val="00F26A4A"/>
    <w:rsid w:val="00F26C49"/>
    <w:rsid w:val="00F26D8E"/>
    <w:rsid w:val="00F26EAF"/>
    <w:rsid w:val="00F26FBB"/>
    <w:rsid w:val="00F270F8"/>
    <w:rsid w:val="00F27116"/>
    <w:rsid w:val="00F2729F"/>
    <w:rsid w:val="00F273A2"/>
    <w:rsid w:val="00F273D1"/>
    <w:rsid w:val="00F27416"/>
    <w:rsid w:val="00F27703"/>
    <w:rsid w:val="00F277F5"/>
    <w:rsid w:val="00F2787C"/>
    <w:rsid w:val="00F27924"/>
    <w:rsid w:val="00F27B27"/>
    <w:rsid w:val="00F27C7C"/>
    <w:rsid w:val="00F27DC2"/>
    <w:rsid w:val="00F27ED6"/>
    <w:rsid w:val="00F27EEE"/>
    <w:rsid w:val="00F27F08"/>
    <w:rsid w:val="00F27F88"/>
    <w:rsid w:val="00F30107"/>
    <w:rsid w:val="00F30138"/>
    <w:rsid w:val="00F3016D"/>
    <w:rsid w:val="00F301A8"/>
    <w:rsid w:val="00F301CE"/>
    <w:rsid w:val="00F3028D"/>
    <w:rsid w:val="00F30369"/>
    <w:rsid w:val="00F303A4"/>
    <w:rsid w:val="00F30470"/>
    <w:rsid w:val="00F30538"/>
    <w:rsid w:val="00F3054E"/>
    <w:rsid w:val="00F3055C"/>
    <w:rsid w:val="00F306B5"/>
    <w:rsid w:val="00F306DF"/>
    <w:rsid w:val="00F30815"/>
    <w:rsid w:val="00F30958"/>
    <w:rsid w:val="00F30970"/>
    <w:rsid w:val="00F30981"/>
    <w:rsid w:val="00F30A92"/>
    <w:rsid w:val="00F30ACF"/>
    <w:rsid w:val="00F30AD4"/>
    <w:rsid w:val="00F30B38"/>
    <w:rsid w:val="00F30B54"/>
    <w:rsid w:val="00F30BE8"/>
    <w:rsid w:val="00F30CDD"/>
    <w:rsid w:val="00F30CFD"/>
    <w:rsid w:val="00F30D41"/>
    <w:rsid w:val="00F30DAA"/>
    <w:rsid w:val="00F30E3A"/>
    <w:rsid w:val="00F30E4F"/>
    <w:rsid w:val="00F30F93"/>
    <w:rsid w:val="00F30FC0"/>
    <w:rsid w:val="00F31112"/>
    <w:rsid w:val="00F3112D"/>
    <w:rsid w:val="00F31168"/>
    <w:rsid w:val="00F31204"/>
    <w:rsid w:val="00F31269"/>
    <w:rsid w:val="00F312AE"/>
    <w:rsid w:val="00F31313"/>
    <w:rsid w:val="00F31434"/>
    <w:rsid w:val="00F314A2"/>
    <w:rsid w:val="00F3158A"/>
    <w:rsid w:val="00F3166B"/>
    <w:rsid w:val="00F31776"/>
    <w:rsid w:val="00F3185A"/>
    <w:rsid w:val="00F318B2"/>
    <w:rsid w:val="00F31A05"/>
    <w:rsid w:val="00F31AFB"/>
    <w:rsid w:val="00F31B09"/>
    <w:rsid w:val="00F31B3C"/>
    <w:rsid w:val="00F31B66"/>
    <w:rsid w:val="00F31B89"/>
    <w:rsid w:val="00F31C58"/>
    <w:rsid w:val="00F31C5B"/>
    <w:rsid w:val="00F31C75"/>
    <w:rsid w:val="00F31ECC"/>
    <w:rsid w:val="00F31F43"/>
    <w:rsid w:val="00F31F9A"/>
    <w:rsid w:val="00F32199"/>
    <w:rsid w:val="00F321DB"/>
    <w:rsid w:val="00F32398"/>
    <w:rsid w:val="00F3244F"/>
    <w:rsid w:val="00F324BF"/>
    <w:rsid w:val="00F32590"/>
    <w:rsid w:val="00F325B6"/>
    <w:rsid w:val="00F32730"/>
    <w:rsid w:val="00F327E2"/>
    <w:rsid w:val="00F32815"/>
    <w:rsid w:val="00F32A83"/>
    <w:rsid w:val="00F32B6C"/>
    <w:rsid w:val="00F32C29"/>
    <w:rsid w:val="00F32D28"/>
    <w:rsid w:val="00F32E35"/>
    <w:rsid w:val="00F32E60"/>
    <w:rsid w:val="00F32FA0"/>
    <w:rsid w:val="00F33046"/>
    <w:rsid w:val="00F330FB"/>
    <w:rsid w:val="00F3310A"/>
    <w:rsid w:val="00F33114"/>
    <w:rsid w:val="00F33140"/>
    <w:rsid w:val="00F3334E"/>
    <w:rsid w:val="00F333DB"/>
    <w:rsid w:val="00F334C9"/>
    <w:rsid w:val="00F33587"/>
    <w:rsid w:val="00F335E2"/>
    <w:rsid w:val="00F33629"/>
    <w:rsid w:val="00F33635"/>
    <w:rsid w:val="00F33705"/>
    <w:rsid w:val="00F33889"/>
    <w:rsid w:val="00F339B6"/>
    <w:rsid w:val="00F33A04"/>
    <w:rsid w:val="00F33A0B"/>
    <w:rsid w:val="00F33A49"/>
    <w:rsid w:val="00F33AE8"/>
    <w:rsid w:val="00F33B36"/>
    <w:rsid w:val="00F33BCA"/>
    <w:rsid w:val="00F33C29"/>
    <w:rsid w:val="00F33D2F"/>
    <w:rsid w:val="00F33E9A"/>
    <w:rsid w:val="00F33EB4"/>
    <w:rsid w:val="00F33EEA"/>
    <w:rsid w:val="00F3410D"/>
    <w:rsid w:val="00F34186"/>
    <w:rsid w:val="00F34214"/>
    <w:rsid w:val="00F342A1"/>
    <w:rsid w:val="00F3432B"/>
    <w:rsid w:val="00F34532"/>
    <w:rsid w:val="00F34539"/>
    <w:rsid w:val="00F34628"/>
    <w:rsid w:val="00F3463F"/>
    <w:rsid w:val="00F34667"/>
    <w:rsid w:val="00F34738"/>
    <w:rsid w:val="00F3473F"/>
    <w:rsid w:val="00F347F6"/>
    <w:rsid w:val="00F34882"/>
    <w:rsid w:val="00F349DC"/>
    <w:rsid w:val="00F34A2C"/>
    <w:rsid w:val="00F34A3D"/>
    <w:rsid w:val="00F34BF6"/>
    <w:rsid w:val="00F34C3D"/>
    <w:rsid w:val="00F34D46"/>
    <w:rsid w:val="00F34FBE"/>
    <w:rsid w:val="00F3500C"/>
    <w:rsid w:val="00F35028"/>
    <w:rsid w:val="00F3502D"/>
    <w:rsid w:val="00F3507D"/>
    <w:rsid w:val="00F35103"/>
    <w:rsid w:val="00F351BF"/>
    <w:rsid w:val="00F351F4"/>
    <w:rsid w:val="00F3525B"/>
    <w:rsid w:val="00F354B9"/>
    <w:rsid w:val="00F35641"/>
    <w:rsid w:val="00F35642"/>
    <w:rsid w:val="00F356DB"/>
    <w:rsid w:val="00F359A9"/>
    <w:rsid w:val="00F35AFF"/>
    <w:rsid w:val="00F35D5C"/>
    <w:rsid w:val="00F35D7D"/>
    <w:rsid w:val="00F35DE6"/>
    <w:rsid w:val="00F35EAA"/>
    <w:rsid w:val="00F35EB9"/>
    <w:rsid w:val="00F35F37"/>
    <w:rsid w:val="00F35FCB"/>
    <w:rsid w:val="00F35FF2"/>
    <w:rsid w:val="00F36017"/>
    <w:rsid w:val="00F36054"/>
    <w:rsid w:val="00F36102"/>
    <w:rsid w:val="00F361A9"/>
    <w:rsid w:val="00F361D6"/>
    <w:rsid w:val="00F3624F"/>
    <w:rsid w:val="00F36258"/>
    <w:rsid w:val="00F362B3"/>
    <w:rsid w:val="00F36330"/>
    <w:rsid w:val="00F36334"/>
    <w:rsid w:val="00F36347"/>
    <w:rsid w:val="00F363C4"/>
    <w:rsid w:val="00F363D3"/>
    <w:rsid w:val="00F3641D"/>
    <w:rsid w:val="00F36443"/>
    <w:rsid w:val="00F364F3"/>
    <w:rsid w:val="00F365CC"/>
    <w:rsid w:val="00F366D8"/>
    <w:rsid w:val="00F366F2"/>
    <w:rsid w:val="00F36725"/>
    <w:rsid w:val="00F367D5"/>
    <w:rsid w:val="00F3690A"/>
    <w:rsid w:val="00F369A0"/>
    <w:rsid w:val="00F36ABB"/>
    <w:rsid w:val="00F36AC7"/>
    <w:rsid w:val="00F36B18"/>
    <w:rsid w:val="00F36B22"/>
    <w:rsid w:val="00F36B37"/>
    <w:rsid w:val="00F36D63"/>
    <w:rsid w:val="00F36F53"/>
    <w:rsid w:val="00F36FA8"/>
    <w:rsid w:val="00F3701D"/>
    <w:rsid w:val="00F37058"/>
    <w:rsid w:val="00F370B2"/>
    <w:rsid w:val="00F3712D"/>
    <w:rsid w:val="00F37192"/>
    <w:rsid w:val="00F371B3"/>
    <w:rsid w:val="00F37218"/>
    <w:rsid w:val="00F37254"/>
    <w:rsid w:val="00F3734D"/>
    <w:rsid w:val="00F37377"/>
    <w:rsid w:val="00F3739B"/>
    <w:rsid w:val="00F373B0"/>
    <w:rsid w:val="00F373FF"/>
    <w:rsid w:val="00F3745D"/>
    <w:rsid w:val="00F374B3"/>
    <w:rsid w:val="00F37711"/>
    <w:rsid w:val="00F3778B"/>
    <w:rsid w:val="00F377DF"/>
    <w:rsid w:val="00F377E7"/>
    <w:rsid w:val="00F3785E"/>
    <w:rsid w:val="00F37899"/>
    <w:rsid w:val="00F378D4"/>
    <w:rsid w:val="00F37AB5"/>
    <w:rsid w:val="00F37B05"/>
    <w:rsid w:val="00F37B79"/>
    <w:rsid w:val="00F37CC5"/>
    <w:rsid w:val="00F37D0B"/>
    <w:rsid w:val="00F37E35"/>
    <w:rsid w:val="00F37F03"/>
    <w:rsid w:val="00F37FDF"/>
    <w:rsid w:val="00F37FEC"/>
    <w:rsid w:val="00F40043"/>
    <w:rsid w:val="00F402D0"/>
    <w:rsid w:val="00F40553"/>
    <w:rsid w:val="00F4058F"/>
    <w:rsid w:val="00F406B6"/>
    <w:rsid w:val="00F40706"/>
    <w:rsid w:val="00F40755"/>
    <w:rsid w:val="00F40775"/>
    <w:rsid w:val="00F407AB"/>
    <w:rsid w:val="00F4082C"/>
    <w:rsid w:val="00F4087E"/>
    <w:rsid w:val="00F40891"/>
    <w:rsid w:val="00F408FF"/>
    <w:rsid w:val="00F4090D"/>
    <w:rsid w:val="00F409B7"/>
    <w:rsid w:val="00F40A17"/>
    <w:rsid w:val="00F40B1D"/>
    <w:rsid w:val="00F40B50"/>
    <w:rsid w:val="00F40BD1"/>
    <w:rsid w:val="00F40CCF"/>
    <w:rsid w:val="00F40D53"/>
    <w:rsid w:val="00F40E95"/>
    <w:rsid w:val="00F40EAC"/>
    <w:rsid w:val="00F40F4F"/>
    <w:rsid w:val="00F40F97"/>
    <w:rsid w:val="00F40FDB"/>
    <w:rsid w:val="00F41189"/>
    <w:rsid w:val="00F4118B"/>
    <w:rsid w:val="00F412E3"/>
    <w:rsid w:val="00F41403"/>
    <w:rsid w:val="00F41676"/>
    <w:rsid w:val="00F41697"/>
    <w:rsid w:val="00F416AA"/>
    <w:rsid w:val="00F41779"/>
    <w:rsid w:val="00F41825"/>
    <w:rsid w:val="00F41A9C"/>
    <w:rsid w:val="00F41C15"/>
    <w:rsid w:val="00F41C69"/>
    <w:rsid w:val="00F41C7C"/>
    <w:rsid w:val="00F41D9D"/>
    <w:rsid w:val="00F41FF0"/>
    <w:rsid w:val="00F4203F"/>
    <w:rsid w:val="00F4205C"/>
    <w:rsid w:val="00F420A2"/>
    <w:rsid w:val="00F420D6"/>
    <w:rsid w:val="00F420FE"/>
    <w:rsid w:val="00F421AA"/>
    <w:rsid w:val="00F421D4"/>
    <w:rsid w:val="00F421D8"/>
    <w:rsid w:val="00F4222C"/>
    <w:rsid w:val="00F42231"/>
    <w:rsid w:val="00F42247"/>
    <w:rsid w:val="00F4238F"/>
    <w:rsid w:val="00F423E5"/>
    <w:rsid w:val="00F424ED"/>
    <w:rsid w:val="00F4256B"/>
    <w:rsid w:val="00F425A2"/>
    <w:rsid w:val="00F425DF"/>
    <w:rsid w:val="00F425EE"/>
    <w:rsid w:val="00F4266D"/>
    <w:rsid w:val="00F4292F"/>
    <w:rsid w:val="00F42973"/>
    <w:rsid w:val="00F429BF"/>
    <w:rsid w:val="00F42A38"/>
    <w:rsid w:val="00F42A46"/>
    <w:rsid w:val="00F42BBC"/>
    <w:rsid w:val="00F42C39"/>
    <w:rsid w:val="00F42DE1"/>
    <w:rsid w:val="00F42EF8"/>
    <w:rsid w:val="00F42FC2"/>
    <w:rsid w:val="00F42FDA"/>
    <w:rsid w:val="00F4311A"/>
    <w:rsid w:val="00F433C9"/>
    <w:rsid w:val="00F434E8"/>
    <w:rsid w:val="00F4358B"/>
    <w:rsid w:val="00F435D9"/>
    <w:rsid w:val="00F43612"/>
    <w:rsid w:val="00F4373A"/>
    <w:rsid w:val="00F4384C"/>
    <w:rsid w:val="00F438B1"/>
    <w:rsid w:val="00F438ED"/>
    <w:rsid w:val="00F439AE"/>
    <w:rsid w:val="00F439E6"/>
    <w:rsid w:val="00F43A16"/>
    <w:rsid w:val="00F43AD9"/>
    <w:rsid w:val="00F43B1A"/>
    <w:rsid w:val="00F43DEA"/>
    <w:rsid w:val="00F43E56"/>
    <w:rsid w:val="00F43F50"/>
    <w:rsid w:val="00F43FBD"/>
    <w:rsid w:val="00F44015"/>
    <w:rsid w:val="00F4404A"/>
    <w:rsid w:val="00F4411B"/>
    <w:rsid w:val="00F4413D"/>
    <w:rsid w:val="00F44166"/>
    <w:rsid w:val="00F442D2"/>
    <w:rsid w:val="00F44359"/>
    <w:rsid w:val="00F4442D"/>
    <w:rsid w:val="00F44441"/>
    <w:rsid w:val="00F444EA"/>
    <w:rsid w:val="00F4453D"/>
    <w:rsid w:val="00F44543"/>
    <w:rsid w:val="00F44625"/>
    <w:rsid w:val="00F4462F"/>
    <w:rsid w:val="00F44775"/>
    <w:rsid w:val="00F447C5"/>
    <w:rsid w:val="00F44805"/>
    <w:rsid w:val="00F44A7B"/>
    <w:rsid w:val="00F44AC9"/>
    <w:rsid w:val="00F44BCB"/>
    <w:rsid w:val="00F44D16"/>
    <w:rsid w:val="00F44D6C"/>
    <w:rsid w:val="00F44D9D"/>
    <w:rsid w:val="00F44DE7"/>
    <w:rsid w:val="00F44E5D"/>
    <w:rsid w:val="00F44E89"/>
    <w:rsid w:val="00F44EB0"/>
    <w:rsid w:val="00F44EDC"/>
    <w:rsid w:val="00F44F78"/>
    <w:rsid w:val="00F45120"/>
    <w:rsid w:val="00F451D2"/>
    <w:rsid w:val="00F4522F"/>
    <w:rsid w:val="00F453DF"/>
    <w:rsid w:val="00F45429"/>
    <w:rsid w:val="00F45462"/>
    <w:rsid w:val="00F455AA"/>
    <w:rsid w:val="00F45680"/>
    <w:rsid w:val="00F45748"/>
    <w:rsid w:val="00F458C5"/>
    <w:rsid w:val="00F45B35"/>
    <w:rsid w:val="00F45CFE"/>
    <w:rsid w:val="00F45EAF"/>
    <w:rsid w:val="00F45FDD"/>
    <w:rsid w:val="00F46062"/>
    <w:rsid w:val="00F4608E"/>
    <w:rsid w:val="00F46156"/>
    <w:rsid w:val="00F4621F"/>
    <w:rsid w:val="00F4627E"/>
    <w:rsid w:val="00F46280"/>
    <w:rsid w:val="00F462EF"/>
    <w:rsid w:val="00F4645A"/>
    <w:rsid w:val="00F46522"/>
    <w:rsid w:val="00F4655B"/>
    <w:rsid w:val="00F46627"/>
    <w:rsid w:val="00F46707"/>
    <w:rsid w:val="00F46712"/>
    <w:rsid w:val="00F4681A"/>
    <w:rsid w:val="00F4685E"/>
    <w:rsid w:val="00F46993"/>
    <w:rsid w:val="00F469C7"/>
    <w:rsid w:val="00F46A44"/>
    <w:rsid w:val="00F46ABD"/>
    <w:rsid w:val="00F46C6A"/>
    <w:rsid w:val="00F46D31"/>
    <w:rsid w:val="00F46E37"/>
    <w:rsid w:val="00F46F5E"/>
    <w:rsid w:val="00F470AE"/>
    <w:rsid w:val="00F4736C"/>
    <w:rsid w:val="00F4737A"/>
    <w:rsid w:val="00F4739B"/>
    <w:rsid w:val="00F473CD"/>
    <w:rsid w:val="00F473F5"/>
    <w:rsid w:val="00F4741F"/>
    <w:rsid w:val="00F4744A"/>
    <w:rsid w:val="00F47472"/>
    <w:rsid w:val="00F4749E"/>
    <w:rsid w:val="00F474B2"/>
    <w:rsid w:val="00F474CA"/>
    <w:rsid w:val="00F47799"/>
    <w:rsid w:val="00F47837"/>
    <w:rsid w:val="00F478A6"/>
    <w:rsid w:val="00F478BE"/>
    <w:rsid w:val="00F478CB"/>
    <w:rsid w:val="00F47A1E"/>
    <w:rsid w:val="00F47B70"/>
    <w:rsid w:val="00F47C70"/>
    <w:rsid w:val="00F47E5A"/>
    <w:rsid w:val="00F47E8C"/>
    <w:rsid w:val="00F47F45"/>
    <w:rsid w:val="00F50145"/>
    <w:rsid w:val="00F50183"/>
    <w:rsid w:val="00F50229"/>
    <w:rsid w:val="00F50293"/>
    <w:rsid w:val="00F502AC"/>
    <w:rsid w:val="00F50594"/>
    <w:rsid w:val="00F506DF"/>
    <w:rsid w:val="00F508DB"/>
    <w:rsid w:val="00F50961"/>
    <w:rsid w:val="00F50ADD"/>
    <w:rsid w:val="00F50B39"/>
    <w:rsid w:val="00F50B4B"/>
    <w:rsid w:val="00F50C56"/>
    <w:rsid w:val="00F50F89"/>
    <w:rsid w:val="00F50F9D"/>
    <w:rsid w:val="00F510C9"/>
    <w:rsid w:val="00F510F2"/>
    <w:rsid w:val="00F51173"/>
    <w:rsid w:val="00F511FA"/>
    <w:rsid w:val="00F5146C"/>
    <w:rsid w:val="00F51513"/>
    <w:rsid w:val="00F517C5"/>
    <w:rsid w:val="00F51943"/>
    <w:rsid w:val="00F51AFD"/>
    <w:rsid w:val="00F51D2F"/>
    <w:rsid w:val="00F51DF4"/>
    <w:rsid w:val="00F51E85"/>
    <w:rsid w:val="00F51FA7"/>
    <w:rsid w:val="00F51FC6"/>
    <w:rsid w:val="00F52017"/>
    <w:rsid w:val="00F52181"/>
    <w:rsid w:val="00F52338"/>
    <w:rsid w:val="00F523AF"/>
    <w:rsid w:val="00F5242F"/>
    <w:rsid w:val="00F52448"/>
    <w:rsid w:val="00F5252B"/>
    <w:rsid w:val="00F525AC"/>
    <w:rsid w:val="00F52625"/>
    <w:rsid w:val="00F52699"/>
    <w:rsid w:val="00F52750"/>
    <w:rsid w:val="00F528B0"/>
    <w:rsid w:val="00F529FA"/>
    <w:rsid w:val="00F52A2B"/>
    <w:rsid w:val="00F52A38"/>
    <w:rsid w:val="00F52B86"/>
    <w:rsid w:val="00F52C53"/>
    <w:rsid w:val="00F52C65"/>
    <w:rsid w:val="00F52DBC"/>
    <w:rsid w:val="00F52EFC"/>
    <w:rsid w:val="00F52F39"/>
    <w:rsid w:val="00F52F77"/>
    <w:rsid w:val="00F52FB2"/>
    <w:rsid w:val="00F5305A"/>
    <w:rsid w:val="00F53176"/>
    <w:rsid w:val="00F532F7"/>
    <w:rsid w:val="00F532FE"/>
    <w:rsid w:val="00F53307"/>
    <w:rsid w:val="00F53568"/>
    <w:rsid w:val="00F53691"/>
    <w:rsid w:val="00F536F6"/>
    <w:rsid w:val="00F537AF"/>
    <w:rsid w:val="00F53848"/>
    <w:rsid w:val="00F538B1"/>
    <w:rsid w:val="00F53A46"/>
    <w:rsid w:val="00F53A59"/>
    <w:rsid w:val="00F53A5B"/>
    <w:rsid w:val="00F53B11"/>
    <w:rsid w:val="00F53C55"/>
    <w:rsid w:val="00F53CA1"/>
    <w:rsid w:val="00F53CFA"/>
    <w:rsid w:val="00F53D75"/>
    <w:rsid w:val="00F53F54"/>
    <w:rsid w:val="00F5402B"/>
    <w:rsid w:val="00F5404A"/>
    <w:rsid w:val="00F54298"/>
    <w:rsid w:val="00F5445B"/>
    <w:rsid w:val="00F54580"/>
    <w:rsid w:val="00F545CC"/>
    <w:rsid w:val="00F54615"/>
    <w:rsid w:val="00F54718"/>
    <w:rsid w:val="00F54793"/>
    <w:rsid w:val="00F54ADF"/>
    <w:rsid w:val="00F54B20"/>
    <w:rsid w:val="00F54BF4"/>
    <w:rsid w:val="00F54BFA"/>
    <w:rsid w:val="00F54C14"/>
    <w:rsid w:val="00F54D18"/>
    <w:rsid w:val="00F54E71"/>
    <w:rsid w:val="00F54E76"/>
    <w:rsid w:val="00F54E7C"/>
    <w:rsid w:val="00F54F19"/>
    <w:rsid w:val="00F54F31"/>
    <w:rsid w:val="00F54F4E"/>
    <w:rsid w:val="00F55014"/>
    <w:rsid w:val="00F550C9"/>
    <w:rsid w:val="00F55234"/>
    <w:rsid w:val="00F55268"/>
    <w:rsid w:val="00F5527C"/>
    <w:rsid w:val="00F553A0"/>
    <w:rsid w:val="00F55409"/>
    <w:rsid w:val="00F5547A"/>
    <w:rsid w:val="00F554C3"/>
    <w:rsid w:val="00F55846"/>
    <w:rsid w:val="00F558F6"/>
    <w:rsid w:val="00F55A6C"/>
    <w:rsid w:val="00F55A86"/>
    <w:rsid w:val="00F55A9D"/>
    <w:rsid w:val="00F55AD5"/>
    <w:rsid w:val="00F55AE3"/>
    <w:rsid w:val="00F55AEE"/>
    <w:rsid w:val="00F55BC2"/>
    <w:rsid w:val="00F55C44"/>
    <w:rsid w:val="00F55CC2"/>
    <w:rsid w:val="00F55CC6"/>
    <w:rsid w:val="00F55D9B"/>
    <w:rsid w:val="00F55F3E"/>
    <w:rsid w:val="00F56043"/>
    <w:rsid w:val="00F56287"/>
    <w:rsid w:val="00F562FE"/>
    <w:rsid w:val="00F563F0"/>
    <w:rsid w:val="00F564CF"/>
    <w:rsid w:val="00F5683D"/>
    <w:rsid w:val="00F56980"/>
    <w:rsid w:val="00F56BBB"/>
    <w:rsid w:val="00F56C07"/>
    <w:rsid w:val="00F56D48"/>
    <w:rsid w:val="00F56DA9"/>
    <w:rsid w:val="00F57070"/>
    <w:rsid w:val="00F5717C"/>
    <w:rsid w:val="00F5720F"/>
    <w:rsid w:val="00F57246"/>
    <w:rsid w:val="00F5742B"/>
    <w:rsid w:val="00F5746F"/>
    <w:rsid w:val="00F57575"/>
    <w:rsid w:val="00F57645"/>
    <w:rsid w:val="00F576D8"/>
    <w:rsid w:val="00F577F2"/>
    <w:rsid w:val="00F577F6"/>
    <w:rsid w:val="00F57838"/>
    <w:rsid w:val="00F57899"/>
    <w:rsid w:val="00F57C24"/>
    <w:rsid w:val="00F57D10"/>
    <w:rsid w:val="00F57DFB"/>
    <w:rsid w:val="00F57E10"/>
    <w:rsid w:val="00F57E43"/>
    <w:rsid w:val="00F57E51"/>
    <w:rsid w:val="00F5B857"/>
    <w:rsid w:val="00F60063"/>
    <w:rsid w:val="00F600C9"/>
    <w:rsid w:val="00F6019E"/>
    <w:rsid w:val="00F60233"/>
    <w:rsid w:val="00F60271"/>
    <w:rsid w:val="00F6035E"/>
    <w:rsid w:val="00F60389"/>
    <w:rsid w:val="00F6046D"/>
    <w:rsid w:val="00F60690"/>
    <w:rsid w:val="00F607C5"/>
    <w:rsid w:val="00F60813"/>
    <w:rsid w:val="00F60954"/>
    <w:rsid w:val="00F60A20"/>
    <w:rsid w:val="00F60AF6"/>
    <w:rsid w:val="00F60B3E"/>
    <w:rsid w:val="00F60B87"/>
    <w:rsid w:val="00F60C26"/>
    <w:rsid w:val="00F60D13"/>
    <w:rsid w:val="00F60D72"/>
    <w:rsid w:val="00F60D9C"/>
    <w:rsid w:val="00F60DDB"/>
    <w:rsid w:val="00F60E23"/>
    <w:rsid w:val="00F60E4C"/>
    <w:rsid w:val="00F60ECA"/>
    <w:rsid w:val="00F60F1D"/>
    <w:rsid w:val="00F6106C"/>
    <w:rsid w:val="00F61322"/>
    <w:rsid w:val="00F6138A"/>
    <w:rsid w:val="00F613AE"/>
    <w:rsid w:val="00F613C9"/>
    <w:rsid w:val="00F61439"/>
    <w:rsid w:val="00F614DB"/>
    <w:rsid w:val="00F61686"/>
    <w:rsid w:val="00F616A1"/>
    <w:rsid w:val="00F616F4"/>
    <w:rsid w:val="00F61746"/>
    <w:rsid w:val="00F61755"/>
    <w:rsid w:val="00F61771"/>
    <w:rsid w:val="00F6187C"/>
    <w:rsid w:val="00F618BD"/>
    <w:rsid w:val="00F619C3"/>
    <w:rsid w:val="00F61A73"/>
    <w:rsid w:val="00F61AEF"/>
    <w:rsid w:val="00F61C1A"/>
    <w:rsid w:val="00F61C66"/>
    <w:rsid w:val="00F61D34"/>
    <w:rsid w:val="00F61E12"/>
    <w:rsid w:val="00F61EC5"/>
    <w:rsid w:val="00F61ED5"/>
    <w:rsid w:val="00F61F0A"/>
    <w:rsid w:val="00F61F1F"/>
    <w:rsid w:val="00F62012"/>
    <w:rsid w:val="00F6204F"/>
    <w:rsid w:val="00F62195"/>
    <w:rsid w:val="00F625AB"/>
    <w:rsid w:val="00F62748"/>
    <w:rsid w:val="00F62810"/>
    <w:rsid w:val="00F62812"/>
    <w:rsid w:val="00F629CC"/>
    <w:rsid w:val="00F62A8C"/>
    <w:rsid w:val="00F62B2B"/>
    <w:rsid w:val="00F62B59"/>
    <w:rsid w:val="00F62C4A"/>
    <w:rsid w:val="00F62CD9"/>
    <w:rsid w:val="00F62D58"/>
    <w:rsid w:val="00F62DE3"/>
    <w:rsid w:val="00F62E60"/>
    <w:rsid w:val="00F62EDD"/>
    <w:rsid w:val="00F62F37"/>
    <w:rsid w:val="00F631D5"/>
    <w:rsid w:val="00F63258"/>
    <w:rsid w:val="00F632A1"/>
    <w:rsid w:val="00F6331E"/>
    <w:rsid w:val="00F63340"/>
    <w:rsid w:val="00F63362"/>
    <w:rsid w:val="00F633AF"/>
    <w:rsid w:val="00F6340E"/>
    <w:rsid w:val="00F6346D"/>
    <w:rsid w:val="00F634C9"/>
    <w:rsid w:val="00F634E0"/>
    <w:rsid w:val="00F63625"/>
    <w:rsid w:val="00F636BE"/>
    <w:rsid w:val="00F63723"/>
    <w:rsid w:val="00F63771"/>
    <w:rsid w:val="00F63800"/>
    <w:rsid w:val="00F638A9"/>
    <w:rsid w:val="00F63B3D"/>
    <w:rsid w:val="00F63B71"/>
    <w:rsid w:val="00F63C0F"/>
    <w:rsid w:val="00F63D29"/>
    <w:rsid w:val="00F63E96"/>
    <w:rsid w:val="00F63F8C"/>
    <w:rsid w:val="00F63FB3"/>
    <w:rsid w:val="00F63FB7"/>
    <w:rsid w:val="00F63FE4"/>
    <w:rsid w:val="00F64058"/>
    <w:rsid w:val="00F640A0"/>
    <w:rsid w:val="00F641CE"/>
    <w:rsid w:val="00F642CA"/>
    <w:rsid w:val="00F642FC"/>
    <w:rsid w:val="00F6439F"/>
    <w:rsid w:val="00F644BA"/>
    <w:rsid w:val="00F6450B"/>
    <w:rsid w:val="00F64566"/>
    <w:rsid w:val="00F645E6"/>
    <w:rsid w:val="00F6463E"/>
    <w:rsid w:val="00F64642"/>
    <w:rsid w:val="00F6464E"/>
    <w:rsid w:val="00F64754"/>
    <w:rsid w:val="00F647D7"/>
    <w:rsid w:val="00F64814"/>
    <w:rsid w:val="00F64A6B"/>
    <w:rsid w:val="00F64AD3"/>
    <w:rsid w:val="00F64B5F"/>
    <w:rsid w:val="00F64C52"/>
    <w:rsid w:val="00F64C83"/>
    <w:rsid w:val="00F64CEB"/>
    <w:rsid w:val="00F64E0C"/>
    <w:rsid w:val="00F64E18"/>
    <w:rsid w:val="00F64FFE"/>
    <w:rsid w:val="00F65077"/>
    <w:rsid w:val="00F65157"/>
    <w:rsid w:val="00F6530D"/>
    <w:rsid w:val="00F6541A"/>
    <w:rsid w:val="00F65511"/>
    <w:rsid w:val="00F65598"/>
    <w:rsid w:val="00F655E0"/>
    <w:rsid w:val="00F655F6"/>
    <w:rsid w:val="00F655FE"/>
    <w:rsid w:val="00F65624"/>
    <w:rsid w:val="00F6578F"/>
    <w:rsid w:val="00F657C7"/>
    <w:rsid w:val="00F657DD"/>
    <w:rsid w:val="00F65B6A"/>
    <w:rsid w:val="00F65BB8"/>
    <w:rsid w:val="00F65BC7"/>
    <w:rsid w:val="00F65BDF"/>
    <w:rsid w:val="00F65BE3"/>
    <w:rsid w:val="00F65D17"/>
    <w:rsid w:val="00F65E7D"/>
    <w:rsid w:val="00F65F8B"/>
    <w:rsid w:val="00F66009"/>
    <w:rsid w:val="00F66033"/>
    <w:rsid w:val="00F6626E"/>
    <w:rsid w:val="00F66293"/>
    <w:rsid w:val="00F666EF"/>
    <w:rsid w:val="00F666F2"/>
    <w:rsid w:val="00F66717"/>
    <w:rsid w:val="00F66762"/>
    <w:rsid w:val="00F66812"/>
    <w:rsid w:val="00F6686B"/>
    <w:rsid w:val="00F66884"/>
    <w:rsid w:val="00F668DB"/>
    <w:rsid w:val="00F66952"/>
    <w:rsid w:val="00F6695C"/>
    <w:rsid w:val="00F66990"/>
    <w:rsid w:val="00F66ABF"/>
    <w:rsid w:val="00F66B03"/>
    <w:rsid w:val="00F66B10"/>
    <w:rsid w:val="00F66CB5"/>
    <w:rsid w:val="00F66CC2"/>
    <w:rsid w:val="00F66D53"/>
    <w:rsid w:val="00F66E99"/>
    <w:rsid w:val="00F66F63"/>
    <w:rsid w:val="00F67186"/>
    <w:rsid w:val="00F67263"/>
    <w:rsid w:val="00F672A1"/>
    <w:rsid w:val="00F672E2"/>
    <w:rsid w:val="00F67388"/>
    <w:rsid w:val="00F67509"/>
    <w:rsid w:val="00F6754A"/>
    <w:rsid w:val="00F675E9"/>
    <w:rsid w:val="00F67625"/>
    <w:rsid w:val="00F67641"/>
    <w:rsid w:val="00F67679"/>
    <w:rsid w:val="00F67758"/>
    <w:rsid w:val="00F677BC"/>
    <w:rsid w:val="00F6783E"/>
    <w:rsid w:val="00F6789A"/>
    <w:rsid w:val="00F67907"/>
    <w:rsid w:val="00F6791A"/>
    <w:rsid w:val="00F67954"/>
    <w:rsid w:val="00F679AB"/>
    <w:rsid w:val="00F67A1C"/>
    <w:rsid w:val="00F67ACE"/>
    <w:rsid w:val="00F67B63"/>
    <w:rsid w:val="00F67DDE"/>
    <w:rsid w:val="00F67E03"/>
    <w:rsid w:val="00F67E6E"/>
    <w:rsid w:val="00F67EA6"/>
    <w:rsid w:val="00F67EBD"/>
    <w:rsid w:val="00F67FE6"/>
    <w:rsid w:val="00F70026"/>
    <w:rsid w:val="00F70116"/>
    <w:rsid w:val="00F7012F"/>
    <w:rsid w:val="00F701CA"/>
    <w:rsid w:val="00F701E3"/>
    <w:rsid w:val="00F70350"/>
    <w:rsid w:val="00F7038B"/>
    <w:rsid w:val="00F703D7"/>
    <w:rsid w:val="00F703E8"/>
    <w:rsid w:val="00F70402"/>
    <w:rsid w:val="00F70445"/>
    <w:rsid w:val="00F704B0"/>
    <w:rsid w:val="00F70530"/>
    <w:rsid w:val="00F705C7"/>
    <w:rsid w:val="00F705EB"/>
    <w:rsid w:val="00F706D2"/>
    <w:rsid w:val="00F7077B"/>
    <w:rsid w:val="00F7090D"/>
    <w:rsid w:val="00F70936"/>
    <w:rsid w:val="00F70985"/>
    <w:rsid w:val="00F7098F"/>
    <w:rsid w:val="00F70A69"/>
    <w:rsid w:val="00F70B2E"/>
    <w:rsid w:val="00F70BA7"/>
    <w:rsid w:val="00F70CC7"/>
    <w:rsid w:val="00F70E86"/>
    <w:rsid w:val="00F70FAE"/>
    <w:rsid w:val="00F71069"/>
    <w:rsid w:val="00F71119"/>
    <w:rsid w:val="00F71208"/>
    <w:rsid w:val="00F712E1"/>
    <w:rsid w:val="00F713B0"/>
    <w:rsid w:val="00F715A6"/>
    <w:rsid w:val="00F716E1"/>
    <w:rsid w:val="00F71797"/>
    <w:rsid w:val="00F717F8"/>
    <w:rsid w:val="00F718D3"/>
    <w:rsid w:val="00F71AC7"/>
    <w:rsid w:val="00F71BA0"/>
    <w:rsid w:val="00F71BDC"/>
    <w:rsid w:val="00F71C14"/>
    <w:rsid w:val="00F71DED"/>
    <w:rsid w:val="00F71E57"/>
    <w:rsid w:val="00F71F7C"/>
    <w:rsid w:val="00F7203E"/>
    <w:rsid w:val="00F72228"/>
    <w:rsid w:val="00F72270"/>
    <w:rsid w:val="00F72291"/>
    <w:rsid w:val="00F7229D"/>
    <w:rsid w:val="00F72493"/>
    <w:rsid w:val="00F72643"/>
    <w:rsid w:val="00F72688"/>
    <w:rsid w:val="00F727A1"/>
    <w:rsid w:val="00F728B3"/>
    <w:rsid w:val="00F728F9"/>
    <w:rsid w:val="00F72904"/>
    <w:rsid w:val="00F72929"/>
    <w:rsid w:val="00F72A1F"/>
    <w:rsid w:val="00F72AFE"/>
    <w:rsid w:val="00F72B6A"/>
    <w:rsid w:val="00F72D05"/>
    <w:rsid w:val="00F72EA1"/>
    <w:rsid w:val="00F72EE4"/>
    <w:rsid w:val="00F730E6"/>
    <w:rsid w:val="00F7310A"/>
    <w:rsid w:val="00F732A0"/>
    <w:rsid w:val="00F734B7"/>
    <w:rsid w:val="00F736BB"/>
    <w:rsid w:val="00F737FA"/>
    <w:rsid w:val="00F738C1"/>
    <w:rsid w:val="00F73AA2"/>
    <w:rsid w:val="00F73C5A"/>
    <w:rsid w:val="00F73D46"/>
    <w:rsid w:val="00F73DE5"/>
    <w:rsid w:val="00F73EB6"/>
    <w:rsid w:val="00F74003"/>
    <w:rsid w:val="00F74255"/>
    <w:rsid w:val="00F7426A"/>
    <w:rsid w:val="00F742BD"/>
    <w:rsid w:val="00F744CC"/>
    <w:rsid w:val="00F74558"/>
    <w:rsid w:val="00F7459C"/>
    <w:rsid w:val="00F745AA"/>
    <w:rsid w:val="00F745E0"/>
    <w:rsid w:val="00F74650"/>
    <w:rsid w:val="00F746A1"/>
    <w:rsid w:val="00F747D6"/>
    <w:rsid w:val="00F74903"/>
    <w:rsid w:val="00F749B6"/>
    <w:rsid w:val="00F74A47"/>
    <w:rsid w:val="00F74AE9"/>
    <w:rsid w:val="00F74BC6"/>
    <w:rsid w:val="00F74C32"/>
    <w:rsid w:val="00F74CC1"/>
    <w:rsid w:val="00F74DD8"/>
    <w:rsid w:val="00F74E3F"/>
    <w:rsid w:val="00F74EAC"/>
    <w:rsid w:val="00F74FB1"/>
    <w:rsid w:val="00F75065"/>
    <w:rsid w:val="00F75087"/>
    <w:rsid w:val="00F7516B"/>
    <w:rsid w:val="00F751AD"/>
    <w:rsid w:val="00F751AF"/>
    <w:rsid w:val="00F754E7"/>
    <w:rsid w:val="00F75513"/>
    <w:rsid w:val="00F7551B"/>
    <w:rsid w:val="00F7552A"/>
    <w:rsid w:val="00F75658"/>
    <w:rsid w:val="00F75746"/>
    <w:rsid w:val="00F75A00"/>
    <w:rsid w:val="00F75A4E"/>
    <w:rsid w:val="00F75CBF"/>
    <w:rsid w:val="00F75CE0"/>
    <w:rsid w:val="00F75D2B"/>
    <w:rsid w:val="00F75D69"/>
    <w:rsid w:val="00F75E0B"/>
    <w:rsid w:val="00F75E11"/>
    <w:rsid w:val="00F75E24"/>
    <w:rsid w:val="00F75EE3"/>
    <w:rsid w:val="00F76015"/>
    <w:rsid w:val="00F7604B"/>
    <w:rsid w:val="00F7604F"/>
    <w:rsid w:val="00F762E9"/>
    <w:rsid w:val="00F7635E"/>
    <w:rsid w:val="00F7652E"/>
    <w:rsid w:val="00F7660D"/>
    <w:rsid w:val="00F76923"/>
    <w:rsid w:val="00F76958"/>
    <w:rsid w:val="00F76A15"/>
    <w:rsid w:val="00F76A21"/>
    <w:rsid w:val="00F76A38"/>
    <w:rsid w:val="00F76A6C"/>
    <w:rsid w:val="00F76A80"/>
    <w:rsid w:val="00F76B1B"/>
    <w:rsid w:val="00F76B2F"/>
    <w:rsid w:val="00F76BCA"/>
    <w:rsid w:val="00F76BF0"/>
    <w:rsid w:val="00F76C61"/>
    <w:rsid w:val="00F76DDE"/>
    <w:rsid w:val="00F76F2E"/>
    <w:rsid w:val="00F76F3A"/>
    <w:rsid w:val="00F76F88"/>
    <w:rsid w:val="00F76FFB"/>
    <w:rsid w:val="00F7703F"/>
    <w:rsid w:val="00F7712D"/>
    <w:rsid w:val="00F7717D"/>
    <w:rsid w:val="00F772C7"/>
    <w:rsid w:val="00F7756C"/>
    <w:rsid w:val="00F776C1"/>
    <w:rsid w:val="00F776CD"/>
    <w:rsid w:val="00F7788B"/>
    <w:rsid w:val="00F7789B"/>
    <w:rsid w:val="00F7792C"/>
    <w:rsid w:val="00F77A78"/>
    <w:rsid w:val="00F77ABF"/>
    <w:rsid w:val="00F77AE8"/>
    <w:rsid w:val="00F77AFE"/>
    <w:rsid w:val="00F77B14"/>
    <w:rsid w:val="00F77C81"/>
    <w:rsid w:val="00F77CEA"/>
    <w:rsid w:val="00F77CF1"/>
    <w:rsid w:val="00F77D04"/>
    <w:rsid w:val="00F77DC2"/>
    <w:rsid w:val="00F77FD6"/>
    <w:rsid w:val="00F80022"/>
    <w:rsid w:val="00F80177"/>
    <w:rsid w:val="00F801FC"/>
    <w:rsid w:val="00F80217"/>
    <w:rsid w:val="00F804E8"/>
    <w:rsid w:val="00F80595"/>
    <w:rsid w:val="00F805E0"/>
    <w:rsid w:val="00F8064E"/>
    <w:rsid w:val="00F8079B"/>
    <w:rsid w:val="00F807DA"/>
    <w:rsid w:val="00F80931"/>
    <w:rsid w:val="00F8099B"/>
    <w:rsid w:val="00F80BB2"/>
    <w:rsid w:val="00F80D05"/>
    <w:rsid w:val="00F80FB5"/>
    <w:rsid w:val="00F8111A"/>
    <w:rsid w:val="00F81123"/>
    <w:rsid w:val="00F812AA"/>
    <w:rsid w:val="00F8134F"/>
    <w:rsid w:val="00F81359"/>
    <w:rsid w:val="00F8147F"/>
    <w:rsid w:val="00F81689"/>
    <w:rsid w:val="00F817F4"/>
    <w:rsid w:val="00F8188D"/>
    <w:rsid w:val="00F818E6"/>
    <w:rsid w:val="00F818FF"/>
    <w:rsid w:val="00F819F0"/>
    <w:rsid w:val="00F81AE6"/>
    <w:rsid w:val="00F81BCD"/>
    <w:rsid w:val="00F81C2B"/>
    <w:rsid w:val="00F81C3B"/>
    <w:rsid w:val="00F81C62"/>
    <w:rsid w:val="00F82027"/>
    <w:rsid w:val="00F82139"/>
    <w:rsid w:val="00F82161"/>
    <w:rsid w:val="00F82172"/>
    <w:rsid w:val="00F821E8"/>
    <w:rsid w:val="00F8226A"/>
    <w:rsid w:val="00F8239E"/>
    <w:rsid w:val="00F823D6"/>
    <w:rsid w:val="00F825F8"/>
    <w:rsid w:val="00F826A4"/>
    <w:rsid w:val="00F82789"/>
    <w:rsid w:val="00F828AD"/>
    <w:rsid w:val="00F82AC5"/>
    <w:rsid w:val="00F82B84"/>
    <w:rsid w:val="00F82BDB"/>
    <w:rsid w:val="00F82EB1"/>
    <w:rsid w:val="00F82F1B"/>
    <w:rsid w:val="00F82F41"/>
    <w:rsid w:val="00F82FB1"/>
    <w:rsid w:val="00F830C2"/>
    <w:rsid w:val="00F83180"/>
    <w:rsid w:val="00F8321F"/>
    <w:rsid w:val="00F834AD"/>
    <w:rsid w:val="00F835CD"/>
    <w:rsid w:val="00F83657"/>
    <w:rsid w:val="00F8365D"/>
    <w:rsid w:val="00F836F4"/>
    <w:rsid w:val="00F836FD"/>
    <w:rsid w:val="00F837FB"/>
    <w:rsid w:val="00F83837"/>
    <w:rsid w:val="00F8397B"/>
    <w:rsid w:val="00F83A27"/>
    <w:rsid w:val="00F83A91"/>
    <w:rsid w:val="00F83ACE"/>
    <w:rsid w:val="00F83B71"/>
    <w:rsid w:val="00F83BAB"/>
    <w:rsid w:val="00F83D12"/>
    <w:rsid w:val="00F84073"/>
    <w:rsid w:val="00F84147"/>
    <w:rsid w:val="00F84252"/>
    <w:rsid w:val="00F84267"/>
    <w:rsid w:val="00F84420"/>
    <w:rsid w:val="00F845EE"/>
    <w:rsid w:val="00F845F9"/>
    <w:rsid w:val="00F849B0"/>
    <w:rsid w:val="00F84A30"/>
    <w:rsid w:val="00F84A4A"/>
    <w:rsid w:val="00F84ADE"/>
    <w:rsid w:val="00F84BAD"/>
    <w:rsid w:val="00F84BDA"/>
    <w:rsid w:val="00F84DA5"/>
    <w:rsid w:val="00F84E47"/>
    <w:rsid w:val="00F84F67"/>
    <w:rsid w:val="00F85106"/>
    <w:rsid w:val="00F85126"/>
    <w:rsid w:val="00F851CC"/>
    <w:rsid w:val="00F852C3"/>
    <w:rsid w:val="00F85363"/>
    <w:rsid w:val="00F85470"/>
    <w:rsid w:val="00F8554F"/>
    <w:rsid w:val="00F8557F"/>
    <w:rsid w:val="00F8570A"/>
    <w:rsid w:val="00F85717"/>
    <w:rsid w:val="00F85763"/>
    <w:rsid w:val="00F857BE"/>
    <w:rsid w:val="00F857C0"/>
    <w:rsid w:val="00F85921"/>
    <w:rsid w:val="00F85982"/>
    <w:rsid w:val="00F85B54"/>
    <w:rsid w:val="00F85BBA"/>
    <w:rsid w:val="00F85D2F"/>
    <w:rsid w:val="00F85E29"/>
    <w:rsid w:val="00F85EC6"/>
    <w:rsid w:val="00F85EEA"/>
    <w:rsid w:val="00F86066"/>
    <w:rsid w:val="00F8607A"/>
    <w:rsid w:val="00F8611A"/>
    <w:rsid w:val="00F861F8"/>
    <w:rsid w:val="00F86215"/>
    <w:rsid w:val="00F8631D"/>
    <w:rsid w:val="00F8639B"/>
    <w:rsid w:val="00F863D4"/>
    <w:rsid w:val="00F86427"/>
    <w:rsid w:val="00F864E3"/>
    <w:rsid w:val="00F8655B"/>
    <w:rsid w:val="00F8664A"/>
    <w:rsid w:val="00F866C6"/>
    <w:rsid w:val="00F8685C"/>
    <w:rsid w:val="00F869D8"/>
    <w:rsid w:val="00F869F1"/>
    <w:rsid w:val="00F86A4C"/>
    <w:rsid w:val="00F86B3D"/>
    <w:rsid w:val="00F86C72"/>
    <w:rsid w:val="00F86CBA"/>
    <w:rsid w:val="00F86D07"/>
    <w:rsid w:val="00F86D17"/>
    <w:rsid w:val="00F86DAA"/>
    <w:rsid w:val="00F86DF9"/>
    <w:rsid w:val="00F86E10"/>
    <w:rsid w:val="00F86E20"/>
    <w:rsid w:val="00F86E51"/>
    <w:rsid w:val="00F86F39"/>
    <w:rsid w:val="00F8706F"/>
    <w:rsid w:val="00F8708A"/>
    <w:rsid w:val="00F8713F"/>
    <w:rsid w:val="00F87169"/>
    <w:rsid w:val="00F87203"/>
    <w:rsid w:val="00F87239"/>
    <w:rsid w:val="00F875AA"/>
    <w:rsid w:val="00F876E7"/>
    <w:rsid w:val="00F87762"/>
    <w:rsid w:val="00F8787A"/>
    <w:rsid w:val="00F87990"/>
    <w:rsid w:val="00F879B5"/>
    <w:rsid w:val="00F879F0"/>
    <w:rsid w:val="00F87A10"/>
    <w:rsid w:val="00F87A18"/>
    <w:rsid w:val="00F87A62"/>
    <w:rsid w:val="00F87B61"/>
    <w:rsid w:val="00F87B67"/>
    <w:rsid w:val="00F87B88"/>
    <w:rsid w:val="00F87BEB"/>
    <w:rsid w:val="00F87C20"/>
    <w:rsid w:val="00F87C2A"/>
    <w:rsid w:val="00F87CEB"/>
    <w:rsid w:val="00F87CEF"/>
    <w:rsid w:val="00F87E04"/>
    <w:rsid w:val="00F87E2C"/>
    <w:rsid w:val="00F87E62"/>
    <w:rsid w:val="00F87F37"/>
    <w:rsid w:val="00F87F43"/>
    <w:rsid w:val="00F87F59"/>
    <w:rsid w:val="00F87F67"/>
    <w:rsid w:val="00F87FC3"/>
    <w:rsid w:val="00F87FD5"/>
    <w:rsid w:val="00F90041"/>
    <w:rsid w:val="00F901D1"/>
    <w:rsid w:val="00F902CF"/>
    <w:rsid w:val="00F902F7"/>
    <w:rsid w:val="00F90344"/>
    <w:rsid w:val="00F9037F"/>
    <w:rsid w:val="00F9039A"/>
    <w:rsid w:val="00F903E7"/>
    <w:rsid w:val="00F90435"/>
    <w:rsid w:val="00F9059B"/>
    <w:rsid w:val="00F905BB"/>
    <w:rsid w:val="00F905DF"/>
    <w:rsid w:val="00F90718"/>
    <w:rsid w:val="00F9076E"/>
    <w:rsid w:val="00F90839"/>
    <w:rsid w:val="00F909D2"/>
    <w:rsid w:val="00F90A57"/>
    <w:rsid w:val="00F90A95"/>
    <w:rsid w:val="00F90BEA"/>
    <w:rsid w:val="00F90CB3"/>
    <w:rsid w:val="00F90CBB"/>
    <w:rsid w:val="00F90D45"/>
    <w:rsid w:val="00F90E17"/>
    <w:rsid w:val="00F90F12"/>
    <w:rsid w:val="00F9102E"/>
    <w:rsid w:val="00F91076"/>
    <w:rsid w:val="00F910B1"/>
    <w:rsid w:val="00F910D8"/>
    <w:rsid w:val="00F9120D"/>
    <w:rsid w:val="00F912BD"/>
    <w:rsid w:val="00F91326"/>
    <w:rsid w:val="00F9132B"/>
    <w:rsid w:val="00F91358"/>
    <w:rsid w:val="00F9184D"/>
    <w:rsid w:val="00F91961"/>
    <w:rsid w:val="00F91A5D"/>
    <w:rsid w:val="00F91C1C"/>
    <w:rsid w:val="00F91C84"/>
    <w:rsid w:val="00F91C90"/>
    <w:rsid w:val="00F91CDD"/>
    <w:rsid w:val="00F91D3B"/>
    <w:rsid w:val="00F91E62"/>
    <w:rsid w:val="00F91ECC"/>
    <w:rsid w:val="00F921C7"/>
    <w:rsid w:val="00F921E5"/>
    <w:rsid w:val="00F92571"/>
    <w:rsid w:val="00F925AC"/>
    <w:rsid w:val="00F925B7"/>
    <w:rsid w:val="00F926E4"/>
    <w:rsid w:val="00F92721"/>
    <w:rsid w:val="00F9275F"/>
    <w:rsid w:val="00F92795"/>
    <w:rsid w:val="00F927ED"/>
    <w:rsid w:val="00F92807"/>
    <w:rsid w:val="00F928B8"/>
    <w:rsid w:val="00F92D55"/>
    <w:rsid w:val="00F92D9E"/>
    <w:rsid w:val="00F92DE6"/>
    <w:rsid w:val="00F92ED7"/>
    <w:rsid w:val="00F92EF3"/>
    <w:rsid w:val="00F92F81"/>
    <w:rsid w:val="00F92FD0"/>
    <w:rsid w:val="00F92FE9"/>
    <w:rsid w:val="00F92FEB"/>
    <w:rsid w:val="00F930B4"/>
    <w:rsid w:val="00F9318C"/>
    <w:rsid w:val="00F931D3"/>
    <w:rsid w:val="00F93439"/>
    <w:rsid w:val="00F934F3"/>
    <w:rsid w:val="00F936C6"/>
    <w:rsid w:val="00F9372F"/>
    <w:rsid w:val="00F937A3"/>
    <w:rsid w:val="00F93B63"/>
    <w:rsid w:val="00F93C72"/>
    <w:rsid w:val="00F93E76"/>
    <w:rsid w:val="00F93E95"/>
    <w:rsid w:val="00F93EF7"/>
    <w:rsid w:val="00F93FCE"/>
    <w:rsid w:val="00F9402F"/>
    <w:rsid w:val="00F94055"/>
    <w:rsid w:val="00F941F6"/>
    <w:rsid w:val="00F942D4"/>
    <w:rsid w:val="00F94314"/>
    <w:rsid w:val="00F94333"/>
    <w:rsid w:val="00F94358"/>
    <w:rsid w:val="00F94497"/>
    <w:rsid w:val="00F944A4"/>
    <w:rsid w:val="00F944E8"/>
    <w:rsid w:val="00F9452D"/>
    <w:rsid w:val="00F945E7"/>
    <w:rsid w:val="00F945F4"/>
    <w:rsid w:val="00F94650"/>
    <w:rsid w:val="00F94911"/>
    <w:rsid w:val="00F94A76"/>
    <w:rsid w:val="00F94AF4"/>
    <w:rsid w:val="00F94C4C"/>
    <w:rsid w:val="00F94D40"/>
    <w:rsid w:val="00F94D67"/>
    <w:rsid w:val="00F94DE2"/>
    <w:rsid w:val="00F94E51"/>
    <w:rsid w:val="00F94E61"/>
    <w:rsid w:val="00F94F63"/>
    <w:rsid w:val="00F9501A"/>
    <w:rsid w:val="00F950EA"/>
    <w:rsid w:val="00F9521D"/>
    <w:rsid w:val="00F95309"/>
    <w:rsid w:val="00F95315"/>
    <w:rsid w:val="00F953EC"/>
    <w:rsid w:val="00F95417"/>
    <w:rsid w:val="00F95569"/>
    <w:rsid w:val="00F95636"/>
    <w:rsid w:val="00F95756"/>
    <w:rsid w:val="00F957C9"/>
    <w:rsid w:val="00F95806"/>
    <w:rsid w:val="00F958D0"/>
    <w:rsid w:val="00F95916"/>
    <w:rsid w:val="00F95A79"/>
    <w:rsid w:val="00F95ABF"/>
    <w:rsid w:val="00F95AF9"/>
    <w:rsid w:val="00F95B67"/>
    <w:rsid w:val="00F95C2E"/>
    <w:rsid w:val="00F95C75"/>
    <w:rsid w:val="00F95E3F"/>
    <w:rsid w:val="00F95FE4"/>
    <w:rsid w:val="00F96175"/>
    <w:rsid w:val="00F96201"/>
    <w:rsid w:val="00F96259"/>
    <w:rsid w:val="00F96266"/>
    <w:rsid w:val="00F96286"/>
    <w:rsid w:val="00F963E0"/>
    <w:rsid w:val="00F9647A"/>
    <w:rsid w:val="00F96597"/>
    <w:rsid w:val="00F9666D"/>
    <w:rsid w:val="00F96706"/>
    <w:rsid w:val="00F96714"/>
    <w:rsid w:val="00F967CF"/>
    <w:rsid w:val="00F968B2"/>
    <w:rsid w:val="00F969F0"/>
    <w:rsid w:val="00F96A5C"/>
    <w:rsid w:val="00F96B08"/>
    <w:rsid w:val="00F96B5B"/>
    <w:rsid w:val="00F96C1F"/>
    <w:rsid w:val="00F96C93"/>
    <w:rsid w:val="00F96CD1"/>
    <w:rsid w:val="00F96EC2"/>
    <w:rsid w:val="00F96F1A"/>
    <w:rsid w:val="00F96FBE"/>
    <w:rsid w:val="00F97110"/>
    <w:rsid w:val="00F97196"/>
    <w:rsid w:val="00F971F6"/>
    <w:rsid w:val="00F972A1"/>
    <w:rsid w:val="00F973A8"/>
    <w:rsid w:val="00F973BD"/>
    <w:rsid w:val="00F973E0"/>
    <w:rsid w:val="00F977C3"/>
    <w:rsid w:val="00F979A5"/>
    <w:rsid w:val="00F97A2A"/>
    <w:rsid w:val="00F97BA8"/>
    <w:rsid w:val="00F97BAF"/>
    <w:rsid w:val="00F97CFE"/>
    <w:rsid w:val="00F97D18"/>
    <w:rsid w:val="00F97E69"/>
    <w:rsid w:val="00F97F5B"/>
    <w:rsid w:val="00F97F78"/>
    <w:rsid w:val="00FA0072"/>
    <w:rsid w:val="00FA0150"/>
    <w:rsid w:val="00FA01B8"/>
    <w:rsid w:val="00FA01D8"/>
    <w:rsid w:val="00FA02D8"/>
    <w:rsid w:val="00FA0306"/>
    <w:rsid w:val="00FA0327"/>
    <w:rsid w:val="00FA0345"/>
    <w:rsid w:val="00FA0357"/>
    <w:rsid w:val="00FA04FD"/>
    <w:rsid w:val="00FA0893"/>
    <w:rsid w:val="00FA095F"/>
    <w:rsid w:val="00FA0A2A"/>
    <w:rsid w:val="00FA0AC4"/>
    <w:rsid w:val="00FA0AC8"/>
    <w:rsid w:val="00FA0B04"/>
    <w:rsid w:val="00FA0B8F"/>
    <w:rsid w:val="00FA0B94"/>
    <w:rsid w:val="00FA0C14"/>
    <w:rsid w:val="00FA0C9D"/>
    <w:rsid w:val="00FA0CEE"/>
    <w:rsid w:val="00FA0E25"/>
    <w:rsid w:val="00FA0F09"/>
    <w:rsid w:val="00FA0FE0"/>
    <w:rsid w:val="00FA0FFA"/>
    <w:rsid w:val="00FA10B6"/>
    <w:rsid w:val="00FA1127"/>
    <w:rsid w:val="00FA11AC"/>
    <w:rsid w:val="00FA11D3"/>
    <w:rsid w:val="00FA128A"/>
    <w:rsid w:val="00FA128E"/>
    <w:rsid w:val="00FA129C"/>
    <w:rsid w:val="00FA12B9"/>
    <w:rsid w:val="00FA13BF"/>
    <w:rsid w:val="00FA13FC"/>
    <w:rsid w:val="00FA1618"/>
    <w:rsid w:val="00FA1690"/>
    <w:rsid w:val="00FA1694"/>
    <w:rsid w:val="00FA16EC"/>
    <w:rsid w:val="00FA18A4"/>
    <w:rsid w:val="00FA18A7"/>
    <w:rsid w:val="00FA18B2"/>
    <w:rsid w:val="00FA19BA"/>
    <w:rsid w:val="00FA1A79"/>
    <w:rsid w:val="00FA1AAF"/>
    <w:rsid w:val="00FA1C18"/>
    <w:rsid w:val="00FA1C78"/>
    <w:rsid w:val="00FA1CAC"/>
    <w:rsid w:val="00FA1DB0"/>
    <w:rsid w:val="00FA1DDF"/>
    <w:rsid w:val="00FA21A1"/>
    <w:rsid w:val="00FA226A"/>
    <w:rsid w:val="00FA2276"/>
    <w:rsid w:val="00FA22AD"/>
    <w:rsid w:val="00FA230C"/>
    <w:rsid w:val="00FA246A"/>
    <w:rsid w:val="00FA2488"/>
    <w:rsid w:val="00FA255A"/>
    <w:rsid w:val="00FA259B"/>
    <w:rsid w:val="00FA27F6"/>
    <w:rsid w:val="00FA2A1E"/>
    <w:rsid w:val="00FA2ABF"/>
    <w:rsid w:val="00FA2E2A"/>
    <w:rsid w:val="00FA2E35"/>
    <w:rsid w:val="00FA2EBB"/>
    <w:rsid w:val="00FA2EFD"/>
    <w:rsid w:val="00FA2F62"/>
    <w:rsid w:val="00FA3009"/>
    <w:rsid w:val="00FA3060"/>
    <w:rsid w:val="00FA318A"/>
    <w:rsid w:val="00FA32FF"/>
    <w:rsid w:val="00FA3352"/>
    <w:rsid w:val="00FA3486"/>
    <w:rsid w:val="00FA34CC"/>
    <w:rsid w:val="00FA3523"/>
    <w:rsid w:val="00FA3571"/>
    <w:rsid w:val="00FA368D"/>
    <w:rsid w:val="00FA3715"/>
    <w:rsid w:val="00FA3754"/>
    <w:rsid w:val="00FA38CC"/>
    <w:rsid w:val="00FA3995"/>
    <w:rsid w:val="00FA39CC"/>
    <w:rsid w:val="00FA3AAD"/>
    <w:rsid w:val="00FA3AEC"/>
    <w:rsid w:val="00FA3C2F"/>
    <w:rsid w:val="00FA3C92"/>
    <w:rsid w:val="00FA3D58"/>
    <w:rsid w:val="00FA3DC7"/>
    <w:rsid w:val="00FA3EEA"/>
    <w:rsid w:val="00FA4189"/>
    <w:rsid w:val="00FA4247"/>
    <w:rsid w:val="00FA452A"/>
    <w:rsid w:val="00FA45AA"/>
    <w:rsid w:val="00FA461B"/>
    <w:rsid w:val="00FA477D"/>
    <w:rsid w:val="00FA498F"/>
    <w:rsid w:val="00FA49AF"/>
    <w:rsid w:val="00FA4AAF"/>
    <w:rsid w:val="00FA4B3C"/>
    <w:rsid w:val="00FA4C71"/>
    <w:rsid w:val="00FA4DEE"/>
    <w:rsid w:val="00FA4EB1"/>
    <w:rsid w:val="00FA4F95"/>
    <w:rsid w:val="00FA5091"/>
    <w:rsid w:val="00FA50F6"/>
    <w:rsid w:val="00FA51F0"/>
    <w:rsid w:val="00FA5225"/>
    <w:rsid w:val="00FA528F"/>
    <w:rsid w:val="00FA5347"/>
    <w:rsid w:val="00FA5611"/>
    <w:rsid w:val="00FA5658"/>
    <w:rsid w:val="00FA57EC"/>
    <w:rsid w:val="00FA58C9"/>
    <w:rsid w:val="00FA59A5"/>
    <w:rsid w:val="00FA5A4D"/>
    <w:rsid w:val="00FA5CFC"/>
    <w:rsid w:val="00FA5D0B"/>
    <w:rsid w:val="00FA5DE1"/>
    <w:rsid w:val="00FA5FF2"/>
    <w:rsid w:val="00FA60D7"/>
    <w:rsid w:val="00FA61F0"/>
    <w:rsid w:val="00FA638D"/>
    <w:rsid w:val="00FA64AB"/>
    <w:rsid w:val="00FA64B3"/>
    <w:rsid w:val="00FA64BA"/>
    <w:rsid w:val="00FA65F6"/>
    <w:rsid w:val="00FA66E9"/>
    <w:rsid w:val="00FA66F9"/>
    <w:rsid w:val="00FA671E"/>
    <w:rsid w:val="00FA673F"/>
    <w:rsid w:val="00FA6764"/>
    <w:rsid w:val="00FA68F5"/>
    <w:rsid w:val="00FA69EC"/>
    <w:rsid w:val="00FA6A19"/>
    <w:rsid w:val="00FA6B52"/>
    <w:rsid w:val="00FA6C12"/>
    <w:rsid w:val="00FA6CB0"/>
    <w:rsid w:val="00FA6D30"/>
    <w:rsid w:val="00FA6D74"/>
    <w:rsid w:val="00FA6DDE"/>
    <w:rsid w:val="00FA6E19"/>
    <w:rsid w:val="00FA6E3B"/>
    <w:rsid w:val="00FA6F56"/>
    <w:rsid w:val="00FA714B"/>
    <w:rsid w:val="00FA72F0"/>
    <w:rsid w:val="00FA743E"/>
    <w:rsid w:val="00FA7472"/>
    <w:rsid w:val="00FA74F8"/>
    <w:rsid w:val="00FA773D"/>
    <w:rsid w:val="00FA7790"/>
    <w:rsid w:val="00FA781F"/>
    <w:rsid w:val="00FA79EA"/>
    <w:rsid w:val="00FA7A27"/>
    <w:rsid w:val="00FA7A2E"/>
    <w:rsid w:val="00FA7AE6"/>
    <w:rsid w:val="00FA7B92"/>
    <w:rsid w:val="00FA7DB6"/>
    <w:rsid w:val="00FA7E9F"/>
    <w:rsid w:val="00FB001D"/>
    <w:rsid w:val="00FB00AD"/>
    <w:rsid w:val="00FB0220"/>
    <w:rsid w:val="00FB0318"/>
    <w:rsid w:val="00FB0523"/>
    <w:rsid w:val="00FB0619"/>
    <w:rsid w:val="00FB0661"/>
    <w:rsid w:val="00FB074A"/>
    <w:rsid w:val="00FB0764"/>
    <w:rsid w:val="00FB07B1"/>
    <w:rsid w:val="00FB080B"/>
    <w:rsid w:val="00FB0821"/>
    <w:rsid w:val="00FB083B"/>
    <w:rsid w:val="00FB0926"/>
    <w:rsid w:val="00FB09A0"/>
    <w:rsid w:val="00FB0A73"/>
    <w:rsid w:val="00FB0A84"/>
    <w:rsid w:val="00FB0AA1"/>
    <w:rsid w:val="00FB0AC1"/>
    <w:rsid w:val="00FB0B1E"/>
    <w:rsid w:val="00FB0B46"/>
    <w:rsid w:val="00FB0BEE"/>
    <w:rsid w:val="00FB0CB1"/>
    <w:rsid w:val="00FB0CD4"/>
    <w:rsid w:val="00FB0D0C"/>
    <w:rsid w:val="00FB0D3C"/>
    <w:rsid w:val="00FB0D90"/>
    <w:rsid w:val="00FB0DEE"/>
    <w:rsid w:val="00FB0E12"/>
    <w:rsid w:val="00FB0E9B"/>
    <w:rsid w:val="00FB0F39"/>
    <w:rsid w:val="00FB0F73"/>
    <w:rsid w:val="00FB0FF7"/>
    <w:rsid w:val="00FB1003"/>
    <w:rsid w:val="00FB1026"/>
    <w:rsid w:val="00FB1088"/>
    <w:rsid w:val="00FB1175"/>
    <w:rsid w:val="00FB1200"/>
    <w:rsid w:val="00FB127A"/>
    <w:rsid w:val="00FB130D"/>
    <w:rsid w:val="00FB1471"/>
    <w:rsid w:val="00FB14F1"/>
    <w:rsid w:val="00FB14F9"/>
    <w:rsid w:val="00FB15AC"/>
    <w:rsid w:val="00FB15E3"/>
    <w:rsid w:val="00FB160D"/>
    <w:rsid w:val="00FB17B8"/>
    <w:rsid w:val="00FB17D4"/>
    <w:rsid w:val="00FB17EB"/>
    <w:rsid w:val="00FB1873"/>
    <w:rsid w:val="00FB1A60"/>
    <w:rsid w:val="00FB1A7D"/>
    <w:rsid w:val="00FB1AAC"/>
    <w:rsid w:val="00FB1B51"/>
    <w:rsid w:val="00FB1B63"/>
    <w:rsid w:val="00FB1DC3"/>
    <w:rsid w:val="00FB1E7C"/>
    <w:rsid w:val="00FB1E9D"/>
    <w:rsid w:val="00FB1EE6"/>
    <w:rsid w:val="00FB1EE8"/>
    <w:rsid w:val="00FB1F1B"/>
    <w:rsid w:val="00FB1F25"/>
    <w:rsid w:val="00FB1FC5"/>
    <w:rsid w:val="00FB1FFB"/>
    <w:rsid w:val="00FB21F0"/>
    <w:rsid w:val="00FB2310"/>
    <w:rsid w:val="00FB24D9"/>
    <w:rsid w:val="00FB2598"/>
    <w:rsid w:val="00FB26D6"/>
    <w:rsid w:val="00FB2700"/>
    <w:rsid w:val="00FB285F"/>
    <w:rsid w:val="00FB28C4"/>
    <w:rsid w:val="00FB29C3"/>
    <w:rsid w:val="00FB29F0"/>
    <w:rsid w:val="00FB2B19"/>
    <w:rsid w:val="00FB2D4B"/>
    <w:rsid w:val="00FB2D90"/>
    <w:rsid w:val="00FB2DEE"/>
    <w:rsid w:val="00FB2E7C"/>
    <w:rsid w:val="00FB2F6A"/>
    <w:rsid w:val="00FB3060"/>
    <w:rsid w:val="00FB3084"/>
    <w:rsid w:val="00FB309D"/>
    <w:rsid w:val="00FB31C9"/>
    <w:rsid w:val="00FB31D1"/>
    <w:rsid w:val="00FB3208"/>
    <w:rsid w:val="00FB32C8"/>
    <w:rsid w:val="00FB335C"/>
    <w:rsid w:val="00FB3499"/>
    <w:rsid w:val="00FB361A"/>
    <w:rsid w:val="00FB3788"/>
    <w:rsid w:val="00FB3AB7"/>
    <w:rsid w:val="00FB3E99"/>
    <w:rsid w:val="00FB3F77"/>
    <w:rsid w:val="00FB3FB9"/>
    <w:rsid w:val="00FB4068"/>
    <w:rsid w:val="00FB4089"/>
    <w:rsid w:val="00FB4138"/>
    <w:rsid w:val="00FB4150"/>
    <w:rsid w:val="00FB4179"/>
    <w:rsid w:val="00FB42F5"/>
    <w:rsid w:val="00FB431B"/>
    <w:rsid w:val="00FB441C"/>
    <w:rsid w:val="00FB4487"/>
    <w:rsid w:val="00FB44E7"/>
    <w:rsid w:val="00FB4568"/>
    <w:rsid w:val="00FB4593"/>
    <w:rsid w:val="00FB4649"/>
    <w:rsid w:val="00FB46DE"/>
    <w:rsid w:val="00FB4893"/>
    <w:rsid w:val="00FB4ADF"/>
    <w:rsid w:val="00FB4AE6"/>
    <w:rsid w:val="00FB4D46"/>
    <w:rsid w:val="00FB4DAB"/>
    <w:rsid w:val="00FB4E50"/>
    <w:rsid w:val="00FB4ECA"/>
    <w:rsid w:val="00FB4F51"/>
    <w:rsid w:val="00FB53BC"/>
    <w:rsid w:val="00FB542F"/>
    <w:rsid w:val="00FB55A5"/>
    <w:rsid w:val="00FB5603"/>
    <w:rsid w:val="00FB5835"/>
    <w:rsid w:val="00FB58F9"/>
    <w:rsid w:val="00FB58FD"/>
    <w:rsid w:val="00FB5902"/>
    <w:rsid w:val="00FB596E"/>
    <w:rsid w:val="00FB5B1E"/>
    <w:rsid w:val="00FB5B3B"/>
    <w:rsid w:val="00FB5B7E"/>
    <w:rsid w:val="00FB5BC4"/>
    <w:rsid w:val="00FB5BD7"/>
    <w:rsid w:val="00FB5BDF"/>
    <w:rsid w:val="00FB5C45"/>
    <w:rsid w:val="00FB5C86"/>
    <w:rsid w:val="00FB5EFB"/>
    <w:rsid w:val="00FB5F21"/>
    <w:rsid w:val="00FB5FCA"/>
    <w:rsid w:val="00FB5FFA"/>
    <w:rsid w:val="00FB6086"/>
    <w:rsid w:val="00FB6186"/>
    <w:rsid w:val="00FB61CC"/>
    <w:rsid w:val="00FB624D"/>
    <w:rsid w:val="00FB6288"/>
    <w:rsid w:val="00FB6319"/>
    <w:rsid w:val="00FB63F3"/>
    <w:rsid w:val="00FB63F6"/>
    <w:rsid w:val="00FB64C1"/>
    <w:rsid w:val="00FB67EF"/>
    <w:rsid w:val="00FB683A"/>
    <w:rsid w:val="00FB69D7"/>
    <w:rsid w:val="00FB6B2F"/>
    <w:rsid w:val="00FB6BF6"/>
    <w:rsid w:val="00FB6C75"/>
    <w:rsid w:val="00FB6CC4"/>
    <w:rsid w:val="00FB6CC9"/>
    <w:rsid w:val="00FB6CCF"/>
    <w:rsid w:val="00FB6DC0"/>
    <w:rsid w:val="00FB6E80"/>
    <w:rsid w:val="00FB6E85"/>
    <w:rsid w:val="00FB6E88"/>
    <w:rsid w:val="00FB6EC4"/>
    <w:rsid w:val="00FB700B"/>
    <w:rsid w:val="00FB7066"/>
    <w:rsid w:val="00FB70A3"/>
    <w:rsid w:val="00FB712F"/>
    <w:rsid w:val="00FB71AE"/>
    <w:rsid w:val="00FB7374"/>
    <w:rsid w:val="00FB7382"/>
    <w:rsid w:val="00FB73ED"/>
    <w:rsid w:val="00FB7429"/>
    <w:rsid w:val="00FB7489"/>
    <w:rsid w:val="00FB74DB"/>
    <w:rsid w:val="00FB74E2"/>
    <w:rsid w:val="00FB7575"/>
    <w:rsid w:val="00FB75DA"/>
    <w:rsid w:val="00FB7684"/>
    <w:rsid w:val="00FB7831"/>
    <w:rsid w:val="00FB7883"/>
    <w:rsid w:val="00FB791A"/>
    <w:rsid w:val="00FB7959"/>
    <w:rsid w:val="00FB796C"/>
    <w:rsid w:val="00FB7982"/>
    <w:rsid w:val="00FB7B2B"/>
    <w:rsid w:val="00FB7BCC"/>
    <w:rsid w:val="00FB7C55"/>
    <w:rsid w:val="00FB7D50"/>
    <w:rsid w:val="00FB7EA9"/>
    <w:rsid w:val="00FB7F5C"/>
    <w:rsid w:val="00FB87C9"/>
    <w:rsid w:val="00FC0003"/>
    <w:rsid w:val="00FC0027"/>
    <w:rsid w:val="00FC023E"/>
    <w:rsid w:val="00FC02F5"/>
    <w:rsid w:val="00FC0353"/>
    <w:rsid w:val="00FC0406"/>
    <w:rsid w:val="00FC0701"/>
    <w:rsid w:val="00FC07DB"/>
    <w:rsid w:val="00FC0920"/>
    <w:rsid w:val="00FC0941"/>
    <w:rsid w:val="00FC0985"/>
    <w:rsid w:val="00FC0AA6"/>
    <w:rsid w:val="00FC0BD0"/>
    <w:rsid w:val="00FC0BD1"/>
    <w:rsid w:val="00FC0C12"/>
    <w:rsid w:val="00FC0D10"/>
    <w:rsid w:val="00FC0D49"/>
    <w:rsid w:val="00FC0E61"/>
    <w:rsid w:val="00FC0ECF"/>
    <w:rsid w:val="00FC0F08"/>
    <w:rsid w:val="00FC0F5E"/>
    <w:rsid w:val="00FC115F"/>
    <w:rsid w:val="00FC1174"/>
    <w:rsid w:val="00FC11EC"/>
    <w:rsid w:val="00FC1215"/>
    <w:rsid w:val="00FC12C8"/>
    <w:rsid w:val="00FC1329"/>
    <w:rsid w:val="00FC13D5"/>
    <w:rsid w:val="00FC13F8"/>
    <w:rsid w:val="00FC1481"/>
    <w:rsid w:val="00FC1559"/>
    <w:rsid w:val="00FC1594"/>
    <w:rsid w:val="00FC15D5"/>
    <w:rsid w:val="00FC1689"/>
    <w:rsid w:val="00FC1837"/>
    <w:rsid w:val="00FC1A27"/>
    <w:rsid w:val="00FC1B11"/>
    <w:rsid w:val="00FC1B7E"/>
    <w:rsid w:val="00FC1BC8"/>
    <w:rsid w:val="00FC1E96"/>
    <w:rsid w:val="00FC1F25"/>
    <w:rsid w:val="00FC1FE2"/>
    <w:rsid w:val="00FC2082"/>
    <w:rsid w:val="00FC21E2"/>
    <w:rsid w:val="00FC22A3"/>
    <w:rsid w:val="00FC233D"/>
    <w:rsid w:val="00FC2356"/>
    <w:rsid w:val="00FC23EB"/>
    <w:rsid w:val="00FC2416"/>
    <w:rsid w:val="00FC242B"/>
    <w:rsid w:val="00FC2445"/>
    <w:rsid w:val="00FC256D"/>
    <w:rsid w:val="00FC25C7"/>
    <w:rsid w:val="00FC2759"/>
    <w:rsid w:val="00FC2964"/>
    <w:rsid w:val="00FC29D2"/>
    <w:rsid w:val="00FC29DE"/>
    <w:rsid w:val="00FC2AAD"/>
    <w:rsid w:val="00FC2BEB"/>
    <w:rsid w:val="00FC2BF4"/>
    <w:rsid w:val="00FC2C25"/>
    <w:rsid w:val="00FC2C40"/>
    <w:rsid w:val="00FC2CF8"/>
    <w:rsid w:val="00FC2D1E"/>
    <w:rsid w:val="00FC2D62"/>
    <w:rsid w:val="00FC2D97"/>
    <w:rsid w:val="00FC2F03"/>
    <w:rsid w:val="00FC2F07"/>
    <w:rsid w:val="00FC3258"/>
    <w:rsid w:val="00FC32A9"/>
    <w:rsid w:val="00FC3301"/>
    <w:rsid w:val="00FC332C"/>
    <w:rsid w:val="00FC3350"/>
    <w:rsid w:val="00FC343A"/>
    <w:rsid w:val="00FC354A"/>
    <w:rsid w:val="00FC35C6"/>
    <w:rsid w:val="00FC3660"/>
    <w:rsid w:val="00FC3702"/>
    <w:rsid w:val="00FC3757"/>
    <w:rsid w:val="00FC3796"/>
    <w:rsid w:val="00FC37FA"/>
    <w:rsid w:val="00FC384B"/>
    <w:rsid w:val="00FC38E9"/>
    <w:rsid w:val="00FC3932"/>
    <w:rsid w:val="00FC3B5A"/>
    <w:rsid w:val="00FC3DF9"/>
    <w:rsid w:val="00FC3EC4"/>
    <w:rsid w:val="00FC3FD4"/>
    <w:rsid w:val="00FC3FE8"/>
    <w:rsid w:val="00FC406D"/>
    <w:rsid w:val="00FC414F"/>
    <w:rsid w:val="00FC4171"/>
    <w:rsid w:val="00FC41D1"/>
    <w:rsid w:val="00FC41FB"/>
    <w:rsid w:val="00FC4320"/>
    <w:rsid w:val="00FC4338"/>
    <w:rsid w:val="00FC43D4"/>
    <w:rsid w:val="00FC44CF"/>
    <w:rsid w:val="00FC456E"/>
    <w:rsid w:val="00FC465D"/>
    <w:rsid w:val="00FC4686"/>
    <w:rsid w:val="00FC4753"/>
    <w:rsid w:val="00FC47B8"/>
    <w:rsid w:val="00FC493F"/>
    <w:rsid w:val="00FC499C"/>
    <w:rsid w:val="00FC4A54"/>
    <w:rsid w:val="00FC4AB9"/>
    <w:rsid w:val="00FC4B16"/>
    <w:rsid w:val="00FC4B87"/>
    <w:rsid w:val="00FC4BD7"/>
    <w:rsid w:val="00FC4C2C"/>
    <w:rsid w:val="00FC4C3D"/>
    <w:rsid w:val="00FC4EE2"/>
    <w:rsid w:val="00FC4F23"/>
    <w:rsid w:val="00FC5013"/>
    <w:rsid w:val="00FC505F"/>
    <w:rsid w:val="00FC5087"/>
    <w:rsid w:val="00FC508B"/>
    <w:rsid w:val="00FC5155"/>
    <w:rsid w:val="00FC5166"/>
    <w:rsid w:val="00FC52C7"/>
    <w:rsid w:val="00FC5433"/>
    <w:rsid w:val="00FC55C8"/>
    <w:rsid w:val="00FC5670"/>
    <w:rsid w:val="00FC56AB"/>
    <w:rsid w:val="00FC56AF"/>
    <w:rsid w:val="00FC56D8"/>
    <w:rsid w:val="00FC5AC5"/>
    <w:rsid w:val="00FC5B5F"/>
    <w:rsid w:val="00FC5CEA"/>
    <w:rsid w:val="00FC5E58"/>
    <w:rsid w:val="00FC5ECE"/>
    <w:rsid w:val="00FC5F6E"/>
    <w:rsid w:val="00FC5F6F"/>
    <w:rsid w:val="00FC5FE2"/>
    <w:rsid w:val="00FC609E"/>
    <w:rsid w:val="00FC6293"/>
    <w:rsid w:val="00FC62ED"/>
    <w:rsid w:val="00FC633D"/>
    <w:rsid w:val="00FC63A9"/>
    <w:rsid w:val="00FC63EE"/>
    <w:rsid w:val="00FC6406"/>
    <w:rsid w:val="00FC66DE"/>
    <w:rsid w:val="00FC6719"/>
    <w:rsid w:val="00FC67C1"/>
    <w:rsid w:val="00FC6827"/>
    <w:rsid w:val="00FC68F1"/>
    <w:rsid w:val="00FC6B2B"/>
    <w:rsid w:val="00FC6C19"/>
    <w:rsid w:val="00FC6DD9"/>
    <w:rsid w:val="00FC6E0D"/>
    <w:rsid w:val="00FC6E91"/>
    <w:rsid w:val="00FC6F20"/>
    <w:rsid w:val="00FC70E6"/>
    <w:rsid w:val="00FC7234"/>
    <w:rsid w:val="00FC7777"/>
    <w:rsid w:val="00FC77B3"/>
    <w:rsid w:val="00FC77D5"/>
    <w:rsid w:val="00FC7867"/>
    <w:rsid w:val="00FC7991"/>
    <w:rsid w:val="00FC79CD"/>
    <w:rsid w:val="00FC7A03"/>
    <w:rsid w:val="00FC7A64"/>
    <w:rsid w:val="00FC7B47"/>
    <w:rsid w:val="00FC7BB7"/>
    <w:rsid w:val="00FC7CB2"/>
    <w:rsid w:val="00FC7CEB"/>
    <w:rsid w:val="00FC7E97"/>
    <w:rsid w:val="00FC7F4A"/>
    <w:rsid w:val="00FD007E"/>
    <w:rsid w:val="00FD0085"/>
    <w:rsid w:val="00FD0095"/>
    <w:rsid w:val="00FD0128"/>
    <w:rsid w:val="00FD024A"/>
    <w:rsid w:val="00FD029C"/>
    <w:rsid w:val="00FD0322"/>
    <w:rsid w:val="00FD0349"/>
    <w:rsid w:val="00FD0520"/>
    <w:rsid w:val="00FD06BC"/>
    <w:rsid w:val="00FD070B"/>
    <w:rsid w:val="00FD0740"/>
    <w:rsid w:val="00FD09AE"/>
    <w:rsid w:val="00FD09C0"/>
    <w:rsid w:val="00FD09D7"/>
    <w:rsid w:val="00FD0A3D"/>
    <w:rsid w:val="00FD0B4B"/>
    <w:rsid w:val="00FD0C54"/>
    <w:rsid w:val="00FD0C89"/>
    <w:rsid w:val="00FD0CA6"/>
    <w:rsid w:val="00FD0E00"/>
    <w:rsid w:val="00FD0E12"/>
    <w:rsid w:val="00FD0E57"/>
    <w:rsid w:val="00FD0EE3"/>
    <w:rsid w:val="00FD0F05"/>
    <w:rsid w:val="00FD0F6F"/>
    <w:rsid w:val="00FD0F76"/>
    <w:rsid w:val="00FD0FF9"/>
    <w:rsid w:val="00FD12CE"/>
    <w:rsid w:val="00FD13B0"/>
    <w:rsid w:val="00FD147B"/>
    <w:rsid w:val="00FD1809"/>
    <w:rsid w:val="00FD184D"/>
    <w:rsid w:val="00FD1965"/>
    <w:rsid w:val="00FD1A46"/>
    <w:rsid w:val="00FD1C1A"/>
    <w:rsid w:val="00FD1C80"/>
    <w:rsid w:val="00FD1D6A"/>
    <w:rsid w:val="00FD1DB2"/>
    <w:rsid w:val="00FD1FDE"/>
    <w:rsid w:val="00FD208F"/>
    <w:rsid w:val="00FD2151"/>
    <w:rsid w:val="00FD219E"/>
    <w:rsid w:val="00FD2201"/>
    <w:rsid w:val="00FD230B"/>
    <w:rsid w:val="00FD2314"/>
    <w:rsid w:val="00FD2469"/>
    <w:rsid w:val="00FD2602"/>
    <w:rsid w:val="00FD2683"/>
    <w:rsid w:val="00FD277E"/>
    <w:rsid w:val="00FD27DA"/>
    <w:rsid w:val="00FD2A89"/>
    <w:rsid w:val="00FD2A8F"/>
    <w:rsid w:val="00FD2D0C"/>
    <w:rsid w:val="00FD2D3B"/>
    <w:rsid w:val="00FD2DB7"/>
    <w:rsid w:val="00FD2E76"/>
    <w:rsid w:val="00FD2EFF"/>
    <w:rsid w:val="00FD2F60"/>
    <w:rsid w:val="00FD3142"/>
    <w:rsid w:val="00FD316B"/>
    <w:rsid w:val="00FD3207"/>
    <w:rsid w:val="00FD3330"/>
    <w:rsid w:val="00FD3539"/>
    <w:rsid w:val="00FD35AE"/>
    <w:rsid w:val="00FD37B6"/>
    <w:rsid w:val="00FD37C8"/>
    <w:rsid w:val="00FD37DA"/>
    <w:rsid w:val="00FD37F1"/>
    <w:rsid w:val="00FD38A8"/>
    <w:rsid w:val="00FD3983"/>
    <w:rsid w:val="00FD39A2"/>
    <w:rsid w:val="00FD39A7"/>
    <w:rsid w:val="00FD3A11"/>
    <w:rsid w:val="00FD3A35"/>
    <w:rsid w:val="00FD3AE6"/>
    <w:rsid w:val="00FD3BDD"/>
    <w:rsid w:val="00FD3C0E"/>
    <w:rsid w:val="00FD3C51"/>
    <w:rsid w:val="00FD3CA6"/>
    <w:rsid w:val="00FD3CE7"/>
    <w:rsid w:val="00FD3DC3"/>
    <w:rsid w:val="00FD403D"/>
    <w:rsid w:val="00FD4071"/>
    <w:rsid w:val="00FD407A"/>
    <w:rsid w:val="00FD40F6"/>
    <w:rsid w:val="00FD41C1"/>
    <w:rsid w:val="00FD41E1"/>
    <w:rsid w:val="00FD4269"/>
    <w:rsid w:val="00FD4275"/>
    <w:rsid w:val="00FD438A"/>
    <w:rsid w:val="00FD4427"/>
    <w:rsid w:val="00FD44EB"/>
    <w:rsid w:val="00FD466E"/>
    <w:rsid w:val="00FD472F"/>
    <w:rsid w:val="00FD47E0"/>
    <w:rsid w:val="00FD47E5"/>
    <w:rsid w:val="00FD4809"/>
    <w:rsid w:val="00FD4821"/>
    <w:rsid w:val="00FD4826"/>
    <w:rsid w:val="00FD4867"/>
    <w:rsid w:val="00FD48EE"/>
    <w:rsid w:val="00FD490D"/>
    <w:rsid w:val="00FD490F"/>
    <w:rsid w:val="00FD4988"/>
    <w:rsid w:val="00FD4EEC"/>
    <w:rsid w:val="00FD4F39"/>
    <w:rsid w:val="00FD4F46"/>
    <w:rsid w:val="00FD5004"/>
    <w:rsid w:val="00FD5015"/>
    <w:rsid w:val="00FD5027"/>
    <w:rsid w:val="00FD50A8"/>
    <w:rsid w:val="00FD5126"/>
    <w:rsid w:val="00FD5221"/>
    <w:rsid w:val="00FD5328"/>
    <w:rsid w:val="00FD54B5"/>
    <w:rsid w:val="00FD54BA"/>
    <w:rsid w:val="00FD554D"/>
    <w:rsid w:val="00FD5557"/>
    <w:rsid w:val="00FD5612"/>
    <w:rsid w:val="00FD5741"/>
    <w:rsid w:val="00FD58A9"/>
    <w:rsid w:val="00FD5AF7"/>
    <w:rsid w:val="00FD5B71"/>
    <w:rsid w:val="00FD5C95"/>
    <w:rsid w:val="00FD5D35"/>
    <w:rsid w:val="00FD5D55"/>
    <w:rsid w:val="00FD5E88"/>
    <w:rsid w:val="00FD5FF1"/>
    <w:rsid w:val="00FD6035"/>
    <w:rsid w:val="00FD616E"/>
    <w:rsid w:val="00FD61EA"/>
    <w:rsid w:val="00FD622E"/>
    <w:rsid w:val="00FD636A"/>
    <w:rsid w:val="00FD6392"/>
    <w:rsid w:val="00FD63E2"/>
    <w:rsid w:val="00FD6405"/>
    <w:rsid w:val="00FD640D"/>
    <w:rsid w:val="00FD650A"/>
    <w:rsid w:val="00FD6551"/>
    <w:rsid w:val="00FD659C"/>
    <w:rsid w:val="00FD66C9"/>
    <w:rsid w:val="00FD66EE"/>
    <w:rsid w:val="00FD67F9"/>
    <w:rsid w:val="00FD6923"/>
    <w:rsid w:val="00FD6936"/>
    <w:rsid w:val="00FD6983"/>
    <w:rsid w:val="00FD6A6E"/>
    <w:rsid w:val="00FD6B71"/>
    <w:rsid w:val="00FD6C3B"/>
    <w:rsid w:val="00FD6D27"/>
    <w:rsid w:val="00FD6F09"/>
    <w:rsid w:val="00FD6F47"/>
    <w:rsid w:val="00FD7051"/>
    <w:rsid w:val="00FD706A"/>
    <w:rsid w:val="00FD70F1"/>
    <w:rsid w:val="00FD7265"/>
    <w:rsid w:val="00FD7389"/>
    <w:rsid w:val="00FD73BE"/>
    <w:rsid w:val="00FD74BA"/>
    <w:rsid w:val="00FD7513"/>
    <w:rsid w:val="00FD7629"/>
    <w:rsid w:val="00FD7673"/>
    <w:rsid w:val="00FD781D"/>
    <w:rsid w:val="00FD7829"/>
    <w:rsid w:val="00FD7842"/>
    <w:rsid w:val="00FD7891"/>
    <w:rsid w:val="00FD7993"/>
    <w:rsid w:val="00FD7A7D"/>
    <w:rsid w:val="00FD7C00"/>
    <w:rsid w:val="00FD7C68"/>
    <w:rsid w:val="00FD7D42"/>
    <w:rsid w:val="00FD7D81"/>
    <w:rsid w:val="00FD7F3D"/>
    <w:rsid w:val="00FD7FE4"/>
    <w:rsid w:val="00FDE938"/>
    <w:rsid w:val="00FE001A"/>
    <w:rsid w:val="00FE00C3"/>
    <w:rsid w:val="00FE026C"/>
    <w:rsid w:val="00FE045A"/>
    <w:rsid w:val="00FE05D5"/>
    <w:rsid w:val="00FE0727"/>
    <w:rsid w:val="00FE072B"/>
    <w:rsid w:val="00FE0868"/>
    <w:rsid w:val="00FE09DB"/>
    <w:rsid w:val="00FE09EF"/>
    <w:rsid w:val="00FE0A08"/>
    <w:rsid w:val="00FE0A11"/>
    <w:rsid w:val="00FE0AAD"/>
    <w:rsid w:val="00FE0AD9"/>
    <w:rsid w:val="00FE0B23"/>
    <w:rsid w:val="00FE0CB9"/>
    <w:rsid w:val="00FE0CF5"/>
    <w:rsid w:val="00FE0DBB"/>
    <w:rsid w:val="00FE0F1F"/>
    <w:rsid w:val="00FE0F79"/>
    <w:rsid w:val="00FE0F7A"/>
    <w:rsid w:val="00FE104B"/>
    <w:rsid w:val="00FE10E5"/>
    <w:rsid w:val="00FE112D"/>
    <w:rsid w:val="00FE1194"/>
    <w:rsid w:val="00FE11E9"/>
    <w:rsid w:val="00FE12A6"/>
    <w:rsid w:val="00FE142A"/>
    <w:rsid w:val="00FE1454"/>
    <w:rsid w:val="00FE14EF"/>
    <w:rsid w:val="00FE16F3"/>
    <w:rsid w:val="00FE176A"/>
    <w:rsid w:val="00FE1899"/>
    <w:rsid w:val="00FE18AA"/>
    <w:rsid w:val="00FE197A"/>
    <w:rsid w:val="00FE1A36"/>
    <w:rsid w:val="00FE1A76"/>
    <w:rsid w:val="00FE1DEA"/>
    <w:rsid w:val="00FE1E8D"/>
    <w:rsid w:val="00FE1F5C"/>
    <w:rsid w:val="00FE205A"/>
    <w:rsid w:val="00FE2086"/>
    <w:rsid w:val="00FE2142"/>
    <w:rsid w:val="00FE2248"/>
    <w:rsid w:val="00FE229C"/>
    <w:rsid w:val="00FE2307"/>
    <w:rsid w:val="00FE24DC"/>
    <w:rsid w:val="00FE252F"/>
    <w:rsid w:val="00FE2595"/>
    <w:rsid w:val="00FE2717"/>
    <w:rsid w:val="00FE283A"/>
    <w:rsid w:val="00FE28CC"/>
    <w:rsid w:val="00FE293C"/>
    <w:rsid w:val="00FE2960"/>
    <w:rsid w:val="00FE299F"/>
    <w:rsid w:val="00FE29C0"/>
    <w:rsid w:val="00FE2A96"/>
    <w:rsid w:val="00FE2AAC"/>
    <w:rsid w:val="00FE2B67"/>
    <w:rsid w:val="00FE2BAB"/>
    <w:rsid w:val="00FE2BAE"/>
    <w:rsid w:val="00FE2C98"/>
    <w:rsid w:val="00FE2D23"/>
    <w:rsid w:val="00FE2DB6"/>
    <w:rsid w:val="00FE2DEE"/>
    <w:rsid w:val="00FE2E28"/>
    <w:rsid w:val="00FE2EDF"/>
    <w:rsid w:val="00FE2EFF"/>
    <w:rsid w:val="00FE314E"/>
    <w:rsid w:val="00FE3225"/>
    <w:rsid w:val="00FE3245"/>
    <w:rsid w:val="00FE3272"/>
    <w:rsid w:val="00FE32BB"/>
    <w:rsid w:val="00FE337D"/>
    <w:rsid w:val="00FE338D"/>
    <w:rsid w:val="00FE3447"/>
    <w:rsid w:val="00FE34C0"/>
    <w:rsid w:val="00FE34F8"/>
    <w:rsid w:val="00FE3637"/>
    <w:rsid w:val="00FE3703"/>
    <w:rsid w:val="00FE37A2"/>
    <w:rsid w:val="00FE37AF"/>
    <w:rsid w:val="00FE38A2"/>
    <w:rsid w:val="00FE38B6"/>
    <w:rsid w:val="00FE3905"/>
    <w:rsid w:val="00FE3A5E"/>
    <w:rsid w:val="00FE3A7F"/>
    <w:rsid w:val="00FE3BBB"/>
    <w:rsid w:val="00FE3DA5"/>
    <w:rsid w:val="00FE3DAE"/>
    <w:rsid w:val="00FE3DB0"/>
    <w:rsid w:val="00FE3E6B"/>
    <w:rsid w:val="00FE3E89"/>
    <w:rsid w:val="00FE4006"/>
    <w:rsid w:val="00FE4108"/>
    <w:rsid w:val="00FE4185"/>
    <w:rsid w:val="00FE41CE"/>
    <w:rsid w:val="00FE4372"/>
    <w:rsid w:val="00FE4440"/>
    <w:rsid w:val="00FE4448"/>
    <w:rsid w:val="00FE450E"/>
    <w:rsid w:val="00FE45C5"/>
    <w:rsid w:val="00FE464F"/>
    <w:rsid w:val="00FE46BC"/>
    <w:rsid w:val="00FE479A"/>
    <w:rsid w:val="00FE48FF"/>
    <w:rsid w:val="00FE4910"/>
    <w:rsid w:val="00FE4AEE"/>
    <w:rsid w:val="00FE4AF9"/>
    <w:rsid w:val="00FE4C1E"/>
    <w:rsid w:val="00FE4CC9"/>
    <w:rsid w:val="00FE4CD2"/>
    <w:rsid w:val="00FE4D15"/>
    <w:rsid w:val="00FE4D53"/>
    <w:rsid w:val="00FE4E70"/>
    <w:rsid w:val="00FE4E77"/>
    <w:rsid w:val="00FE4EA3"/>
    <w:rsid w:val="00FE4F19"/>
    <w:rsid w:val="00FE4F9F"/>
    <w:rsid w:val="00FE4FC8"/>
    <w:rsid w:val="00FE4FFC"/>
    <w:rsid w:val="00FE50E3"/>
    <w:rsid w:val="00FE518E"/>
    <w:rsid w:val="00FE51D3"/>
    <w:rsid w:val="00FE52CB"/>
    <w:rsid w:val="00FE566C"/>
    <w:rsid w:val="00FE58C7"/>
    <w:rsid w:val="00FE596D"/>
    <w:rsid w:val="00FE59D6"/>
    <w:rsid w:val="00FE5AB3"/>
    <w:rsid w:val="00FE5B17"/>
    <w:rsid w:val="00FE5B28"/>
    <w:rsid w:val="00FE5B30"/>
    <w:rsid w:val="00FE5CAA"/>
    <w:rsid w:val="00FE5DE9"/>
    <w:rsid w:val="00FE5E20"/>
    <w:rsid w:val="00FE5E72"/>
    <w:rsid w:val="00FE6042"/>
    <w:rsid w:val="00FE609D"/>
    <w:rsid w:val="00FE60AB"/>
    <w:rsid w:val="00FE60BB"/>
    <w:rsid w:val="00FE611B"/>
    <w:rsid w:val="00FE61D4"/>
    <w:rsid w:val="00FE6207"/>
    <w:rsid w:val="00FE62E9"/>
    <w:rsid w:val="00FE63E9"/>
    <w:rsid w:val="00FE6458"/>
    <w:rsid w:val="00FE657E"/>
    <w:rsid w:val="00FE6592"/>
    <w:rsid w:val="00FE65CB"/>
    <w:rsid w:val="00FE6652"/>
    <w:rsid w:val="00FE67AF"/>
    <w:rsid w:val="00FE68AA"/>
    <w:rsid w:val="00FE68B0"/>
    <w:rsid w:val="00FE6991"/>
    <w:rsid w:val="00FE69B2"/>
    <w:rsid w:val="00FE6A10"/>
    <w:rsid w:val="00FE6B26"/>
    <w:rsid w:val="00FE6B9A"/>
    <w:rsid w:val="00FE6C9E"/>
    <w:rsid w:val="00FE6D03"/>
    <w:rsid w:val="00FE6E16"/>
    <w:rsid w:val="00FE6E75"/>
    <w:rsid w:val="00FE6F21"/>
    <w:rsid w:val="00FE6F39"/>
    <w:rsid w:val="00FE6F90"/>
    <w:rsid w:val="00FE70C3"/>
    <w:rsid w:val="00FE723B"/>
    <w:rsid w:val="00FE723D"/>
    <w:rsid w:val="00FE7498"/>
    <w:rsid w:val="00FE74D0"/>
    <w:rsid w:val="00FE74DA"/>
    <w:rsid w:val="00FE7519"/>
    <w:rsid w:val="00FE765B"/>
    <w:rsid w:val="00FE7676"/>
    <w:rsid w:val="00FE78C7"/>
    <w:rsid w:val="00FE79D3"/>
    <w:rsid w:val="00FE7A27"/>
    <w:rsid w:val="00FE7A30"/>
    <w:rsid w:val="00FE7A8D"/>
    <w:rsid w:val="00FE7AAF"/>
    <w:rsid w:val="00FE7BD5"/>
    <w:rsid w:val="00FE7BD7"/>
    <w:rsid w:val="00FE7C53"/>
    <w:rsid w:val="00FE7CD0"/>
    <w:rsid w:val="00FE7E64"/>
    <w:rsid w:val="00FE7EB5"/>
    <w:rsid w:val="00FE7EC9"/>
    <w:rsid w:val="00FF00CF"/>
    <w:rsid w:val="00FF00DC"/>
    <w:rsid w:val="00FF01CF"/>
    <w:rsid w:val="00FF0376"/>
    <w:rsid w:val="00FF03F3"/>
    <w:rsid w:val="00FF0435"/>
    <w:rsid w:val="00FF0560"/>
    <w:rsid w:val="00FF057A"/>
    <w:rsid w:val="00FF05A0"/>
    <w:rsid w:val="00FF06F3"/>
    <w:rsid w:val="00FF07EC"/>
    <w:rsid w:val="00FF096C"/>
    <w:rsid w:val="00FF09C4"/>
    <w:rsid w:val="00FF0A2F"/>
    <w:rsid w:val="00FF0A93"/>
    <w:rsid w:val="00FF0A9D"/>
    <w:rsid w:val="00FF0B5C"/>
    <w:rsid w:val="00FF0E3B"/>
    <w:rsid w:val="00FF0E7C"/>
    <w:rsid w:val="00FF0F0F"/>
    <w:rsid w:val="00FF0F32"/>
    <w:rsid w:val="00FF0F78"/>
    <w:rsid w:val="00FF1024"/>
    <w:rsid w:val="00FF1190"/>
    <w:rsid w:val="00FF12D2"/>
    <w:rsid w:val="00FF12E3"/>
    <w:rsid w:val="00FF131F"/>
    <w:rsid w:val="00FF13D6"/>
    <w:rsid w:val="00FF152B"/>
    <w:rsid w:val="00FF15F7"/>
    <w:rsid w:val="00FF16E5"/>
    <w:rsid w:val="00FF170B"/>
    <w:rsid w:val="00FF1875"/>
    <w:rsid w:val="00FF1878"/>
    <w:rsid w:val="00FF18BD"/>
    <w:rsid w:val="00FF18ED"/>
    <w:rsid w:val="00FF1A5A"/>
    <w:rsid w:val="00FF1A73"/>
    <w:rsid w:val="00FF1AD2"/>
    <w:rsid w:val="00FF1AE0"/>
    <w:rsid w:val="00FF1B1B"/>
    <w:rsid w:val="00FF1BC7"/>
    <w:rsid w:val="00FF1C6D"/>
    <w:rsid w:val="00FF1D47"/>
    <w:rsid w:val="00FF1E21"/>
    <w:rsid w:val="00FF1FAB"/>
    <w:rsid w:val="00FF2113"/>
    <w:rsid w:val="00FF2131"/>
    <w:rsid w:val="00FF221C"/>
    <w:rsid w:val="00FF2352"/>
    <w:rsid w:val="00FF23FD"/>
    <w:rsid w:val="00FF2413"/>
    <w:rsid w:val="00FF24E2"/>
    <w:rsid w:val="00FF259B"/>
    <w:rsid w:val="00FF25DE"/>
    <w:rsid w:val="00FF2628"/>
    <w:rsid w:val="00FF26C6"/>
    <w:rsid w:val="00FF27A2"/>
    <w:rsid w:val="00FF284D"/>
    <w:rsid w:val="00FF28A8"/>
    <w:rsid w:val="00FF28B8"/>
    <w:rsid w:val="00FF28C0"/>
    <w:rsid w:val="00FF2A24"/>
    <w:rsid w:val="00FF2AE2"/>
    <w:rsid w:val="00FF2B96"/>
    <w:rsid w:val="00FF2BC9"/>
    <w:rsid w:val="00FF2C16"/>
    <w:rsid w:val="00FF2C43"/>
    <w:rsid w:val="00FF2C8A"/>
    <w:rsid w:val="00FF2D97"/>
    <w:rsid w:val="00FF2E0C"/>
    <w:rsid w:val="00FF2E4B"/>
    <w:rsid w:val="00FF2EE0"/>
    <w:rsid w:val="00FF31B3"/>
    <w:rsid w:val="00FF324F"/>
    <w:rsid w:val="00FF32A6"/>
    <w:rsid w:val="00FF3338"/>
    <w:rsid w:val="00FF3377"/>
    <w:rsid w:val="00FF3417"/>
    <w:rsid w:val="00FF341E"/>
    <w:rsid w:val="00FF3517"/>
    <w:rsid w:val="00FF353D"/>
    <w:rsid w:val="00FF358B"/>
    <w:rsid w:val="00FF38C9"/>
    <w:rsid w:val="00FF393B"/>
    <w:rsid w:val="00FF3957"/>
    <w:rsid w:val="00FF39F0"/>
    <w:rsid w:val="00FF3B93"/>
    <w:rsid w:val="00FF3BCC"/>
    <w:rsid w:val="00FF3C8F"/>
    <w:rsid w:val="00FF3D7A"/>
    <w:rsid w:val="00FF3FD9"/>
    <w:rsid w:val="00FF4054"/>
    <w:rsid w:val="00FF4141"/>
    <w:rsid w:val="00FF4348"/>
    <w:rsid w:val="00FF44E7"/>
    <w:rsid w:val="00FF44FD"/>
    <w:rsid w:val="00FF46D9"/>
    <w:rsid w:val="00FF4730"/>
    <w:rsid w:val="00FF47B8"/>
    <w:rsid w:val="00FF4886"/>
    <w:rsid w:val="00FF48F8"/>
    <w:rsid w:val="00FF49B3"/>
    <w:rsid w:val="00FF4A98"/>
    <w:rsid w:val="00FF4AF6"/>
    <w:rsid w:val="00FF4B0C"/>
    <w:rsid w:val="00FF4BB7"/>
    <w:rsid w:val="00FF4CE0"/>
    <w:rsid w:val="00FF4D61"/>
    <w:rsid w:val="00FF4E42"/>
    <w:rsid w:val="00FF4F0E"/>
    <w:rsid w:val="00FF4F7F"/>
    <w:rsid w:val="00FF4FDA"/>
    <w:rsid w:val="00FF5035"/>
    <w:rsid w:val="00FF5223"/>
    <w:rsid w:val="00FF5295"/>
    <w:rsid w:val="00FF55BE"/>
    <w:rsid w:val="00FF55C4"/>
    <w:rsid w:val="00FF55C6"/>
    <w:rsid w:val="00FF55D0"/>
    <w:rsid w:val="00FF568D"/>
    <w:rsid w:val="00FF570A"/>
    <w:rsid w:val="00FF57AD"/>
    <w:rsid w:val="00FF580A"/>
    <w:rsid w:val="00FF589D"/>
    <w:rsid w:val="00FF58E3"/>
    <w:rsid w:val="00FF593D"/>
    <w:rsid w:val="00FF59F7"/>
    <w:rsid w:val="00FF5AFF"/>
    <w:rsid w:val="00FF5CAB"/>
    <w:rsid w:val="00FF5D3C"/>
    <w:rsid w:val="00FF5E49"/>
    <w:rsid w:val="00FF5E76"/>
    <w:rsid w:val="00FF5E89"/>
    <w:rsid w:val="00FF5F5B"/>
    <w:rsid w:val="00FF5F7F"/>
    <w:rsid w:val="00FF6034"/>
    <w:rsid w:val="00FF60B9"/>
    <w:rsid w:val="00FF645A"/>
    <w:rsid w:val="00FF64A8"/>
    <w:rsid w:val="00FF656A"/>
    <w:rsid w:val="00FF661E"/>
    <w:rsid w:val="00FF66E0"/>
    <w:rsid w:val="00FF6753"/>
    <w:rsid w:val="00FF6758"/>
    <w:rsid w:val="00FF6A07"/>
    <w:rsid w:val="00FF6A52"/>
    <w:rsid w:val="00FF6B0B"/>
    <w:rsid w:val="00FF6D08"/>
    <w:rsid w:val="00FF6D87"/>
    <w:rsid w:val="00FF6FDE"/>
    <w:rsid w:val="00FF7013"/>
    <w:rsid w:val="00FF7037"/>
    <w:rsid w:val="00FF70AE"/>
    <w:rsid w:val="00FF70DD"/>
    <w:rsid w:val="00FF71CE"/>
    <w:rsid w:val="00FF71DC"/>
    <w:rsid w:val="00FF7203"/>
    <w:rsid w:val="00FF73BA"/>
    <w:rsid w:val="00FF7446"/>
    <w:rsid w:val="00FF744A"/>
    <w:rsid w:val="00FF76E8"/>
    <w:rsid w:val="00FF774E"/>
    <w:rsid w:val="00FF7867"/>
    <w:rsid w:val="00FF78E5"/>
    <w:rsid w:val="00FF7A6E"/>
    <w:rsid w:val="00FF7B06"/>
    <w:rsid w:val="00FF7B61"/>
    <w:rsid w:val="00FF7CA4"/>
    <w:rsid w:val="00FF7D70"/>
    <w:rsid w:val="00FF7E88"/>
    <w:rsid w:val="00FF7F57"/>
    <w:rsid w:val="0102C706"/>
    <w:rsid w:val="01042B95"/>
    <w:rsid w:val="01060525"/>
    <w:rsid w:val="01065952"/>
    <w:rsid w:val="01071C32"/>
    <w:rsid w:val="010B8E37"/>
    <w:rsid w:val="010BDBD1"/>
    <w:rsid w:val="010EAAA9"/>
    <w:rsid w:val="01225588"/>
    <w:rsid w:val="0128AFC4"/>
    <w:rsid w:val="012F1F88"/>
    <w:rsid w:val="01335ACF"/>
    <w:rsid w:val="01355A0A"/>
    <w:rsid w:val="013A143C"/>
    <w:rsid w:val="0140861A"/>
    <w:rsid w:val="01457783"/>
    <w:rsid w:val="0145A1C5"/>
    <w:rsid w:val="0147BBBA"/>
    <w:rsid w:val="014A8FB7"/>
    <w:rsid w:val="0156786A"/>
    <w:rsid w:val="015C47C0"/>
    <w:rsid w:val="015EEA99"/>
    <w:rsid w:val="015F3223"/>
    <w:rsid w:val="0161FEBB"/>
    <w:rsid w:val="01681F18"/>
    <w:rsid w:val="016B68E8"/>
    <w:rsid w:val="016C3161"/>
    <w:rsid w:val="017282B7"/>
    <w:rsid w:val="0176CC1D"/>
    <w:rsid w:val="017ECCD6"/>
    <w:rsid w:val="01809EC2"/>
    <w:rsid w:val="0185E6D7"/>
    <w:rsid w:val="0186B261"/>
    <w:rsid w:val="018BCF93"/>
    <w:rsid w:val="018E7208"/>
    <w:rsid w:val="01909204"/>
    <w:rsid w:val="0190A89F"/>
    <w:rsid w:val="019302BF"/>
    <w:rsid w:val="01949C3E"/>
    <w:rsid w:val="01960255"/>
    <w:rsid w:val="0198B0B6"/>
    <w:rsid w:val="01A4BE16"/>
    <w:rsid w:val="01AA51F6"/>
    <w:rsid w:val="01AFAFA6"/>
    <w:rsid w:val="01B0CC13"/>
    <w:rsid w:val="01B346D0"/>
    <w:rsid w:val="01BA964E"/>
    <w:rsid w:val="01BC136C"/>
    <w:rsid w:val="01BDB060"/>
    <w:rsid w:val="01C3235A"/>
    <w:rsid w:val="01C42DFE"/>
    <w:rsid w:val="01C737AA"/>
    <w:rsid w:val="01CC0412"/>
    <w:rsid w:val="01CFFB9C"/>
    <w:rsid w:val="01DFD48E"/>
    <w:rsid w:val="01E07361"/>
    <w:rsid w:val="01EABB6B"/>
    <w:rsid w:val="01EAC80A"/>
    <w:rsid w:val="01EDDC1B"/>
    <w:rsid w:val="01F08347"/>
    <w:rsid w:val="01F0B9A0"/>
    <w:rsid w:val="01F1FCD0"/>
    <w:rsid w:val="01F6252B"/>
    <w:rsid w:val="02071B5A"/>
    <w:rsid w:val="02071D6E"/>
    <w:rsid w:val="020876A9"/>
    <w:rsid w:val="0216B861"/>
    <w:rsid w:val="02179567"/>
    <w:rsid w:val="021D1FAC"/>
    <w:rsid w:val="02201504"/>
    <w:rsid w:val="02269584"/>
    <w:rsid w:val="022C1431"/>
    <w:rsid w:val="023061D6"/>
    <w:rsid w:val="0234C0E3"/>
    <w:rsid w:val="0234EA87"/>
    <w:rsid w:val="02375B9F"/>
    <w:rsid w:val="02428454"/>
    <w:rsid w:val="024B70D6"/>
    <w:rsid w:val="025B715F"/>
    <w:rsid w:val="02625AFA"/>
    <w:rsid w:val="02655DE9"/>
    <w:rsid w:val="02662A60"/>
    <w:rsid w:val="02687326"/>
    <w:rsid w:val="02687A74"/>
    <w:rsid w:val="026ADE49"/>
    <w:rsid w:val="0270ED07"/>
    <w:rsid w:val="027E44F2"/>
    <w:rsid w:val="0284228D"/>
    <w:rsid w:val="0285F9F6"/>
    <w:rsid w:val="02959F16"/>
    <w:rsid w:val="029792D9"/>
    <w:rsid w:val="0299A42C"/>
    <w:rsid w:val="0299B96F"/>
    <w:rsid w:val="02A0A721"/>
    <w:rsid w:val="02A40E4D"/>
    <w:rsid w:val="02A5E852"/>
    <w:rsid w:val="02A75039"/>
    <w:rsid w:val="02ACC690"/>
    <w:rsid w:val="02B201DA"/>
    <w:rsid w:val="02B22D34"/>
    <w:rsid w:val="02B3148C"/>
    <w:rsid w:val="02B535F0"/>
    <w:rsid w:val="02B84683"/>
    <w:rsid w:val="02B9F88F"/>
    <w:rsid w:val="02BD6891"/>
    <w:rsid w:val="02C0322A"/>
    <w:rsid w:val="02CB988D"/>
    <w:rsid w:val="02CFC989"/>
    <w:rsid w:val="02D1B7E1"/>
    <w:rsid w:val="02D281C8"/>
    <w:rsid w:val="02D42C5F"/>
    <w:rsid w:val="02D82922"/>
    <w:rsid w:val="02DF24F6"/>
    <w:rsid w:val="02EA4676"/>
    <w:rsid w:val="02EBCD27"/>
    <w:rsid w:val="02EC9BEA"/>
    <w:rsid w:val="02EE84DB"/>
    <w:rsid w:val="02F055FA"/>
    <w:rsid w:val="02F80DDA"/>
    <w:rsid w:val="02FC7088"/>
    <w:rsid w:val="030741F4"/>
    <w:rsid w:val="0308F73E"/>
    <w:rsid w:val="030EBC3D"/>
    <w:rsid w:val="030EE03C"/>
    <w:rsid w:val="030F4506"/>
    <w:rsid w:val="0317AE44"/>
    <w:rsid w:val="0319D591"/>
    <w:rsid w:val="031D5570"/>
    <w:rsid w:val="031E93E2"/>
    <w:rsid w:val="031F29A5"/>
    <w:rsid w:val="032A79F3"/>
    <w:rsid w:val="0333DDD2"/>
    <w:rsid w:val="03375C18"/>
    <w:rsid w:val="033991C7"/>
    <w:rsid w:val="033B485A"/>
    <w:rsid w:val="033D1D62"/>
    <w:rsid w:val="033E3439"/>
    <w:rsid w:val="033EDE26"/>
    <w:rsid w:val="034304C0"/>
    <w:rsid w:val="03594333"/>
    <w:rsid w:val="035A6022"/>
    <w:rsid w:val="035BCB58"/>
    <w:rsid w:val="035E3024"/>
    <w:rsid w:val="03642EFD"/>
    <w:rsid w:val="036BC1F0"/>
    <w:rsid w:val="036FD5D2"/>
    <w:rsid w:val="03710D98"/>
    <w:rsid w:val="0371F320"/>
    <w:rsid w:val="03722A54"/>
    <w:rsid w:val="03741051"/>
    <w:rsid w:val="037F21EE"/>
    <w:rsid w:val="0387C0C8"/>
    <w:rsid w:val="03888B9A"/>
    <w:rsid w:val="0389BE5D"/>
    <w:rsid w:val="038E4818"/>
    <w:rsid w:val="03942013"/>
    <w:rsid w:val="03963F15"/>
    <w:rsid w:val="0398561A"/>
    <w:rsid w:val="039CC18E"/>
    <w:rsid w:val="039EEA9D"/>
    <w:rsid w:val="03A1D0D9"/>
    <w:rsid w:val="03A1E00F"/>
    <w:rsid w:val="03A2C883"/>
    <w:rsid w:val="03A4EABD"/>
    <w:rsid w:val="03AF79AC"/>
    <w:rsid w:val="03B0F529"/>
    <w:rsid w:val="03B80E3D"/>
    <w:rsid w:val="03B9C914"/>
    <w:rsid w:val="03BE8F44"/>
    <w:rsid w:val="03CA3F35"/>
    <w:rsid w:val="03CB6C21"/>
    <w:rsid w:val="03D4DCAE"/>
    <w:rsid w:val="03D5E162"/>
    <w:rsid w:val="03DAF7E1"/>
    <w:rsid w:val="03DC220D"/>
    <w:rsid w:val="03DDEB8B"/>
    <w:rsid w:val="03DF7EFA"/>
    <w:rsid w:val="03DF9D78"/>
    <w:rsid w:val="03E37314"/>
    <w:rsid w:val="03E7014B"/>
    <w:rsid w:val="03F07DC4"/>
    <w:rsid w:val="03F25140"/>
    <w:rsid w:val="03F7A1B7"/>
    <w:rsid w:val="03FF6893"/>
    <w:rsid w:val="04042F34"/>
    <w:rsid w:val="040700C6"/>
    <w:rsid w:val="04084AE4"/>
    <w:rsid w:val="040895C6"/>
    <w:rsid w:val="040A0D15"/>
    <w:rsid w:val="040E3C94"/>
    <w:rsid w:val="04155A65"/>
    <w:rsid w:val="0416D2B5"/>
    <w:rsid w:val="04180E6D"/>
    <w:rsid w:val="041AE932"/>
    <w:rsid w:val="04227182"/>
    <w:rsid w:val="0425B9C8"/>
    <w:rsid w:val="042B47A7"/>
    <w:rsid w:val="042B9AD1"/>
    <w:rsid w:val="0431C603"/>
    <w:rsid w:val="04355BC1"/>
    <w:rsid w:val="043A845D"/>
    <w:rsid w:val="043BB5F1"/>
    <w:rsid w:val="043DFED9"/>
    <w:rsid w:val="043E055A"/>
    <w:rsid w:val="043E1550"/>
    <w:rsid w:val="043FBBC0"/>
    <w:rsid w:val="044BFA15"/>
    <w:rsid w:val="044CA9F6"/>
    <w:rsid w:val="044CF5A8"/>
    <w:rsid w:val="04532405"/>
    <w:rsid w:val="046B9C78"/>
    <w:rsid w:val="046EA69B"/>
    <w:rsid w:val="0479A63C"/>
    <w:rsid w:val="047B65B3"/>
    <w:rsid w:val="047DFA92"/>
    <w:rsid w:val="047E57D3"/>
    <w:rsid w:val="0481E536"/>
    <w:rsid w:val="04867DAE"/>
    <w:rsid w:val="04871D1E"/>
    <w:rsid w:val="048BD797"/>
    <w:rsid w:val="048DB709"/>
    <w:rsid w:val="048E8CBE"/>
    <w:rsid w:val="04906C43"/>
    <w:rsid w:val="0491F796"/>
    <w:rsid w:val="0496CB70"/>
    <w:rsid w:val="049F385C"/>
    <w:rsid w:val="04A323ED"/>
    <w:rsid w:val="04A332A9"/>
    <w:rsid w:val="04A44698"/>
    <w:rsid w:val="04A69D6E"/>
    <w:rsid w:val="04A92D85"/>
    <w:rsid w:val="04AC3E6D"/>
    <w:rsid w:val="04AC8BF1"/>
    <w:rsid w:val="04B69EF9"/>
    <w:rsid w:val="04B6E699"/>
    <w:rsid w:val="04B78578"/>
    <w:rsid w:val="04B96993"/>
    <w:rsid w:val="04BCC2E8"/>
    <w:rsid w:val="04BF8F04"/>
    <w:rsid w:val="04C04456"/>
    <w:rsid w:val="04C31146"/>
    <w:rsid w:val="04C89C72"/>
    <w:rsid w:val="04CBA780"/>
    <w:rsid w:val="04CCCDC1"/>
    <w:rsid w:val="04D4BBDE"/>
    <w:rsid w:val="04D50AA4"/>
    <w:rsid w:val="04D789FE"/>
    <w:rsid w:val="04D8E63C"/>
    <w:rsid w:val="04DE5481"/>
    <w:rsid w:val="04E0144F"/>
    <w:rsid w:val="04E5B568"/>
    <w:rsid w:val="04E6F4DD"/>
    <w:rsid w:val="04E73C05"/>
    <w:rsid w:val="04E9D311"/>
    <w:rsid w:val="04EB1AE1"/>
    <w:rsid w:val="04EE5721"/>
    <w:rsid w:val="04F08AB9"/>
    <w:rsid w:val="04F2C553"/>
    <w:rsid w:val="04F88664"/>
    <w:rsid w:val="04FB44C0"/>
    <w:rsid w:val="05021D51"/>
    <w:rsid w:val="050511A7"/>
    <w:rsid w:val="050C42A9"/>
    <w:rsid w:val="0512057D"/>
    <w:rsid w:val="051268F5"/>
    <w:rsid w:val="051B779D"/>
    <w:rsid w:val="051C0391"/>
    <w:rsid w:val="051FCE7C"/>
    <w:rsid w:val="051FFEDB"/>
    <w:rsid w:val="05201D75"/>
    <w:rsid w:val="05218563"/>
    <w:rsid w:val="05226B4E"/>
    <w:rsid w:val="052F5FD6"/>
    <w:rsid w:val="05325B12"/>
    <w:rsid w:val="05384860"/>
    <w:rsid w:val="053A7D6A"/>
    <w:rsid w:val="053FC847"/>
    <w:rsid w:val="054A8BF5"/>
    <w:rsid w:val="054FE01D"/>
    <w:rsid w:val="0552DDA9"/>
    <w:rsid w:val="055E7A0A"/>
    <w:rsid w:val="0562819B"/>
    <w:rsid w:val="0564B647"/>
    <w:rsid w:val="05656880"/>
    <w:rsid w:val="0570891E"/>
    <w:rsid w:val="0571AEB3"/>
    <w:rsid w:val="05722F74"/>
    <w:rsid w:val="057E226F"/>
    <w:rsid w:val="057F80FF"/>
    <w:rsid w:val="05831A7A"/>
    <w:rsid w:val="05845B7A"/>
    <w:rsid w:val="058676C8"/>
    <w:rsid w:val="05895E11"/>
    <w:rsid w:val="0590391B"/>
    <w:rsid w:val="0593B3E5"/>
    <w:rsid w:val="0593F91A"/>
    <w:rsid w:val="05984791"/>
    <w:rsid w:val="05A13C6F"/>
    <w:rsid w:val="05A39E69"/>
    <w:rsid w:val="05A3D13B"/>
    <w:rsid w:val="05A8611B"/>
    <w:rsid w:val="05B3E9A9"/>
    <w:rsid w:val="05B89C07"/>
    <w:rsid w:val="05B9427B"/>
    <w:rsid w:val="05BBB9B2"/>
    <w:rsid w:val="05BD3CFA"/>
    <w:rsid w:val="05C28368"/>
    <w:rsid w:val="05C2BB33"/>
    <w:rsid w:val="05C48BA2"/>
    <w:rsid w:val="05C55F13"/>
    <w:rsid w:val="05C6D956"/>
    <w:rsid w:val="05C8A610"/>
    <w:rsid w:val="05C9661F"/>
    <w:rsid w:val="05CDCD12"/>
    <w:rsid w:val="05CF2A54"/>
    <w:rsid w:val="05D3D2CD"/>
    <w:rsid w:val="05D41CF7"/>
    <w:rsid w:val="05E4EE6E"/>
    <w:rsid w:val="05E5DEF5"/>
    <w:rsid w:val="05EA9B3C"/>
    <w:rsid w:val="05EBDC36"/>
    <w:rsid w:val="05ED89F9"/>
    <w:rsid w:val="05F761A4"/>
    <w:rsid w:val="05FDA560"/>
    <w:rsid w:val="05FFF831"/>
    <w:rsid w:val="060409E6"/>
    <w:rsid w:val="06073176"/>
    <w:rsid w:val="0607F0FC"/>
    <w:rsid w:val="06094025"/>
    <w:rsid w:val="06113E57"/>
    <w:rsid w:val="0614EA9E"/>
    <w:rsid w:val="06154A96"/>
    <w:rsid w:val="0616B3E6"/>
    <w:rsid w:val="06172503"/>
    <w:rsid w:val="061E23C7"/>
    <w:rsid w:val="061EC8FC"/>
    <w:rsid w:val="0626A9A2"/>
    <w:rsid w:val="062D7020"/>
    <w:rsid w:val="062E3787"/>
    <w:rsid w:val="062F9316"/>
    <w:rsid w:val="063039F1"/>
    <w:rsid w:val="0630CF72"/>
    <w:rsid w:val="06335D94"/>
    <w:rsid w:val="0637094F"/>
    <w:rsid w:val="063806A7"/>
    <w:rsid w:val="0639D218"/>
    <w:rsid w:val="063CB01C"/>
    <w:rsid w:val="063EF6BA"/>
    <w:rsid w:val="064031CF"/>
    <w:rsid w:val="064E4C44"/>
    <w:rsid w:val="06505FBD"/>
    <w:rsid w:val="06546050"/>
    <w:rsid w:val="06560906"/>
    <w:rsid w:val="06576764"/>
    <w:rsid w:val="06592B32"/>
    <w:rsid w:val="065A52DB"/>
    <w:rsid w:val="0665469A"/>
    <w:rsid w:val="066A6587"/>
    <w:rsid w:val="067B5E31"/>
    <w:rsid w:val="067D67FC"/>
    <w:rsid w:val="067E0388"/>
    <w:rsid w:val="067F7F38"/>
    <w:rsid w:val="06837175"/>
    <w:rsid w:val="06871112"/>
    <w:rsid w:val="0688A7FD"/>
    <w:rsid w:val="068DA4BB"/>
    <w:rsid w:val="06968678"/>
    <w:rsid w:val="069D8124"/>
    <w:rsid w:val="069E2457"/>
    <w:rsid w:val="069E50CA"/>
    <w:rsid w:val="069E967A"/>
    <w:rsid w:val="06A97CEE"/>
    <w:rsid w:val="06AD7134"/>
    <w:rsid w:val="06B156BE"/>
    <w:rsid w:val="06B7EFA4"/>
    <w:rsid w:val="06B826F4"/>
    <w:rsid w:val="06C0C3AD"/>
    <w:rsid w:val="06C45CE1"/>
    <w:rsid w:val="06C52A81"/>
    <w:rsid w:val="06C69BCE"/>
    <w:rsid w:val="06C9CB45"/>
    <w:rsid w:val="06CD1367"/>
    <w:rsid w:val="06D0F107"/>
    <w:rsid w:val="06D289C7"/>
    <w:rsid w:val="06D2B595"/>
    <w:rsid w:val="06D3066E"/>
    <w:rsid w:val="06D7A271"/>
    <w:rsid w:val="06D9A37C"/>
    <w:rsid w:val="06D9EAFF"/>
    <w:rsid w:val="06E133D2"/>
    <w:rsid w:val="06E1B751"/>
    <w:rsid w:val="06E22896"/>
    <w:rsid w:val="06E45D4E"/>
    <w:rsid w:val="06ECA708"/>
    <w:rsid w:val="06FE6903"/>
    <w:rsid w:val="0700B64E"/>
    <w:rsid w:val="07027742"/>
    <w:rsid w:val="070934AB"/>
    <w:rsid w:val="0710A30B"/>
    <w:rsid w:val="0711503A"/>
    <w:rsid w:val="07141763"/>
    <w:rsid w:val="07156870"/>
    <w:rsid w:val="071A7419"/>
    <w:rsid w:val="071D21CB"/>
    <w:rsid w:val="071E2C10"/>
    <w:rsid w:val="072037CA"/>
    <w:rsid w:val="072A3384"/>
    <w:rsid w:val="072CF885"/>
    <w:rsid w:val="072F0851"/>
    <w:rsid w:val="0735F3B9"/>
    <w:rsid w:val="073D28A9"/>
    <w:rsid w:val="07401233"/>
    <w:rsid w:val="0742A5DA"/>
    <w:rsid w:val="07446CCF"/>
    <w:rsid w:val="0745F215"/>
    <w:rsid w:val="0748435D"/>
    <w:rsid w:val="07534C3B"/>
    <w:rsid w:val="07539288"/>
    <w:rsid w:val="075BB886"/>
    <w:rsid w:val="075C0CCE"/>
    <w:rsid w:val="075E8D20"/>
    <w:rsid w:val="07629A2E"/>
    <w:rsid w:val="07632655"/>
    <w:rsid w:val="07655282"/>
    <w:rsid w:val="07685207"/>
    <w:rsid w:val="076A087C"/>
    <w:rsid w:val="076C6003"/>
    <w:rsid w:val="076D8C51"/>
    <w:rsid w:val="0772B34C"/>
    <w:rsid w:val="07747628"/>
    <w:rsid w:val="07753829"/>
    <w:rsid w:val="077785A3"/>
    <w:rsid w:val="0786C147"/>
    <w:rsid w:val="0789E917"/>
    <w:rsid w:val="0790A570"/>
    <w:rsid w:val="0796F1AD"/>
    <w:rsid w:val="079729F0"/>
    <w:rsid w:val="0798AB02"/>
    <w:rsid w:val="07A0B031"/>
    <w:rsid w:val="07A104E8"/>
    <w:rsid w:val="07A328B3"/>
    <w:rsid w:val="07A6F35E"/>
    <w:rsid w:val="07B1B80D"/>
    <w:rsid w:val="07BAC343"/>
    <w:rsid w:val="07BAE634"/>
    <w:rsid w:val="07BFCE4B"/>
    <w:rsid w:val="07C700FE"/>
    <w:rsid w:val="07CFE625"/>
    <w:rsid w:val="07D2DEA9"/>
    <w:rsid w:val="07D46B16"/>
    <w:rsid w:val="07D53E46"/>
    <w:rsid w:val="07D57B78"/>
    <w:rsid w:val="07DB8C60"/>
    <w:rsid w:val="07DF5EE0"/>
    <w:rsid w:val="07DFBEDD"/>
    <w:rsid w:val="07E068B9"/>
    <w:rsid w:val="07E31115"/>
    <w:rsid w:val="07E7DF0E"/>
    <w:rsid w:val="07EF3DC9"/>
    <w:rsid w:val="07F018C9"/>
    <w:rsid w:val="07F34FF2"/>
    <w:rsid w:val="07F540ED"/>
    <w:rsid w:val="07F80E04"/>
    <w:rsid w:val="07F831EF"/>
    <w:rsid w:val="07F9E497"/>
    <w:rsid w:val="07FA298A"/>
    <w:rsid w:val="07FA4742"/>
    <w:rsid w:val="07FC3294"/>
    <w:rsid w:val="07FD3552"/>
    <w:rsid w:val="08022B31"/>
    <w:rsid w:val="080B9C27"/>
    <w:rsid w:val="0811C083"/>
    <w:rsid w:val="0812C151"/>
    <w:rsid w:val="0819E2B5"/>
    <w:rsid w:val="081D9AA7"/>
    <w:rsid w:val="08225381"/>
    <w:rsid w:val="0822BB1D"/>
    <w:rsid w:val="0827F797"/>
    <w:rsid w:val="082AC5C3"/>
    <w:rsid w:val="082DB3AA"/>
    <w:rsid w:val="0836342E"/>
    <w:rsid w:val="0839CA60"/>
    <w:rsid w:val="083AC19E"/>
    <w:rsid w:val="083B4A05"/>
    <w:rsid w:val="083C2F3C"/>
    <w:rsid w:val="0843E236"/>
    <w:rsid w:val="0846AC47"/>
    <w:rsid w:val="08477DCC"/>
    <w:rsid w:val="084B8F0E"/>
    <w:rsid w:val="084CDCAF"/>
    <w:rsid w:val="084CF762"/>
    <w:rsid w:val="08636C99"/>
    <w:rsid w:val="0863C147"/>
    <w:rsid w:val="08691DA9"/>
    <w:rsid w:val="086E00A9"/>
    <w:rsid w:val="0870FF9D"/>
    <w:rsid w:val="087F77B5"/>
    <w:rsid w:val="0888E058"/>
    <w:rsid w:val="088A4E14"/>
    <w:rsid w:val="088A884A"/>
    <w:rsid w:val="088AD831"/>
    <w:rsid w:val="0890F6BA"/>
    <w:rsid w:val="0893B7F6"/>
    <w:rsid w:val="08983C78"/>
    <w:rsid w:val="08997623"/>
    <w:rsid w:val="089F2A1C"/>
    <w:rsid w:val="08A3BFDB"/>
    <w:rsid w:val="08B09283"/>
    <w:rsid w:val="08B3A847"/>
    <w:rsid w:val="08B49F78"/>
    <w:rsid w:val="08C32678"/>
    <w:rsid w:val="08C76493"/>
    <w:rsid w:val="08CB6DE9"/>
    <w:rsid w:val="08CBB559"/>
    <w:rsid w:val="08D0F161"/>
    <w:rsid w:val="08D9B9E1"/>
    <w:rsid w:val="08DB06CA"/>
    <w:rsid w:val="08E0130F"/>
    <w:rsid w:val="08E2E5D5"/>
    <w:rsid w:val="08E80A09"/>
    <w:rsid w:val="08E9CF67"/>
    <w:rsid w:val="08F3DFF3"/>
    <w:rsid w:val="08F8400C"/>
    <w:rsid w:val="08FA2DE8"/>
    <w:rsid w:val="08FAFD9A"/>
    <w:rsid w:val="08FC2AF6"/>
    <w:rsid w:val="0904A080"/>
    <w:rsid w:val="09053447"/>
    <w:rsid w:val="0906D44B"/>
    <w:rsid w:val="09083FC0"/>
    <w:rsid w:val="090D21C6"/>
    <w:rsid w:val="090E51C1"/>
    <w:rsid w:val="091150D5"/>
    <w:rsid w:val="0911A92C"/>
    <w:rsid w:val="0917190F"/>
    <w:rsid w:val="091CF679"/>
    <w:rsid w:val="0920FBFC"/>
    <w:rsid w:val="092208B8"/>
    <w:rsid w:val="0922C8B6"/>
    <w:rsid w:val="092F5B30"/>
    <w:rsid w:val="0931B0FA"/>
    <w:rsid w:val="0932EB25"/>
    <w:rsid w:val="0933F775"/>
    <w:rsid w:val="093DAAA8"/>
    <w:rsid w:val="0945F06A"/>
    <w:rsid w:val="0948A88D"/>
    <w:rsid w:val="094F6A2E"/>
    <w:rsid w:val="09500B6F"/>
    <w:rsid w:val="0954F6A6"/>
    <w:rsid w:val="09560BFA"/>
    <w:rsid w:val="096B76B4"/>
    <w:rsid w:val="096B9216"/>
    <w:rsid w:val="0970D6FA"/>
    <w:rsid w:val="0975DDDC"/>
    <w:rsid w:val="097A4826"/>
    <w:rsid w:val="0983EDEF"/>
    <w:rsid w:val="0989D8BC"/>
    <w:rsid w:val="098DBE7B"/>
    <w:rsid w:val="099202FB"/>
    <w:rsid w:val="09985DE3"/>
    <w:rsid w:val="099933DF"/>
    <w:rsid w:val="099FDAA9"/>
    <w:rsid w:val="09A29091"/>
    <w:rsid w:val="09A74B30"/>
    <w:rsid w:val="09AAB00A"/>
    <w:rsid w:val="09AEB23B"/>
    <w:rsid w:val="09B5738A"/>
    <w:rsid w:val="09BB41EE"/>
    <w:rsid w:val="09BBF3C5"/>
    <w:rsid w:val="09C01A2E"/>
    <w:rsid w:val="09C2ECF0"/>
    <w:rsid w:val="09C3B265"/>
    <w:rsid w:val="09C659E7"/>
    <w:rsid w:val="09C9A68D"/>
    <w:rsid w:val="09D04D38"/>
    <w:rsid w:val="09D749BA"/>
    <w:rsid w:val="09D907ED"/>
    <w:rsid w:val="09E7E652"/>
    <w:rsid w:val="09E8CB8F"/>
    <w:rsid w:val="09E9D373"/>
    <w:rsid w:val="09ED08F7"/>
    <w:rsid w:val="09F3B62D"/>
    <w:rsid w:val="09F8F2D0"/>
    <w:rsid w:val="09FE49A4"/>
    <w:rsid w:val="0A0123BE"/>
    <w:rsid w:val="0A0237C1"/>
    <w:rsid w:val="0A032D54"/>
    <w:rsid w:val="0A05DB12"/>
    <w:rsid w:val="0A06C56F"/>
    <w:rsid w:val="0A091527"/>
    <w:rsid w:val="0A0DFE93"/>
    <w:rsid w:val="0A1425E8"/>
    <w:rsid w:val="0A14A1DD"/>
    <w:rsid w:val="0A15768B"/>
    <w:rsid w:val="0A22E5C5"/>
    <w:rsid w:val="0A26C8BB"/>
    <w:rsid w:val="0A291BD6"/>
    <w:rsid w:val="0A2F088C"/>
    <w:rsid w:val="0A30FC77"/>
    <w:rsid w:val="0A3176F8"/>
    <w:rsid w:val="0A329C79"/>
    <w:rsid w:val="0A3636E6"/>
    <w:rsid w:val="0A3A4D0D"/>
    <w:rsid w:val="0A3B02ED"/>
    <w:rsid w:val="0A3BF7A8"/>
    <w:rsid w:val="0A3CF40F"/>
    <w:rsid w:val="0A3F33D0"/>
    <w:rsid w:val="0A40E21B"/>
    <w:rsid w:val="0A4301B3"/>
    <w:rsid w:val="0A4A23EB"/>
    <w:rsid w:val="0A512CB7"/>
    <w:rsid w:val="0A52E43E"/>
    <w:rsid w:val="0A531AF2"/>
    <w:rsid w:val="0A53686D"/>
    <w:rsid w:val="0A53938E"/>
    <w:rsid w:val="0A56B3A9"/>
    <w:rsid w:val="0A594A46"/>
    <w:rsid w:val="0A5B468F"/>
    <w:rsid w:val="0A5BA3C5"/>
    <w:rsid w:val="0A5BD631"/>
    <w:rsid w:val="0A5E458A"/>
    <w:rsid w:val="0A60BE94"/>
    <w:rsid w:val="0A6560A7"/>
    <w:rsid w:val="0A6B51F5"/>
    <w:rsid w:val="0A6BB6EA"/>
    <w:rsid w:val="0A6E3BD9"/>
    <w:rsid w:val="0A6E684D"/>
    <w:rsid w:val="0A729B45"/>
    <w:rsid w:val="0A751B28"/>
    <w:rsid w:val="0A75DB18"/>
    <w:rsid w:val="0A7FC0F1"/>
    <w:rsid w:val="0A85CF54"/>
    <w:rsid w:val="0A89142F"/>
    <w:rsid w:val="0A8A78C9"/>
    <w:rsid w:val="0A929C14"/>
    <w:rsid w:val="0A96AE20"/>
    <w:rsid w:val="0A96CCDA"/>
    <w:rsid w:val="0A9D7BE7"/>
    <w:rsid w:val="0A9F7599"/>
    <w:rsid w:val="0AA11307"/>
    <w:rsid w:val="0AA4DEAA"/>
    <w:rsid w:val="0AB3A29C"/>
    <w:rsid w:val="0AB615C4"/>
    <w:rsid w:val="0AB83539"/>
    <w:rsid w:val="0ABF36A5"/>
    <w:rsid w:val="0AD2FBF8"/>
    <w:rsid w:val="0AD91CFA"/>
    <w:rsid w:val="0ADD797F"/>
    <w:rsid w:val="0AE4140E"/>
    <w:rsid w:val="0AEA63F5"/>
    <w:rsid w:val="0AEB3835"/>
    <w:rsid w:val="0AEC1325"/>
    <w:rsid w:val="0AF2F542"/>
    <w:rsid w:val="0AF65E88"/>
    <w:rsid w:val="0AF8B100"/>
    <w:rsid w:val="0AF8C565"/>
    <w:rsid w:val="0B07CB18"/>
    <w:rsid w:val="0B086559"/>
    <w:rsid w:val="0B0FCB49"/>
    <w:rsid w:val="0B158822"/>
    <w:rsid w:val="0B179D1B"/>
    <w:rsid w:val="0B21B1C7"/>
    <w:rsid w:val="0B27B9ED"/>
    <w:rsid w:val="0B27D317"/>
    <w:rsid w:val="0B2FACB1"/>
    <w:rsid w:val="0B32EB9E"/>
    <w:rsid w:val="0B33D3E7"/>
    <w:rsid w:val="0B3F280F"/>
    <w:rsid w:val="0B40ADBC"/>
    <w:rsid w:val="0B415F1A"/>
    <w:rsid w:val="0B417047"/>
    <w:rsid w:val="0B41BCDA"/>
    <w:rsid w:val="0B436E95"/>
    <w:rsid w:val="0B47F9C5"/>
    <w:rsid w:val="0B4B5BD6"/>
    <w:rsid w:val="0B4EBDCF"/>
    <w:rsid w:val="0B5BEF3D"/>
    <w:rsid w:val="0B5EB804"/>
    <w:rsid w:val="0B62AC28"/>
    <w:rsid w:val="0B69E2CA"/>
    <w:rsid w:val="0B6A9CA0"/>
    <w:rsid w:val="0B701F6D"/>
    <w:rsid w:val="0B721324"/>
    <w:rsid w:val="0B747C1B"/>
    <w:rsid w:val="0B7DBD06"/>
    <w:rsid w:val="0B7F83F1"/>
    <w:rsid w:val="0B81BE75"/>
    <w:rsid w:val="0B831FB5"/>
    <w:rsid w:val="0B8B2FFA"/>
    <w:rsid w:val="0B8C7197"/>
    <w:rsid w:val="0B8DC42E"/>
    <w:rsid w:val="0B91002C"/>
    <w:rsid w:val="0B9463FD"/>
    <w:rsid w:val="0B96E0EB"/>
    <w:rsid w:val="0BAC5761"/>
    <w:rsid w:val="0BAC7354"/>
    <w:rsid w:val="0BB1BB26"/>
    <w:rsid w:val="0BB25D4A"/>
    <w:rsid w:val="0BB9E324"/>
    <w:rsid w:val="0BCE1CBF"/>
    <w:rsid w:val="0BD01C9A"/>
    <w:rsid w:val="0BD1C416"/>
    <w:rsid w:val="0BD4F26F"/>
    <w:rsid w:val="0BD5AAE7"/>
    <w:rsid w:val="0BDBE073"/>
    <w:rsid w:val="0BE2E14E"/>
    <w:rsid w:val="0BEA2B50"/>
    <w:rsid w:val="0BEFB7D5"/>
    <w:rsid w:val="0BF5C13D"/>
    <w:rsid w:val="0BF73762"/>
    <w:rsid w:val="0BFA20D1"/>
    <w:rsid w:val="0BFC8EF5"/>
    <w:rsid w:val="0BFD8658"/>
    <w:rsid w:val="0C019481"/>
    <w:rsid w:val="0C019901"/>
    <w:rsid w:val="0C0B1384"/>
    <w:rsid w:val="0C0F0E52"/>
    <w:rsid w:val="0C12CBEE"/>
    <w:rsid w:val="0C163537"/>
    <w:rsid w:val="0C181230"/>
    <w:rsid w:val="0C1AFAD9"/>
    <w:rsid w:val="0C1B0271"/>
    <w:rsid w:val="0C1E4BCA"/>
    <w:rsid w:val="0C2095F3"/>
    <w:rsid w:val="0C21ABE0"/>
    <w:rsid w:val="0C223D6D"/>
    <w:rsid w:val="0C240174"/>
    <w:rsid w:val="0C2860FA"/>
    <w:rsid w:val="0C29639A"/>
    <w:rsid w:val="0C2DFD93"/>
    <w:rsid w:val="0C32258D"/>
    <w:rsid w:val="0C32E821"/>
    <w:rsid w:val="0C35B078"/>
    <w:rsid w:val="0C38F0DD"/>
    <w:rsid w:val="0C396C01"/>
    <w:rsid w:val="0C420FC0"/>
    <w:rsid w:val="0C44B228"/>
    <w:rsid w:val="0C44CAA4"/>
    <w:rsid w:val="0C48611B"/>
    <w:rsid w:val="0C49E583"/>
    <w:rsid w:val="0C4B0DAB"/>
    <w:rsid w:val="0C4BE83D"/>
    <w:rsid w:val="0C4E8B7F"/>
    <w:rsid w:val="0C4F3661"/>
    <w:rsid w:val="0C4F4412"/>
    <w:rsid w:val="0C512E1C"/>
    <w:rsid w:val="0C523D5D"/>
    <w:rsid w:val="0C52BF3F"/>
    <w:rsid w:val="0C57AA7F"/>
    <w:rsid w:val="0C57BCCF"/>
    <w:rsid w:val="0C57CFE6"/>
    <w:rsid w:val="0C57DE97"/>
    <w:rsid w:val="0C61E9A4"/>
    <w:rsid w:val="0C625ADD"/>
    <w:rsid w:val="0C7135B9"/>
    <w:rsid w:val="0C7235D8"/>
    <w:rsid w:val="0C724D89"/>
    <w:rsid w:val="0C7B6B7A"/>
    <w:rsid w:val="0C7D8C78"/>
    <w:rsid w:val="0C813499"/>
    <w:rsid w:val="0C8BBC73"/>
    <w:rsid w:val="0C9D6CC6"/>
    <w:rsid w:val="0C9F98D1"/>
    <w:rsid w:val="0CA0D124"/>
    <w:rsid w:val="0CA3C061"/>
    <w:rsid w:val="0CA4275A"/>
    <w:rsid w:val="0CA5FD33"/>
    <w:rsid w:val="0CB1C0A5"/>
    <w:rsid w:val="0CB375CE"/>
    <w:rsid w:val="0CB7AA5D"/>
    <w:rsid w:val="0CB96CB5"/>
    <w:rsid w:val="0CBCBC00"/>
    <w:rsid w:val="0CC2DD4D"/>
    <w:rsid w:val="0CC30DDF"/>
    <w:rsid w:val="0CC46929"/>
    <w:rsid w:val="0CC7FC21"/>
    <w:rsid w:val="0CC832A8"/>
    <w:rsid w:val="0CC862CC"/>
    <w:rsid w:val="0CCBE438"/>
    <w:rsid w:val="0CCDDEE2"/>
    <w:rsid w:val="0CD7A3DF"/>
    <w:rsid w:val="0CE20637"/>
    <w:rsid w:val="0CE35EA9"/>
    <w:rsid w:val="0CE362DF"/>
    <w:rsid w:val="0CE68475"/>
    <w:rsid w:val="0CE6D5E2"/>
    <w:rsid w:val="0CEBA698"/>
    <w:rsid w:val="0CED8E59"/>
    <w:rsid w:val="0CED9645"/>
    <w:rsid w:val="0CF0A057"/>
    <w:rsid w:val="0CF47BF8"/>
    <w:rsid w:val="0CF68EF7"/>
    <w:rsid w:val="0CFA108D"/>
    <w:rsid w:val="0CFA6F22"/>
    <w:rsid w:val="0CFB8C58"/>
    <w:rsid w:val="0CFBC9EB"/>
    <w:rsid w:val="0CFC6632"/>
    <w:rsid w:val="0CFF3D25"/>
    <w:rsid w:val="0D0092E1"/>
    <w:rsid w:val="0D01AFCC"/>
    <w:rsid w:val="0D0309C2"/>
    <w:rsid w:val="0D0317DC"/>
    <w:rsid w:val="0D0A1D5E"/>
    <w:rsid w:val="0D0CA5B8"/>
    <w:rsid w:val="0D0EA485"/>
    <w:rsid w:val="0D0EDEBF"/>
    <w:rsid w:val="0D11D6CA"/>
    <w:rsid w:val="0D12E434"/>
    <w:rsid w:val="0D14F376"/>
    <w:rsid w:val="0D15CD7B"/>
    <w:rsid w:val="0D1980E8"/>
    <w:rsid w:val="0D1C7F37"/>
    <w:rsid w:val="0D1EF064"/>
    <w:rsid w:val="0D2036DA"/>
    <w:rsid w:val="0D247176"/>
    <w:rsid w:val="0D274FFC"/>
    <w:rsid w:val="0D277F94"/>
    <w:rsid w:val="0D27CBFA"/>
    <w:rsid w:val="0D2AA2FF"/>
    <w:rsid w:val="0D2C25E3"/>
    <w:rsid w:val="0D2E2075"/>
    <w:rsid w:val="0D30A7D1"/>
    <w:rsid w:val="0D37C0DD"/>
    <w:rsid w:val="0D380DE3"/>
    <w:rsid w:val="0D411460"/>
    <w:rsid w:val="0D41F164"/>
    <w:rsid w:val="0D44E4AD"/>
    <w:rsid w:val="0D4AE80A"/>
    <w:rsid w:val="0D4CAC24"/>
    <w:rsid w:val="0D4E3584"/>
    <w:rsid w:val="0D557795"/>
    <w:rsid w:val="0D5F5ACC"/>
    <w:rsid w:val="0D616402"/>
    <w:rsid w:val="0D67BBC7"/>
    <w:rsid w:val="0D684A9E"/>
    <w:rsid w:val="0D6A4849"/>
    <w:rsid w:val="0D6A83DC"/>
    <w:rsid w:val="0D6B5631"/>
    <w:rsid w:val="0D701BD5"/>
    <w:rsid w:val="0D7262A0"/>
    <w:rsid w:val="0D7475FE"/>
    <w:rsid w:val="0D755D75"/>
    <w:rsid w:val="0D770303"/>
    <w:rsid w:val="0D795597"/>
    <w:rsid w:val="0D7B7618"/>
    <w:rsid w:val="0D7BFF4B"/>
    <w:rsid w:val="0D8363DD"/>
    <w:rsid w:val="0D841399"/>
    <w:rsid w:val="0D87EF7A"/>
    <w:rsid w:val="0D889A00"/>
    <w:rsid w:val="0D8B9F47"/>
    <w:rsid w:val="0D936F80"/>
    <w:rsid w:val="0D947EED"/>
    <w:rsid w:val="0D96C06C"/>
    <w:rsid w:val="0D98DF05"/>
    <w:rsid w:val="0DA3EA06"/>
    <w:rsid w:val="0DA70A3F"/>
    <w:rsid w:val="0DAC6D25"/>
    <w:rsid w:val="0DB0E554"/>
    <w:rsid w:val="0DB83123"/>
    <w:rsid w:val="0DBFA31B"/>
    <w:rsid w:val="0DBFAB95"/>
    <w:rsid w:val="0DC3D2B5"/>
    <w:rsid w:val="0DCD890F"/>
    <w:rsid w:val="0DD16BBA"/>
    <w:rsid w:val="0DE248DA"/>
    <w:rsid w:val="0DE54153"/>
    <w:rsid w:val="0DED4DAC"/>
    <w:rsid w:val="0DF0AE4B"/>
    <w:rsid w:val="0DFB4FE5"/>
    <w:rsid w:val="0DFC21C6"/>
    <w:rsid w:val="0E032794"/>
    <w:rsid w:val="0E085904"/>
    <w:rsid w:val="0E0FCE79"/>
    <w:rsid w:val="0E10F5F9"/>
    <w:rsid w:val="0E167869"/>
    <w:rsid w:val="0E198330"/>
    <w:rsid w:val="0E1B8C18"/>
    <w:rsid w:val="0E1F89E4"/>
    <w:rsid w:val="0E208250"/>
    <w:rsid w:val="0E23C68C"/>
    <w:rsid w:val="0E23D9FB"/>
    <w:rsid w:val="0E241B8D"/>
    <w:rsid w:val="0E273EAD"/>
    <w:rsid w:val="0E2C3FB3"/>
    <w:rsid w:val="0E2CC048"/>
    <w:rsid w:val="0E2E0BCF"/>
    <w:rsid w:val="0E364717"/>
    <w:rsid w:val="0E3E0929"/>
    <w:rsid w:val="0E41B986"/>
    <w:rsid w:val="0E425888"/>
    <w:rsid w:val="0E443C82"/>
    <w:rsid w:val="0E45C621"/>
    <w:rsid w:val="0E4966F5"/>
    <w:rsid w:val="0E4A7F32"/>
    <w:rsid w:val="0E54C8FE"/>
    <w:rsid w:val="0E559E8F"/>
    <w:rsid w:val="0E5E7D89"/>
    <w:rsid w:val="0E6237C9"/>
    <w:rsid w:val="0E68F144"/>
    <w:rsid w:val="0E6B0629"/>
    <w:rsid w:val="0E6B1D76"/>
    <w:rsid w:val="0E6CDF2E"/>
    <w:rsid w:val="0E70846E"/>
    <w:rsid w:val="0E735A70"/>
    <w:rsid w:val="0E7884A5"/>
    <w:rsid w:val="0E7A10A0"/>
    <w:rsid w:val="0E7A38FF"/>
    <w:rsid w:val="0E7EF323"/>
    <w:rsid w:val="0E86FF01"/>
    <w:rsid w:val="0E887DAB"/>
    <w:rsid w:val="0E88DD9C"/>
    <w:rsid w:val="0E8C8B3D"/>
    <w:rsid w:val="0E8CE0BC"/>
    <w:rsid w:val="0E903EA9"/>
    <w:rsid w:val="0E90EACA"/>
    <w:rsid w:val="0E9B487F"/>
    <w:rsid w:val="0E9EE4E3"/>
    <w:rsid w:val="0EA0C9F7"/>
    <w:rsid w:val="0EA99158"/>
    <w:rsid w:val="0EAC3F5A"/>
    <w:rsid w:val="0EAC8C77"/>
    <w:rsid w:val="0EB0739A"/>
    <w:rsid w:val="0EB319D1"/>
    <w:rsid w:val="0EB8A056"/>
    <w:rsid w:val="0EC15CBE"/>
    <w:rsid w:val="0EC7A676"/>
    <w:rsid w:val="0ECC326B"/>
    <w:rsid w:val="0ED33E5C"/>
    <w:rsid w:val="0ED37834"/>
    <w:rsid w:val="0ED85688"/>
    <w:rsid w:val="0EDBB932"/>
    <w:rsid w:val="0EDF8950"/>
    <w:rsid w:val="0EDF8FE7"/>
    <w:rsid w:val="0EE4A970"/>
    <w:rsid w:val="0EE4E412"/>
    <w:rsid w:val="0EED2EB4"/>
    <w:rsid w:val="0EEED9E5"/>
    <w:rsid w:val="0EF4880F"/>
    <w:rsid w:val="0EF8B93F"/>
    <w:rsid w:val="0EFA6204"/>
    <w:rsid w:val="0EFC7DC6"/>
    <w:rsid w:val="0F0047F7"/>
    <w:rsid w:val="0F015945"/>
    <w:rsid w:val="0F016484"/>
    <w:rsid w:val="0F089914"/>
    <w:rsid w:val="0F0FC991"/>
    <w:rsid w:val="0F11BD53"/>
    <w:rsid w:val="0F13165B"/>
    <w:rsid w:val="0F1BC899"/>
    <w:rsid w:val="0F20E5A0"/>
    <w:rsid w:val="0F24E0DC"/>
    <w:rsid w:val="0F2726E9"/>
    <w:rsid w:val="0F2C8E4D"/>
    <w:rsid w:val="0F2D5BC0"/>
    <w:rsid w:val="0F2E308F"/>
    <w:rsid w:val="0F32B107"/>
    <w:rsid w:val="0F346D33"/>
    <w:rsid w:val="0F34A4B1"/>
    <w:rsid w:val="0F37AA96"/>
    <w:rsid w:val="0F383167"/>
    <w:rsid w:val="0F39EF18"/>
    <w:rsid w:val="0F3A0A4D"/>
    <w:rsid w:val="0F3AC742"/>
    <w:rsid w:val="0F42C25F"/>
    <w:rsid w:val="0F48C3EF"/>
    <w:rsid w:val="0F4C6C66"/>
    <w:rsid w:val="0F4E9027"/>
    <w:rsid w:val="0F51A85D"/>
    <w:rsid w:val="0F5A1F85"/>
    <w:rsid w:val="0F5C4DD1"/>
    <w:rsid w:val="0F60FE79"/>
    <w:rsid w:val="0F62090E"/>
    <w:rsid w:val="0F625E36"/>
    <w:rsid w:val="0F63B0CD"/>
    <w:rsid w:val="0F67F2E9"/>
    <w:rsid w:val="0F69148A"/>
    <w:rsid w:val="0F6ADE2A"/>
    <w:rsid w:val="0F6C93E7"/>
    <w:rsid w:val="0F6FC090"/>
    <w:rsid w:val="0F756C60"/>
    <w:rsid w:val="0F783960"/>
    <w:rsid w:val="0F79B587"/>
    <w:rsid w:val="0F7D5F77"/>
    <w:rsid w:val="0F7DB441"/>
    <w:rsid w:val="0F7ED7D5"/>
    <w:rsid w:val="0F82259A"/>
    <w:rsid w:val="0F93EFAC"/>
    <w:rsid w:val="0F96B063"/>
    <w:rsid w:val="0F988D1E"/>
    <w:rsid w:val="0F9B2969"/>
    <w:rsid w:val="0F9CDEA1"/>
    <w:rsid w:val="0F9F3C21"/>
    <w:rsid w:val="0FA0EB1A"/>
    <w:rsid w:val="0FA7FBAD"/>
    <w:rsid w:val="0FAA0AD2"/>
    <w:rsid w:val="0FAE52FB"/>
    <w:rsid w:val="0FB45A8B"/>
    <w:rsid w:val="0FBB930F"/>
    <w:rsid w:val="0FC0F3AA"/>
    <w:rsid w:val="0FCADB9B"/>
    <w:rsid w:val="0FCB0685"/>
    <w:rsid w:val="0FD10FA2"/>
    <w:rsid w:val="0FDFC803"/>
    <w:rsid w:val="0FDFD024"/>
    <w:rsid w:val="0FE23A0D"/>
    <w:rsid w:val="0FEF011D"/>
    <w:rsid w:val="0FF23B84"/>
    <w:rsid w:val="0FFB9997"/>
    <w:rsid w:val="10070772"/>
    <w:rsid w:val="100A0A3F"/>
    <w:rsid w:val="100BB4F9"/>
    <w:rsid w:val="100EB16E"/>
    <w:rsid w:val="100F88B8"/>
    <w:rsid w:val="10149545"/>
    <w:rsid w:val="101615B0"/>
    <w:rsid w:val="1016D2B6"/>
    <w:rsid w:val="10172EF5"/>
    <w:rsid w:val="10182E26"/>
    <w:rsid w:val="101A790F"/>
    <w:rsid w:val="1025F0B9"/>
    <w:rsid w:val="102B0257"/>
    <w:rsid w:val="102C040A"/>
    <w:rsid w:val="102C63E4"/>
    <w:rsid w:val="102FF140"/>
    <w:rsid w:val="10300C10"/>
    <w:rsid w:val="1030B25E"/>
    <w:rsid w:val="1034EC8B"/>
    <w:rsid w:val="10359644"/>
    <w:rsid w:val="1037A3CF"/>
    <w:rsid w:val="10399132"/>
    <w:rsid w:val="103B751B"/>
    <w:rsid w:val="1041842F"/>
    <w:rsid w:val="1041BD46"/>
    <w:rsid w:val="104EB83A"/>
    <w:rsid w:val="10510C04"/>
    <w:rsid w:val="1051E72B"/>
    <w:rsid w:val="10522EFB"/>
    <w:rsid w:val="10590E95"/>
    <w:rsid w:val="105E5A70"/>
    <w:rsid w:val="10627476"/>
    <w:rsid w:val="10650364"/>
    <w:rsid w:val="106EF520"/>
    <w:rsid w:val="1072206F"/>
    <w:rsid w:val="107333A8"/>
    <w:rsid w:val="10759139"/>
    <w:rsid w:val="107591A3"/>
    <w:rsid w:val="10788F24"/>
    <w:rsid w:val="107CD89F"/>
    <w:rsid w:val="107F2BAB"/>
    <w:rsid w:val="108CB596"/>
    <w:rsid w:val="1091A677"/>
    <w:rsid w:val="1092A36C"/>
    <w:rsid w:val="10942B41"/>
    <w:rsid w:val="109AB861"/>
    <w:rsid w:val="10A4890F"/>
    <w:rsid w:val="10A4A95B"/>
    <w:rsid w:val="10AA2CE9"/>
    <w:rsid w:val="10B0A3E2"/>
    <w:rsid w:val="10B309A3"/>
    <w:rsid w:val="10B39E20"/>
    <w:rsid w:val="10B71449"/>
    <w:rsid w:val="10C604E1"/>
    <w:rsid w:val="10C7E18A"/>
    <w:rsid w:val="10C8CE17"/>
    <w:rsid w:val="10CCE843"/>
    <w:rsid w:val="10D26086"/>
    <w:rsid w:val="10D3C07E"/>
    <w:rsid w:val="10D4A6E8"/>
    <w:rsid w:val="10DB8B3F"/>
    <w:rsid w:val="10DED7C6"/>
    <w:rsid w:val="10E162CC"/>
    <w:rsid w:val="10E38D0F"/>
    <w:rsid w:val="10E3B18E"/>
    <w:rsid w:val="10E5E68F"/>
    <w:rsid w:val="10E91C54"/>
    <w:rsid w:val="10EDA58E"/>
    <w:rsid w:val="10F308AB"/>
    <w:rsid w:val="10F32E14"/>
    <w:rsid w:val="10F52BEA"/>
    <w:rsid w:val="10F7507C"/>
    <w:rsid w:val="10FCE63F"/>
    <w:rsid w:val="11024934"/>
    <w:rsid w:val="1103F672"/>
    <w:rsid w:val="11048AB9"/>
    <w:rsid w:val="110CA63A"/>
    <w:rsid w:val="110FE92F"/>
    <w:rsid w:val="1110DA53"/>
    <w:rsid w:val="11136730"/>
    <w:rsid w:val="111986FD"/>
    <w:rsid w:val="111A61A6"/>
    <w:rsid w:val="11270292"/>
    <w:rsid w:val="112C81D8"/>
    <w:rsid w:val="112E1F2C"/>
    <w:rsid w:val="112F1BEC"/>
    <w:rsid w:val="112F687E"/>
    <w:rsid w:val="11348835"/>
    <w:rsid w:val="113F4737"/>
    <w:rsid w:val="113FD257"/>
    <w:rsid w:val="11420593"/>
    <w:rsid w:val="11431015"/>
    <w:rsid w:val="11446C96"/>
    <w:rsid w:val="11462EED"/>
    <w:rsid w:val="1149F913"/>
    <w:rsid w:val="114CCA96"/>
    <w:rsid w:val="115234A9"/>
    <w:rsid w:val="1152C8E6"/>
    <w:rsid w:val="1153F7FE"/>
    <w:rsid w:val="11545E0D"/>
    <w:rsid w:val="11589620"/>
    <w:rsid w:val="1160445A"/>
    <w:rsid w:val="116D248A"/>
    <w:rsid w:val="116E834A"/>
    <w:rsid w:val="1173EEBA"/>
    <w:rsid w:val="1174930E"/>
    <w:rsid w:val="1175FF9A"/>
    <w:rsid w:val="117B668F"/>
    <w:rsid w:val="1181B809"/>
    <w:rsid w:val="1182785A"/>
    <w:rsid w:val="1182E600"/>
    <w:rsid w:val="1182FDF9"/>
    <w:rsid w:val="118415AE"/>
    <w:rsid w:val="1189DBD4"/>
    <w:rsid w:val="118D3A4C"/>
    <w:rsid w:val="1190C13E"/>
    <w:rsid w:val="1197EF41"/>
    <w:rsid w:val="11996CB3"/>
    <w:rsid w:val="11A12FA1"/>
    <w:rsid w:val="11A62036"/>
    <w:rsid w:val="11A96DA5"/>
    <w:rsid w:val="11A9AD73"/>
    <w:rsid w:val="11B0748C"/>
    <w:rsid w:val="11B15F19"/>
    <w:rsid w:val="11B16EA0"/>
    <w:rsid w:val="11B33787"/>
    <w:rsid w:val="11C44696"/>
    <w:rsid w:val="11C51E3C"/>
    <w:rsid w:val="11C56760"/>
    <w:rsid w:val="11C5975C"/>
    <w:rsid w:val="11CA1AC5"/>
    <w:rsid w:val="11D1C5C1"/>
    <w:rsid w:val="11D3B3F4"/>
    <w:rsid w:val="11D3DD8C"/>
    <w:rsid w:val="11DE0735"/>
    <w:rsid w:val="11E63903"/>
    <w:rsid w:val="11E70A0B"/>
    <w:rsid w:val="11EF3087"/>
    <w:rsid w:val="11F1726D"/>
    <w:rsid w:val="11F22389"/>
    <w:rsid w:val="11F596B7"/>
    <w:rsid w:val="11FB296A"/>
    <w:rsid w:val="11FF1604"/>
    <w:rsid w:val="1204371E"/>
    <w:rsid w:val="1205A581"/>
    <w:rsid w:val="120818EE"/>
    <w:rsid w:val="12095EE3"/>
    <w:rsid w:val="120E31ED"/>
    <w:rsid w:val="120F0FA4"/>
    <w:rsid w:val="121127B0"/>
    <w:rsid w:val="1219F1B1"/>
    <w:rsid w:val="1219FAFA"/>
    <w:rsid w:val="121B4DBA"/>
    <w:rsid w:val="121CF4A8"/>
    <w:rsid w:val="121D1079"/>
    <w:rsid w:val="121D1CDE"/>
    <w:rsid w:val="12299CB8"/>
    <w:rsid w:val="122D26BA"/>
    <w:rsid w:val="122E31E1"/>
    <w:rsid w:val="122FDA1B"/>
    <w:rsid w:val="12353D19"/>
    <w:rsid w:val="12365648"/>
    <w:rsid w:val="1237551F"/>
    <w:rsid w:val="1238880A"/>
    <w:rsid w:val="123AC640"/>
    <w:rsid w:val="123F90C8"/>
    <w:rsid w:val="123FE895"/>
    <w:rsid w:val="1243C5E3"/>
    <w:rsid w:val="1245FA05"/>
    <w:rsid w:val="12474345"/>
    <w:rsid w:val="124B9F1C"/>
    <w:rsid w:val="124BE8C0"/>
    <w:rsid w:val="1252CD45"/>
    <w:rsid w:val="125A3EAC"/>
    <w:rsid w:val="125AF6C1"/>
    <w:rsid w:val="12671E3C"/>
    <w:rsid w:val="126C56E6"/>
    <w:rsid w:val="126F9365"/>
    <w:rsid w:val="12746884"/>
    <w:rsid w:val="1275C085"/>
    <w:rsid w:val="1279C26C"/>
    <w:rsid w:val="1280C2CA"/>
    <w:rsid w:val="128799C9"/>
    <w:rsid w:val="12950456"/>
    <w:rsid w:val="12959389"/>
    <w:rsid w:val="12978E71"/>
    <w:rsid w:val="12A10212"/>
    <w:rsid w:val="12A15D20"/>
    <w:rsid w:val="12A291E0"/>
    <w:rsid w:val="12A6E7CC"/>
    <w:rsid w:val="12AB3F2E"/>
    <w:rsid w:val="12ADEABD"/>
    <w:rsid w:val="12AE7E89"/>
    <w:rsid w:val="12B0202C"/>
    <w:rsid w:val="12B5E827"/>
    <w:rsid w:val="12B6419C"/>
    <w:rsid w:val="12BB9A6F"/>
    <w:rsid w:val="12BF5A5C"/>
    <w:rsid w:val="12CBAD87"/>
    <w:rsid w:val="12CC6425"/>
    <w:rsid w:val="12D59F98"/>
    <w:rsid w:val="12D5D518"/>
    <w:rsid w:val="12D68455"/>
    <w:rsid w:val="12DA6B48"/>
    <w:rsid w:val="12E03E6E"/>
    <w:rsid w:val="12E07000"/>
    <w:rsid w:val="12E0E092"/>
    <w:rsid w:val="12E323D7"/>
    <w:rsid w:val="12EA91D1"/>
    <w:rsid w:val="12ED3DD5"/>
    <w:rsid w:val="12F2AAE3"/>
    <w:rsid w:val="12F3D452"/>
    <w:rsid w:val="12F49E0E"/>
    <w:rsid w:val="13018EFE"/>
    <w:rsid w:val="1305AD27"/>
    <w:rsid w:val="130FDE25"/>
    <w:rsid w:val="131378AC"/>
    <w:rsid w:val="1315CC27"/>
    <w:rsid w:val="13193877"/>
    <w:rsid w:val="131F6ED2"/>
    <w:rsid w:val="1321403E"/>
    <w:rsid w:val="13284EEB"/>
    <w:rsid w:val="132EA79D"/>
    <w:rsid w:val="132EF30B"/>
    <w:rsid w:val="132FC0F7"/>
    <w:rsid w:val="13338ACC"/>
    <w:rsid w:val="133B9859"/>
    <w:rsid w:val="133C27AA"/>
    <w:rsid w:val="1342C22F"/>
    <w:rsid w:val="13433853"/>
    <w:rsid w:val="134D160B"/>
    <w:rsid w:val="134FEBFD"/>
    <w:rsid w:val="13546DC1"/>
    <w:rsid w:val="13571D48"/>
    <w:rsid w:val="135C3510"/>
    <w:rsid w:val="1363717F"/>
    <w:rsid w:val="136416BC"/>
    <w:rsid w:val="136A3947"/>
    <w:rsid w:val="136B8A3D"/>
    <w:rsid w:val="136BF453"/>
    <w:rsid w:val="1371A78E"/>
    <w:rsid w:val="13744F3D"/>
    <w:rsid w:val="1376CC8A"/>
    <w:rsid w:val="13777134"/>
    <w:rsid w:val="13777E50"/>
    <w:rsid w:val="137AF35F"/>
    <w:rsid w:val="137D4484"/>
    <w:rsid w:val="137EF9B5"/>
    <w:rsid w:val="13810DB0"/>
    <w:rsid w:val="1381ABCE"/>
    <w:rsid w:val="13886B46"/>
    <w:rsid w:val="138CA650"/>
    <w:rsid w:val="139442B2"/>
    <w:rsid w:val="13955A73"/>
    <w:rsid w:val="139F0145"/>
    <w:rsid w:val="13A05BA4"/>
    <w:rsid w:val="13AE60D7"/>
    <w:rsid w:val="13B0FBBF"/>
    <w:rsid w:val="13BA49F5"/>
    <w:rsid w:val="13C2205D"/>
    <w:rsid w:val="13C3240F"/>
    <w:rsid w:val="13C5E9C0"/>
    <w:rsid w:val="13C72F77"/>
    <w:rsid w:val="13C739AD"/>
    <w:rsid w:val="13CAFADA"/>
    <w:rsid w:val="13CD577D"/>
    <w:rsid w:val="13D4B426"/>
    <w:rsid w:val="13DD9928"/>
    <w:rsid w:val="13E17E02"/>
    <w:rsid w:val="13E8093F"/>
    <w:rsid w:val="13FCA3BC"/>
    <w:rsid w:val="13FF0626"/>
    <w:rsid w:val="13FF7157"/>
    <w:rsid w:val="14010A88"/>
    <w:rsid w:val="1401BCED"/>
    <w:rsid w:val="14058F92"/>
    <w:rsid w:val="140C5067"/>
    <w:rsid w:val="140D6D40"/>
    <w:rsid w:val="1411CEF9"/>
    <w:rsid w:val="1414D4CD"/>
    <w:rsid w:val="1414E7B2"/>
    <w:rsid w:val="1415F5BE"/>
    <w:rsid w:val="1418B247"/>
    <w:rsid w:val="141A5E5B"/>
    <w:rsid w:val="141C4C44"/>
    <w:rsid w:val="141DFF85"/>
    <w:rsid w:val="1420C18E"/>
    <w:rsid w:val="14218191"/>
    <w:rsid w:val="1427C743"/>
    <w:rsid w:val="142CB141"/>
    <w:rsid w:val="1431EAF3"/>
    <w:rsid w:val="143CA397"/>
    <w:rsid w:val="143E23ED"/>
    <w:rsid w:val="143E3776"/>
    <w:rsid w:val="1440C17F"/>
    <w:rsid w:val="144A1C7E"/>
    <w:rsid w:val="144AF791"/>
    <w:rsid w:val="144B660C"/>
    <w:rsid w:val="144CA7FC"/>
    <w:rsid w:val="1454965D"/>
    <w:rsid w:val="14555322"/>
    <w:rsid w:val="1456311E"/>
    <w:rsid w:val="1456E066"/>
    <w:rsid w:val="14575002"/>
    <w:rsid w:val="145D8AD7"/>
    <w:rsid w:val="146C0CE7"/>
    <w:rsid w:val="1476B102"/>
    <w:rsid w:val="1479EFD6"/>
    <w:rsid w:val="147C0265"/>
    <w:rsid w:val="14849643"/>
    <w:rsid w:val="148C22FB"/>
    <w:rsid w:val="148C4609"/>
    <w:rsid w:val="148CF4AC"/>
    <w:rsid w:val="148E84FA"/>
    <w:rsid w:val="1493ADF1"/>
    <w:rsid w:val="14940587"/>
    <w:rsid w:val="149E3835"/>
    <w:rsid w:val="14A2229E"/>
    <w:rsid w:val="14A41125"/>
    <w:rsid w:val="14A89C6C"/>
    <w:rsid w:val="14AA9811"/>
    <w:rsid w:val="14AFB4E6"/>
    <w:rsid w:val="14B22F53"/>
    <w:rsid w:val="14B5CA7F"/>
    <w:rsid w:val="14B7CF45"/>
    <w:rsid w:val="14C000B6"/>
    <w:rsid w:val="14C52F98"/>
    <w:rsid w:val="14C6F680"/>
    <w:rsid w:val="14C991CC"/>
    <w:rsid w:val="14C9B88A"/>
    <w:rsid w:val="14D40F14"/>
    <w:rsid w:val="14DCF024"/>
    <w:rsid w:val="14DDA993"/>
    <w:rsid w:val="14DE3933"/>
    <w:rsid w:val="14E33CD1"/>
    <w:rsid w:val="14E7A4AC"/>
    <w:rsid w:val="14EBD7F2"/>
    <w:rsid w:val="14F02579"/>
    <w:rsid w:val="14F0C696"/>
    <w:rsid w:val="14F53DB0"/>
    <w:rsid w:val="14F644B2"/>
    <w:rsid w:val="14F6E532"/>
    <w:rsid w:val="14F78179"/>
    <w:rsid w:val="14FBA37F"/>
    <w:rsid w:val="14FC43B3"/>
    <w:rsid w:val="15026B69"/>
    <w:rsid w:val="1507D5F0"/>
    <w:rsid w:val="1508BA81"/>
    <w:rsid w:val="150F5F3A"/>
    <w:rsid w:val="151328B1"/>
    <w:rsid w:val="15186606"/>
    <w:rsid w:val="15199997"/>
    <w:rsid w:val="151C73EA"/>
    <w:rsid w:val="151F83C8"/>
    <w:rsid w:val="15251252"/>
    <w:rsid w:val="1525B364"/>
    <w:rsid w:val="15284AE1"/>
    <w:rsid w:val="152A364B"/>
    <w:rsid w:val="152D52FF"/>
    <w:rsid w:val="152F1334"/>
    <w:rsid w:val="152F81E6"/>
    <w:rsid w:val="1530375B"/>
    <w:rsid w:val="1535EE80"/>
    <w:rsid w:val="153A8ACD"/>
    <w:rsid w:val="153E2570"/>
    <w:rsid w:val="153F62C1"/>
    <w:rsid w:val="1540580C"/>
    <w:rsid w:val="154698C2"/>
    <w:rsid w:val="1546F3E8"/>
    <w:rsid w:val="154D88C6"/>
    <w:rsid w:val="154E980C"/>
    <w:rsid w:val="154F3E02"/>
    <w:rsid w:val="1550464F"/>
    <w:rsid w:val="1555A420"/>
    <w:rsid w:val="155E6D4F"/>
    <w:rsid w:val="155EFF22"/>
    <w:rsid w:val="156122C2"/>
    <w:rsid w:val="15659E35"/>
    <w:rsid w:val="1570A7BD"/>
    <w:rsid w:val="1571C1EE"/>
    <w:rsid w:val="1574D3B8"/>
    <w:rsid w:val="157B29D5"/>
    <w:rsid w:val="157D4E40"/>
    <w:rsid w:val="15805BE8"/>
    <w:rsid w:val="15809ADC"/>
    <w:rsid w:val="15816CC3"/>
    <w:rsid w:val="15826C2D"/>
    <w:rsid w:val="158A9FD9"/>
    <w:rsid w:val="158AEFA6"/>
    <w:rsid w:val="158BBDD1"/>
    <w:rsid w:val="158BC45E"/>
    <w:rsid w:val="1594CCF9"/>
    <w:rsid w:val="15957860"/>
    <w:rsid w:val="159E7B7E"/>
    <w:rsid w:val="159F6343"/>
    <w:rsid w:val="15A7F09F"/>
    <w:rsid w:val="15AB22E5"/>
    <w:rsid w:val="15B0DB0F"/>
    <w:rsid w:val="15B5210C"/>
    <w:rsid w:val="15B6E8BE"/>
    <w:rsid w:val="15B79140"/>
    <w:rsid w:val="15B8DF58"/>
    <w:rsid w:val="15BDCCE4"/>
    <w:rsid w:val="15CC294F"/>
    <w:rsid w:val="15CDA546"/>
    <w:rsid w:val="15D10BD5"/>
    <w:rsid w:val="15D5BAA6"/>
    <w:rsid w:val="15E0ADC1"/>
    <w:rsid w:val="15E6F15A"/>
    <w:rsid w:val="15F07167"/>
    <w:rsid w:val="15F233D8"/>
    <w:rsid w:val="15F28A35"/>
    <w:rsid w:val="15F44B01"/>
    <w:rsid w:val="15F4E472"/>
    <w:rsid w:val="15F974CD"/>
    <w:rsid w:val="15FAD4A4"/>
    <w:rsid w:val="1602FCBA"/>
    <w:rsid w:val="1605EE06"/>
    <w:rsid w:val="16073D8F"/>
    <w:rsid w:val="160BF70B"/>
    <w:rsid w:val="16135C05"/>
    <w:rsid w:val="16156119"/>
    <w:rsid w:val="161B52F0"/>
    <w:rsid w:val="16231BCB"/>
    <w:rsid w:val="16255723"/>
    <w:rsid w:val="1626190A"/>
    <w:rsid w:val="162791C7"/>
    <w:rsid w:val="162D6958"/>
    <w:rsid w:val="162F8D30"/>
    <w:rsid w:val="1631A961"/>
    <w:rsid w:val="1638A58E"/>
    <w:rsid w:val="163F981E"/>
    <w:rsid w:val="1646E8D4"/>
    <w:rsid w:val="164744D5"/>
    <w:rsid w:val="1647C8FF"/>
    <w:rsid w:val="16495D30"/>
    <w:rsid w:val="164C85B9"/>
    <w:rsid w:val="164D569A"/>
    <w:rsid w:val="164F44DB"/>
    <w:rsid w:val="165367E4"/>
    <w:rsid w:val="1656160D"/>
    <w:rsid w:val="16574F45"/>
    <w:rsid w:val="165A735F"/>
    <w:rsid w:val="165C16EE"/>
    <w:rsid w:val="165C204D"/>
    <w:rsid w:val="165D8E26"/>
    <w:rsid w:val="165E31FC"/>
    <w:rsid w:val="1667E21C"/>
    <w:rsid w:val="166A3E8C"/>
    <w:rsid w:val="166EE88A"/>
    <w:rsid w:val="1672D440"/>
    <w:rsid w:val="16773ECC"/>
    <w:rsid w:val="1680E62C"/>
    <w:rsid w:val="1682A735"/>
    <w:rsid w:val="168428C2"/>
    <w:rsid w:val="1687A0FB"/>
    <w:rsid w:val="168A5DE5"/>
    <w:rsid w:val="1691529A"/>
    <w:rsid w:val="1694BE5F"/>
    <w:rsid w:val="1699F7BE"/>
    <w:rsid w:val="16A27436"/>
    <w:rsid w:val="16A4C0C7"/>
    <w:rsid w:val="16AA1169"/>
    <w:rsid w:val="16AB2312"/>
    <w:rsid w:val="16AE2CA6"/>
    <w:rsid w:val="16B1AD30"/>
    <w:rsid w:val="16B1AFC9"/>
    <w:rsid w:val="16B4F634"/>
    <w:rsid w:val="16B7DB2A"/>
    <w:rsid w:val="16BB9B40"/>
    <w:rsid w:val="16BBB3B8"/>
    <w:rsid w:val="16BBEB74"/>
    <w:rsid w:val="16BE040E"/>
    <w:rsid w:val="16BE6B81"/>
    <w:rsid w:val="16C17967"/>
    <w:rsid w:val="16CA74D1"/>
    <w:rsid w:val="16CF479C"/>
    <w:rsid w:val="16DFAAEE"/>
    <w:rsid w:val="16E1E70C"/>
    <w:rsid w:val="16E2B237"/>
    <w:rsid w:val="16EECE8F"/>
    <w:rsid w:val="16F0891A"/>
    <w:rsid w:val="16F57985"/>
    <w:rsid w:val="16F93181"/>
    <w:rsid w:val="16FE547F"/>
    <w:rsid w:val="170451EF"/>
    <w:rsid w:val="170CC735"/>
    <w:rsid w:val="1711C757"/>
    <w:rsid w:val="171742A3"/>
    <w:rsid w:val="171821AC"/>
    <w:rsid w:val="1718C275"/>
    <w:rsid w:val="171A3780"/>
    <w:rsid w:val="171AFF9E"/>
    <w:rsid w:val="171EF76A"/>
    <w:rsid w:val="1729B88D"/>
    <w:rsid w:val="172A5059"/>
    <w:rsid w:val="172D9588"/>
    <w:rsid w:val="172E9BFB"/>
    <w:rsid w:val="1733FCD6"/>
    <w:rsid w:val="173CB207"/>
    <w:rsid w:val="173EAD0E"/>
    <w:rsid w:val="17410A6F"/>
    <w:rsid w:val="174213B0"/>
    <w:rsid w:val="174267D4"/>
    <w:rsid w:val="17466DB9"/>
    <w:rsid w:val="17491CE0"/>
    <w:rsid w:val="17497BB0"/>
    <w:rsid w:val="174B6BBD"/>
    <w:rsid w:val="174C2421"/>
    <w:rsid w:val="174D72B3"/>
    <w:rsid w:val="174F65CD"/>
    <w:rsid w:val="1750E8C8"/>
    <w:rsid w:val="17547090"/>
    <w:rsid w:val="17579F43"/>
    <w:rsid w:val="17614FB7"/>
    <w:rsid w:val="176355E6"/>
    <w:rsid w:val="176E9132"/>
    <w:rsid w:val="17716319"/>
    <w:rsid w:val="177235CA"/>
    <w:rsid w:val="17772EB4"/>
    <w:rsid w:val="17776BD2"/>
    <w:rsid w:val="1778C0AD"/>
    <w:rsid w:val="177F039D"/>
    <w:rsid w:val="1783978B"/>
    <w:rsid w:val="1783CE80"/>
    <w:rsid w:val="178CA803"/>
    <w:rsid w:val="179298DB"/>
    <w:rsid w:val="17943FFD"/>
    <w:rsid w:val="1795AD24"/>
    <w:rsid w:val="179E4574"/>
    <w:rsid w:val="179F49A2"/>
    <w:rsid w:val="179FBE8F"/>
    <w:rsid w:val="17A180B6"/>
    <w:rsid w:val="17A5EC2E"/>
    <w:rsid w:val="17A923F1"/>
    <w:rsid w:val="17A93DAC"/>
    <w:rsid w:val="17AA9A0A"/>
    <w:rsid w:val="17AB7810"/>
    <w:rsid w:val="17AEFEB6"/>
    <w:rsid w:val="17AFFE2C"/>
    <w:rsid w:val="17B2BCFC"/>
    <w:rsid w:val="17B5B592"/>
    <w:rsid w:val="17BE473E"/>
    <w:rsid w:val="17CF9876"/>
    <w:rsid w:val="17D57CA7"/>
    <w:rsid w:val="17D6268E"/>
    <w:rsid w:val="17DAA3A6"/>
    <w:rsid w:val="17DAE65C"/>
    <w:rsid w:val="17E1BB04"/>
    <w:rsid w:val="17E1F9AE"/>
    <w:rsid w:val="17E54ABC"/>
    <w:rsid w:val="17EEB1E6"/>
    <w:rsid w:val="17EFF01B"/>
    <w:rsid w:val="17F0123C"/>
    <w:rsid w:val="17F193CC"/>
    <w:rsid w:val="17F2121A"/>
    <w:rsid w:val="17F74B1E"/>
    <w:rsid w:val="17FBE8B1"/>
    <w:rsid w:val="17FD8672"/>
    <w:rsid w:val="18004DB3"/>
    <w:rsid w:val="1802A1D2"/>
    <w:rsid w:val="18040178"/>
    <w:rsid w:val="1805DAFC"/>
    <w:rsid w:val="180916EC"/>
    <w:rsid w:val="180B5F90"/>
    <w:rsid w:val="18171C5B"/>
    <w:rsid w:val="18254891"/>
    <w:rsid w:val="18264B52"/>
    <w:rsid w:val="18266816"/>
    <w:rsid w:val="18268F19"/>
    <w:rsid w:val="1826A72E"/>
    <w:rsid w:val="18310B47"/>
    <w:rsid w:val="1832FEA6"/>
    <w:rsid w:val="183BAC8F"/>
    <w:rsid w:val="183CB32E"/>
    <w:rsid w:val="183D781C"/>
    <w:rsid w:val="183FB9D3"/>
    <w:rsid w:val="1849E781"/>
    <w:rsid w:val="184E4590"/>
    <w:rsid w:val="184E66F3"/>
    <w:rsid w:val="18507461"/>
    <w:rsid w:val="1850D3FB"/>
    <w:rsid w:val="18585FAD"/>
    <w:rsid w:val="1858B996"/>
    <w:rsid w:val="185C6640"/>
    <w:rsid w:val="185E8E0E"/>
    <w:rsid w:val="18631C7E"/>
    <w:rsid w:val="18649828"/>
    <w:rsid w:val="186AE191"/>
    <w:rsid w:val="186AEFFB"/>
    <w:rsid w:val="186AF5BF"/>
    <w:rsid w:val="186B8DB5"/>
    <w:rsid w:val="18763FAD"/>
    <w:rsid w:val="187DC294"/>
    <w:rsid w:val="187F2D25"/>
    <w:rsid w:val="1881BBAA"/>
    <w:rsid w:val="18843761"/>
    <w:rsid w:val="188B5619"/>
    <w:rsid w:val="188C4747"/>
    <w:rsid w:val="1891AA37"/>
    <w:rsid w:val="18923CAC"/>
    <w:rsid w:val="1892F3B0"/>
    <w:rsid w:val="189B2A92"/>
    <w:rsid w:val="18A01A1D"/>
    <w:rsid w:val="18A2FBEC"/>
    <w:rsid w:val="18A6A209"/>
    <w:rsid w:val="18AD8B7E"/>
    <w:rsid w:val="18AFD283"/>
    <w:rsid w:val="18B19575"/>
    <w:rsid w:val="18B19A12"/>
    <w:rsid w:val="18B1DD41"/>
    <w:rsid w:val="18B2D877"/>
    <w:rsid w:val="18BBAC12"/>
    <w:rsid w:val="18BE7B04"/>
    <w:rsid w:val="18BF270A"/>
    <w:rsid w:val="18C0744C"/>
    <w:rsid w:val="18C755AC"/>
    <w:rsid w:val="18C940DA"/>
    <w:rsid w:val="18CCA2DC"/>
    <w:rsid w:val="18CDD981"/>
    <w:rsid w:val="18D16797"/>
    <w:rsid w:val="18D29194"/>
    <w:rsid w:val="18D350A3"/>
    <w:rsid w:val="18DF2423"/>
    <w:rsid w:val="18DFB8A9"/>
    <w:rsid w:val="18EAA47F"/>
    <w:rsid w:val="18F0A2F1"/>
    <w:rsid w:val="18F1BC72"/>
    <w:rsid w:val="18F64EA1"/>
    <w:rsid w:val="18FC6878"/>
    <w:rsid w:val="18FDECCE"/>
    <w:rsid w:val="1901CB65"/>
    <w:rsid w:val="19051125"/>
    <w:rsid w:val="19069E72"/>
    <w:rsid w:val="190A17E6"/>
    <w:rsid w:val="190A87B7"/>
    <w:rsid w:val="190C0FA9"/>
    <w:rsid w:val="190E3401"/>
    <w:rsid w:val="19119DF9"/>
    <w:rsid w:val="19130EDB"/>
    <w:rsid w:val="191E3DFA"/>
    <w:rsid w:val="19208A7B"/>
    <w:rsid w:val="1924C332"/>
    <w:rsid w:val="1926D0BA"/>
    <w:rsid w:val="192701C0"/>
    <w:rsid w:val="192905A7"/>
    <w:rsid w:val="192F38A8"/>
    <w:rsid w:val="1930E243"/>
    <w:rsid w:val="1936BD39"/>
    <w:rsid w:val="19387583"/>
    <w:rsid w:val="193BA62D"/>
    <w:rsid w:val="193CF3C2"/>
    <w:rsid w:val="193F60B2"/>
    <w:rsid w:val="1943A4EB"/>
    <w:rsid w:val="19483023"/>
    <w:rsid w:val="19531C58"/>
    <w:rsid w:val="1959494D"/>
    <w:rsid w:val="195C1261"/>
    <w:rsid w:val="195FC4D2"/>
    <w:rsid w:val="196065A3"/>
    <w:rsid w:val="19639DBB"/>
    <w:rsid w:val="19657ABC"/>
    <w:rsid w:val="19689B32"/>
    <w:rsid w:val="19695F7D"/>
    <w:rsid w:val="19714106"/>
    <w:rsid w:val="19733E47"/>
    <w:rsid w:val="1974606D"/>
    <w:rsid w:val="197D76F5"/>
    <w:rsid w:val="197F0AD6"/>
    <w:rsid w:val="197F7C7C"/>
    <w:rsid w:val="1981BA18"/>
    <w:rsid w:val="198CB7C8"/>
    <w:rsid w:val="1991261D"/>
    <w:rsid w:val="19918EBB"/>
    <w:rsid w:val="199EBAAC"/>
    <w:rsid w:val="19A1C401"/>
    <w:rsid w:val="19A29086"/>
    <w:rsid w:val="19A9E7D3"/>
    <w:rsid w:val="19AC17F5"/>
    <w:rsid w:val="19B25B3F"/>
    <w:rsid w:val="19B7DFDC"/>
    <w:rsid w:val="19B8B9C6"/>
    <w:rsid w:val="19CA08F9"/>
    <w:rsid w:val="19CB9886"/>
    <w:rsid w:val="19CD936A"/>
    <w:rsid w:val="19D4949F"/>
    <w:rsid w:val="19D6AF24"/>
    <w:rsid w:val="19D7DEBD"/>
    <w:rsid w:val="19DB1D0E"/>
    <w:rsid w:val="19E05A37"/>
    <w:rsid w:val="19E79B22"/>
    <w:rsid w:val="19EC90D5"/>
    <w:rsid w:val="19ED1F4D"/>
    <w:rsid w:val="19EE5C4F"/>
    <w:rsid w:val="19F25AE6"/>
    <w:rsid w:val="19F30460"/>
    <w:rsid w:val="19F38F19"/>
    <w:rsid w:val="19F80BC1"/>
    <w:rsid w:val="19FFB5F6"/>
    <w:rsid w:val="1A012CA4"/>
    <w:rsid w:val="1A0C0041"/>
    <w:rsid w:val="1A0D375F"/>
    <w:rsid w:val="1A0F05A5"/>
    <w:rsid w:val="1A11CBF1"/>
    <w:rsid w:val="1A13DEAE"/>
    <w:rsid w:val="1A1436F0"/>
    <w:rsid w:val="1A1AB119"/>
    <w:rsid w:val="1A1DE283"/>
    <w:rsid w:val="1A22BAC6"/>
    <w:rsid w:val="1A272002"/>
    <w:rsid w:val="1A28678D"/>
    <w:rsid w:val="1A28DC79"/>
    <w:rsid w:val="1A2905D0"/>
    <w:rsid w:val="1A32A84E"/>
    <w:rsid w:val="1A368E1E"/>
    <w:rsid w:val="1A36CD87"/>
    <w:rsid w:val="1A3E170B"/>
    <w:rsid w:val="1A4118C1"/>
    <w:rsid w:val="1A48E46A"/>
    <w:rsid w:val="1A4F0667"/>
    <w:rsid w:val="1A5724DC"/>
    <w:rsid w:val="1A5AD0B6"/>
    <w:rsid w:val="1A602B6E"/>
    <w:rsid w:val="1A614F6F"/>
    <w:rsid w:val="1A62D801"/>
    <w:rsid w:val="1A62F89C"/>
    <w:rsid w:val="1A65701E"/>
    <w:rsid w:val="1A671222"/>
    <w:rsid w:val="1A68C139"/>
    <w:rsid w:val="1A6A225C"/>
    <w:rsid w:val="1A6AB5E3"/>
    <w:rsid w:val="1A709ED7"/>
    <w:rsid w:val="1A7F506B"/>
    <w:rsid w:val="1A7F5249"/>
    <w:rsid w:val="1A7FF31F"/>
    <w:rsid w:val="1A80A75F"/>
    <w:rsid w:val="1A810709"/>
    <w:rsid w:val="1A82B71B"/>
    <w:rsid w:val="1A88C1E6"/>
    <w:rsid w:val="1A89EE23"/>
    <w:rsid w:val="1A911CF4"/>
    <w:rsid w:val="1A93695B"/>
    <w:rsid w:val="1A95F6CC"/>
    <w:rsid w:val="1A994AB4"/>
    <w:rsid w:val="1A998619"/>
    <w:rsid w:val="1AA46A77"/>
    <w:rsid w:val="1AA9F031"/>
    <w:rsid w:val="1AB33022"/>
    <w:rsid w:val="1AC1F495"/>
    <w:rsid w:val="1AC2B20A"/>
    <w:rsid w:val="1AC9B009"/>
    <w:rsid w:val="1ACA18F5"/>
    <w:rsid w:val="1AD62905"/>
    <w:rsid w:val="1AD74319"/>
    <w:rsid w:val="1ADDD118"/>
    <w:rsid w:val="1ADE0F32"/>
    <w:rsid w:val="1AE6265B"/>
    <w:rsid w:val="1AEC1FC7"/>
    <w:rsid w:val="1AEEF6E9"/>
    <w:rsid w:val="1AF5A5C4"/>
    <w:rsid w:val="1AF66FDF"/>
    <w:rsid w:val="1AF7CB5F"/>
    <w:rsid w:val="1AF963A7"/>
    <w:rsid w:val="1AFCE4B1"/>
    <w:rsid w:val="1AFD5ED9"/>
    <w:rsid w:val="1AFE510B"/>
    <w:rsid w:val="1B00DB11"/>
    <w:rsid w:val="1B02CB00"/>
    <w:rsid w:val="1B077344"/>
    <w:rsid w:val="1B0AC226"/>
    <w:rsid w:val="1B1A2E09"/>
    <w:rsid w:val="1B1D49B1"/>
    <w:rsid w:val="1B1DC19D"/>
    <w:rsid w:val="1B1E0991"/>
    <w:rsid w:val="1B20DAB0"/>
    <w:rsid w:val="1B23FA75"/>
    <w:rsid w:val="1B252CB6"/>
    <w:rsid w:val="1B270E46"/>
    <w:rsid w:val="1B2F490C"/>
    <w:rsid w:val="1B33B631"/>
    <w:rsid w:val="1B3613A2"/>
    <w:rsid w:val="1B3669A2"/>
    <w:rsid w:val="1B3A48D6"/>
    <w:rsid w:val="1B3AB8D1"/>
    <w:rsid w:val="1B3CAC98"/>
    <w:rsid w:val="1B409C75"/>
    <w:rsid w:val="1B47AEC3"/>
    <w:rsid w:val="1B4BF54C"/>
    <w:rsid w:val="1B5151F6"/>
    <w:rsid w:val="1B5397BE"/>
    <w:rsid w:val="1B54EFB6"/>
    <w:rsid w:val="1B56E4CA"/>
    <w:rsid w:val="1B59450F"/>
    <w:rsid w:val="1B5A659F"/>
    <w:rsid w:val="1B5DC5D0"/>
    <w:rsid w:val="1B63577B"/>
    <w:rsid w:val="1B6482B4"/>
    <w:rsid w:val="1B64CEA7"/>
    <w:rsid w:val="1B67B660"/>
    <w:rsid w:val="1B7124DE"/>
    <w:rsid w:val="1B73762B"/>
    <w:rsid w:val="1B74DCAD"/>
    <w:rsid w:val="1B7A124D"/>
    <w:rsid w:val="1B7AF345"/>
    <w:rsid w:val="1B802829"/>
    <w:rsid w:val="1B835FDE"/>
    <w:rsid w:val="1B865DCC"/>
    <w:rsid w:val="1B866B93"/>
    <w:rsid w:val="1B895B7F"/>
    <w:rsid w:val="1B8BC8D9"/>
    <w:rsid w:val="1B8CE098"/>
    <w:rsid w:val="1B8E601C"/>
    <w:rsid w:val="1B8EC607"/>
    <w:rsid w:val="1B8F12A7"/>
    <w:rsid w:val="1B908C53"/>
    <w:rsid w:val="1B935890"/>
    <w:rsid w:val="1B939CE6"/>
    <w:rsid w:val="1BA39D8D"/>
    <w:rsid w:val="1BAB3025"/>
    <w:rsid w:val="1BAC036E"/>
    <w:rsid w:val="1BAFD5A8"/>
    <w:rsid w:val="1BB0B240"/>
    <w:rsid w:val="1BB0D0FB"/>
    <w:rsid w:val="1BB63D60"/>
    <w:rsid w:val="1BB74B0E"/>
    <w:rsid w:val="1BB8DB8E"/>
    <w:rsid w:val="1BB96544"/>
    <w:rsid w:val="1BBA9E51"/>
    <w:rsid w:val="1BBE57A9"/>
    <w:rsid w:val="1BC75489"/>
    <w:rsid w:val="1BC8AC87"/>
    <w:rsid w:val="1BCD48F4"/>
    <w:rsid w:val="1BD22812"/>
    <w:rsid w:val="1BD4E024"/>
    <w:rsid w:val="1BD5295A"/>
    <w:rsid w:val="1BD65B3C"/>
    <w:rsid w:val="1BD8A335"/>
    <w:rsid w:val="1BE33F5F"/>
    <w:rsid w:val="1BE5B33B"/>
    <w:rsid w:val="1BE5E453"/>
    <w:rsid w:val="1BF21F45"/>
    <w:rsid w:val="1BFFEC6E"/>
    <w:rsid w:val="1C024EFD"/>
    <w:rsid w:val="1C0440EC"/>
    <w:rsid w:val="1C135F5B"/>
    <w:rsid w:val="1C144070"/>
    <w:rsid w:val="1C148DB0"/>
    <w:rsid w:val="1C1811D8"/>
    <w:rsid w:val="1C1BD676"/>
    <w:rsid w:val="1C1E0AA5"/>
    <w:rsid w:val="1C1EF974"/>
    <w:rsid w:val="1C2020DC"/>
    <w:rsid w:val="1C235583"/>
    <w:rsid w:val="1C2534C4"/>
    <w:rsid w:val="1C2A5868"/>
    <w:rsid w:val="1C2C2473"/>
    <w:rsid w:val="1C2CB136"/>
    <w:rsid w:val="1C2D0F6A"/>
    <w:rsid w:val="1C2FC9F9"/>
    <w:rsid w:val="1C3C8033"/>
    <w:rsid w:val="1C4124D8"/>
    <w:rsid w:val="1C41F27C"/>
    <w:rsid w:val="1C44FF70"/>
    <w:rsid w:val="1C478700"/>
    <w:rsid w:val="1C4E8664"/>
    <w:rsid w:val="1C4FED82"/>
    <w:rsid w:val="1C58FBBC"/>
    <w:rsid w:val="1C5B5642"/>
    <w:rsid w:val="1C67A023"/>
    <w:rsid w:val="1C6ABB98"/>
    <w:rsid w:val="1C6E21BA"/>
    <w:rsid w:val="1C71039E"/>
    <w:rsid w:val="1C713891"/>
    <w:rsid w:val="1C7A4B14"/>
    <w:rsid w:val="1C7C74CE"/>
    <w:rsid w:val="1C84449C"/>
    <w:rsid w:val="1C8BF109"/>
    <w:rsid w:val="1C8DDC61"/>
    <w:rsid w:val="1C90B064"/>
    <w:rsid w:val="1C934560"/>
    <w:rsid w:val="1C94F129"/>
    <w:rsid w:val="1C9CE048"/>
    <w:rsid w:val="1C9E25CC"/>
    <w:rsid w:val="1CA09297"/>
    <w:rsid w:val="1CA11979"/>
    <w:rsid w:val="1CA48893"/>
    <w:rsid w:val="1CB0763E"/>
    <w:rsid w:val="1CB9A3B2"/>
    <w:rsid w:val="1CBAEDE6"/>
    <w:rsid w:val="1CBE8392"/>
    <w:rsid w:val="1CBF2762"/>
    <w:rsid w:val="1CC17581"/>
    <w:rsid w:val="1CC23514"/>
    <w:rsid w:val="1CCE77AB"/>
    <w:rsid w:val="1CD4834E"/>
    <w:rsid w:val="1CD5F033"/>
    <w:rsid w:val="1CD8C87F"/>
    <w:rsid w:val="1CDDF67E"/>
    <w:rsid w:val="1CDE4323"/>
    <w:rsid w:val="1CDF1AF0"/>
    <w:rsid w:val="1CE458B2"/>
    <w:rsid w:val="1CE52C2C"/>
    <w:rsid w:val="1CE54120"/>
    <w:rsid w:val="1CE631BE"/>
    <w:rsid w:val="1CE7343B"/>
    <w:rsid w:val="1CEF4F10"/>
    <w:rsid w:val="1CF1452A"/>
    <w:rsid w:val="1CF23D56"/>
    <w:rsid w:val="1CFD1BCC"/>
    <w:rsid w:val="1D015EAB"/>
    <w:rsid w:val="1D0178F3"/>
    <w:rsid w:val="1D07A5FC"/>
    <w:rsid w:val="1D094463"/>
    <w:rsid w:val="1D0C3730"/>
    <w:rsid w:val="1D0E6DD5"/>
    <w:rsid w:val="1D13C29E"/>
    <w:rsid w:val="1D16AC30"/>
    <w:rsid w:val="1D1B4739"/>
    <w:rsid w:val="1D1BC281"/>
    <w:rsid w:val="1D1C0873"/>
    <w:rsid w:val="1D244A79"/>
    <w:rsid w:val="1D273D98"/>
    <w:rsid w:val="1D282021"/>
    <w:rsid w:val="1D28A513"/>
    <w:rsid w:val="1D38290A"/>
    <w:rsid w:val="1D40A5AC"/>
    <w:rsid w:val="1D40D83F"/>
    <w:rsid w:val="1D42A811"/>
    <w:rsid w:val="1D44E467"/>
    <w:rsid w:val="1D4ACDBB"/>
    <w:rsid w:val="1D4C76E7"/>
    <w:rsid w:val="1D57BCEC"/>
    <w:rsid w:val="1D5BFD90"/>
    <w:rsid w:val="1D5CD859"/>
    <w:rsid w:val="1D5D7EAC"/>
    <w:rsid w:val="1D60D63C"/>
    <w:rsid w:val="1D62571C"/>
    <w:rsid w:val="1D6A4A55"/>
    <w:rsid w:val="1D772FC7"/>
    <w:rsid w:val="1D84D3C7"/>
    <w:rsid w:val="1D8850D8"/>
    <w:rsid w:val="1D8ADB17"/>
    <w:rsid w:val="1D8BAE50"/>
    <w:rsid w:val="1D8DD33A"/>
    <w:rsid w:val="1D929499"/>
    <w:rsid w:val="1D980809"/>
    <w:rsid w:val="1D9AEA37"/>
    <w:rsid w:val="1D9D8522"/>
    <w:rsid w:val="1DA109EE"/>
    <w:rsid w:val="1DA1A396"/>
    <w:rsid w:val="1DA1A44D"/>
    <w:rsid w:val="1DAB162F"/>
    <w:rsid w:val="1DADE600"/>
    <w:rsid w:val="1DB25A6E"/>
    <w:rsid w:val="1DBE0DA6"/>
    <w:rsid w:val="1DBE2CC6"/>
    <w:rsid w:val="1DC02E5E"/>
    <w:rsid w:val="1DC062A8"/>
    <w:rsid w:val="1DC81309"/>
    <w:rsid w:val="1DC8ADCD"/>
    <w:rsid w:val="1DCB6DA3"/>
    <w:rsid w:val="1DD0FB07"/>
    <w:rsid w:val="1DDF5B84"/>
    <w:rsid w:val="1DE08FF1"/>
    <w:rsid w:val="1DE6760B"/>
    <w:rsid w:val="1DEA6505"/>
    <w:rsid w:val="1DF15281"/>
    <w:rsid w:val="1DF8010D"/>
    <w:rsid w:val="1DFC5075"/>
    <w:rsid w:val="1DFE2636"/>
    <w:rsid w:val="1E037C11"/>
    <w:rsid w:val="1E07CA0F"/>
    <w:rsid w:val="1E09ABD0"/>
    <w:rsid w:val="1E178311"/>
    <w:rsid w:val="1E17E550"/>
    <w:rsid w:val="1E195417"/>
    <w:rsid w:val="1E276123"/>
    <w:rsid w:val="1E2BF207"/>
    <w:rsid w:val="1E3325B4"/>
    <w:rsid w:val="1E3A8F2E"/>
    <w:rsid w:val="1E3B0CFE"/>
    <w:rsid w:val="1E3F571A"/>
    <w:rsid w:val="1E40F89A"/>
    <w:rsid w:val="1E448A09"/>
    <w:rsid w:val="1E464A79"/>
    <w:rsid w:val="1E483C09"/>
    <w:rsid w:val="1E4BC406"/>
    <w:rsid w:val="1E55FBC0"/>
    <w:rsid w:val="1E570226"/>
    <w:rsid w:val="1E58C1D7"/>
    <w:rsid w:val="1E5FF208"/>
    <w:rsid w:val="1E660407"/>
    <w:rsid w:val="1E6BB379"/>
    <w:rsid w:val="1E6BBF4F"/>
    <w:rsid w:val="1E705D97"/>
    <w:rsid w:val="1E70F5D1"/>
    <w:rsid w:val="1E75B9A3"/>
    <w:rsid w:val="1E784BCB"/>
    <w:rsid w:val="1E7A9BC1"/>
    <w:rsid w:val="1E7CD13A"/>
    <w:rsid w:val="1E7CD87F"/>
    <w:rsid w:val="1E7D0EBE"/>
    <w:rsid w:val="1E7D6283"/>
    <w:rsid w:val="1E80B49A"/>
    <w:rsid w:val="1E81A186"/>
    <w:rsid w:val="1E8C0C2E"/>
    <w:rsid w:val="1E94DF24"/>
    <w:rsid w:val="1E958986"/>
    <w:rsid w:val="1E9CB04C"/>
    <w:rsid w:val="1E9D83A5"/>
    <w:rsid w:val="1E9DE85E"/>
    <w:rsid w:val="1E9F9EB8"/>
    <w:rsid w:val="1EA14245"/>
    <w:rsid w:val="1EA1DFBF"/>
    <w:rsid w:val="1EA72312"/>
    <w:rsid w:val="1EAA211F"/>
    <w:rsid w:val="1EAC5314"/>
    <w:rsid w:val="1EBC1100"/>
    <w:rsid w:val="1EBCC770"/>
    <w:rsid w:val="1EBCE829"/>
    <w:rsid w:val="1EC2C78D"/>
    <w:rsid w:val="1EC616E6"/>
    <w:rsid w:val="1EC92B5D"/>
    <w:rsid w:val="1ECCAE53"/>
    <w:rsid w:val="1ECD72C0"/>
    <w:rsid w:val="1ECF6073"/>
    <w:rsid w:val="1ECFDB2E"/>
    <w:rsid w:val="1ED38BB9"/>
    <w:rsid w:val="1ED5002E"/>
    <w:rsid w:val="1ED6900A"/>
    <w:rsid w:val="1ED74274"/>
    <w:rsid w:val="1EE8EC04"/>
    <w:rsid w:val="1EF211E5"/>
    <w:rsid w:val="1EF536A2"/>
    <w:rsid w:val="1EF77D1B"/>
    <w:rsid w:val="1EF87C12"/>
    <w:rsid w:val="1EFA326B"/>
    <w:rsid w:val="1EFF1974"/>
    <w:rsid w:val="1F07F763"/>
    <w:rsid w:val="1F0FE96B"/>
    <w:rsid w:val="1F14785B"/>
    <w:rsid w:val="1F15BA03"/>
    <w:rsid w:val="1F16FFB5"/>
    <w:rsid w:val="1F17D9F5"/>
    <w:rsid w:val="1F19287C"/>
    <w:rsid w:val="1F1D5509"/>
    <w:rsid w:val="1F224F63"/>
    <w:rsid w:val="1F25F818"/>
    <w:rsid w:val="1F282DF5"/>
    <w:rsid w:val="1F2B1D69"/>
    <w:rsid w:val="1F30A248"/>
    <w:rsid w:val="1F31FC90"/>
    <w:rsid w:val="1F324CE0"/>
    <w:rsid w:val="1F358AE1"/>
    <w:rsid w:val="1F366EE1"/>
    <w:rsid w:val="1F386339"/>
    <w:rsid w:val="1F474A38"/>
    <w:rsid w:val="1F47A26B"/>
    <w:rsid w:val="1F4ACEC3"/>
    <w:rsid w:val="1F5208A1"/>
    <w:rsid w:val="1F540E30"/>
    <w:rsid w:val="1F541C2B"/>
    <w:rsid w:val="1F5ABBB9"/>
    <w:rsid w:val="1F61E656"/>
    <w:rsid w:val="1F63D229"/>
    <w:rsid w:val="1F683F0F"/>
    <w:rsid w:val="1F6EDCE4"/>
    <w:rsid w:val="1F70C345"/>
    <w:rsid w:val="1F7237BF"/>
    <w:rsid w:val="1F783E23"/>
    <w:rsid w:val="1F7ABE27"/>
    <w:rsid w:val="1F7BCCC2"/>
    <w:rsid w:val="1F7C5F83"/>
    <w:rsid w:val="1F80B97C"/>
    <w:rsid w:val="1F82151B"/>
    <w:rsid w:val="1F82A748"/>
    <w:rsid w:val="1F857606"/>
    <w:rsid w:val="1F89908F"/>
    <w:rsid w:val="1F8DCCF4"/>
    <w:rsid w:val="1F8F72BA"/>
    <w:rsid w:val="1F8FDCE4"/>
    <w:rsid w:val="1F93BD19"/>
    <w:rsid w:val="1F962F60"/>
    <w:rsid w:val="1F97D7FF"/>
    <w:rsid w:val="1F9DDF38"/>
    <w:rsid w:val="1F9EA018"/>
    <w:rsid w:val="1FA5B241"/>
    <w:rsid w:val="1FA6137F"/>
    <w:rsid w:val="1FAA2E1C"/>
    <w:rsid w:val="1FAA4355"/>
    <w:rsid w:val="1FB02E51"/>
    <w:rsid w:val="1FB19514"/>
    <w:rsid w:val="1FB43F29"/>
    <w:rsid w:val="1FB7B12B"/>
    <w:rsid w:val="1FBD0D86"/>
    <w:rsid w:val="1FC15802"/>
    <w:rsid w:val="1FC26E8E"/>
    <w:rsid w:val="1FC81CF9"/>
    <w:rsid w:val="1FCA3473"/>
    <w:rsid w:val="1FCE5C0A"/>
    <w:rsid w:val="1FCF451F"/>
    <w:rsid w:val="1FD3006F"/>
    <w:rsid w:val="1FD59D5D"/>
    <w:rsid w:val="1FD5D5F7"/>
    <w:rsid w:val="1FD60D50"/>
    <w:rsid w:val="1FDB90BB"/>
    <w:rsid w:val="1FDBA82D"/>
    <w:rsid w:val="1FDD9A64"/>
    <w:rsid w:val="1FE08792"/>
    <w:rsid w:val="1FE3335D"/>
    <w:rsid w:val="1FE5FC17"/>
    <w:rsid w:val="1FEAA65D"/>
    <w:rsid w:val="1FEB3770"/>
    <w:rsid w:val="1FEBA9F1"/>
    <w:rsid w:val="1FF30D02"/>
    <w:rsid w:val="1FF58D5F"/>
    <w:rsid w:val="1FF8AE53"/>
    <w:rsid w:val="2001AD74"/>
    <w:rsid w:val="2004595D"/>
    <w:rsid w:val="200580DE"/>
    <w:rsid w:val="200BF49E"/>
    <w:rsid w:val="200D2E12"/>
    <w:rsid w:val="200E83B4"/>
    <w:rsid w:val="200ED2EB"/>
    <w:rsid w:val="201093B3"/>
    <w:rsid w:val="20110060"/>
    <w:rsid w:val="201320BC"/>
    <w:rsid w:val="2015915A"/>
    <w:rsid w:val="201BDDB8"/>
    <w:rsid w:val="20241ABD"/>
    <w:rsid w:val="202AD497"/>
    <w:rsid w:val="202BC3EF"/>
    <w:rsid w:val="202CF564"/>
    <w:rsid w:val="202FA012"/>
    <w:rsid w:val="203A2FCB"/>
    <w:rsid w:val="203A7745"/>
    <w:rsid w:val="203CE264"/>
    <w:rsid w:val="20416E82"/>
    <w:rsid w:val="2045E84B"/>
    <w:rsid w:val="20470109"/>
    <w:rsid w:val="204803D9"/>
    <w:rsid w:val="204AB933"/>
    <w:rsid w:val="204AEA25"/>
    <w:rsid w:val="205640C1"/>
    <w:rsid w:val="2075AC68"/>
    <w:rsid w:val="2076A2DF"/>
    <w:rsid w:val="207F3BBB"/>
    <w:rsid w:val="2082AD56"/>
    <w:rsid w:val="208457B8"/>
    <w:rsid w:val="2084B6A6"/>
    <w:rsid w:val="2084F4EF"/>
    <w:rsid w:val="20854277"/>
    <w:rsid w:val="20861597"/>
    <w:rsid w:val="2086443D"/>
    <w:rsid w:val="208682A0"/>
    <w:rsid w:val="20895190"/>
    <w:rsid w:val="208CCD8F"/>
    <w:rsid w:val="208DAA7B"/>
    <w:rsid w:val="2090CB4E"/>
    <w:rsid w:val="20999921"/>
    <w:rsid w:val="20A40CCD"/>
    <w:rsid w:val="20A48B0D"/>
    <w:rsid w:val="20A49F91"/>
    <w:rsid w:val="20A56AC0"/>
    <w:rsid w:val="20B0D1BD"/>
    <w:rsid w:val="20B273B0"/>
    <w:rsid w:val="20C37E82"/>
    <w:rsid w:val="20C50DF5"/>
    <w:rsid w:val="20C5A4D3"/>
    <w:rsid w:val="20C972BC"/>
    <w:rsid w:val="20CD85E2"/>
    <w:rsid w:val="20D29C8E"/>
    <w:rsid w:val="20D75F8F"/>
    <w:rsid w:val="20DC6914"/>
    <w:rsid w:val="20E70733"/>
    <w:rsid w:val="20F3CAEF"/>
    <w:rsid w:val="20F8E663"/>
    <w:rsid w:val="20F98D98"/>
    <w:rsid w:val="20FA4472"/>
    <w:rsid w:val="20FC57B5"/>
    <w:rsid w:val="210080B1"/>
    <w:rsid w:val="2101D098"/>
    <w:rsid w:val="2102D764"/>
    <w:rsid w:val="210CC7FB"/>
    <w:rsid w:val="210E61F8"/>
    <w:rsid w:val="2112E06D"/>
    <w:rsid w:val="211606D9"/>
    <w:rsid w:val="211B2BDA"/>
    <w:rsid w:val="211F0953"/>
    <w:rsid w:val="2127AE1B"/>
    <w:rsid w:val="212D87E4"/>
    <w:rsid w:val="21349577"/>
    <w:rsid w:val="21368514"/>
    <w:rsid w:val="2136B805"/>
    <w:rsid w:val="2138A4B8"/>
    <w:rsid w:val="213D65CD"/>
    <w:rsid w:val="213F4395"/>
    <w:rsid w:val="213F77F0"/>
    <w:rsid w:val="2140F2CA"/>
    <w:rsid w:val="2142A5EC"/>
    <w:rsid w:val="2142C7A5"/>
    <w:rsid w:val="21431EE4"/>
    <w:rsid w:val="2143BB93"/>
    <w:rsid w:val="2149ED33"/>
    <w:rsid w:val="214DE8FA"/>
    <w:rsid w:val="214F502C"/>
    <w:rsid w:val="215246BC"/>
    <w:rsid w:val="21544F15"/>
    <w:rsid w:val="215555DD"/>
    <w:rsid w:val="2158C195"/>
    <w:rsid w:val="215BE22C"/>
    <w:rsid w:val="21619D40"/>
    <w:rsid w:val="2164EA60"/>
    <w:rsid w:val="21651D16"/>
    <w:rsid w:val="216756F9"/>
    <w:rsid w:val="216B7E42"/>
    <w:rsid w:val="216E469B"/>
    <w:rsid w:val="2170E4A2"/>
    <w:rsid w:val="2172F699"/>
    <w:rsid w:val="21751FA0"/>
    <w:rsid w:val="21770308"/>
    <w:rsid w:val="2178C534"/>
    <w:rsid w:val="217B8473"/>
    <w:rsid w:val="217D6065"/>
    <w:rsid w:val="217FBD26"/>
    <w:rsid w:val="21809FD7"/>
    <w:rsid w:val="2181DAA8"/>
    <w:rsid w:val="2183DB63"/>
    <w:rsid w:val="2185AF9A"/>
    <w:rsid w:val="2185C065"/>
    <w:rsid w:val="2187C024"/>
    <w:rsid w:val="218ADF18"/>
    <w:rsid w:val="218FD158"/>
    <w:rsid w:val="2199476A"/>
    <w:rsid w:val="219CBC32"/>
    <w:rsid w:val="219DE48D"/>
    <w:rsid w:val="219EA23B"/>
    <w:rsid w:val="21A03DA8"/>
    <w:rsid w:val="21AA4E16"/>
    <w:rsid w:val="21B02AFA"/>
    <w:rsid w:val="21B644C3"/>
    <w:rsid w:val="21C64759"/>
    <w:rsid w:val="21C70DC6"/>
    <w:rsid w:val="21CB28DC"/>
    <w:rsid w:val="21E65E82"/>
    <w:rsid w:val="21EA58D2"/>
    <w:rsid w:val="21EA9F76"/>
    <w:rsid w:val="21EB4B80"/>
    <w:rsid w:val="21EBCF5B"/>
    <w:rsid w:val="21EC5040"/>
    <w:rsid w:val="21EF13C9"/>
    <w:rsid w:val="21EFAA4F"/>
    <w:rsid w:val="21EFB92D"/>
    <w:rsid w:val="21F0F952"/>
    <w:rsid w:val="21F3267E"/>
    <w:rsid w:val="21F4C459"/>
    <w:rsid w:val="21F66F6C"/>
    <w:rsid w:val="21F9BDB2"/>
    <w:rsid w:val="2207A251"/>
    <w:rsid w:val="22149D23"/>
    <w:rsid w:val="22192085"/>
    <w:rsid w:val="221A8B3B"/>
    <w:rsid w:val="221AD880"/>
    <w:rsid w:val="221EDE6A"/>
    <w:rsid w:val="22249DC9"/>
    <w:rsid w:val="22292815"/>
    <w:rsid w:val="2229AF10"/>
    <w:rsid w:val="222AB9FD"/>
    <w:rsid w:val="2234B92D"/>
    <w:rsid w:val="223539E3"/>
    <w:rsid w:val="223B0D6F"/>
    <w:rsid w:val="223B2B5E"/>
    <w:rsid w:val="2243ABD1"/>
    <w:rsid w:val="2245F0B4"/>
    <w:rsid w:val="224F7454"/>
    <w:rsid w:val="225077CB"/>
    <w:rsid w:val="2251874D"/>
    <w:rsid w:val="225A50FC"/>
    <w:rsid w:val="225D929C"/>
    <w:rsid w:val="225FA946"/>
    <w:rsid w:val="2267EA54"/>
    <w:rsid w:val="22687BC3"/>
    <w:rsid w:val="226DE0F8"/>
    <w:rsid w:val="226E596F"/>
    <w:rsid w:val="22702FCC"/>
    <w:rsid w:val="227078C5"/>
    <w:rsid w:val="227431CE"/>
    <w:rsid w:val="227C0E08"/>
    <w:rsid w:val="2281068A"/>
    <w:rsid w:val="22872DD0"/>
    <w:rsid w:val="228E2A5A"/>
    <w:rsid w:val="2290EFA0"/>
    <w:rsid w:val="229BC2D9"/>
    <w:rsid w:val="229D560E"/>
    <w:rsid w:val="229EBD08"/>
    <w:rsid w:val="22A77587"/>
    <w:rsid w:val="22AD65C8"/>
    <w:rsid w:val="22AE8EC5"/>
    <w:rsid w:val="22BA42D8"/>
    <w:rsid w:val="22C80931"/>
    <w:rsid w:val="22C845B4"/>
    <w:rsid w:val="22D30167"/>
    <w:rsid w:val="22D5ABE8"/>
    <w:rsid w:val="22D8019C"/>
    <w:rsid w:val="22DF506C"/>
    <w:rsid w:val="22E2B864"/>
    <w:rsid w:val="22EDF371"/>
    <w:rsid w:val="22EF4427"/>
    <w:rsid w:val="22F3FB9B"/>
    <w:rsid w:val="22F99759"/>
    <w:rsid w:val="22FF3B3E"/>
    <w:rsid w:val="22FFDD81"/>
    <w:rsid w:val="2301210A"/>
    <w:rsid w:val="2305FF32"/>
    <w:rsid w:val="2306BE23"/>
    <w:rsid w:val="23083B42"/>
    <w:rsid w:val="23086CB2"/>
    <w:rsid w:val="2309F37B"/>
    <w:rsid w:val="230B16E2"/>
    <w:rsid w:val="231589C7"/>
    <w:rsid w:val="231A3E03"/>
    <w:rsid w:val="231E1A58"/>
    <w:rsid w:val="2324446D"/>
    <w:rsid w:val="232EEB5F"/>
    <w:rsid w:val="2332C73F"/>
    <w:rsid w:val="233584BD"/>
    <w:rsid w:val="2338E8C3"/>
    <w:rsid w:val="23413656"/>
    <w:rsid w:val="234949A3"/>
    <w:rsid w:val="23532E41"/>
    <w:rsid w:val="235DA656"/>
    <w:rsid w:val="23610B46"/>
    <w:rsid w:val="236F45BC"/>
    <w:rsid w:val="2371A645"/>
    <w:rsid w:val="23788455"/>
    <w:rsid w:val="237890D7"/>
    <w:rsid w:val="237928A1"/>
    <w:rsid w:val="237F372C"/>
    <w:rsid w:val="23841766"/>
    <w:rsid w:val="23849337"/>
    <w:rsid w:val="238AC4FA"/>
    <w:rsid w:val="238B92EC"/>
    <w:rsid w:val="238DA4B5"/>
    <w:rsid w:val="2391D8BC"/>
    <w:rsid w:val="23972F65"/>
    <w:rsid w:val="239D3347"/>
    <w:rsid w:val="23A6A350"/>
    <w:rsid w:val="23B02B88"/>
    <w:rsid w:val="23B10E5C"/>
    <w:rsid w:val="23B13A24"/>
    <w:rsid w:val="23BA9735"/>
    <w:rsid w:val="23BAA7AD"/>
    <w:rsid w:val="23BD13B5"/>
    <w:rsid w:val="23BDDA56"/>
    <w:rsid w:val="23C37CC6"/>
    <w:rsid w:val="23C7A6A3"/>
    <w:rsid w:val="23D3E32A"/>
    <w:rsid w:val="23DFC570"/>
    <w:rsid w:val="23DFCAAE"/>
    <w:rsid w:val="23E35DB6"/>
    <w:rsid w:val="23E39F37"/>
    <w:rsid w:val="23E77D74"/>
    <w:rsid w:val="23EA1BF8"/>
    <w:rsid w:val="23F74F3F"/>
    <w:rsid w:val="23F8DBAE"/>
    <w:rsid w:val="23FD0FF2"/>
    <w:rsid w:val="24073F30"/>
    <w:rsid w:val="240A4392"/>
    <w:rsid w:val="2414B57D"/>
    <w:rsid w:val="24182178"/>
    <w:rsid w:val="241BFF6C"/>
    <w:rsid w:val="241FDA74"/>
    <w:rsid w:val="24216CA7"/>
    <w:rsid w:val="2422B934"/>
    <w:rsid w:val="24238602"/>
    <w:rsid w:val="2423EA60"/>
    <w:rsid w:val="242AE26F"/>
    <w:rsid w:val="242C847B"/>
    <w:rsid w:val="242D43E4"/>
    <w:rsid w:val="242F3DDD"/>
    <w:rsid w:val="243575D9"/>
    <w:rsid w:val="2438C874"/>
    <w:rsid w:val="2439A6E1"/>
    <w:rsid w:val="243AECDD"/>
    <w:rsid w:val="243C60F0"/>
    <w:rsid w:val="243DA37E"/>
    <w:rsid w:val="24418746"/>
    <w:rsid w:val="24441CE3"/>
    <w:rsid w:val="244698E8"/>
    <w:rsid w:val="244C01B5"/>
    <w:rsid w:val="244CA8F1"/>
    <w:rsid w:val="244F4B3E"/>
    <w:rsid w:val="2452B1D7"/>
    <w:rsid w:val="24590E37"/>
    <w:rsid w:val="2459C12E"/>
    <w:rsid w:val="245B2843"/>
    <w:rsid w:val="24602C35"/>
    <w:rsid w:val="24632423"/>
    <w:rsid w:val="2466FF2B"/>
    <w:rsid w:val="247053CD"/>
    <w:rsid w:val="247183FD"/>
    <w:rsid w:val="247642A7"/>
    <w:rsid w:val="24794855"/>
    <w:rsid w:val="2479A889"/>
    <w:rsid w:val="247A7F21"/>
    <w:rsid w:val="247E61C9"/>
    <w:rsid w:val="2486AAC7"/>
    <w:rsid w:val="24878D1D"/>
    <w:rsid w:val="24923EFF"/>
    <w:rsid w:val="2496B08E"/>
    <w:rsid w:val="24986AF3"/>
    <w:rsid w:val="249CD6AE"/>
    <w:rsid w:val="249D735F"/>
    <w:rsid w:val="24A35662"/>
    <w:rsid w:val="24A6AD38"/>
    <w:rsid w:val="24A7997B"/>
    <w:rsid w:val="24C1B1AF"/>
    <w:rsid w:val="24C279B0"/>
    <w:rsid w:val="24C2A9F1"/>
    <w:rsid w:val="24C70803"/>
    <w:rsid w:val="24CB7047"/>
    <w:rsid w:val="24CB898B"/>
    <w:rsid w:val="24CBF754"/>
    <w:rsid w:val="24D8BC66"/>
    <w:rsid w:val="24DA73A3"/>
    <w:rsid w:val="24DA982E"/>
    <w:rsid w:val="24DCAD62"/>
    <w:rsid w:val="24E17664"/>
    <w:rsid w:val="24F1B2E0"/>
    <w:rsid w:val="24F58454"/>
    <w:rsid w:val="24F877F2"/>
    <w:rsid w:val="24F8FF2A"/>
    <w:rsid w:val="24F92106"/>
    <w:rsid w:val="24FB371D"/>
    <w:rsid w:val="24FB4780"/>
    <w:rsid w:val="24FBA069"/>
    <w:rsid w:val="24FC184C"/>
    <w:rsid w:val="25015DA0"/>
    <w:rsid w:val="25040E36"/>
    <w:rsid w:val="250546B6"/>
    <w:rsid w:val="250B5165"/>
    <w:rsid w:val="250D7A19"/>
    <w:rsid w:val="2510567C"/>
    <w:rsid w:val="25182608"/>
    <w:rsid w:val="251C111D"/>
    <w:rsid w:val="251CC759"/>
    <w:rsid w:val="251DC86F"/>
    <w:rsid w:val="252D327B"/>
    <w:rsid w:val="25311F28"/>
    <w:rsid w:val="2536B11C"/>
    <w:rsid w:val="25373BBA"/>
    <w:rsid w:val="254431B3"/>
    <w:rsid w:val="2544A68A"/>
    <w:rsid w:val="25474488"/>
    <w:rsid w:val="254A6812"/>
    <w:rsid w:val="254FDE55"/>
    <w:rsid w:val="255153BB"/>
    <w:rsid w:val="2556EAD6"/>
    <w:rsid w:val="25578D33"/>
    <w:rsid w:val="2559AFB5"/>
    <w:rsid w:val="2560A173"/>
    <w:rsid w:val="25616C5F"/>
    <w:rsid w:val="25695F47"/>
    <w:rsid w:val="257370A5"/>
    <w:rsid w:val="2578F56B"/>
    <w:rsid w:val="25791B2F"/>
    <w:rsid w:val="257B76D4"/>
    <w:rsid w:val="257E2959"/>
    <w:rsid w:val="257E8A88"/>
    <w:rsid w:val="258B6691"/>
    <w:rsid w:val="25956F05"/>
    <w:rsid w:val="259A08D0"/>
    <w:rsid w:val="25A03C65"/>
    <w:rsid w:val="25A84F0B"/>
    <w:rsid w:val="25AE3E2E"/>
    <w:rsid w:val="25AE4BD5"/>
    <w:rsid w:val="25AFECED"/>
    <w:rsid w:val="25B1B932"/>
    <w:rsid w:val="25BE2FD3"/>
    <w:rsid w:val="25C11F5C"/>
    <w:rsid w:val="25CC5071"/>
    <w:rsid w:val="25D0F273"/>
    <w:rsid w:val="25D10624"/>
    <w:rsid w:val="25D193A2"/>
    <w:rsid w:val="25D361A0"/>
    <w:rsid w:val="25D9ED79"/>
    <w:rsid w:val="25DD9FC5"/>
    <w:rsid w:val="25E0959D"/>
    <w:rsid w:val="25E54DA0"/>
    <w:rsid w:val="25E65EF2"/>
    <w:rsid w:val="25EE294C"/>
    <w:rsid w:val="25F1C069"/>
    <w:rsid w:val="25F1F6AF"/>
    <w:rsid w:val="25F35470"/>
    <w:rsid w:val="25F53234"/>
    <w:rsid w:val="25F77855"/>
    <w:rsid w:val="25FD74E1"/>
    <w:rsid w:val="25FE58E0"/>
    <w:rsid w:val="25FE6979"/>
    <w:rsid w:val="25FE78D2"/>
    <w:rsid w:val="25FEB505"/>
    <w:rsid w:val="25FF95CD"/>
    <w:rsid w:val="2601FC3E"/>
    <w:rsid w:val="26035CA3"/>
    <w:rsid w:val="2603D00D"/>
    <w:rsid w:val="26061310"/>
    <w:rsid w:val="26090B2D"/>
    <w:rsid w:val="2609891E"/>
    <w:rsid w:val="2609F5E3"/>
    <w:rsid w:val="260C3A48"/>
    <w:rsid w:val="260DDC99"/>
    <w:rsid w:val="2611DF18"/>
    <w:rsid w:val="26145E55"/>
    <w:rsid w:val="26160D3E"/>
    <w:rsid w:val="261DB1F5"/>
    <w:rsid w:val="26248716"/>
    <w:rsid w:val="2626FBD0"/>
    <w:rsid w:val="2629848B"/>
    <w:rsid w:val="262E50F5"/>
    <w:rsid w:val="2636E61F"/>
    <w:rsid w:val="2637F125"/>
    <w:rsid w:val="26396AFC"/>
    <w:rsid w:val="263B96DC"/>
    <w:rsid w:val="263CF867"/>
    <w:rsid w:val="26430AF8"/>
    <w:rsid w:val="264356E7"/>
    <w:rsid w:val="26444CFF"/>
    <w:rsid w:val="2647D5CD"/>
    <w:rsid w:val="264B9669"/>
    <w:rsid w:val="264CBC17"/>
    <w:rsid w:val="2651D872"/>
    <w:rsid w:val="26549254"/>
    <w:rsid w:val="265CCEBC"/>
    <w:rsid w:val="265FE1A6"/>
    <w:rsid w:val="2662B579"/>
    <w:rsid w:val="2662E72C"/>
    <w:rsid w:val="26643C34"/>
    <w:rsid w:val="266489E3"/>
    <w:rsid w:val="266770C7"/>
    <w:rsid w:val="266BD487"/>
    <w:rsid w:val="2670AB77"/>
    <w:rsid w:val="267105F0"/>
    <w:rsid w:val="2671ECD1"/>
    <w:rsid w:val="26726AF7"/>
    <w:rsid w:val="2679D4D9"/>
    <w:rsid w:val="267FFA6E"/>
    <w:rsid w:val="26830CC6"/>
    <w:rsid w:val="2687BFAC"/>
    <w:rsid w:val="268A9369"/>
    <w:rsid w:val="268ACE65"/>
    <w:rsid w:val="26949DC1"/>
    <w:rsid w:val="26962A2B"/>
    <w:rsid w:val="26A16B34"/>
    <w:rsid w:val="26A76568"/>
    <w:rsid w:val="26A9D4B9"/>
    <w:rsid w:val="26AF41DB"/>
    <w:rsid w:val="26B0C925"/>
    <w:rsid w:val="26B378D0"/>
    <w:rsid w:val="26B952E9"/>
    <w:rsid w:val="26C2C9B7"/>
    <w:rsid w:val="26C31198"/>
    <w:rsid w:val="26CE0681"/>
    <w:rsid w:val="26D12C6B"/>
    <w:rsid w:val="26D67BBD"/>
    <w:rsid w:val="26D86542"/>
    <w:rsid w:val="26D88174"/>
    <w:rsid w:val="26DE57B0"/>
    <w:rsid w:val="26E191DE"/>
    <w:rsid w:val="26EAB3F2"/>
    <w:rsid w:val="26EDE4A9"/>
    <w:rsid w:val="26EF4681"/>
    <w:rsid w:val="26EF8A72"/>
    <w:rsid w:val="26F3D18A"/>
    <w:rsid w:val="26F86080"/>
    <w:rsid w:val="26FDF899"/>
    <w:rsid w:val="26FE86ED"/>
    <w:rsid w:val="2703399A"/>
    <w:rsid w:val="27074476"/>
    <w:rsid w:val="2707D0C1"/>
    <w:rsid w:val="270D1E09"/>
    <w:rsid w:val="27121FCE"/>
    <w:rsid w:val="27159A22"/>
    <w:rsid w:val="27160DE7"/>
    <w:rsid w:val="271862B3"/>
    <w:rsid w:val="2718CB11"/>
    <w:rsid w:val="27197946"/>
    <w:rsid w:val="271A9410"/>
    <w:rsid w:val="271AC5C8"/>
    <w:rsid w:val="271BD889"/>
    <w:rsid w:val="271F940C"/>
    <w:rsid w:val="271FC2BC"/>
    <w:rsid w:val="2729966C"/>
    <w:rsid w:val="2733B704"/>
    <w:rsid w:val="2734BB61"/>
    <w:rsid w:val="273B64A8"/>
    <w:rsid w:val="274AD2C8"/>
    <w:rsid w:val="274D359E"/>
    <w:rsid w:val="27514594"/>
    <w:rsid w:val="275263B0"/>
    <w:rsid w:val="2756BC8C"/>
    <w:rsid w:val="275F435C"/>
    <w:rsid w:val="2760D30B"/>
    <w:rsid w:val="276D1FFB"/>
    <w:rsid w:val="276ED586"/>
    <w:rsid w:val="27700EE1"/>
    <w:rsid w:val="277913F5"/>
    <w:rsid w:val="277BD0DF"/>
    <w:rsid w:val="27828230"/>
    <w:rsid w:val="2783D54D"/>
    <w:rsid w:val="27840FDF"/>
    <w:rsid w:val="27846999"/>
    <w:rsid w:val="2785307F"/>
    <w:rsid w:val="27878919"/>
    <w:rsid w:val="2787A206"/>
    <w:rsid w:val="2788D598"/>
    <w:rsid w:val="278BDCBC"/>
    <w:rsid w:val="278C03B1"/>
    <w:rsid w:val="278E2D84"/>
    <w:rsid w:val="278EE8FE"/>
    <w:rsid w:val="2791BE88"/>
    <w:rsid w:val="279841DB"/>
    <w:rsid w:val="2799094C"/>
    <w:rsid w:val="2799B31C"/>
    <w:rsid w:val="279A5C4B"/>
    <w:rsid w:val="279F5E1B"/>
    <w:rsid w:val="27B08977"/>
    <w:rsid w:val="27B4317D"/>
    <w:rsid w:val="27B4FD2B"/>
    <w:rsid w:val="27BBCB7B"/>
    <w:rsid w:val="27C19638"/>
    <w:rsid w:val="27C66661"/>
    <w:rsid w:val="27CB9ED8"/>
    <w:rsid w:val="27CE1689"/>
    <w:rsid w:val="27D0B978"/>
    <w:rsid w:val="27D4EA2A"/>
    <w:rsid w:val="27E0E2F3"/>
    <w:rsid w:val="27EA240D"/>
    <w:rsid w:val="27EC953C"/>
    <w:rsid w:val="27F55282"/>
    <w:rsid w:val="27F5622E"/>
    <w:rsid w:val="27FB9B13"/>
    <w:rsid w:val="27FDE5E2"/>
    <w:rsid w:val="27FF5088"/>
    <w:rsid w:val="28004D3E"/>
    <w:rsid w:val="2808E83E"/>
    <w:rsid w:val="280D468B"/>
    <w:rsid w:val="280D62E9"/>
    <w:rsid w:val="280E1A8B"/>
    <w:rsid w:val="280FD756"/>
    <w:rsid w:val="2810C5C9"/>
    <w:rsid w:val="28112EE2"/>
    <w:rsid w:val="28175AD1"/>
    <w:rsid w:val="281B13A5"/>
    <w:rsid w:val="281EB5E8"/>
    <w:rsid w:val="2820ACB4"/>
    <w:rsid w:val="2823DCB8"/>
    <w:rsid w:val="28297368"/>
    <w:rsid w:val="28298719"/>
    <w:rsid w:val="283846D3"/>
    <w:rsid w:val="28413B41"/>
    <w:rsid w:val="284491C4"/>
    <w:rsid w:val="2847D649"/>
    <w:rsid w:val="284A02A8"/>
    <w:rsid w:val="284B442D"/>
    <w:rsid w:val="284CD663"/>
    <w:rsid w:val="284DEBB4"/>
    <w:rsid w:val="2850F27F"/>
    <w:rsid w:val="285495DE"/>
    <w:rsid w:val="28549888"/>
    <w:rsid w:val="285D345B"/>
    <w:rsid w:val="28600539"/>
    <w:rsid w:val="2860358F"/>
    <w:rsid w:val="2862701F"/>
    <w:rsid w:val="2868EFAA"/>
    <w:rsid w:val="28727348"/>
    <w:rsid w:val="2876C4E8"/>
    <w:rsid w:val="28789669"/>
    <w:rsid w:val="28795DC9"/>
    <w:rsid w:val="28797F97"/>
    <w:rsid w:val="2881E6A9"/>
    <w:rsid w:val="2885697F"/>
    <w:rsid w:val="2890CB8C"/>
    <w:rsid w:val="2895CA17"/>
    <w:rsid w:val="28985C89"/>
    <w:rsid w:val="289D9CA3"/>
    <w:rsid w:val="28A1D709"/>
    <w:rsid w:val="28A51509"/>
    <w:rsid w:val="28A6DFD4"/>
    <w:rsid w:val="28AD2FB3"/>
    <w:rsid w:val="28AF7EB0"/>
    <w:rsid w:val="28B77C79"/>
    <w:rsid w:val="28BA1953"/>
    <w:rsid w:val="28C35812"/>
    <w:rsid w:val="28C3DC8F"/>
    <w:rsid w:val="28C4923F"/>
    <w:rsid w:val="28C5AFE9"/>
    <w:rsid w:val="28C721E0"/>
    <w:rsid w:val="28CCFEBD"/>
    <w:rsid w:val="28D71338"/>
    <w:rsid w:val="28D8BA22"/>
    <w:rsid w:val="28E38E57"/>
    <w:rsid w:val="28E495ED"/>
    <w:rsid w:val="28E99D40"/>
    <w:rsid w:val="28EB3AA6"/>
    <w:rsid w:val="28EBD5C9"/>
    <w:rsid w:val="28ED9BB0"/>
    <w:rsid w:val="28EF3837"/>
    <w:rsid w:val="28F17BCA"/>
    <w:rsid w:val="28F256EF"/>
    <w:rsid w:val="28F7455A"/>
    <w:rsid w:val="28F843B5"/>
    <w:rsid w:val="28FBC2D2"/>
    <w:rsid w:val="28FDD6BE"/>
    <w:rsid w:val="28FF8D02"/>
    <w:rsid w:val="2901DEC8"/>
    <w:rsid w:val="290403BC"/>
    <w:rsid w:val="29084005"/>
    <w:rsid w:val="290FCDBD"/>
    <w:rsid w:val="2911E022"/>
    <w:rsid w:val="29122A18"/>
    <w:rsid w:val="2917C465"/>
    <w:rsid w:val="2919380C"/>
    <w:rsid w:val="2919CC0B"/>
    <w:rsid w:val="291B18D7"/>
    <w:rsid w:val="291EDECF"/>
    <w:rsid w:val="29206B1B"/>
    <w:rsid w:val="292D3401"/>
    <w:rsid w:val="292F9F7A"/>
    <w:rsid w:val="2938A202"/>
    <w:rsid w:val="293B11CE"/>
    <w:rsid w:val="2941575C"/>
    <w:rsid w:val="2948EADE"/>
    <w:rsid w:val="294A5649"/>
    <w:rsid w:val="294BB233"/>
    <w:rsid w:val="294C38D0"/>
    <w:rsid w:val="2951E9B1"/>
    <w:rsid w:val="295A16BB"/>
    <w:rsid w:val="295A6D00"/>
    <w:rsid w:val="295AAB50"/>
    <w:rsid w:val="29602F8F"/>
    <w:rsid w:val="29631961"/>
    <w:rsid w:val="297086FC"/>
    <w:rsid w:val="2972C646"/>
    <w:rsid w:val="2974C2BE"/>
    <w:rsid w:val="2979D1CA"/>
    <w:rsid w:val="2979E9DA"/>
    <w:rsid w:val="297BB1A7"/>
    <w:rsid w:val="2983E762"/>
    <w:rsid w:val="2984129E"/>
    <w:rsid w:val="29848EE1"/>
    <w:rsid w:val="298610D6"/>
    <w:rsid w:val="2987FC8B"/>
    <w:rsid w:val="298E416E"/>
    <w:rsid w:val="298E844A"/>
    <w:rsid w:val="298FD98D"/>
    <w:rsid w:val="29948BF1"/>
    <w:rsid w:val="29A16CD3"/>
    <w:rsid w:val="29ACDC10"/>
    <w:rsid w:val="29AF06E7"/>
    <w:rsid w:val="29B58BF9"/>
    <w:rsid w:val="29B85E99"/>
    <w:rsid w:val="29C0C801"/>
    <w:rsid w:val="29C35C7F"/>
    <w:rsid w:val="29C9C1B1"/>
    <w:rsid w:val="29D89C6D"/>
    <w:rsid w:val="29D8A988"/>
    <w:rsid w:val="29D9050F"/>
    <w:rsid w:val="29DCAB08"/>
    <w:rsid w:val="29DCD76D"/>
    <w:rsid w:val="29DFFB69"/>
    <w:rsid w:val="29E4CB90"/>
    <w:rsid w:val="29E4F77C"/>
    <w:rsid w:val="29E62CFD"/>
    <w:rsid w:val="29E8C2FB"/>
    <w:rsid w:val="29E9A797"/>
    <w:rsid w:val="29EBA3AD"/>
    <w:rsid w:val="29ECC75D"/>
    <w:rsid w:val="29EF716C"/>
    <w:rsid w:val="29F13D81"/>
    <w:rsid w:val="2A0074BC"/>
    <w:rsid w:val="2A0C92C3"/>
    <w:rsid w:val="2A0D87C7"/>
    <w:rsid w:val="2A0F52DD"/>
    <w:rsid w:val="2A100DDB"/>
    <w:rsid w:val="2A10A474"/>
    <w:rsid w:val="2A1255F1"/>
    <w:rsid w:val="2A198CC8"/>
    <w:rsid w:val="2A1C159B"/>
    <w:rsid w:val="2A2EEF82"/>
    <w:rsid w:val="2A2F1D0A"/>
    <w:rsid w:val="2A317B4B"/>
    <w:rsid w:val="2A324967"/>
    <w:rsid w:val="2A33DBA6"/>
    <w:rsid w:val="2A379D0A"/>
    <w:rsid w:val="2A39FC60"/>
    <w:rsid w:val="2A3E127B"/>
    <w:rsid w:val="2A440B46"/>
    <w:rsid w:val="2A46F50D"/>
    <w:rsid w:val="2A52B547"/>
    <w:rsid w:val="2A535502"/>
    <w:rsid w:val="2A556008"/>
    <w:rsid w:val="2A59AAE1"/>
    <w:rsid w:val="2A5C9AA3"/>
    <w:rsid w:val="2A5F1F9E"/>
    <w:rsid w:val="2A655C70"/>
    <w:rsid w:val="2A65B614"/>
    <w:rsid w:val="2A66481E"/>
    <w:rsid w:val="2A664E6E"/>
    <w:rsid w:val="2A6D72F2"/>
    <w:rsid w:val="2A6DAEFE"/>
    <w:rsid w:val="2A7CD960"/>
    <w:rsid w:val="2A81D850"/>
    <w:rsid w:val="2A82654D"/>
    <w:rsid w:val="2A8A1379"/>
    <w:rsid w:val="2A8BA444"/>
    <w:rsid w:val="2A9035CF"/>
    <w:rsid w:val="2A924D8A"/>
    <w:rsid w:val="2A92BF88"/>
    <w:rsid w:val="2A9787ED"/>
    <w:rsid w:val="2A9D991D"/>
    <w:rsid w:val="2AA3508C"/>
    <w:rsid w:val="2AA65396"/>
    <w:rsid w:val="2AA8104A"/>
    <w:rsid w:val="2AA970EC"/>
    <w:rsid w:val="2AAFEB03"/>
    <w:rsid w:val="2AB4541F"/>
    <w:rsid w:val="2AB7BC24"/>
    <w:rsid w:val="2AB8123B"/>
    <w:rsid w:val="2ABE39CF"/>
    <w:rsid w:val="2ABF8DBE"/>
    <w:rsid w:val="2AC0B86A"/>
    <w:rsid w:val="2AC9714D"/>
    <w:rsid w:val="2AC9A835"/>
    <w:rsid w:val="2ACABA48"/>
    <w:rsid w:val="2ACAF84B"/>
    <w:rsid w:val="2ACF7445"/>
    <w:rsid w:val="2AD15768"/>
    <w:rsid w:val="2AD569E7"/>
    <w:rsid w:val="2AD85A68"/>
    <w:rsid w:val="2ADCBB02"/>
    <w:rsid w:val="2ADF4010"/>
    <w:rsid w:val="2AE1842F"/>
    <w:rsid w:val="2AEA3867"/>
    <w:rsid w:val="2AEBD843"/>
    <w:rsid w:val="2AED49EE"/>
    <w:rsid w:val="2AEE6A06"/>
    <w:rsid w:val="2AF04BD1"/>
    <w:rsid w:val="2AF1BB1F"/>
    <w:rsid w:val="2AF4BBA4"/>
    <w:rsid w:val="2AF52753"/>
    <w:rsid w:val="2AF54F48"/>
    <w:rsid w:val="2AF732B3"/>
    <w:rsid w:val="2B03DC59"/>
    <w:rsid w:val="2B03E218"/>
    <w:rsid w:val="2B042B0C"/>
    <w:rsid w:val="2B06FC65"/>
    <w:rsid w:val="2B091726"/>
    <w:rsid w:val="2B0A6F9D"/>
    <w:rsid w:val="2B10A696"/>
    <w:rsid w:val="2B1408DF"/>
    <w:rsid w:val="2B18149C"/>
    <w:rsid w:val="2B19A1D3"/>
    <w:rsid w:val="2B244DF7"/>
    <w:rsid w:val="2B261963"/>
    <w:rsid w:val="2B2646A3"/>
    <w:rsid w:val="2B26E15B"/>
    <w:rsid w:val="2B2E9AB9"/>
    <w:rsid w:val="2B335814"/>
    <w:rsid w:val="2B34D39A"/>
    <w:rsid w:val="2B353D5F"/>
    <w:rsid w:val="2B3C8D69"/>
    <w:rsid w:val="2B437112"/>
    <w:rsid w:val="2B4412B3"/>
    <w:rsid w:val="2B45F9BF"/>
    <w:rsid w:val="2B4DD55B"/>
    <w:rsid w:val="2B5B2ADC"/>
    <w:rsid w:val="2B5D5C90"/>
    <w:rsid w:val="2B5E85E0"/>
    <w:rsid w:val="2B6134EB"/>
    <w:rsid w:val="2B64C8A9"/>
    <w:rsid w:val="2B652BF4"/>
    <w:rsid w:val="2B6B616B"/>
    <w:rsid w:val="2B6CAAB7"/>
    <w:rsid w:val="2B712925"/>
    <w:rsid w:val="2B727FCF"/>
    <w:rsid w:val="2B77D607"/>
    <w:rsid w:val="2B781FED"/>
    <w:rsid w:val="2B785D8B"/>
    <w:rsid w:val="2B82C3A2"/>
    <w:rsid w:val="2B8558D0"/>
    <w:rsid w:val="2B85AB78"/>
    <w:rsid w:val="2B860D9E"/>
    <w:rsid w:val="2B86F760"/>
    <w:rsid w:val="2B8881DF"/>
    <w:rsid w:val="2B8EAE54"/>
    <w:rsid w:val="2B91B279"/>
    <w:rsid w:val="2B92AA92"/>
    <w:rsid w:val="2B962CEB"/>
    <w:rsid w:val="2B97A9AB"/>
    <w:rsid w:val="2B980BD0"/>
    <w:rsid w:val="2B997E77"/>
    <w:rsid w:val="2B9AFE89"/>
    <w:rsid w:val="2B9C7479"/>
    <w:rsid w:val="2B9D2DAC"/>
    <w:rsid w:val="2B9FEA12"/>
    <w:rsid w:val="2BA10588"/>
    <w:rsid w:val="2BAB484B"/>
    <w:rsid w:val="2BACDB06"/>
    <w:rsid w:val="2BB78F83"/>
    <w:rsid w:val="2BBAD466"/>
    <w:rsid w:val="2BBE10D0"/>
    <w:rsid w:val="2BBE1FAD"/>
    <w:rsid w:val="2BC4979F"/>
    <w:rsid w:val="2BC629EE"/>
    <w:rsid w:val="2BC684A1"/>
    <w:rsid w:val="2BD53436"/>
    <w:rsid w:val="2BD714C0"/>
    <w:rsid w:val="2BDBAF7A"/>
    <w:rsid w:val="2BE196B8"/>
    <w:rsid w:val="2BE76192"/>
    <w:rsid w:val="2BEC1110"/>
    <w:rsid w:val="2BED6412"/>
    <w:rsid w:val="2BEED757"/>
    <w:rsid w:val="2BF02C4D"/>
    <w:rsid w:val="2BF85DC1"/>
    <w:rsid w:val="2C00312A"/>
    <w:rsid w:val="2C054E4E"/>
    <w:rsid w:val="2C093BCC"/>
    <w:rsid w:val="2C0B4F4F"/>
    <w:rsid w:val="2C18E581"/>
    <w:rsid w:val="2C1C79DC"/>
    <w:rsid w:val="2C1E79DE"/>
    <w:rsid w:val="2C1EE850"/>
    <w:rsid w:val="2C1F2098"/>
    <w:rsid w:val="2C2088A1"/>
    <w:rsid w:val="2C27A5D5"/>
    <w:rsid w:val="2C27C983"/>
    <w:rsid w:val="2C28AC36"/>
    <w:rsid w:val="2C2E9603"/>
    <w:rsid w:val="2C2F5834"/>
    <w:rsid w:val="2C30E105"/>
    <w:rsid w:val="2C344CAA"/>
    <w:rsid w:val="2C3AB611"/>
    <w:rsid w:val="2C4A13DE"/>
    <w:rsid w:val="2C504847"/>
    <w:rsid w:val="2C586007"/>
    <w:rsid w:val="2C59372D"/>
    <w:rsid w:val="2C5E3BC0"/>
    <w:rsid w:val="2C60F163"/>
    <w:rsid w:val="2C63640D"/>
    <w:rsid w:val="2C674343"/>
    <w:rsid w:val="2C685378"/>
    <w:rsid w:val="2C6B6D97"/>
    <w:rsid w:val="2C77063E"/>
    <w:rsid w:val="2C7953A2"/>
    <w:rsid w:val="2C7A14D3"/>
    <w:rsid w:val="2C7A4B88"/>
    <w:rsid w:val="2C7B4B9F"/>
    <w:rsid w:val="2C7C233F"/>
    <w:rsid w:val="2C7C3742"/>
    <w:rsid w:val="2C7D6F32"/>
    <w:rsid w:val="2C8051A0"/>
    <w:rsid w:val="2C8ADBCB"/>
    <w:rsid w:val="2C8E4C79"/>
    <w:rsid w:val="2C90691C"/>
    <w:rsid w:val="2C920737"/>
    <w:rsid w:val="2C92AC7D"/>
    <w:rsid w:val="2C982715"/>
    <w:rsid w:val="2C98D36E"/>
    <w:rsid w:val="2C9C048D"/>
    <w:rsid w:val="2C9D3032"/>
    <w:rsid w:val="2CAE8E53"/>
    <w:rsid w:val="2CB13784"/>
    <w:rsid w:val="2CB4BC35"/>
    <w:rsid w:val="2CB6BCA7"/>
    <w:rsid w:val="2CB983B7"/>
    <w:rsid w:val="2CBE12FD"/>
    <w:rsid w:val="2CC4E446"/>
    <w:rsid w:val="2CC506E6"/>
    <w:rsid w:val="2CC6EA08"/>
    <w:rsid w:val="2CC7E4ED"/>
    <w:rsid w:val="2CCFCC3D"/>
    <w:rsid w:val="2CD75DCB"/>
    <w:rsid w:val="2CD77CF5"/>
    <w:rsid w:val="2CD9E0CA"/>
    <w:rsid w:val="2CE1BEB5"/>
    <w:rsid w:val="2CEA00F9"/>
    <w:rsid w:val="2CF66AEB"/>
    <w:rsid w:val="2CFC666D"/>
    <w:rsid w:val="2CFC973A"/>
    <w:rsid w:val="2CFD4C17"/>
    <w:rsid w:val="2D00AEF9"/>
    <w:rsid w:val="2D054C02"/>
    <w:rsid w:val="2D055607"/>
    <w:rsid w:val="2D063A3C"/>
    <w:rsid w:val="2D0FF3C5"/>
    <w:rsid w:val="2D153DD3"/>
    <w:rsid w:val="2D1B70FE"/>
    <w:rsid w:val="2D2A93FA"/>
    <w:rsid w:val="2D2B84B9"/>
    <w:rsid w:val="2D316688"/>
    <w:rsid w:val="2D35D07B"/>
    <w:rsid w:val="2D3A1691"/>
    <w:rsid w:val="2D3BF546"/>
    <w:rsid w:val="2D3E501C"/>
    <w:rsid w:val="2D4D0A24"/>
    <w:rsid w:val="2D5437C7"/>
    <w:rsid w:val="2D5803E4"/>
    <w:rsid w:val="2D5968CC"/>
    <w:rsid w:val="2D5A45F3"/>
    <w:rsid w:val="2D5CA3ED"/>
    <w:rsid w:val="2D654F93"/>
    <w:rsid w:val="2D6D5B5A"/>
    <w:rsid w:val="2D6FF759"/>
    <w:rsid w:val="2D724727"/>
    <w:rsid w:val="2D80739D"/>
    <w:rsid w:val="2D883780"/>
    <w:rsid w:val="2D8A4694"/>
    <w:rsid w:val="2D8A67F0"/>
    <w:rsid w:val="2D8FBCB8"/>
    <w:rsid w:val="2D924190"/>
    <w:rsid w:val="2D94194D"/>
    <w:rsid w:val="2D94C1CF"/>
    <w:rsid w:val="2D9A4911"/>
    <w:rsid w:val="2D9ACAF5"/>
    <w:rsid w:val="2D9C1ADE"/>
    <w:rsid w:val="2D9E0FBF"/>
    <w:rsid w:val="2D9E85AC"/>
    <w:rsid w:val="2D9EFD7A"/>
    <w:rsid w:val="2D9EFF76"/>
    <w:rsid w:val="2DAC6303"/>
    <w:rsid w:val="2DB3B0F2"/>
    <w:rsid w:val="2DBD765D"/>
    <w:rsid w:val="2DC9EF2B"/>
    <w:rsid w:val="2DCBDD0C"/>
    <w:rsid w:val="2DCBE5D7"/>
    <w:rsid w:val="2DCC1D08"/>
    <w:rsid w:val="2DD0874B"/>
    <w:rsid w:val="2DD37C78"/>
    <w:rsid w:val="2DD90182"/>
    <w:rsid w:val="2DE41B30"/>
    <w:rsid w:val="2DEA3A5E"/>
    <w:rsid w:val="2DEBFB5F"/>
    <w:rsid w:val="2DFD24DC"/>
    <w:rsid w:val="2DFD9D4D"/>
    <w:rsid w:val="2DFF486D"/>
    <w:rsid w:val="2E04CD6B"/>
    <w:rsid w:val="2E0D5D8E"/>
    <w:rsid w:val="2E178237"/>
    <w:rsid w:val="2E21D259"/>
    <w:rsid w:val="2E234357"/>
    <w:rsid w:val="2E240CD3"/>
    <w:rsid w:val="2E276229"/>
    <w:rsid w:val="2E281D6F"/>
    <w:rsid w:val="2E2F5A95"/>
    <w:rsid w:val="2E3DE684"/>
    <w:rsid w:val="2E45EB2D"/>
    <w:rsid w:val="2E49595F"/>
    <w:rsid w:val="2E4C6A11"/>
    <w:rsid w:val="2E4DEA46"/>
    <w:rsid w:val="2E50B162"/>
    <w:rsid w:val="2E51C13E"/>
    <w:rsid w:val="2E5463BD"/>
    <w:rsid w:val="2E5C7AA7"/>
    <w:rsid w:val="2E60D560"/>
    <w:rsid w:val="2E695A2B"/>
    <w:rsid w:val="2E6A6A4D"/>
    <w:rsid w:val="2E6CC424"/>
    <w:rsid w:val="2E75E508"/>
    <w:rsid w:val="2E7797A6"/>
    <w:rsid w:val="2E77A6B4"/>
    <w:rsid w:val="2E792920"/>
    <w:rsid w:val="2E7E4CDF"/>
    <w:rsid w:val="2E816637"/>
    <w:rsid w:val="2E84BC61"/>
    <w:rsid w:val="2E852671"/>
    <w:rsid w:val="2E88E62D"/>
    <w:rsid w:val="2E8E1B20"/>
    <w:rsid w:val="2E8F6D7B"/>
    <w:rsid w:val="2E95D4B1"/>
    <w:rsid w:val="2E9856B1"/>
    <w:rsid w:val="2E9B2228"/>
    <w:rsid w:val="2E9E886C"/>
    <w:rsid w:val="2E9FD54E"/>
    <w:rsid w:val="2E9FED3C"/>
    <w:rsid w:val="2EA1BB25"/>
    <w:rsid w:val="2EAC64DD"/>
    <w:rsid w:val="2EAE2514"/>
    <w:rsid w:val="2EB09DB2"/>
    <w:rsid w:val="2EB3F643"/>
    <w:rsid w:val="2EB7B427"/>
    <w:rsid w:val="2EB848E5"/>
    <w:rsid w:val="2EB8A2B0"/>
    <w:rsid w:val="2EBC0B0B"/>
    <w:rsid w:val="2EC19EDB"/>
    <w:rsid w:val="2EC1C049"/>
    <w:rsid w:val="2EC6FC5A"/>
    <w:rsid w:val="2EC82044"/>
    <w:rsid w:val="2EC83CC5"/>
    <w:rsid w:val="2EC98BF9"/>
    <w:rsid w:val="2ECD6C80"/>
    <w:rsid w:val="2ED20047"/>
    <w:rsid w:val="2ED32F73"/>
    <w:rsid w:val="2ED4CACC"/>
    <w:rsid w:val="2ED7A25F"/>
    <w:rsid w:val="2EE71247"/>
    <w:rsid w:val="2EEA77C2"/>
    <w:rsid w:val="2EF130CB"/>
    <w:rsid w:val="2EF86DDF"/>
    <w:rsid w:val="2F0BA9E9"/>
    <w:rsid w:val="2F185BAC"/>
    <w:rsid w:val="2F1BDD25"/>
    <w:rsid w:val="2F1E3569"/>
    <w:rsid w:val="2F2694AF"/>
    <w:rsid w:val="2F26D9B0"/>
    <w:rsid w:val="2F2763E5"/>
    <w:rsid w:val="2F279482"/>
    <w:rsid w:val="2F2934B1"/>
    <w:rsid w:val="2F2C0163"/>
    <w:rsid w:val="2F2DA292"/>
    <w:rsid w:val="2F2DEEE5"/>
    <w:rsid w:val="2F2DF75C"/>
    <w:rsid w:val="2F33E57A"/>
    <w:rsid w:val="2F3C918B"/>
    <w:rsid w:val="2F3CB363"/>
    <w:rsid w:val="2F4E1817"/>
    <w:rsid w:val="2F52B334"/>
    <w:rsid w:val="2F5E246E"/>
    <w:rsid w:val="2F5F74D3"/>
    <w:rsid w:val="2F6214BA"/>
    <w:rsid w:val="2F68BF54"/>
    <w:rsid w:val="2F6C2F33"/>
    <w:rsid w:val="2F6F0DF7"/>
    <w:rsid w:val="2F71015B"/>
    <w:rsid w:val="2F71BBE0"/>
    <w:rsid w:val="2F77B22B"/>
    <w:rsid w:val="2F77D84A"/>
    <w:rsid w:val="2F7A7C08"/>
    <w:rsid w:val="2F7B24AF"/>
    <w:rsid w:val="2F7F5649"/>
    <w:rsid w:val="2F890214"/>
    <w:rsid w:val="2F933002"/>
    <w:rsid w:val="2F9947DA"/>
    <w:rsid w:val="2F99CEA2"/>
    <w:rsid w:val="2FA5313E"/>
    <w:rsid w:val="2FA6A715"/>
    <w:rsid w:val="2FA72C76"/>
    <w:rsid w:val="2FAF140E"/>
    <w:rsid w:val="2FB2EF3D"/>
    <w:rsid w:val="2FB8C7B2"/>
    <w:rsid w:val="2FB96A4D"/>
    <w:rsid w:val="2FBC2A96"/>
    <w:rsid w:val="2FBC324E"/>
    <w:rsid w:val="2FBC3479"/>
    <w:rsid w:val="2FBFBD60"/>
    <w:rsid w:val="2FC2F8ED"/>
    <w:rsid w:val="2FC40E89"/>
    <w:rsid w:val="2FC916BE"/>
    <w:rsid w:val="2FC9FF42"/>
    <w:rsid w:val="2FCD5B2D"/>
    <w:rsid w:val="2FCE64FE"/>
    <w:rsid w:val="2FD1A8AE"/>
    <w:rsid w:val="2FD4A7AC"/>
    <w:rsid w:val="2FDBC900"/>
    <w:rsid w:val="2FDC3840"/>
    <w:rsid w:val="2FDF45FA"/>
    <w:rsid w:val="2FE3CD15"/>
    <w:rsid w:val="2FE4ECFE"/>
    <w:rsid w:val="2FE4F220"/>
    <w:rsid w:val="2FF205AB"/>
    <w:rsid w:val="2FF38857"/>
    <w:rsid w:val="2FF56E07"/>
    <w:rsid w:val="300080E2"/>
    <w:rsid w:val="3008A95B"/>
    <w:rsid w:val="300CC897"/>
    <w:rsid w:val="300F4698"/>
    <w:rsid w:val="3015FCAA"/>
    <w:rsid w:val="3017B39D"/>
    <w:rsid w:val="301A4194"/>
    <w:rsid w:val="302C8E4E"/>
    <w:rsid w:val="302FD924"/>
    <w:rsid w:val="30310707"/>
    <w:rsid w:val="303112CF"/>
    <w:rsid w:val="303470A9"/>
    <w:rsid w:val="30397096"/>
    <w:rsid w:val="303AF731"/>
    <w:rsid w:val="30452A3B"/>
    <w:rsid w:val="304C1DDE"/>
    <w:rsid w:val="304C59AF"/>
    <w:rsid w:val="304DD1CF"/>
    <w:rsid w:val="305B0A5E"/>
    <w:rsid w:val="30606A49"/>
    <w:rsid w:val="307209F2"/>
    <w:rsid w:val="3073DF11"/>
    <w:rsid w:val="307666D1"/>
    <w:rsid w:val="30773050"/>
    <w:rsid w:val="3078F241"/>
    <w:rsid w:val="307B819B"/>
    <w:rsid w:val="307C6191"/>
    <w:rsid w:val="3084482C"/>
    <w:rsid w:val="308CD8E5"/>
    <w:rsid w:val="308F24AD"/>
    <w:rsid w:val="30916AD3"/>
    <w:rsid w:val="3095902A"/>
    <w:rsid w:val="3095C30A"/>
    <w:rsid w:val="309B0D05"/>
    <w:rsid w:val="309E932D"/>
    <w:rsid w:val="309FB087"/>
    <w:rsid w:val="30A3864C"/>
    <w:rsid w:val="30A741EB"/>
    <w:rsid w:val="30A9DA42"/>
    <w:rsid w:val="30AC8CE8"/>
    <w:rsid w:val="30AE8B0C"/>
    <w:rsid w:val="30B53928"/>
    <w:rsid w:val="30B76F6D"/>
    <w:rsid w:val="30B884E1"/>
    <w:rsid w:val="30BAF8F1"/>
    <w:rsid w:val="30CA9038"/>
    <w:rsid w:val="30CB2B32"/>
    <w:rsid w:val="30D13CF4"/>
    <w:rsid w:val="30D2F350"/>
    <w:rsid w:val="30D49E1F"/>
    <w:rsid w:val="30D502EB"/>
    <w:rsid w:val="30DC5FA6"/>
    <w:rsid w:val="30E11D55"/>
    <w:rsid w:val="30E32B25"/>
    <w:rsid w:val="30E63BA2"/>
    <w:rsid w:val="30E686AE"/>
    <w:rsid w:val="30EB0599"/>
    <w:rsid w:val="30EBF79C"/>
    <w:rsid w:val="30EF4BE8"/>
    <w:rsid w:val="30F645F6"/>
    <w:rsid w:val="30F65A4B"/>
    <w:rsid w:val="30F65A75"/>
    <w:rsid w:val="30FB25B6"/>
    <w:rsid w:val="30FD82E2"/>
    <w:rsid w:val="3103C4B5"/>
    <w:rsid w:val="3107303E"/>
    <w:rsid w:val="31136C3E"/>
    <w:rsid w:val="31137E70"/>
    <w:rsid w:val="311696EA"/>
    <w:rsid w:val="3116A76F"/>
    <w:rsid w:val="311B11EA"/>
    <w:rsid w:val="311E566B"/>
    <w:rsid w:val="312678DE"/>
    <w:rsid w:val="3127556C"/>
    <w:rsid w:val="31386232"/>
    <w:rsid w:val="313C4ECA"/>
    <w:rsid w:val="313DA4CE"/>
    <w:rsid w:val="313F111D"/>
    <w:rsid w:val="3141D9C7"/>
    <w:rsid w:val="31430F23"/>
    <w:rsid w:val="314314B4"/>
    <w:rsid w:val="314691C6"/>
    <w:rsid w:val="314E1698"/>
    <w:rsid w:val="315143C2"/>
    <w:rsid w:val="315A6E7D"/>
    <w:rsid w:val="3162CA44"/>
    <w:rsid w:val="31630CA0"/>
    <w:rsid w:val="3167302C"/>
    <w:rsid w:val="31697A39"/>
    <w:rsid w:val="317509D7"/>
    <w:rsid w:val="317D6031"/>
    <w:rsid w:val="3180EBBF"/>
    <w:rsid w:val="3186E648"/>
    <w:rsid w:val="3186F723"/>
    <w:rsid w:val="3187EA16"/>
    <w:rsid w:val="318977AE"/>
    <w:rsid w:val="318BE792"/>
    <w:rsid w:val="318DE469"/>
    <w:rsid w:val="3190CF5D"/>
    <w:rsid w:val="3198F66F"/>
    <w:rsid w:val="3199A10F"/>
    <w:rsid w:val="319CCCD0"/>
    <w:rsid w:val="31ADD46C"/>
    <w:rsid w:val="31B03F37"/>
    <w:rsid w:val="31B26258"/>
    <w:rsid w:val="31B2C0D7"/>
    <w:rsid w:val="31B7D3CC"/>
    <w:rsid w:val="31BBF172"/>
    <w:rsid w:val="31BE4146"/>
    <w:rsid w:val="31BFA6DD"/>
    <w:rsid w:val="31C49C90"/>
    <w:rsid w:val="31CE79D6"/>
    <w:rsid w:val="31D2E9CE"/>
    <w:rsid w:val="31D4236B"/>
    <w:rsid w:val="31D4753E"/>
    <w:rsid w:val="31D85AAD"/>
    <w:rsid w:val="31D98E06"/>
    <w:rsid w:val="31DB6F98"/>
    <w:rsid w:val="31DF81F4"/>
    <w:rsid w:val="31E3474A"/>
    <w:rsid w:val="31E76765"/>
    <w:rsid w:val="31EA6CB4"/>
    <w:rsid w:val="31F45DFF"/>
    <w:rsid w:val="31F4C727"/>
    <w:rsid w:val="31F701D4"/>
    <w:rsid w:val="31F85C0E"/>
    <w:rsid w:val="31FC5A1A"/>
    <w:rsid w:val="31FE1B4D"/>
    <w:rsid w:val="31FF44DE"/>
    <w:rsid w:val="31FF8747"/>
    <w:rsid w:val="3203A841"/>
    <w:rsid w:val="3209286C"/>
    <w:rsid w:val="3210FAE7"/>
    <w:rsid w:val="32110699"/>
    <w:rsid w:val="32132C26"/>
    <w:rsid w:val="32139166"/>
    <w:rsid w:val="3218937C"/>
    <w:rsid w:val="321CA4AA"/>
    <w:rsid w:val="3222B40A"/>
    <w:rsid w:val="32244B05"/>
    <w:rsid w:val="322743AE"/>
    <w:rsid w:val="3227C333"/>
    <w:rsid w:val="3236A16C"/>
    <w:rsid w:val="32407D56"/>
    <w:rsid w:val="3241C25A"/>
    <w:rsid w:val="32474AAC"/>
    <w:rsid w:val="324913E2"/>
    <w:rsid w:val="324B02FC"/>
    <w:rsid w:val="325385C3"/>
    <w:rsid w:val="3255EB4F"/>
    <w:rsid w:val="32595F8F"/>
    <w:rsid w:val="32598AF0"/>
    <w:rsid w:val="32613FE9"/>
    <w:rsid w:val="32627A4A"/>
    <w:rsid w:val="32681E79"/>
    <w:rsid w:val="3268E896"/>
    <w:rsid w:val="326B7BCA"/>
    <w:rsid w:val="3270DAE9"/>
    <w:rsid w:val="3273A033"/>
    <w:rsid w:val="32770B46"/>
    <w:rsid w:val="327855FA"/>
    <w:rsid w:val="327BA3EF"/>
    <w:rsid w:val="3280DCDE"/>
    <w:rsid w:val="328982A2"/>
    <w:rsid w:val="328AD38F"/>
    <w:rsid w:val="328ADF56"/>
    <w:rsid w:val="328E94DB"/>
    <w:rsid w:val="329859AF"/>
    <w:rsid w:val="32A99469"/>
    <w:rsid w:val="32AD1C9E"/>
    <w:rsid w:val="32AF5AB5"/>
    <w:rsid w:val="32AFC1B4"/>
    <w:rsid w:val="32B9BD39"/>
    <w:rsid w:val="32BB7781"/>
    <w:rsid w:val="32C0656E"/>
    <w:rsid w:val="32C06707"/>
    <w:rsid w:val="32C7B2DC"/>
    <w:rsid w:val="32C98B62"/>
    <w:rsid w:val="32CB3CE4"/>
    <w:rsid w:val="32D29072"/>
    <w:rsid w:val="32D439D0"/>
    <w:rsid w:val="32DAB5FF"/>
    <w:rsid w:val="32DBB292"/>
    <w:rsid w:val="32E46A7B"/>
    <w:rsid w:val="32E9911D"/>
    <w:rsid w:val="32ED45B1"/>
    <w:rsid w:val="32F3DFC4"/>
    <w:rsid w:val="32F50452"/>
    <w:rsid w:val="32F6A624"/>
    <w:rsid w:val="32F8612A"/>
    <w:rsid w:val="32FA4EA2"/>
    <w:rsid w:val="33036825"/>
    <w:rsid w:val="330963B3"/>
    <w:rsid w:val="330CE063"/>
    <w:rsid w:val="330E24F0"/>
    <w:rsid w:val="331387A7"/>
    <w:rsid w:val="33195C50"/>
    <w:rsid w:val="331ABBD0"/>
    <w:rsid w:val="331F1BFA"/>
    <w:rsid w:val="331F3071"/>
    <w:rsid w:val="3329AD76"/>
    <w:rsid w:val="3335CDB2"/>
    <w:rsid w:val="333FC18C"/>
    <w:rsid w:val="334216E9"/>
    <w:rsid w:val="3344578A"/>
    <w:rsid w:val="33446780"/>
    <w:rsid w:val="334550FC"/>
    <w:rsid w:val="3347727B"/>
    <w:rsid w:val="3347A324"/>
    <w:rsid w:val="3357A861"/>
    <w:rsid w:val="3357B5E1"/>
    <w:rsid w:val="335ABFEC"/>
    <w:rsid w:val="3360F369"/>
    <w:rsid w:val="33660139"/>
    <w:rsid w:val="3370ED57"/>
    <w:rsid w:val="33725A2C"/>
    <w:rsid w:val="33728013"/>
    <w:rsid w:val="3372CAD8"/>
    <w:rsid w:val="3374D8BD"/>
    <w:rsid w:val="3378C7AB"/>
    <w:rsid w:val="337BD30D"/>
    <w:rsid w:val="337E9F15"/>
    <w:rsid w:val="338348C7"/>
    <w:rsid w:val="33888244"/>
    <w:rsid w:val="338E64BA"/>
    <w:rsid w:val="33918835"/>
    <w:rsid w:val="3392DFCC"/>
    <w:rsid w:val="339680C9"/>
    <w:rsid w:val="339890C2"/>
    <w:rsid w:val="339F22B4"/>
    <w:rsid w:val="33A09BB1"/>
    <w:rsid w:val="33A1F8EC"/>
    <w:rsid w:val="33A4DA2E"/>
    <w:rsid w:val="33A96336"/>
    <w:rsid w:val="33A975E1"/>
    <w:rsid w:val="33B99217"/>
    <w:rsid w:val="33BECFD9"/>
    <w:rsid w:val="33C3E85E"/>
    <w:rsid w:val="33C3F932"/>
    <w:rsid w:val="33C41808"/>
    <w:rsid w:val="33CAD3D1"/>
    <w:rsid w:val="33CC06C6"/>
    <w:rsid w:val="33CE20F3"/>
    <w:rsid w:val="33D18097"/>
    <w:rsid w:val="33D204CD"/>
    <w:rsid w:val="33D37D7B"/>
    <w:rsid w:val="33D39B13"/>
    <w:rsid w:val="33DA143E"/>
    <w:rsid w:val="33DAD93A"/>
    <w:rsid w:val="33E17732"/>
    <w:rsid w:val="33E93CAD"/>
    <w:rsid w:val="33E949B7"/>
    <w:rsid w:val="33ECC94A"/>
    <w:rsid w:val="33F10711"/>
    <w:rsid w:val="33F9B6E3"/>
    <w:rsid w:val="33FB3288"/>
    <w:rsid w:val="33FE54D8"/>
    <w:rsid w:val="33FF7BE1"/>
    <w:rsid w:val="34043500"/>
    <w:rsid w:val="3404653E"/>
    <w:rsid w:val="340A4106"/>
    <w:rsid w:val="340E05D1"/>
    <w:rsid w:val="340EB0BD"/>
    <w:rsid w:val="34107790"/>
    <w:rsid w:val="3410819E"/>
    <w:rsid w:val="34173427"/>
    <w:rsid w:val="34180381"/>
    <w:rsid w:val="34190CCB"/>
    <w:rsid w:val="341CB540"/>
    <w:rsid w:val="341D42AD"/>
    <w:rsid w:val="3429BAE3"/>
    <w:rsid w:val="3430A568"/>
    <w:rsid w:val="3432B692"/>
    <w:rsid w:val="3438D7A5"/>
    <w:rsid w:val="34404A68"/>
    <w:rsid w:val="34409A8D"/>
    <w:rsid w:val="34413923"/>
    <w:rsid w:val="344DCC2E"/>
    <w:rsid w:val="344F4F37"/>
    <w:rsid w:val="34529DDA"/>
    <w:rsid w:val="3458DD5C"/>
    <w:rsid w:val="345C2775"/>
    <w:rsid w:val="345D0332"/>
    <w:rsid w:val="34614EF0"/>
    <w:rsid w:val="3464473D"/>
    <w:rsid w:val="347517B7"/>
    <w:rsid w:val="34751EA1"/>
    <w:rsid w:val="347A7CAE"/>
    <w:rsid w:val="3480DCA4"/>
    <w:rsid w:val="34817865"/>
    <w:rsid w:val="34830DE8"/>
    <w:rsid w:val="34867705"/>
    <w:rsid w:val="3489C6F1"/>
    <w:rsid w:val="348AA33C"/>
    <w:rsid w:val="348BD4C6"/>
    <w:rsid w:val="3492C056"/>
    <w:rsid w:val="3493F5FB"/>
    <w:rsid w:val="3499BBAC"/>
    <w:rsid w:val="349EAEF3"/>
    <w:rsid w:val="34A43F52"/>
    <w:rsid w:val="34AA8C31"/>
    <w:rsid w:val="34AB8A97"/>
    <w:rsid w:val="34B49529"/>
    <w:rsid w:val="34B52CB1"/>
    <w:rsid w:val="34B5A237"/>
    <w:rsid w:val="34B808FA"/>
    <w:rsid w:val="34BFAD6B"/>
    <w:rsid w:val="34C1AAE5"/>
    <w:rsid w:val="34C28F2A"/>
    <w:rsid w:val="34C33FE1"/>
    <w:rsid w:val="34C7CD61"/>
    <w:rsid w:val="34C9105B"/>
    <w:rsid w:val="34CE4310"/>
    <w:rsid w:val="34CE9738"/>
    <w:rsid w:val="34D1C533"/>
    <w:rsid w:val="34D38C02"/>
    <w:rsid w:val="34D3A14C"/>
    <w:rsid w:val="34EC0D09"/>
    <w:rsid w:val="34EC8D18"/>
    <w:rsid w:val="34ED2FC6"/>
    <w:rsid w:val="34EDBB98"/>
    <w:rsid w:val="34EE9DF9"/>
    <w:rsid w:val="34EED7BB"/>
    <w:rsid w:val="34EF7A90"/>
    <w:rsid w:val="34F13418"/>
    <w:rsid w:val="34F23DEF"/>
    <w:rsid w:val="34F72A6C"/>
    <w:rsid w:val="34F780EE"/>
    <w:rsid w:val="34FF948C"/>
    <w:rsid w:val="350A7D35"/>
    <w:rsid w:val="350DAD6E"/>
    <w:rsid w:val="350DCCCA"/>
    <w:rsid w:val="350DF17D"/>
    <w:rsid w:val="35100FF1"/>
    <w:rsid w:val="3511D02E"/>
    <w:rsid w:val="3519E6D1"/>
    <w:rsid w:val="351A4909"/>
    <w:rsid w:val="35204DDF"/>
    <w:rsid w:val="352248CD"/>
    <w:rsid w:val="3523A5CA"/>
    <w:rsid w:val="3526203E"/>
    <w:rsid w:val="3528B153"/>
    <w:rsid w:val="352E7255"/>
    <w:rsid w:val="35368792"/>
    <w:rsid w:val="35380BF8"/>
    <w:rsid w:val="353FACA1"/>
    <w:rsid w:val="35434580"/>
    <w:rsid w:val="3547D12C"/>
    <w:rsid w:val="354B822A"/>
    <w:rsid w:val="35521395"/>
    <w:rsid w:val="3555C2F5"/>
    <w:rsid w:val="3558AEDC"/>
    <w:rsid w:val="3559B68A"/>
    <w:rsid w:val="355B4ECE"/>
    <w:rsid w:val="355B55B5"/>
    <w:rsid w:val="356053A9"/>
    <w:rsid w:val="3561D232"/>
    <w:rsid w:val="35631D23"/>
    <w:rsid w:val="35664C41"/>
    <w:rsid w:val="356BEE3A"/>
    <w:rsid w:val="3572FD1F"/>
    <w:rsid w:val="35769A41"/>
    <w:rsid w:val="3579EFB8"/>
    <w:rsid w:val="357F72AE"/>
    <w:rsid w:val="358BE96C"/>
    <w:rsid w:val="358C267A"/>
    <w:rsid w:val="35913B32"/>
    <w:rsid w:val="3594D768"/>
    <w:rsid w:val="3595BCF5"/>
    <w:rsid w:val="35964ECD"/>
    <w:rsid w:val="359C32D9"/>
    <w:rsid w:val="359F0BA3"/>
    <w:rsid w:val="35A4CCA9"/>
    <w:rsid w:val="35A9313D"/>
    <w:rsid w:val="35AD5DA9"/>
    <w:rsid w:val="35B32304"/>
    <w:rsid w:val="35B39A74"/>
    <w:rsid w:val="35B50B4F"/>
    <w:rsid w:val="35BA0367"/>
    <w:rsid w:val="35C4AB7C"/>
    <w:rsid w:val="35CD20C4"/>
    <w:rsid w:val="35D13CB5"/>
    <w:rsid w:val="35D2CFA9"/>
    <w:rsid w:val="35D8EF5C"/>
    <w:rsid w:val="35D94E49"/>
    <w:rsid w:val="35DA7E74"/>
    <w:rsid w:val="35DAB3F0"/>
    <w:rsid w:val="35DB6E25"/>
    <w:rsid w:val="35DCC2DE"/>
    <w:rsid w:val="35DFEB58"/>
    <w:rsid w:val="35E4EFB3"/>
    <w:rsid w:val="35EAC15E"/>
    <w:rsid w:val="35EC2CF7"/>
    <w:rsid w:val="35F03849"/>
    <w:rsid w:val="35F329AD"/>
    <w:rsid w:val="35F7A327"/>
    <w:rsid w:val="35F98F6B"/>
    <w:rsid w:val="35FD9CCF"/>
    <w:rsid w:val="35FE6C19"/>
    <w:rsid w:val="36091E6A"/>
    <w:rsid w:val="360D2109"/>
    <w:rsid w:val="36115AD8"/>
    <w:rsid w:val="361637DD"/>
    <w:rsid w:val="361827B5"/>
    <w:rsid w:val="36193673"/>
    <w:rsid w:val="361F8B45"/>
    <w:rsid w:val="36223541"/>
    <w:rsid w:val="3628455E"/>
    <w:rsid w:val="362927E4"/>
    <w:rsid w:val="36299DCF"/>
    <w:rsid w:val="362A1B13"/>
    <w:rsid w:val="362A72A5"/>
    <w:rsid w:val="365254CC"/>
    <w:rsid w:val="3657092D"/>
    <w:rsid w:val="3658B43E"/>
    <w:rsid w:val="3659B28E"/>
    <w:rsid w:val="365D01D1"/>
    <w:rsid w:val="36649C82"/>
    <w:rsid w:val="366AC16F"/>
    <w:rsid w:val="367359C7"/>
    <w:rsid w:val="3674B749"/>
    <w:rsid w:val="3676CE33"/>
    <w:rsid w:val="367DEC65"/>
    <w:rsid w:val="368A6B6B"/>
    <w:rsid w:val="368D03A1"/>
    <w:rsid w:val="369339AC"/>
    <w:rsid w:val="369886CB"/>
    <w:rsid w:val="3699D5D7"/>
    <w:rsid w:val="369A588F"/>
    <w:rsid w:val="36A20E21"/>
    <w:rsid w:val="36B117B5"/>
    <w:rsid w:val="36BA44D2"/>
    <w:rsid w:val="36C582D6"/>
    <w:rsid w:val="36C60F01"/>
    <w:rsid w:val="36C6BF11"/>
    <w:rsid w:val="36C97D1C"/>
    <w:rsid w:val="36C9F0D6"/>
    <w:rsid w:val="36CAC451"/>
    <w:rsid w:val="36CD07E4"/>
    <w:rsid w:val="36D7577A"/>
    <w:rsid w:val="36D8510D"/>
    <w:rsid w:val="36DF7A88"/>
    <w:rsid w:val="36E353A7"/>
    <w:rsid w:val="36E49E5B"/>
    <w:rsid w:val="36E5C5F5"/>
    <w:rsid w:val="36E610A7"/>
    <w:rsid w:val="36EC1A04"/>
    <w:rsid w:val="36F4C72B"/>
    <w:rsid w:val="36FB03D0"/>
    <w:rsid w:val="36FBFA24"/>
    <w:rsid w:val="3702CC4B"/>
    <w:rsid w:val="37078348"/>
    <w:rsid w:val="370DC861"/>
    <w:rsid w:val="371094B4"/>
    <w:rsid w:val="3712A5DE"/>
    <w:rsid w:val="37156E83"/>
    <w:rsid w:val="3717C6D8"/>
    <w:rsid w:val="3719EB20"/>
    <w:rsid w:val="371C140F"/>
    <w:rsid w:val="371E90DB"/>
    <w:rsid w:val="37236D7D"/>
    <w:rsid w:val="3729F7F1"/>
    <w:rsid w:val="372BE43B"/>
    <w:rsid w:val="3731C521"/>
    <w:rsid w:val="373549D6"/>
    <w:rsid w:val="3738CC32"/>
    <w:rsid w:val="37397B16"/>
    <w:rsid w:val="373D5ECF"/>
    <w:rsid w:val="37415422"/>
    <w:rsid w:val="374360F6"/>
    <w:rsid w:val="3747FDB4"/>
    <w:rsid w:val="3748C64F"/>
    <w:rsid w:val="3749A883"/>
    <w:rsid w:val="37520A00"/>
    <w:rsid w:val="375311CB"/>
    <w:rsid w:val="3756A897"/>
    <w:rsid w:val="37581B43"/>
    <w:rsid w:val="375B62C8"/>
    <w:rsid w:val="375D37DB"/>
    <w:rsid w:val="376105C1"/>
    <w:rsid w:val="37621D75"/>
    <w:rsid w:val="376A1906"/>
    <w:rsid w:val="377103F8"/>
    <w:rsid w:val="3781460B"/>
    <w:rsid w:val="3782ED85"/>
    <w:rsid w:val="3785563E"/>
    <w:rsid w:val="3786CDCF"/>
    <w:rsid w:val="378B91CA"/>
    <w:rsid w:val="378CBAC4"/>
    <w:rsid w:val="378DF320"/>
    <w:rsid w:val="378E20E6"/>
    <w:rsid w:val="379616E0"/>
    <w:rsid w:val="3797E72D"/>
    <w:rsid w:val="379CB7CA"/>
    <w:rsid w:val="379E6950"/>
    <w:rsid w:val="37A06ADD"/>
    <w:rsid w:val="37A98934"/>
    <w:rsid w:val="37AD4266"/>
    <w:rsid w:val="37AF3B2A"/>
    <w:rsid w:val="37B06AB6"/>
    <w:rsid w:val="37BBBBF2"/>
    <w:rsid w:val="37BBF0BF"/>
    <w:rsid w:val="37C2C516"/>
    <w:rsid w:val="37C2D75A"/>
    <w:rsid w:val="37C3C5EF"/>
    <w:rsid w:val="37C9CC7C"/>
    <w:rsid w:val="37CC051E"/>
    <w:rsid w:val="37DBBC92"/>
    <w:rsid w:val="37DDBA9B"/>
    <w:rsid w:val="37DEC7C6"/>
    <w:rsid w:val="37E2A86C"/>
    <w:rsid w:val="37E6C667"/>
    <w:rsid w:val="37E8A259"/>
    <w:rsid w:val="37E90741"/>
    <w:rsid w:val="37ECCD73"/>
    <w:rsid w:val="37F19C5E"/>
    <w:rsid w:val="37F1C9F7"/>
    <w:rsid w:val="37F2145F"/>
    <w:rsid w:val="37F8E2E8"/>
    <w:rsid w:val="37FD8AE7"/>
    <w:rsid w:val="3802DC73"/>
    <w:rsid w:val="3805E30B"/>
    <w:rsid w:val="3807D5DB"/>
    <w:rsid w:val="38091190"/>
    <w:rsid w:val="380A12E6"/>
    <w:rsid w:val="380C5FF3"/>
    <w:rsid w:val="381E28C0"/>
    <w:rsid w:val="38231098"/>
    <w:rsid w:val="38260B7A"/>
    <w:rsid w:val="382BD08B"/>
    <w:rsid w:val="382E4D91"/>
    <w:rsid w:val="382F31F4"/>
    <w:rsid w:val="3835ADEB"/>
    <w:rsid w:val="38388552"/>
    <w:rsid w:val="383AAE51"/>
    <w:rsid w:val="383EF576"/>
    <w:rsid w:val="384461AC"/>
    <w:rsid w:val="38486346"/>
    <w:rsid w:val="384BEE70"/>
    <w:rsid w:val="38535DA7"/>
    <w:rsid w:val="385CAA7A"/>
    <w:rsid w:val="3860A212"/>
    <w:rsid w:val="386C6E41"/>
    <w:rsid w:val="3876015E"/>
    <w:rsid w:val="38773B25"/>
    <w:rsid w:val="387A38EA"/>
    <w:rsid w:val="387B0E77"/>
    <w:rsid w:val="387B9F6C"/>
    <w:rsid w:val="387E0568"/>
    <w:rsid w:val="3886A27C"/>
    <w:rsid w:val="388CB5B2"/>
    <w:rsid w:val="388D771C"/>
    <w:rsid w:val="38972935"/>
    <w:rsid w:val="389CECC1"/>
    <w:rsid w:val="38A0FDC1"/>
    <w:rsid w:val="38A7D44E"/>
    <w:rsid w:val="38A822D6"/>
    <w:rsid w:val="38ACC7B2"/>
    <w:rsid w:val="38AF8D27"/>
    <w:rsid w:val="38B92C9A"/>
    <w:rsid w:val="38BAE0B9"/>
    <w:rsid w:val="38CB112D"/>
    <w:rsid w:val="38CBF869"/>
    <w:rsid w:val="38CE3DED"/>
    <w:rsid w:val="38CF68F2"/>
    <w:rsid w:val="38D024AD"/>
    <w:rsid w:val="38D120CC"/>
    <w:rsid w:val="38D26785"/>
    <w:rsid w:val="38D36BD2"/>
    <w:rsid w:val="38DAD440"/>
    <w:rsid w:val="38E4C6C2"/>
    <w:rsid w:val="38EB15E2"/>
    <w:rsid w:val="38EDC473"/>
    <w:rsid w:val="38F501AC"/>
    <w:rsid w:val="38F610A7"/>
    <w:rsid w:val="38FC75AC"/>
    <w:rsid w:val="390088E2"/>
    <w:rsid w:val="3904DFE1"/>
    <w:rsid w:val="3908E2EB"/>
    <w:rsid w:val="3909F6C0"/>
    <w:rsid w:val="390A0C89"/>
    <w:rsid w:val="390FA9E2"/>
    <w:rsid w:val="39123BB8"/>
    <w:rsid w:val="3912D2B7"/>
    <w:rsid w:val="39185AD4"/>
    <w:rsid w:val="391FBEA9"/>
    <w:rsid w:val="39290091"/>
    <w:rsid w:val="392C8959"/>
    <w:rsid w:val="3930A8F9"/>
    <w:rsid w:val="3933E46E"/>
    <w:rsid w:val="393B7BC5"/>
    <w:rsid w:val="393FC98A"/>
    <w:rsid w:val="394154FD"/>
    <w:rsid w:val="3941A886"/>
    <w:rsid w:val="3946C5AE"/>
    <w:rsid w:val="3947C58F"/>
    <w:rsid w:val="3951F3AA"/>
    <w:rsid w:val="3953C854"/>
    <w:rsid w:val="39546421"/>
    <w:rsid w:val="3954C233"/>
    <w:rsid w:val="3956B81D"/>
    <w:rsid w:val="39574C67"/>
    <w:rsid w:val="3958F5C7"/>
    <w:rsid w:val="39624E1E"/>
    <w:rsid w:val="3969411E"/>
    <w:rsid w:val="39708506"/>
    <w:rsid w:val="397134DC"/>
    <w:rsid w:val="3971F21C"/>
    <w:rsid w:val="39735C69"/>
    <w:rsid w:val="39789257"/>
    <w:rsid w:val="397B3EDE"/>
    <w:rsid w:val="397C32B2"/>
    <w:rsid w:val="397CF896"/>
    <w:rsid w:val="397E8E40"/>
    <w:rsid w:val="3980EE28"/>
    <w:rsid w:val="39853D2E"/>
    <w:rsid w:val="39884838"/>
    <w:rsid w:val="3988E21C"/>
    <w:rsid w:val="398A6BE0"/>
    <w:rsid w:val="398B4C75"/>
    <w:rsid w:val="398C5C57"/>
    <w:rsid w:val="398E56EA"/>
    <w:rsid w:val="399239D6"/>
    <w:rsid w:val="39979C1F"/>
    <w:rsid w:val="399A1E38"/>
    <w:rsid w:val="399BE8B6"/>
    <w:rsid w:val="399EF0C0"/>
    <w:rsid w:val="399F5AE2"/>
    <w:rsid w:val="39A95A98"/>
    <w:rsid w:val="39AAB195"/>
    <w:rsid w:val="39AC26AD"/>
    <w:rsid w:val="39AC2FC6"/>
    <w:rsid w:val="39AD758F"/>
    <w:rsid w:val="39B4928C"/>
    <w:rsid w:val="39BB7C83"/>
    <w:rsid w:val="39C367AB"/>
    <w:rsid w:val="39C89DB8"/>
    <w:rsid w:val="39C9E07B"/>
    <w:rsid w:val="39CAF5E3"/>
    <w:rsid w:val="39D128A9"/>
    <w:rsid w:val="39D98FCD"/>
    <w:rsid w:val="39DF4D3D"/>
    <w:rsid w:val="39E9A555"/>
    <w:rsid w:val="39EED642"/>
    <w:rsid w:val="39F3C190"/>
    <w:rsid w:val="39F528CE"/>
    <w:rsid w:val="39F79DF2"/>
    <w:rsid w:val="39F94AE3"/>
    <w:rsid w:val="39F9B26D"/>
    <w:rsid w:val="39FF8BB1"/>
    <w:rsid w:val="3A00B4DA"/>
    <w:rsid w:val="3A01042D"/>
    <w:rsid w:val="3A014D64"/>
    <w:rsid w:val="3A06DF47"/>
    <w:rsid w:val="3A0B6088"/>
    <w:rsid w:val="3A1012D1"/>
    <w:rsid w:val="3A1208DE"/>
    <w:rsid w:val="3A145B58"/>
    <w:rsid w:val="3A1B3E91"/>
    <w:rsid w:val="3A211542"/>
    <w:rsid w:val="3A26D9F3"/>
    <w:rsid w:val="3A2C0A42"/>
    <w:rsid w:val="3A2C6854"/>
    <w:rsid w:val="3A2D2561"/>
    <w:rsid w:val="3A2D87C4"/>
    <w:rsid w:val="3A2E0ADB"/>
    <w:rsid w:val="3A340168"/>
    <w:rsid w:val="3A397D41"/>
    <w:rsid w:val="3A3A2E1E"/>
    <w:rsid w:val="3A4687A1"/>
    <w:rsid w:val="3A4D290C"/>
    <w:rsid w:val="3A4EB2A3"/>
    <w:rsid w:val="3A4F3ED3"/>
    <w:rsid w:val="3A5DB9C2"/>
    <w:rsid w:val="3A5F535F"/>
    <w:rsid w:val="3A60145A"/>
    <w:rsid w:val="3A6241E3"/>
    <w:rsid w:val="3A6362BF"/>
    <w:rsid w:val="3A66EB6D"/>
    <w:rsid w:val="3A6F173F"/>
    <w:rsid w:val="3A72AF6C"/>
    <w:rsid w:val="3A80F3FA"/>
    <w:rsid w:val="3A870FF2"/>
    <w:rsid w:val="3A8D2BE6"/>
    <w:rsid w:val="3A922926"/>
    <w:rsid w:val="3A934F9E"/>
    <w:rsid w:val="3A945BE1"/>
    <w:rsid w:val="3A96D153"/>
    <w:rsid w:val="3AA3A189"/>
    <w:rsid w:val="3AA6BC6F"/>
    <w:rsid w:val="3AAF0CBC"/>
    <w:rsid w:val="3AAF9F29"/>
    <w:rsid w:val="3ABD9073"/>
    <w:rsid w:val="3ABEBACA"/>
    <w:rsid w:val="3AC025E7"/>
    <w:rsid w:val="3AC451BD"/>
    <w:rsid w:val="3AC865C4"/>
    <w:rsid w:val="3AD362E9"/>
    <w:rsid w:val="3AD5965A"/>
    <w:rsid w:val="3ADA2925"/>
    <w:rsid w:val="3ADABB44"/>
    <w:rsid w:val="3AE3DEE9"/>
    <w:rsid w:val="3AE76407"/>
    <w:rsid w:val="3AE7F8F9"/>
    <w:rsid w:val="3AEB51E4"/>
    <w:rsid w:val="3AEC8844"/>
    <w:rsid w:val="3AF0CC7C"/>
    <w:rsid w:val="3AF2CF65"/>
    <w:rsid w:val="3AF54A8B"/>
    <w:rsid w:val="3AF6EE51"/>
    <w:rsid w:val="3AF85300"/>
    <w:rsid w:val="3AFEEC73"/>
    <w:rsid w:val="3B08F93C"/>
    <w:rsid w:val="3B09B5AB"/>
    <w:rsid w:val="3B0BCC52"/>
    <w:rsid w:val="3B1421E9"/>
    <w:rsid w:val="3B193B11"/>
    <w:rsid w:val="3B25C9F4"/>
    <w:rsid w:val="3B2719A0"/>
    <w:rsid w:val="3B292A0E"/>
    <w:rsid w:val="3B2D4C06"/>
    <w:rsid w:val="3B2DC192"/>
    <w:rsid w:val="3B34D4D1"/>
    <w:rsid w:val="3B367273"/>
    <w:rsid w:val="3B36C28F"/>
    <w:rsid w:val="3B3B8520"/>
    <w:rsid w:val="3B3C1224"/>
    <w:rsid w:val="3B3C7229"/>
    <w:rsid w:val="3B40A202"/>
    <w:rsid w:val="3B43A730"/>
    <w:rsid w:val="3B46B1FE"/>
    <w:rsid w:val="3B479620"/>
    <w:rsid w:val="3B47A9D7"/>
    <w:rsid w:val="3B485150"/>
    <w:rsid w:val="3B501FAA"/>
    <w:rsid w:val="3B523B0F"/>
    <w:rsid w:val="3B5D774B"/>
    <w:rsid w:val="3B5EA6DA"/>
    <w:rsid w:val="3B5FE218"/>
    <w:rsid w:val="3B63E5C2"/>
    <w:rsid w:val="3B650E51"/>
    <w:rsid w:val="3B6ACF77"/>
    <w:rsid w:val="3B6B260A"/>
    <w:rsid w:val="3B6B9267"/>
    <w:rsid w:val="3B6EB19F"/>
    <w:rsid w:val="3B6FC1DA"/>
    <w:rsid w:val="3B74D008"/>
    <w:rsid w:val="3B77C6D0"/>
    <w:rsid w:val="3B7C7280"/>
    <w:rsid w:val="3B7F5729"/>
    <w:rsid w:val="3B8043AF"/>
    <w:rsid w:val="3B80D520"/>
    <w:rsid w:val="3B8BFE20"/>
    <w:rsid w:val="3B8C6C92"/>
    <w:rsid w:val="3B900B3D"/>
    <w:rsid w:val="3B9CCC7D"/>
    <w:rsid w:val="3B9E1048"/>
    <w:rsid w:val="3B9F70EF"/>
    <w:rsid w:val="3BA11D60"/>
    <w:rsid w:val="3BB23928"/>
    <w:rsid w:val="3BB3DC6B"/>
    <w:rsid w:val="3BB577BC"/>
    <w:rsid w:val="3BBA391C"/>
    <w:rsid w:val="3BBCBD84"/>
    <w:rsid w:val="3BBE3B1C"/>
    <w:rsid w:val="3BC2DE6B"/>
    <w:rsid w:val="3BC36BFA"/>
    <w:rsid w:val="3BC9CD8F"/>
    <w:rsid w:val="3BCBFB24"/>
    <w:rsid w:val="3BDA8941"/>
    <w:rsid w:val="3BDC98C8"/>
    <w:rsid w:val="3BDED783"/>
    <w:rsid w:val="3BE4631F"/>
    <w:rsid w:val="3BE5FFB0"/>
    <w:rsid w:val="3BE68685"/>
    <w:rsid w:val="3BE9EDEF"/>
    <w:rsid w:val="3BF473F5"/>
    <w:rsid w:val="3BF67B76"/>
    <w:rsid w:val="3BFBEFDA"/>
    <w:rsid w:val="3BFC6DEB"/>
    <w:rsid w:val="3BFC8F52"/>
    <w:rsid w:val="3BFF028A"/>
    <w:rsid w:val="3BFF6B56"/>
    <w:rsid w:val="3BFFFA9E"/>
    <w:rsid w:val="3C0C403D"/>
    <w:rsid w:val="3C0D5960"/>
    <w:rsid w:val="3C0D9177"/>
    <w:rsid w:val="3C10CD9E"/>
    <w:rsid w:val="3C148B91"/>
    <w:rsid w:val="3C162B82"/>
    <w:rsid w:val="3C164342"/>
    <w:rsid w:val="3C16ABD5"/>
    <w:rsid w:val="3C1B3BF5"/>
    <w:rsid w:val="3C21CBFF"/>
    <w:rsid w:val="3C27A4E6"/>
    <w:rsid w:val="3C2CDEE4"/>
    <w:rsid w:val="3C2EDC4E"/>
    <w:rsid w:val="3C326733"/>
    <w:rsid w:val="3C348322"/>
    <w:rsid w:val="3C40BCE7"/>
    <w:rsid w:val="3C452B06"/>
    <w:rsid w:val="3C454CEF"/>
    <w:rsid w:val="3C4A7DF5"/>
    <w:rsid w:val="3C4C78F8"/>
    <w:rsid w:val="3C4D0D06"/>
    <w:rsid w:val="3C5136E2"/>
    <w:rsid w:val="3C540B3F"/>
    <w:rsid w:val="3C59D31C"/>
    <w:rsid w:val="3C5ABDFF"/>
    <w:rsid w:val="3C5B8321"/>
    <w:rsid w:val="3C632B56"/>
    <w:rsid w:val="3C65CFC1"/>
    <w:rsid w:val="3C7565E4"/>
    <w:rsid w:val="3C7FD482"/>
    <w:rsid w:val="3C8E80DF"/>
    <w:rsid w:val="3C8EFABF"/>
    <w:rsid w:val="3C928FBB"/>
    <w:rsid w:val="3C94D38D"/>
    <w:rsid w:val="3C9558B9"/>
    <w:rsid w:val="3C9A4395"/>
    <w:rsid w:val="3C9AA875"/>
    <w:rsid w:val="3C9D49BC"/>
    <w:rsid w:val="3C9E268D"/>
    <w:rsid w:val="3C9E36FA"/>
    <w:rsid w:val="3CA0078E"/>
    <w:rsid w:val="3CAC09E3"/>
    <w:rsid w:val="3CB09A8D"/>
    <w:rsid w:val="3CB9BFD7"/>
    <w:rsid w:val="3CB9E226"/>
    <w:rsid w:val="3CB9F094"/>
    <w:rsid w:val="3CBA8837"/>
    <w:rsid w:val="3CBD8459"/>
    <w:rsid w:val="3CBDFFC2"/>
    <w:rsid w:val="3CC0B442"/>
    <w:rsid w:val="3CC22708"/>
    <w:rsid w:val="3CC3BF22"/>
    <w:rsid w:val="3CC719B9"/>
    <w:rsid w:val="3CC828FD"/>
    <w:rsid w:val="3CCB8C34"/>
    <w:rsid w:val="3CCBA593"/>
    <w:rsid w:val="3CCEAFD5"/>
    <w:rsid w:val="3CCF305D"/>
    <w:rsid w:val="3CD3817C"/>
    <w:rsid w:val="3CD74B1D"/>
    <w:rsid w:val="3CD8E18D"/>
    <w:rsid w:val="3CDE57D0"/>
    <w:rsid w:val="3CE18472"/>
    <w:rsid w:val="3CE292CE"/>
    <w:rsid w:val="3CE411DB"/>
    <w:rsid w:val="3CEC6127"/>
    <w:rsid w:val="3CF0588E"/>
    <w:rsid w:val="3CF2D8A1"/>
    <w:rsid w:val="3CF64B33"/>
    <w:rsid w:val="3CFBB9B5"/>
    <w:rsid w:val="3CFD65B6"/>
    <w:rsid w:val="3D05FC27"/>
    <w:rsid w:val="3D08C021"/>
    <w:rsid w:val="3D0A55A3"/>
    <w:rsid w:val="3D0BBA10"/>
    <w:rsid w:val="3D0C39F8"/>
    <w:rsid w:val="3D11B179"/>
    <w:rsid w:val="3D11F92D"/>
    <w:rsid w:val="3D1494E6"/>
    <w:rsid w:val="3D1B0065"/>
    <w:rsid w:val="3D1C2801"/>
    <w:rsid w:val="3D2785FC"/>
    <w:rsid w:val="3D29C35C"/>
    <w:rsid w:val="3D2EEDB3"/>
    <w:rsid w:val="3D388F2B"/>
    <w:rsid w:val="3D3A8124"/>
    <w:rsid w:val="3D3ACD27"/>
    <w:rsid w:val="3D416BE5"/>
    <w:rsid w:val="3D46BDA6"/>
    <w:rsid w:val="3D490621"/>
    <w:rsid w:val="3D4C213B"/>
    <w:rsid w:val="3D53860E"/>
    <w:rsid w:val="3D5CEFFC"/>
    <w:rsid w:val="3D61886C"/>
    <w:rsid w:val="3D664C1A"/>
    <w:rsid w:val="3D6D7C67"/>
    <w:rsid w:val="3D6D889B"/>
    <w:rsid w:val="3D72BCCD"/>
    <w:rsid w:val="3D759DBB"/>
    <w:rsid w:val="3D7925AB"/>
    <w:rsid w:val="3D7D3338"/>
    <w:rsid w:val="3D81A214"/>
    <w:rsid w:val="3D82D8B5"/>
    <w:rsid w:val="3D833B05"/>
    <w:rsid w:val="3D858FD4"/>
    <w:rsid w:val="3D8C4685"/>
    <w:rsid w:val="3D8F7E47"/>
    <w:rsid w:val="3D957F96"/>
    <w:rsid w:val="3DA24541"/>
    <w:rsid w:val="3DA66F86"/>
    <w:rsid w:val="3DAA08B7"/>
    <w:rsid w:val="3DABF02F"/>
    <w:rsid w:val="3DACB11B"/>
    <w:rsid w:val="3DB6F04C"/>
    <w:rsid w:val="3DB7F2F7"/>
    <w:rsid w:val="3DBF81DB"/>
    <w:rsid w:val="3DC23456"/>
    <w:rsid w:val="3DC98C19"/>
    <w:rsid w:val="3DC9C870"/>
    <w:rsid w:val="3DCAC88D"/>
    <w:rsid w:val="3DD44887"/>
    <w:rsid w:val="3DDA4019"/>
    <w:rsid w:val="3DDDE6DA"/>
    <w:rsid w:val="3DE61021"/>
    <w:rsid w:val="3DE75112"/>
    <w:rsid w:val="3DEC215D"/>
    <w:rsid w:val="3DF7ACD7"/>
    <w:rsid w:val="3DF7EDD4"/>
    <w:rsid w:val="3E017721"/>
    <w:rsid w:val="3E06CA15"/>
    <w:rsid w:val="3E086336"/>
    <w:rsid w:val="3E08FFD6"/>
    <w:rsid w:val="3E0F212E"/>
    <w:rsid w:val="3E12279E"/>
    <w:rsid w:val="3E122CF7"/>
    <w:rsid w:val="3E126C6D"/>
    <w:rsid w:val="3E14B863"/>
    <w:rsid w:val="3E150805"/>
    <w:rsid w:val="3E158FC9"/>
    <w:rsid w:val="3E1607E5"/>
    <w:rsid w:val="3E18BB17"/>
    <w:rsid w:val="3E226654"/>
    <w:rsid w:val="3E25FCC7"/>
    <w:rsid w:val="3E26D6BE"/>
    <w:rsid w:val="3E276827"/>
    <w:rsid w:val="3E2C14CC"/>
    <w:rsid w:val="3E3149A5"/>
    <w:rsid w:val="3E35ACB6"/>
    <w:rsid w:val="3E3CB4DD"/>
    <w:rsid w:val="3E42FC01"/>
    <w:rsid w:val="3E442983"/>
    <w:rsid w:val="3E4606DA"/>
    <w:rsid w:val="3E4EA30A"/>
    <w:rsid w:val="3E55E53D"/>
    <w:rsid w:val="3E5B6A73"/>
    <w:rsid w:val="3E5BCBA9"/>
    <w:rsid w:val="3E61AF17"/>
    <w:rsid w:val="3E677D69"/>
    <w:rsid w:val="3E6E3F8C"/>
    <w:rsid w:val="3E6FA9FF"/>
    <w:rsid w:val="3E75FE99"/>
    <w:rsid w:val="3E8065FE"/>
    <w:rsid w:val="3E84CC58"/>
    <w:rsid w:val="3E853A4D"/>
    <w:rsid w:val="3E86F90E"/>
    <w:rsid w:val="3E8AF3E4"/>
    <w:rsid w:val="3E92C47C"/>
    <w:rsid w:val="3E93A929"/>
    <w:rsid w:val="3E973CCF"/>
    <w:rsid w:val="3E9B2505"/>
    <w:rsid w:val="3E9B88DE"/>
    <w:rsid w:val="3EA4C08B"/>
    <w:rsid w:val="3EB12939"/>
    <w:rsid w:val="3EB3D9B7"/>
    <w:rsid w:val="3EB44F8A"/>
    <w:rsid w:val="3EB4AA32"/>
    <w:rsid w:val="3EB53D1B"/>
    <w:rsid w:val="3EBB03F2"/>
    <w:rsid w:val="3EBB18B4"/>
    <w:rsid w:val="3EBC3593"/>
    <w:rsid w:val="3EBC4B7D"/>
    <w:rsid w:val="3EBCA759"/>
    <w:rsid w:val="3EBF37AE"/>
    <w:rsid w:val="3EC05C50"/>
    <w:rsid w:val="3EC126FC"/>
    <w:rsid w:val="3EC4C6CE"/>
    <w:rsid w:val="3ECF3258"/>
    <w:rsid w:val="3ED05B6E"/>
    <w:rsid w:val="3ED1EC19"/>
    <w:rsid w:val="3ED23DF5"/>
    <w:rsid w:val="3ED30F77"/>
    <w:rsid w:val="3ED3D3DA"/>
    <w:rsid w:val="3ED9FB65"/>
    <w:rsid w:val="3EDD8CA3"/>
    <w:rsid w:val="3EE2FE2A"/>
    <w:rsid w:val="3EEABC1B"/>
    <w:rsid w:val="3EEC30A7"/>
    <w:rsid w:val="3EF07C0C"/>
    <w:rsid w:val="3EF8F8F3"/>
    <w:rsid w:val="3EFD72BE"/>
    <w:rsid w:val="3EFDAF79"/>
    <w:rsid w:val="3F0032F3"/>
    <w:rsid w:val="3F008B87"/>
    <w:rsid w:val="3F0139C2"/>
    <w:rsid w:val="3F01D751"/>
    <w:rsid w:val="3F09E4DB"/>
    <w:rsid w:val="3F0B2D56"/>
    <w:rsid w:val="3F0F4787"/>
    <w:rsid w:val="3F169696"/>
    <w:rsid w:val="3F1748FA"/>
    <w:rsid w:val="3F1EB9D9"/>
    <w:rsid w:val="3F232CAC"/>
    <w:rsid w:val="3F29A939"/>
    <w:rsid w:val="3F2A8DED"/>
    <w:rsid w:val="3F3B5987"/>
    <w:rsid w:val="3F43A041"/>
    <w:rsid w:val="3F43C48E"/>
    <w:rsid w:val="3F4640F8"/>
    <w:rsid w:val="3F478D42"/>
    <w:rsid w:val="3F4940F1"/>
    <w:rsid w:val="3F511EB6"/>
    <w:rsid w:val="3F58DD03"/>
    <w:rsid w:val="3F5B4C51"/>
    <w:rsid w:val="3F5D7B81"/>
    <w:rsid w:val="3F5DCBF8"/>
    <w:rsid w:val="3F64B7CA"/>
    <w:rsid w:val="3F68CA7D"/>
    <w:rsid w:val="3F6A0396"/>
    <w:rsid w:val="3F6BA90F"/>
    <w:rsid w:val="3F711B62"/>
    <w:rsid w:val="3F735659"/>
    <w:rsid w:val="3F74CC48"/>
    <w:rsid w:val="3F776579"/>
    <w:rsid w:val="3F7AFBAD"/>
    <w:rsid w:val="3F84F2DD"/>
    <w:rsid w:val="3F8AFED3"/>
    <w:rsid w:val="3F8BE028"/>
    <w:rsid w:val="3F91E499"/>
    <w:rsid w:val="3F955178"/>
    <w:rsid w:val="3F9CB867"/>
    <w:rsid w:val="3F9CC4AC"/>
    <w:rsid w:val="3F9E943E"/>
    <w:rsid w:val="3FA46AD6"/>
    <w:rsid w:val="3FA61283"/>
    <w:rsid w:val="3FAB3901"/>
    <w:rsid w:val="3FAD3FA1"/>
    <w:rsid w:val="3FAF54A4"/>
    <w:rsid w:val="3FB0F02B"/>
    <w:rsid w:val="3FB3F996"/>
    <w:rsid w:val="3FB6126B"/>
    <w:rsid w:val="3FB76962"/>
    <w:rsid w:val="3FBB4EE9"/>
    <w:rsid w:val="3FBD80EA"/>
    <w:rsid w:val="3FBE3FFD"/>
    <w:rsid w:val="3FC4F7DB"/>
    <w:rsid w:val="3FC5FE14"/>
    <w:rsid w:val="3FCDE9AE"/>
    <w:rsid w:val="3FCE3A1A"/>
    <w:rsid w:val="3FD251D8"/>
    <w:rsid w:val="3FD8E068"/>
    <w:rsid w:val="3FD9ED91"/>
    <w:rsid w:val="3FE15281"/>
    <w:rsid w:val="3FE1851A"/>
    <w:rsid w:val="3FE426C9"/>
    <w:rsid w:val="3FE6C871"/>
    <w:rsid w:val="3FEA8916"/>
    <w:rsid w:val="3FEBCB38"/>
    <w:rsid w:val="3FEF7FAF"/>
    <w:rsid w:val="3FF5E067"/>
    <w:rsid w:val="3FF6A4E9"/>
    <w:rsid w:val="3FF9B569"/>
    <w:rsid w:val="3FFABDD7"/>
    <w:rsid w:val="3FFE64CC"/>
    <w:rsid w:val="3FFF762F"/>
    <w:rsid w:val="4000441A"/>
    <w:rsid w:val="40031C8B"/>
    <w:rsid w:val="40038946"/>
    <w:rsid w:val="4004B7C8"/>
    <w:rsid w:val="40085BC1"/>
    <w:rsid w:val="400BE008"/>
    <w:rsid w:val="400F19F4"/>
    <w:rsid w:val="40106CC7"/>
    <w:rsid w:val="40155561"/>
    <w:rsid w:val="4016B88C"/>
    <w:rsid w:val="4016CAA6"/>
    <w:rsid w:val="401C32F8"/>
    <w:rsid w:val="4020B2C8"/>
    <w:rsid w:val="4021840B"/>
    <w:rsid w:val="40220334"/>
    <w:rsid w:val="40226D14"/>
    <w:rsid w:val="402E397B"/>
    <w:rsid w:val="4035127D"/>
    <w:rsid w:val="4035356B"/>
    <w:rsid w:val="4041F288"/>
    <w:rsid w:val="40465DA1"/>
    <w:rsid w:val="404B238E"/>
    <w:rsid w:val="404BC362"/>
    <w:rsid w:val="404BE50F"/>
    <w:rsid w:val="404CEB7F"/>
    <w:rsid w:val="4053516C"/>
    <w:rsid w:val="40555013"/>
    <w:rsid w:val="405727BC"/>
    <w:rsid w:val="40591FB4"/>
    <w:rsid w:val="405D8527"/>
    <w:rsid w:val="406109C8"/>
    <w:rsid w:val="40632CFB"/>
    <w:rsid w:val="40644FFA"/>
    <w:rsid w:val="40657CE3"/>
    <w:rsid w:val="4067C8D6"/>
    <w:rsid w:val="40699D9C"/>
    <w:rsid w:val="40699EA6"/>
    <w:rsid w:val="406C63EF"/>
    <w:rsid w:val="40786FF0"/>
    <w:rsid w:val="407D8940"/>
    <w:rsid w:val="407F81EE"/>
    <w:rsid w:val="40885D06"/>
    <w:rsid w:val="40891D2E"/>
    <w:rsid w:val="4090E0FE"/>
    <w:rsid w:val="409216D3"/>
    <w:rsid w:val="4093403D"/>
    <w:rsid w:val="40935FD3"/>
    <w:rsid w:val="409DABDE"/>
    <w:rsid w:val="40A073E7"/>
    <w:rsid w:val="40A8E63B"/>
    <w:rsid w:val="40A9D3C9"/>
    <w:rsid w:val="40B0F96E"/>
    <w:rsid w:val="40B4A408"/>
    <w:rsid w:val="40BA12C9"/>
    <w:rsid w:val="40C0AEC2"/>
    <w:rsid w:val="40C827F4"/>
    <w:rsid w:val="40C8B779"/>
    <w:rsid w:val="40C9A7BD"/>
    <w:rsid w:val="40CB2CD3"/>
    <w:rsid w:val="40CC4D7E"/>
    <w:rsid w:val="40D3C17E"/>
    <w:rsid w:val="40D5426A"/>
    <w:rsid w:val="40DA517C"/>
    <w:rsid w:val="40DB720E"/>
    <w:rsid w:val="40DEA15C"/>
    <w:rsid w:val="40E091F7"/>
    <w:rsid w:val="40E2E6C2"/>
    <w:rsid w:val="40ECFB70"/>
    <w:rsid w:val="40EE9E54"/>
    <w:rsid w:val="40F6BF7A"/>
    <w:rsid w:val="40F9CEDB"/>
    <w:rsid w:val="40FF04C9"/>
    <w:rsid w:val="41013C62"/>
    <w:rsid w:val="4103C37E"/>
    <w:rsid w:val="4105D07F"/>
    <w:rsid w:val="4107171C"/>
    <w:rsid w:val="41089AD7"/>
    <w:rsid w:val="41090232"/>
    <w:rsid w:val="4109612F"/>
    <w:rsid w:val="410DE626"/>
    <w:rsid w:val="411061E0"/>
    <w:rsid w:val="4111617E"/>
    <w:rsid w:val="41121C33"/>
    <w:rsid w:val="4112CD54"/>
    <w:rsid w:val="4112D4E8"/>
    <w:rsid w:val="411421BC"/>
    <w:rsid w:val="4117EB72"/>
    <w:rsid w:val="411CDA56"/>
    <w:rsid w:val="411EA969"/>
    <w:rsid w:val="41271C40"/>
    <w:rsid w:val="4128B19E"/>
    <w:rsid w:val="412A3726"/>
    <w:rsid w:val="412AF085"/>
    <w:rsid w:val="412C104B"/>
    <w:rsid w:val="412D9B46"/>
    <w:rsid w:val="412E25B4"/>
    <w:rsid w:val="4131DA65"/>
    <w:rsid w:val="4132EEC6"/>
    <w:rsid w:val="4137D97D"/>
    <w:rsid w:val="413FE976"/>
    <w:rsid w:val="414D08C0"/>
    <w:rsid w:val="414DA6AA"/>
    <w:rsid w:val="41537C17"/>
    <w:rsid w:val="41558810"/>
    <w:rsid w:val="415F07A0"/>
    <w:rsid w:val="415FAC94"/>
    <w:rsid w:val="41672F74"/>
    <w:rsid w:val="4168CD1C"/>
    <w:rsid w:val="416CC907"/>
    <w:rsid w:val="41750B8F"/>
    <w:rsid w:val="4178BCF1"/>
    <w:rsid w:val="417DF8E0"/>
    <w:rsid w:val="4181373A"/>
    <w:rsid w:val="41839627"/>
    <w:rsid w:val="4186B0DB"/>
    <w:rsid w:val="41870246"/>
    <w:rsid w:val="41880FB4"/>
    <w:rsid w:val="418A8972"/>
    <w:rsid w:val="418B6A00"/>
    <w:rsid w:val="418BD10D"/>
    <w:rsid w:val="4191307C"/>
    <w:rsid w:val="419358C3"/>
    <w:rsid w:val="41937602"/>
    <w:rsid w:val="419439B5"/>
    <w:rsid w:val="419776CB"/>
    <w:rsid w:val="41978821"/>
    <w:rsid w:val="4198DD13"/>
    <w:rsid w:val="419906FE"/>
    <w:rsid w:val="41A0E36B"/>
    <w:rsid w:val="41A37635"/>
    <w:rsid w:val="41A4C8CD"/>
    <w:rsid w:val="41B08FA3"/>
    <w:rsid w:val="41B9BEA5"/>
    <w:rsid w:val="41BDCB02"/>
    <w:rsid w:val="41C343DC"/>
    <w:rsid w:val="41C3BC79"/>
    <w:rsid w:val="41C45219"/>
    <w:rsid w:val="41C7B1A8"/>
    <w:rsid w:val="41D3EE92"/>
    <w:rsid w:val="41D90A17"/>
    <w:rsid w:val="41DBCB35"/>
    <w:rsid w:val="41E474B8"/>
    <w:rsid w:val="41E9F49D"/>
    <w:rsid w:val="41EB6770"/>
    <w:rsid w:val="41EC9A21"/>
    <w:rsid w:val="41F27440"/>
    <w:rsid w:val="41F5EAE8"/>
    <w:rsid w:val="41F8D6F5"/>
    <w:rsid w:val="41F9CF5A"/>
    <w:rsid w:val="41FA603B"/>
    <w:rsid w:val="41FA7871"/>
    <w:rsid w:val="41FBB09C"/>
    <w:rsid w:val="41FEEB02"/>
    <w:rsid w:val="4203C050"/>
    <w:rsid w:val="4204ACBE"/>
    <w:rsid w:val="42065A20"/>
    <w:rsid w:val="4206B960"/>
    <w:rsid w:val="420B72E3"/>
    <w:rsid w:val="420DA1DA"/>
    <w:rsid w:val="42141D07"/>
    <w:rsid w:val="42197B13"/>
    <w:rsid w:val="421B2690"/>
    <w:rsid w:val="42208BD4"/>
    <w:rsid w:val="42266C20"/>
    <w:rsid w:val="4235750C"/>
    <w:rsid w:val="42385AE0"/>
    <w:rsid w:val="423BA5FD"/>
    <w:rsid w:val="423C24D9"/>
    <w:rsid w:val="4242A50B"/>
    <w:rsid w:val="4244E79A"/>
    <w:rsid w:val="4245FD1B"/>
    <w:rsid w:val="425437D8"/>
    <w:rsid w:val="4255BBC5"/>
    <w:rsid w:val="425774ED"/>
    <w:rsid w:val="425D233B"/>
    <w:rsid w:val="4263E6AB"/>
    <w:rsid w:val="4264C45A"/>
    <w:rsid w:val="426A8159"/>
    <w:rsid w:val="426A9808"/>
    <w:rsid w:val="426F0598"/>
    <w:rsid w:val="42771926"/>
    <w:rsid w:val="4279709D"/>
    <w:rsid w:val="4283154A"/>
    <w:rsid w:val="428ABD63"/>
    <w:rsid w:val="428B4E34"/>
    <w:rsid w:val="428C6469"/>
    <w:rsid w:val="428CC256"/>
    <w:rsid w:val="4295D738"/>
    <w:rsid w:val="4296D8B4"/>
    <w:rsid w:val="42972243"/>
    <w:rsid w:val="42990B03"/>
    <w:rsid w:val="42AD43FC"/>
    <w:rsid w:val="42AFAC90"/>
    <w:rsid w:val="42B18477"/>
    <w:rsid w:val="42B73C24"/>
    <w:rsid w:val="42B7AFAC"/>
    <w:rsid w:val="42C3F03C"/>
    <w:rsid w:val="42C5F380"/>
    <w:rsid w:val="42C82778"/>
    <w:rsid w:val="42CA0CAD"/>
    <w:rsid w:val="42CAA8B5"/>
    <w:rsid w:val="42CC482D"/>
    <w:rsid w:val="42CE2652"/>
    <w:rsid w:val="42CF9A9B"/>
    <w:rsid w:val="42D3F880"/>
    <w:rsid w:val="42D46417"/>
    <w:rsid w:val="42D57329"/>
    <w:rsid w:val="42D5C86D"/>
    <w:rsid w:val="42D6FDE8"/>
    <w:rsid w:val="42DB217D"/>
    <w:rsid w:val="42E32D47"/>
    <w:rsid w:val="42E67AAC"/>
    <w:rsid w:val="42E890ED"/>
    <w:rsid w:val="42EA2C2C"/>
    <w:rsid w:val="42EA5516"/>
    <w:rsid w:val="42EE4EB2"/>
    <w:rsid w:val="42F3AA29"/>
    <w:rsid w:val="42FCDAFB"/>
    <w:rsid w:val="42FDEDD8"/>
    <w:rsid w:val="42FF264E"/>
    <w:rsid w:val="4300C644"/>
    <w:rsid w:val="4302BB5E"/>
    <w:rsid w:val="431237E5"/>
    <w:rsid w:val="4313B8CC"/>
    <w:rsid w:val="4314BB97"/>
    <w:rsid w:val="43162E4C"/>
    <w:rsid w:val="43174663"/>
    <w:rsid w:val="431DC3CB"/>
    <w:rsid w:val="432083BF"/>
    <w:rsid w:val="4321DE52"/>
    <w:rsid w:val="43233D04"/>
    <w:rsid w:val="4323BD19"/>
    <w:rsid w:val="43260C65"/>
    <w:rsid w:val="43270116"/>
    <w:rsid w:val="43280D41"/>
    <w:rsid w:val="4330A022"/>
    <w:rsid w:val="4332AF98"/>
    <w:rsid w:val="433A0BF4"/>
    <w:rsid w:val="433EBF02"/>
    <w:rsid w:val="4341F0E9"/>
    <w:rsid w:val="434F8AD4"/>
    <w:rsid w:val="435054B6"/>
    <w:rsid w:val="4354F2F0"/>
    <w:rsid w:val="4356448A"/>
    <w:rsid w:val="43599339"/>
    <w:rsid w:val="435CFCF0"/>
    <w:rsid w:val="4361132F"/>
    <w:rsid w:val="436A32AE"/>
    <w:rsid w:val="436E4EFC"/>
    <w:rsid w:val="43826BA0"/>
    <w:rsid w:val="43830961"/>
    <w:rsid w:val="4383B495"/>
    <w:rsid w:val="43887D55"/>
    <w:rsid w:val="4391ECCA"/>
    <w:rsid w:val="4394BD05"/>
    <w:rsid w:val="439634B0"/>
    <w:rsid w:val="4397635F"/>
    <w:rsid w:val="43993936"/>
    <w:rsid w:val="439944AF"/>
    <w:rsid w:val="439AD7AA"/>
    <w:rsid w:val="439C9276"/>
    <w:rsid w:val="439FA4DC"/>
    <w:rsid w:val="43A0A4A2"/>
    <w:rsid w:val="43ACE3B5"/>
    <w:rsid w:val="43B3131D"/>
    <w:rsid w:val="43B35F3B"/>
    <w:rsid w:val="43B4D878"/>
    <w:rsid w:val="43BC6B1E"/>
    <w:rsid w:val="43C282CD"/>
    <w:rsid w:val="43C4914A"/>
    <w:rsid w:val="43C95C8F"/>
    <w:rsid w:val="43CEFB56"/>
    <w:rsid w:val="43CFACC5"/>
    <w:rsid w:val="43D050ED"/>
    <w:rsid w:val="43D48645"/>
    <w:rsid w:val="43D71626"/>
    <w:rsid w:val="43DAE053"/>
    <w:rsid w:val="43DC910E"/>
    <w:rsid w:val="43DD437B"/>
    <w:rsid w:val="43DEA625"/>
    <w:rsid w:val="43DF62B8"/>
    <w:rsid w:val="43E2596E"/>
    <w:rsid w:val="43E9A499"/>
    <w:rsid w:val="43EC2D4B"/>
    <w:rsid w:val="43F39027"/>
    <w:rsid w:val="43F5A6D8"/>
    <w:rsid w:val="43FAC8DC"/>
    <w:rsid w:val="43FCCBB6"/>
    <w:rsid w:val="43FF4A1F"/>
    <w:rsid w:val="4405C705"/>
    <w:rsid w:val="440C310A"/>
    <w:rsid w:val="440DEDE4"/>
    <w:rsid w:val="44111C90"/>
    <w:rsid w:val="4415086B"/>
    <w:rsid w:val="44155F52"/>
    <w:rsid w:val="4418E49E"/>
    <w:rsid w:val="44194A73"/>
    <w:rsid w:val="441E1D72"/>
    <w:rsid w:val="44202AE4"/>
    <w:rsid w:val="4424666E"/>
    <w:rsid w:val="4430AFF3"/>
    <w:rsid w:val="4430ED22"/>
    <w:rsid w:val="44312D4E"/>
    <w:rsid w:val="44317078"/>
    <w:rsid w:val="4432C6BF"/>
    <w:rsid w:val="443C37A8"/>
    <w:rsid w:val="443EF808"/>
    <w:rsid w:val="444987FB"/>
    <w:rsid w:val="4451EF72"/>
    <w:rsid w:val="4452A02E"/>
    <w:rsid w:val="445799E5"/>
    <w:rsid w:val="445DD177"/>
    <w:rsid w:val="44600B70"/>
    <w:rsid w:val="4463D946"/>
    <w:rsid w:val="44691A82"/>
    <w:rsid w:val="446CE09C"/>
    <w:rsid w:val="446EA81A"/>
    <w:rsid w:val="4470C27A"/>
    <w:rsid w:val="4470FEBF"/>
    <w:rsid w:val="44739D4F"/>
    <w:rsid w:val="4475D90C"/>
    <w:rsid w:val="447780D2"/>
    <w:rsid w:val="4479B0C0"/>
    <w:rsid w:val="447DF007"/>
    <w:rsid w:val="447EC3DB"/>
    <w:rsid w:val="447F343C"/>
    <w:rsid w:val="44845657"/>
    <w:rsid w:val="4486EFC2"/>
    <w:rsid w:val="4487F019"/>
    <w:rsid w:val="4488E3ED"/>
    <w:rsid w:val="448D57FC"/>
    <w:rsid w:val="4494C105"/>
    <w:rsid w:val="449A2092"/>
    <w:rsid w:val="449B202E"/>
    <w:rsid w:val="449D1DFC"/>
    <w:rsid w:val="44A13648"/>
    <w:rsid w:val="44A9D333"/>
    <w:rsid w:val="44AD67E7"/>
    <w:rsid w:val="44ADB274"/>
    <w:rsid w:val="44B07AE1"/>
    <w:rsid w:val="44B0A8DA"/>
    <w:rsid w:val="44B78E0B"/>
    <w:rsid w:val="44C410D0"/>
    <w:rsid w:val="44C498DD"/>
    <w:rsid w:val="44C4A4DB"/>
    <w:rsid w:val="44C7A0FF"/>
    <w:rsid w:val="44C7B03A"/>
    <w:rsid w:val="44CCF2E6"/>
    <w:rsid w:val="44D1433F"/>
    <w:rsid w:val="44D21702"/>
    <w:rsid w:val="44D27236"/>
    <w:rsid w:val="44D3A467"/>
    <w:rsid w:val="44D5E309"/>
    <w:rsid w:val="44DAE67D"/>
    <w:rsid w:val="44DAFA11"/>
    <w:rsid w:val="44E03C63"/>
    <w:rsid w:val="44E198B1"/>
    <w:rsid w:val="44E60B7D"/>
    <w:rsid w:val="44E6E257"/>
    <w:rsid w:val="44EA4833"/>
    <w:rsid w:val="44F0D5C0"/>
    <w:rsid w:val="44F15C03"/>
    <w:rsid w:val="44F42601"/>
    <w:rsid w:val="44FCC68E"/>
    <w:rsid w:val="44FE3667"/>
    <w:rsid w:val="44FEAA8E"/>
    <w:rsid w:val="4500ECCA"/>
    <w:rsid w:val="45010460"/>
    <w:rsid w:val="45014495"/>
    <w:rsid w:val="4511F55C"/>
    <w:rsid w:val="45167CAB"/>
    <w:rsid w:val="4518CCDA"/>
    <w:rsid w:val="45190B3A"/>
    <w:rsid w:val="4519BECE"/>
    <w:rsid w:val="451D6A47"/>
    <w:rsid w:val="451E77F5"/>
    <w:rsid w:val="4522FEF7"/>
    <w:rsid w:val="452A3016"/>
    <w:rsid w:val="452DD780"/>
    <w:rsid w:val="4531CEC4"/>
    <w:rsid w:val="4533DB99"/>
    <w:rsid w:val="453C628F"/>
    <w:rsid w:val="454071B8"/>
    <w:rsid w:val="45413448"/>
    <w:rsid w:val="45548005"/>
    <w:rsid w:val="455B6D13"/>
    <w:rsid w:val="45651A29"/>
    <w:rsid w:val="45668FA6"/>
    <w:rsid w:val="45676464"/>
    <w:rsid w:val="45698A02"/>
    <w:rsid w:val="456A18D6"/>
    <w:rsid w:val="456C2C08"/>
    <w:rsid w:val="4572F78E"/>
    <w:rsid w:val="457BB0DA"/>
    <w:rsid w:val="457D6A84"/>
    <w:rsid w:val="45837EB6"/>
    <w:rsid w:val="4588BFCC"/>
    <w:rsid w:val="458B5087"/>
    <w:rsid w:val="45978A52"/>
    <w:rsid w:val="459B633B"/>
    <w:rsid w:val="45A7BC85"/>
    <w:rsid w:val="45A9C376"/>
    <w:rsid w:val="45AA9949"/>
    <w:rsid w:val="45AC5469"/>
    <w:rsid w:val="45B6B99D"/>
    <w:rsid w:val="45B80E66"/>
    <w:rsid w:val="45C38B6F"/>
    <w:rsid w:val="45C68F93"/>
    <w:rsid w:val="45CE40D9"/>
    <w:rsid w:val="45CEC905"/>
    <w:rsid w:val="45CF40BA"/>
    <w:rsid w:val="45D2F21A"/>
    <w:rsid w:val="45DA1AF3"/>
    <w:rsid w:val="45DD7B7E"/>
    <w:rsid w:val="45DE3761"/>
    <w:rsid w:val="45E51901"/>
    <w:rsid w:val="45E59DC5"/>
    <w:rsid w:val="45E79CF1"/>
    <w:rsid w:val="45E97151"/>
    <w:rsid w:val="45F610A4"/>
    <w:rsid w:val="46063954"/>
    <w:rsid w:val="460E56E1"/>
    <w:rsid w:val="460EE117"/>
    <w:rsid w:val="4618A962"/>
    <w:rsid w:val="461A11E5"/>
    <w:rsid w:val="461AC22B"/>
    <w:rsid w:val="461ADC85"/>
    <w:rsid w:val="461E5AA6"/>
    <w:rsid w:val="4625D6E5"/>
    <w:rsid w:val="462759CC"/>
    <w:rsid w:val="4627A8CE"/>
    <w:rsid w:val="4628F2AE"/>
    <w:rsid w:val="462ADE20"/>
    <w:rsid w:val="462B427C"/>
    <w:rsid w:val="462B56C9"/>
    <w:rsid w:val="4634071E"/>
    <w:rsid w:val="4639A680"/>
    <w:rsid w:val="46406F7D"/>
    <w:rsid w:val="46428728"/>
    <w:rsid w:val="4642E49E"/>
    <w:rsid w:val="46430293"/>
    <w:rsid w:val="46484EF0"/>
    <w:rsid w:val="464D3B00"/>
    <w:rsid w:val="464E8A37"/>
    <w:rsid w:val="46504E5F"/>
    <w:rsid w:val="46513E05"/>
    <w:rsid w:val="465187E1"/>
    <w:rsid w:val="4660CCB2"/>
    <w:rsid w:val="46610F2E"/>
    <w:rsid w:val="4663E552"/>
    <w:rsid w:val="46668BEC"/>
    <w:rsid w:val="4666C5AF"/>
    <w:rsid w:val="4667A182"/>
    <w:rsid w:val="466E84DC"/>
    <w:rsid w:val="467AD564"/>
    <w:rsid w:val="467FF26A"/>
    <w:rsid w:val="4681E29F"/>
    <w:rsid w:val="46876DDC"/>
    <w:rsid w:val="46877335"/>
    <w:rsid w:val="468B5A9F"/>
    <w:rsid w:val="468D3F9B"/>
    <w:rsid w:val="468F4076"/>
    <w:rsid w:val="468F7EA6"/>
    <w:rsid w:val="46927037"/>
    <w:rsid w:val="46930A95"/>
    <w:rsid w:val="4698C8BF"/>
    <w:rsid w:val="469A10E5"/>
    <w:rsid w:val="469DCBB9"/>
    <w:rsid w:val="46A04F25"/>
    <w:rsid w:val="46A358DA"/>
    <w:rsid w:val="46A6B4DE"/>
    <w:rsid w:val="46A8AEB9"/>
    <w:rsid w:val="46ACEBBF"/>
    <w:rsid w:val="46BB0490"/>
    <w:rsid w:val="46BE61B0"/>
    <w:rsid w:val="46C11BE0"/>
    <w:rsid w:val="46C18528"/>
    <w:rsid w:val="46C1A623"/>
    <w:rsid w:val="46C896AD"/>
    <w:rsid w:val="46C8F2B0"/>
    <w:rsid w:val="46CE4C32"/>
    <w:rsid w:val="46D0BAB7"/>
    <w:rsid w:val="46D167F5"/>
    <w:rsid w:val="46D978F1"/>
    <w:rsid w:val="46DA4F5C"/>
    <w:rsid w:val="46DBEDEC"/>
    <w:rsid w:val="46DCA0CB"/>
    <w:rsid w:val="46E69339"/>
    <w:rsid w:val="46E77027"/>
    <w:rsid w:val="46E8CFD9"/>
    <w:rsid w:val="46E9D973"/>
    <w:rsid w:val="46EAE9C9"/>
    <w:rsid w:val="46EBAC47"/>
    <w:rsid w:val="46F565C5"/>
    <w:rsid w:val="46F5A4E8"/>
    <w:rsid w:val="46F76DA3"/>
    <w:rsid w:val="46F7CDFC"/>
    <w:rsid w:val="46F8CEA4"/>
    <w:rsid w:val="46FD0311"/>
    <w:rsid w:val="46FDAA12"/>
    <w:rsid w:val="46FEC166"/>
    <w:rsid w:val="46FF57AB"/>
    <w:rsid w:val="470484DC"/>
    <w:rsid w:val="470D6F6F"/>
    <w:rsid w:val="470F08F2"/>
    <w:rsid w:val="47156B79"/>
    <w:rsid w:val="471C61E1"/>
    <w:rsid w:val="4724E7CE"/>
    <w:rsid w:val="472F2A03"/>
    <w:rsid w:val="473074D8"/>
    <w:rsid w:val="47331B56"/>
    <w:rsid w:val="473C6F12"/>
    <w:rsid w:val="473C9835"/>
    <w:rsid w:val="473E4784"/>
    <w:rsid w:val="4748AEC3"/>
    <w:rsid w:val="4751D04A"/>
    <w:rsid w:val="4752EAFF"/>
    <w:rsid w:val="4753F84A"/>
    <w:rsid w:val="475F0E9E"/>
    <w:rsid w:val="47666F9C"/>
    <w:rsid w:val="476900EF"/>
    <w:rsid w:val="476DDCCB"/>
    <w:rsid w:val="476F115D"/>
    <w:rsid w:val="4770D6D1"/>
    <w:rsid w:val="477181B1"/>
    <w:rsid w:val="477D39FF"/>
    <w:rsid w:val="477F7DCD"/>
    <w:rsid w:val="4781A0C7"/>
    <w:rsid w:val="47839787"/>
    <w:rsid w:val="47896AEB"/>
    <w:rsid w:val="478A3806"/>
    <w:rsid w:val="47A1950B"/>
    <w:rsid w:val="47A3BC20"/>
    <w:rsid w:val="47ACAE78"/>
    <w:rsid w:val="47B826BD"/>
    <w:rsid w:val="47B8A69D"/>
    <w:rsid w:val="47BA6F7F"/>
    <w:rsid w:val="47BF9123"/>
    <w:rsid w:val="47CA97D0"/>
    <w:rsid w:val="47D50912"/>
    <w:rsid w:val="47D6DC10"/>
    <w:rsid w:val="47DA1246"/>
    <w:rsid w:val="47DA5BAE"/>
    <w:rsid w:val="47E25DB9"/>
    <w:rsid w:val="47E33FD4"/>
    <w:rsid w:val="47E5A791"/>
    <w:rsid w:val="47E68E3E"/>
    <w:rsid w:val="47E7A6CE"/>
    <w:rsid w:val="47E7F284"/>
    <w:rsid w:val="47F67EB9"/>
    <w:rsid w:val="47F7EB11"/>
    <w:rsid w:val="47FA8DC2"/>
    <w:rsid w:val="47FC6999"/>
    <w:rsid w:val="47FD8FC7"/>
    <w:rsid w:val="47FE25F5"/>
    <w:rsid w:val="4808EC74"/>
    <w:rsid w:val="48109018"/>
    <w:rsid w:val="4812BDAA"/>
    <w:rsid w:val="4816DEDF"/>
    <w:rsid w:val="4819A9C4"/>
    <w:rsid w:val="481DE2F4"/>
    <w:rsid w:val="481E6074"/>
    <w:rsid w:val="481FF61A"/>
    <w:rsid w:val="48289778"/>
    <w:rsid w:val="482A21BF"/>
    <w:rsid w:val="482AF4C5"/>
    <w:rsid w:val="482DC00B"/>
    <w:rsid w:val="48345590"/>
    <w:rsid w:val="4834AE3D"/>
    <w:rsid w:val="4834B75E"/>
    <w:rsid w:val="48384D84"/>
    <w:rsid w:val="484146EE"/>
    <w:rsid w:val="48419C1F"/>
    <w:rsid w:val="4841BE6D"/>
    <w:rsid w:val="4848FA2D"/>
    <w:rsid w:val="48511D69"/>
    <w:rsid w:val="48561497"/>
    <w:rsid w:val="485D978D"/>
    <w:rsid w:val="4869A059"/>
    <w:rsid w:val="486BDF3E"/>
    <w:rsid w:val="486F6BA9"/>
    <w:rsid w:val="4870E4FC"/>
    <w:rsid w:val="4878F8B2"/>
    <w:rsid w:val="487D3467"/>
    <w:rsid w:val="487D39D4"/>
    <w:rsid w:val="4880F4B9"/>
    <w:rsid w:val="4886B246"/>
    <w:rsid w:val="48904BF4"/>
    <w:rsid w:val="489600AF"/>
    <w:rsid w:val="4896E666"/>
    <w:rsid w:val="489759AC"/>
    <w:rsid w:val="48981889"/>
    <w:rsid w:val="48994E56"/>
    <w:rsid w:val="489D2802"/>
    <w:rsid w:val="489FDD78"/>
    <w:rsid w:val="48A46D5F"/>
    <w:rsid w:val="48A4833F"/>
    <w:rsid w:val="48B01710"/>
    <w:rsid w:val="48B190B4"/>
    <w:rsid w:val="48B55EFB"/>
    <w:rsid w:val="48B690FB"/>
    <w:rsid w:val="48BACE5B"/>
    <w:rsid w:val="48BC1F04"/>
    <w:rsid w:val="48C41D3C"/>
    <w:rsid w:val="48CBF8A4"/>
    <w:rsid w:val="48CC50F6"/>
    <w:rsid w:val="48CE82C4"/>
    <w:rsid w:val="48D0634D"/>
    <w:rsid w:val="48D1AA80"/>
    <w:rsid w:val="48D74030"/>
    <w:rsid w:val="48D75378"/>
    <w:rsid w:val="48DE1A10"/>
    <w:rsid w:val="48E99C50"/>
    <w:rsid w:val="48EA5C43"/>
    <w:rsid w:val="48F463A7"/>
    <w:rsid w:val="48F4B6A8"/>
    <w:rsid w:val="48F68E08"/>
    <w:rsid w:val="48F6EEB1"/>
    <w:rsid w:val="48F9B4A3"/>
    <w:rsid w:val="48FD7B2E"/>
    <w:rsid w:val="48FF5BC8"/>
    <w:rsid w:val="4903EBD6"/>
    <w:rsid w:val="4907D732"/>
    <w:rsid w:val="4908EE8E"/>
    <w:rsid w:val="490902F8"/>
    <w:rsid w:val="4914DF3C"/>
    <w:rsid w:val="4916D929"/>
    <w:rsid w:val="491A10F4"/>
    <w:rsid w:val="491A4B14"/>
    <w:rsid w:val="492758B0"/>
    <w:rsid w:val="492A950A"/>
    <w:rsid w:val="492C3A5D"/>
    <w:rsid w:val="492C67E6"/>
    <w:rsid w:val="492C688D"/>
    <w:rsid w:val="492E4874"/>
    <w:rsid w:val="492FEE16"/>
    <w:rsid w:val="493134EC"/>
    <w:rsid w:val="49346879"/>
    <w:rsid w:val="493C05BA"/>
    <w:rsid w:val="493FADBB"/>
    <w:rsid w:val="4941C610"/>
    <w:rsid w:val="49456BD3"/>
    <w:rsid w:val="494DC8AC"/>
    <w:rsid w:val="495015C7"/>
    <w:rsid w:val="4950D9E9"/>
    <w:rsid w:val="4955F3AF"/>
    <w:rsid w:val="4957924A"/>
    <w:rsid w:val="4959D0E6"/>
    <w:rsid w:val="495E6F56"/>
    <w:rsid w:val="49603EE8"/>
    <w:rsid w:val="49613A98"/>
    <w:rsid w:val="49621AAA"/>
    <w:rsid w:val="4964C504"/>
    <w:rsid w:val="4974FA1E"/>
    <w:rsid w:val="49761F0C"/>
    <w:rsid w:val="4976C7D4"/>
    <w:rsid w:val="4978F815"/>
    <w:rsid w:val="497AEF50"/>
    <w:rsid w:val="497D1E84"/>
    <w:rsid w:val="4981BBA0"/>
    <w:rsid w:val="49880D44"/>
    <w:rsid w:val="49882546"/>
    <w:rsid w:val="498D231C"/>
    <w:rsid w:val="49905142"/>
    <w:rsid w:val="4995F441"/>
    <w:rsid w:val="4996F1E1"/>
    <w:rsid w:val="4998AB04"/>
    <w:rsid w:val="499902CF"/>
    <w:rsid w:val="49A062B2"/>
    <w:rsid w:val="49A07CA3"/>
    <w:rsid w:val="49A0FBDF"/>
    <w:rsid w:val="49A4C1DB"/>
    <w:rsid w:val="49AC587D"/>
    <w:rsid w:val="49B0DE63"/>
    <w:rsid w:val="49B135FD"/>
    <w:rsid w:val="49B6080B"/>
    <w:rsid w:val="49B77BA8"/>
    <w:rsid w:val="49B78405"/>
    <w:rsid w:val="49B940D6"/>
    <w:rsid w:val="49BB2CEB"/>
    <w:rsid w:val="49C02DE9"/>
    <w:rsid w:val="49C3A960"/>
    <w:rsid w:val="49C4B3FE"/>
    <w:rsid w:val="49C68A18"/>
    <w:rsid w:val="49CB4937"/>
    <w:rsid w:val="49D60526"/>
    <w:rsid w:val="49D8B35C"/>
    <w:rsid w:val="49DBABEA"/>
    <w:rsid w:val="49DD66AD"/>
    <w:rsid w:val="49DD8ECE"/>
    <w:rsid w:val="49DDFE17"/>
    <w:rsid w:val="49E57ADC"/>
    <w:rsid w:val="49E90991"/>
    <w:rsid w:val="49EBB81F"/>
    <w:rsid w:val="49ED1559"/>
    <w:rsid w:val="49F0D419"/>
    <w:rsid w:val="49F0E3E9"/>
    <w:rsid w:val="49F0EAE5"/>
    <w:rsid w:val="49F5B211"/>
    <w:rsid w:val="4A0AF4DF"/>
    <w:rsid w:val="4A0ECDCD"/>
    <w:rsid w:val="4A10F501"/>
    <w:rsid w:val="4A12627B"/>
    <w:rsid w:val="4A12815A"/>
    <w:rsid w:val="4A18098B"/>
    <w:rsid w:val="4A193017"/>
    <w:rsid w:val="4A1AB371"/>
    <w:rsid w:val="4A1AB63C"/>
    <w:rsid w:val="4A1E0E0D"/>
    <w:rsid w:val="4A1E66E1"/>
    <w:rsid w:val="4A1F33C6"/>
    <w:rsid w:val="4A21024F"/>
    <w:rsid w:val="4A2590CD"/>
    <w:rsid w:val="4A260132"/>
    <w:rsid w:val="4A320FC6"/>
    <w:rsid w:val="4A32FEE6"/>
    <w:rsid w:val="4A391C83"/>
    <w:rsid w:val="4A392553"/>
    <w:rsid w:val="4A3B9BCC"/>
    <w:rsid w:val="4A3BD515"/>
    <w:rsid w:val="4A3D6C01"/>
    <w:rsid w:val="4A3E3CED"/>
    <w:rsid w:val="4A5082BC"/>
    <w:rsid w:val="4A51776E"/>
    <w:rsid w:val="4A5188FA"/>
    <w:rsid w:val="4A532797"/>
    <w:rsid w:val="4A562B90"/>
    <w:rsid w:val="4A57EE8C"/>
    <w:rsid w:val="4A5B9BA1"/>
    <w:rsid w:val="4A6121C7"/>
    <w:rsid w:val="4A6320E9"/>
    <w:rsid w:val="4A67F4CC"/>
    <w:rsid w:val="4A69DD8E"/>
    <w:rsid w:val="4A6A3F06"/>
    <w:rsid w:val="4A6E172C"/>
    <w:rsid w:val="4A711618"/>
    <w:rsid w:val="4A7592F6"/>
    <w:rsid w:val="4A777DB8"/>
    <w:rsid w:val="4A7A7895"/>
    <w:rsid w:val="4A7FB8A6"/>
    <w:rsid w:val="4A81E51E"/>
    <w:rsid w:val="4A834ADA"/>
    <w:rsid w:val="4A841D3A"/>
    <w:rsid w:val="4A90F9BF"/>
    <w:rsid w:val="4A912DE8"/>
    <w:rsid w:val="4A962755"/>
    <w:rsid w:val="4A979CDD"/>
    <w:rsid w:val="4A98FF32"/>
    <w:rsid w:val="4A99F503"/>
    <w:rsid w:val="4AA20CA7"/>
    <w:rsid w:val="4AA38265"/>
    <w:rsid w:val="4AACDB9A"/>
    <w:rsid w:val="4AB167BF"/>
    <w:rsid w:val="4AB45E22"/>
    <w:rsid w:val="4AB54ADF"/>
    <w:rsid w:val="4AB8B375"/>
    <w:rsid w:val="4AC62224"/>
    <w:rsid w:val="4AC6E98D"/>
    <w:rsid w:val="4AC811FF"/>
    <w:rsid w:val="4ACEE487"/>
    <w:rsid w:val="4AD19A9E"/>
    <w:rsid w:val="4AD55DB2"/>
    <w:rsid w:val="4AD6BDB7"/>
    <w:rsid w:val="4AD9042C"/>
    <w:rsid w:val="4AD9FD36"/>
    <w:rsid w:val="4AE475FC"/>
    <w:rsid w:val="4AE885C5"/>
    <w:rsid w:val="4AEA1A31"/>
    <w:rsid w:val="4AEA7468"/>
    <w:rsid w:val="4AF04ED0"/>
    <w:rsid w:val="4AF05470"/>
    <w:rsid w:val="4AF52701"/>
    <w:rsid w:val="4B064480"/>
    <w:rsid w:val="4B10A984"/>
    <w:rsid w:val="4B127366"/>
    <w:rsid w:val="4B16B0F9"/>
    <w:rsid w:val="4B176698"/>
    <w:rsid w:val="4B213DF0"/>
    <w:rsid w:val="4B259053"/>
    <w:rsid w:val="4B30D5A3"/>
    <w:rsid w:val="4B333AC4"/>
    <w:rsid w:val="4B34F33C"/>
    <w:rsid w:val="4B43496C"/>
    <w:rsid w:val="4B457AAC"/>
    <w:rsid w:val="4B48B3F5"/>
    <w:rsid w:val="4B529BF3"/>
    <w:rsid w:val="4B5C634D"/>
    <w:rsid w:val="4B5CA1CD"/>
    <w:rsid w:val="4B620295"/>
    <w:rsid w:val="4B65851F"/>
    <w:rsid w:val="4B6D1F34"/>
    <w:rsid w:val="4B6E8E2F"/>
    <w:rsid w:val="4B71125D"/>
    <w:rsid w:val="4B71F429"/>
    <w:rsid w:val="4B74F224"/>
    <w:rsid w:val="4B88FAFC"/>
    <w:rsid w:val="4B89AFC1"/>
    <w:rsid w:val="4B89BBC5"/>
    <w:rsid w:val="4B8C1AF3"/>
    <w:rsid w:val="4B8F7965"/>
    <w:rsid w:val="4B9439FC"/>
    <w:rsid w:val="4B948D03"/>
    <w:rsid w:val="4B9888F5"/>
    <w:rsid w:val="4B9B1BE3"/>
    <w:rsid w:val="4B9E32B0"/>
    <w:rsid w:val="4B9EE79F"/>
    <w:rsid w:val="4BAFB900"/>
    <w:rsid w:val="4BB9C12D"/>
    <w:rsid w:val="4BBBBCA0"/>
    <w:rsid w:val="4BBF1662"/>
    <w:rsid w:val="4BC0C53F"/>
    <w:rsid w:val="4BC34A6A"/>
    <w:rsid w:val="4BC61948"/>
    <w:rsid w:val="4BCA7616"/>
    <w:rsid w:val="4BCD2C84"/>
    <w:rsid w:val="4BD01AC1"/>
    <w:rsid w:val="4BD47C4D"/>
    <w:rsid w:val="4BDFF7A4"/>
    <w:rsid w:val="4BE7CD1C"/>
    <w:rsid w:val="4BEA2FE4"/>
    <w:rsid w:val="4BF2189C"/>
    <w:rsid w:val="4BFD5356"/>
    <w:rsid w:val="4BFDA9B1"/>
    <w:rsid w:val="4BFF319B"/>
    <w:rsid w:val="4BFF4D1E"/>
    <w:rsid w:val="4C0628BF"/>
    <w:rsid w:val="4C0A4A5D"/>
    <w:rsid w:val="4C102A82"/>
    <w:rsid w:val="4C135AA9"/>
    <w:rsid w:val="4C1538F7"/>
    <w:rsid w:val="4C1A4D3F"/>
    <w:rsid w:val="4C1E8834"/>
    <w:rsid w:val="4C38F40A"/>
    <w:rsid w:val="4C3D4019"/>
    <w:rsid w:val="4C4F9FA1"/>
    <w:rsid w:val="4C52AAA0"/>
    <w:rsid w:val="4C60CDDE"/>
    <w:rsid w:val="4C60E58A"/>
    <w:rsid w:val="4C679DC2"/>
    <w:rsid w:val="4C6B3341"/>
    <w:rsid w:val="4C740490"/>
    <w:rsid w:val="4C78D147"/>
    <w:rsid w:val="4C79BC0A"/>
    <w:rsid w:val="4C7DD03A"/>
    <w:rsid w:val="4C830EC6"/>
    <w:rsid w:val="4C8841C7"/>
    <w:rsid w:val="4C8B5E0C"/>
    <w:rsid w:val="4C8C0893"/>
    <w:rsid w:val="4C8CE258"/>
    <w:rsid w:val="4C8E762A"/>
    <w:rsid w:val="4C8FE635"/>
    <w:rsid w:val="4C90ABF2"/>
    <w:rsid w:val="4C90AFB2"/>
    <w:rsid w:val="4C928E18"/>
    <w:rsid w:val="4C94945F"/>
    <w:rsid w:val="4C97386A"/>
    <w:rsid w:val="4C98D5F8"/>
    <w:rsid w:val="4C9A1EE8"/>
    <w:rsid w:val="4C9EBEDA"/>
    <w:rsid w:val="4CA6A84C"/>
    <w:rsid w:val="4CA6F2D7"/>
    <w:rsid w:val="4CAA2294"/>
    <w:rsid w:val="4CAFCA11"/>
    <w:rsid w:val="4CB068E8"/>
    <w:rsid w:val="4CB270CB"/>
    <w:rsid w:val="4CB42B48"/>
    <w:rsid w:val="4CB47814"/>
    <w:rsid w:val="4CB96544"/>
    <w:rsid w:val="4CBB4DCE"/>
    <w:rsid w:val="4CBEF315"/>
    <w:rsid w:val="4CC2E646"/>
    <w:rsid w:val="4CC42E50"/>
    <w:rsid w:val="4CC491A6"/>
    <w:rsid w:val="4CC587D8"/>
    <w:rsid w:val="4CC59E29"/>
    <w:rsid w:val="4CCA05FE"/>
    <w:rsid w:val="4CCA59DE"/>
    <w:rsid w:val="4CD04B36"/>
    <w:rsid w:val="4CDBFE53"/>
    <w:rsid w:val="4CE5F5CA"/>
    <w:rsid w:val="4CE79ED6"/>
    <w:rsid w:val="4CEA8DEF"/>
    <w:rsid w:val="4CF30F72"/>
    <w:rsid w:val="4CF62426"/>
    <w:rsid w:val="4D010913"/>
    <w:rsid w:val="4D034CF8"/>
    <w:rsid w:val="4D07770C"/>
    <w:rsid w:val="4D0933C5"/>
    <w:rsid w:val="4D09458D"/>
    <w:rsid w:val="4D0A792E"/>
    <w:rsid w:val="4D0B1F95"/>
    <w:rsid w:val="4D0C35B2"/>
    <w:rsid w:val="4D0EF2EE"/>
    <w:rsid w:val="4D12D508"/>
    <w:rsid w:val="4D18A0F3"/>
    <w:rsid w:val="4D1CE144"/>
    <w:rsid w:val="4D1E7EB0"/>
    <w:rsid w:val="4D20AB88"/>
    <w:rsid w:val="4D21F0BD"/>
    <w:rsid w:val="4D2332A7"/>
    <w:rsid w:val="4D237345"/>
    <w:rsid w:val="4D2557C0"/>
    <w:rsid w:val="4D32629A"/>
    <w:rsid w:val="4D32B7B7"/>
    <w:rsid w:val="4D3BBEC8"/>
    <w:rsid w:val="4D3F8A4A"/>
    <w:rsid w:val="4D4027C4"/>
    <w:rsid w:val="4D49A9A6"/>
    <w:rsid w:val="4D4BAEBD"/>
    <w:rsid w:val="4D4BFE1D"/>
    <w:rsid w:val="4D4D2C3F"/>
    <w:rsid w:val="4D4DF4E0"/>
    <w:rsid w:val="4D531327"/>
    <w:rsid w:val="4D5A5C2E"/>
    <w:rsid w:val="4D5B3F21"/>
    <w:rsid w:val="4D5C0A06"/>
    <w:rsid w:val="4D5CAF13"/>
    <w:rsid w:val="4D620E00"/>
    <w:rsid w:val="4D64FBBD"/>
    <w:rsid w:val="4D655418"/>
    <w:rsid w:val="4D6F01B3"/>
    <w:rsid w:val="4D72CFA4"/>
    <w:rsid w:val="4D735F7A"/>
    <w:rsid w:val="4D7800A5"/>
    <w:rsid w:val="4D7A6253"/>
    <w:rsid w:val="4D7E010B"/>
    <w:rsid w:val="4D7EA520"/>
    <w:rsid w:val="4D81F3B9"/>
    <w:rsid w:val="4D83CB54"/>
    <w:rsid w:val="4D866D79"/>
    <w:rsid w:val="4D8C9556"/>
    <w:rsid w:val="4D8E8C37"/>
    <w:rsid w:val="4D926476"/>
    <w:rsid w:val="4D98D233"/>
    <w:rsid w:val="4DA8353A"/>
    <w:rsid w:val="4DAC535B"/>
    <w:rsid w:val="4DB04D8B"/>
    <w:rsid w:val="4DB1289A"/>
    <w:rsid w:val="4DB2EA04"/>
    <w:rsid w:val="4DB77E16"/>
    <w:rsid w:val="4DBCAEBC"/>
    <w:rsid w:val="4DC26953"/>
    <w:rsid w:val="4DC28D4B"/>
    <w:rsid w:val="4DC57D3D"/>
    <w:rsid w:val="4DC7CD9E"/>
    <w:rsid w:val="4DC86712"/>
    <w:rsid w:val="4DC930EF"/>
    <w:rsid w:val="4DCF2533"/>
    <w:rsid w:val="4DCF55DD"/>
    <w:rsid w:val="4DCF875E"/>
    <w:rsid w:val="4DD2A38C"/>
    <w:rsid w:val="4DD308F8"/>
    <w:rsid w:val="4DD50256"/>
    <w:rsid w:val="4DD8C219"/>
    <w:rsid w:val="4DDD0564"/>
    <w:rsid w:val="4DE05A17"/>
    <w:rsid w:val="4DE9F3BC"/>
    <w:rsid w:val="4DEB279B"/>
    <w:rsid w:val="4DF09E94"/>
    <w:rsid w:val="4DF1EF70"/>
    <w:rsid w:val="4DF61660"/>
    <w:rsid w:val="4DF74977"/>
    <w:rsid w:val="4DF92A4D"/>
    <w:rsid w:val="4DFB0FF9"/>
    <w:rsid w:val="4DFDBF4E"/>
    <w:rsid w:val="4E0306BA"/>
    <w:rsid w:val="4E0C3A5D"/>
    <w:rsid w:val="4E0DFDCE"/>
    <w:rsid w:val="4E1777DC"/>
    <w:rsid w:val="4E19806F"/>
    <w:rsid w:val="4E1CDAD4"/>
    <w:rsid w:val="4E1FF626"/>
    <w:rsid w:val="4E23D32A"/>
    <w:rsid w:val="4E25560F"/>
    <w:rsid w:val="4E263393"/>
    <w:rsid w:val="4E270597"/>
    <w:rsid w:val="4E2A4262"/>
    <w:rsid w:val="4E2F11DB"/>
    <w:rsid w:val="4E302A2B"/>
    <w:rsid w:val="4E32FD1D"/>
    <w:rsid w:val="4E36835F"/>
    <w:rsid w:val="4E37FC1D"/>
    <w:rsid w:val="4E3D01B5"/>
    <w:rsid w:val="4E3EA817"/>
    <w:rsid w:val="4E3F7504"/>
    <w:rsid w:val="4E4EDD36"/>
    <w:rsid w:val="4E522FBE"/>
    <w:rsid w:val="4E5364A8"/>
    <w:rsid w:val="4E54C02D"/>
    <w:rsid w:val="4E5A9F63"/>
    <w:rsid w:val="4E6118B4"/>
    <w:rsid w:val="4E6522DB"/>
    <w:rsid w:val="4E6E6396"/>
    <w:rsid w:val="4E765A9E"/>
    <w:rsid w:val="4E770880"/>
    <w:rsid w:val="4E77C825"/>
    <w:rsid w:val="4E80E162"/>
    <w:rsid w:val="4E829D86"/>
    <w:rsid w:val="4E8BD4A3"/>
    <w:rsid w:val="4E8C9B18"/>
    <w:rsid w:val="4E8E0C8D"/>
    <w:rsid w:val="4E8E35F2"/>
    <w:rsid w:val="4E930521"/>
    <w:rsid w:val="4E948F37"/>
    <w:rsid w:val="4E97FE90"/>
    <w:rsid w:val="4E9A5048"/>
    <w:rsid w:val="4E9B9470"/>
    <w:rsid w:val="4E9CC4D3"/>
    <w:rsid w:val="4EA17E55"/>
    <w:rsid w:val="4EA1ED00"/>
    <w:rsid w:val="4EA293E0"/>
    <w:rsid w:val="4EA7D925"/>
    <w:rsid w:val="4EA7E660"/>
    <w:rsid w:val="4EA7EAFC"/>
    <w:rsid w:val="4EAD4AC6"/>
    <w:rsid w:val="4EB08825"/>
    <w:rsid w:val="4EB0BB24"/>
    <w:rsid w:val="4EB5684D"/>
    <w:rsid w:val="4EB9253C"/>
    <w:rsid w:val="4EBD3F06"/>
    <w:rsid w:val="4EBE8F55"/>
    <w:rsid w:val="4ECAC2A7"/>
    <w:rsid w:val="4ECEA6C8"/>
    <w:rsid w:val="4ECF2C4B"/>
    <w:rsid w:val="4ED01B5C"/>
    <w:rsid w:val="4ED24E24"/>
    <w:rsid w:val="4ED965B4"/>
    <w:rsid w:val="4EDC7509"/>
    <w:rsid w:val="4EE00AE3"/>
    <w:rsid w:val="4EE42657"/>
    <w:rsid w:val="4EE5DA54"/>
    <w:rsid w:val="4EEBB182"/>
    <w:rsid w:val="4EEC0DAE"/>
    <w:rsid w:val="4EF5B97C"/>
    <w:rsid w:val="4EFB7785"/>
    <w:rsid w:val="4EFCEEA7"/>
    <w:rsid w:val="4F020DE3"/>
    <w:rsid w:val="4F04F5B8"/>
    <w:rsid w:val="4F05A973"/>
    <w:rsid w:val="4F109CD8"/>
    <w:rsid w:val="4F11E9B6"/>
    <w:rsid w:val="4F1241B0"/>
    <w:rsid w:val="4F139CDF"/>
    <w:rsid w:val="4F1B2F91"/>
    <w:rsid w:val="4F1D59C8"/>
    <w:rsid w:val="4F1E8EDE"/>
    <w:rsid w:val="4F22E3C4"/>
    <w:rsid w:val="4F2956E7"/>
    <w:rsid w:val="4F2EE6C2"/>
    <w:rsid w:val="4F305C70"/>
    <w:rsid w:val="4F344A51"/>
    <w:rsid w:val="4F364F6D"/>
    <w:rsid w:val="4F373A1E"/>
    <w:rsid w:val="4F3A520D"/>
    <w:rsid w:val="4F3B108D"/>
    <w:rsid w:val="4F3F9802"/>
    <w:rsid w:val="4F4412BA"/>
    <w:rsid w:val="4F478A44"/>
    <w:rsid w:val="4F48B934"/>
    <w:rsid w:val="4F4A01DB"/>
    <w:rsid w:val="4F4E73BE"/>
    <w:rsid w:val="4F516052"/>
    <w:rsid w:val="4F528EE0"/>
    <w:rsid w:val="4F560216"/>
    <w:rsid w:val="4F5CF885"/>
    <w:rsid w:val="4F6046CA"/>
    <w:rsid w:val="4F615ECB"/>
    <w:rsid w:val="4F64EBE6"/>
    <w:rsid w:val="4F6FF9EE"/>
    <w:rsid w:val="4F7387E3"/>
    <w:rsid w:val="4F748410"/>
    <w:rsid w:val="4F82DD31"/>
    <w:rsid w:val="4F830535"/>
    <w:rsid w:val="4F83BA53"/>
    <w:rsid w:val="4F866757"/>
    <w:rsid w:val="4F8CA166"/>
    <w:rsid w:val="4F8D049C"/>
    <w:rsid w:val="4F8E2345"/>
    <w:rsid w:val="4F8F496C"/>
    <w:rsid w:val="4F91B102"/>
    <w:rsid w:val="4F9711AC"/>
    <w:rsid w:val="4FA26868"/>
    <w:rsid w:val="4FA78F57"/>
    <w:rsid w:val="4FAA434B"/>
    <w:rsid w:val="4FAC17E0"/>
    <w:rsid w:val="4FAD51B8"/>
    <w:rsid w:val="4FAF3B39"/>
    <w:rsid w:val="4FAF3BD6"/>
    <w:rsid w:val="4FAF4D07"/>
    <w:rsid w:val="4FB4DD26"/>
    <w:rsid w:val="4FB85653"/>
    <w:rsid w:val="4FBD18A0"/>
    <w:rsid w:val="4FBE736E"/>
    <w:rsid w:val="4FC831A7"/>
    <w:rsid w:val="4FD351FB"/>
    <w:rsid w:val="4FD373DB"/>
    <w:rsid w:val="4FDBCE3B"/>
    <w:rsid w:val="4FDC7E9E"/>
    <w:rsid w:val="4FDFCC3C"/>
    <w:rsid w:val="4FE66283"/>
    <w:rsid w:val="4FEE5CAB"/>
    <w:rsid w:val="4FEF9972"/>
    <w:rsid w:val="4FF15728"/>
    <w:rsid w:val="4FF1D1BA"/>
    <w:rsid w:val="4FF4D80C"/>
    <w:rsid w:val="4FF6EE0E"/>
    <w:rsid w:val="4FF996F1"/>
    <w:rsid w:val="4FFC6D3D"/>
    <w:rsid w:val="4FFE4AA6"/>
    <w:rsid w:val="4FFF6ECB"/>
    <w:rsid w:val="50000285"/>
    <w:rsid w:val="50006D49"/>
    <w:rsid w:val="5000AB0D"/>
    <w:rsid w:val="5001774D"/>
    <w:rsid w:val="5002692F"/>
    <w:rsid w:val="5005D64A"/>
    <w:rsid w:val="500A8677"/>
    <w:rsid w:val="500E353F"/>
    <w:rsid w:val="500E3F0C"/>
    <w:rsid w:val="500E8B1C"/>
    <w:rsid w:val="501014CE"/>
    <w:rsid w:val="5011EB46"/>
    <w:rsid w:val="5014AD1A"/>
    <w:rsid w:val="50194FC8"/>
    <w:rsid w:val="501A6015"/>
    <w:rsid w:val="501C4C6E"/>
    <w:rsid w:val="5022D388"/>
    <w:rsid w:val="502D2295"/>
    <w:rsid w:val="502E1080"/>
    <w:rsid w:val="502EDD43"/>
    <w:rsid w:val="502EEBB1"/>
    <w:rsid w:val="5033E2D5"/>
    <w:rsid w:val="50388AC4"/>
    <w:rsid w:val="503A5BB0"/>
    <w:rsid w:val="503BE163"/>
    <w:rsid w:val="503E8750"/>
    <w:rsid w:val="5051D134"/>
    <w:rsid w:val="5051D191"/>
    <w:rsid w:val="5056E8F3"/>
    <w:rsid w:val="505C73DB"/>
    <w:rsid w:val="505DE92D"/>
    <w:rsid w:val="505E794A"/>
    <w:rsid w:val="50625CBA"/>
    <w:rsid w:val="5062ED25"/>
    <w:rsid w:val="50645859"/>
    <w:rsid w:val="5066EDBB"/>
    <w:rsid w:val="5067CED5"/>
    <w:rsid w:val="506CFB92"/>
    <w:rsid w:val="5074209C"/>
    <w:rsid w:val="507FB278"/>
    <w:rsid w:val="507FDB41"/>
    <w:rsid w:val="508063DE"/>
    <w:rsid w:val="5085502A"/>
    <w:rsid w:val="508BBB64"/>
    <w:rsid w:val="508CB26D"/>
    <w:rsid w:val="5095B284"/>
    <w:rsid w:val="509A27A6"/>
    <w:rsid w:val="509A4B6D"/>
    <w:rsid w:val="509EC6A5"/>
    <w:rsid w:val="50A2AC43"/>
    <w:rsid w:val="50A36A9F"/>
    <w:rsid w:val="50A81EDC"/>
    <w:rsid w:val="50AF886C"/>
    <w:rsid w:val="50B62A52"/>
    <w:rsid w:val="50B86698"/>
    <w:rsid w:val="50B8AC87"/>
    <w:rsid w:val="50BAA698"/>
    <w:rsid w:val="50BF4E95"/>
    <w:rsid w:val="50C4B3E3"/>
    <w:rsid w:val="50C7E023"/>
    <w:rsid w:val="50C861BE"/>
    <w:rsid w:val="50C8C9F8"/>
    <w:rsid w:val="50D21846"/>
    <w:rsid w:val="50D69F70"/>
    <w:rsid w:val="50D9D22B"/>
    <w:rsid w:val="50DA9CAE"/>
    <w:rsid w:val="50DB31E6"/>
    <w:rsid w:val="50DDC66D"/>
    <w:rsid w:val="50DF07C9"/>
    <w:rsid w:val="50DF3020"/>
    <w:rsid w:val="50E41569"/>
    <w:rsid w:val="50E6D322"/>
    <w:rsid w:val="50F079EE"/>
    <w:rsid w:val="50F2DC65"/>
    <w:rsid w:val="50F5EAC2"/>
    <w:rsid w:val="50F71DFF"/>
    <w:rsid w:val="50F9DB40"/>
    <w:rsid w:val="50F9FD84"/>
    <w:rsid w:val="50FEAA7F"/>
    <w:rsid w:val="50FEE9AC"/>
    <w:rsid w:val="5102F1F9"/>
    <w:rsid w:val="5108DF53"/>
    <w:rsid w:val="510A3CF8"/>
    <w:rsid w:val="510AE953"/>
    <w:rsid w:val="510B77BE"/>
    <w:rsid w:val="510B7CEA"/>
    <w:rsid w:val="510F61E2"/>
    <w:rsid w:val="5116E40E"/>
    <w:rsid w:val="5117F72D"/>
    <w:rsid w:val="511B42CC"/>
    <w:rsid w:val="511B6D54"/>
    <w:rsid w:val="511CF44A"/>
    <w:rsid w:val="511DE9D2"/>
    <w:rsid w:val="511EA873"/>
    <w:rsid w:val="5127F050"/>
    <w:rsid w:val="512FF9A4"/>
    <w:rsid w:val="5135CEDF"/>
    <w:rsid w:val="5139963D"/>
    <w:rsid w:val="5145F928"/>
    <w:rsid w:val="5149CE59"/>
    <w:rsid w:val="514B2C93"/>
    <w:rsid w:val="514DC2BA"/>
    <w:rsid w:val="51505F58"/>
    <w:rsid w:val="515B558E"/>
    <w:rsid w:val="516D4DF7"/>
    <w:rsid w:val="51705729"/>
    <w:rsid w:val="5172053A"/>
    <w:rsid w:val="5175BDB8"/>
    <w:rsid w:val="517AF672"/>
    <w:rsid w:val="5180A69E"/>
    <w:rsid w:val="5180DBC3"/>
    <w:rsid w:val="518179AE"/>
    <w:rsid w:val="51836DB4"/>
    <w:rsid w:val="5189941C"/>
    <w:rsid w:val="518DBC61"/>
    <w:rsid w:val="5191135C"/>
    <w:rsid w:val="51928E5A"/>
    <w:rsid w:val="519C2006"/>
    <w:rsid w:val="51A3E0AD"/>
    <w:rsid w:val="51A3F3A4"/>
    <w:rsid w:val="51A4A214"/>
    <w:rsid w:val="51A7D231"/>
    <w:rsid w:val="51A98380"/>
    <w:rsid w:val="51A9D086"/>
    <w:rsid w:val="51AA89DF"/>
    <w:rsid w:val="51AA991C"/>
    <w:rsid w:val="51AAD881"/>
    <w:rsid w:val="51ACEFF6"/>
    <w:rsid w:val="51B5C38F"/>
    <w:rsid w:val="51BF15FB"/>
    <w:rsid w:val="51C22E4F"/>
    <w:rsid w:val="51C34BF2"/>
    <w:rsid w:val="51C7C029"/>
    <w:rsid w:val="51C9F045"/>
    <w:rsid w:val="51CA3141"/>
    <w:rsid w:val="51CB5EEF"/>
    <w:rsid w:val="51D0C4A4"/>
    <w:rsid w:val="51D42803"/>
    <w:rsid w:val="51D87168"/>
    <w:rsid w:val="51DB1F3F"/>
    <w:rsid w:val="51E01059"/>
    <w:rsid w:val="51EAC010"/>
    <w:rsid w:val="51F0E3D3"/>
    <w:rsid w:val="51F136A9"/>
    <w:rsid w:val="51F6C7E0"/>
    <w:rsid w:val="51F934B5"/>
    <w:rsid w:val="51FEB13E"/>
    <w:rsid w:val="5200D70E"/>
    <w:rsid w:val="5203E62F"/>
    <w:rsid w:val="520B1FA7"/>
    <w:rsid w:val="52100CE6"/>
    <w:rsid w:val="5211A083"/>
    <w:rsid w:val="52161BC7"/>
    <w:rsid w:val="521B6740"/>
    <w:rsid w:val="521BCBDB"/>
    <w:rsid w:val="52223D6B"/>
    <w:rsid w:val="5225E445"/>
    <w:rsid w:val="52364C1B"/>
    <w:rsid w:val="52366CAA"/>
    <w:rsid w:val="52382F7A"/>
    <w:rsid w:val="5239B286"/>
    <w:rsid w:val="523CDA5C"/>
    <w:rsid w:val="52452E2B"/>
    <w:rsid w:val="524C61AA"/>
    <w:rsid w:val="524C786C"/>
    <w:rsid w:val="524C7F12"/>
    <w:rsid w:val="524D545C"/>
    <w:rsid w:val="524F765E"/>
    <w:rsid w:val="52554ED8"/>
    <w:rsid w:val="5256FBFC"/>
    <w:rsid w:val="525D5C07"/>
    <w:rsid w:val="5265C25A"/>
    <w:rsid w:val="5265C83A"/>
    <w:rsid w:val="52689848"/>
    <w:rsid w:val="526CF4FF"/>
    <w:rsid w:val="526E55D1"/>
    <w:rsid w:val="526ED9BE"/>
    <w:rsid w:val="52720711"/>
    <w:rsid w:val="5273F8E8"/>
    <w:rsid w:val="527795EA"/>
    <w:rsid w:val="52833039"/>
    <w:rsid w:val="528BDF1D"/>
    <w:rsid w:val="52900FED"/>
    <w:rsid w:val="52936192"/>
    <w:rsid w:val="529444FF"/>
    <w:rsid w:val="5296104B"/>
    <w:rsid w:val="5297A1BC"/>
    <w:rsid w:val="529B3AB8"/>
    <w:rsid w:val="52A2239D"/>
    <w:rsid w:val="52AE2475"/>
    <w:rsid w:val="52AE463C"/>
    <w:rsid w:val="52B4E369"/>
    <w:rsid w:val="52B5844B"/>
    <w:rsid w:val="52B65CF5"/>
    <w:rsid w:val="52B6C62F"/>
    <w:rsid w:val="52BBE5A8"/>
    <w:rsid w:val="52C16656"/>
    <w:rsid w:val="52C42F84"/>
    <w:rsid w:val="52C5FF38"/>
    <w:rsid w:val="52C9A0B1"/>
    <w:rsid w:val="52D2D898"/>
    <w:rsid w:val="52D4D2B0"/>
    <w:rsid w:val="52D6C538"/>
    <w:rsid w:val="52D91F51"/>
    <w:rsid w:val="52D9920F"/>
    <w:rsid w:val="52DC711A"/>
    <w:rsid w:val="52DED332"/>
    <w:rsid w:val="52E508AC"/>
    <w:rsid w:val="52E70694"/>
    <w:rsid w:val="52F19CCF"/>
    <w:rsid w:val="52F26D6B"/>
    <w:rsid w:val="52F5AE17"/>
    <w:rsid w:val="52F77A6F"/>
    <w:rsid w:val="53035AB1"/>
    <w:rsid w:val="53050509"/>
    <w:rsid w:val="530A6107"/>
    <w:rsid w:val="530FE89D"/>
    <w:rsid w:val="53100542"/>
    <w:rsid w:val="53110627"/>
    <w:rsid w:val="53143BA3"/>
    <w:rsid w:val="53152ECF"/>
    <w:rsid w:val="531F85DB"/>
    <w:rsid w:val="5322EEB2"/>
    <w:rsid w:val="532451E9"/>
    <w:rsid w:val="532A685F"/>
    <w:rsid w:val="532CFC2E"/>
    <w:rsid w:val="53378A2D"/>
    <w:rsid w:val="5337BA50"/>
    <w:rsid w:val="533CF054"/>
    <w:rsid w:val="53433C68"/>
    <w:rsid w:val="53469C36"/>
    <w:rsid w:val="534CDF7A"/>
    <w:rsid w:val="535AC913"/>
    <w:rsid w:val="535C4B05"/>
    <w:rsid w:val="53648472"/>
    <w:rsid w:val="53663497"/>
    <w:rsid w:val="53689209"/>
    <w:rsid w:val="53698BF2"/>
    <w:rsid w:val="536C525C"/>
    <w:rsid w:val="536D90A9"/>
    <w:rsid w:val="536E2CD5"/>
    <w:rsid w:val="536F6D0B"/>
    <w:rsid w:val="536FDF0A"/>
    <w:rsid w:val="53728722"/>
    <w:rsid w:val="5374F568"/>
    <w:rsid w:val="537729C7"/>
    <w:rsid w:val="537A5F5E"/>
    <w:rsid w:val="537BEE79"/>
    <w:rsid w:val="537CA552"/>
    <w:rsid w:val="537D8DFB"/>
    <w:rsid w:val="537FF214"/>
    <w:rsid w:val="53857021"/>
    <w:rsid w:val="53859F56"/>
    <w:rsid w:val="538704DE"/>
    <w:rsid w:val="53895DB4"/>
    <w:rsid w:val="53896532"/>
    <w:rsid w:val="538BC47F"/>
    <w:rsid w:val="53958C57"/>
    <w:rsid w:val="53969741"/>
    <w:rsid w:val="5396CF06"/>
    <w:rsid w:val="539D03CD"/>
    <w:rsid w:val="539FBBEC"/>
    <w:rsid w:val="53A19283"/>
    <w:rsid w:val="53A2C10E"/>
    <w:rsid w:val="53A575A8"/>
    <w:rsid w:val="53A8C067"/>
    <w:rsid w:val="53AB87C8"/>
    <w:rsid w:val="53AE38C9"/>
    <w:rsid w:val="53BD4A2D"/>
    <w:rsid w:val="53C34DA9"/>
    <w:rsid w:val="53C3B985"/>
    <w:rsid w:val="53CABE16"/>
    <w:rsid w:val="53CCC759"/>
    <w:rsid w:val="53D2B6AB"/>
    <w:rsid w:val="53D731A9"/>
    <w:rsid w:val="53D85CE9"/>
    <w:rsid w:val="53DCDAA1"/>
    <w:rsid w:val="53DCE136"/>
    <w:rsid w:val="53DDA95E"/>
    <w:rsid w:val="53DED084"/>
    <w:rsid w:val="53EBF71E"/>
    <w:rsid w:val="53EC0735"/>
    <w:rsid w:val="53F3423E"/>
    <w:rsid w:val="53F42743"/>
    <w:rsid w:val="53F7078C"/>
    <w:rsid w:val="53FAF933"/>
    <w:rsid w:val="53FEFD8A"/>
    <w:rsid w:val="5403D7B1"/>
    <w:rsid w:val="5404CDD6"/>
    <w:rsid w:val="540573AE"/>
    <w:rsid w:val="54079B3F"/>
    <w:rsid w:val="5408DA9C"/>
    <w:rsid w:val="540CDFB6"/>
    <w:rsid w:val="540F07D6"/>
    <w:rsid w:val="54129228"/>
    <w:rsid w:val="5413734E"/>
    <w:rsid w:val="541659E5"/>
    <w:rsid w:val="541A1622"/>
    <w:rsid w:val="541CD076"/>
    <w:rsid w:val="5421E543"/>
    <w:rsid w:val="542505DE"/>
    <w:rsid w:val="54280591"/>
    <w:rsid w:val="5428B893"/>
    <w:rsid w:val="543017A4"/>
    <w:rsid w:val="5446DE37"/>
    <w:rsid w:val="544AF193"/>
    <w:rsid w:val="544B9071"/>
    <w:rsid w:val="544D560C"/>
    <w:rsid w:val="54533F1E"/>
    <w:rsid w:val="5459588A"/>
    <w:rsid w:val="545CE4E3"/>
    <w:rsid w:val="545D5D9E"/>
    <w:rsid w:val="54608892"/>
    <w:rsid w:val="54634F00"/>
    <w:rsid w:val="546845DD"/>
    <w:rsid w:val="546CA5E1"/>
    <w:rsid w:val="546DA65F"/>
    <w:rsid w:val="54714723"/>
    <w:rsid w:val="5475B818"/>
    <w:rsid w:val="54790CE9"/>
    <w:rsid w:val="547AA9F8"/>
    <w:rsid w:val="547EEFA0"/>
    <w:rsid w:val="54890FE5"/>
    <w:rsid w:val="548D48ED"/>
    <w:rsid w:val="54931407"/>
    <w:rsid w:val="5493468B"/>
    <w:rsid w:val="5493BFA5"/>
    <w:rsid w:val="5494D8A2"/>
    <w:rsid w:val="5497D5BE"/>
    <w:rsid w:val="549B0295"/>
    <w:rsid w:val="549B5668"/>
    <w:rsid w:val="54A3DCDD"/>
    <w:rsid w:val="54A7154E"/>
    <w:rsid w:val="54AAA24B"/>
    <w:rsid w:val="54ABA8D6"/>
    <w:rsid w:val="54ADD8B1"/>
    <w:rsid w:val="54AE7C01"/>
    <w:rsid w:val="54AE9FEB"/>
    <w:rsid w:val="54AEA5D8"/>
    <w:rsid w:val="54AF4E76"/>
    <w:rsid w:val="54AFACF2"/>
    <w:rsid w:val="54B149B6"/>
    <w:rsid w:val="54B21942"/>
    <w:rsid w:val="54B4C8AB"/>
    <w:rsid w:val="54C6ADD7"/>
    <w:rsid w:val="54C81BD1"/>
    <w:rsid w:val="54CA41F4"/>
    <w:rsid w:val="54CD282D"/>
    <w:rsid w:val="54D0D973"/>
    <w:rsid w:val="54D2BE6C"/>
    <w:rsid w:val="54D496D4"/>
    <w:rsid w:val="54D4EC76"/>
    <w:rsid w:val="54D666E1"/>
    <w:rsid w:val="54D9C6E3"/>
    <w:rsid w:val="54DACC16"/>
    <w:rsid w:val="54DFB760"/>
    <w:rsid w:val="54E28E57"/>
    <w:rsid w:val="54E34902"/>
    <w:rsid w:val="54E6D86C"/>
    <w:rsid w:val="54EE6698"/>
    <w:rsid w:val="54F10505"/>
    <w:rsid w:val="54F3C9E7"/>
    <w:rsid w:val="54F3D05F"/>
    <w:rsid w:val="54F4826B"/>
    <w:rsid w:val="54F5B9D6"/>
    <w:rsid w:val="54F5D8F5"/>
    <w:rsid w:val="54FA9182"/>
    <w:rsid w:val="54FC2306"/>
    <w:rsid w:val="54FCF5F0"/>
    <w:rsid w:val="54FF1A10"/>
    <w:rsid w:val="55027B66"/>
    <w:rsid w:val="5502BD4A"/>
    <w:rsid w:val="5502C40C"/>
    <w:rsid w:val="5509E9D4"/>
    <w:rsid w:val="550A1BC9"/>
    <w:rsid w:val="550AB323"/>
    <w:rsid w:val="550ECC62"/>
    <w:rsid w:val="5512B0CE"/>
    <w:rsid w:val="5513360A"/>
    <w:rsid w:val="5514ABB2"/>
    <w:rsid w:val="55160E8E"/>
    <w:rsid w:val="551E6388"/>
    <w:rsid w:val="551FC6CD"/>
    <w:rsid w:val="5521BE5C"/>
    <w:rsid w:val="552D9B8A"/>
    <w:rsid w:val="5537CE62"/>
    <w:rsid w:val="553875E5"/>
    <w:rsid w:val="5538B7D6"/>
    <w:rsid w:val="553984E0"/>
    <w:rsid w:val="5539EC84"/>
    <w:rsid w:val="553B10BC"/>
    <w:rsid w:val="553B6F49"/>
    <w:rsid w:val="5542F3C9"/>
    <w:rsid w:val="55476685"/>
    <w:rsid w:val="554F1F97"/>
    <w:rsid w:val="55563506"/>
    <w:rsid w:val="555F9FF9"/>
    <w:rsid w:val="55619C54"/>
    <w:rsid w:val="556249F5"/>
    <w:rsid w:val="556473A7"/>
    <w:rsid w:val="5564D89A"/>
    <w:rsid w:val="556B484C"/>
    <w:rsid w:val="556EA747"/>
    <w:rsid w:val="55719DED"/>
    <w:rsid w:val="5573B7AD"/>
    <w:rsid w:val="5575142C"/>
    <w:rsid w:val="557C8216"/>
    <w:rsid w:val="557C9BC1"/>
    <w:rsid w:val="557F1222"/>
    <w:rsid w:val="55816D4E"/>
    <w:rsid w:val="5589CCFE"/>
    <w:rsid w:val="558AE799"/>
    <w:rsid w:val="558CF075"/>
    <w:rsid w:val="558F4AD8"/>
    <w:rsid w:val="5594730A"/>
    <w:rsid w:val="559DC3D6"/>
    <w:rsid w:val="55A35134"/>
    <w:rsid w:val="55A39E4C"/>
    <w:rsid w:val="55A71860"/>
    <w:rsid w:val="55AA00E3"/>
    <w:rsid w:val="55B2C1F3"/>
    <w:rsid w:val="55B47901"/>
    <w:rsid w:val="55B4B3ED"/>
    <w:rsid w:val="55BF5DFE"/>
    <w:rsid w:val="55BF874B"/>
    <w:rsid w:val="55C0D6D2"/>
    <w:rsid w:val="55C16F93"/>
    <w:rsid w:val="55C6A1E4"/>
    <w:rsid w:val="55C96803"/>
    <w:rsid w:val="55CAAE98"/>
    <w:rsid w:val="55CE6644"/>
    <w:rsid w:val="55D0D879"/>
    <w:rsid w:val="55D687B7"/>
    <w:rsid w:val="55DBCA53"/>
    <w:rsid w:val="55DE15C3"/>
    <w:rsid w:val="55E06721"/>
    <w:rsid w:val="55E157F0"/>
    <w:rsid w:val="55E77DB6"/>
    <w:rsid w:val="55ED322D"/>
    <w:rsid w:val="55F9FAA9"/>
    <w:rsid w:val="56029D01"/>
    <w:rsid w:val="5603A1E5"/>
    <w:rsid w:val="560B73AE"/>
    <w:rsid w:val="56104A6D"/>
    <w:rsid w:val="561E1CCA"/>
    <w:rsid w:val="5625B7B5"/>
    <w:rsid w:val="562BB008"/>
    <w:rsid w:val="562D0B2B"/>
    <w:rsid w:val="5635C151"/>
    <w:rsid w:val="563800BF"/>
    <w:rsid w:val="56422387"/>
    <w:rsid w:val="564D802A"/>
    <w:rsid w:val="565548D1"/>
    <w:rsid w:val="565D5409"/>
    <w:rsid w:val="56657ED8"/>
    <w:rsid w:val="566648B4"/>
    <w:rsid w:val="566783AE"/>
    <w:rsid w:val="566DCE24"/>
    <w:rsid w:val="56812379"/>
    <w:rsid w:val="568412FE"/>
    <w:rsid w:val="56848734"/>
    <w:rsid w:val="56938634"/>
    <w:rsid w:val="5694E4A4"/>
    <w:rsid w:val="5699CD52"/>
    <w:rsid w:val="569ACC10"/>
    <w:rsid w:val="569AD8E0"/>
    <w:rsid w:val="56A4445A"/>
    <w:rsid w:val="56A8C617"/>
    <w:rsid w:val="56ADA5A5"/>
    <w:rsid w:val="56B22C15"/>
    <w:rsid w:val="56B2A8B9"/>
    <w:rsid w:val="56B63F4F"/>
    <w:rsid w:val="56B6963C"/>
    <w:rsid w:val="56BA408E"/>
    <w:rsid w:val="56BBA89F"/>
    <w:rsid w:val="56C372CA"/>
    <w:rsid w:val="56C3D6DE"/>
    <w:rsid w:val="56C49221"/>
    <w:rsid w:val="56C6B285"/>
    <w:rsid w:val="56C8758B"/>
    <w:rsid w:val="56CB1F9C"/>
    <w:rsid w:val="56D0D090"/>
    <w:rsid w:val="56D96A26"/>
    <w:rsid w:val="56E56C03"/>
    <w:rsid w:val="56E7AC03"/>
    <w:rsid w:val="56EC1931"/>
    <w:rsid w:val="56F10C6E"/>
    <w:rsid w:val="56F3630D"/>
    <w:rsid w:val="56FAF47C"/>
    <w:rsid w:val="56FB3905"/>
    <w:rsid w:val="56FE7952"/>
    <w:rsid w:val="57103B34"/>
    <w:rsid w:val="57116B42"/>
    <w:rsid w:val="571A5E3C"/>
    <w:rsid w:val="571D0D7D"/>
    <w:rsid w:val="572038C7"/>
    <w:rsid w:val="572521FD"/>
    <w:rsid w:val="5725ECB7"/>
    <w:rsid w:val="57278E02"/>
    <w:rsid w:val="572DAB7C"/>
    <w:rsid w:val="57347EBF"/>
    <w:rsid w:val="57401776"/>
    <w:rsid w:val="5741D97C"/>
    <w:rsid w:val="574E93D1"/>
    <w:rsid w:val="57508926"/>
    <w:rsid w:val="57540F8F"/>
    <w:rsid w:val="5754B650"/>
    <w:rsid w:val="575C50DE"/>
    <w:rsid w:val="5762A6CC"/>
    <w:rsid w:val="57641D67"/>
    <w:rsid w:val="57678C2E"/>
    <w:rsid w:val="576F4A85"/>
    <w:rsid w:val="576FFC18"/>
    <w:rsid w:val="5781A80A"/>
    <w:rsid w:val="57822BCD"/>
    <w:rsid w:val="57835C23"/>
    <w:rsid w:val="5785130E"/>
    <w:rsid w:val="57954F89"/>
    <w:rsid w:val="579718EF"/>
    <w:rsid w:val="57A0B4D9"/>
    <w:rsid w:val="57A1359B"/>
    <w:rsid w:val="57A2D3DA"/>
    <w:rsid w:val="57A5EC3C"/>
    <w:rsid w:val="57A775E2"/>
    <w:rsid w:val="57AF754B"/>
    <w:rsid w:val="57B22D98"/>
    <w:rsid w:val="57B83509"/>
    <w:rsid w:val="57BA1FD4"/>
    <w:rsid w:val="57BA87AB"/>
    <w:rsid w:val="57C0A70F"/>
    <w:rsid w:val="57C172DC"/>
    <w:rsid w:val="57D4BCC4"/>
    <w:rsid w:val="57D6D14B"/>
    <w:rsid w:val="57DA3172"/>
    <w:rsid w:val="57DAF670"/>
    <w:rsid w:val="57E037C5"/>
    <w:rsid w:val="57E0C48A"/>
    <w:rsid w:val="57E1851C"/>
    <w:rsid w:val="57E361D4"/>
    <w:rsid w:val="57E78F7D"/>
    <w:rsid w:val="57E9734B"/>
    <w:rsid w:val="57E9CBAD"/>
    <w:rsid w:val="57E9FF2C"/>
    <w:rsid w:val="57F12985"/>
    <w:rsid w:val="57F5577E"/>
    <w:rsid w:val="57F7C586"/>
    <w:rsid w:val="58007FA5"/>
    <w:rsid w:val="5802C6C0"/>
    <w:rsid w:val="58031458"/>
    <w:rsid w:val="5804A2A8"/>
    <w:rsid w:val="58071F1A"/>
    <w:rsid w:val="58073561"/>
    <w:rsid w:val="58083ABC"/>
    <w:rsid w:val="5808F830"/>
    <w:rsid w:val="580B9EF7"/>
    <w:rsid w:val="580CC207"/>
    <w:rsid w:val="58125CD2"/>
    <w:rsid w:val="5817C29C"/>
    <w:rsid w:val="581918F7"/>
    <w:rsid w:val="581EC049"/>
    <w:rsid w:val="5820E3BA"/>
    <w:rsid w:val="5824CA58"/>
    <w:rsid w:val="58261CD6"/>
    <w:rsid w:val="58271E34"/>
    <w:rsid w:val="5828C307"/>
    <w:rsid w:val="582997DF"/>
    <w:rsid w:val="582B33E9"/>
    <w:rsid w:val="582F62C8"/>
    <w:rsid w:val="58307903"/>
    <w:rsid w:val="5831809E"/>
    <w:rsid w:val="583920E9"/>
    <w:rsid w:val="583F1420"/>
    <w:rsid w:val="5849A3D3"/>
    <w:rsid w:val="584FD0AD"/>
    <w:rsid w:val="5852AC5D"/>
    <w:rsid w:val="585395C3"/>
    <w:rsid w:val="586352C2"/>
    <w:rsid w:val="58700F8B"/>
    <w:rsid w:val="587028E7"/>
    <w:rsid w:val="58786ED7"/>
    <w:rsid w:val="587FE742"/>
    <w:rsid w:val="587FEE1F"/>
    <w:rsid w:val="5880E8EB"/>
    <w:rsid w:val="58865C9A"/>
    <w:rsid w:val="5892E274"/>
    <w:rsid w:val="5894A024"/>
    <w:rsid w:val="589556C5"/>
    <w:rsid w:val="58987E15"/>
    <w:rsid w:val="589B59F9"/>
    <w:rsid w:val="58A7269F"/>
    <w:rsid w:val="58AD3910"/>
    <w:rsid w:val="58B718E0"/>
    <w:rsid w:val="58C73B64"/>
    <w:rsid w:val="58CBDB32"/>
    <w:rsid w:val="58CC5885"/>
    <w:rsid w:val="58D02324"/>
    <w:rsid w:val="58D314CB"/>
    <w:rsid w:val="58D5E977"/>
    <w:rsid w:val="58D6E800"/>
    <w:rsid w:val="58DB7A3C"/>
    <w:rsid w:val="58DFF073"/>
    <w:rsid w:val="58E7B156"/>
    <w:rsid w:val="58E88695"/>
    <w:rsid w:val="58EEF9A0"/>
    <w:rsid w:val="58F3BD7C"/>
    <w:rsid w:val="58F5ED73"/>
    <w:rsid w:val="58F7D3E5"/>
    <w:rsid w:val="58F95044"/>
    <w:rsid w:val="59074837"/>
    <w:rsid w:val="59087638"/>
    <w:rsid w:val="59138252"/>
    <w:rsid w:val="59146C3B"/>
    <w:rsid w:val="5916080C"/>
    <w:rsid w:val="5919E903"/>
    <w:rsid w:val="591AD1D6"/>
    <w:rsid w:val="5924B9E1"/>
    <w:rsid w:val="5927032D"/>
    <w:rsid w:val="592A07E6"/>
    <w:rsid w:val="592BE2BC"/>
    <w:rsid w:val="592D9D01"/>
    <w:rsid w:val="592E032F"/>
    <w:rsid w:val="592F50DB"/>
    <w:rsid w:val="5931AA9B"/>
    <w:rsid w:val="59358D70"/>
    <w:rsid w:val="593976CA"/>
    <w:rsid w:val="593B1618"/>
    <w:rsid w:val="593BDEAE"/>
    <w:rsid w:val="593E6404"/>
    <w:rsid w:val="5944D30F"/>
    <w:rsid w:val="594BEB11"/>
    <w:rsid w:val="594C6734"/>
    <w:rsid w:val="59540D0A"/>
    <w:rsid w:val="595C3DAE"/>
    <w:rsid w:val="5961688D"/>
    <w:rsid w:val="5965AA23"/>
    <w:rsid w:val="596E4D21"/>
    <w:rsid w:val="597496FA"/>
    <w:rsid w:val="59769CB3"/>
    <w:rsid w:val="597CC444"/>
    <w:rsid w:val="5985313D"/>
    <w:rsid w:val="598727F4"/>
    <w:rsid w:val="59894980"/>
    <w:rsid w:val="598D6B1C"/>
    <w:rsid w:val="59976DCE"/>
    <w:rsid w:val="59A2724A"/>
    <w:rsid w:val="59AF6A3C"/>
    <w:rsid w:val="59B31ACB"/>
    <w:rsid w:val="59B6649E"/>
    <w:rsid w:val="59B76144"/>
    <w:rsid w:val="59B9B853"/>
    <w:rsid w:val="59C133BD"/>
    <w:rsid w:val="59C2BE36"/>
    <w:rsid w:val="59CB488F"/>
    <w:rsid w:val="59CBD1C1"/>
    <w:rsid w:val="59D85F2D"/>
    <w:rsid w:val="59DD8959"/>
    <w:rsid w:val="59E1F167"/>
    <w:rsid w:val="59EC5D4E"/>
    <w:rsid w:val="59F1A50C"/>
    <w:rsid w:val="59F3397E"/>
    <w:rsid w:val="59F4C200"/>
    <w:rsid w:val="59FA413E"/>
    <w:rsid w:val="59FDFC0D"/>
    <w:rsid w:val="59FFC31B"/>
    <w:rsid w:val="5A064467"/>
    <w:rsid w:val="5A106693"/>
    <w:rsid w:val="5A13463C"/>
    <w:rsid w:val="5A1C5C62"/>
    <w:rsid w:val="5A1F3A5D"/>
    <w:rsid w:val="5A1FF8E3"/>
    <w:rsid w:val="5A25638C"/>
    <w:rsid w:val="5A297BE1"/>
    <w:rsid w:val="5A312DB2"/>
    <w:rsid w:val="5A369ADB"/>
    <w:rsid w:val="5A36A685"/>
    <w:rsid w:val="5A3DF69F"/>
    <w:rsid w:val="5A4133CB"/>
    <w:rsid w:val="5A46BB2E"/>
    <w:rsid w:val="5A486131"/>
    <w:rsid w:val="5A4890D1"/>
    <w:rsid w:val="5A49AE72"/>
    <w:rsid w:val="5A509E9C"/>
    <w:rsid w:val="5A55B8BB"/>
    <w:rsid w:val="5A5842E1"/>
    <w:rsid w:val="5A58D43E"/>
    <w:rsid w:val="5A5A0D20"/>
    <w:rsid w:val="5A5AD345"/>
    <w:rsid w:val="5A5CBB75"/>
    <w:rsid w:val="5A5F944B"/>
    <w:rsid w:val="5A6546CD"/>
    <w:rsid w:val="5A65E876"/>
    <w:rsid w:val="5A6878AB"/>
    <w:rsid w:val="5A6E5F8E"/>
    <w:rsid w:val="5A7B73E2"/>
    <w:rsid w:val="5A80424B"/>
    <w:rsid w:val="5A8652F7"/>
    <w:rsid w:val="5A8E5EAC"/>
    <w:rsid w:val="5A91731D"/>
    <w:rsid w:val="5A9A1A5D"/>
    <w:rsid w:val="5A9D0013"/>
    <w:rsid w:val="5AA55C9A"/>
    <w:rsid w:val="5AAECC16"/>
    <w:rsid w:val="5AAFB8DA"/>
    <w:rsid w:val="5ABB2CB3"/>
    <w:rsid w:val="5ABE13B7"/>
    <w:rsid w:val="5ABE9370"/>
    <w:rsid w:val="5ABEC116"/>
    <w:rsid w:val="5AC3440B"/>
    <w:rsid w:val="5AC3724A"/>
    <w:rsid w:val="5AC62D2B"/>
    <w:rsid w:val="5AC6A803"/>
    <w:rsid w:val="5AC73410"/>
    <w:rsid w:val="5ACB63AE"/>
    <w:rsid w:val="5ACD97F2"/>
    <w:rsid w:val="5AD0744D"/>
    <w:rsid w:val="5AD2EAE9"/>
    <w:rsid w:val="5AD3EC63"/>
    <w:rsid w:val="5ADC4403"/>
    <w:rsid w:val="5AE862A6"/>
    <w:rsid w:val="5AECA6EA"/>
    <w:rsid w:val="5AED2CB3"/>
    <w:rsid w:val="5AEF6EDE"/>
    <w:rsid w:val="5AF4233F"/>
    <w:rsid w:val="5AF4D448"/>
    <w:rsid w:val="5AF56B8B"/>
    <w:rsid w:val="5AF5898F"/>
    <w:rsid w:val="5AF5EA3F"/>
    <w:rsid w:val="5AF8113B"/>
    <w:rsid w:val="5B04CE00"/>
    <w:rsid w:val="5B080F18"/>
    <w:rsid w:val="5B0BF6E5"/>
    <w:rsid w:val="5B0C90A1"/>
    <w:rsid w:val="5B150A0F"/>
    <w:rsid w:val="5B229B43"/>
    <w:rsid w:val="5B2480D1"/>
    <w:rsid w:val="5B24F41F"/>
    <w:rsid w:val="5B2D6838"/>
    <w:rsid w:val="5B30213E"/>
    <w:rsid w:val="5B30EE11"/>
    <w:rsid w:val="5B337AF7"/>
    <w:rsid w:val="5B3595E2"/>
    <w:rsid w:val="5B35FCBF"/>
    <w:rsid w:val="5B37FAA9"/>
    <w:rsid w:val="5B390C1B"/>
    <w:rsid w:val="5B3A2DFA"/>
    <w:rsid w:val="5B3ED125"/>
    <w:rsid w:val="5B47C8FB"/>
    <w:rsid w:val="5B4B9638"/>
    <w:rsid w:val="5B4BC9E5"/>
    <w:rsid w:val="5B4D8B7B"/>
    <w:rsid w:val="5B4D8FD7"/>
    <w:rsid w:val="5B4D9051"/>
    <w:rsid w:val="5B4F766A"/>
    <w:rsid w:val="5B5436C2"/>
    <w:rsid w:val="5B57761E"/>
    <w:rsid w:val="5B5ECF59"/>
    <w:rsid w:val="5B6812C4"/>
    <w:rsid w:val="5B6D2566"/>
    <w:rsid w:val="5B6F991A"/>
    <w:rsid w:val="5B7005AE"/>
    <w:rsid w:val="5B7043C9"/>
    <w:rsid w:val="5B70BB70"/>
    <w:rsid w:val="5B7428EA"/>
    <w:rsid w:val="5B76222B"/>
    <w:rsid w:val="5B7846FC"/>
    <w:rsid w:val="5B814DF3"/>
    <w:rsid w:val="5B87A4C3"/>
    <w:rsid w:val="5B8E4B3F"/>
    <w:rsid w:val="5B8E9836"/>
    <w:rsid w:val="5B90C546"/>
    <w:rsid w:val="5B9487AB"/>
    <w:rsid w:val="5B98473A"/>
    <w:rsid w:val="5B9B389F"/>
    <w:rsid w:val="5B9B4C83"/>
    <w:rsid w:val="5B9C78CD"/>
    <w:rsid w:val="5B9C9FDE"/>
    <w:rsid w:val="5B9D25AB"/>
    <w:rsid w:val="5B9E0DFF"/>
    <w:rsid w:val="5B9F6B71"/>
    <w:rsid w:val="5BA084A9"/>
    <w:rsid w:val="5BA342AB"/>
    <w:rsid w:val="5BA413C6"/>
    <w:rsid w:val="5BAC87C2"/>
    <w:rsid w:val="5BADE292"/>
    <w:rsid w:val="5BAF75AE"/>
    <w:rsid w:val="5BB80875"/>
    <w:rsid w:val="5BBCEA50"/>
    <w:rsid w:val="5BC3B006"/>
    <w:rsid w:val="5BCAB9A7"/>
    <w:rsid w:val="5BD14A95"/>
    <w:rsid w:val="5BD3E1D4"/>
    <w:rsid w:val="5BD524F5"/>
    <w:rsid w:val="5BD65FBD"/>
    <w:rsid w:val="5BE01F6E"/>
    <w:rsid w:val="5BE10CB1"/>
    <w:rsid w:val="5BE1ECC5"/>
    <w:rsid w:val="5BE72656"/>
    <w:rsid w:val="5BF0272C"/>
    <w:rsid w:val="5BF613DC"/>
    <w:rsid w:val="5BF6ED11"/>
    <w:rsid w:val="5BFA81A1"/>
    <w:rsid w:val="5BFC8202"/>
    <w:rsid w:val="5C0892AE"/>
    <w:rsid w:val="5C0A229E"/>
    <w:rsid w:val="5C0C4BC7"/>
    <w:rsid w:val="5C0C5884"/>
    <w:rsid w:val="5C118CA4"/>
    <w:rsid w:val="5C13350D"/>
    <w:rsid w:val="5C16F84E"/>
    <w:rsid w:val="5C192715"/>
    <w:rsid w:val="5C22C7D5"/>
    <w:rsid w:val="5C2B1149"/>
    <w:rsid w:val="5C2F1EE1"/>
    <w:rsid w:val="5C32FB57"/>
    <w:rsid w:val="5C33D544"/>
    <w:rsid w:val="5C398606"/>
    <w:rsid w:val="5C39917D"/>
    <w:rsid w:val="5C441E0D"/>
    <w:rsid w:val="5C45288B"/>
    <w:rsid w:val="5C456141"/>
    <w:rsid w:val="5C4BB587"/>
    <w:rsid w:val="5C4DEAA8"/>
    <w:rsid w:val="5C5084A2"/>
    <w:rsid w:val="5C51E3B4"/>
    <w:rsid w:val="5C53ADD9"/>
    <w:rsid w:val="5C547CE3"/>
    <w:rsid w:val="5C54DE78"/>
    <w:rsid w:val="5C5C3703"/>
    <w:rsid w:val="5C5C39C4"/>
    <w:rsid w:val="5C5DD1B6"/>
    <w:rsid w:val="5C5E36DC"/>
    <w:rsid w:val="5C610087"/>
    <w:rsid w:val="5C612204"/>
    <w:rsid w:val="5C63B6A5"/>
    <w:rsid w:val="5C64A413"/>
    <w:rsid w:val="5C6B70B0"/>
    <w:rsid w:val="5C7036C4"/>
    <w:rsid w:val="5C753113"/>
    <w:rsid w:val="5C756266"/>
    <w:rsid w:val="5C787CA9"/>
    <w:rsid w:val="5C7A814B"/>
    <w:rsid w:val="5C7BC69E"/>
    <w:rsid w:val="5C7BD476"/>
    <w:rsid w:val="5C7F6922"/>
    <w:rsid w:val="5C8252EE"/>
    <w:rsid w:val="5C88222E"/>
    <w:rsid w:val="5C8ADEEF"/>
    <w:rsid w:val="5C8B5629"/>
    <w:rsid w:val="5C8C04DE"/>
    <w:rsid w:val="5C8FDD7D"/>
    <w:rsid w:val="5C923651"/>
    <w:rsid w:val="5C95A563"/>
    <w:rsid w:val="5C9B4FE3"/>
    <w:rsid w:val="5C9FDE32"/>
    <w:rsid w:val="5CA21813"/>
    <w:rsid w:val="5CA41C54"/>
    <w:rsid w:val="5CA9FAC1"/>
    <w:rsid w:val="5CAA7935"/>
    <w:rsid w:val="5CABD588"/>
    <w:rsid w:val="5CBBEB55"/>
    <w:rsid w:val="5CBC1F17"/>
    <w:rsid w:val="5CBD792C"/>
    <w:rsid w:val="5CBE0DF9"/>
    <w:rsid w:val="5CC3EF35"/>
    <w:rsid w:val="5CC41B22"/>
    <w:rsid w:val="5CC5C9F0"/>
    <w:rsid w:val="5CC61CF2"/>
    <w:rsid w:val="5CCDF34B"/>
    <w:rsid w:val="5CCF15C6"/>
    <w:rsid w:val="5CD2D12C"/>
    <w:rsid w:val="5CF4A080"/>
    <w:rsid w:val="5CF561D6"/>
    <w:rsid w:val="5D004473"/>
    <w:rsid w:val="5D022217"/>
    <w:rsid w:val="5D06E80F"/>
    <w:rsid w:val="5D0975D8"/>
    <w:rsid w:val="5D0DACCC"/>
    <w:rsid w:val="5D136F7A"/>
    <w:rsid w:val="5D1449A8"/>
    <w:rsid w:val="5D144C0C"/>
    <w:rsid w:val="5D153FDD"/>
    <w:rsid w:val="5D23E30F"/>
    <w:rsid w:val="5D359CCF"/>
    <w:rsid w:val="5D4536B2"/>
    <w:rsid w:val="5D4751EA"/>
    <w:rsid w:val="5D4C9302"/>
    <w:rsid w:val="5D53B24D"/>
    <w:rsid w:val="5D568800"/>
    <w:rsid w:val="5D5843FB"/>
    <w:rsid w:val="5D58CE8B"/>
    <w:rsid w:val="5D5D11D0"/>
    <w:rsid w:val="5D63854D"/>
    <w:rsid w:val="5D681205"/>
    <w:rsid w:val="5D6C22C8"/>
    <w:rsid w:val="5D6E196F"/>
    <w:rsid w:val="5D76087F"/>
    <w:rsid w:val="5D76A144"/>
    <w:rsid w:val="5D77B984"/>
    <w:rsid w:val="5D8E7E94"/>
    <w:rsid w:val="5D8EE04B"/>
    <w:rsid w:val="5D906346"/>
    <w:rsid w:val="5D91AFD5"/>
    <w:rsid w:val="5D9497E9"/>
    <w:rsid w:val="5D9A3DDC"/>
    <w:rsid w:val="5D9DA3A6"/>
    <w:rsid w:val="5D9DD066"/>
    <w:rsid w:val="5D9E5AF6"/>
    <w:rsid w:val="5D9E6F40"/>
    <w:rsid w:val="5D9F6B6E"/>
    <w:rsid w:val="5DA1814F"/>
    <w:rsid w:val="5DA910D5"/>
    <w:rsid w:val="5DAA32AB"/>
    <w:rsid w:val="5DB249DE"/>
    <w:rsid w:val="5DB3292A"/>
    <w:rsid w:val="5DB40332"/>
    <w:rsid w:val="5DB7EAFB"/>
    <w:rsid w:val="5DBC790F"/>
    <w:rsid w:val="5DC34F28"/>
    <w:rsid w:val="5DC36708"/>
    <w:rsid w:val="5DC399FE"/>
    <w:rsid w:val="5DC56E55"/>
    <w:rsid w:val="5DCA8F13"/>
    <w:rsid w:val="5DCB92B2"/>
    <w:rsid w:val="5DCC7FF6"/>
    <w:rsid w:val="5DCC816F"/>
    <w:rsid w:val="5DD108B2"/>
    <w:rsid w:val="5DD36F62"/>
    <w:rsid w:val="5DD7D9B8"/>
    <w:rsid w:val="5DD93555"/>
    <w:rsid w:val="5DE2825A"/>
    <w:rsid w:val="5DE38F06"/>
    <w:rsid w:val="5DE45EA7"/>
    <w:rsid w:val="5DE743AA"/>
    <w:rsid w:val="5DE84F6A"/>
    <w:rsid w:val="5DE8F001"/>
    <w:rsid w:val="5DEE2E56"/>
    <w:rsid w:val="5DF42A21"/>
    <w:rsid w:val="5DFBA6A8"/>
    <w:rsid w:val="5DFD4DA4"/>
    <w:rsid w:val="5DFF83DB"/>
    <w:rsid w:val="5E02174D"/>
    <w:rsid w:val="5E03D9F6"/>
    <w:rsid w:val="5E04A1A8"/>
    <w:rsid w:val="5E06D1F4"/>
    <w:rsid w:val="5E114F9B"/>
    <w:rsid w:val="5E11D1BC"/>
    <w:rsid w:val="5E141B49"/>
    <w:rsid w:val="5E1838D4"/>
    <w:rsid w:val="5E1B9044"/>
    <w:rsid w:val="5E25FCE9"/>
    <w:rsid w:val="5E27C185"/>
    <w:rsid w:val="5E29BBC1"/>
    <w:rsid w:val="5E2A2020"/>
    <w:rsid w:val="5E2A44D3"/>
    <w:rsid w:val="5E2BB8B0"/>
    <w:rsid w:val="5E2D1AE2"/>
    <w:rsid w:val="5E387FF9"/>
    <w:rsid w:val="5E38DAF5"/>
    <w:rsid w:val="5E3CA009"/>
    <w:rsid w:val="5E3E9846"/>
    <w:rsid w:val="5E4E6FA4"/>
    <w:rsid w:val="5E5001D5"/>
    <w:rsid w:val="5E5019E6"/>
    <w:rsid w:val="5E53BF5C"/>
    <w:rsid w:val="5E550015"/>
    <w:rsid w:val="5E5D0648"/>
    <w:rsid w:val="5E61B1D2"/>
    <w:rsid w:val="5E65EA3B"/>
    <w:rsid w:val="5E65F26A"/>
    <w:rsid w:val="5E73AD1A"/>
    <w:rsid w:val="5E7E28F7"/>
    <w:rsid w:val="5E844C36"/>
    <w:rsid w:val="5E87AD90"/>
    <w:rsid w:val="5E8A60EA"/>
    <w:rsid w:val="5E8DD401"/>
    <w:rsid w:val="5E94C539"/>
    <w:rsid w:val="5E966D2F"/>
    <w:rsid w:val="5E9C7755"/>
    <w:rsid w:val="5EA19AD0"/>
    <w:rsid w:val="5EAD20E4"/>
    <w:rsid w:val="5EAE345C"/>
    <w:rsid w:val="5EB3026B"/>
    <w:rsid w:val="5EB7A95B"/>
    <w:rsid w:val="5EB994EC"/>
    <w:rsid w:val="5EBEFACC"/>
    <w:rsid w:val="5EC099EF"/>
    <w:rsid w:val="5EC284B8"/>
    <w:rsid w:val="5ED06A6D"/>
    <w:rsid w:val="5ED8A87F"/>
    <w:rsid w:val="5EDD683A"/>
    <w:rsid w:val="5EDE4A43"/>
    <w:rsid w:val="5EE4E717"/>
    <w:rsid w:val="5EE5C890"/>
    <w:rsid w:val="5EEA1EF8"/>
    <w:rsid w:val="5EEAEA58"/>
    <w:rsid w:val="5EF2FDC1"/>
    <w:rsid w:val="5EF41DEE"/>
    <w:rsid w:val="5EF6D5C9"/>
    <w:rsid w:val="5F0066BE"/>
    <w:rsid w:val="5F03436B"/>
    <w:rsid w:val="5F049FE4"/>
    <w:rsid w:val="5F04EF31"/>
    <w:rsid w:val="5F062AD8"/>
    <w:rsid w:val="5F0724AE"/>
    <w:rsid w:val="5F0AAD74"/>
    <w:rsid w:val="5F148FDB"/>
    <w:rsid w:val="5F14F942"/>
    <w:rsid w:val="5F15023F"/>
    <w:rsid w:val="5F22CC8D"/>
    <w:rsid w:val="5F25D531"/>
    <w:rsid w:val="5F28766A"/>
    <w:rsid w:val="5F2D1636"/>
    <w:rsid w:val="5F2DCCF0"/>
    <w:rsid w:val="5F3058A1"/>
    <w:rsid w:val="5F351416"/>
    <w:rsid w:val="5F399E96"/>
    <w:rsid w:val="5F3CC8E1"/>
    <w:rsid w:val="5F3D8B65"/>
    <w:rsid w:val="5F4007D0"/>
    <w:rsid w:val="5F40D362"/>
    <w:rsid w:val="5F4303B3"/>
    <w:rsid w:val="5F43C648"/>
    <w:rsid w:val="5F44D087"/>
    <w:rsid w:val="5F47D292"/>
    <w:rsid w:val="5F49EC5A"/>
    <w:rsid w:val="5F4B2D01"/>
    <w:rsid w:val="5F4E7350"/>
    <w:rsid w:val="5F518E6A"/>
    <w:rsid w:val="5F52BACB"/>
    <w:rsid w:val="5F537FBD"/>
    <w:rsid w:val="5F5964E7"/>
    <w:rsid w:val="5F60192E"/>
    <w:rsid w:val="5F67A6FF"/>
    <w:rsid w:val="5F67F6FC"/>
    <w:rsid w:val="5F787495"/>
    <w:rsid w:val="5F7C25AE"/>
    <w:rsid w:val="5F845280"/>
    <w:rsid w:val="5F884B99"/>
    <w:rsid w:val="5F94807C"/>
    <w:rsid w:val="5F95D2B5"/>
    <w:rsid w:val="5F9729A7"/>
    <w:rsid w:val="5F977263"/>
    <w:rsid w:val="5F9B4463"/>
    <w:rsid w:val="5F9B7599"/>
    <w:rsid w:val="5F9C5155"/>
    <w:rsid w:val="5F9D041A"/>
    <w:rsid w:val="5F9D6468"/>
    <w:rsid w:val="5FA32632"/>
    <w:rsid w:val="5FAE152C"/>
    <w:rsid w:val="5FAF8ACB"/>
    <w:rsid w:val="5FB18F95"/>
    <w:rsid w:val="5FB1C44F"/>
    <w:rsid w:val="5FB305E7"/>
    <w:rsid w:val="5FB78D1A"/>
    <w:rsid w:val="5FBB7830"/>
    <w:rsid w:val="5FBB8CF7"/>
    <w:rsid w:val="5FBB9A89"/>
    <w:rsid w:val="5FBEC8CF"/>
    <w:rsid w:val="5FBECD3B"/>
    <w:rsid w:val="5FC01582"/>
    <w:rsid w:val="5FCCB4EF"/>
    <w:rsid w:val="5FD127D3"/>
    <w:rsid w:val="5FD320A2"/>
    <w:rsid w:val="5FD5B813"/>
    <w:rsid w:val="5FD70936"/>
    <w:rsid w:val="5FDBE20D"/>
    <w:rsid w:val="5FDD1DB8"/>
    <w:rsid w:val="5FE25B56"/>
    <w:rsid w:val="5FE708B0"/>
    <w:rsid w:val="5FED3720"/>
    <w:rsid w:val="5FF4779D"/>
    <w:rsid w:val="5FF9CCF7"/>
    <w:rsid w:val="5FFAE3C0"/>
    <w:rsid w:val="5FFC470A"/>
    <w:rsid w:val="6000D105"/>
    <w:rsid w:val="6007A2C6"/>
    <w:rsid w:val="6008ABD2"/>
    <w:rsid w:val="60104AE8"/>
    <w:rsid w:val="60108945"/>
    <w:rsid w:val="60109E34"/>
    <w:rsid w:val="601114F7"/>
    <w:rsid w:val="601175FA"/>
    <w:rsid w:val="6012394F"/>
    <w:rsid w:val="6013114E"/>
    <w:rsid w:val="6013A424"/>
    <w:rsid w:val="6020BC84"/>
    <w:rsid w:val="6021C650"/>
    <w:rsid w:val="602D8792"/>
    <w:rsid w:val="602F5499"/>
    <w:rsid w:val="60368DEF"/>
    <w:rsid w:val="6038A481"/>
    <w:rsid w:val="603C0ACD"/>
    <w:rsid w:val="603C9403"/>
    <w:rsid w:val="60418887"/>
    <w:rsid w:val="60435AE7"/>
    <w:rsid w:val="604B6FD7"/>
    <w:rsid w:val="604E0394"/>
    <w:rsid w:val="605132CA"/>
    <w:rsid w:val="60537609"/>
    <w:rsid w:val="605B9933"/>
    <w:rsid w:val="605BB1B1"/>
    <w:rsid w:val="60604769"/>
    <w:rsid w:val="60652BDC"/>
    <w:rsid w:val="606537FB"/>
    <w:rsid w:val="60680F63"/>
    <w:rsid w:val="6068AF48"/>
    <w:rsid w:val="607A48D6"/>
    <w:rsid w:val="607BE671"/>
    <w:rsid w:val="6080037D"/>
    <w:rsid w:val="6083490D"/>
    <w:rsid w:val="60865621"/>
    <w:rsid w:val="608C0D28"/>
    <w:rsid w:val="6091BBFB"/>
    <w:rsid w:val="6096B4F8"/>
    <w:rsid w:val="609E1E37"/>
    <w:rsid w:val="60A5A23F"/>
    <w:rsid w:val="60AE54EA"/>
    <w:rsid w:val="60B4EEA6"/>
    <w:rsid w:val="60B52E3A"/>
    <w:rsid w:val="60B53522"/>
    <w:rsid w:val="60B93569"/>
    <w:rsid w:val="60BA9F0E"/>
    <w:rsid w:val="60BF3F2A"/>
    <w:rsid w:val="60C1C18A"/>
    <w:rsid w:val="60C46497"/>
    <w:rsid w:val="60C7C918"/>
    <w:rsid w:val="60CE2BA9"/>
    <w:rsid w:val="60DE2C0C"/>
    <w:rsid w:val="60E567F2"/>
    <w:rsid w:val="60E5CCF1"/>
    <w:rsid w:val="60E8B2A4"/>
    <w:rsid w:val="60F40BCE"/>
    <w:rsid w:val="60F4FF54"/>
    <w:rsid w:val="60F5FAE2"/>
    <w:rsid w:val="60F92BE7"/>
    <w:rsid w:val="60FA72AF"/>
    <w:rsid w:val="60FE3AD6"/>
    <w:rsid w:val="60FEA6F5"/>
    <w:rsid w:val="60FFF6D3"/>
    <w:rsid w:val="6100B15D"/>
    <w:rsid w:val="6100F5D7"/>
    <w:rsid w:val="61081C23"/>
    <w:rsid w:val="611305EB"/>
    <w:rsid w:val="6113CC53"/>
    <w:rsid w:val="6118A2A1"/>
    <w:rsid w:val="6118DA84"/>
    <w:rsid w:val="611C3BAF"/>
    <w:rsid w:val="61273599"/>
    <w:rsid w:val="61274407"/>
    <w:rsid w:val="61279940"/>
    <w:rsid w:val="613EA25C"/>
    <w:rsid w:val="613F21D3"/>
    <w:rsid w:val="613F40B4"/>
    <w:rsid w:val="614163DC"/>
    <w:rsid w:val="61442A08"/>
    <w:rsid w:val="61450E1F"/>
    <w:rsid w:val="614A9771"/>
    <w:rsid w:val="614CB73F"/>
    <w:rsid w:val="6154957B"/>
    <w:rsid w:val="61553E54"/>
    <w:rsid w:val="61589594"/>
    <w:rsid w:val="6158A14F"/>
    <w:rsid w:val="615944FC"/>
    <w:rsid w:val="615B23E0"/>
    <w:rsid w:val="615C1CCC"/>
    <w:rsid w:val="615CDE83"/>
    <w:rsid w:val="615E6037"/>
    <w:rsid w:val="61602F35"/>
    <w:rsid w:val="61623380"/>
    <w:rsid w:val="6162416D"/>
    <w:rsid w:val="61694B5F"/>
    <w:rsid w:val="6169894C"/>
    <w:rsid w:val="617358D0"/>
    <w:rsid w:val="6176365E"/>
    <w:rsid w:val="6179D035"/>
    <w:rsid w:val="617A50D2"/>
    <w:rsid w:val="617A8FB5"/>
    <w:rsid w:val="617C2473"/>
    <w:rsid w:val="617D4A4B"/>
    <w:rsid w:val="6182BE24"/>
    <w:rsid w:val="6184AAC5"/>
    <w:rsid w:val="61862779"/>
    <w:rsid w:val="6186D4EA"/>
    <w:rsid w:val="61889D93"/>
    <w:rsid w:val="618B191A"/>
    <w:rsid w:val="618D15D1"/>
    <w:rsid w:val="618FB8A5"/>
    <w:rsid w:val="6191ECE9"/>
    <w:rsid w:val="61978529"/>
    <w:rsid w:val="619A09A4"/>
    <w:rsid w:val="619B3845"/>
    <w:rsid w:val="61A92664"/>
    <w:rsid w:val="61A96109"/>
    <w:rsid w:val="61B199DC"/>
    <w:rsid w:val="61B3865D"/>
    <w:rsid w:val="61BB091A"/>
    <w:rsid w:val="61C1EC24"/>
    <w:rsid w:val="61C70D7E"/>
    <w:rsid w:val="61CA35BE"/>
    <w:rsid w:val="61CD6659"/>
    <w:rsid w:val="61D28663"/>
    <w:rsid w:val="61D3055A"/>
    <w:rsid w:val="61DBBB5E"/>
    <w:rsid w:val="61DD4567"/>
    <w:rsid w:val="61DD75AE"/>
    <w:rsid w:val="61EB9C9E"/>
    <w:rsid w:val="61F683D7"/>
    <w:rsid w:val="61FE3A27"/>
    <w:rsid w:val="62038D33"/>
    <w:rsid w:val="620400D0"/>
    <w:rsid w:val="6205DF7B"/>
    <w:rsid w:val="6206A2FF"/>
    <w:rsid w:val="6208D184"/>
    <w:rsid w:val="620A8625"/>
    <w:rsid w:val="620F1C6C"/>
    <w:rsid w:val="6223EF0C"/>
    <w:rsid w:val="62260DB1"/>
    <w:rsid w:val="622AC7E9"/>
    <w:rsid w:val="622AD910"/>
    <w:rsid w:val="6233861E"/>
    <w:rsid w:val="62395D56"/>
    <w:rsid w:val="623C64D6"/>
    <w:rsid w:val="624543DE"/>
    <w:rsid w:val="62454501"/>
    <w:rsid w:val="624A81F1"/>
    <w:rsid w:val="624C8EDA"/>
    <w:rsid w:val="6252FFFC"/>
    <w:rsid w:val="6256434C"/>
    <w:rsid w:val="6257E8B4"/>
    <w:rsid w:val="6259973F"/>
    <w:rsid w:val="625B0CEB"/>
    <w:rsid w:val="625E2338"/>
    <w:rsid w:val="625EB826"/>
    <w:rsid w:val="625FCD4B"/>
    <w:rsid w:val="6262F1F1"/>
    <w:rsid w:val="62696874"/>
    <w:rsid w:val="626EDA89"/>
    <w:rsid w:val="62715C5F"/>
    <w:rsid w:val="627631D4"/>
    <w:rsid w:val="627EA2E5"/>
    <w:rsid w:val="627F8CC8"/>
    <w:rsid w:val="6286792F"/>
    <w:rsid w:val="62916CC6"/>
    <w:rsid w:val="6291F198"/>
    <w:rsid w:val="62948582"/>
    <w:rsid w:val="6295CC27"/>
    <w:rsid w:val="629897D2"/>
    <w:rsid w:val="629A8670"/>
    <w:rsid w:val="629B14DB"/>
    <w:rsid w:val="629B93B3"/>
    <w:rsid w:val="629C8164"/>
    <w:rsid w:val="629EB62B"/>
    <w:rsid w:val="62AD7F46"/>
    <w:rsid w:val="62AE07A3"/>
    <w:rsid w:val="62BC510F"/>
    <w:rsid w:val="62BF1FA4"/>
    <w:rsid w:val="62C0B4CF"/>
    <w:rsid w:val="62C1E62E"/>
    <w:rsid w:val="62CD9CAE"/>
    <w:rsid w:val="62D2C6BF"/>
    <w:rsid w:val="62DF14D1"/>
    <w:rsid w:val="62E4828F"/>
    <w:rsid w:val="62E4ABF7"/>
    <w:rsid w:val="62EA9628"/>
    <w:rsid w:val="62FFB19B"/>
    <w:rsid w:val="630809CB"/>
    <w:rsid w:val="6308C9EF"/>
    <w:rsid w:val="6309CA47"/>
    <w:rsid w:val="630C0143"/>
    <w:rsid w:val="63144CC4"/>
    <w:rsid w:val="632C1E7B"/>
    <w:rsid w:val="633583B2"/>
    <w:rsid w:val="63464762"/>
    <w:rsid w:val="6348FFBD"/>
    <w:rsid w:val="634A489D"/>
    <w:rsid w:val="635526BA"/>
    <w:rsid w:val="6359AC84"/>
    <w:rsid w:val="635B9092"/>
    <w:rsid w:val="635E194F"/>
    <w:rsid w:val="635EDAF8"/>
    <w:rsid w:val="63609A22"/>
    <w:rsid w:val="63610B9A"/>
    <w:rsid w:val="636237C0"/>
    <w:rsid w:val="63643B30"/>
    <w:rsid w:val="636653C0"/>
    <w:rsid w:val="6367E9E3"/>
    <w:rsid w:val="636A04F3"/>
    <w:rsid w:val="636AA0BC"/>
    <w:rsid w:val="636DE0D0"/>
    <w:rsid w:val="636F7538"/>
    <w:rsid w:val="637B702D"/>
    <w:rsid w:val="6388EAA4"/>
    <w:rsid w:val="638D902B"/>
    <w:rsid w:val="638F2D2D"/>
    <w:rsid w:val="63926B42"/>
    <w:rsid w:val="6394493A"/>
    <w:rsid w:val="63963C01"/>
    <w:rsid w:val="639EFFD6"/>
    <w:rsid w:val="63A07449"/>
    <w:rsid w:val="63A0CAF7"/>
    <w:rsid w:val="63A2B05C"/>
    <w:rsid w:val="63AC088F"/>
    <w:rsid w:val="63AC899B"/>
    <w:rsid w:val="63ACCB7F"/>
    <w:rsid w:val="63AFFADC"/>
    <w:rsid w:val="63B5BD24"/>
    <w:rsid w:val="63B839B2"/>
    <w:rsid w:val="63C82C7A"/>
    <w:rsid w:val="63CCB2DF"/>
    <w:rsid w:val="63CDBF3D"/>
    <w:rsid w:val="63D08DBB"/>
    <w:rsid w:val="63D8293D"/>
    <w:rsid w:val="63D877AD"/>
    <w:rsid w:val="63D91BBC"/>
    <w:rsid w:val="63DC830A"/>
    <w:rsid w:val="63EE469C"/>
    <w:rsid w:val="63F1F8A8"/>
    <w:rsid w:val="640192CC"/>
    <w:rsid w:val="64069412"/>
    <w:rsid w:val="640746AE"/>
    <w:rsid w:val="64098A42"/>
    <w:rsid w:val="640B4020"/>
    <w:rsid w:val="640DEC8B"/>
    <w:rsid w:val="641914C4"/>
    <w:rsid w:val="642F4352"/>
    <w:rsid w:val="6434B164"/>
    <w:rsid w:val="643EE9B7"/>
    <w:rsid w:val="6442F49F"/>
    <w:rsid w:val="644D8AA5"/>
    <w:rsid w:val="644E704E"/>
    <w:rsid w:val="64529D7D"/>
    <w:rsid w:val="64536FC2"/>
    <w:rsid w:val="6458DF1C"/>
    <w:rsid w:val="645C989C"/>
    <w:rsid w:val="645E646E"/>
    <w:rsid w:val="6465D631"/>
    <w:rsid w:val="6468857B"/>
    <w:rsid w:val="646A45DE"/>
    <w:rsid w:val="646A8339"/>
    <w:rsid w:val="646EC3C4"/>
    <w:rsid w:val="6472CD96"/>
    <w:rsid w:val="64731616"/>
    <w:rsid w:val="6478BF45"/>
    <w:rsid w:val="647F5051"/>
    <w:rsid w:val="6480CCB9"/>
    <w:rsid w:val="6480F836"/>
    <w:rsid w:val="64825B0A"/>
    <w:rsid w:val="64825DF3"/>
    <w:rsid w:val="64827EB8"/>
    <w:rsid w:val="64836124"/>
    <w:rsid w:val="648BBBB6"/>
    <w:rsid w:val="648CA678"/>
    <w:rsid w:val="648D964D"/>
    <w:rsid w:val="64923B86"/>
    <w:rsid w:val="6493508F"/>
    <w:rsid w:val="6493D935"/>
    <w:rsid w:val="6496DADE"/>
    <w:rsid w:val="649A665E"/>
    <w:rsid w:val="649A8A93"/>
    <w:rsid w:val="649AD31E"/>
    <w:rsid w:val="649E1FD7"/>
    <w:rsid w:val="64AC170B"/>
    <w:rsid w:val="64B4B3B2"/>
    <w:rsid w:val="64BB1018"/>
    <w:rsid w:val="64BDE878"/>
    <w:rsid w:val="64C43165"/>
    <w:rsid w:val="64D0F0DC"/>
    <w:rsid w:val="64E5D913"/>
    <w:rsid w:val="64EAA65F"/>
    <w:rsid w:val="64F13D0F"/>
    <w:rsid w:val="64F834B8"/>
    <w:rsid w:val="64FA8F3F"/>
    <w:rsid w:val="64FAC926"/>
    <w:rsid w:val="64FBB943"/>
    <w:rsid w:val="64FECC27"/>
    <w:rsid w:val="65004ECD"/>
    <w:rsid w:val="6506D268"/>
    <w:rsid w:val="6507681A"/>
    <w:rsid w:val="651196A3"/>
    <w:rsid w:val="6512CF5E"/>
    <w:rsid w:val="65139D3F"/>
    <w:rsid w:val="651BB3C8"/>
    <w:rsid w:val="65262A29"/>
    <w:rsid w:val="652AC64E"/>
    <w:rsid w:val="652E55E5"/>
    <w:rsid w:val="65371D1B"/>
    <w:rsid w:val="653810B5"/>
    <w:rsid w:val="6538CE3C"/>
    <w:rsid w:val="65390CA9"/>
    <w:rsid w:val="65476A41"/>
    <w:rsid w:val="6548E0E7"/>
    <w:rsid w:val="6548E323"/>
    <w:rsid w:val="654A7D11"/>
    <w:rsid w:val="654DCEC4"/>
    <w:rsid w:val="654E947C"/>
    <w:rsid w:val="65519B92"/>
    <w:rsid w:val="6551CA55"/>
    <w:rsid w:val="6553B7ED"/>
    <w:rsid w:val="6555DC5D"/>
    <w:rsid w:val="6557B2F6"/>
    <w:rsid w:val="655BC7D6"/>
    <w:rsid w:val="655ED30B"/>
    <w:rsid w:val="6566FC5D"/>
    <w:rsid w:val="6568B408"/>
    <w:rsid w:val="656AF62F"/>
    <w:rsid w:val="656BCF88"/>
    <w:rsid w:val="656EA7EB"/>
    <w:rsid w:val="6572D7C9"/>
    <w:rsid w:val="657FCBD0"/>
    <w:rsid w:val="658A5ECD"/>
    <w:rsid w:val="658F06F6"/>
    <w:rsid w:val="6597BA4F"/>
    <w:rsid w:val="65998B57"/>
    <w:rsid w:val="659C0499"/>
    <w:rsid w:val="659EFD0D"/>
    <w:rsid w:val="65A3405E"/>
    <w:rsid w:val="65ABAA07"/>
    <w:rsid w:val="65B06E31"/>
    <w:rsid w:val="65B1C2BD"/>
    <w:rsid w:val="65B45A5A"/>
    <w:rsid w:val="65B69F27"/>
    <w:rsid w:val="65B91024"/>
    <w:rsid w:val="65BE3A68"/>
    <w:rsid w:val="65CDA386"/>
    <w:rsid w:val="65CF1519"/>
    <w:rsid w:val="65D95A6C"/>
    <w:rsid w:val="65E9CBE9"/>
    <w:rsid w:val="65F26CCB"/>
    <w:rsid w:val="65F4CFF0"/>
    <w:rsid w:val="65F8F8C4"/>
    <w:rsid w:val="65FA0C67"/>
    <w:rsid w:val="65FDC645"/>
    <w:rsid w:val="6602118E"/>
    <w:rsid w:val="66034ED3"/>
    <w:rsid w:val="66075732"/>
    <w:rsid w:val="660BA059"/>
    <w:rsid w:val="66127FA2"/>
    <w:rsid w:val="6616F0BB"/>
    <w:rsid w:val="66203AE6"/>
    <w:rsid w:val="662232E4"/>
    <w:rsid w:val="66252E03"/>
    <w:rsid w:val="662623BB"/>
    <w:rsid w:val="66289C6E"/>
    <w:rsid w:val="6629182B"/>
    <w:rsid w:val="662CA03C"/>
    <w:rsid w:val="662EB326"/>
    <w:rsid w:val="66322881"/>
    <w:rsid w:val="663573BB"/>
    <w:rsid w:val="6635B192"/>
    <w:rsid w:val="663858A5"/>
    <w:rsid w:val="6639A6E6"/>
    <w:rsid w:val="6639D3D6"/>
    <w:rsid w:val="663B5FC1"/>
    <w:rsid w:val="66487CD7"/>
    <w:rsid w:val="66552775"/>
    <w:rsid w:val="665C7AC9"/>
    <w:rsid w:val="66643D0D"/>
    <w:rsid w:val="6672612C"/>
    <w:rsid w:val="66731CEB"/>
    <w:rsid w:val="66768ACE"/>
    <w:rsid w:val="667C0C82"/>
    <w:rsid w:val="6680B828"/>
    <w:rsid w:val="66827612"/>
    <w:rsid w:val="66842E8D"/>
    <w:rsid w:val="66852B93"/>
    <w:rsid w:val="6687203D"/>
    <w:rsid w:val="6688DB5C"/>
    <w:rsid w:val="668AFD5C"/>
    <w:rsid w:val="668B3DBC"/>
    <w:rsid w:val="668C398E"/>
    <w:rsid w:val="66926E43"/>
    <w:rsid w:val="66947FCC"/>
    <w:rsid w:val="66981F4D"/>
    <w:rsid w:val="669A8BAC"/>
    <w:rsid w:val="66A515A0"/>
    <w:rsid w:val="66A6D19A"/>
    <w:rsid w:val="66AC0220"/>
    <w:rsid w:val="66AEBCC4"/>
    <w:rsid w:val="66AEC688"/>
    <w:rsid w:val="66AFB80A"/>
    <w:rsid w:val="66B05FFB"/>
    <w:rsid w:val="66B2EE90"/>
    <w:rsid w:val="66BC47C7"/>
    <w:rsid w:val="66C651D7"/>
    <w:rsid w:val="66CBACA4"/>
    <w:rsid w:val="66CC85EE"/>
    <w:rsid w:val="66CD3D01"/>
    <w:rsid w:val="66D1CA63"/>
    <w:rsid w:val="66D31533"/>
    <w:rsid w:val="66D6485B"/>
    <w:rsid w:val="66D6C686"/>
    <w:rsid w:val="66D79B4A"/>
    <w:rsid w:val="66DB7F1C"/>
    <w:rsid w:val="66DD8074"/>
    <w:rsid w:val="66DDE452"/>
    <w:rsid w:val="66E49564"/>
    <w:rsid w:val="66E57D04"/>
    <w:rsid w:val="66E5CFA9"/>
    <w:rsid w:val="66E7013A"/>
    <w:rsid w:val="66E942E3"/>
    <w:rsid w:val="66EAA100"/>
    <w:rsid w:val="66EBAC7E"/>
    <w:rsid w:val="66EE5CA7"/>
    <w:rsid w:val="66F37D6E"/>
    <w:rsid w:val="66F623D1"/>
    <w:rsid w:val="66F9C481"/>
    <w:rsid w:val="66FAB343"/>
    <w:rsid w:val="66FBB0D8"/>
    <w:rsid w:val="66FD7F29"/>
    <w:rsid w:val="670413AB"/>
    <w:rsid w:val="6704A688"/>
    <w:rsid w:val="6705D2CC"/>
    <w:rsid w:val="67081F25"/>
    <w:rsid w:val="6712B1D2"/>
    <w:rsid w:val="6715DE48"/>
    <w:rsid w:val="671A3515"/>
    <w:rsid w:val="671EB5EF"/>
    <w:rsid w:val="67206B35"/>
    <w:rsid w:val="67257183"/>
    <w:rsid w:val="67268320"/>
    <w:rsid w:val="672AB21C"/>
    <w:rsid w:val="672BD26B"/>
    <w:rsid w:val="672BED25"/>
    <w:rsid w:val="672EB4D9"/>
    <w:rsid w:val="6732CABC"/>
    <w:rsid w:val="673330F1"/>
    <w:rsid w:val="673CDBB8"/>
    <w:rsid w:val="673D224E"/>
    <w:rsid w:val="6741B4C4"/>
    <w:rsid w:val="674513C0"/>
    <w:rsid w:val="6747394C"/>
    <w:rsid w:val="67483186"/>
    <w:rsid w:val="674845F1"/>
    <w:rsid w:val="674929E7"/>
    <w:rsid w:val="674AEC57"/>
    <w:rsid w:val="674D86DE"/>
    <w:rsid w:val="6750BAB8"/>
    <w:rsid w:val="675129DF"/>
    <w:rsid w:val="675789E0"/>
    <w:rsid w:val="675C07D9"/>
    <w:rsid w:val="675FE673"/>
    <w:rsid w:val="6764A60A"/>
    <w:rsid w:val="6765D04E"/>
    <w:rsid w:val="6767AB4C"/>
    <w:rsid w:val="6772BCFF"/>
    <w:rsid w:val="67732194"/>
    <w:rsid w:val="6775916E"/>
    <w:rsid w:val="67765313"/>
    <w:rsid w:val="677B589B"/>
    <w:rsid w:val="6780B623"/>
    <w:rsid w:val="6785DACC"/>
    <w:rsid w:val="6785E470"/>
    <w:rsid w:val="67890BCE"/>
    <w:rsid w:val="67921066"/>
    <w:rsid w:val="679564AC"/>
    <w:rsid w:val="6795C5FC"/>
    <w:rsid w:val="679ABC17"/>
    <w:rsid w:val="67A26C39"/>
    <w:rsid w:val="67A3C339"/>
    <w:rsid w:val="67A667E1"/>
    <w:rsid w:val="67AA5797"/>
    <w:rsid w:val="67AD8DA1"/>
    <w:rsid w:val="67AD8E7B"/>
    <w:rsid w:val="67AFF2CC"/>
    <w:rsid w:val="67B037F2"/>
    <w:rsid w:val="67B3325A"/>
    <w:rsid w:val="67B36156"/>
    <w:rsid w:val="67B4A32C"/>
    <w:rsid w:val="67B5E559"/>
    <w:rsid w:val="67B7C34E"/>
    <w:rsid w:val="67B92179"/>
    <w:rsid w:val="67BAF636"/>
    <w:rsid w:val="67BEB0CA"/>
    <w:rsid w:val="67BF4CCF"/>
    <w:rsid w:val="67C1CDA4"/>
    <w:rsid w:val="67C89B04"/>
    <w:rsid w:val="67CF57FD"/>
    <w:rsid w:val="67D4E0CE"/>
    <w:rsid w:val="67E096FA"/>
    <w:rsid w:val="67E1798A"/>
    <w:rsid w:val="67E2AA5C"/>
    <w:rsid w:val="67E7F04A"/>
    <w:rsid w:val="67E935DB"/>
    <w:rsid w:val="67E96852"/>
    <w:rsid w:val="67EBFC36"/>
    <w:rsid w:val="67F91830"/>
    <w:rsid w:val="67FA43E3"/>
    <w:rsid w:val="67FD6289"/>
    <w:rsid w:val="6801ED33"/>
    <w:rsid w:val="6805310F"/>
    <w:rsid w:val="680B4F48"/>
    <w:rsid w:val="680B5837"/>
    <w:rsid w:val="681A1E38"/>
    <w:rsid w:val="68208D36"/>
    <w:rsid w:val="6821F316"/>
    <w:rsid w:val="6829E429"/>
    <w:rsid w:val="682D7DA2"/>
    <w:rsid w:val="682DA1B4"/>
    <w:rsid w:val="682E1025"/>
    <w:rsid w:val="682E5107"/>
    <w:rsid w:val="6830B0C3"/>
    <w:rsid w:val="6830E123"/>
    <w:rsid w:val="683164D8"/>
    <w:rsid w:val="68366F8B"/>
    <w:rsid w:val="6836A735"/>
    <w:rsid w:val="68375AE7"/>
    <w:rsid w:val="6838688C"/>
    <w:rsid w:val="683CAF0E"/>
    <w:rsid w:val="683D4A13"/>
    <w:rsid w:val="6842A770"/>
    <w:rsid w:val="6842F7FF"/>
    <w:rsid w:val="6845D3DD"/>
    <w:rsid w:val="684A6024"/>
    <w:rsid w:val="684A6D80"/>
    <w:rsid w:val="684BBDFF"/>
    <w:rsid w:val="68546DAE"/>
    <w:rsid w:val="6854E28B"/>
    <w:rsid w:val="685A7A3C"/>
    <w:rsid w:val="68643EA1"/>
    <w:rsid w:val="6867A5BA"/>
    <w:rsid w:val="686810BE"/>
    <w:rsid w:val="68691BCB"/>
    <w:rsid w:val="686A73D7"/>
    <w:rsid w:val="686BC638"/>
    <w:rsid w:val="686CA71F"/>
    <w:rsid w:val="686DF3CB"/>
    <w:rsid w:val="686EA3D7"/>
    <w:rsid w:val="686FD030"/>
    <w:rsid w:val="68745CF3"/>
    <w:rsid w:val="6875F82B"/>
    <w:rsid w:val="687C9845"/>
    <w:rsid w:val="688138FD"/>
    <w:rsid w:val="6881A774"/>
    <w:rsid w:val="6882F41B"/>
    <w:rsid w:val="6886F39D"/>
    <w:rsid w:val="688A0A2B"/>
    <w:rsid w:val="688BEB6F"/>
    <w:rsid w:val="688E1BF8"/>
    <w:rsid w:val="689ABD63"/>
    <w:rsid w:val="689F6614"/>
    <w:rsid w:val="68B64CCA"/>
    <w:rsid w:val="68BAF2AF"/>
    <w:rsid w:val="68BBB7EE"/>
    <w:rsid w:val="68BBB8D7"/>
    <w:rsid w:val="68BCBBA0"/>
    <w:rsid w:val="68BD240C"/>
    <w:rsid w:val="68C07CAE"/>
    <w:rsid w:val="68C305A1"/>
    <w:rsid w:val="68D6B930"/>
    <w:rsid w:val="68E68755"/>
    <w:rsid w:val="68E887BA"/>
    <w:rsid w:val="68ED762A"/>
    <w:rsid w:val="68F069F9"/>
    <w:rsid w:val="68F11B95"/>
    <w:rsid w:val="68F513BF"/>
    <w:rsid w:val="68F5AAD0"/>
    <w:rsid w:val="68F8F85A"/>
    <w:rsid w:val="68FC7FFF"/>
    <w:rsid w:val="68FCB318"/>
    <w:rsid w:val="68FEB2C1"/>
    <w:rsid w:val="690182A7"/>
    <w:rsid w:val="69073CAC"/>
    <w:rsid w:val="690BF951"/>
    <w:rsid w:val="690D4B57"/>
    <w:rsid w:val="69122B3F"/>
    <w:rsid w:val="691B10A4"/>
    <w:rsid w:val="691DC4A0"/>
    <w:rsid w:val="6920B862"/>
    <w:rsid w:val="69263F8E"/>
    <w:rsid w:val="69307070"/>
    <w:rsid w:val="6932F4C0"/>
    <w:rsid w:val="69388AB3"/>
    <w:rsid w:val="693B32A6"/>
    <w:rsid w:val="6942CAB2"/>
    <w:rsid w:val="694CF029"/>
    <w:rsid w:val="6951682C"/>
    <w:rsid w:val="6952B426"/>
    <w:rsid w:val="6954558C"/>
    <w:rsid w:val="695D56B8"/>
    <w:rsid w:val="695ECC74"/>
    <w:rsid w:val="6962ACEA"/>
    <w:rsid w:val="696EA56A"/>
    <w:rsid w:val="69726B5D"/>
    <w:rsid w:val="69798EC3"/>
    <w:rsid w:val="697D80E6"/>
    <w:rsid w:val="697E92C0"/>
    <w:rsid w:val="6986495F"/>
    <w:rsid w:val="69893159"/>
    <w:rsid w:val="698987E2"/>
    <w:rsid w:val="698DEDD2"/>
    <w:rsid w:val="6990C44F"/>
    <w:rsid w:val="6995F81C"/>
    <w:rsid w:val="699FE908"/>
    <w:rsid w:val="69A5789B"/>
    <w:rsid w:val="69A99BC4"/>
    <w:rsid w:val="69A9A233"/>
    <w:rsid w:val="69AE01EA"/>
    <w:rsid w:val="69B687D2"/>
    <w:rsid w:val="69C3EBF8"/>
    <w:rsid w:val="69C60D6D"/>
    <w:rsid w:val="69CE3F1D"/>
    <w:rsid w:val="69CEE032"/>
    <w:rsid w:val="69CFC2B9"/>
    <w:rsid w:val="69D566FC"/>
    <w:rsid w:val="69D72C16"/>
    <w:rsid w:val="69DE60EF"/>
    <w:rsid w:val="69ED7C0D"/>
    <w:rsid w:val="69EE1769"/>
    <w:rsid w:val="69EE38CB"/>
    <w:rsid w:val="69EF7407"/>
    <w:rsid w:val="69F24361"/>
    <w:rsid w:val="69F9420A"/>
    <w:rsid w:val="69FE5EFE"/>
    <w:rsid w:val="6A02C8A8"/>
    <w:rsid w:val="6A02E4C7"/>
    <w:rsid w:val="6A0500B1"/>
    <w:rsid w:val="6A0EB1F2"/>
    <w:rsid w:val="6A10643A"/>
    <w:rsid w:val="6A10F79D"/>
    <w:rsid w:val="6A1314B0"/>
    <w:rsid w:val="6A1F009C"/>
    <w:rsid w:val="6A1F5675"/>
    <w:rsid w:val="6A23BBF0"/>
    <w:rsid w:val="6A2C30EF"/>
    <w:rsid w:val="6A2CDB07"/>
    <w:rsid w:val="6A2E5BA9"/>
    <w:rsid w:val="6A37DF30"/>
    <w:rsid w:val="6A3D0599"/>
    <w:rsid w:val="6A42483F"/>
    <w:rsid w:val="6A4700F5"/>
    <w:rsid w:val="6A545F40"/>
    <w:rsid w:val="6A55EA81"/>
    <w:rsid w:val="6A561789"/>
    <w:rsid w:val="6A57D01F"/>
    <w:rsid w:val="6A614502"/>
    <w:rsid w:val="6A626A67"/>
    <w:rsid w:val="6A64A2EB"/>
    <w:rsid w:val="6A66A1A1"/>
    <w:rsid w:val="6A682F01"/>
    <w:rsid w:val="6A707212"/>
    <w:rsid w:val="6A717700"/>
    <w:rsid w:val="6A72DDB1"/>
    <w:rsid w:val="6A7450F7"/>
    <w:rsid w:val="6A786A50"/>
    <w:rsid w:val="6A8425EA"/>
    <w:rsid w:val="6A85283D"/>
    <w:rsid w:val="6A88D9E4"/>
    <w:rsid w:val="6A927339"/>
    <w:rsid w:val="6A93F624"/>
    <w:rsid w:val="6A94CFBF"/>
    <w:rsid w:val="6A97C1B6"/>
    <w:rsid w:val="6A9A8FD6"/>
    <w:rsid w:val="6A9C410F"/>
    <w:rsid w:val="6A9EE05B"/>
    <w:rsid w:val="6AA186E8"/>
    <w:rsid w:val="6AA4CD71"/>
    <w:rsid w:val="6AA53E04"/>
    <w:rsid w:val="6AAC435D"/>
    <w:rsid w:val="6AB9CC76"/>
    <w:rsid w:val="6ABBC9B7"/>
    <w:rsid w:val="6AC1BB88"/>
    <w:rsid w:val="6AC73F43"/>
    <w:rsid w:val="6ACAFD12"/>
    <w:rsid w:val="6ACB4847"/>
    <w:rsid w:val="6ACBC10B"/>
    <w:rsid w:val="6AD3A430"/>
    <w:rsid w:val="6AD57770"/>
    <w:rsid w:val="6AD6A6F4"/>
    <w:rsid w:val="6AD794BF"/>
    <w:rsid w:val="6ADA6E85"/>
    <w:rsid w:val="6ADD377B"/>
    <w:rsid w:val="6AE17867"/>
    <w:rsid w:val="6AE638EE"/>
    <w:rsid w:val="6AEBDDEA"/>
    <w:rsid w:val="6AF0BF76"/>
    <w:rsid w:val="6AF453B2"/>
    <w:rsid w:val="6AF68A60"/>
    <w:rsid w:val="6AF8311C"/>
    <w:rsid w:val="6AF94921"/>
    <w:rsid w:val="6AFD8F8C"/>
    <w:rsid w:val="6AFF6228"/>
    <w:rsid w:val="6B0169AD"/>
    <w:rsid w:val="6B02B339"/>
    <w:rsid w:val="6B077349"/>
    <w:rsid w:val="6B09927B"/>
    <w:rsid w:val="6B0ABC26"/>
    <w:rsid w:val="6B0B90CD"/>
    <w:rsid w:val="6B0D584C"/>
    <w:rsid w:val="6B11CA9F"/>
    <w:rsid w:val="6B11CAB0"/>
    <w:rsid w:val="6B1A5565"/>
    <w:rsid w:val="6B1B0B05"/>
    <w:rsid w:val="6B1D3725"/>
    <w:rsid w:val="6B245979"/>
    <w:rsid w:val="6B2823FE"/>
    <w:rsid w:val="6B2BFC7E"/>
    <w:rsid w:val="6B31EB69"/>
    <w:rsid w:val="6B340CFF"/>
    <w:rsid w:val="6B3F33E0"/>
    <w:rsid w:val="6B408842"/>
    <w:rsid w:val="6B4262FD"/>
    <w:rsid w:val="6B451855"/>
    <w:rsid w:val="6B4743A4"/>
    <w:rsid w:val="6B47A124"/>
    <w:rsid w:val="6B481C02"/>
    <w:rsid w:val="6B48629E"/>
    <w:rsid w:val="6B4A4290"/>
    <w:rsid w:val="6B4EA115"/>
    <w:rsid w:val="6B54B213"/>
    <w:rsid w:val="6B7410E4"/>
    <w:rsid w:val="6B748F76"/>
    <w:rsid w:val="6B7766CA"/>
    <w:rsid w:val="6B7E8900"/>
    <w:rsid w:val="6B827923"/>
    <w:rsid w:val="6B8730AC"/>
    <w:rsid w:val="6BA2A3D7"/>
    <w:rsid w:val="6BA527E7"/>
    <w:rsid w:val="6BAA94CB"/>
    <w:rsid w:val="6BAEC353"/>
    <w:rsid w:val="6BAF3E19"/>
    <w:rsid w:val="6BB14513"/>
    <w:rsid w:val="6BB269E6"/>
    <w:rsid w:val="6BB29B09"/>
    <w:rsid w:val="6BBEEA5E"/>
    <w:rsid w:val="6BC22F07"/>
    <w:rsid w:val="6BC28767"/>
    <w:rsid w:val="6BCF0DFF"/>
    <w:rsid w:val="6BD6840A"/>
    <w:rsid w:val="6BD7CDC8"/>
    <w:rsid w:val="6BD9BC34"/>
    <w:rsid w:val="6BDD067E"/>
    <w:rsid w:val="6BE7FE8E"/>
    <w:rsid w:val="6BED8734"/>
    <w:rsid w:val="6BF239B2"/>
    <w:rsid w:val="6BFB3440"/>
    <w:rsid w:val="6BFEFE0C"/>
    <w:rsid w:val="6C027076"/>
    <w:rsid w:val="6C037784"/>
    <w:rsid w:val="6C05B372"/>
    <w:rsid w:val="6C06BE38"/>
    <w:rsid w:val="6C06EF02"/>
    <w:rsid w:val="6C0E2A73"/>
    <w:rsid w:val="6C11265E"/>
    <w:rsid w:val="6C11EACA"/>
    <w:rsid w:val="6C14CCD8"/>
    <w:rsid w:val="6C157320"/>
    <w:rsid w:val="6C17E873"/>
    <w:rsid w:val="6C1CCDB5"/>
    <w:rsid w:val="6C1EAE36"/>
    <w:rsid w:val="6C1F51E5"/>
    <w:rsid w:val="6C211AC2"/>
    <w:rsid w:val="6C21D38B"/>
    <w:rsid w:val="6C2508FB"/>
    <w:rsid w:val="6C28F064"/>
    <w:rsid w:val="6C2A771B"/>
    <w:rsid w:val="6C307AF7"/>
    <w:rsid w:val="6C31DF72"/>
    <w:rsid w:val="6C38336D"/>
    <w:rsid w:val="6C3C8E06"/>
    <w:rsid w:val="6C3FE677"/>
    <w:rsid w:val="6C432A6F"/>
    <w:rsid w:val="6C444DCC"/>
    <w:rsid w:val="6C4728A5"/>
    <w:rsid w:val="6C47EA46"/>
    <w:rsid w:val="6C48A2FE"/>
    <w:rsid w:val="6C4B5E36"/>
    <w:rsid w:val="6C4CCEB5"/>
    <w:rsid w:val="6C522586"/>
    <w:rsid w:val="6C5879C5"/>
    <w:rsid w:val="6C59CD0A"/>
    <w:rsid w:val="6C5AB648"/>
    <w:rsid w:val="6C5EB296"/>
    <w:rsid w:val="6C62BDED"/>
    <w:rsid w:val="6C682352"/>
    <w:rsid w:val="6C6B4FD2"/>
    <w:rsid w:val="6C6CD753"/>
    <w:rsid w:val="6C6D0C57"/>
    <w:rsid w:val="6C722D55"/>
    <w:rsid w:val="6C729317"/>
    <w:rsid w:val="6C7FC73F"/>
    <w:rsid w:val="6C86D540"/>
    <w:rsid w:val="6C8EA07C"/>
    <w:rsid w:val="6C963D86"/>
    <w:rsid w:val="6C96FAF7"/>
    <w:rsid w:val="6C97FDB0"/>
    <w:rsid w:val="6C9D870D"/>
    <w:rsid w:val="6CA16D85"/>
    <w:rsid w:val="6CA191A7"/>
    <w:rsid w:val="6CA2F00E"/>
    <w:rsid w:val="6CA4C622"/>
    <w:rsid w:val="6CA89E6C"/>
    <w:rsid w:val="6CA92788"/>
    <w:rsid w:val="6CAB6300"/>
    <w:rsid w:val="6CAE3C62"/>
    <w:rsid w:val="6CAF29CE"/>
    <w:rsid w:val="6CB12838"/>
    <w:rsid w:val="6CB3AE7E"/>
    <w:rsid w:val="6CB57A8F"/>
    <w:rsid w:val="6CB6F127"/>
    <w:rsid w:val="6CB762C9"/>
    <w:rsid w:val="6CBBDC56"/>
    <w:rsid w:val="6CBD3677"/>
    <w:rsid w:val="6CBE9F3D"/>
    <w:rsid w:val="6CC266EC"/>
    <w:rsid w:val="6CC576D1"/>
    <w:rsid w:val="6CC7A2F6"/>
    <w:rsid w:val="6CCA5898"/>
    <w:rsid w:val="6CD453AC"/>
    <w:rsid w:val="6CDDA77F"/>
    <w:rsid w:val="6CDF44FD"/>
    <w:rsid w:val="6CE335C3"/>
    <w:rsid w:val="6CE382C1"/>
    <w:rsid w:val="6CE6E6AF"/>
    <w:rsid w:val="6CEDF1AF"/>
    <w:rsid w:val="6CF2B0F9"/>
    <w:rsid w:val="6CF6AE50"/>
    <w:rsid w:val="6CF6E211"/>
    <w:rsid w:val="6CFD4B39"/>
    <w:rsid w:val="6CFD9905"/>
    <w:rsid w:val="6CFDBF5E"/>
    <w:rsid w:val="6D0235F6"/>
    <w:rsid w:val="6D05F6DC"/>
    <w:rsid w:val="6D067185"/>
    <w:rsid w:val="6D07D4A0"/>
    <w:rsid w:val="6D108586"/>
    <w:rsid w:val="6D139517"/>
    <w:rsid w:val="6D1564E0"/>
    <w:rsid w:val="6D25ECA1"/>
    <w:rsid w:val="6D2A7BEB"/>
    <w:rsid w:val="6D30B851"/>
    <w:rsid w:val="6D349D53"/>
    <w:rsid w:val="6D38A869"/>
    <w:rsid w:val="6D394157"/>
    <w:rsid w:val="6D3BA29A"/>
    <w:rsid w:val="6D41ED3D"/>
    <w:rsid w:val="6D47AFF5"/>
    <w:rsid w:val="6D4B8C14"/>
    <w:rsid w:val="6D4BB1F8"/>
    <w:rsid w:val="6D4C2ECE"/>
    <w:rsid w:val="6D4D63CA"/>
    <w:rsid w:val="6D5031C2"/>
    <w:rsid w:val="6D52D2AC"/>
    <w:rsid w:val="6D54246A"/>
    <w:rsid w:val="6D5A0713"/>
    <w:rsid w:val="6D5A7AE4"/>
    <w:rsid w:val="6D63654D"/>
    <w:rsid w:val="6D647E84"/>
    <w:rsid w:val="6D64927E"/>
    <w:rsid w:val="6D64BA86"/>
    <w:rsid w:val="6D6A58D1"/>
    <w:rsid w:val="6D6ECE59"/>
    <w:rsid w:val="6D6FC352"/>
    <w:rsid w:val="6D71F1A9"/>
    <w:rsid w:val="6D756D1A"/>
    <w:rsid w:val="6D7619E8"/>
    <w:rsid w:val="6D7B5ACA"/>
    <w:rsid w:val="6D80A72D"/>
    <w:rsid w:val="6D8B8E03"/>
    <w:rsid w:val="6D9400B8"/>
    <w:rsid w:val="6D943532"/>
    <w:rsid w:val="6D991D21"/>
    <w:rsid w:val="6D994492"/>
    <w:rsid w:val="6D99AB37"/>
    <w:rsid w:val="6D9A11B5"/>
    <w:rsid w:val="6D9F01D2"/>
    <w:rsid w:val="6DA51040"/>
    <w:rsid w:val="6DA6B754"/>
    <w:rsid w:val="6DA7FF14"/>
    <w:rsid w:val="6DA9AD14"/>
    <w:rsid w:val="6DAAF64C"/>
    <w:rsid w:val="6DB2E95A"/>
    <w:rsid w:val="6DB5B71F"/>
    <w:rsid w:val="6DB755F0"/>
    <w:rsid w:val="6DBA695B"/>
    <w:rsid w:val="6DBC53A9"/>
    <w:rsid w:val="6DBD7043"/>
    <w:rsid w:val="6DBFA7F5"/>
    <w:rsid w:val="6DC06F69"/>
    <w:rsid w:val="6DC29A84"/>
    <w:rsid w:val="6DC41FC7"/>
    <w:rsid w:val="6DD3C9F1"/>
    <w:rsid w:val="6DE5B47E"/>
    <w:rsid w:val="6DEA4262"/>
    <w:rsid w:val="6DEBBC05"/>
    <w:rsid w:val="6DED3F4B"/>
    <w:rsid w:val="6DEDB966"/>
    <w:rsid w:val="6DEE44D6"/>
    <w:rsid w:val="6DEF509B"/>
    <w:rsid w:val="6DF2C400"/>
    <w:rsid w:val="6DF534F4"/>
    <w:rsid w:val="6DF6A67F"/>
    <w:rsid w:val="6DF8A403"/>
    <w:rsid w:val="6E005827"/>
    <w:rsid w:val="6E16EFEB"/>
    <w:rsid w:val="6E2C2EA8"/>
    <w:rsid w:val="6E30CB69"/>
    <w:rsid w:val="6E322C55"/>
    <w:rsid w:val="6E36A152"/>
    <w:rsid w:val="6E3889BA"/>
    <w:rsid w:val="6E3B2159"/>
    <w:rsid w:val="6E42A337"/>
    <w:rsid w:val="6E47077F"/>
    <w:rsid w:val="6E476EF9"/>
    <w:rsid w:val="6E4EF1B6"/>
    <w:rsid w:val="6E506822"/>
    <w:rsid w:val="6E513AED"/>
    <w:rsid w:val="6E532BA9"/>
    <w:rsid w:val="6E54E891"/>
    <w:rsid w:val="6E5665B4"/>
    <w:rsid w:val="6E579903"/>
    <w:rsid w:val="6E590B07"/>
    <w:rsid w:val="6E5967BB"/>
    <w:rsid w:val="6E5A113A"/>
    <w:rsid w:val="6E5AF97B"/>
    <w:rsid w:val="6E5E3E47"/>
    <w:rsid w:val="6E679229"/>
    <w:rsid w:val="6E69B4A2"/>
    <w:rsid w:val="6E6EAAB6"/>
    <w:rsid w:val="6E6F2D76"/>
    <w:rsid w:val="6E71A27A"/>
    <w:rsid w:val="6E71E8D1"/>
    <w:rsid w:val="6E783B69"/>
    <w:rsid w:val="6E79B85B"/>
    <w:rsid w:val="6E80F4BD"/>
    <w:rsid w:val="6E81D25D"/>
    <w:rsid w:val="6E8673A9"/>
    <w:rsid w:val="6E8A7877"/>
    <w:rsid w:val="6E8CD379"/>
    <w:rsid w:val="6E8F5AF1"/>
    <w:rsid w:val="6E8FCC73"/>
    <w:rsid w:val="6E94BB90"/>
    <w:rsid w:val="6E9698E1"/>
    <w:rsid w:val="6E96B26E"/>
    <w:rsid w:val="6E96F948"/>
    <w:rsid w:val="6EA8ED0D"/>
    <w:rsid w:val="6EACDEEB"/>
    <w:rsid w:val="6EB73BE4"/>
    <w:rsid w:val="6EB90394"/>
    <w:rsid w:val="6EB90799"/>
    <w:rsid w:val="6EBFF501"/>
    <w:rsid w:val="6EC37C91"/>
    <w:rsid w:val="6EC66787"/>
    <w:rsid w:val="6ECA785C"/>
    <w:rsid w:val="6ECEF844"/>
    <w:rsid w:val="6ECF1457"/>
    <w:rsid w:val="6ED5F861"/>
    <w:rsid w:val="6ED7421A"/>
    <w:rsid w:val="6ED8B0AD"/>
    <w:rsid w:val="6EDD1FF9"/>
    <w:rsid w:val="6EDD4EBE"/>
    <w:rsid w:val="6EDDA48D"/>
    <w:rsid w:val="6EDDFF72"/>
    <w:rsid w:val="6EE03803"/>
    <w:rsid w:val="6EE2EC97"/>
    <w:rsid w:val="6EE5A6FB"/>
    <w:rsid w:val="6EEDE4FF"/>
    <w:rsid w:val="6EEE0F3D"/>
    <w:rsid w:val="6EF65927"/>
    <w:rsid w:val="6EF916E7"/>
    <w:rsid w:val="6EFACF0E"/>
    <w:rsid w:val="6F001334"/>
    <w:rsid w:val="6F0062DF"/>
    <w:rsid w:val="6F064F09"/>
    <w:rsid w:val="6F09A218"/>
    <w:rsid w:val="6F10F0C5"/>
    <w:rsid w:val="6F115DE8"/>
    <w:rsid w:val="6F11FA43"/>
    <w:rsid w:val="6F1BB68F"/>
    <w:rsid w:val="6F21AAAA"/>
    <w:rsid w:val="6F2238EE"/>
    <w:rsid w:val="6F26F579"/>
    <w:rsid w:val="6F29A95D"/>
    <w:rsid w:val="6F2EE432"/>
    <w:rsid w:val="6F374830"/>
    <w:rsid w:val="6F3749AB"/>
    <w:rsid w:val="6F3FD27D"/>
    <w:rsid w:val="6F3FE3EA"/>
    <w:rsid w:val="6F423B99"/>
    <w:rsid w:val="6F540EF5"/>
    <w:rsid w:val="6F54BA31"/>
    <w:rsid w:val="6F54F5F4"/>
    <w:rsid w:val="6F58D87E"/>
    <w:rsid w:val="6F5F51FC"/>
    <w:rsid w:val="6F62A492"/>
    <w:rsid w:val="6F64C1A8"/>
    <w:rsid w:val="6F68F5E3"/>
    <w:rsid w:val="6F69D329"/>
    <w:rsid w:val="6F72D83F"/>
    <w:rsid w:val="6F822237"/>
    <w:rsid w:val="6F889D5D"/>
    <w:rsid w:val="6F88A4E8"/>
    <w:rsid w:val="6F89636C"/>
    <w:rsid w:val="6F8E3538"/>
    <w:rsid w:val="6F8EBF45"/>
    <w:rsid w:val="6F91024E"/>
    <w:rsid w:val="6F942B69"/>
    <w:rsid w:val="6F957490"/>
    <w:rsid w:val="6FA004E2"/>
    <w:rsid w:val="6FA4F0C3"/>
    <w:rsid w:val="6FA675B1"/>
    <w:rsid w:val="6FA98A0B"/>
    <w:rsid w:val="6FA9A9CE"/>
    <w:rsid w:val="6FB3A119"/>
    <w:rsid w:val="6FB91195"/>
    <w:rsid w:val="6FB976B4"/>
    <w:rsid w:val="6FC19418"/>
    <w:rsid w:val="6FC91D0F"/>
    <w:rsid w:val="6FD51696"/>
    <w:rsid w:val="6FD7561A"/>
    <w:rsid w:val="6FD8B390"/>
    <w:rsid w:val="6FE0C507"/>
    <w:rsid w:val="6FE299DD"/>
    <w:rsid w:val="6FE348C0"/>
    <w:rsid w:val="6FE55CBC"/>
    <w:rsid w:val="6FE81989"/>
    <w:rsid w:val="6FE971DB"/>
    <w:rsid w:val="6FEA6BA7"/>
    <w:rsid w:val="6FEFE446"/>
    <w:rsid w:val="6FF04A81"/>
    <w:rsid w:val="6FF4A5DF"/>
    <w:rsid w:val="6FFA18DD"/>
    <w:rsid w:val="6FFC5A38"/>
    <w:rsid w:val="6FFD70CC"/>
    <w:rsid w:val="6FFF62E4"/>
    <w:rsid w:val="7006FF00"/>
    <w:rsid w:val="700E1B5E"/>
    <w:rsid w:val="701D7449"/>
    <w:rsid w:val="701E0412"/>
    <w:rsid w:val="701FDD4C"/>
    <w:rsid w:val="70255AE5"/>
    <w:rsid w:val="70257D04"/>
    <w:rsid w:val="70274EAB"/>
    <w:rsid w:val="7028B04B"/>
    <w:rsid w:val="702B5566"/>
    <w:rsid w:val="702D5BA0"/>
    <w:rsid w:val="702E312C"/>
    <w:rsid w:val="702F4E97"/>
    <w:rsid w:val="7030CA96"/>
    <w:rsid w:val="7036D792"/>
    <w:rsid w:val="7038455C"/>
    <w:rsid w:val="7039E07F"/>
    <w:rsid w:val="703BC245"/>
    <w:rsid w:val="703E2DB2"/>
    <w:rsid w:val="705068A7"/>
    <w:rsid w:val="7051AB7A"/>
    <w:rsid w:val="7053C133"/>
    <w:rsid w:val="7055765B"/>
    <w:rsid w:val="7055EAE4"/>
    <w:rsid w:val="7056CF7E"/>
    <w:rsid w:val="705B819F"/>
    <w:rsid w:val="705D9293"/>
    <w:rsid w:val="70620F6F"/>
    <w:rsid w:val="70662B67"/>
    <w:rsid w:val="70669514"/>
    <w:rsid w:val="7068ADA2"/>
    <w:rsid w:val="706FA2EA"/>
    <w:rsid w:val="7070B813"/>
    <w:rsid w:val="70722F47"/>
    <w:rsid w:val="70736D19"/>
    <w:rsid w:val="70746DEC"/>
    <w:rsid w:val="70750748"/>
    <w:rsid w:val="70772686"/>
    <w:rsid w:val="707E7707"/>
    <w:rsid w:val="707EEC5E"/>
    <w:rsid w:val="707FE3FA"/>
    <w:rsid w:val="70809CF8"/>
    <w:rsid w:val="70825463"/>
    <w:rsid w:val="7088A3DE"/>
    <w:rsid w:val="70923CC2"/>
    <w:rsid w:val="7094E10B"/>
    <w:rsid w:val="709BAADB"/>
    <w:rsid w:val="709BC3DA"/>
    <w:rsid w:val="70A3E29E"/>
    <w:rsid w:val="70A7BEFD"/>
    <w:rsid w:val="70ABB084"/>
    <w:rsid w:val="70AE06DD"/>
    <w:rsid w:val="70AF0DF5"/>
    <w:rsid w:val="70B0DF74"/>
    <w:rsid w:val="70B7E0FF"/>
    <w:rsid w:val="70BA3990"/>
    <w:rsid w:val="70BCDC67"/>
    <w:rsid w:val="70C1E30F"/>
    <w:rsid w:val="70C4114D"/>
    <w:rsid w:val="70C41A46"/>
    <w:rsid w:val="70C4AF5A"/>
    <w:rsid w:val="70C56DB9"/>
    <w:rsid w:val="70C61D5E"/>
    <w:rsid w:val="70C9DCD8"/>
    <w:rsid w:val="70D12D98"/>
    <w:rsid w:val="70D6102B"/>
    <w:rsid w:val="70D6C678"/>
    <w:rsid w:val="70DAA217"/>
    <w:rsid w:val="70DAF4E0"/>
    <w:rsid w:val="70DEDE7F"/>
    <w:rsid w:val="70E5F6E7"/>
    <w:rsid w:val="70F07BBE"/>
    <w:rsid w:val="70F21E8F"/>
    <w:rsid w:val="70F26229"/>
    <w:rsid w:val="70F2B951"/>
    <w:rsid w:val="70F57545"/>
    <w:rsid w:val="70FA92AF"/>
    <w:rsid w:val="70FCDF7B"/>
    <w:rsid w:val="710492A6"/>
    <w:rsid w:val="7107DA61"/>
    <w:rsid w:val="7111E69C"/>
    <w:rsid w:val="711243F4"/>
    <w:rsid w:val="71179E57"/>
    <w:rsid w:val="71197B85"/>
    <w:rsid w:val="711B6D55"/>
    <w:rsid w:val="711DCCB8"/>
    <w:rsid w:val="711E5D0C"/>
    <w:rsid w:val="71214209"/>
    <w:rsid w:val="71227122"/>
    <w:rsid w:val="71231060"/>
    <w:rsid w:val="71279BE4"/>
    <w:rsid w:val="7132EED8"/>
    <w:rsid w:val="71346E5D"/>
    <w:rsid w:val="7135F51C"/>
    <w:rsid w:val="7138E4B5"/>
    <w:rsid w:val="7149E546"/>
    <w:rsid w:val="714BD10F"/>
    <w:rsid w:val="714E88E7"/>
    <w:rsid w:val="7150023B"/>
    <w:rsid w:val="7151017F"/>
    <w:rsid w:val="71524940"/>
    <w:rsid w:val="71533F18"/>
    <w:rsid w:val="7155680F"/>
    <w:rsid w:val="7158EFCD"/>
    <w:rsid w:val="715B001F"/>
    <w:rsid w:val="715B465E"/>
    <w:rsid w:val="715F2F17"/>
    <w:rsid w:val="715F6610"/>
    <w:rsid w:val="7168E6F4"/>
    <w:rsid w:val="716C8D40"/>
    <w:rsid w:val="716DFAE5"/>
    <w:rsid w:val="71728558"/>
    <w:rsid w:val="7177E264"/>
    <w:rsid w:val="71784583"/>
    <w:rsid w:val="7178F4F9"/>
    <w:rsid w:val="717984B9"/>
    <w:rsid w:val="717AD70E"/>
    <w:rsid w:val="717D9A3A"/>
    <w:rsid w:val="7184A9A2"/>
    <w:rsid w:val="71859281"/>
    <w:rsid w:val="7185B737"/>
    <w:rsid w:val="718DBE61"/>
    <w:rsid w:val="71910FD4"/>
    <w:rsid w:val="7191E735"/>
    <w:rsid w:val="719621DC"/>
    <w:rsid w:val="719752F3"/>
    <w:rsid w:val="7197C072"/>
    <w:rsid w:val="71983BA9"/>
    <w:rsid w:val="71AC2B41"/>
    <w:rsid w:val="71B3320C"/>
    <w:rsid w:val="71B46EB6"/>
    <w:rsid w:val="71BBA31F"/>
    <w:rsid w:val="71BD5810"/>
    <w:rsid w:val="71C1D6E1"/>
    <w:rsid w:val="71C2378F"/>
    <w:rsid w:val="71C3D3C8"/>
    <w:rsid w:val="71C86B90"/>
    <w:rsid w:val="71CC3C43"/>
    <w:rsid w:val="71CC4F55"/>
    <w:rsid w:val="71CC8841"/>
    <w:rsid w:val="71CE6D4D"/>
    <w:rsid w:val="71CED848"/>
    <w:rsid w:val="71D359AE"/>
    <w:rsid w:val="71D5C873"/>
    <w:rsid w:val="71D78E10"/>
    <w:rsid w:val="71D8836E"/>
    <w:rsid w:val="71D96AC9"/>
    <w:rsid w:val="71DD5461"/>
    <w:rsid w:val="71E16E25"/>
    <w:rsid w:val="71E1A1E2"/>
    <w:rsid w:val="71E1BE3D"/>
    <w:rsid w:val="71E7C6F8"/>
    <w:rsid w:val="71EE768C"/>
    <w:rsid w:val="71EFBBC0"/>
    <w:rsid w:val="71F2B891"/>
    <w:rsid w:val="71F73DAF"/>
    <w:rsid w:val="71FA4CB8"/>
    <w:rsid w:val="71FDA171"/>
    <w:rsid w:val="72027C77"/>
    <w:rsid w:val="7205A8F7"/>
    <w:rsid w:val="7205DC98"/>
    <w:rsid w:val="72107CB6"/>
    <w:rsid w:val="72154472"/>
    <w:rsid w:val="72154EED"/>
    <w:rsid w:val="721A87C3"/>
    <w:rsid w:val="721BEF8E"/>
    <w:rsid w:val="721DA708"/>
    <w:rsid w:val="721DE600"/>
    <w:rsid w:val="72208FA9"/>
    <w:rsid w:val="7227CD69"/>
    <w:rsid w:val="722AF200"/>
    <w:rsid w:val="722FF75B"/>
    <w:rsid w:val="72315C95"/>
    <w:rsid w:val="72322297"/>
    <w:rsid w:val="7242B4D3"/>
    <w:rsid w:val="7243CD8F"/>
    <w:rsid w:val="7246627A"/>
    <w:rsid w:val="7247B951"/>
    <w:rsid w:val="724DBDBA"/>
    <w:rsid w:val="7259F39E"/>
    <w:rsid w:val="725C6286"/>
    <w:rsid w:val="725DD7B2"/>
    <w:rsid w:val="72645E80"/>
    <w:rsid w:val="726FD390"/>
    <w:rsid w:val="72726E3F"/>
    <w:rsid w:val="7278D32A"/>
    <w:rsid w:val="7279CDB6"/>
    <w:rsid w:val="727AFCE1"/>
    <w:rsid w:val="7280FE42"/>
    <w:rsid w:val="728EE7E0"/>
    <w:rsid w:val="7295F1DF"/>
    <w:rsid w:val="7296E0FB"/>
    <w:rsid w:val="72A71BC4"/>
    <w:rsid w:val="72A84937"/>
    <w:rsid w:val="72AE9982"/>
    <w:rsid w:val="72B2680E"/>
    <w:rsid w:val="72B41603"/>
    <w:rsid w:val="72B80D4D"/>
    <w:rsid w:val="72BA419E"/>
    <w:rsid w:val="72BA8CA7"/>
    <w:rsid w:val="72C6B89B"/>
    <w:rsid w:val="72CAF473"/>
    <w:rsid w:val="72CE6A2A"/>
    <w:rsid w:val="72D76E88"/>
    <w:rsid w:val="72DF1BEE"/>
    <w:rsid w:val="72E17942"/>
    <w:rsid w:val="72E1B6F3"/>
    <w:rsid w:val="72E93909"/>
    <w:rsid w:val="72EFB78F"/>
    <w:rsid w:val="72EFFB51"/>
    <w:rsid w:val="72F42565"/>
    <w:rsid w:val="72F94FB9"/>
    <w:rsid w:val="7305E614"/>
    <w:rsid w:val="7306236C"/>
    <w:rsid w:val="73105A05"/>
    <w:rsid w:val="73116210"/>
    <w:rsid w:val="731C6D34"/>
    <w:rsid w:val="73233B7F"/>
    <w:rsid w:val="7323AD94"/>
    <w:rsid w:val="7324E63F"/>
    <w:rsid w:val="7329B169"/>
    <w:rsid w:val="732F1BDA"/>
    <w:rsid w:val="73374044"/>
    <w:rsid w:val="733846A0"/>
    <w:rsid w:val="733A4566"/>
    <w:rsid w:val="733C18F5"/>
    <w:rsid w:val="733D016B"/>
    <w:rsid w:val="7340D09E"/>
    <w:rsid w:val="73425204"/>
    <w:rsid w:val="734A45BC"/>
    <w:rsid w:val="7356C31C"/>
    <w:rsid w:val="7360B4C6"/>
    <w:rsid w:val="7365A174"/>
    <w:rsid w:val="736F3B5F"/>
    <w:rsid w:val="73708315"/>
    <w:rsid w:val="73713029"/>
    <w:rsid w:val="73737460"/>
    <w:rsid w:val="737AB229"/>
    <w:rsid w:val="737AD244"/>
    <w:rsid w:val="73805077"/>
    <w:rsid w:val="73813787"/>
    <w:rsid w:val="7382F9FE"/>
    <w:rsid w:val="7383AA76"/>
    <w:rsid w:val="7385C9AA"/>
    <w:rsid w:val="73878554"/>
    <w:rsid w:val="73880841"/>
    <w:rsid w:val="73894261"/>
    <w:rsid w:val="738A2AB9"/>
    <w:rsid w:val="7394620F"/>
    <w:rsid w:val="73954E9D"/>
    <w:rsid w:val="7398FB11"/>
    <w:rsid w:val="73997E04"/>
    <w:rsid w:val="7399CC29"/>
    <w:rsid w:val="739A4CA2"/>
    <w:rsid w:val="739D0F57"/>
    <w:rsid w:val="739EA1F1"/>
    <w:rsid w:val="73A0ED33"/>
    <w:rsid w:val="73A20FB0"/>
    <w:rsid w:val="73A27C5C"/>
    <w:rsid w:val="73A46FB1"/>
    <w:rsid w:val="73AD7ED5"/>
    <w:rsid w:val="73AF175B"/>
    <w:rsid w:val="73B179DD"/>
    <w:rsid w:val="73B88063"/>
    <w:rsid w:val="73BAC12D"/>
    <w:rsid w:val="73BE4304"/>
    <w:rsid w:val="73CB3F5D"/>
    <w:rsid w:val="73D264CF"/>
    <w:rsid w:val="73DDE7CA"/>
    <w:rsid w:val="73E051D4"/>
    <w:rsid w:val="73E532A9"/>
    <w:rsid w:val="73E66C08"/>
    <w:rsid w:val="73E91C98"/>
    <w:rsid w:val="73ED44FD"/>
    <w:rsid w:val="73EEF7CC"/>
    <w:rsid w:val="73F0EE91"/>
    <w:rsid w:val="73F2AF47"/>
    <w:rsid w:val="73F772EB"/>
    <w:rsid w:val="73FC1302"/>
    <w:rsid w:val="73FE2FF1"/>
    <w:rsid w:val="73FFE431"/>
    <w:rsid w:val="7409DC25"/>
    <w:rsid w:val="740B9DC3"/>
    <w:rsid w:val="74101962"/>
    <w:rsid w:val="7410E11E"/>
    <w:rsid w:val="7418E373"/>
    <w:rsid w:val="741DE961"/>
    <w:rsid w:val="741EAC0F"/>
    <w:rsid w:val="742491D0"/>
    <w:rsid w:val="742B8E3D"/>
    <w:rsid w:val="742E3D38"/>
    <w:rsid w:val="7432FFC0"/>
    <w:rsid w:val="7436D5E6"/>
    <w:rsid w:val="743797EB"/>
    <w:rsid w:val="74498637"/>
    <w:rsid w:val="744AA815"/>
    <w:rsid w:val="74533A55"/>
    <w:rsid w:val="7455ACD5"/>
    <w:rsid w:val="74560B45"/>
    <w:rsid w:val="74569328"/>
    <w:rsid w:val="7456A232"/>
    <w:rsid w:val="7456CA84"/>
    <w:rsid w:val="7461122D"/>
    <w:rsid w:val="7465092E"/>
    <w:rsid w:val="74666253"/>
    <w:rsid w:val="7466E7F3"/>
    <w:rsid w:val="7466F0D9"/>
    <w:rsid w:val="746FEB78"/>
    <w:rsid w:val="747276A4"/>
    <w:rsid w:val="74762BC1"/>
    <w:rsid w:val="747DA5D4"/>
    <w:rsid w:val="7484BE0B"/>
    <w:rsid w:val="748A3C66"/>
    <w:rsid w:val="748FA38F"/>
    <w:rsid w:val="74938A79"/>
    <w:rsid w:val="749867D9"/>
    <w:rsid w:val="74A51A84"/>
    <w:rsid w:val="74A6EBE3"/>
    <w:rsid w:val="74AA970E"/>
    <w:rsid w:val="74AEC261"/>
    <w:rsid w:val="74B434E2"/>
    <w:rsid w:val="74B9B4CB"/>
    <w:rsid w:val="74BE2E57"/>
    <w:rsid w:val="74C6888F"/>
    <w:rsid w:val="74CA9A48"/>
    <w:rsid w:val="74CD41EE"/>
    <w:rsid w:val="74D2B769"/>
    <w:rsid w:val="74D4CCF1"/>
    <w:rsid w:val="74D824FD"/>
    <w:rsid w:val="74D9DA1B"/>
    <w:rsid w:val="74DAF4A4"/>
    <w:rsid w:val="74DD9120"/>
    <w:rsid w:val="74DF53F9"/>
    <w:rsid w:val="74E0CF64"/>
    <w:rsid w:val="74E31C54"/>
    <w:rsid w:val="74E5ED24"/>
    <w:rsid w:val="74EB9CD8"/>
    <w:rsid w:val="74F25DF6"/>
    <w:rsid w:val="74F36C0D"/>
    <w:rsid w:val="74F4E105"/>
    <w:rsid w:val="74F5A522"/>
    <w:rsid w:val="74FD33F5"/>
    <w:rsid w:val="75008333"/>
    <w:rsid w:val="750AB4CE"/>
    <w:rsid w:val="750BA514"/>
    <w:rsid w:val="750FB3C7"/>
    <w:rsid w:val="7512B534"/>
    <w:rsid w:val="75144A58"/>
    <w:rsid w:val="7515E7FD"/>
    <w:rsid w:val="75163FCF"/>
    <w:rsid w:val="7519EAB7"/>
    <w:rsid w:val="751A0C39"/>
    <w:rsid w:val="751DB279"/>
    <w:rsid w:val="751FA098"/>
    <w:rsid w:val="751FB793"/>
    <w:rsid w:val="7521E805"/>
    <w:rsid w:val="7523DDBA"/>
    <w:rsid w:val="752B31BC"/>
    <w:rsid w:val="752D88D2"/>
    <w:rsid w:val="752E9925"/>
    <w:rsid w:val="7530BB60"/>
    <w:rsid w:val="7539ACB3"/>
    <w:rsid w:val="75414B1B"/>
    <w:rsid w:val="75417760"/>
    <w:rsid w:val="7545411C"/>
    <w:rsid w:val="7545985A"/>
    <w:rsid w:val="7549C21A"/>
    <w:rsid w:val="754A739C"/>
    <w:rsid w:val="754E7780"/>
    <w:rsid w:val="754EE5BC"/>
    <w:rsid w:val="75636EBA"/>
    <w:rsid w:val="75642306"/>
    <w:rsid w:val="7569536C"/>
    <w:rsid w:val="7571772B"/>
    <w:rsid w:val="7574FD94"/>
    <w:rsid w:val="7575CC4D"/>
    <w:rsid w:val="7577577B"/>
    <w:rsid w:val="757FB793"/>
    <w:rsid w:val="757FDDB5"/>
    <w:rsid w:val="7580EC57"/>
    <w:rsid w:val="7581FE6F"/>
    <w:rsid w:val="75853EAC"/>
    <w:rsid w:val="75885B8B"/>
    <w:rsid w:val="7588AE58"/>
    <w:rsid w:val="7589805F"/>
    <w:rsid w:val="7590F0B7"/>
    <w:rsid w:val="7592167A"/>
    <w:rsid w:val="75960744"/>
    <w:rsid w:val="759D9C77"/>
    <w:rsid w:val="75A06E28"/>
    <w:rsid w:val="75A0CE37"/>
    <w:rsid w:val="75A180F9"/>
    <w:rsid w:val="75A286E3"/>
    <w:rsid w:val="75A5EA6D"/>
    <w:rsid w:val="75AC4E4D"/>
    <w:rsid w:val="75AE6DAF"/>
    <w:rsid w:val="75AF8B23"/>
    <w:rsid w:val="75B2C695"/>
    <w:rsid w:val="75B566C3"/>
    <w:rsid w:val="75B82DDC"/>
    <w:rsid w:val="75B90026"/>
    <w:rsid w:val="75B9C37C"/>
    <w:rsid w:val="75C06C4A"/>
    <w:rsid w:val="75C88EFE"/>
    <w:rsid w:val="75D11380"/>
    <w:rsid w:val="75D71980"/>
    <w:rsid w:val="75D7952F"/>
    <w:rsid w:val="75DBAC18"/>
    <w:rsid w:val="75E5E596"/>
    <w:rsid w:val="75E62B07"/>
    <w:rsid w:val="75EA1CD7"/>
    <w:rsid w:val="75F4A0AE"/>
    <w:rsid w:val="75F5162B"/>
    <w:rsid w:val="76012E2C"/>
    <w:rsid w:val="76012F9E"/>
    <w:rsid w:val="76038B4D"/>
    <w:rsid w:val="76061353"/>
    <w:rsid w:val="760B0ADC"/>
    <w:rsid w:val="760D63EE"/>
    <w:rsid w:val="760DF02B"/>
    <w:rsid w:val="76117B04"/>
    <w:rsid w:val="76120A90"/>
    <w:rsid w:val="7614C8A7"/>
    <w:rsid w:val="7615B164"/>
    <w:rsid w:val="7617F896"/>
    <w:rsid w:val="76214169"/>
    <w:rsid w:val="762F7942"/>
    <w:rsid w:val="763F58FB"/>
    <w:rsid w:val="76470A03"/>
    <w:rsid w:val="764AE885"/>
    <w:rsid w:val="764C5132"/>
    <w:rsid w:val="765378A1"/>
    <w:rsid w:val="7660BB3F"/>
    <w:rsid w:val="76649C98"/>
    <w:rsid w:val="7664E227"/>
    <w:rsid w:val="7669DA21"/>
    <w:rsid w:val="766ACE9E"/>
    <w:rsid w:val="766F20D8"/>
    <w:rsid w:val="76732C79"/>
    <w:rsid w:val="767FBDE2"/>
    <w:rsid w:val="7682CDD1"/>
    <w:rsid w:val="76844754"/>
    <w:rsid w:val="768ABF04"/>
    <w:rsid w:val="768BBD92"/>
    <w:rsid w:val="769534CB"/>
    <w:rsid w:val="769F3893"/>
    <w:rsid w:val="76A2A433"/>
    <w:rsid w:val="76A63F37"/>
    <w:rsid w:val="76B2D732"/>
    <w:rsid w:val="76B609BA"/>
    <w:rsid w:val="76B74532"/>
    <w:rsid w:val="76BB5AF3"/>
    <w:rsid w:val="76BBF01C"/>
    <w:rsid w:val="76C6A552"/>
    <w:rsid w:val="76C94D64"/>
    <w:rsid w:val="76CAB39C"/>
    <w:rsid w:val="76CADE8B"/>
    <w:rsid w:val="76CB9464"/>
    <w:rsid w:val="76CCC428"/>
    <w:rsid w:val="76D1B727"/>
    <w:rsid w:val="76DED199"/>
    <w:rsid w:val="76E48685"/>
    <w:rsid w:val="76EE47CE"/>
    <w:rsid w:val="76F584D2"/>
    <w:rsid w:val="76F68EC8"/>
    <w:rsid w:val="77060AE9"/>
    <w:rsid w:val="7707323A"/>
    <w:rsid w:val="7707DB1F"/>
    <w:rsid w:val="770AF2A9"/>
    <w:rsid w:val="770C417B"/>
    <w:rsid w:val="7710AD46"/>
    <w:rsid w:val="7717DB1F"/>
    <w:rsid w:val="771C0E84"/>
    <w:rsid w:val="771C4146"/>
    <w:rsid w:val="771E4E53"/>
    <w:rsid w:val="77225803"/>
    <w:rsid w:val="77264456"/>
    <w:rsid w:val="7726BC36"/>
    <w:rsid w:val="772EFE7D"/>
    <w:rsid w:val="77317D1D"/>
    <w:rsid w:val="773B686D"/>
    <w:rsid w:val="774103EE"/>
    <w:rsid w:val="774B279F"/>
    <w:rsid w:val="774DEA38"/>
    <w:rsid w:val="774FC550"/>
    <w:rsid w:val="774FFDA1"/>
    <w:rsid w:val="7755543F"/>
    <w:rsid w:val="775573A4"/>
    <w:rsid w:val="775759FA"/>
    <w:rsid w:val="7757AE2C"/>
    <w:rsid w:val="7759986D"/>
    <w:rsid w:val="775A46C7"/>
    <w:rsid w:val="775B7585"/>
    <w:rsid w:val="775E5038"/>
    <w:rsid w:val="7761FFE9"/>
    <w:rsid w:val="776559F5"/>
    <w:rsid w:val="77666B67"/>
    <w:rsid w:val="776C09AF"/>
    <w:rsid w:val="777000C1"/>
    <w:rsid w:val="7770FE84"/>
    <w:rsid w:val="777250E7"/>
    <w:rsid w:val="777B8C3A"/>
    <w:rsid w:val="7780D89F"/>
    <w:rsid w:val="77830D10"/>
    <w:rsid w:val="77849F39"/>
    <w:rsid w:val="7787BADF"/>
    <w:rsid w:val="778AFE40"/>
    <w:rsid w:val="778CD888"/>
    <w:rsid w:val="77965F1A"/>
    <w:rsid w:val="779DEAE2"/>
    <w:rsid w:val="77A3F4B4"/>
    <w:rsid w:val="77A7F14C"/>
    <w:rsid w:val="77ADCCA4"/>
    <w:rsid w:val="77ADD4B4"/>
    <w:rsid w:val="77B18F09"/>
    <w:rsid w:val="77B4CDA7"/>
    <w:rsid w:val="77B69798"/>
    <w:rsid w:val="77B73F45"/>
    <w:rsid w:val="77B8085D"/>
    <w:rsid w:val="77BCEF75"/>
    <w:rsid w:val="77BCFAAA"/>
    <w:rsid w:val="77BDB2D0"/>
    <w:rsid w:val="77BFB8D8"/>
    <w:rsid w:val="77C71C78"/>
    <w:rsid w:val="77C8DACF"/>
    <w:rsid w:val="77CA907E"/>
    <w:rsid w:val="77CC8C8A"/>
    <w:rsid w:val="77D38757"/>
    <w:rsid w:val="77D66A88"/>
    <w:rsid w:val="77DDBD92"/>
    <w:rsid w:val="77DDC577"/>
    <w:rsid w:val="77DE1499"/>
    <w:rsid w:val="77DE4CDD"/>
    <w:rsid w:val="77DE7B3E"/>
    <w:rsid w:val="77E1B243"/>
    <w:rsid w:val="77E38F7A"/>
    <w:rsid w:val="77E50DE4"/>
    <w:rsid w:val="77E5919A"/>
    <w:rsid w:val="77E95154"/>
    <w:rsid w:val="77E9F640"/>
    <w:rsid w:val="77F3A160"/>
    <w:rsid w:val="77F4D39B"/>
    <w:rsid w:val="77F54485"/>
    <w:rsid w:val="77FCF8FF"/>
    <w:rsid w:val="77FD1EE5"/>
    <w:rsid w:val="77FFCBCC"/>
    <w:rsid w:val="7801AA19"/>
    <w:rsid w:val="7807CBAF"/>
    <w:rsid w:val="7808FA1C"/>
    <w:rsid w:val="780DB4BD"/>
    <w:rsid w:val="7813A4AD"/>
    <w:rsid w:val="7816D77C"/>
    <w:rsid w:val="781A182E"/>
    <w:rsid w:val="781D50E7"/>
    <w:rsid w:val="782238EB"/>
    <w:rsid w:val="7827E293"/>
    <w:rsid w:val="783677C2"/>
    <w:rsid w:val="784135F5"/>
    <w:rsid w:val="78438B01"/>
    <w:rsid w:val="784EFCD3"/>
    <w:rsid w:val="78508B6D"/>
    <w:rsid w:val="78590B96"/>
    <w:rsid w:val="785B88D4"/>
    <w:rsid w:val="7860BEEB"/>
    <w:rsid w:val="786187FB"/>
    <w:rsid w:val="7862AEEE"/>
    <w:rsid w:val="78651FE1"/>
    <w:rsid w:val="786697F9"/>
    <w:rsid w:val="7867676B"/>
    <w:rsid w:val="786F39E2"/>
    <w:rsid w:val="78752489"/>
    <w:rsid w:val="78759EE5"/>
    <w:rsid w:val="7879E87A"/>
    <w:rsid w:val="787A23EF"/>
    <w:rsid w:val="787C52D5"/>
    <w:rsid w:val="787E6B5C"/>
    <w:rsid w:val="78835849"/>
    <w:rsid w:val="7887B49B"/>
    <w:rsid w:val="78897BC5"/>
    <w:rsid w:val="7889D4F6"/>
    <w:rsid w:val="788A34E9"/>
    <w:rsid w:val="788B4389"/>
    <w:rsid w:val="788F586E"/>
    <w:rsid w:val="788FB4F1"/>
    <w:rsid w:val="789145B0"/>
    <w:rsid w:val="78948B13"/>
    <w:rsid w:val="7895228F"/>
    <w:rsid w:val="789CAB40"/>
    <w:rsid w:val="789CBCE3"/>
    <w:rsid w:val="789E8D5E"/>
    <w:rsid w:val="78A62FEC"/>
    <w:rsid w:val="78A77997"/>
    <w:rsid w:val="78A962D0"/>
    <w:rsid w:val="78B44402"/>
    <w:rsid w:val="78C086C9"/>
    <w:rsid w:val="78C0D2E8"/>
    <w:rsid w:val="78C12D4E"/>
    <w:rsid w:val="78C138DE"/>
    <w:rsid w:val="78C2C6F6"/>
    <w:rsid w:val="78C3B0D6"/>
    <w:rsid w:val="78C479AF"/>
    <w:rsid w:val="78C6229D"/>
    <w:rsid w:val="78C6EAD0"/>
    <w:rsid w:val="78CB4DF6"/>
    <w:rsid w:val="78CBD53B"/>
    <w:rsid w:val="78CD2B7B"/>
    <w:rsid w:val="78D2BB67"/>
    <w:rsid w:val="78D4B9B8"/>
    <w:rsid w:val="78D6995B"/>
    <w:rsid w:val="78DF53DB"/>
    <w:rsid w:val="78E47E87"/>
    <w:rsid w:val="78EBE837"/>
    <w:rsid w:val="78F4DE86"/>
    <w:rsid w:val="78F5BC14"/>
    <w:rsid w:val="78FC1BE1"/>
    <w:rsid w:val="78FF688A"/>
    <w:rsid w:val="7906FC15"/>
    <w:rsid w:val="790C8DEA"/>
    <w:rsid w:val="790D8A1D"/>
    <w:rsid w:val="79123166"/>
    <w:rsid w:val="7913DD1D"/>
    <w:rsid w:val="79161FF2"/>
    <w:rsid w:val="79179423"/>
    <w:rsid w:val="791B2452"/>
    <w:rsid w:val="7927C6FC"/>
    <w:rsid w:val="79396AF0"/>
    <w:rsid w:val="793D5FED"/>
    <w:rsid w:val="794082D0"/>
    <w:rsid w:val="7943125E"/>
    <w:rsid w:val="79450825"/>
    <w:rsid w:val="79475E1A"/>
    <w:rsid w:val="7948FAB7"/>
    <w:rsid w:val="794D8645"/>
    <w:rsid w:val="795579D2"/>
    <w:rsid w:val="795ACEE7"/>
    <w:rsid w:val="795CE4A0"/>
    <w:rsid w:val="795E0174"/>
    <w:rsid w:val="795FB896"/>
    <w:rsid w:val="795FD3E3"/>
    <w:rsid w:val="79676CED"/>
    <w:rsid w:val="796CFBB3"/>
    <w:rsid w:val="7970E276"/>
    <w:rsid w:val="7972F75A"/>
    <w:rsid w:val="79766525"/>
    <w:rsid w:val="79790209"/>
    <w:rsid w:val="7979D976"/>
    <w:rsid w:val="797A6CC9"/>
    <w:rsid w:val="797BFFBD"/>
    <w:rsid w:val="79800BD6"/>
    <w:rsid w:val="79846E22"/>
    <w:rsid w:val="7986C35C"/>
    <w:rsid w:val="798742D8"/>
    <w:rsid w:val="7991A844"/>
    <w:rsid w:val="7992DB21"/>
    <w:rsid w:val="7994BD63"/>
    <w:rsid w:val="7995B693"/>
    <w:rsid w:val="799C9E89"/>
    <w:rsid w:val="79AFC393"/>
    <w:rsid w:val="79B10672"/>
    <w:rsid w:val="79B1F7EF"/>
    <w:rsid w:val="79B680A7"/>
    <w:rsid w:val="79B79AF1"/>
    <w:rsid w:val="79B87D18"/>
    <w:rsid w:val="79B8A1A4"/>
    <w:rsid w:val="79B8F586"/>
    <w:rsid w:val="79BAEE10"/>
    <w:rsid w:val="79C5A84A"/>
    <w:rsid w:val="79CBDDC0"/>
    <w:rsid w:val="79CC00A2"/>
    <w:rsid w:val="79D14710"/>
    <w:rsid w:val="79D319D1"/>
    <w:rsid w:val="79D37272"/>
    <w:rsid w:val="79D68A31"/>
    <w:rsid w:val="79D8B9F0"/>
    <w:rsid w:val="79DFDA91"/>
    <w:rsid w:val="79E1B4CE"/>
    <w:rsid w:val="79E4BB02"/>
    <w:rsid w:val="79E58A8A"/>
    <w:rsid w:val="79E69388"/>
    <w:rsid w:val="79EA897C"/>
    <w:rsid w:val="79EBA4B8"/>
    <w:rsid w:val="79F355F8"/>
    <w:rsid w:val="79F7E483"/>
    <w:rsid w:val="79F873E7"/>
    <w:rsid w:val="79FABC88"/>
    <w:rsid w:val="79FB592C"/>
    <w:rsid w:val="79FDABCF"/>
    <w:rsid w:val="79FDB90E"/>
    <w:rsid w:val="79FEFC9A"/>
    <w:rsid w:val="7A002AFB"/>
    <w:rsid w:val="7A01C12F"/>
    <w:rsid w:val="7A0EF14B"/>
    <w:rsid w:val="7A0F3E7B"/>
    <w:rsid w:val="7A0FE0A2"/>
    <w:rsid w:val="7A106C04"/>
    <w:rsid w:val="7A14422B"/>
    <w:rsid w:val="7A15F21C"/>
    <w:rsid w:val="7A1C2F92"/>
    <w:rsid w:val="7A20BDC4"/>
    <w:rsid w:val="7A25EE6D"/>
    <w:rsid w:val="7A286CF6"/>
    <w:rsid w:val="7A2A1B20"/>
    <w:rsid w:val="7A2C6D48"/>
    <w:rsid w:val="7A2EBA5F"/>
    <w:rsid w:val="7A2FDCA9"/>
    <w:rsid w:val="7A32396C"/>
    <w:rsid w:val="7A325E37"/>
    <w:rsid w:val="7A36E041"/>
    <w:rsid w:val="7A45CE69"/>
    <w:rsid w:val="7A46B1C3"/>
    <w:rsid w:val="7A4C997F"/>
    <w:rsid w:val="7A526265"/>
    <w:rsid w:val="7A568474"/>
    <w:rsid w:val="7A57565F"/>
    <w:rsid w:val="7A580505"/>
    <w:rsid w:val="7A5D3309"/>
    <w:rsid w:val="7A5F033E"/>
    <w:rsid w:val="7A65229C"/>
    <w:rsid w:val="7A6776C5"/>
    <w:rsid w:val="7A6C00D6"/>
    <w:rsid w:val="7A6CE226"/>
    <w:rsid w:val="7A704D5A"/>
    <w:rsid w:val="7A746D95"/>
    <w:rsid w:val="7A786502"/>
    <w:rsid w:val="7A7F1752"/>
    <w:rsid w:val="7A865A4B"/>
    <w:rsid w:val="7A8C4400"/>
    <w:rsid w:val="7A90A99B"/>
    <w:rsid w:val="7A92AEAC"/>
    <w:rsid w:val="7A9D74E1"/>
    <w:rsid w:val="7A9FF76E"/>
    <w:rsid w:val="7AA1091E"/>
    <w:rsid w:val="7AA2F8A0"/>
    <w:rsid w:val="7AABCC0A"/>
    <w:rsid w:val="7AB39DB2"/>
    <w:rsid w:val="7AB5EC34"/>
    <w:rsid w:val="7AB8B7ED"/>
    <w:rsid w:val="7ABC4206"/>
    <w:rsid w:val="7ABE0FAA"/>
    <w:rsid w:val="7AC132C2"/>
    <w:rsid w:val="7AC17ACC"/>
    <w:rsid w:val="7AC36A33"/>
    <w:rsid w:val="7AC4BE13"/>
    <w:rsid w:val="7AC4EBAA"/>
    <w:rsid w:val="7AC5927C"/>
    <w:rsid w:val="7AD3F3A9"/>
    <w:rsid w:val="7AD6038A"/>
    <w:rsid w:val="7ADBB4CE"/>
    <w:rsid w:val="7ADBEE3E"/>
    <w:rsid w:val="7AE1A3E6"/>
    <w:rsid w:val="7AEA5C50"/>
    <w:rsid w:val="7AEA64B6"/>
    <w:rsid w:val="7AEEB043"/>
    <w:rsid w:val="7AF5F5CD"/>
    <w:rsid w:val="7AF9128D"/>
    <w:rsid w:val="7B03F60F"/>
    <w:rsid w:val="7B047C84"/>
    <w:rsid w:val="7B06B51B"/>
    <w:rsid w:val="7B078CB7"/>
    <w:rsid w:val="7B085FAC"/>
    <w:rsid w:val="7B08A209"/>
    <w:rsid w:val="7B0B1524"/>
    <w:rsid w:val="7B0D8E1B"/>
    <w:rsid w:val="7B13E3A6"/>
    <w:rsid w:val="7B1A1E71"/>
    <w:rsid w:val="7B1ACE60"/>
    <w:rsid w:val="7B2315F9"/>
    <w:rsid w:val="7B26F10E"/>
    <w:rsid w:val="7B2B5735"/>
    <w:rsid w:val="7B2DA7BF"/>
    <w:rsid w:val="7B33DD65"/>
    <w:rsid w:val="7B3838CB"/>
    <w:rsid w:val="7B3B8340"/>
    <w:rsid w:val="7B3FA825"/>
    <w:rsid w:val="7B3FEF62"/>
    <w:rsid w:val="7B41DBB9"/>
    <w:rsid w:val="7B425C3C"/>
    <w:rsid w:val="7B481AD6"/>
    <w:rsid w:val="7B4E7F4A"/>
    <w:rsid w:val="7B4FD89D"/>
    <w:rsid w:val="7B5A20C8"/>
    <w:rsid w:val="7B5CD30C"/>
    <w:rsid w:val="7B63163F"/>
    <w:rsid w:val="7B647456"/>
    <w:rsid w:val="7B653392"/>
    <w:rsid w:val="7B66DDFF"/>
    <w:rsid w:val="7B70BF93"/>
    <w:rsid w:val="7B76AB1F"/>
    <w:rsid w:val="7B785806"/>
    <w:rsid w:val="7B7C1A33"/>
    <w:rsid w:val="7B7D732B"/>
    <w:rsid w:val="7B815817"/>
    <w:rsid w:val="7B81DE7D"/>
    <w:rsid w:val="7B825743"/>
    <w:rsid w:val="7B851195"/>
    <w:rsid w:val="7B89BA46"/>
    <w:rsid w:val="7B8BF224"/>
    <w:rsid w:val="7B906907"/>
    <w:rsid w:val="7B942E12"/>
    <w:rsid w:val="7B99B395"/>
    <w:rsid w:val="7B9CFBA4"/>
    <w:rsid w:val="7BA9C1F9"/>
    <w:rsid w:val="7BAEBC0B"/>
    <w:rsid w:val="7BB2317D"/>
    <w:rsid w:val="7BB76AA5"/>
    <w:rsid w:val="7BB92CD5"/>
    <w:rsid w:val="7BBA6695"/>
    <w:rsid w:val="7BBE0D9F"/>
    <w:rsid w:val="7BC127A5"/>
    <w:rsid w:val="7BC19BDA"/>
    <w:rsid w:val="7BC32112"/>
    <w:rsid w:val="7BC3DDEE"/>
    <w:rsid w:val="7BCF3A64"/>
    <w:rsid w:val="7BD3443C"/>
    <w:rsid w:val="7BD85B4C"/>
    <w:rsid w:val="7BDA0E26"/>
    <w:rsid w:val="7BDB2A96"/>
    <w:rsid w:val="7BE3796E"/>
    <w:rsid w:val="7BE4A81B"/>
    <w:rsid w:val="7BE61198"/>
    <w:rsid w:val="7BE6E516"/>
    <w:rsid w:val="7BE7D026"/>
    <w:rsid w:val="7BE83912"/>
    <w:rsid w:val="7BE976E3"/>
    <w:rsid w:val="7BEBD554"/>
    <w:rsid w:val="7BF4D895"/>
    <w:rsid w:val="7BF4DBD1"/>
    <w:rsid w:val="7BF74D25"/>
    <w:rsid w:val="7BFA923D"/>
    <w:rsid w:val="7BFDBA52"/>
    <w:rsid w:val="7BFDBFD0"/>
    <w:rsid w:val="7BFF13FD"/>
    <w:rsid w:val="7C072104"/>
    <w:rsid w:val="7C10021E"/>
    <w:rsid w:val="7C103D13"/>
    <w:rsid w:val="7C125531"/>
    <w:rsid w:val="7C207E23"/>
    <w:rsid w:val="7C234800"/>
    <w:rsid w:val="7C2640CA"/>
    <w:rsid w:val="7C28ADCC"/>
    <w:rsid w:val="7C28EFDF"/>
    <w:rsid w:val="7C340A93"/>
    <w:rsid w:val="7C3462E7"/>
    <w:rsid w:val="7C3DBE36"/>
    <w:rsid w:val="7C42C06A"/>
    <w:rsid w:val="7C4553D2"/>
    <w:rsid w:val="7C4F3A0A"/>
    <w:rsid w:val="7C512EED"/>
    <w:rsid w:val="7C52255C"/>
    <w:rsid w:val="7C53F84E"/>
    <w:rsid w:val="7C581C84"/>
    <w:rsid w:val="7C5947D2"/>
    <w:rsid w:val="7C5C691E"/>
    <w:rsid w:val="7C5CA606"/>
    <w:rsid w:val="7C60060F"/>
    <w:rsid w:val="7C65C1BE"/>
    <w:rsid w:val="7C66127F"/>
    <w:rsid w:val="7C67F3F4"/>
    <w:rsid w:val="7C6961FB"/>
    <w:rsid w:val="7C6B8D0A"/>
    <w:rsid w:val="7C6C15E0"/>
    <w:rsid w:val="7C6EC4BA"/>
    <w:rsid w:val="7C6F969A"/>
    <w:rsid w:val="7C724C47"/>
    <w:rsid w:val="7C765EAD"/>
    <w:rsid w:val="7C769C35"/>
    <w:rsid w:val="7C7815D2"/>
    <w:rsid w:val="7C797896"/>
    <w:rsid w:val="7C81CE7A"/>
    <w:rsid w:val="7C82C47A"/>
    <w:rsid w:val="7C85B043"/>
    <w:rsid w:val="7C88C362"/>
    <w:rsid w:val="7C8A014E"/>
    <w:rsid w:val="7C8CB2BC"/>
    <w:rsid w:val="7C92F116"/>
    <w:rsid w:val="7C96E2A3"/>
    <w:rsid w:val="7C987546"/>
    <w:rsid w:val="7C9F2691"/>
    <w:rsid w:val="7CA0C69D"/>
    <w:rsid w:val="7CA15BDC"/>
    <w:rsid w:val="7CA63E8A"/>
    <w:rsid w:val="7CA79C17"/>
    <w:rsid w:val="7CAF87A8"/>
    <w:rsid w:val="7CAFF4A9"/>
    <w:rsid w:val="7CB2E84F"/>
    <w:rsid w:val="7CB5959D"/>
    <w:rsid w:val="7CB74BEA"/>
    <w:rsid w:val="7CBA97D3"/>
    <w:rsid w:val="7CC98B1A"/>
    <w:rsid w:val="7CD599A0"/>
    <w:rsid w:val="7CD5A57F"/>
    <w:rsid w:val="7CDAD54A"/>
    <w:rsid w:val="7CE52B07"/>
    <w:rsid w:val="7CE80879"/>
    <w:rsid w:val="7CEE6FDC"/>
    <w:rsid w:val="7CEEDB38"/>
    <w:rsid w:val="7CEF26E2"/>
    <w:rsid w:val="7CFB7C6E"/>
    <w:rsid w:val="7CFD4811"/>
    <w:rsid w:val="7D014B23"/>
    <w:rsid w:val="7D02FBC9"/>
    <w:rsid w:val="7D0BCD12"/>
    <w:rsid w:val="7D123019"/>
    <w:rsid w:val="7D1276B1"/>
    <w:rsid w:val="7D1424C3"/>
    <w:rsid w:val="7D1513E3"/>
    <w:rsid w:val="7D158490"/>
    <w:rsid w:val="7D163BB0"/>
    <w:rsid w:val="7D17230D"/>
    <w:rsid w:val="7D185D1D"/>
    <w:rsid w:val="7D18AA1D"/>
    <w:rsid w:val="7D1C1278"/>
    <w:rsid w:val="7D1D7D88"/>
    <w:rsid w:val="7D210C41"/>
    <w:rsid w:val="7D263824"/>
    <w:rsid w:val="7D2DB335"/>
    <w:rsid w:val="7D2EE453"/>
    <w:rsid w:val="7D34C9C8"/>
    <w:rsid w:val="7D363810"/>
    <w:rsid w:val="7D3A200F"/>
    <w:rsid w:val="7D43531B"/>
    <w:rsid w:val="7D443B77"/>
    <w:rsid w:val="7D47159C"/>
    <w:rsid w:val="7D496B79"/>
    <w:rsid w:val="7D4E769A"/>
    <w:rsid w:val="7D53FCBF"/>
    <w:rsid w:val="7D551D05"/>
    <w:rsid w:val="7D5AACE5"/>
    <w:rsid w:val="7D5FCAB8"/>
    <w:rsid w:val="7D60A44D"/>
    <w:rsid w:val="7D662365"/>
    <w:rsid w:val="7D677B9C"/>
    <w:rsid w:val="7D687EE3"/>
    <w:rsid w:val="7D6AB9AD"/>
    <w:rsid w:val="7D6B7647"/>
    <w:rsid w:val="7D7708DA"/>
    <w:rsid w:val="7D775318"/>
    <w:rsid w:val="7D7894E2"/>
    <w:rsid w:val="7D87420F"/>
    <w:rsid w:val="7D8D750A"/>
    <w:rsid w:val="7D928402"/>
    <w:rsid w:val="7D92B0CD"/>
    <w:rsid w:val="7D93846D"/>
    <w:rsid w:val="7D984038"/>
    <w:rsid w:val="7D994390"/>
    <w:rsid w:val="7D9CCC71"/>
    <w:rsid w:val="7D9D9FE9"/>
    <w:rsid w:val="7DA2D0AA"/>
    <w:rsid w:val="7DA3847B"/>
    <w:rsid w:val="7DB705A5"/>
    <w:rsid w:val="7DBE467C"/>
    <w:rsid w:val="7DBE7E47"/>
    <w:rsid w:val="7DC64EC5"/>
    <w:rsid w:val="7DD033E3"/>
    <w:rsid w:val="7DD3B88F"/>
    <w:rsid w:val="7DD61E2C"/>
    <w:rsid w:val="7DD91E8C"/>
    <w:rsid w:val="7DDA579D"/>
    <w:rsid w:val="7DDC0ED5"/>
    <w:rsid w:val="7DE0870C"/>
    <w:rsid w:val="7DE331AD"/>
    <w:rsid w:val="7DE42FA7"/>
    <w:rsid w:val="7DE6F2D9"/>
    <w:rsid w:val="7DEFD90D"/>
    <w:rsid w:val="7E03CBCD"/>
    <w:rsid w:val="7E04AF4E"/>
    <w:rsid w:val="7E0721B2"/>
    <w:rsid w:val="7E0A39C1"/>
    <w:rsid w:val="7E0C91BB"/>
    <w:rsid w:val="7E12EDD4"/>
    <w:rsid w:val="7E17DEFD"/>
    <w:rsid w:val="7E1A0625"/>
    <w:rsid w:val="7E21CCAF"/>
    <w:rsid w:val="7E2331F6"/>
    <w:rsid w:val="7E28A3C9"/>
    <w:rsid w:val="7E30D2B5"/>
    <w:rsid w:val="7E333C30"/>
    <w:rsid w:val="7E3CB387"/>
    <w:rsid w:val="7E4099B7"/>
    <w:rsid w:val="7E43B49E"/>
    <w:rsid w:val="7E48C22B"/>
    <w:rsid w:val="7E4C3E66"/>
    <w:rsid w:val="7E4D46B9"/>
    <w:rsid w:val="7E4F1412"/>
    <w:rsid w:val="7E5AF959"/>
    <w:rsid w:val="7E5BF632"/>
    <w:rsid w:val="7E5FA70C"/>
    <w:rsid w:val="7E60CE21"/>
    <w:rsid w:val="7E62F55A"/>
    <w:rsid w:val="7E6457DE"/>
    <w:rsid w:val="7E651593"/>
    <w:rsid w:val="7E6735FE"/>
    <w:rsid w:val="7E6DEBB2"/>
    <w:rsid w:val="7E70EFBE"/>
    <w:rsid w:val="7E71EF7F"/>
    <w:rsid w:val="7E747FF9"/>
    <w:rsid w:val="7E7888F1"/>
    <w:rsid w:val="7E7E69B7"/>
    <w:rsid w:val="7E853A92"/>
    <w:rsid w:val="7E86969C"/>
    <w:rsid w:val="7E8750BA"/>
    <w:rsid w:val="7E88361B"/>
    <w:rsid w:val="7E8E28E0"/>
    <w:rsid w:val="7E8F2F9F"/>
    <w:rsid w:val="7E91205B"/>
    <w:rsid w:val="7E9186E2"/>
    <w:rsid w:val="7E926193"/>
    <w:rsid w:val="7E9CFDAA"/>
    <w:rsid w:val="7E9E5391"/>
    <w:rsid w:val="7EA5B303"/>
    <w:rsid w:val="7EA5C1C5"/>
    <w:rsid w:val="7EA6E1B6"/>
    <w:rsid w:val="7EBA759F"/>
    <w:rsid w:val="7EC2B1C9"/>
    <w:rsid w:val="7EC3449D"/>
    <w:rsid w:val="7EC74261"/>
    <w:rsid w:val="7EC7EDA4"/>
    <w:rsid w:val="7EC953C6"/>
    <w:rsid w:val="7ECAB4A3"/>
    <w:rsid w:val="7ECC6CF3"/>
    <w:rsid w:val="7ED7BF5F"/>
    <w:rsid w:val="7EDB2A9D"/>
    <w:rsid w:val="7EE2B070"/>
    <w:rsid w:val="7EE3A220"/>
    <w:rsid w:val="7EEB1D58"/>
    <w:rsid w:val="7EEB66CE"/>
    <w:rsid w:val="7EEF651C"/>
    <w:rsid w:val="7EEF98F9"/>
    <w:rsid w:val="7EF0C0B5"/>
    <w:rsid w:val="7EF43E62"/>
    <w:rsid w:val="7EFB8C34"/>
    <w:rsid w:val="7EFBADC8"/>
    <w:rsid w:val="7EFE808B"/>
    <w:rsid w:val="7F0035F4"/>
    <w:rsid w:val="7F079344"/>
    <w:rsid w:val="7F0C238A"/>
    <w:rsid w:val="7F1069A8"/>
    <w:rsid w:val="7F1482E9"/>
    <w:rsid w:val="7F16B3DC"/>
    <w:rsid w:val="7F22B0B0"/>
    <w:rsid w:val="7F24D06B"/>
    <w:rsid w:val="7F2A8590"/>
    <w:rsid w:val="7F2DFAD3"/>
    <w:rsid w:val="7F34032D"/>
    <w:rsid w:val="7F3B74D9"/>
    <w:rsid w:val="7F41F689"/>
    <w:rsid w:val="7F42AB6C"/>
    <w:rsid w:val="7F42FC9A"/>
    <w:rsid w:val="7F457746"/>
    <w:rsid w:val="7F4701A0"/>
    <w:rsid w:val="7F4C0596"/>
    <w:rsid w:val="7F509CC5"/>
    <w:rsid w:val="7F50CAD0"/>
    <w:rsid w:val="7F50D9E7"/>
    <w:rsid w:val="7F621742"/>
    <w:rsid w:val="7F694659"/>
    <w:rsid w:val="7F6CC3A1"/>
    <w:rsid w:val="7F6F94F2"/>
    <w:rsid w:val="7F714F09"/>
    <w:rsid w:val="7F728ADF"/>
    <w:rsid w:val="7F729499"/>
    <w:rsid w:val="7F7341C4"/>
    <w:rsid w:val="7F739ACB"/>
    <w:rsid w:val="7F77B87A"/>
    <w:rsid w:val="7F79148B"/>
    <w:rsid w:val="7F79929F"/>
    <w:rsid w:val="7F7C97EE"/>
    <w:rsid w:val="7F7D1D8A"/>
    <w:rsid w:val="7F8297DB"/>
    <w:rsid w:val="7F8486A4"/>
    <w:rsid w:val="7F8635E6"/>
    <w:rsid w:val="7F881DC1"/>
    <w:rsid w:val="7F8A711B"/>
    <w:rsid w:val="7F8AA923"/>
    <w:rsid w:val="7F8F9F92"/>
    <w:rsid w:val="7F92A461"/>
    <w:rsid w:val="7F99254C"/>
    <w:rsid w:val="7F9C9E3E"/>
    <w:rsid w:val="7FA04C6F"/>
    <w:rsid w:val="7FABA8B8"/>
    <w:rsid w:val="7FAF07E5"/>
    <w:rsid w:val="7FB1DC39"/>
    <w:rsid w:val="7FB24970"/>
    <w:rsid w:val="7FB7F07A"/>
    <w:rsid w:val="7FB93B36"/>
    <w:rsid w:val="7FBC37D4"/>
    <w:rsid w:val="7FC34F4D"/>
    <w:rsid w:val="7FC4A914"/>
    <w:rsid w:val="7FC592D9"/>
    <w:rsid w:val="7FC6F356"/>
    <w:rsid w:val="7FC7E55A"/>
    <w:rsid w:val="7FCD6813"/>
    <w:rsid w:val="7FD032A7"/>
    <w:rsid w:val="7FD12421"/>
    <w:rsid w:val="7FD46BAA"/>
    <w:rsid w:val="7FD531C8"/>
    <w:rsid w:val="7FDA1F98"/>
    <w:rsid w:val="7FDB837E"/>
    <w:rsid w:val="7FDE6DE7"/>
    <w:rsid w:val="7FE1688E"/>
    <w:rsid w:val="7FF018CD"/>
    <w:rsid w:val="7FF179B2"/>
    <w:rsid w:val="7FF674F3"/>
    <w:rsid w:val="7FF7B53A"/>
    <w:rsid w:val="7FF8CA30"/>
    <w:rsid w:val="7FF94DE4"/>
    <w:rsid w:val="7FFF9D3D"/>
    <w:rsid w:val="7FFFB55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7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98"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C81462"/>
    <w:pPr>
      <w:widowControl w:val="0"/>
      <w:adjustRightInd w:val="0"/>
      <w:spacing w:before="120" w:after="120" w:line="240" w:lineRule="auto"/>
      <w:jc w:val="both"/>
      <w:textAlignment w:val="baseline"/>
    </w:pPr>
    <w:rPr>
      <w:rFonts w:ascii="Arial" w:eastAsia="Times New Roman" w:hAnsi="Arial" w:cs="Times New Roman"/>
      <w:sz w:val="20"/>
      <w:szCs w:val="20"/>
      <w:lang w:eastAsia="en-AU"/>
    </w:rPr>
  </w:style>
  <w:style w:type="paragraph" w:styleId="Heading1">
    <w:name w:val="heading 1"/>
    <w:aliases w:val="Heading 1 Cab,Schedule Heading"/>
    <w:next w:val="BodyText"/>
    <w:link w:val="Heading1Char"/>
    <w:uiPriority w:val="9"/>
    <w:qFormat/>
    <w:rsid w:val="000F1379"/>
    <w:pPr>
      <w:keepNext/>
      <w:keepLines/>
      <w:widowControl w:val="0"/>
      <w:tabs>
        <w:tab w:val="left" w:pos="567"/>
      </w:tabs>
      <w:adjustRightInd w:val="0"/>
      <w:spacing w:before="240" w:after="0" w:line="240" w:lineRule="auto"/>
      <w:jc w:val="both"/>
      <w:textAlignment w:val="baseline"/>
      <w:outlineLvl w:val="0"/>
    </w:pPr>
    <w:rPr>
      <w:rFonts w:ascii="Arial" w:eastAsiaTheme="majorEastAsia" w:hAnsi="Arial" w:cs="Times New Roman"/>
      <w:b/>
      <w:bCs/>
      <w:color w:val="003865"/>
      <w:sz w:val="32"/>
      <w:szCs w:val="28"/>
      <w:lang w:eastAsia="en-AU"/>
    </w:rPr>
  </w:style>
  <w:style w:type="paragraph" w:styleId="Heading2">
    <w:name w:val="heading 2"/>
    <w:aliases w:val="Heading 2 Cab"/>
    <w:next w:val="Normal"/>
    <w:link w:val="Heading2Char"/>
    <w:uiPriority w:val="9"/>
    <w:qFormat/>
    <w:rsid w:val="000F1379"/>
    <w:pPr>
      <w:keepNext/>
      <w:keepLines/>
      <w:widowControl w:val="0"/>
      <w:adjustRightInd w:val="0"/>
      <w:spacing w:before="200" w:after="0" w:line="240" w:lineRule="auto"/>
      <w:jc w:val="both"/>
      <w:textAlignment w:val="baseline"/>
      <w:outlineLvl w:val="1"/>
    </w:pPr>
    <w:rPr>
      <w:rFonts w:ascii="Arial" w:eastAsiaTheme="majorEastAsia" w:hAnsi="Arial" w:cs="Times New Roman"/>
      <w:b/>
      <w:bCs/>
      <w:sz w:val="24"/>
      <w:szCs w:val="32"/>
      <w:lang w:eastAsia="en-AU"/>
    </w:rPr>
  </w:style>
  <w:style w:type="paragraph" w:styleId="Heading3">
    <w:name w:val="heading 3"/>
    <w:aliases w:val="Heading 3 Cab"/>
    <w:next w:val="Normal"/>
    <w:link w:val="Heading3Char"/>
    <w:uiPriority w:val="99"/>
    <w:qFormat/>
    <w:rsid w:val="000F1379"/>
    <w:pPr>
      <w:widowControl w:val="0"/>
      <w:adjustRightInd w:val="0"/>
      <w:spacing w:before="160" w:after="0" w:line="240" w:lineRule="auto"/>
      <w:ind w:left="567"/>
      <w:jc w:val="both"/>
      <w:textAlignment w:val="baseline"/>
      <w:outlineLvl w:val="2"/>
    </w:pPr>
    <w:rPr>
      <w:rFonts w:ascii="Arial" w:eastAsiaTheme="majorEastAsia" w:hAnsi="Arial" w:cs="Times New Roman"/>
      <w:b/>
      <w:bCs/>
      <w:iCs/>
      <w:sz w:val="20"/>
      <w:szCs w:val="20"/>
      <w:lang w:eastAsia="en-AU"/>
    </w:rPr>
  </w:style>
  <w:style w:type="paragraph" w:styleId="Heading4">
    <w:name w:val="heading 4"/>
    <w:basedOn w:val="Normal"/>
    <w:next w:val="Normal"/>
    <w:link w:val="Heading4Char"/>
    <w:uiPriority w:val="9"/>
    <w:qFormat/>
    <w:rsid w:val="000F1379"/>
    <w:pPr>
      <w:keepNext/>
      <w:keepLines/>
      <w:spacing w:before="200"/>
      <w:outlineLvl w:val="3"/>
    </w:pPr>
    <w:rPr>
      <w:rFonts w:eastAsiaTheme="majorEastAsia" w:cstheme="majorBidi"/>
      <w:b/>
      <w:bCs/>
      <w:iCs/>
    </w:rPr>
  </w:style>
  <w:style w:type="paragraph" w:styleId="Heading5">
    <w:name w:val="heading 5"/>
    <w:basedOn w:val="Normal"/>
    <w:next w:val="Normal"/>
    <w:link w:val="Heading5Char"/>
    <w:uiPriority w:val="9"/>
    <w:qFormat/>
    <w:rsid w:val="000F1379"/>
    <w:pPr>
      <w:keepNext/>
      <w:spacing w:before="240" w:after="60"/>
      <w:outlineLvl w:val="4"/>
    </w:pPr>
    <w:rPr>
      <w:rFonts w:ascii="Calibri" w:eastAsia="Calibri" w:hAnsi="Calibri" w:cs="Arial"/>
      <w:b/>
      <w:bCs/>
      <w:iCs/>
      <w:szCs w:val="26"/>
    </w:rPr>
  </w:style>
  <w:style w:type="paragraph" w:styleId="Heading6">
    <w:name w:val="heading 6"/>
    <w:basedOn w:val="Normal"/>
    <w:next w:val="Normal"/>
    <w:link w:val="Heading6Char"/>
    <w:uiPriority w:val="9"/>
    <w:qFormat/>
    <w:rsid w:val="000F1379"/>
    <w:pPr>
      <w:keepNext/>
      <w:spacing w:before="240" w:after="60"/>
      <w:outlineLvl w:val="5"/>
    </w:pPr>
    <w:rPr>
      <w:rFonts w:ascii="Calibri" w:eastAsia="Calibri" w:hAnsi="Calibri" w:cs="Arial"/>
      <w:b/>
      <w:bCs/>
      <w:i/>
    </w:rPr>
  </w:style>
  <w:style w:type="paragraph" w:styleId="Heading7">
    <w:name w:val="heading 7"/>
    <w:basedOn w:val="HeadingBase"/>
    <w:next w:val="Normal"/>
    <w:link w:val="Heading7Char"/>
    <w:uiPriority w:val="9"/>
    <w:qFormat/>
    <w:rsid w:val="000F1379"/>
    <w:pPr>
      <w:spacing w:after="120"/>
      <w:outlineLvl w:val="6"/>
    </w:pPr>
    <w:rPr>
      <w:szCs w:val="24"/>
    </w:rPr>
  </w:style>
  <w:style w:type="paragraph" w:styleId="Heading8">
    <w:name w:val="heading 8"/>
    <w:basedOn w:val="HeadingBase"/>
    <w:next w:val="Normal"/>
    <w:link w:val="Heading8Char"/>
    <w:uiPriority w:val="9"/>
    <w:qFormat/>
    <w:rsid w:val="000F1379"/>
    <w:pPr>
      <w:spacing w:after="120"/>
      <w:outlineLvl w:val="7"/>
    </w:pPr>
    <w:rPr>
      <w:iCs/>
      <w:szCs w:val="24"/>
    </w:rPr>
  </w:style>
  <w:style w:type="paragraph" w:styleId="Heading9">
    <w:name w:val="heading 9"/>
    <w:basedOn w:val="CoverTitleMain"/>
    <w:next w:val="Normal"/>
    <w:link w:val="Heading9Char"/>
    <w:uiPriority w:val="9"/>
    <w:qFormat/>
    <w:rsid w:val="001C629E"/>
    <w:pPr>
      <w:numPr>
        <w:ilvl w:val="8"/>
        <w:numId w:val="34"/>
      </w:numPr>
      <w:tabs>
        <w:tab w:val="num" w:pos="360"/>
      </w:tabs>
      <w:spacing w:before="120" w:after="120"/>
      <w:ind w:left="6546" w:hanging="180"/>
      <w:jc w:val="right"/>
      <w:outlineLvl w:val="8"/>
    </w:pPr>
    <w:rPr>
      <w:rFonts w:ascii="Corbel" w:hAnsi="Corbel" w:cs="Arial"/>
      <w:caps w:val="0"/>
      <w:sz w:val="3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ab Char,Schedule Heading Char"/>
    <w:basedOn w:val="DefaultParagraphFont"/>
    <w:link w:val="Heading1"/>
    <w:uiPriority w:val="9"/>
    <w:rsid w:val="000F1379"/>
    <w:rPr>
      <w:rFonts w:ascii="Arial" w:eastAsiaTheme="majorEastAsia" w:hAnsi="Arial" w:cstheme="majorBidi"/>
      <w:b/>
      <w:bCs/>
      <w:color w:val="003865"/>
      <w:sz w:val="32"/>
      <w:szCs w:val="28"/>
    </w:rPr>
  </w:style>
  <w:style w:type="character" w:customStyle="1" w:styleId="Heading2Char">
    <w:name w:val="Heading 2 Char"/>
    <w:aliases w:val="Heading 2 Cab Char"/>
    <w:basedOn w:val="DefaultParagraphFont"/>
    <w:link w:val="Heading2"/>
    <w:uiPriority w:val="9"/>
    <w:rsid w:val="000F1379"/>
    <w:rPr>
      <w:rFonts w:ascii="Arial" w:eastAsiaTheme="majorEastAsia" w:hAnsi="Arial" w:cstheme="majorBidi"/>
      <w:b/>
      <w:bCs/>
      <w:sz w:val="24"/>
      <w:szCs w:val="32"/>
    </w:rPr>
  </w:style>
  <w:style w:type="character" w:customStyle="1" w:styleId="Heading3Char">
    <w:name w:val="Heading 3 Char"/>
    <w:aliases w:val="Heading 3 Cab Char"/>
    <w:basedOn w:val="DefaultParagraphFont"/>
    <w:link w:val="Heading3"/>
    <w:uiPriority w:val="99"/>
    <w:rsid w:val="000F1379"/>
    <w:rPr>
      <w:rFonts w:ascii="Arial" w:eastAsiaTheme="majorEastAsia" w:hAnsi="Arial" w:cstheme="majorBidi"/>
      <w:b/>
      <w:bCs/>
      <w:iCs/>
    </w:rPr>
  </w:style>
  <w:style w:type="character" w:customStyle="1" w:styleId="Heading4Char">
    <w:name w:val="Heading 4 Char"/>
    <w:basedOn w:val="DefaultParagraphFont"/>
    <w:link w:val="Heading4"/>
    <w:uiPriority w:val="9"/>
    <w:rsid w:val="000F1379"/>
    <w:rPr>
      <w:rFonts w:ascii="Arial" w:eastAsiaTheme="majorEastAsia" w:hAnsi="Arial" w:cstheme="majorBidi"/>
      <w:b/>
      <w:bCs/>
      <w:iCs/>
    </w:rPr>
  </w:style>
  <w:style w:type="character" w:customStyle="1" w:styleId="Heading5Char">
    <w:name w:val="Heading 5 Char"/>
    <w:basedOn w:val="DefaultParagraphFont"/>
    <w:link w:val="Heading5"/>
    <w:uiPriority w:val="9"/>
    <w:rsid w:val="000F1379"/>
    <w:rPr>
      <w:rFonts w:ascii="Calibri" w:eastAsia="Calibri" w:hAnsi="Calibri" w:cs="Arial"/>
      <w:b/>
      <w:bCs/>
      <w:iCs/>
      <w:sz w:val="20"/>
      <w:szCs w:val="26"/>
      <w:lang w:eastAsia="en-AU"/>
    </w:rPr>
  </w:style>
  <w:style w:type="character" w:customStyle="1" w:styleId="Heading6Char">
    <w:name w:val="Heading 6 Char"/>
    <w:basedOn w:val="DefaultParagraphFont"/>
    <w:link w:val="Heading6"/>
    <w:uiPriority w:val="9"/>
    <w:rsid w:val="000F1379"/>
    <w:rPr>
      <w:rFonts w:ascii="Calibri" w:eastAsia="Calibri" w:hAnsi="Calibri" w:cs="Arial"/>
      <w:b/>
      <w:bCs/>
      <w:i/>
      <w:sz w:val="20"/>
      <w:lang w:eastAsia="en-AU"/>
    </w:rPr>
  </w:style>
  <w:style w:type="character" w:customStyle="1" w:styleId="Heading7Char">
    <w:name w:val="Heading 7 Char"/>
    <w:basedOn w:val="DefaultParagraphFont"/>
    <w:link w:val="Heading7"/>
    <w:uiPriority w:val="9"/>
    <w:rsid w:val="000F1379"/>
    <w:rPr>
      <w:rFonts w:ascii="Corbel" w:eastAsia="Times New Roman" w:hAnsi="Corbel" w:cs="Times New Roman"/>
      <w:color w:val="3D4B67"/>
      <w:sz w:val="20"/>
      <w:szCs w:val="24"/>
      <w:lang w:eastAsia="en-AU"/>
    </w:rPr>
  </w:style>
  <w:style w:type="character" w:customStyle="1" w:styleId="Heading8Char">
    <w:name w:val="Heading 8 Char"/>
    <w:basedOn w:val="DefaultParagraphFont"/>
    <w:link w:val="Heading8"/>
    <w:uiPriority w:val="9"/>
    <w:rsid w:val="000F1379"/>
    <w:rPr>
      <w:rFonts w:ascii="Corbel" w:eastAsia="Times New Roman" w:hAnsi="Corbel" w:cs="Times New Roman"/>
      <w:iCs/>
      <w:color w:val="3D4B67"/>
      <w:sz w:val="20"/>
      <w:szCs w:val="24"/>
      <w:lang w:eastAsia="en-AU"/>
    </w:rPr>
  </w:style>
  <w:style w:type="character" w:customStyle="1" w:styleId="Heading9Char">
    <w:name w:val="Heading 9 Char"/>
    <w:basedOn w:val="DefaultParagraphFont"/>
    <w:link w:val="Heading9"/>
    <w:uiPriority w:val="9"/>
    <w:rsid w:val="000F1379"/>
    <w:rPr>
      <w:rFonts w:ascii="Corbel" w:eastAsia="Times New Roman" w:hAnsi="Corbel" w:cs="Arial"/>
      <w:color w:val="3D4B67"/>
      <w:sz w:val="36"/>
      <w:lang w:eastAsia="en-AU"/>
    </w:rPr>
  </w:style>
  <w:style w:type="paragraph" w:styleId="BodyText">
    <w:name w:val="Body Text"/>
    <w:aliases w:val="CAB - Body Text,Body Text Cab"/>
    <w:link w:val="BodyTextChar"/>
    <w:uiPriority w:val="99"/>
    <w:qFormat/>
    <w:rsid w:val="001C629E"/>
    <w:pPr>
      <w:widowControl w:val="0"/>
      <w:adjustRightInd w:val="0"/>
      <w:spacing w:before="120" w:after="0" w:line="240" w:lineRule="auto"/>
      <w:jc w:val="both"/>
      <w:textAlignment w:val="baseline"/>
    </w:pPr>
    <w:rPr>
      <w:rFonts w:ascii="Arial" w:eastAsia="Times New Roman" w:hAnsi="Arial" w:cs="Times New Roman"/>
      <w:sz w:val="20"/>
      <w:szCs w:val="20"/>
      <w:lang w:eastAsia="en-AU"/>
    </w:rPr>
  </w:style>
  <w:style w:type="character" w:customStyle="1" w:styleId="BodyTextChar">
    <w:name w:val="Body Text Char"/>
    <w:aliases w:val="CAB - Body Text Char,Body Text Cab Char"/>
    <w:basedOn w:val="DefaultParagraphFont"/>
    <w:link w:val="BodyText"/>
    <w:uiPriority w:val="99"/>
    <w:rsid w:val="000F1379"/>
    <w:rPr>
      <w:rFonts w:ascii="Arial" w:eastAsia="Times New Roman" w:hAnsi="Arial" w:cs="Times New Roman"/>
      <w:sz w:val="20"/>
      <w:szCs w:val="20"/>
      <w:lang w:eastAsia="en-AU"/>
    </w:rPr>
  </w:style>
  <w:style w:type="table" w:styleId="TableGrid">
    <w:name w:val="Table Grid"/>
    <w:basedOn w:val="TableNormal"/>
    <w:uiPriority w:val="39"/>
    <w:rsid w:val="000F1379"/>
    <w:pPr>
      <w:spacing w:after="0" w:line="240" w:lineRule="auto"/>
    </w:pPr>
    <w:rPr>
      <w:sz w:val="20"/>
    </w:rPr>
    <w:tblPr>
      <w:tblBorders>
        <w:insideH w:val="single" w:sz="4" w:space="0" w:color="ED7D31" w:themeColor="accent2"/>
        <w:insideV w:val="single" w:sz="4" w:space="0" w:color="ED7D31" w:themeColor="accent2"/>
      </w:tblBorders>
    </w:tblPr>
    <w:tblStylePr w:type="firstRow">
      <w:tblPr/>
      <w:tcPr>
        <w:shd w:val="clear" w:color="auto" w:fill="FBE4D5" w:themeFill="accent2" w:themeFillTint="33"/>
      </w:tcPr>
    </w:tblStylePr>
  </w:style>
  <w:style w:type="paragraph" w:customStyle="1" w:styleId="CAB-TableText">
    <w:name w:val="CAB - Table Text"/>
    <w:basedOn w:val="BodyText"/>
    <w:uiPriority w:val="8"/>
    <w:rsid w:val="000F1379"/>
    <w:pPr>
      <w:spacing w:before="50" w:after="50"/>
    </w:pPr>
  </w:style>
  <w:style w:type="paragraph" w:styleId="Header">
    <w:name w:val="header"/>
    <w:link w:val="HeaderChar"/>
    <w:uiPriority w:val="99"/>
    <w:rsid w:val="000F1379"/>
    <w:pPr>
      <w:widowControl w:val="0"/>
      <w:tabs>
        <w:tab w:val="center" w:pos="4513"/>
        <w:tab w:val="right" w:pos="9026"/>
      </w:tabs>
      <w:adjustRightInd w:val="0"/>
      <w:spacing w:after="0" w:line="360" w:lineRule="atLeast"/>
      <w:jc w:val="both"/>
      <w:textAlignment w:val="baseline"/>
    </w:pPr>
    <w:rPr>
      <w:rFonts w:ascii="Arial" w:eastAsia="Times New Roman" w:hAnsi="Arial" w:cs="Times New Roman"/>
      <w:sz w:val="20"/>
      <w:szCs w:val="20"/>
      <w:lang w:eastAsia="en-AU"/>
    </w:rPr>
  </w:style>
  <w:style w:type="character" w:customStyle="1" w:styleId="HeaderChar">
    <w:name w:val="Header Char"/>
    <w:basedOn w:val="DefaultParagraphFont"/>
    <w:link w:val="Header"/>
    <w:uiPriority w:val="99"/>
    <w:rsid w:val="000F1379"/>
    <w:rPr>
      <w:rFonts w:ascii="Arial" w:hAnsi="Arial"/>
    </w:rPr>
  </w:style>
  <w:style w:type="paragraph" w:customStyle="1" w:styleId="CAB-Border">
    <w:name w:val="CAB - Border"/>
    <w:basedOn w:val="BodyText"/>
    <w:uiPriority w:val="6"/>
    <w:rsid w:val="000F1379"/>
    <w:pPr>
      <w:pBdr>
        <w:top w:val="single" w:sz="18" w:space="1" w:color="7599BB"/>
      </w:pBdr>
      <w:spacing w:before="240" w:line="20" w:lineRule="exact"/>
    </w:pPr>
  </w:style>
  <w:style w:type="paragraph" w:customStyle="1" w:styleId="ProtectiveMarking">
    <w:name w:val="Protective Marking"/>
    <w:uiPriority w:val="15"/>
    <w:semiHidden/>
    <w:qFormat/>
    <w:rsid w:val="000F1379"/>
    <w:pPr>
      <w:widowControl w:val="0"/>
      <w:adjustRightInd w:val="0"/>
      <w:spacing w:after="0" w:line="240" w:lineRule="auto"/>
      <w:jc w:val="center"/>
      <w:textAlignment w:val="baseline"/>
    </w:pPr>
    <w:rPr>
      <w:rFonts w:ascii="Arial" w:eastAsia="Times New Roman" w:hAnsi="Arial" w:cs="Times New Roman"/>
      <w:b/>
      <w:color w:val="FF0000"/>
      <w:sz w:val="30"/>
      <w:szCs w:val="20"/>
      <w:lang w:eastAsia="en-AU"/>
    </w:rPr>
  </w:style>
  <w:style w:type="character" w:styleId="PageNumber">
    <w:name w:val="page number"/>
    <w:basedOn w:val="DefaultParagraphFont"/>
    <w:uiPriority w:val="99"/>
    <w:unhideWhenUsed/>
    <w:rsid w:val="000F1379"/>
  </w:style>
  <w:style w:type="paragraph" w:customStyle="1" w:styleId="CAB-AttachmentHeading1">
    <w:name w:val="CAB - Attachment Heading 1"/>
    <w:basedOn w:val="Heading1"/>
    <w:uiPriority w:val="10"/>
    <w:rsid w:val="000F1379"/>
  </w:style>
  <w:style w:type="paragraph" w:customStyle="1" w:styleId="CAB-AttachmentHeading2">
    <w:name w:val="CAB - Attachment Heading 2"/>
    <w:basedOn w:val="Heading2"/>
    <w:uiPriority w:val="11"/>
    <w:rsid w:val="000F1379"/>
    <w:rPr>
      <w:sz w:val="25"/>
      <w:szCs w:val="25"/>
    </w:rPr>
  </w:style>
  <w:style w:type="paragraph" w:customStyle="1" w:styleId="ChecklistInstructionCab">
    <w:name w:val="Checklist Instruction Cab"/>
    <w:basedOn w:val="CAB-TableText"/>
    <w:uiPriority w:val="18"/>
    <w:semiHidden/>
    <w:rsid w:val="000F1379"/>
    <w:rPr>
      <w:sz w:val="18"/>
    </w:rPr>
  </w:style>
  <w:style w:type="paragraph" w:customStyle="1" w:styleId="Spacer">
    <w:name w:val="Spacer"/>
    <w:uiPriority w:val="98"/>
    <w:semiHidden/>
    <w:rsid w:val="000F1379"/>
    <w:pPr>
      <w:widowControl w:val="0"/>
      <w:adjustRightInd w:val="0"/>
      <w:spacing w:after="0" w:line="240" w:lineRule="auto"/>
      <w:jc w:val="both"/>
      <w:textAlignment w:val="baseline"/>
    </w:pPr>
    <w:rPr>
      <w:rFonts w:ascii="Arial" w:eastAsia="Times New Roman" w:hAnsi="Arial" w:cs="Times New Roman"/>
      <w:sz w:val="4"/>
      <w:szCs w:val="4"/>
      <w:lang w:eastAsia="en-AU"/>
    </w:rPr>
  </w:style>
  <w:style w:type="paragraph" w:customStyle="1" w:styleId="DocNoCab">
    <w:name w:val="Doc No Cab"/>
    <w:basedOn w:val="CAB-AttachmentHeading2"/>
    <w:uiPriority w:val="14"/>
    <w:semiHidden/>
    <w:rsid w:val="000F1379"/>
    <w:pPr>
      <w:ind w:left="34"/>
      <w:jc w:val="right"/>
    </w:pPr>
    <w:rPr>
      <w:noProof/>
      <w:lang w:val="en-US"/>
    </w:rPr>
  </w:style>
  <w:style w:type="paragraph" w:customStyle="1" w:styleId="CAB-RecommendationList">
    <w:name w:val="CAB - Recommendation List"/>
    <w:basedOn w:val="Normal"/>
    <w:uiPriority w:val="1"/>
    <w:rsid w:val="000F1379"/>
    <w:pPr>
      <w:spacing w:after="0"/>
    </w:pPr>
  </w:style>
  <w:style w:type="character" w:styleId="CommentReference">
    <w:name w:val="annotation reference"/>
    <w:basedOn w:val="DefaultParagraphFont"/>
    <w:uiPriority w:val="99"/>
    <w:unhideWhenUsed/>
    <w:rsid w:val="000F1379"/>
    <w:rPr>
      <w:sz w:val="16"/>
      <w:szCs w:val="16"/>
    </w:rPr>
  </w:style>
  <w:style w:type="paragraph" w:styleId="CommentText">
    <w:name w:val="annotation text"/>
    <w:basedOn w:val="Normal"/>
    <w:link w:val="CommentTextChar"/>
    <w:uiPriority w:val="99"/>
    <w:unhideWhenUsed/>
    <w:rsid w:val="000F1379"/>
  </w:style>
  <w:style w:type="character" w:customStyle="1" w:styleId="CommentTextChar">
    <w:name w:val="Comment Text Char"/>
    <w:basedOn w:val="DefaultParagraphFont"/>
    <w:link w:val="CommentText"/>
    <w:uiPriority w:val="99"/>
    <w:rsid w:val="000F1379"/>
    <w:rPr>
      <w:rFonts w:ascii="Arial" w:hAnsi="Arial"/>
      <w:sz w:val="20"/>
      <w:szCs w:val="20"/>
    </w:rPr>
  </w:style>
  <w:style w:type="paragraph" w:styleId="CommentSubject">
    <w:name w:val="annotation subject"/>
    <w:basedOn w:val="CommentText"/>
    <w:next w:val="CommentText"/>
    <w:link w:val="CommentSubjectChar"/>
    <w:uiPriority w:val="99"/>
    <w:unhideWhenUsed/>
    <w:rsid w:val="000F1379"/>
    <w:rPr>
      <w:b/>
      <w:bCs/>
    </w:rPr>
  </w:style>
  <w:style w:type="character" w:customStyle="1" w:styleId="CommentSubjectChar">
    <w:name w:val="Comment Subject Char"/>
    <w:basedOn w:val="CommentTextChar"/>
    <w:link w:val="CommentSubject"/>
    <w:uiPriority w:val="99"/>
    <w:rsid w:val="000F1379"/>
    <w:rPr>
      <w:rFonts w:ascii="Arial" w:hAnsi="Arial"/>
      <w:b/>
      <w:bCs/>
      <w:sz w:val="20"/>
      <w:szCs w:val="20"/>
    </w:rPr>
  </w:style>
  <w:style w:type="paragraph" w:customStyle="1" w:styleId="CAB-Heading1">
    <w:name w:val="CAB - Heading 1"/>
    <w:basedOn w:val="Heading1"/>
    <w:link w:val="CAB-Heading1Char"/>
    <w:uiPriority w:val="98"/>
    <w:rsid w:val="000F1379"/>
  </w:style>
  <w:style w:type="character" w:customStyle="1" w:styleId="CAB-Heading1Char">
    <w:name w:val="CAB - Heading 1 Char"/>
    <w:basedOn w:val="Heading1Char"/>
    <w:link w:val="CAB-Heading1"/>
    <w:uiPriority w:val="98"/>
    <w:rsid w:val="000F1379"/>
    <w:rPr>
      <w:rFonts w:ascii="Arial" w:eastAsiaTheme="majorEastAsia" w:hAnsi="Arial" w:cstheme="majorBidi"/>
      <w:b/>
      <w:bCs/>
      <w:color w:val="003865"/>
      <w:sz w:val="32"/>
      <w:szCs w:val="28"/>
    </w:rPr>
  </w:style>
  <w:style w:type="paragraph" w:customStyle="1" w:styleId="CAB-Heading2">
    <w:name w:val="CAB - Heading 2"/>
    <w:basedOn w:val="Normal"/>
    <w:link w:val="CAB-Heading2Char"/>
    <w:uiPriority w:val="98"/>
    <w:qFormat/>
    <w:rsid w:val="000F1379"/>
    <w:pPr>
      <w:keepNext/>
      <w:keepLines/>
      <w:tabs>
        <w:tab w:val="left" w:pos="567"/>
      </w:tabs>
      <w:spacing w:after="0"/>
      <w:outlineLvl w:val="0"/>
    </w:pPr>
    <w:rPr>
      <w:rFonts w:eastAsiaTheme="majorEastAsia" w:cstheme="majorBidi"/>
      <w:b/>
      <w:bCs/>
      <w:color w:val="003865"/>
      <w:sz w:val="24"/>
      <w:szCs w:val="28"/>
    </w:rPr>
  </w:style>
  <w:style w:type="paragraph" w:customStyle="1" w:styleId="CAB-Heading3">
    <w:name w:val="CAB - Heading 3"/>
    <w:basedOn w:val="Heading2"/>
    <w:link w:val="CAB-Heading3Char"/>
    <w:uiPriority w:val="98"/>
    <w:qFormat/>
    <w:rsid w:val="000F1379"/>
  </w:style>
  <w:style w:type="character" w:customStyle="1" w:styleId="CAB-Heading2Char">
    <w:name w:val="CAB - Heading 2 Char"/>
    <w:basedOn w:val="DefaultParagraphFont"/>
    <w:link w:val="CAB-Heading2"/>
    <w:uiPriority w:val="98"/>
    <w:rsid w:val="000F1379"/>
    <w:rPr>
      <w:rFonts w:ascii="Arial" w:eastAsiaTheme="majorEastAsia" w:hAnsi="Arial" w:cstheme="majorBidi"/>
      <w:b/>
      <w:bCs/>
      <w:color w:val="003865"/>
      <w:sz w:val="24"/>
      <w:szCs w:val="28"/>
    </w:rPr>
  </w:style>
  <w:style w:type="paragraph" w:customStyle="1" w:styleId="CAB-Paragraph">
    <w:name w:val="CAB - Paragraph"/>
    <w:basedOn w:val="BodyText"/>
    <w:link w:val="CAB-ParagraphChar"/>
    <w:uiPriority w:val="98"/>
    <w:qFormat/>
    <w:rsid w:val="000F1379"/>
  </w:style>
  <w:style w:type="character" w:customStyle="1" w:styleId="CAB-Heading3Char">
    <w:name w:val="CAB - Heading 3 Char"/>
    <w:basedOn w:val="Heading2Char"/>
    <w:link w:val="CAB-Heading3"/>
    <w:uiPriority w:val="98"/>
    <w:rsid w:val="000F1379"/>
    <w:rPr>
      <w:rFonts w:ascii="Arial" w:eastAsiaTheme="majorEastAsia" w:hAnsi="Arial" w:cstheme="majorBidi"/>
      <w:b/>
      <w:bCs/>
      <w:sz w:val="24"/>
      <w:szCs w:val="32"/>
    </w:rPr>
  </w:style>
  <w:style w:type="character" w:customStyle="1" w:styleId="CAB-ParagraphChar">
    <w:name w:val="CAB - Paragraph Char"/>
    <w:basedOn w:val="BodyTextChar"/>
    <w:link w:val="CAB-Paragraph"/>
    <w:uiPriority w:val="98"/>
    <w:rsid w:val="000F1379"/>
    <w:rPr>
      <w:rFonts w:ascii="Arial" w:eastAsia="Times New Roman" w:hAnsi="Arial" w:cs="Times New Roman"/>
      <w:sz w:val="20"/>
      <w:szCs w:val="20"/>
      <w:lang w:eastAsia="en-AU"/>
    </w:rPr>
  </w:style>
  <w:style w:type="character" w:styleId="FollowedHyperlink">
    <w:name w:val="FollowedHyperlink"/>
    <w:basedOn w:val="DefaultParagraphFont"/>
    <w:uiPriority w:val="99"/>
    <w:unhideWhenUsed/>
    <w:rsid w:val="000F1379"/>
    <w:rPr>
      <w:color w:val="954F72" w:themeColor="followedHyperlink"/>
      <w:u w:val="single"/>
    </w:rPr>
  </w:style>
  <w:style w:type="paragraph" w:customStyle="1" w:styleId="CAB-AttachmentHeading3">
    <w:name w:val="CAB - Attachment Heading 3"/>
    <w:basedOn w:val="Heading3"/>
    <w:uiPriority w:val="98"/>
    <w:rsid w:val="000F1379"/>
    <w:pPr>
      <w:ind w:left="0"/>
    </w:pPr>
  </w:style>
  <w:style w:type="paragraph" w:customStyle="1" w:styleId="CAB-TableHeading">
    <w:name w:val="CAB - Table Heading"/>
    <w:basedOn w:val="CAB-TableText"/>
    <w:uiPriority w:val="7"/>
    <w:rsid w:val="000F1379"/>
    <w:rPr>
      <w:b/>
    </w:rPr>
  </w:style>
  <w:style w:type="paragraph" w:customStyle="1" w:styleId="CABHeading2">
    <w:name w:val="CAB Heading 2."/>
    <w:basedOn w:val="Normal"/>
    <w:link w:val="CABHeading2Char"/>
    <w:uiPriority w:val="98"/>
    <w:qFormat/>
    <w:rsid w:val="000F1379"/>
    <w:pPr>
      <w:keepNext/>
      <w:keepLines/>
      <w:tabs>
        <w:tab w:val="left" w:pos="567"/>
      </w:tabs>
      <w:spacing w:after="0"/>
      <w:outlineLvl w:val="0"/>
    </w:pPr>
    <w:rPr>
      <w:rFonts w:eastAsiaTheme="majorEastAsia" w:cstheme="majorBidi"/>
      <w:b/>
      <w:bCs/>
      <w:color w:val="003865"/>
      <w:sz w:val="24"/>
      <w:szCs w:val="28"/>
    </w:rPr>
  </w:style>
  <w:style w:type="character" w:customStyle="1" w:styleId="CABHeading2Char">
    <w:name w:val="CAB Heading 2. Char"/>
    <w:basedOn w:val="DefaultParagraphFont"/>
    <w:link w:val="CABHeading2"/>
    <w:uiPriority w:val="98"/>
    <w:rsid w:val="000F1379"/>
    <w:rPr>
      <w:rFonts w:ascii="Arial" w:eastAsiaTheme="majorEastAsia" w:hAnsi="Arial" w:cstheme="majorBidi"/>
      <w:b/>
      <w:bCs/>
      <w:color w:val="003865"/>
      <w:sz w:val="24"/>
      <w:szCs w:val="28"/>
    </w:rPr>
  </w:style>
  <w:style w:type="paragraph" w:customStyle="1" w:styleId="CABNETParagraph">
    <w:name w:val="CABNET Paragraph."/>
    <w:basedOn w:val="BodyText"/>
    <w:link w:val="CABNETParagraphChar"/>
    <w:uiPriority w:val="98"/>
    <w:qFormat/>
    <w:rsid w:val="000F1379"/>
  </w:style>
  <w:style w:type="character" w:customStyle="1" w:styleId="CABNETParagraphChar">
    <w:name w:val="CABNET Paragraph. Char"/>
    <w:basedOn w:val="BodyTextChar"/>
    <w:link w:val="CABNETParagraph"/>
    <w:uiPriority w:val="98"/>
    <w:rsid w:val="000F1379"/>
    <w:rPr>
      <w:rFonts w:ascii="Arial" w:eastAsia="Times New Roman" w:hAnsi="Arial" w:cs="Times New Roman"/>
      <w:sz w:val="20"/>
      <w:szCs w:val="20"/>
      <w:lang w:eastAsia="en-AU"/>
    </w:rPr>
  </w:style>
  <w:style w:type="paragraph" w:styleId="BalloonText">
    <w:name w:val="Balloon Text"/>
    <w:basedOn w:val="Normal"/>
    <w:link w:val="BalloonTextChar"/>
    <w:uiPriority w:val="99"/>
    <w:unhideWhenUsed/>
    <w:rsid w:val="000F137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0F1379"/>
    <w:rPr>
      <w:rFonts w:ascii="Tahoma" w:hAnsi="Tahoma" w:cs="Tahoma"/>
      <w:sz w:val="16"/>
      <w:szCs w:val="16"/>
    </w:rPr>
  </w:style>
  <w:style w:type="paragraph" w:styleId="Footer">
    <w:name w:val="footer"/>
    <w:basedOn w:val="Normal"/>
    <w:link w:val="FooterChar"/>
    <w:uiPriority w:val="99"/>
    <w:unhideWhenUsed/>
    <w:rsid w:val="000F1379"/>
    <w:pPr>
      <w:tabs>
        <w:tab w:val="center" w:pos="4513"/>
        <w:tab w:val="right" w:pos="9026"/>
      </w:tabs>
      <w:spacing w:before="0" w:after="0"/>
    </w:pPr>
  </w:style>
  <w:style w:type="character" w:customStyle="1" w:styleId="FooterChar">
    <w:name w:val="Footer Char"/>
    <w:basedOn w:val="DefaultParagraphFont"/>
    <w:link w:val="Footer"/>
    <w:uiPriority w:val="99"/>
    <w:rsid w:val="000F1379"/>
    <w:rPr>
      <w:rFonts w:ascii="Arial" w:hAnsi="Arial"/>
    </w:rPr>
  </w:style>
  <w:style w:type="paragraph" w:customStyle="1" w:styleId="PageRefCab">
    <w:name w:val="Page Ref Cab"/>
    <w:uiPriority w:val="98"/>
    <w:semiHidden/>
    <w:rsid w:val="000F1379"/>
    <w:pPr>
      <w:framePr w:wrap="around" w:vAnchor="text" w:hAnchor="page" w:x="9403" w:y="139"/>
      <w:widowControl w:val="0"/>
      <w:adjustRightInd w:val="0"/>
      <w:spacing w:after="0" w:line="240" w:lineRule="auto"/>
      <w:jc w:val="both"/>
      <w:textAlignment w:val="baseline"/>
    </w:pPr>
    <w:rPr>
      <w:rFonts w:ascii="Arial" w:eastAsia="Times New Roman" w:hAnsi="Arial" w:cs="Times New Roman"/>
      <w:sz w:val="18"/>
      <w:szCs w:val="18"/>
      <w:lang w:eastAsia="en-AU"/>
    </w:rPr>
  </w:style>
  <w:style w:type="paragraph" w:customStyle="1" w:styleId="CABFooter">
    <w:name w:val="CAB Footer"/>
    <w:basedOn w:val="Normal"/>
    <w:rsid w:val="000F1379"/>
    <w:pPr>
      <w:tabs>
        <w:tab w:val="right" w:pos="7513"/>
      </w:tabs>
      <w:spacing w:before="0" w:after="0"/>
      <w:ind w:right="357"/>
      <w:jc w:val="center"/>
    </w:pPr>
    <w:rPr>
      <w:rFonts w:ascii="Times New Roman" w:hAnsi="Times New Roman"/>
      <w:sz w:val="18"/>
      <w:szCs w:val="18"/>
    </w:rPr>
  </w:style>
  <w:style w:type="paragraph" w:styleId="Title">
    <w:name w:val="Title"/>
    <w:aliases w:val="Title Cab"/>
    <w:next w:val="BodyText"/>
    <w:link w:val="TitleChar"/>
    <w:uiPriority w:val="10"/>
    <w:qFormat/>
    <w:rsid w:val="000F1379"/>
    <w:pPr>
      <w:widowControl w:val="0"/>
      <w:tabs>
        <w:tab w:val="center" w:pos="1313"/>
      </w:tabs>
      <w:adjustRightInd w:val="0"/>
      <w:spacing w:before="160" w:after="160" w:line="360" w:lineRule="atLeast"/>
      <w:jc w:val="both"/>
      <w:textAlignment w:val="baseline"/>
    </w:pPr>
    <w:rPr>
      <w:rFonts w:ascii="Arial" w:eastAsia="Times New Roman" w:hAnsi="Arial" w:cs="Times New Roman"/>
      <w:b/>
      <w:color w:val="003865"/>
      <w:sz w:val="48"/>
      <w:szCs w:val="20"/>
      <w:lang w:eastAsia="en-AU"/>
    </w:rPr>
  </w:style>
  <w:style w:type="character" w:customStyle="1" w:styleId="TitleChar">
    <w:name w:val="Title Char"/>
    <w:aliases w:val="Title Cab Char"/>
    <w:basedOn w:val="DefaultParagraphFont"/>
    <w:link w:val="Title"/>
    <w:uiPriority w:val="10"/>
    <w:rsid w:val="000F1379"/>
    <w:rPr>
      <w:rFonts w:ascii="Arial" w:hAnsi="Arial"/>
      <w:b/>
      <w:color w:val="003865"/>
      <w:sz w:val="48"/>
      <w:szCs w:val="20"/>
    </w:rPr>
  </w:style>
  <w:style w:type="paragraph" w:customStyle="1" w:styleId="TableTextCab">
    <w:name w:val="Table Text Cab"/>
    <w:basedOn w:val="BodyText"/>
    <w:uiPriority w:val="8"/>
    <w:rsid w:val="000F1379"/>
    <w:pPr>
      <w:spacing w:before="50" w:after="50"/>
    </w:pPr>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BodyText"/>
    <w:link w:val="ListParagraphChar"/>
    <w:uiPriority w:val="34"/>
    <w:qFormat/>
    <w:rsid w:val="000F1379"/>
    <w:pPr>
      <w:tabs>
        <w:tab w:val="left" w:pos="851"/>
      </w:tabs>
      <w:spacing w:before="0"/>
      <w:ind w:left="851" w:hanging="284"/>
      <w:contextualSpacing/>
    </w:pPr>
  </w:style>
  <w:style w:type="paragraph" w:customStyle="1" w:styleId="BorderCab">
    <w:name w:val="Border Cab"/>
    <w:basedOn w:val="BodyText"/>
    <w:uiPriority w:val="6"/>
    <w:rsid w:val="000F1379"/>
    <w:pPr>
      <w:pBdr>
        <w:top w:val="single" w:sz="18" w:space="1" w:color="7599BB"/>
      </w:pBdr>
      <w:spacing w:before="240" w:line="20" w:lineRule="exact"/>
    </w:pPr>
  </w:style>
  <w:style w:type="paragraph" w:customStyle="1" w:styleId="SummaryHeading1Cab">
    <w:name w:val="Summary Heading 1 Cab"/>
    <w:basedOn w:val="Heading1"/>
    <w:link w:val="SummaryHeading1CabChar"/>
    <w:uiPriority w:val="13"/>
    <w:semiHidden/>
    <w:qFormat/>
    <w:rsid w:val="000F1379"/>
    <w:pPr>
      <w:spacing w:before="120"/>
    </w:pPr>
    <w:rPr>
      <w:sz w:val="24"/>
    </w:rPr>
  </w:style>
  <w:style w:type="paragraph" w:customStyle="1" w:styleId="TableHeadingCab">
    <w:name w:val="Table Heading Cab"/>
    <w:basedOn w:val="TableTextCab"/>
    <w:uiPriority w:val="7"/>
    <w:rsid w:val="000F1379"/>
    <w:rPr>
      <w:b/>
    </w:rPr>
  </w:style>
  <w:style w:type="paragraph" w:customStyle="1" w:styleId="SectionTitleCab">
    <w:name w:val="Section Title Cab"/>
    <w:basedOn w:val="Title"/>
    <w:link w:val="SectionTitleCabChar"/>
    <w:uiPriority w:val="17"/>
    <w:semiHidden/>
    <w:qFormat/>
    <w:rsid w:val="000F1379"/>
    <w:pPr>
      <w:spacing w:before="240" w:after="60" w:line="240" w:lineRule="auto"/>
    </w:pPr>
    <w:rPr>
      <w:sz w:val="40"/>
    </w:rPr>
  </w:style>
  <w:style w:type="character" w:styleId="Hyperlink">
    <w:name w:val="Hyperlink"/>
    <w:aliases w:val="Hyperlink Cab"/>
    <w:basedOn w:val="DefaultParagraphFont"/>
    <w:uiPriority w:val="99"/>
    <w:rsid w:val="000F1379"/>
    <w:rPr>
      <w:color w:val="0563C1" w:themeColor="hyperlink"/>
      <w:u w:val="single"/>
    </w:rPr>
  </w:style>
  <w:style w:type="paragraph" w:customStyle="1" w:styleId="AttachmentHeading1Cab">
    <w:name w:val="Attachment Heading 1 Cab"/>
    <w:basedOn w:val="Heading1"/>
    <w:uiPriority w:val="10"/>
    <w:rsid w:val="000F1379"/>
  </w:style>
  <w:style w:type="paragraph" w:customStyle="1" w:styleId="AttachmentHeading2Cab">
    <w:name w:val="Attachment Heading 2 Cab"/>
    <w:basedOn w:val="Heading2"/>
    <w:uiPriority w:val="11"/>
    <w:rsid w:val="000F1379"/>
    <w:rPr>
      <w:sz w:val="25"/>
      <w:szCs w:val="25"/>
    </w:rPr>
  </w:style>
  <w:style w:type="paragraph" w:customStyle="1" w:styleId="RecommendationListCab">
    <w:name w:val="Recommendation List Cab"/>
    <w:basedOn w:val="Normal"/>
    <w:uiPriority w:val="1"/>
    <w:rsid w:val="000F1379"/>
    <w:pPr>
      <w:spacing w:after="0"/>
    </w:pPr>
  </w:style>
  <w:style w:type="paragraph" w:customStyle="1" w:styleId="CABHeading1">
    <w:name w:val="CAB Heading 1."/>
    <w:basedOn w:val="SectionTitleCab"/>
    <w:link w:val="CABHeading1Char"/>
    <w:uiPriority w:val="98"/>
    <w:qFormat/>
    <w:rsid w:val="000F1379"/>
    <w:pPr>
      <w:tabs>
        <w:tab w:val="left" w:pos="5932"/>
      </w:tabs>
    </w:pPr>
  </w:style>
  <w:style w:type="character" w:customStyle="1" w:styleId="SectionTitleCabChar">
    <w:name w:val="Section Title Cab Char"/>
    <w:basedOn w:val="TitleChar"/>
    <w:link w:val="SectionTitleCab"/>
    <w:uiPriority w:val="17"/>
    <w:semiHidden/>
    <w:rsid w:val="000F1379"/>
    <w:rPr>
      <w:rFonts w:ascii="Arial" w:hAnsi="Arial"/>
      <w:b/>
      <w:color w:val="003865"/>
      <w:sz w:val="40"/>
      <w:szCs w:val="20"/>
    </w:rPr>
  </w:style>
  <w:style w:type="character" w:customStyle="1" w:styleId="CABHeading1Char">
    <w:name w:val="CAB Heading 1. Char"/>
    <w:basedOn w:val="SectionTitleCabChar"/>
    <w:link w:val="CABHeading1"/>
    <w:uiPriority w:val="98"/>
    <w:rsid w:val="000F1379"/>
    <w:rPr>
      <w:rFonts w:ascii="Arial" w:hAnsi="Arial"/>
      <w:b/>
      <w:color w:val="003865"/>
      <w:sz w:val="40"/>
      <w:szCs w:val="20"/>
    </w:rPr>
  </w:style>
  <w:style w:type="character" w:customStyle="1" w:styleId="SummaryHeading1CabChar">
    <w:name w:val="Summary Heading 1 Cab Char"/>
    <w:basedOn w:val="Heading1Char"/>
    <w:link w:val="SummaryHeading1Cab"/>
    <w:uiPriority w:val="13"/>
    <w:semiHidden/>
    <w:rsid w:val="000F1379"/>
    <w:rPr>
      <w:rFonts w:ascii="Arial" w:eastAsiaTheme="majorEastAsia" w:hAnsi="Arial" w:cstheme="majorBidi"/>
      <w:b/>
      <w:bCs/>
      <w:color w:val="003865"/>
      <w:sz w:val="24"/>
      <w:szCs w:val="28"/>
    </w:rPr>
  </w:style>
  <w:style w:type="paragraph" w:customStyle="1" w:styleId="AttachmentHeading3">
    <w:name w:val="Attachment Heading 3"/>
    <w:basedOn w:val="Heading3"/>
    <w:uiPriority w:val="98"/>
    <w:rsid w:val="000F1379"/>
    <w:pPr>
      <w:ind w:left="0"/>
    </w:pPr>
  </w:style>
  <w:style w:type="paragraph" w:styleId="Revision">
    <w:name w:val="Revision"/>
    <w:hidden/>
    <w:uiPriority w:val="99"/>
    <w:semiHidden/>
    <w:rsid w:val="000F1379"/>
    <w:pPr>
      <w:widowControl w:val="0"/>
      <w:adjustRightInd w:val="0"/>
      <w:spacing w:after="0" w:line="240" w:lineRule="auto"/>
      <w:jc w:val="both"/>
      <w:textAlignment w:val="baseline"/>
    </w:pPr>
    <w:rPr>
      <w:rFonts w:ascii="Arial" w:eastAsia="Times New Roman" w:hAnsi="Arial" w:cs="Times New Roman"/>
      <w:sz w:val="20"/>
      <w:szCs w:val="20"/>
      <w:lang w:eastAsia="en-AU"/>
    </w:rPr>
  </w:style>
  <w:style w:type="paragraph" w:customStyle="1" w:styleId="CAB-NumberedParagraph">
    <w:name w:val="CAB - Numbered Paragraph"/>
    <w:basedOn w:val="Normal"/>
    <w:uiPriority w:val="98"/>
    <w:rsid w:val="000F1379"/>
    <w:pPr>
      <w:tabs>
        <w:tab w:val="num" w:pos="340"/>
      </w:tabs>
      <w:ind w:left="340"/>
    </w:pPr>
  </w:style>
  <w:style w:type="paragraph" w:customStyle="1" w:styleId="CAB-BulletList">
    <w:name w:val="CAB - Bullet List"/>
    <w:basedOn w:val="ListParagraph"/>
    <w:uiPriority w:val="98"/>
    <w:rsid w:val="000F1379"/>
    <w:pPr>
      <w:ind w:left="360" w:hanging="360"/>
    </w:pPr>
  </w:style>
  <w:style w:type="paragraph" w:customStyle="1" w:styleId="CABNETParagraph0">
    <w:name w:val="CABNET Paragraph"/>
    <w:basedOn w:val="Normal"/>
    <w:link w:val="CABNETParagraphChar0"/>
    <w:qFormat/>
    <w:rsid w:val="000F1379"/>
    <w:rPr>
      <w:rFonts w:ascii="Times New Roman" w:hAnsi="Times New Roman"/>
      <w:sz w:val="24"/>
    </w:rPr>
  </w:style>
  <w:style w:type="character" w:customStyle="1" w:styleId="CABNETParagraphChar0">
    <w:name w:val="CABNET Paragraph Char"/>
    <w:basedOn w:val="DefaultParagraphFont"/>
    <w:link w:val="CABNETParagraph0"/>
    <w:rsid w:val="000F1379"/>
    <w:rPr>
      <w:rFonts w:ascii="Times New Roman" w:hAnsi="Times New Roman"/>
      <w:sz w:val="24"/>
    </w:rPr>
  </w:style>
  <w:style w:type="character" w:styleId="Emphasis">
    <w:name w:val="Emphasis"/>
    <w:basedOn w:val="DefaultParagraphFont"/>
    <w:uiPriority w:val="20"/>
    <w:qFormat/>
    <w:rsid w:val="000F1379"/>
    <w:rPr>
      <w:i/>
      <w:iCs/>
    </w:rPr>
  </w:style>
  <w:style w:type="character" w:styleId="Strong">
    <w:name w:val="Strong"/>
    <w:basedOn w:val="DefaultParagraphFont"/>
    <w:uiPriority w:val="22"/>
    <w:qFormat/>
    <w:rsid w:val="000F1379"/>
    <w:rPr>
      <w:b/>
      <w:bCs/>
    </w:rPr>
  </w:style>
  <w:style w:type="paragraph" w:styleId="Subtitle">
    <w:name w:val="Subtitle"/>
    <w:basedOn w:val="Normal"/>
    <w:next w:val="Normal"/>
    <w:link w:val="SubtitleChar"/>
    <w:uiPriority w:val="11"/>
    <w:qFormat/>
    <w:rsid w:val="000F1379"/>
    <w:pPr>
      <w:numPr>
        <w:ilvl w:val="1"/>
      </w:numPr>
      <w:spacing w:before="0" w:after="0"/>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11"/>
    <w:rsid w:val="000F1379"/>
    <w:rPr>
      <w:rFonts w:asciiTheme="majorHAnsi" w:eastAsiaTheme="majorEastAsia" w:hAnsiTheme="majorHAnsi" w:cstheme="majorBidi"/>
      <w:iCs/>
      <w:spacing w:val="15"/>
      <w:sz w:val="20"/>
      <w:szCs w:val="20"/>
      <w:lang w:eastAsia="en-AU"/>
    </w:rPr>
  </w:style>
  <w:style w:type="paragraph" w:styleId="NoSpacing">
    <w:name w:val="No Spacing"/>
    <w:uiPriority w:val="1"/>
    <w:qFormat/>
    <w:rsid w:val="000F1379"/>
    <w:pPr>
      <w:widowControl w:val="0"/>
      <w:adjustRightInd w:val="0"/>
      <w:spacing w:after="0" w:line="240" w:lineRule="auto"/>
      <w:jc w:val="both"/>
      <w:textAlignment w:val="baseline"/>
    </w:pPr>
    <w:rPr>
      <w:rFonts w:ascii="Calibri" w:eastAsia="Times New Roman" w:hAnsi="Calibri" w:cs="Times New Roman"/>
      <w:sz w:val="24"/>
      <w:szCs w:val="24"/>
      <w:lang w:eastAsia="en-AU"/>
    </w:rPr>
  </w:style>
  <w:style w:type="character" w:styleId="SubtleEmphasis">
    <w:name w:val="Subtle Emphasis"/>
    <w:basedOn w:val="DefaultParagraphFont"/>
    <w:uiPriority w:val="19"/>
    <w:qFormat/>
    <w:rsid w:val="000F1379"/>
    <w:rPr>
      <w:i/>
      <w:iCs/>
      <w:color w:val="808080" w:themeColor="text1" w:themeTint="7F"/>
    </w:rPr>
  </w:style>
  <w:style w:type="character" w:styleId="IntenseEmphasis">
    <w:name w:val="Intense Emphasis"/>
    <w:basedOn w:val="DefaultParagraphFont"/>
    <w:uiPriority w:val="21"/>
    <w:qFormat/>
    <w:rsid w:val="000F1379"/>
    <w:rPr>
      <w:b/>
      <w:bCs/>
      <w:i/>
      <w:iCs/>
      <w:color w:val="5B9BD5" w:themeColor="accent1"/>
    </w:rPr>
  </w:style>
  <w:style w:type="paragraph" w:styleId="Quote">
    <w:name w:val="Quote"/>
    <w:basedOn w:val="Normal"/>
    <w:next w:val="Normal"/>
    <w:link w:val="QuoteChar"/>
    <w:uiPriority w:val="29"/>
    <w:qFormat/>
    <w:rsid w:val="000F1379"/>
    <w:pPr>
      <w:spacing w:before="0" w:after="0"/>
    </w:pPr>
    <w:rPr>
      <w:rFonts w:ascii="Calibri" w:eastAsia="Calibri" w:hAnsi="Calibri" w:cs="Arial"/>
      <w:i/>
      <w:iCs/>
      <w:color w:val="000000" w:themeColor="text1"/>
    </w:rPr>
  </w:style>
  <w:style w:type="character" w:customStyle="1" w:styleId="QuoteChar">
    <w:name w:val="Quote Char"/>
    <w:basedOn w:val="DefaultParagraphFont"/>
    <w:link w:val="Quote"/>
    <w:uiPriority w:val="29"/>
    <w:rsid w:val="000F1379"/>
    <w:rPr>
      <w:rFonts w:ascii="Calibri" w:eastAsia="Calibri" w:hAnsi="Calibri" w:cs="Arial"/>
      <w:i/>
      <w:iCs/>
      <w:color w:val="000000" w:themeColor="text1"/>
      <w:sz w:val="20"/>
      <w:szCs w:val="20"/>
      <w:lang w:eastAsia="en-AU"/>
    </w:rPr>
  </w:style>
  <w:style w:type="paragraph" w:styleId="IntenseQuote">
    <w:name w:val="Intense Quote"/>
    <w:basedOn w:val="Normal"/>
    <w:next w:val="Normal"/>
    <w:link w:val="IntenseQuoteChar"/>
    <w:uiPriority w:val="30"/>
    <w:qFormat/>
    <w:rsid w:val="000F1379"/>
    <w:pPr>
      <w:pBdr>
        <w:bottom w:val="single" w:sz="4" w:space="4" w:color="5B9BD5" w:themeColor="accent1"/>
      </w:pBdr>
      <w:spacing w:before="200" w:after="280"/>
      <w:ind w:left="936" w:right="936"/>
    </w:pPr>
    <w:rPr>
      <w:rFonts w:ascii="Calibri" w:eastAsia="Calibri" w:hAnsi="Calibri" w:cs="Arial"/>
      <w:b/>
      <w:bCs/>
      <w:i/>
      <w:iCs/>
      <w:color w:val="5B9BD5" w:themeColor="accent1"/>
    </w:rPr>
  </w:style>
  <w:style w:type="character" w:customStyle="1" w:styleId="IntenseQuoteChar">
    <w:name w:val="Intense Quote Char"/>
    <w:basedOn w:val="DefaultParagraphFont"/>
    <w:link w:val="IntenseQuote"/>
    <w:uiPriority w:val="30"/>
    <w:rsid w:val="000F1379"/>
    <w:rPr>
      <w:rFonts w:ascii="Calibri" w:eastAsia="Calibri" w:hAnsi="Calibri" w:cs="Arial"/>
      <w:b/>
      <w:bCs/>
      <w:i/>
      <w:iCs/>
      <w:color w:val="5B9BD5" w:themeColor="accent1"/>
      <w:sz w:val="20"/>
      <w:szCs w:val="20"/>
      <w:lang w:eastAsia="en-AU"/>
    </w:rPr>
  </w:style>
  <w:style w:type="character" w:styleId="SubtleReference">
    <w:name w:val="Subtle Reference"/>
    <w:basedOn w:val="DefaultParagraphFont"/>
    <w:uiPriority w:val="31"/>
    <w:qFormat/>
    <w:rsid w:val="000F1379"/>
    <w:rPr>
      <w:smallCaps/>
      <w:color w:val="ED7D31" w:themeColor="accent2"/>
      <w:u w:val="single"/>
    </w:rPr>
  </w:style>
  <w:style w:type="character" w:styleId="IntenseReference">
    <w:name w:val="Intense Reference"/>
    <w:basedOn w:val="DefaultParagraphFont"/>
    <w:uiPriority w:val="32"/>
    <w:qFormat/>
    <w:rsid w:val="000F1379"/>
    <w:rPr>
      <w:b/>
      <w:bCs/>
      <w:i/>
      <w:smallCaps/>
      <w:color w:val="ED7D31" w:themeColor="accent2"/>
      <w:spacing w:val="5"/>
      <w:u w:val="none"/>
    </w:rPr>
  </w:style>
  <w:style w:type="character" w:styleId="BookTitle">
    <w:name w:val="Book Title"/>
    <w:basedOn w:val="DefaultParagraphFont"/>
    <w:uiPriority w:val="33"/>
    <w:qFormat/>
    <w:rsid w:val="000F1379"/>
    <w:rPr>
      <w:b/>
      <w:bCs/>
      <w:smallCaps/>
      <w:spacing w:val="5"/>
    </w:rPr>
  </w:style>
  <w:style w:type="paragraph" w:styleId="TOCHeading">
    <w:name w:val="TOC Heading"/>
    <w:basedOn w:val="Heading1"/>
    <w:next w:val="Normal"/>
    <w:uiPriority w:val="39"/>
    <w:unhideWhenUsed/>
    <w:qFormat/>
    <w:rsid w:val="000F1379"/>
    <w:pPr>
      <w:tabs>
        <w:tab w:val="clear" w:pos="567"/>
      </w:tabs>
      <w:spacing w:before="480" w:line="276" w:lineRule="auto"/>
      <w:outlineLvl w:val="9"/>
    </w:pPr>
    <w:rPr>
      <w:rFonts w:asciiTheme="majorHAnsi" w:hAnsiTheme="majorHAnsi"/>
      <w:b w:val="0"/>
      <w:color w:val="2E74B5" w:themeColor="accent1" w:themeShade="BF"/>
      <w:lang w:val="en-US" w:eastAsia="ja-JP"/>
    </w:rPr>
  </w:style>
  <w:style w:type="paragraph" w:styleId="TOC1">
    <w:name w:val="toc 1"/>
    <w:basedOn w:val="Normal"/>
    <w:next w:val="Normal"/>
    <w:autoRedefine/>
    <w:uiPriority w:val="39"/>
    <w:qFormat/>
    <w:rsid w:val="00E17E4E"/>
    <w:pPr>
      <w:tabs>
        <w:tab w:val="right" w:leader="dot" w:pos="9637"/>
      </w:tabs>
    </w:pPr>
    <w:rPr>
      <w:rFonts w:ascii="Consolas" w:eastAsia="Calibri" w:hAnsi="Consolas" w:cs="Consolas"/>
      <w:b/>
      <w:noProof/>
    </w:rPr>
  </w:style>
  <w:style w:type="paragraph" w:styleId="TOC2">
    <w:name w:val="toc 2"/>
    <w:basedOn w:val="Normal"/>
    <w:next w:val="Normal"/>
    <w:autoRedefine/>
    <w:uiPriority w:val="39"/>
    <w:qFormat/>
    <w:rsid w:val="00E17E4E"/>
    <w:pPr>
      <w:tabs>
        <w:tab w:val="right" w:leader="dot" w:pos="9486"/>
      </w:tabs>
      <w:spacing w:before="0" w:after="100"/>
      <w:ind w:left="200"/>
    </w:pPr>
    <w:rPr>
      <w:rFonts w:ascii="Calibri" w:hAnsi="Calibri" w:cs="Calibri"/>
      <w:iCs/>
      <w:noProof/>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link w:val="ListParagraph"/>
    <w:uiPriority w:val="34"/>
    <w:qFormat/>
    <w:locked/>
    <w:rsid w:val="000F1379"/>
    <w:rPr>
      <w:rFonts w:ascii="Arial" w:hAnsi="Arial"/>
    </w:rPr>
  </w:style>
  <w:style w:type="paragraph" w:styleId="NormalWeb">
    <w:name w:val="Normal (Web)"/>
    <w:basedOn w:val="Normal"/>
    <w:uiPriority w:val="99"/>
    <w:unhideWhenUsed/>
    <w:rsid w:val="000F1379"/>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uiPriority w:val="99"/>
    <w:rsid w:val="000F1379"/>
    <w:pPr>
      <w:tabs>
        <w:tab w:val="left" w:pos="284"/>
      </w:tabs>
      <w:spacing w:before="0" w:after="0"/>
      <w:ind w:left="284" w:hanging="284"/>
    </w:pPr>
    <w:rPr>
      <w:rFonts w:ascii="Corbel" w:hAnsi="Corbel"/>
      <w:color w:val="000000"/>
      <w:sz w:val="18"/>
    </w:rPr>
  </w:style>
  <w:style w:type="character" w:customStyle="1" w:styleId="FootnoteTextChar">
    <w:name w:val="Footnote Text Char"/>
    <w:basedOn w:val="DefaultParagraphFont"/>
    <w:link w:val="FootnoteText"/>
    <w:uiPriority w:val="99"/>
    <w:rsid w:val="000F1379"/>
    <w:rPr>
      <w:rFonts w:ascii="Corbel" w:eastAsia="Times New Roman" w:hAnsi="Corbel" w:cs="Times New Roman"/>
      <w:color w:val="000000"/>
      <w:sz w:val="18"/>
      <w:szCs w:val="20"/>
      <w:lang w:eastAsia="en-AU"/>
    </w:rPr>
  </w:style>
  <w:style w:type="character" w:styleId="FootnoteReference">
    <w:name w:val="footnote reference"/>
    <w:basedOn w:val="DefaultParagraphFont"/>
    <w:uiPriority w:val="99"/>
    <w:rsid w:val="000F1379"/>
    <w:rPr>
      <w:rFonts w:cs="Times New Roman"/>
      <w:vertAlign w:val="superscript"/>
    </w:rPr>
  </w:style>
  <w:style w:type="paragraph" w:customStyle="1" w:styleId="Normalnumbered">
    <w:name w:val="Normal numbered"/>
    <w:basedOn w:val="Normal"/>
    <w:link w:val="NormalnumberedChar"/>
    <w:uiPriority w:val="99"/>
    <w:qFormat/>
    <w:rsid w:val="001C629E"/>
    <w:pPr>
      <w:numPr>
        <w:numId w:val="16"/>
      </w:numPr>
      <w:spacing w:before="0" w:after="240" w:line="260" w:lineRule="exact"/>
      <w:ind w:left="720"/>
    </w:pPr>
    <w:rPr>
      <w:rFonts w:ascii="Calibri" w:hAnsi="Calibri"/>
      <w:sz w:val="24"/>
      <w:szCs w:val="24"/>
    </w:rPr>
  </w:style>
  <w:style w:type="character" w:customStyle="1" w:styleId="NormalnumberedChar">
    <w:name w:val="Normal numbered Char"/>
    <w:basedOn w:val="DefaultParagraphFont"/>
    <w:link w:val="Normalnumbered"/>
    <w:uiPriority w:val="99"/>
    <w:locked/>
    <w:rsid w:val="000F1379"/>
    <w:rPr>
      <w:rFonts w:ascii="Calibri" w:eastAsia="Times New Roman" w:hAnsi="Calibri" w:cs="Times New Roman"/>
      <w:sz w:val="24"/>
      <w:szCs w:val="24"/>
      <w:lang w:eastAsia="en-AU"/>
    </w:rPr>
  </w:style>
  <w:style w:type="paragraph" w:customStyle="1" w:styleId="Default">
    <w:name w:val="Default"/>
    <w:rsid w:val="000F1379"/>
    <w:pPr>
      <w:widowControl w:val="0"/>
      <w:autoSpaceDE w:val="0"/>
      <w:autoSpaceDN w:val="0"/>
      <w:adjustRightInd w:val="0"/>
      <w:spacing w:after="0" w:line="240" w:lineRule="auto"/>
      <w:jc w:val="both"/>
      <w:textAlignment w:val="baseline"/>
    </w:pPr>
    <w:rPr>
      <w:rFonts w:ascii="Calibri" w:eastAsia="Times New Roman" w:hAnsi="Calibri" w:cs="Times New Roman"/>
      <w:color w:val="000000"/>
      <w:sz w:val="24"/>
      <w:szCs w:val="24"/>
      <w:lang w:eastAsia="en-AU"/>
    </w:rPr>
  </w:style>
  <w:style w:type="character" w:customStyle="1" w:styleId="Bold">
    <w:name w:val="Bold"/>
    <w:rsid w:val="000F1379"/>
    <w:rPr>
      <w:b/>
      <w:bCs w:val="0"/>
    </w:rPr>
  </w:style>
  <w:style w:type="paragraph" w:customStyle="1" w:styleId="TableTextIndented">
    <w:name w:val="Table Text Indented"/>
    <w:basedOn w:val="Normal"/>
    <w:rsid w:val="000F1379"/>
    <w:pPr>
      <w:spacing w:before="40" w:after="40"/>
      <w:ind w:left="284"/>
    </w:pPr>
    <w:rPr>
      <w:rFonts w:ascii="Corbel" w:hAnsi="Corbel"/>
      <w:color w:val="000000"/>
      <w:sz w:val="21"/>
    </w:rPr>
  </w:style>
  <w:style w:type="paragraph" w:customStyle="1" w:styleId="TableTextLeft">
    <w:name w:val="Table Text Left"/>
    <w:basedOn w:val="Normal"/>
    <w:rsid w:val="000F1379"/>
    <w:pPr>
      <w:spacing w:before="40" w:after="40"/>
    </w:pPr>
    <w:rPr>
      <w:rFonts w:ascii="Corbel" w:hAnsi="Corbel"/>
      <w:color w:val="000000"/>
      <w:sz w:val="21"/>
    </w:rPr>
  </w:style>
  <w:style w:type="paragraph" w:customStyle="1" w:styleId="ScheduleNumberedPara">
    <w:name w:val="ScheduleNumberedPara"/>
    <w:basedOn w:val="Normalnumbered"/>
    <w:rsid w:val="000F1379"/>
    <w:pPr>
      <w:numPr>
        <w:numId w:val="0"/>
      </w:numPr>
      <w:tabs>
        <w:tab w:val="num" w:pos="360"/>
        <w:tab w:val="num" w:pos="567"/>
      </w:tabs>
      <w:ind w:left="1440" w:hanging="567"/>
    </w:pPr>
  </w:style>
  <w:style w:type="paragraph" w:customStyle="1" w:styleId="IndentItalic">
    <w:name w:val="IndentItalic"/>
    <w:basedOn w:val="NormalIndent"/>
    <w:rsid w:val="000F1379"/>
    <w:pPr>
      <w:spacing w:after="240" w:line="260" w:lineRule="exact"/>
      <w:ind w:left="567"/>
    </w:pPr>
    <w:rPr>
      <w:rFonts w:ascii="Corbel" w:eastAsia="Times New Roman" w:hAnsi="Corbel" w:cs="Times New Roman"/>
      <w:i/>
      <w:color w:val="000000"/>
      <w:sz w:val="23"/>
    </w:rPr>
  </w:style>
  <w:style w:type="paragraph" w:styleId="NormalIndent">
    <w:name w:val="Normal Indent"/>
    <w:basedOn w:val="Normal"/>
    <w:uiPriority w:val="99"/>
    <w:rsid w:val="000F1379"/>
    <w:pPr>
      <w:spacing w:before="0" w:after="0"/>
      <w:ind w:left="720"/>
    </w:pPr>
    <w:rPr>
      <w:rFonts w:ascii="Calibri" w:eastAsia="Calibri" w:hAnsi="Calibri" w:cs="Arial"/>
    </w:rPr>
  </w:style>
  <w:style w:type="paragraph" w:styleId="TOC3">
    <w:name w:val="toc 3"/>
    <w:basedOn w:val="Normal"/>
    <w:next w:val="Normal"/>
    <w:autoRedefine/>
    <w:uiPriority w:val="39"/>
    <w:unhideWhenUsed/>
    <w:rsid w:val="00D90AA4"/>
    <w:pPr>
      <w:tabs>
        <w:tab w:val="right" w:leader="dot" w:pos="9488"/>
      </w:tabs>
      <w:spacing w:before="0" w:after="100"/>
      <w:ind w:left="400"/>
    </w:pPr>
    <w:rPr>
      <w:rFonts w:ascii="Calibri" w:eastAsia="Calibri" w:hAnsi="Calibri" w:cs="Arial"/>
    </w:rPr>
  </w:style>
  <w:style w:type="paragraph" w:customStyle="1" w:styleId="SingleParagraph">
    <w:name w:val="Single Paragraph"/>
    <w:basedOn w:val="Normal"/>
    <w:rsid w:val="000F1379"/>
    <w:pPr>
      <w:spacing w:before="0" w:after="0" w:line="260" w:lineRule="exact"/>
    </w:pPr>
    <w:rPr>
      <w:rFonts w:ascii="Corbel" w:hAnsi="Corbel"/>
      <w:color w:val="000000"/>
      <w:sz w:val="23"/>
    </w:rPr>
  </w:style>
  <w:style w:type="character" w:customStyle="1" w:styleId="BoldandItalic">
    <w:name w:val="Bold and Italic"/>
    <w:basedOn w:val="DefaultParagraphFont"/>
    <w:rsid w:val="000F1379"/>
    <w:rPr>
      <w:rFonts w:ascii="Corbel" w:hAnsi="Corbel" w:cs="Times New Roman"/>
      <w:b/>
      <w:i/>
    </w:rPr>
  </w:style>
  <w:style w:type="paragraph" w:customStyle="1" w:styleId="TableColumnHeadingBase">
    <w:name w:val="Table Column Heading Base"/>
    <w:basedOn w:val="Normal"/>
    <w:rsid w:val="000F1379"/>
    <w:pPr>
      <w:spacing w:before="40" w:after="40"/>
    </w:pPr>
    <w:rPr>
      <w:rFonts w:ascii="Consolas" w:hAnsi="Consolas"/>
      <w:b/>
      <w:color w:val="3D4B67"/>
    </w:rPr>
  </w:style>
  <w:style w:type="paragraph" w:customStyle="1" w:styleId="Bullet">
    <w:name w:val="Bullet"/>
    <w:basedOn w:val="Normal"/>
    <w:link w:val="BulletChar"/>
    <w:rsid w:val="001C629E"/>
    <w:pPr>
      <w:numPr>
        <w:numId w:val="4"/>
      </w:numPr>
      <w:tabs>
        <w:tab w:val="clear" w:pos="283"/>
      </w:tabs>
      <w:spacing w:before="0" w:after="240" w:line="260" w:lineRule="exact"/>
      <w:ind w:left="709" w:hanging="567"/>
    </w:pPr>
    <w:rPr>
      <w:rFonts w:ascii="Corbel" w:hAnsi="Corbel"/>
      <w:color w:val="000000"/>
      <w:sz w:val="23"/>
    </w:rPr>
  </w:style>
  <w:style w:type="paragraph" w:customStyle="1" w:styleId="Dash">
    <w:name w:val="Dash"/>
    <w:basedOn w:val="Normal"/>
    <w:link w:val="DashChar"/>
    <w:uiPriority w:val="99"/>
    <w:rsid w:val="001C629E"/>
    <w:pPr>
      <w:numPr>
        <w:ilvl w:val="1"/>
        <w:numId w:val="4"/>
      </w:numPr>
      <w:tabs>
        <w:tab w:val="clear" w:pos="567"/>
      </w:tabs>
      <w:spacing w:before="0" w:after="240" w:line="260" w:lineRule="exact"/>
      <w:ind w:left="1222" w:hanging="360"/>
    </w:pPr>
    <w:rPr>
      <w:rFonts w:ascii="Corbel" w:hAnsi="Corbel"/>
      <w:color w:val="000000"/>
      <w:sz w:val="23"/>
    </w:rPr>
  </w:style>
  <w:style w:type="paragraph" w:customStyle="1" w:styleId="DoubleDot">
    <w:name w:val="Double Dot"/>
    <w:basedOn w:val="Normal"/>
    <w:uiPriority w:val="99"/>
    <w:rsid w:val="001C629E"/>
    <w:pPr>
      <w:numPr>
        <w:ilvl w:val="2"/>
        <w:numId w:val="4"/>
      </w:numPr>
      <w:tabs>
        <w:tab w:val="clear" w:pos="850"/>
      </w:tabs>
      <w:spacing w:before="0" w:after="240" w:line="260" w:lineRule="exact"/>
      <w:ind w:left="1942" w:hanging="180"/>
    </w:pPr>
    <w:rPr>
      <w:rFonts w:ascii="Corbel" w:hAnsi="Corbel"/>
      <w:color w:val="000000"/>
      <w:sz w:val="23"/>
    </w:rPr>
  </w:style>
  <w:style w:type="paragraph" w:customStyle="1" w:styleId="OutlineNumbered1">
    <w:name w:val="Outline Numbered 1"/>
    <w:basedOn w:val="Normal"/>
    <w:rsid w:val="001C629E"/>
    <w:pPr>
      <w:numPr>
        <w:numId w:val="5"/>
      </w:numPr>
      <w:tabs>
        <w:tab w:val="clear" w:pos="543"/>
        <w:tab w:val="num" w:pos="283"/>
      </w:tabs>
      <w:spacing w:before="0" w:after="240" w:line="260" w:lineRule="exact"/>
      <w:ind w:left="283" w:hanging="283"/>
    </w:pPr>
    <w:rPr>
      <w:rFonts w:ascii="Corbel" w:hAnsi="Corbel"/>
      <w:color w:val="000000"/>
      <w:sz w:val="23"/>
    </w:rPr>
  </w:style>
  <w:style w:type="paragraph" w:customStyle="1" w:styleId="OutlineNumbered2">
    <w:name w:val="Outline Numbered 2"/>
    <w:basedOn w:val="Normal"/>
    <w:rsid w:val="001C629E"/>
    <w:pPr>
      <w:numPr>
        <w:ilvl w:val="1"/>
        <w:numId w:val="5"/>
      </w:numPr>
      <w:tabs>
        <w:tab w:val="clear" w:pos="1086"/>
        <w:tab w:val="num" w:pos="567"/>
        <w:tab w:val="num" w:pos="1134"/>
      </w:tabs>
      <w:spacing w:before="0" w:after="240" w:line="260" w:lineRule="exact"/>
      <w:ind w:left="1134" w:hanging="567"/>
    </w:pPr>
    <w:rPr>
      <w:rFonts w:ascii="Corbel" w:hAnsi="Corbel"/>
      <w:color w:val="000000"/>
      <w:sz w:val="23"/>
    </w:rPr>
  </w:style>
  <w:style w:type="paragraph" w:customStyle="1" w:styleId="OutlineNumbered3">
    <w:name w:val="Outline Numbered 3"/>
    <w:basedOn w:val="Normal"/>
    <w:rsid w:val="001C629E"/>
    <w:pPr>
      <w:numPr>
        <w:ilvl w:val="2"/>
        <w:numId w:val="5"/>
      </w:numPr>
      <w:tabs>
        <w:tab w:val="clear" w:pos="1629"/>
        <w:tab w:val="num" w:pos="850"/>
        <w:tab w:val="num" w:pos="1701"/>
      </w:tabs>
      <w:spacing w:before="0" w:after="240" w:line="260" w:lineRule="exact"/>
      <w:ind w:left="1701" w:hanging="567"/>
    </w:pPr>
    <w:rPr>
      <w:rFonts w:ascii="Corbel" w:hAnsi="Corbel"/>
      <w:color w:val="000000"/>
      <w:sz w:val="23"/>
    </w:rPr>
  </w:style>
  <w:style w:type="paragraph" w:customStyle="1" w:styleId="AlphaParagraph">
    <w:name w:val="Alpha Paragraph"/>
    <w:basedOn w:val="Normal"/>
    <w:rsid w:val="001C629E"/>
    <w:pPr>
      <w:numPr>
        <w:numId w:val="14"/>
      </w:numPr>
      <w:tabs>
        <w:tab w:val="clear" w:pos="567"/>
        <w:tab w:val="num" w:pos="1701"/>
      </w:tabs>
      <w:spacing w:before="0" w:after="240" w:line="260" w:lineRule="exact"/>
      <w:ind w:left="1701"/>
    </w:pPr>
    <w:rPr>
      <w:rFonts w:ascii="Corbel" w:hAnsi="Corbel"/>
      <w:color w:val="000000"/>
      <w:sz w:val="23"/>
    </w:rPr>
  </w:style>
  <w:style w:type="paragraph" w:customStyle="1" w:styleId="HeadingBase">
    <w:name w:val="Heading Base"/>
    <w:next w:val="Normal"/>
    <w:link w:val="HeadingBaseChar"/>
    <w:rsid w:val="000F1379"/>
    <w:pPr>
      <w:keepNext/>
      <w:widowControl w:val="0"/>
      <w:adjustRightInd w:val="0"/>
      <w:spacing w:after="0" w:line="240" w:lineRule="auto"/>
      <w:jc w:val="both"/>
      <w:textAlignment w:val="baseline"/>
    </w:pPr>
    <w:rPr>
      <w:rFonts w:ascii="Corbel" w:eastAsia="Times New Roman" w:hAnsi="Corbel" w:cs="Times New Roman"/>
      <w:color w:val="3D4B67"/>
      <w:sz w:val="20"/>
      <w:szCs w:val="20"/>
      <w:lang w:eastAsia="en-AU"/>
    </w:rPr>
  </w:style>
  <w:style w:type="paragraph" w:customStyle="1" w:styleId="AppendixHeading">
    <w:name w:val="Appendix Heading"/>
    <w:basedOn w:val="HeadingBase"/>
    <w:next w:val="Normal"/>
    <w:rsid w:val="000F1379"/>
    <w:pPr>
      <w:spacing w:before="720" w:after="360"/>
      <w:jc w:val="right"/>
      <w:outlineLvl w:val="0"/>
    </w:pPr>
    <w:rPr>
      <w:rFonts w:ascii="Consolas" w:hAnsi="Consolas"/>
      <w:caps/>
      <w:sz w:val="32"/>
      <w:szCs w:val="36"/>
    </w:rPr>
  </w:style>
  <w:style w:type="paragraph" w:customStyle="1" w:styleId="BoxHeading">
    <w:name w:val="Box Heading"/>
    <w:basedOn w:val="HeadingBase"/>
    <w:next w:val="BoxText"/>
    <w:rsid w:val="000F1379"/>
    <w:pPr>
      <w:spacing w:before="240" w:after="120"/>
    </w:pPr>
    <w:rPr>
      <w:b/>
      <w:sz w:val="22"/>
    </w:rPr>
  </w:style>
  <w:style w:type="paragraph" w:customStyle="1" w:styleId="BoxTextBase">
    <w:name w:val="Box Text Base"/>
    <w:basedOn w:val="Normal"/>
    <w:rsid w:val="000F1379"/>
    <w:pPr>
      <w:spacing w:before="0" w:after="240" w:line="260" w:lineRule="exact"/>
    </w:pPr>
    <w:rPr>
      <w:rFonts w:ascii="Corbel" w:hAnsi="Corbel"/>
      <w:color w:val="000000"/>
      <w:sz w:val="23"/>
    </w:rPr>
  </w:style>
  <w:style w:type="paragraph" w:customStyle="1" w:styleId="ChartandTableFootnoteAlpha">
    <w:name w:val="Chart and Table Footnote Alpha"/>
    <w:rsid w:val="001C629E"/>
    <w:pPr>
      <w:widowControl w:val="0"/>
      <w:numPr>
        <w:numId w:val="6"/>
      </w:numPr>
      <w:tabs>
        <w:tab w:val="clear" w:pos="283"/>
        <w:tab w:val="num" w:pos="543"/>
      </w:tabs>
      <w:adjustRightInd w:val="0"/>
      <w:spacing w:after="0" w:line="240" w:lineRule="auto"/>
      <w:ind w:left="543" w:hanging="543"/>
      <w:jc w:val="both"/>
      <w:textAlignment w:val="baseline"/>
    </w:pPr>
    <w:rPr>
      <w:rFonts w:ascii="Arial" w:eastAsia="Times New Roman" w:hAnsi="Arial" w:cs="Times New Roman"/>
      <w:color w:val="000000"/>
      <w:sz w:val="16"/>
      <w:szCs w:val="16"/>
      <w:lang w:eastAsia="en-AU"/>
    </w:rPr>
  </w:style>
  <w:style w:type="paragraph" w:customStyle="1" w:styleId="ChartGraphic">
    <w:name w:val="Chart Graphic"/>
    <w:basedOn w:val="HeadingBase"/>
    <w:next w:val="Normal"/>
    <w:rsid w:val="000F1379"/>
    <w:pPr>
      <w:jc w:val="center"/>
    </w:pPr>
  </w:style>
  <w:style w:type="paragraph" w:customStyle="1" w:styleId="ChartMainHeading">
    <w:name w:val="Chart Main Heading"/>
    <w:basedOn w:val="HeadingBase"/>
    <w:next w:val="ChartGraphic"/>
    <w:rsid w:val="000F1379"/>
    <w:pPr>
      <w:spacing w:after="20"/>
      <w:jc w:val="center"/>
    </w:pPr>
    <w:rPr>
      <w:b/>
      <w:sz w:val="22"/>
    </w:rPr>
  </w:style>
  <w:style w:type="paragraph" w:customStyle="1" w:styleId="ChartorTableNote">
    <w:name w:val="Chart or Table Note"/>
    <w:next w:val="Normal"/>
    <w:rsid w:val="000F1379"/>
    <w:pPr>
      <w:widowControl w:val="0"/>
      <w:adjustRightInd w:val="0"/>
      <w:spacing w:after="0" w:line="240" w:lineRule="auto"/>
      <w:jc w:val="both"/>
      <w:textAlignment w:val="baseline"/>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0F1379"/>
    <w:pPr>
      <w:spacing w:after="20"/>
      <w:jc w:val="center"/>
    </w:pPr>
  </w:style>
  <w:style w:type="paragraph" w:customStyle="1" w:styleId="Classification">
    <w:name w:val="Classification"/>
    <w:basedOn w:val="HeadingBase"/>
    <w:next w:val="Footer"/>
    <w:semiHidden/>
    <w:rsid w:val="000F1379"/>
    <w:pPr>
      <w:spacing w:after="120"/>
      <w:jc w:val="center"/>
    </w:pPr>
    <w:rPr>
      <w:b/>
      <w:smallCaps/>
    </w:rPr>
  </w:style>
  <w:style w:type="paragraph" w:customStyle="1" w:styleId="ContentsHeading">
    <w:name w:val="Contents Heading"/>
    <w:basedOn w:val="HeadingBase"/>
    <w:next w:val="Normal"/>
    <w:rsid w:val="000F1379"/>
    <w:pPr>
      <w:spacing w:after="360"/>
    </w:pPr>
    <w:rPr>
      <w:smallCaps/>
      <w:sz w:val="36"/>
      <w:szCs w:val="36"/>
    </w:rPr>
  </w:style>
  <w:style w:type="paragraph" w:customStyle="1" w:styleId="CoverTitleMain">
    <w:name w:val="Cover Title Main"/>
    <w:basedOn w:val="HeadingBase"/>
    <w:next w:val="Normal"/>
    <w:rsid w:val="000F1379"/>
    <w:rPr>
      <w:rFonts w:ascii="Consolas" w:hAnsi="Consolas"/>
      <w:caps/>
      <w:sz w:val="84"/>
    </w:rPr>
  </w:style>
  <w:style w:type="paragraph" w:customStyle="1" w:styleId="CoverTitleSub">
    <w:name w:val="Cover Title Sub"/>
    <w:basedOn w:val="HeadingBase"/>
    <w:rsid w:val="000F1379"/>
    <w:rPr>
      <w:color w:val="FFFFFF"/>
      <w:sz w:val="36"/>
    </w:rPr>
  </w:style>
  <w:style w:type="paragraph" w:customStyle="1" w:styleId="FooterCentered">
    <w:name w:val="Footer Centered"/>
    <w:basedOn w:val="Footer"/>
    <w:rsid w:val="000F1379"/>
    <w:pPr>
      <w:keepNext/>
      <w:tabs>
        <w:tab w:val="clear" w:pos="4513"/>
        <w:tab w:val="clear" w:pos="9026"/>
      </w:tabs>
      <w:jc w:val="center"/>
    </w:pPr>
    <w:rPr>
      <w:rFonts w:ascii="Corbel" w:hAnsi="Corbel"/>
      <w:color w:val="3D4B67"/>
      <w:sz w:val="18"/>
    </w:rPr>
  </w:style>
  <w:style w:type="paragraph" w:customStyle="1" w:styleId="FooterEven">
    <w:name w:val="Footer Even"/>
    <w:basedOn w:val="Footer"/>
    <w:rsid w:val="000F1379"/>
    <w:pPr>
      <w:tabs>
        <w:tab w:val="clear" w:pos="4513"/>
        <w:tab w:val="clear" w:pos="9026"/>
      </w:tabs>
    </w:pPr>
    <w:rPr>
      <w:rFonts w:ascii="Corbel" w:hAnsi="Corbel"/>
      <w:color w:val="3D4B67"/>
      <w:sz w:val="18"/>
    </w:rPr>
  </w:style>
  <w:style w:type="paragraph" w:customStyle="1" w:styleId="FooterOdd">
    <w:name w:val="Footer Odd"/>
    <w:basedOn w:val="Footer"/>
    <w:rsid w:val="000F1379"/>
    <w:pPr>
      <w:tabs>
        <w:tab w:val="clear" w:pos="4513"/>
        <w:tab w:val="clear" w:pos="9026"/>
      </w:tabs>
      <w:jc w:val="right"/>
    </w:pPr>
    <w:rPr>
      <w:rFonts w:ascii="Corbel" w:hAnsi="Corbel"/>
      <w:color w:val="3D4B67"/>
      <w:sz w:val="18"/>
    </w:rPr>
  </w:style>
  <w:style w:type="character" w:customStyle="1" w:styleId="FramedFooter">
    <w:name w:val="Framed Footer"/>
    <w:rsid w:val="000F1379"/>
    <w:rPr>
      <w:rFonts w:ascii="Arial" w:hAnsi="Arial"/>
      <w:sz w:val="18"/>
    </w:rPr>
  </w:style>
  <w:style w:type="character" w:customStyle="1" w:styleId="FramedHeader">
    <w:name w:val="Framed Header"/>
    <w:basedOn w:val="DefaultParagraphFont"/>
    <w:rsid w:val="000F1379"/>
    <w:rPr>
      <w:rFonts w:ascii="Arial" w:hAnsi="Arial" w:cs="Times New Roman"/>
      <w:color w:val="auto"/>
      <w:sz w:val="18"/>
      <w:vertAlign w:val="baseline"/>
    </w:rPr>
  </w:style>
  <w:style w:type="paragraph" w:customStyle="1" w:styleId="HeaderEven">
    <w:name w:val="Header Even"/>
    <w:basedOn w:val="Header"/>
    <w:link w:val="HeaderEvenChar"/>
    <w:rsid w:val="000F1379"/>
    <w:pPr>
      <w:tabs>
        <w:tab w:val="clear" w:pos="4513"/>
        <w:tab w:val="clear" w:pos="9026"/>
      </w:tabs>
      <w:spacing w:line="240" w:lineRule="auto"/>
    </w:pPr>
    <w:rPr>
      <w:rFonts w:ascii="Corbel" w:eastAsia="Calibri" w:hAnsi="Corbel" w:cs="Arial"/>
      <w:color w:val="3D4B67"/>
      <w:sz w:val="18"/>
    </w:rPr>
  </w:style>
  <w:style w:type="paragraph" w:customStyle="1" w:styleId="HeaderOdd">
    <w:name w:val="Header Odd"/>
    <w:basedOn w:val="Header"/>
    <w:rsid w:val="000F1379"/>
    <w:pPr>
      <w:keepNext/>
      <w:tabs>
        <w:tab w:val="clear" w:pos="4513"/>
        <w:tab w:val="clear" w:pos="9026"/>
      </w:tabs>
      <w:spacing w:line="240" w:lineRule="auto"/>
      <w:jc w:val="right"/>
    </w:pPr>
    <w:rPr>
      <w:rFonts w:ascii="Corbel" w:hAnsi="Corbel"/>
      <w:color w:val="3D4B67"/>
      <w:sz w:val="18"/>
    </w:rPr>
  </w:style>
  <w:style w:type="paragraph" w:customStyle="1" w:styleId="RecommendationHeading">
    <w:name w:val="Recommendation Heading"/>
    <w:basedOn w:val="HeadingBase"/>
    <w:next w:val="RecommendationText"/>
    <w:rsid w:val="000F1379"/>
    <w:pPr>
      <w:spacing w:before="120" w:after="240"/>
    </w:pPr>
    <w:rPr>
      <w:b/>
      <w:sz w:val="22"/>
    </w:rPr>
  </w:style>
  <w:style w:type="paragraph" w:customStyle="1" w:styleId="RecommendationTextBase">
    <w:name w:val="Recommendation Text Base"/>
    <w:basedOn w:val="Normal"/>
    <w:rsid w:val="000F1379"/>
    <w:pPr>
      <w:spacing w:before="0" w:after="240" w:line="260" w:lineRule="exact"/>
    </w:pPr>
    <w:rPr>
      <w:rFonts w:ascii="Corbel" w:hAnsi="Corbel"/>
      <w:i/>
      <w:color w:val="000000"/>
      <w:sz w:val="23"/>
    </w:rPr>
  </w:style>
  <w:style w:type="paragraph" w:customStyle="1" w:styleId="RecommendationText">
    <w:name w:val="Recommendation Text"/>
    <w:basedOn w:val="RecommendationTextBase"/>
    <w:rsid w:val="000F1379"/>
  </w:style>
  <w:style w:type="paragraph" w:customStyle="1" w:styleId="TableTextBase">
    <w:name w:val="Table Text Base"/>
    <w:rsid w:val="000F1379"/>
    <w:pPr>
      <w:widowControl w:val="0"/>
      <w:adjustRightInd w:val="0"/>
      <w:spacing w:before="40" w:after="40" w:line="240" w:lineRule="auto"/>
      <w:jc w:val="both"/>
      <w:textAlignment w:val="baseline"/>
    </w:pPr>
    <w:rPr>
      <w:rFonts w:ascii="Corbel" w:eastAsia="Times New Roman" w:hAnsi="Corbel" w:cs="Times New Roman"/>
      <w:color w:val="000000"/>
      <w:sz w:val="21"/>
      <w:szCs w:val="20"/>
      <w:lang w:eastAsia="en-AU"/>
    </w:rPr>
  </w:style>
  <w:style w:type="paragraph" w:customStyle="1" w:styleId="TableColumnHeadingCentred">
    <w:name w:val="Table Column Heading Centred"/>
    <w:basedOn w:val="TableColumnHeadingBase"/>
    <w:rsid w:val="000F1379"/>
    <w:pPr>
      <w:jc w:val="center"/>
    </w:pPr>
  </w:style>
  <w:style w:type="paragraph" w:customStyle="1" w:styleId="TableColumnHeadingLeft">
    <w:name w:val="Table Column Heading Left"/>
    <w:basedOn w:val="TableColumnHeadingBase"/>
    <w:rsid w:val="000F1379"/>
  </w:style>
  <w:style w:type="paragraph" w:customStyle="1" w:styleId="TableColumnHeadingRight">
    <w:name w:val="Table Column Heading Right"/>
    <w:basedOn w:val="TableColumnHeadingBase"/>
    <w:rsid w:val="000F1379"/>
    <w:pPr>
      <w:jc w:val="right"/>
    </w:pPr>
  </w:style>
  <w:style w:type="paragraph" w:customStyle="1" w:styleId="TableGraphic">
    <w:name w:val="Table Graphic"/>
    <w:basedOn w:val="HeadingBase"/>
    <w:next w:val="Normal"/>
    <w:rsid w:val="000F1379"/>
  </w:style>
  <w:style w:type="paragraph" w:customStyle="1" w:styleId="TableMainHeading">
    <w:name w:val="Table Main Heading"/>
    <w:basedOn w:val="HeadingBase"/>
    <w:next w:val="TableGraphic"/>
    <w:rsid w:val="000F1379"/>
    <w:pPr>
      <w:spacing w:after="20"/>
    </w:pPr>
    <w:rPr>
      <w:rFonts w:ascii="Consolas" w:hAnsi="Consolas"/>
      <w:b/>
      <w:sz w:val="24"/>
    </w:rPr>
  </w:style>
  <w:style w:type="paragraph" w:customStyle="1" w:styleId="TableMainHeadingContd">
    <w:name w:val="Table Main Heading Contd"/>
    <w:basedOn w:val="HeadingBase"/>
    <w:next w:val="TableGraphic"/>
    <w:rsid w:val="000F1379"/>
    <w:pPr>
      <w:pageBreakBefore/>
      <w:spacing w:after="20"/>
    </w:pPr>
    <w:rPr>
      <w:rFonts w:ascii="Consolas" w:hAnsi="Consolas"/>
      <w:b/>
      <w:sz w:val="24"/>
    </w:rPr>
  </w:style>
  <w:style w:type="paragraph" w:customStyle="1" w:styleId="TableSecondHeading">
    <w:name w:val="Table Second Heading"/>
    <w:basedOn w:val="HeadingBase"/>
    <w:next w:val="TableGraphic"/>
    <w:rsid w:val="000F1379"/>
    <w:pPr>
      <w:spacing w:after="20"/>
    </w:pPr>
  </w:style>
  <w:style w:type="paragraph" w:customStyle="1" w:styleId="TableTextCentered">
    <w:name w:val="Table Text Centered"/>
    <w:basedOn w:val="TableTextBase"/>
    <w:rsid w:val="000F1379"/>
    <w:pPr>
      <w:jc w:val="center"/>
    </w:pPr>
  </w:style>
  <w:style w:type="paragraph" w:customStyle="1" w:styleId="TableTextRight">
    <w:name w:val="Table Text Right"/>
    <w:basedOn w:val="TableTextBase"/>
    <w:rsid w:val="000F1379"/>
    <w:pPr>
      <w:jc w:val="right"/>
    </w:pPr>
  </w:style>
  <w:style w:type="paragraph" w:styleId="TOC4">
    <w:name w:val="toc 4"/>
    <w:basedOn w:val="Normal"/>
    <w:next w:val="Normal"/>
    <w:uiPriority w:val="39"/>
    <w:rsid w:val="000F1379"/>
    <w:pPr>
      <w:spacing w:before="0" w:after="0" w:line="260" w:lineRule="exact"/>
      <w:ind w:left="690"/>
    </w:pPr>
    <w:rPr>
      <w:rFonts w:ascii="Calibri" w:hAnsi="Calibri"/>
      <w:color w:val="000000"/>
      <w:sz w:val="18"/>
      <w:szCs w:val="18"/>
    </w:rPr>
  </w:style>
  <w:style w:type="character" w:customStyle="1" w:styleId="italic">
    <w:name w:val="italic"/>
    <w:basedOn w:val="DefaultParagraphFont"/>
    <w:rsid w:val="000F1379"/>
    <w:rPr>
      <w:rFonts w:cs="Times New Roman"/>
      <w:i/>
    </w:rPr>
  </w:style>
  <w:style w:type="paragraph" w:customStyle="1" w:styleId="OneLevelNumberedParagraph">
    <w:name w:val="One Level Numbered Paragraph"/>
    <w:basedOn w:val="Normal"/>
    <w:rsid w:val="001C629E"/>
    <w:pPr>
      <w:numPr>
        <w:numId w:val="8"/>
      </w:numPr>
      <w:tabs>
        <w:tab w:val="clear" w:pos="567"/>
        <w:tab w:val="num" w:pos="283"/>
      </w:tabs>
      <w:spacing w:before="0" w:after="240" w:line="260" w:lineRule="exact"/>
      <w:ind w:left="283" w:hanging="283"/>
    </w:pPr>
    <w:rPr>
      <w:rFonts w:ascii="Corbel" w:hAnsi="Corbel"/>
      <w:color w:val="000000"/>
      <w:sz w:val="23"/>
    </w:rPr>
  </w:style>
  <w:style w:type="paragraph" w:customStyle="1" w:styleId="BoxText">
    <w:name w:val="Box Text"/>
    <w:basedOn w:val="BoxTextBase"/>
    <w:rsid w:val="000F1379"/>
  </w:style>
  <w:style w:type="paragraph" w:customStyle="1" w:styleId="BoxBullet">
    <w:name w:val="Box Bullet"/>
    <w:basedOn w:val="BoxTextBase"/>
    <w:rsid w:val="000F1379"/>
    <w:pPr>
      <w:numPr>
        <w:numId w:val="7"/>
      </w:numPr>
    </w:pPr>
  </w:style>
  <w:style w:type="paragraph" w:customStyle="1" w:styleId="BoxDash">
    <w:name w:val="Box Dash"/>
    <w:basedOn w:val="Normal"/>
    <w:rsid w:val="001C629E"/>
    <w:pPr>
      <w:numPr>
        <w:ilvl w:val="1"/>
        <w:numId w:val="7"/>
      </w:numPr>
      <w:tabs>
        <w:tab w:val="clear" w:pos="567"/>
        <w:tab w:val="num" w:pos="283"/>
        <w:tab w:val="num" w:pos="2268"/>
      </w:tabs>
      <w:spacing w:before="0" w:after="240" w:line="260" w:lineRule="exact"/>
      <w:ind w:left="2268" w:hanging="283"/>
    </w:pPr>
    <w:rPr>
      <w:rFonts w:ascii="Corbel" w:hAnsi="Corbel"/>
      <w:color w:val="000000"/>
      <w:sz w:val="23"/>
    </w:rPr>
  </w:style>
  <w:style w:type="paragraph" w:customStyle="1" w:styleId="BoxDoubleDot">
    <w:name w:val="Box Double Dot"/>
    <w:basedOn w:val="BoxTextBase"/>
    <w:rsid w:val="001C629E"/>
    <w:pPr>
      <w:numPr>
        <w:ilvl w:val="2"/>
        <w:numId w:val="7"/>
      </w:numPr>
      <w:tabs>
        <w:tab w:val="clear" w:pos="850"/>
        <w:tab w:val="num" w:pos="283"/>
        <w:tab w:val="num" w:pos="2268"/>
      </w:tabs>
      <w:ind w:left="2268"/>
    </w:pPr>
  </w:style>
  <w:style w:type="paragraph" w:customStyle="1" w:styleId="RecommendationBullet">
    <w:name w:val="Recommendation Bullet"/>
    <w:basedOn w:val="RecommendationTextBase"/>
    <w:rsid w:val="001C629E"/>
    <w:pPr>
      <w:numPr>
        <w:numId w:val="9"/>
      </w:numPr>
      <w:tabs>
        <w:tab w:val="clear" w:pos="283"/>
        <w:tab w:val="num" w:pos="567"/>
      </w:tabs>
      <w:ind w:left="567" w:hanging="567"/>
    </w:pPr>
  </w:style>
  <w:style w:type="paragraph" w:customStyle="1" w:styleId="RecommendationDash">
    <w:name w:val="Recommendation Dash"/>
    <w:basedOn w:val="RecommendationTextBase"/>
    <w:rsid w:val="001C629E"/>
    <w:pPr>
      <w:numPr>
        <w:ilvl w:val="1"/>
        <w:numId w:val="9"/>
      </w:numPr>
      <w:tabs>
        <w:tab w:val="clear" w:pos="567"/>
        <w:tab w:val="num" w:pos="1134"/>
      </w:tabs>
      <w:ind w:left="1134" w:hanging="567"/>
    </w:pPr>
  </w:style>
  <w:style w:type="paragraph" w:customStyle="1" w:styleId="RecommendationDoubleDot">
    <w:name w:val="Recommendation Double Dot"/>
    <w:basedOn w:val="RecommendationTextBase"/>
    <w:rsid w:val="001C629E"/>
    <w:pPr>
      <w:numPr>
        <w:ilvl w:val="2"/>
        <w:numId w:val="9"/>
      </w:numPr>
      <w:tabs>
        <w:tab w:val="clear" w:pos="850"/>
        <w:tab w:val="num" w:pos="1701"/>
        <w:tab w:val="num" w:pos="2160"/>
      </w:tabs>
      <w:ind w:left="2160" w:hanging="180"/>
    </w:pPr>
  </w:style>
  <w:style w:type="paragraph" w:customStyle="1" w:styleId="Heading1NotNumbered">
    <w:name w:val="Heading 1 Not Numbered"/>
    <w:basedOn w:val="HeadingBase"/>
    <w:next w:val="Normal"/>
    <w:rsid w:val="000F1379"/>
    <w:pPr>
      <w:spacing w:before="720" w:after="360"/>
    </w:pPr>
    <w:rPr>
      <w:rFonts w:ascii="Consolas" w:hAnsi="Consolas"/>
      <w:caps/>
      <w:sz w:val="32"/>
      <w:szCs w:val="36"/>
    </w:rPr>
  </w:style>
  <w:style w:type="paragraph" w:customStyle="1" w:styleId="Heading2NotNumbered">
    <w:name w:val="Heading 2 Not Numbered"/>
    <w:basedOn w:val="HeadingBase"/>
    <w:next w:val="Normal"/>
    <w:rsid w:val="000F1379"/>
    <w:pPr>
      <w:spacing w:before="360" w:after="180"/>
    </w:pPr>
    <w:rPr>
      <w:b/>
      <w:sz w:val="29"/>
      <w:szCs w:val="28"/>
    </w:rPr>
  </w:style>
  <w:style w:type="paragraph" w:customStyle="1" w:styleId="Heading3NotNumbered">
    <w:name w:val="Heading 3 Not Numbered"/>
    <w:basedOn w:val="HeadingBase"/>
    <w:next w:val="Normal"/>
    <w:rsid w:val="000F1379"/>
    <w:pPr>
      <w:spacing w:before="240" w:after="120"/>
    </w:pPr>
    <w:rPr>
      <w:b/>
      <w:sz w:val="23"/>
      <w:szCs w:val="26"/>
    </w:rPr>
  </w:style>
  <w:style w:type="paragraph" w:customStyle="1" w:styleId="Heading4NotNumbered">
    <w:name w:val="Heading 4 Not Numbered"/>
    <w:basedOn w:val="HeadingBase"/>
    <w:rsid w:val="000F1379"/>
    <w:pPr>
      <w:spacing w:before="120" w:after="120"/>
      <w:outlineLvl w:val="3"/>
    </w:pPr>
    <w:rPr>
      <w:b/>
      <w:caps/>
    </w:rPr>
  </w:style>
  <w:style w:type="paragraph" w:styleId="Caption">
    <w:name w:val="caption"/>
    <w:basedOn w:val="Normal"/>
    <w:next w:val="Normal"/>
    <w:uiPriority w:val="35"/>
    <w:qFormat/>
    <w:rsid w:val="000F1379"/>
    <w:pPr>
      <w:spacing w:before="0" w:after="240" w:line="260" w:lineRule="exact"/>
    </w:pPr>
    <w:rPr>
      <w:rFonts w:ascii="Corbel" w:hAnsi="Corbel"/>
      <w:b/>
      <w:bCs/>
      <w:color w:val="000000"/>
      <w:sz w:val="23"/>
    </w:rPr>
  </w:style>
  <w:style w:type="paragraph" w:styleId="DocumentMap">
    <w:name w:val="Document Map"/>
    <w:basedOn w:val="Normal"/>
    <w:link w:val="DocumentMapChar"/>
    <w:uiPriority w:val="99"/>
    <w:semiHidden/>
    <w:rsid w:val="000F1379"/>
    <w:pPr>
      <w:shd w:val="clear" w:color="auto" w:fill="000080"/>
      <w:spacing w:before="0" w:after="240" w:line="260" w:lineRule="exact"/>
    </w:pPr>
    <w:rPr>
      <w:rFonts w:ascii="Tahoma" w:hAnsi="Tahoma" w:cs="Tahoma"/>
      <w:color w:val="000000"/>
      <w:sz w:val="23"/>
    </w:rPr>
  </w:style>
  <w:style w:type="character" w:customStyle="1" w:styleId="DocumentMapChar">
    <w:name w:val="Document Map Char"/>
    <w:basedOn w:val="DefaultParagraphFont"/>
    <w:link w:val="DocumentMap"/>
    <w:uiPriority w:val="99"/>
    <w:semiHidden/>
    <w:rsid w:val="000F1379"/>
    <w:rPr>
      <w:rFonts w:ascii="Tahoma" w:eastAsia="Times New Roman" w:hAnsi="Tahoma" w:cs="Tahoma"/>
      <w:color w:val="000000"/>
      <w:sz w:val="23"/>
      <w:szCs w:val="20"/>
      <w:shd w:val="clear" w:color="auto" w:fill="000080"/>
      <w:lang w:eastAsia="en-AU"/>
    </w:rPr>
  </w:style>
  <w:style w:type="character" w:styleId="EndnoteReference">
    <w:name w:val="endnote reference"/>
    <w:basedOn w:val="DefaultParagraphFont"/>
    <w:uiPriority w:val="99"/>
    <w:semiHidden/>
    <w:rsid w:val="000F1379"/>
    <w:rPr>
      <w:rFonts w:cs="Times New Roman"/>
      <w:vertAlign w:val="superscript"/>
    </w:rPr>
  </w:style>
  <w:style w:type="paragraph" w:styleId="EndnoteText">
    <w:name w:val="endnote text"/>
    <w:basedOn w:val="Normal"/>
    <w:link w:val="EndnoteTextChar"/>
    <w:uiPriority w:val="99"/>
    <w:semiHidden/>
    <w:rsid w:val="000F1379"/>
    <w:pPr>
      <w:spacing w:before="0" w:after="240" w:line="260" w:lineRule="exact"/>
    </w:pPr>
    <w:rPr>
      <w:rFonts w:ascii="Corbel" w:hAnsi="Corbel"/>
      <w:color w:val="000000"/>
      <w:sz w:val="23"/>
    </w:rPr>
  </w:style>
  <w:style w:type="character" w:customStyle="1" w:styleId="EndnoteTextChar">
    <w:name w:val="Endnote Text Char"/>
    <w:basedOn w:val="DefaultParagraphFont"/>
    <w:link w:val="EndnoteText"/>
    <w:uiPriority w:val="99"/>
    <w:semiHidden/>
    <w:rsid w:val="000F1379"/>
    <w:rPr>
      <w:rFonts w:ascii="Corbel" w:eastAsia="Times New Roman" w:hAnsi="Corbel" w:cs="Times New Roman"/>
      <w:color w:val="000000"/>
      <w:sz w:val="23"/>
      <w:szCs w:val="20"/>
      <w:lang w:eastAsia="en-AU"/>
    </w:rPr>
  </w:style>
  <w:style w:type="paragraph" w:styleId="Index1">
    <w:name w:val="index 1"/>
    <w:basedOn w:val="Normal"/>
    <w:next w:val="Normal"/>
    <w:autoRedefine/>
    <w:uiPriority w:val="99"/>
    <w:semiHidden/>
    <w:rsid w:val="000F1379"/>
    <w:pPr>
      <w:spacing w:before="0" w:after="240" w:line="260" w:lineRule="exact"/>
      <w:ind w:left="200" w:hanging="200"/>
    </w:pPr>
    <w:rPr>
      <w:rFonts w:ascii="Corbel" w:hAnsi="Corbel"/>
      <w:color w:val="000000"/>
      <w:sz w:val="23"/>
    </w:rPr>
  </w:style>
  <w:style w:type="paragraph" w:styleId="Index2">
    <w:name w:val="index 2"/>
    <w:basedOn w:val="Normal"/>
    <w:next w:val="Normal"/>
    <w:autoRedefine/>
    <w:uiPriority w:val="99"/>
    <w:semiHidden/>
    <w:rsid w:val="000F1379"/>
    <w:pPr>
      <w:spacing w:before="0" w:after="240" w:line="260" w:lineRule="exact"/>
      <w:ind w:left="400" w:hanging="200"/>
    </w:pPr>
    <w:rPr>
      <w:rFonts w:ascii="Corbel" w:hAnsi="Corbel"/>
      <w:color w:val="000000"/>
      <w:sz w:val="23"/>
    </w:rPr>
  </w:style>
  <w:style w:type="paragraph" w:styleId="Index3">
    <w:name w:val="index 3"/>
    <w:basedOn w:val="Normal"/>
    <w:next w:val="Normal"/>
    <w:autoRedefine/>
    <w:uiPriority w:val="99"/>
    <w:semiHidden/>
    <w:rsid w:val="000F1379"/>
    <w:pPr>
      <w:spacing w:before="0" w:after="240" w:line="260" w:lineRule="exact"/>
      <w:ind w:left="600" w:hanging="200"/>
    </w:pPr>
    <w:rPr>
      <w:rFonts w:ascii="Corbel" w:hAnsi="Corbel"/>
      <w:color w:val="000000"/>
      <w:sz w:val="23"/>
    </w:rPr>
  </w:style>
  <w:style w:type="paragraph" w:styleId="Index4">
    <w:name w:val="index 4"/>
    <w:basedOn w:val="Normal"/>
    <w:next w:val="Normal"/>
    <w:autoRedefine/>
    <w:uiPriority w:val="99"/>
    <w:semiHidden/>
    <w:rsid w:val="000F1379"/>
    <w:pPr>
      <w:spacing w:before="0" w:after="240" w:line="260" w:lineRule="exact"/>
      <w:ind w:left="800" w:hanging="200"/>
    </w:pPr>
    <w:rPr>
      <w:rFonts w:ascii="Corbel" w:hAnsi="Corbel"/>
      <w:color w:val="000000"/>
      <w:sz w:val="23"/>
    </w:rPr>
  </w:style>
  <w:style w:type="paragraph" w:styleId="Index5">
    <w:name w:val="index 5"/>
    <w:basedOn w:val="Normal"/>
    <w:next w:val="Normal"/>
    <w:autoRedefine/>
    <w:uiPriority w:val="99"/>
    <w:semiHidden/>
    <w:rsid w:val="000F1379"/>
    <w:pPr>
      <w:spacing w:before="0" w:after="240" w:line="260" w:lineRule="exact"/>
      <w:ind w:left="1000" w:hanging="200"/>
    </w:pPr>
    <w:rPr>
      <w:rFonts w:ascii="Corbel" w:hAnsi="Corbel"/>
      <w:color w:val="000000"/>
      <w:sz w:val="23"/>
    </w:rPr>
  </w:style>
  <w:style w:type="paragraph" w:styleId="Index6">
    <w:name w:val="index 6"/>
    <w:basedOn w:val="Normal"/>
    <w:next w:val="Normal"/>
    <w:autoRedefine/>
    <w:uiPriority w:val="99"/>
    <w:semiHidden/>
    <w:rsid w:val="000F1379"/>
    <w:pPr>
      <w:spacing w:before="0" w:after="240" w:line="260" w:lineRule="exact"/>
      <w:ind w:left="1200" w:hanging="200"/>
    </w:pPr>
    <w:rPr>
      <w:rFonts w:ascii="Corbel" w:hAnsi="Corbel"/>
      <w:color w:val="000000"/>
      <w:sz w:val="23"/>
    </w:rPr>
  </w:style>
  <w:style w:type="paragraph" w:styleId="Index7">
    <w:name w:val="index 7"/>
    <w:basedOn w:val="Normal"/>
    <w:next w:val="Normal"/>
    <w:autoRedefine/>
    <w:uiPriority w:val="99"/>
    <w:semiHidden/>
    <w:rsid w:val="000F1379"/>
    <w:pPr>
      <w:spacing w:before="0" w:after="240" w:line="260" w:lineRule="exact"/>
      <w:ind w:left="1400" w:hanging="200"/>
    </w:pPr>
    <w:rPr>
      <w:rFonts w:ascii="Corbel" w:hAnsi="Corbel"/>
      <w:color w:val="000000"/>
      <w:sz w:val="23"/>
    </w:rPr>
  </w:style>
  <w:style w:type="paragraph" w:styleId="Index8">
    <w:name w:val="index 8"/>
    <w:basedOn w:val="Normal"/>
    <w:next w:val="Normal"/>
    <w:autoRedefine/>
    <w:uiPriority w:val="99"/>
    <w:semiHidden/>
    <w:rsid w:val="000F1379"/>
    <w:pPr>
      <w:spacing w:before="0" w:after="240" w:line="260" w:lineRule="exact"/>
      <w:ind w:left="1600" w:hanging="200"/>
    </w:pPr>
    <w:rPr>
      <w:rFonts w:ascii="Corbel" w:hAnsi="Corbel"/>
      <w:color w:val="000000"/>
      <w:sz w:val="23"/>
    </w:rPr>
  </w:style>
  <w:style w:type="paragraph" w:styleId="Index9">
    <w:name w:val="index 9"/>
    <w:basedOn w:val="Normal"/>
    <w:next w:val="Normal"/>
    <w:autoRedefine/>
    <w:uiPriority w:val="99"/>
    <w:semiHidden/>
    <w:rsid w:val="000F1379"/>
    <w:pPr>
      <w:spacing w:before="0" w:after="240" w:line="260" w:lineRule="exact"/>
      <w:ind w:left="1800" w:hanging="200"/>
    </w:pPr>
    <w:rPr>
      <w:rFonts w:ascii="Corbel" w:hAnsi="Corbel"/>
      <w:color w:val="000000"/>
      <w:sz w:val="23"/>
    </w:rPr>
  </w:style>
  <w:style w:type="paragraph" w:styleId="IndexHeading">
    <w:name w:val="index heading"/>
    <w:basedOn w:val="Normal"/>
    <w:next w:val="Index1"/>
    <w:uiPriority w:val="99"/>
    <w:semiHidden/>
    <w:rsid w:val="000F1379"/>
    <w:pPr>
      <w:spacing w:before="0" w:after="240" w:line="260" w:lineRule="exact"/>
    </w:pPr>
    <w:rPr>
      <w:rFonts w:cs="Arial"/>
      <w:b/>
      <w:bCs/>
      <w:color w:val="000000"/>
      <w:sz w:val="23"/>
    </w:rPr>
  </w:style>
  <w:style w:type="paragraph" w:styleId="MacroText">
    <w:name w:val="macro"/>
    <w:link w:val="MacroTextChar"/>
    <w:uiPriority w:val="99"/>
    <w:rsid w:val="000F1379"/>
    <w:pPr>
      <w:widowControl w:val="0"/>
      <w:tabs>
        <w:tab w:val="left" w:pos="480"/>
        <w:tab w:val="left" w:pos="960"/>
        <w:tab w:val="left" w:pos="1440"/>
        <w:tab w:val="left" w:pos="1920"/>
        <w:tab w:val="left" w:pos="2400"/>
        <w:tab w:val="left" w:pos="2880"/>
        <w:tab w:val="left" w:pos="3360"/>
        <w:tab w:val="left" w:pos="3840"/>
        <w:tab w:val="left" w:pos="4320"/>
      </w:tabs>
      <w:adjustRightInd w:val="0"/>
      <w:spacing w:after="240" w:line="260" w:lineRule="exact"/>
      <w:jc w:val="both"/>
      <w:textAlignment w:val="baseline"/>
    </w:pPr>
    <w:rPr>
      <w:rFonts w:ascii="Courier New" w:eastAsia="Times New Roman" w:hAnsi="Courier New" w:cs="Times New Roman"/>
      <w:color w:val="000000"/>
      <w:sz w:val="20"/>
      <w:szCs w:val="20"/>
      <w:lang w:eastAsia="en-AU"/>
    </w:rPr>
  </w:style>
  <w:style w:type="character" w:customStyle="1" w:styleId="MacroTextChar">
    <w:name w:val="Macro Text Char"/>
    <w:basedOn w:val="DefaultParagraphFont"/>
    <w:link w:val="MacroText"/>
    <w:uiPriority w:val="99"/>
    <w:rsid w:val="000F1379"/>
    <w:rPr>
      <w:rFonts w:ascii="Courier New" w:eastAsia="Times New Roman" w:hAnsi="Courier New" w:cs="Courier New"/>
      <w:color w:val="000000"/>
      <w:sz w:val="20"/>
      <w:szCs w:val="20"/>
      <w:lang w:eastAsia="en-AU"/>
    </w:rPr>
  </w:style>
  <w:style w:type="paragraph" w:styleId="TableofAuthorities">
    <w:name w:val="table of authorities"/>
    <w:basedOn w:val="Normal"/>
    <w:next w:val="Normal"/>
    <w:uiPriority w:val="99"/>
    <w:rsid w:val="000F1379"/>
    <w:pPr>
      <w:spacing w:before="0" w:after="240" w:line="260" w:lineRule="exact"/>
      <w:ind w:left="200" w:hanging="200"/>
    </w:pPr>
    <w:rPr>
      <w:rFonts w:ascii="Corbel" w:hAnsi="Corbel"/>
      <w:color w:val="000000"/>
      <w:sz w:val="23"/>
    </w:rPr>
  </w:style>
  <w:style w:type="paragraph" w:styleId="TableofFigures">
    <w:name w:val="table of figures"/>
    <w:basedOn w:val="Normal"/>
    <w:next w:val="Normal"/>
    <w:uiPriority w:val="99"/>
    <w:rsid w:val="000F1379"/>
    <w:pPr>
      <w:spacing w:before="0" w:after="240" w:line="260" w:lineRule="exact"/>
    </w:pPr>
    <w:rPr>
      <w:rFonts w:ascii="Corbel" w:hAnsi="Corbel"/>
      <w:color w:val="000000"/>
      <w:sz w:val="23"/>
    </w:rPr>
  </w:style>
  <w:style w:type="paragraph" w:styleId="TOAHeading">
    <w:name w:val="toa heading"/>
    <w:basedOn w:val="Normal"/>
    <w:next w:val="Normal"/>
    <w:uiPriority w:val="99"/>
    <w:semiHidden/>
    <w:rsid w:val="000F1379"/>
    <w:pPr>
      <w:spacing w:after="240" w:line="260" w:lineRule="exact"/>
    </w:pPr>
    <w:rPr>
      <w:rFonts w:cs="Arial"/>
      <w:b/>
      <w:bCs/>
      <w:color w:val="000000"/>
      <w:sz w:val="24"/>
      <w:szCs w:val="24"/>
    </w:rPr>
  </w:style>
  <w:style w:type="paragraph" w:styleId="TOC5">
    <w:name w:val="toc 5"/>
    <w:basedOn w:val="Normal"/>
    <w:next w:val="Normal"/>
    <w:autoRedefine/>
    <w:uiPriority w:val="39"/>
    <w:rsid w:val="000F1379"/>
    <w:pPr>
      <w:spacing w:before="0" w:after="0" w:line="260" w:lineRule="exact"/>
      <w:ind w:left="920"/>
    </w:pPr>
    <w:rPr>
      <w:rFonts w:ascii="Calibri" w:hAnsi="Calibri"/>
      <w:color w:val="000000"/>
      <w:sz w:val="18"/>
      <w:szCs w:val="18"/>
    </w:rPr>
  </w:style>
  <w:style w:type="paragraph" w:styleId="TOC6">
    <w:name w:val="toc 6"/>
    <w:basedOn w:val="Normal"/>
    <w:next w:val="Normal"/>
    <w:autoRedefine/>
    <w:uiPriority w:val="39"/>
    <w:rsid w:val="000F1379"/>
    <w:pPr>
      <w:spacing w:before="0" w:after="0" w:line="260" w:lineRule="exact"/>
      <w:ind w:left="1150"/>
    </w:pPr>
    <w:rPr>
      <w:rFonts w:ascii="Calibri" w:hAnsi="Calibri"/>
      <w:color w:val="000000"/>
      <w:sz w:val="18"/>
      <w:szCs w:val="18"/>
    </w:rPr>
  </w:style>
  <w:style w:type="paragraph" w:styleId="TOC7">
    <w:name w:val="toc 7"/>
    <w:basedOn w:val="Normal"/>
    <w:next w:val="Normal"/>
    <w:autoRedefine/>
    <w:uiPriority w:val="39"/>
    <w:rsid w:val="000F1379"/>
    <w:pPr>
      <w:spacing w:before="0" w:after="0" w:line="260" w:lineRule="exact"/>
      <w:ind w:left="1380"/>
    </w:pPr>
    <w:rPr>
      <w:rFonts w:ascii="Calibri" w:hAnsi="Calibri"/>
      <w:color w:val="000000"/>
      <w:sz w:val="18"/>
      <w:szCs w:val="18"/>
    </w:rPr>
  </w:style>
  <w:style w:type="paragraph" w:styleId="TOC8">
    <w:name w:val="toc 8"/>
    <w:basedOn w:val="Normal"/>
    <w:next w:val="Normal"/>
    <w:autoRedefine/>
    <w:uiPriority w:val="39"/>
    <w:rsid w:val="000F1379"/>
    <w:pPr>
      <w:spacing w:before="0" w:after="0" w:line="260" w:lineRule="exact"/>
      <w:ind w:left="1610"/>
    </w:pPr>
    <w:rPr>
      <w:rFonts w:ascii="Calibri" w:hAnsi="Calibri"/>
      <w:color w:val="000000"/>
      <w:sz w:val="18"/>
      <w:szCs w:val="18"/>
    </w:rPr>
  </w:style>
  <w:style w:type="paragraph" w:styleId="TOC9">
    <w:name w:val="toc 9"/>
    <w:basedOn w:val="Normal"/>
    <w:next w:val="Normal"/>
    <w:autoRedefine/>
    <w:uiPriority w:val="39"/>
    <w:rsid w:val="000F1379"/>
    <w:pPr>
      <w:spacing w:before="0" w:after="0" w:line="260" w:lineRule="exact"/>
      <w:ind w:left="1840"/>
    </w:pPr>
    <w:rPr>
      <w:rFonts w:ascii="Calibri" w:hAnsi="Calibri"/>
      <w:color w:val="000000"/>
      <w:sz w:val="18"/>
      <w:szCs w:val="18"/>
    </w:rPr>
  </w:style>
  <w:style w:type="paragraph" w:customStyle="1" w:styleId="Heading5NotNumbered">
    <w:name w:val="Heading 5 Not Numbered"/>
    <w:basedOn w:val="HeadingBase"/>
    <w:rsid w:val="000F1379"/>
    <w:pPr>
      <w:spacing w:after="120"/>
      <w:outlineLvl w:val="4"/>
    </w:pPr>
    <w:rPr>
      <w:b/>
    </w:rPr>
  </w:style>
  <w:style w:type="paragraph" w:customStyle="1" w:styleId="Romannumeral">
    <w:name w:val="Roman numeral"/>
    <w:basedOn w:val="Normal"/>
    <w:link w:val="RomannumeralChar"/>
    <w:rsid w:val="001C629E"/>
    <w:pPr>
      <w:numPr>
        <w:numId w:val="13"/>
      </w:numPr>
      <w:tabs>
        <w:tab w:val="clear" w:pos="1701"/>
        <w:tab w:val="num" w:pos="567"/>
      </w:tabs>
      <w:spacing w:before="0" w:after="240" w:line="260" w:lineRule="exact"/>
      <w:ind w:left="567"/>
    </w:pPr>
    <w:rPr>
      <w:rFonts w:ascii="Corbel" w:hAnsi="Corbel"/>
      <w:color w:val="000000"/>
      <w:sz w:val="23"/>
    </w:rPr>
  </w:style>
  <w:style w:type="paragraph" w:customStyle="1" w:styleId="FileProperties">
    <w:name w:val="File Properties"/>
    <w:basedOn w:val="Normal"/>
    <w:rsid w:val="000F1379"/>
    <w:pPr>
      <w:spacing w:before="0" w:after="240" w:line="260" w:lineRule="exact"/>
    </w:pPr>
    <w:rPr>
      <w:rFonts w:ascii="Corbel" w:hAnsi="Corbel"/>
      <w:i/>
      <w:sz w:val="23"/>
    </w:rPr>
  </w:style>
  <w:style w:type="paragraph" w:customStyle="1" w:styleId="StatesList">
    <w:name w:val="StatesList"/>
    <w:basedOn w:val="AgreementParties"/>
    <w:rsid w:val="001C629E"/>
    <w:pPr>
      <w:numPr>
        <w:numId w:val="11"/>
      </w:numPr>
      <w:tabs>
        <w:tab w:val="clear" w:pos="1134"/>
        <w:tab w:val="num" w:pos="1418"/>
      </w:tabs>
      <w:ind w:left="1418" w:hanging="284"/>
    </w:pPr>
  </w:style>
  <w:style w:type="paragraph" w:customStyle="1" w:styleId="Abstract">
    <w:name w:val="Abstract"/>
    <w:basedOn w:val="Normal"/>
    <w:rsid w:val="000F1379"/>
    <w:pPr>
      <w:spacing w:before="240" w:after="240"/>
    </w:pPr>
    <w:rPr>
      <w:rFonts w:ascii="Consolas" w:hAnsi="Consolas"/>
      <w:color w:val="3D4B67"/>
      <w:szCs w:val="26"/>
    </w:rPr>
  </w:style>
  <w:style w:type="paragraph" w:customStyle="1" w:styleId="TableBullet">
    <w:name w:val="TableBullet"/>
    <w:basedOn w:val="Bullet"/>
    <w:rsid w:val="000F1379"/>
    <w:pPr>
      <w:numPr>
        <w:numId w:val="0"/>
      </w:numPr>
      <w:spacing w:before="40" w:after="60"/>
    </w:pPr>
  </w:style>
  <w:style w:type="paragraph" w:customStyle="1" w:styleId="ScheduleList">
    <w:name w:val="ScheduleList"/>
    <w:basedOn w:val="Normal"/>
    <w:rsid w:val="001C629E"/>
    <w:pPr>
      <w:numPr>
        <w:numId w:val="12"/>
      </w:numPr>
      <w:tabs>
        <w:tab w:val="clear" w:pos="567"/>
        <w:tab w:val="num" w:pos="1134"/>
      </w:tabs>
      <w:spacing w:before="0" w:after="240" w:line="260" w:lineRule="exact"/>
      <w:ind w:left="1134"/>
    </w:pPr>
    <w:rPr>
      <w:rFonts w:ascii="Corbel" w:hAnsi="Corbel"/>
      <w:b/>
      <w:color w:val="000000"/>
      <w:sz w:val="23"/>
    </w:rPr>
  </w:style>
  <w:style w:type="paragraph" w:customStyle="1" w:styleId="ScheduleListSubHeading">
    <w:name w:val="ScheduleListSubHeading"/>
    <w:basedOn w:val="ScheduleList"/>
    <w:rsid w:val="001C629E"/>
    <w:pPr>
      <w:numPr>
        <w:ilvl w:val="1"/>
      </w:numPr>
      <w:tabs>
        <w:tab w:val="clear" w:pos="1134"/>
        <w:tab w:val="num" w:pos="2574"/>
      </w:tabs>
      <w:ind w:left="2574" w:hanging="360"/>
    </w:pPr>
  </w:style>
  <w:style w:type="paragraph" w:customStyle="1" w:styleId="Signed">
    <w:name w:val="Signed"/>
    <w:basedOn w:val="Normal"/>
    <w:rsid w:val="000F1379"/>
    <w:pPr>
      <w:spacing w:before="0"/>
    </w:pPr>
    <w:rPr>
      <w:rFonts w:ascii="Book Antiqua" w:hAnsi="Book Antiqua"/>
      <w:bCs/>
      <w:i/>
      <w:color w:val="000000"/>
    </w:rPr>
  </w:style>
  <w:style w:type="paragraph" w:customStyle="1" w:styleId="AgreementHeading">
    <w:name w:val="AgreementHeading"/>
    <w:basedOn w:val="StatesList"/>
    <w:next w:val="StatesList"/>
    <w:rsid w:val="000F1379"/>
    <w:pPr>
      <w:numPr>
        <w:numId w:val="0"/>
      </w:numPr>
      <w:ind w:left="1560"/>
    </w:pPr>
  </w:style>
  <w:style w:type="paragraph" w:customStyle="1" w:styleId="CoverStatesList">
    <w:name w:val="CoverStatesList"/>
    <w:basedOn w:val="Normal"/>
    <w:rsid w:val="000F1379"/>
    <w:pPr>
      <w:keepNext/>
      <w:tabs>
        <w:tab w:val="num" w:pos="284"/>
      </w:tabs>
      <w:spacing w:before="240" w:after="60"/>
      <w:ind w:left="284" w:hanging="284"/>
    </w:pPr>
    <w:rPr>
      <w:rFonts w:ascii="Consolas" w:hAnsi="Consolas"/>
      <w:sz w:val="30"/>
      <w:szCs w:val="32"/>
      <w:lang w:eastAsia="ja-JP"/>
    </w:rPr>
  </w:style>
  <w:style w:type="paragraph" w:customStyle="1" w:styleId="Position">
    <w:name w:val="Position"/>
    <w:basedOn w:val="Normal"/>
    <w:rsid w:val="000F1379"/>
    <w:pPr>
      <w:spacing w:before="0" w:line="260" w:lineRule="exact"/>
    </w:pPr>
    <w:rPr>
      <w:rFonts w:ascii="Corbel" w:hAnsi="Corbel"/>
      <w:bCs/>
      <w:color w:val="000000"/>
    </w:rPr>
  </w:style>
  <w:style w:type="character" w:customStyle="1" w:styleId="SignedBold">
    <w:name w:val="SignedBold"/>
    <w:basedOn w:val="DefaultParagraphFont"/>
    <w:rsid w:val="000F1379"/>
    <w:rPr>
      <w:rFonts w:cs="Times New Roman"/>
      <w:b/>
      <w:i/>
    </w:rPr>
  </w:style>
  <w:style w:type="paragraph" w:customStyle="1" w:styleId="LineForSignature">
    <w:name w:val="LineForSignature"/>
    <w:basedOn w:val="Normal"/>
    <w:rsid w:val="000F1379"/>
    <w:pPr>
      <w:tabs>
        <w:tab w:val="left" w:leader="underscore" w:pos="3686"/>
      </w:tabs>
      <w:spacing w:before="360" w:after="60" w:line="260" w:lineRule="exact"/>
    </w:pPr>
    <w:rPr>
      <w:rFonts w:ascii="Book Antiqua" w:hAnsi="Book Antiqua"/>
      <w:color w:val="C0C0C0"/>
      <w:sz w:val="23"/>
      <w:lang w:val="en-GB"/>
    </w:rPr>
  </w:style>
  <w:style w:type="paragraph" w:customStyle="1" w:styleId="Heading1Red">
    <w:name w:val="Heading 1 Red"/>
    <w:basedOn w:val="Heading1"/>
    <w:rsid w:val="000F1379"/>
    <w:pPr>
      <w:keepLines w:val="0"/>
      <w:tabs>
        <w:tab w:val="clear" w:pos="567"/>
      </w:tabs>
      <w:spacing w:before="480" w:after="180"/>
    </w:pPr>
    <w:rPr>
      <w:rFonts w:ascii="Consolas" w:eastAsia="Times New Roman" w:hAnsi="Consolas" w:cs="Arial"/>
      <w:b w:val="0"/>
      <w:caps/>
      <w:color w:val="980033"/>
      <w:kern w:val="32"/>
      <w:szCs w:val="36"/>
    </w:rPr>
  </w:style>
  <w:style w:type="paragraph" w:customStyle="1" w:styleId="Indentednumberpara">
    <w:name w:val="Indented number para"/>
    <w:basedOn w:val="Romannumeral"/>
    <w:rsid w:val="001C629E"/>
    <w:pPr>
      <w:numPr>
        <w:ilvl w:val="1"/>
        <w:numId w:val="10"/>
      </w:numPr>
      <w:tabs>
        <w:tab w:val="clear" w:pos="2268"/>
        <w:tab w:val="num" w:pos="340"/>
        <w:tab w:val="num" w:pos="567"/>
        <w:tab w:val="num" w:pos="1701"/>
      </w:tabs>
      <w:ind w:left="1701" w:firstLine="0"/>
    </w:pPr>
  </w:style>
  <w:style w:type="paragraph" w:customStyle="1" w:styleId="AgreementParties">
    <w:name w:val="AgreementParties"/>
    <w:rsid w:val="000F1379"/>
    <w:pPr>
      <w:widowControl w:val="0"/>
      <w:tabs>
        <w:tab w:val="num" w:pos="0"/>
      </w:tabs>
      <w:adjustRightInd w:val="0"/>
      <w:spacing w:before="120" w:after="120" w:line="240" w:lineRule="auto"/>
      <w:jc w:val="both"/>
      <w:textAlignment w:val="baseline"/>
    </w:pPr>
    <w:rPr>
      <w:rFonts w:ascii="Consolas" w:eastAsia="Times New Roman" w:hAnsi="Consolas" w:cs="Times New Roman"/>
      <w:color w:val="3D4B67"/>
      <w:sz w:val="30"/>
      <w:szCs w:val="32"/>
      <w:lang w:eastAsia="ja-JP"/>
    </w:rPr>
  </w:style>
  <w:style w:type="paragraph" w:customStyle="1" w:styleId="IndentedQuote">
    <w:name w:val="Indented Quote"/>
    <w:basedOn w:val="Normal"/>
    <w:qFormat/>
    <w:rsid w:val="000F1379"/>
    <w:pPr>
      <w:pBdr>
        <w:top w:val="single" w:sz="2" w:space="10" w:color="000080"/>
        <w:bottom w:val="single" w:sz="2" w:space="10" w:color="000080"/>
      </w:pBdr>
      <w:shd w:val="clear" w:color="auto" w:fill="FFFFFF"/>
      <w:spacing w:before="240" w:after="240" w:line="280" w:lineRule="exact"/>
      <w:ind w:left="567" w:right="567"/>
      <w:contextualSpacing/>
    </w:pPr>
    <w:rPr>
      <w:rFonts w:ascii="Corbel" w:hAnsi="Corbel"/>
      <w:color w:val="3D4B67"/>
      <w:sz w:val="23"/>
      <w:lang w:eastAsia="ja-JP"/>
    </w:rPr>
  </w:style>
  <w:style w:type="paragraph" w:customStyle="1" w:styleId="body">
    <w:name w:val="body"/>
    <w:basedOn w:val="Normal"/>
    <w:rsid w:val="000F1379"/>
    <w:pPr>
      <w:spacing w:before="0"/>
    </w:pPr>
    <w:rPr>
      <w:rFonts w:ascii="Times New Roman" w:hAnsi="Times New Roman"/>
      <w:sz w:val="24"/>
    </w:rPr>
  </w:style>
  <w:style w:type="paragraph" w:customStyle="1" w:styleId="NormalPoint">
    <w:name w:val="NormalPoint"/>
    <w:basedOn w:val="Normal"/>
    <w:rsid w:val="000F1379"/>
    <w:pPr>
      <w:tabs>
        <w:tab w:val="num" w:pos="360"/>
      </w:tabs>
      <w:spacing w:before="0" w:after="0"/>
      <w:ind w:left="360" w:hanging="360"/>
    </w:pPr>
    <w:rPr>
      <w:rFonts w:ascii="Times New Roman" w:hAnsi="Times New Roman"/>
      <w:sz w:val="24"/>
    </w:rPr>
  </w:style>
  <w:style w:type="character" w:customStyle="1" w:styleId="RomannumeralChar">
    <w:name w:val="Roman numeral Char"/>
    <w:basedOn w:val="DefaultParagraphFont"/>
    <w:link w:val="Romannumeral"/>
    <w:locked/>
    <w:rsid w:val="000F1379"/>
    <w:rPr>
      <w:rFonts w:ascii="Corbel" w:eastAsia="Times New Roman" w:hAnsi="Corbel" w:cs="Times New Roman"/>
      <w:color w:val="000000"/>
      <w:sz w:val="23"/>
      <w:szCs w:val="20"/>
      <w:lang w:eastAsia="en-AU"/>
    </w:rPr>
  </w:style>
  <w:style w:type="paragraph" w:customStyle="1" w:styleId="HeaderEvenRed">
    <w:name w:val="Header Even Red"/>
    <w:basedOn w:val="HeaderEven"/>
    <w:link w:val="HeaderEvenRedChar"/>
    <w:rsid w:val="000F1379"/>
    <w:rPr>
      <w:color w:val="980033"/>
    </w:rPr>
  </w:style>
  <w:style w:type="paragraph" w:customStyle="1" w:styleId="HeaderOddRed">
    <w:name w:val="Header Odd Red"/>
    <w:basedOn w:val="HeaderOdd"/>
    <w:rsid w:val="000F1379"/>
    <w:rPr>
      <w:color w:val="980033"/>
    </w:rPr>
  </w:style>
  <w:style w:type="character" w:customStyle="1" w:styleId="HeadingBaseChar">
    <w:name w:val="Heading Base Char"/>
    <w:basedOn w:val="DefaultParagraphFont"/>
    <w:link w:val="HeadingBase"/>
    <w:locked/>
    <w:rsid w:val="000F1379"/>
    <w:rPr>
      <w:rFonts w:ascii="Corbel" w:eastAsia="Times New Roman" w:hAnsi="Corbel" w:cs="Times New Roman"/>
      <w:color w:val="3D4B67"/>
      <w:sz w:val="20"/>
      <w:szCs w:val="20"/>
      <w:lang w:eastAsia="en-AU"/>
    </w:rPr>
  </w:style>
  <w:style w:type="character" w:customStyle="1" w:styleId="HeaderEvenChar">
    <w:name w:val="Header Even Char"/>
    <w:basedOn w:val="HeaderChar"/>
    <w:link w:val="HeaderEven"/>
    <w:locked/>
    <w:rsid w:val="000F1379"/>
    <w:rPr>
      <w:rFonts w:ascii="Corbel" w:eastAsia="Calibri" w:hAnsi="Corbel" w:cs="Arial"/>
      <w:color w:val="3D4B67"/>
      <w:sz w:val="18"/>
      <w:szCs w:val="20"/>
      <w:lang w:eastAsia="en-AU"/>
    </w:rPr>
  </w:style>
  <w:style w:type="character" w:customStyle="1" w:styleId="HeaderEvenRedChar">
    <w:name w:val="Header Even Red Char"/>
    <w:basedOn w:val="HeaderEvenChar"/>
    <w:link w:val="HeaderEvenRed"/>
    <w:locked/>
    <w:rsid w:val="000F1379"/>
    <w:rPr>
      <w:rFonts w:ascii="Corbel" w:eastAsia="Calibri" w:hAnsi="Corbel" w:cs="Arial"/>
      <w:color w:val="980033"/>
      <w:sz w:val="18"/>
      <w:szCs w:val="20"/>
      <w:lang w:eastAsia="en-AU"/>
    </w:rPr>
  </w:style>
  <w:style w:type="paragraph" w:styleId="PlainText">
    <w:name w:val="Plain Text"/>
    <w:basedOn w:val="Normal"/>
    <w:link w:val="PlainTextChar"/>
    <w:uiPriority w:val="99"/>
    <w:unhideWhenUsed/>
    <w:rsid w:val="000F1379"/>
    <w:pPr>
      <w:spacing w:before="0" w:after="0"/>
    </w:pPr>
    <w:rPr>
      <w:rFonts w:ascii="Consolas" w:hAnsi="Consolas"/>
      <w:sz w:val="21"/>
      <w:szCs w:val="21"/>
    </w:rPr>
  </w:style>
  <w:style w:type="character" w:customStyle="1" w:styleId="PlainTextChar">
    <w:name w:val="Plain Text Char"/>
    <w:basedOn w:val="DefaultParagraphFont"/>
    <w:link w:val="PlainText"/>
    <w:uiPriority w:val="99"/>
    <w:rsid w:val="000F1379"/>
    <w:rPr>
      <w:rFonts w:ascii="Consolas" w:eastAsia="Times New Roman" w:hAnsi="Consolas" w:cs="Times New Roman"/>
      <w:sz w:val="21"/>
      <w:szCs w:val="21"/>
    </w:rPr>
  </w:style>
  <w:style w:type="paragraph" w:customStyle="1" w:styleId="CM71">
    <w:name w:val="CM71"/>
    <w:basedOn w:val="Normal"/>
    <w:next w:val="Normal"/>
    <w:uiPriority w:val="99"/>
    <w:rsid w:val="000F1379"/>
    <w:pPr>
      <w:autoSpaceDE w:val="0"/>
      <w:autoSpaceDN w:val="0"/>
      <w:spacing w:before="0" w:after="0"/>
    </w:pPr>
    <w:rPr>
      <w:rFonts w:ascii="Gill Sans" w:hAnsi="Gill Sans"/>
      <w:sz w:val="24"/>
      <w:szCs w:val="24"/>
    </w:rPr>
  </w:style>
  <w:style w:type="paragraph" w:customStyle="1" w:styleId="Char">
    <w:name w:val="Char"/>
    <w:basedOn w:val="Normal"/>
    <w:rsid w:val="000F1379"/>
    <w:pPr>
      <w:spacing w:before="0" w:after="0"/>
    </w:pPr>
  </w:style>
  <w:style w:type="paragraph" w:customStyle="1" w:styleId="NumberedParagraph">
    <w:name w:val="Numbered Paragraph"/>
    <w:basedOn w:val="Normal"/>
    <w:rsid w:val="000F1379"/>
    <w:pPr>
      <w:tabs>
        <w:tab w:val="num" w:pos="0"/>
      </w:tabs>
      <w:spacing w:before="0" w:after="240"/>
    </w:pPr>
    <w:rPr>
      <w:rFonts w:ascii="Times New Roman" w:hAnsi="Times New Roman"/>
      <w:sz w:val="24"/>
    </w:rPr>
  </w:style>
  <w:style w:type="numbering" w:customStyle="1" w:styleId="Style1">
    <w:name w:val="Style1"/>
    <w:uiPriority w:val="99"/>
    <w:rsid w:val="000F1379"/>
    <w:pPr>
      <w:numPr>
        <w:numId w:val="20"/>
      </w:numPr>
    </w:pPr>
  </w:style>
  <w:style w:type="paragraph" w:customStyle="1" w:styleId="ScheduleA">
    <w:name w:val="ScheduleA"/>
    <w:basedOn w:val="Normalnumbered"/>
    <w:next w:val="Normalnumbered"/>
    <w:qFormat/>
    <w:rsid w:val="001C629E"/>
    <w:pPr>
      <w:numPr>
        <w:numId w:val="15"/>
      </w:numPr>
      <w:tabs>
        <w:tab w:val="num" w:pos="360"/>
        <w:tab w:val="num" w:pos="567"/>
      </w:tabs>
      <w:ind w:left="567" w:hanging="567"/>
    </w:pPr>
  </w:style>
  <w:style w:type="character" w:customStyle="1" w:styleId="BulletChar">
    <w:name w:val="Bullet Char"/>
    <w:basedOn w:val="DefaultParagraphFont"/>
    <w:link w:val="Bullet"/>
    <w:locked/>
    <w:rsid w:val="000F1379"/>
    <w:rPr>
      <w:rFonts w:ascii="Corbel" w:eastAsia="Times New Roman" w:hAnsi="Corbel" w:cs="Times New Roman"/>
      <w:color w:val="000000"/>
      <w:sz w:val="23"/>
      <w:szCs w:val="20"/>
      <w:lang w:eastAsia="en-AU"/>
    </w:rPr>
  </w:style>
  <w:style w:type="character" w:customStyle="1" w:styleId="DashChar">
    <w:name w:val="Dash Char"/>
    <w:basedOn w:val="DefaultParagraphFont"/>
    <w:link w:val="Dash"/>
    <w:uiPriority w:val="99"/>
    <w:locked/>
    <w:rsid w:val="000F1379"/>
    <w:rPr>
      <w:rFonts w:ascii="Corbel" w:eastAsia="Times New Roman" w:hAnsi="Corbel" w:cs="Times New Roman"/>
      <w:color w:val="000000"/>
      <w:sz w:val="23"/>
      <w:szCs w:val="20"/>
      <w:lang w:eastAsia="en-AU"/>
    </w:rPr>
  </w:style>
  <w:style w:type="numbering" w:customStyle="1" w:styleId="Style2">
    <w:name w:val="Style2"/>
    <w:uiPriority w:val="99"/>
    <w:rsid w:val="000F1379"/>
    <w:pPr>
      <w:numPr>
        <w:numId w:val="23"/>
      </w:numPr>
    </w:pPr>
  </w:style>
  <w:style w:type="paragraph" w:customStyle="1" w:styleId="sobullet">
    <w:name w:val="sobullet"/>
    <w:basedOn w:val="Normal"/>
    <w:rsid w:val="000F1379"/>
    <w:pPr>
      <w:spacing w:before="100" w:beforeAutospacing="1" w:after="100" w:afterAutospacing="1"/>
    </w:pPr>
    <w:rPr>
      <w:rFonts w:ascii="Times New Roman" w:hAnsi="Times New Roman"/>
      <w:sz w:val="24"/>
      <w:szCs w:val="24"/>
    </w:rPr>
  </w:style>
  <w:style w:type="character" w:customStyle="1" w:styleId="st1">
    <w:name w:val="st1"/>
    <w:basedOn w:val="DefaultParagraphFont"/>
    <w:rsid w:val="000F1379"/>
  </w:style>
  <w:style w:type="numbering" w:customStyle="1" w:styleId="NoList1">
    <w:name w:val="No List1"/>
    <w:next w:val="NoList"/>
    <w:uiPriority w:val="99"/>
    <w:semiHidden/>
    <w:unhideWhenUsed/>
    <w:rsid w:val="000F1379"/>
  </w:style>
  <w:style w:type="table" w:customStyle="1" w:styleId="TableGrid1">
    <w:name w:val="Table Grid1"/>
    <w:basedOn w:val="TableNormal"/>
    <w:next w:val="TableGrid"/>
    <w:uiPriority w:val="59"/>
    <w:rsid w:val="000F137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0F1379"/>
    <w:pPr>
      <w:numPr>
        <w:numId w:val="1"/>
      </w:numPr>
    </w:pPr>
  </w:style>
  <w:style w:type="numbering" w:customStyle="1" w:styleId="Style21">
    <w:name w:val="Style21"/>
    <w:uiPriority w:val="99"/>
    <w:rsid w:val="000F1379"/>
    <w:pPr>
      <w:numPr>
        <w:numId w:val="19"/>
      </w:numPr>
    </w:pPr>
  </w:style>
  <w:style w:type="character" w:styleId="UnresolvedMention">
    <w:name w:val="Unresolved Mention"/>
    <w:basedOn w:val="DefaultParagraphFont"/>
    <w:uiPriority w:val="99"/>
    <w:semiHidden/>
    <w:unhideWhenUsed/>
    <w:rsid w:val="00E05222"/>
    <w:rPr>
      <w:color w:val="605E5C"/>
      <w:shd w:val="clear" w:color="auto" w:fill="E1DFDD"/>
    </w:rPr>
  </w:style>
  <w:style w:type="character" w:customStyle="1" w:styleId="normaltextrun">
    <w:name w:val="normaltextrun"/>
    <w:basedOn w:val="DefaultParagraphFont"/>
    <w:rsid w:val="00D5353E"/>
  </w:style>
  <w:style w:type="paragraph" w:customStyle="1" w:styleId="paragraph">
    <w:name w:val="paragraph"/>
    <w:basedOn w:val="Normal"/>
    <w:rsid w:val="008573CC"/>
    <w:pPr>
      <w:widowControl/>
      <w:adjustRightInd/>
      <w:spacing w:before="100" w:beforeAutospacing="1" w:after="100" w:afterAutospacing="1"/>
      <w:jc w:val="left"/>
      <w:textAlignment w:val="auto"/>
    </w:pPr>
    <w:rPr>
      <w:rFonts w:ascii="Times New Roman" w:hAnsi="Times New Roman"/>
      <w:sz w:val="24"/>
      <w:szCs w:val="24"/>
    </w:rPr>
  </w:style>
  <w:style w:type="character" w:customStyle="1" w:styleId="eop">
    <w:name w:val="eop"/>
    <w:basedOn w:val="DefaultParagraphFont"/>
    <w:rsid w:val="008573CC"/>
  </w:style>
  <w:style w:type="character" w:styleId="Mention">
    <w:name w:val="Mention"/>
    <w:basedOn w:val="DefaultParagraphFont"/>
    <w:uiPriority w:val="99"/>
    <w:unhideWhenUsed/>
    <w:rsid w:val="00DE2401"/>
    <w:rPr>
      <w:color w:val="2B579A"/>
      <w:shd w:val="clear" w:color="auto" w:fill="E1DFDD"/>
    </w:rPr>
  </w:style>
  <w:style w:type="table" w:customStyle="1" w:styleId="TableGrid2">
    <w:name w:val="Table Grid2"/>
    <w:basedOn w:val="TableNormal"/>
    <w:next w:val="TableGrid"/>
    <w:uiPriority w:val="39"/>
    <w:rsid w:val="00153F2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ll1">
    <w:name w:val="null1"/>
    <w:basedOn w:val="DefaultParagraphFont"/>
    <w:rsid w:val="00135C8B"/>
  </w:style>
  <w:style w:type="numbering" w:customStyle="1" w:styleId="Style22">
    <w:name w:val="Style22"/>
    <w:uiPriority w:val="99"/>
    <w:rsid w:val="001A52D6"/>
    <w:pPr>
      <w:numPr>
        <w:numId w:val="2"/>
      </w:numPr>
    </w:pPr>
  </w:style>
  <w:style w:type="paragraph" w:customStyle="1" w:styleId="pf0">
    <w:name w:val="pf0"/>
    <w:basedOn w:val="Normal"/>
    <w:rsid w:val="00DD2D57"/>
    <w:pPr>
      <w:widowControl/>
      <w:adjustRightInd/>
      <w:spacing w:before="100" w:beforeAutospacing="1" w:after="100" w:afterAutospacing="1"/>
      <w:jc w:val="left"/>
      <w:textAlignment w:val="auto"/>
    </w:pPr>
    <w:rPr>
      <w:rFonts w:ascii="Times New Roman" w:hAnsi="Times New Roman"/>
      <w:sz w:val="24"/>
      <w:szCs w:val="24"/>
    </w:rPr>
  </w:style>
  <w:style w:type="character" w:customStyle="1" w:styleId="cf01">
    <w:name w:val="cf01"/>
    <w:basedOn w:val="DefaultParagraphFont"/>
    <w:rsid w:val="00DD2D57"/>
    <w:rPr>
      <w:rFonts w:ascii="Segoe UI" w:hAnsi="Segoe UI" w:cs="Segoe UI" w:hint="default"/>
      <w:sz w:val="18"/>
      <w:szCs w:val="18"/>
      <w:shd w:val="clear" w:color="auto" w:fill="00FFFF"/>
    </w:rPr>
  </w:style>
  <w:style w:type="character" w:customStyle="1" w:styleId="cf11">
    <w:name w:val="cf11"/>
    <w:basedOn w:val="DefaultParagraphFont"/>
    <w:rsid w:val="00DD2D57"/>
    <w:rPr>
      <w:rFonts w:ascii="Segoe UI" w:hAnsi="Segoe UI" w:cs="Segoe UI" w:hint="default"/>
      <w:i/>
      <w:iCs/>
      <w:sz w:val="18"/>
      <w:szCs w:val="18"/>
      <w:shd w:val="clear" w:color="auto" w:fill="00FFFF"/>
    </w:rPr>
  </w:style>
  <w:style w:type="character" w:customStyle="1" w:styleId="cf31">
    <w:name w:val="cf31"/>
    <w:basedOn w:val="DefaultParagraphFont"/>
    <w:rsid w:val="00DD2D57"/>
    <w:rPr>
      <w:rFonts w:ascii="Segoe UI" w:hAnsi="Segoe UI" w:cs="Segoe UI" w:hint="default"/>
      <w:sz w:val="18"/>
      <w:szCs w:val="18"/>
      <w:shd w:val="clear" w:color="auto" w:fill="00FFFF"/>
    </w:rPr>
  </w:style>
  <w:style w:type="character" w:customStyle="1" w:styleId="cf41">
    <w:name w:val="cf41"/>
    <w:basedOn w:val="DefaultParagraphFont"/>
    <w:rsid w:val="00DD2D57"/>
    <w:rPr>
      <w:rFonts w:ascii="Segoe UI" w:hAnsi="Segoe UI" w:cs="Segoe UI" w:hint="default"/>
      <w:i/>
      <w:iCs/>
      <w:sz w:val="18"/>
      <w:szCs w:val="18"/>
      <w:shd w:val="clear" w:color="auto" w:fill="00FFFF"/>
    </w:rPr>
  </w:style>
  <w:style w:type="character" w:customStyle="1" w:styleId="findhit">
    <w:name w:val="findhit"/>
    <w:basedOn w:val="DefaultParagraphFont"/>
    <w:rsid w:val="00DD2D57"/>
  </w:style>
  <w:style w:type="character" w:customStyle="1" w:styleId="emailstyle15">
    <w:name w:val="emailstyle15"/>
    <w:basedOn w:val="DefaultParagraphFont"/>
    <w:semiHidden/>
    <w:rsid w:val="00001D8D"/>
    <w:rPr>
      <w:rFonts w:ascii="Calibri" w:hAnsi="Calibri" w:cs="Calibri" w:hint="default"/>
      <w:color w:val="auto"/>
    </w:rPr>
  </w:style>
  <w:style w:type="paragraph" w:customStyle="1" w:styleId="ScheduleHeading1">
    <w:name w:val="Schedule Heading1"/>
    <w:next w:val="BodyText"/>
    <w:uiPriority w:val="9"/>
    <w:qFormat/>
    <w:rsid w:val="00F60E4C"/>
    <w:pPr>
      <w:keepNext/>
      <w:keepLines/>
      <w:widowControl w:val="0"/>
      <w:tabs>
        <w:tab w:val="left" w:pos="567"/>
      </w:tabs>
      <w:adjustRightInd w:val="0"/>
      <w:spacing w:before="240" w:after="0" w:line="240" w:lineRule="auto"/>
      <w:jc w:val="both"/>
      <w:textAlignment w:val="baseline"/>
      <w:outlineLvl w:val="0"/>
    </w:pPr>
    <w:rPr>
      <w:rFonts w:ascii="Arial" w:eastAsia="Yu Gothic Light" w:hAnsi="Arial" w:cs="Times New Roman"/>
      <w:b/>
      <w:bCs/>
      <w:color w:val="003865"/>
      <w:sz w:val="32"/>
      <w:szCs w:val="28"/>
      <w:lang w:eastAsia="en-AU"/>
    </w:rPr>
  </w:style>
  <w:style w:type="paragraph" w:customStyle="1" w:styleId="Heading2Cab1">
    <w:name w:val="Heading 2 Cab1"/>
    <w:next w:val="Normal"/>
    <w:uiPriority w:val="9"/>
    <w:qFormat/>
    <w:rsid w:val="00F60E4C"/>
    <w:pPr>
      <w:keepNext/>
      <w:keepLines/>
      <w:widowControl w:val="0"/>
      <w:adjustRightInd w:val="0"/>
      <w:spacing w:before="200" w:after="0" w:line="240" w:lineRule="auto"/>
      <w:jc w:val="both"/>
      <w:textAlignment w:val="baseline"/>
      <w:outlineLvl w:val="1"/>
    </w:pPr>
    <w:rPr>
      <w:rFonts w:ascii="Arial" w:eastAsia="Yu Gothic Light" w:hAnsi="Arial" w:cs="Times New Roman"/>
      <w:b/>
      <w:bCs/>
      <w:sz w:val="24"/>
      <w:szCs w:val="32"/>
      <w:lang w:eastAsia="en-AU"/>
    </w:rPr>
  </w:style>
  <w:style w:type="paragraph" w:customStyle="1" w:styleId="Heading3Cab1">
    <w:name w:val="Heading 3 Cab1"/>
    <w:next w:val="Normal"/>
    <w:uiPriority w:val="99"/>
    <w:qFormat/>
    <w:rsid w:val="00F60E4C"/>
    <w:pPr>
      <w:widowControl w:val="0"/>
      <w:adjustRightInd w:val="0"/>
      <w:spacing w:before="160" w:after="0" w:line="240" w:lineRule="auto"/>
      <w:ind w:left="567"/>
      <w:jc w:val="both"/>
      <w:textAlignment w:val="baseline"/>
      <w:outlineLvl w:val="2"/>
    </w:pPr>
    <w:rPr>
      <w:rFonts w:ascii="Arial" w:eastAsia="Yu Gothic Light" w:hAnsi="Arial" w:cs="Times New Roman"/>
      <w:b/>
      <w:bCs/>
      <w:iCs/>
      <w:sz w:val="20"/>
      <w:szCs w:val="20"/>
      <w:lang w:eastAsia="en-AU"/>
    </w:rPr>
  </w:style>
  <w:style w:type="paragraph" w:customStyle="1" w:styleId="Heading41">
    <w:name w:val="Heading 41"/>
    <w:basedOn w:val="Normal"/>
    <w:next w:val="Normal"/>
    <w:uiPriority w:val="9"/>
    <w:qFormat/>
    <w:rsid w:val="00F60E4C"/>
    <w:pPr>
      <w:keepNext/>
      <w:keepLines/>
      <w:spacing w:before="200"/>
      <w:outlineLvl w:val="3"/>
    </w:pPr>
    <w:rPr>
      <w:rFonts w:eastAsia="Yu Gothic Light"/>
      <w:b/>
      <w:bCs/>
      <w:iCs/>
    </w:rPr>
  </w:style>
  <w:style w:type="character" w:customStyle="1" w:styleId="FollowedHyperlink1">
    <w:name w:val="FollowedHyperlink1"/>
    <w:basedOn w:val="DefaultParagraphFont"/>
    <w:uiPriority w:val="99"/>
    <w:unhideWhenUsed/>
    <w:rsid w:val="00F60E4C"/>
    <w:rPr>
      <w:color w:val="954F72"/>
      <w:u w:val="single"/>
    </w:rPr>
  </w:style>
  <w:style w:type="character" w:customStyle="1" w:styleId="HyperlinkCab1">
    <w:name w:val="Hyperlink Cab1"/>
    <w:basedOn w:val="DefaultParagraphFont"/>
    <w:uiPriority w:val="99"/>
    <w:rsid w:val="00F60E4C"/>
    <w:rPr>
      <w:color w:val="0563C1"/>
      <w:u w:val="single"/>
    </w:rPr>
  </w:style>
  <w:style w:type="paragraph" w:customStyle="1" w:styleId="Subtitle1">
    <w:name w:val="Subtitle1"/>
    <w:basedOn w:val="Normal"/>
    <w:next w:val="Normal"/>
    <w:uiPriority w:val="11"/>
    <w:qFormat/>
    <w:rsid w:val="00F60E4C"/>
    <w:pPr>
      <w:numPr>
        <w:ilvl w:val="1"/>
      </w:numPr>
      <w:spacing w:before="0" w:after="0"/>
    </w:pPr>
    <w:rPr>
      <w:rFonts w:ascii="Calibri Light" w:eastAsia="Yu Gothic Light" w:hAnsi="Calibri Light"/>
      <w:iCs/>
      <w:spacing w:val="15"/>
    </w:rPr>
  </w:style>
  <w:style w:type="character" w:customStyle="1" w:styleId="SubtleEmphasis1">
    <w:name w:val="Subtle Emphasis1"/>
    <w:basedOn w:val="DefaultParagraphFont"/>
    <w:uiPriority w:val="19"/>
    <w:qFormat/>
    <w:rsid w:val="00F60E4C"/>
    <w:rPr>
      <w:i/>
      <w:iCs/>
      <w:color w:val="808080"/>
    </w:rPr>
  </w:style>
  <w:style w:type="character" w:customStyle="1" w:styleId="IntenseEmphasis1">
    <w:name w:val="Intense Emphasis1"/>
    <w:basedOn w:val="DefaultParagraphFont"/>
    <w:uiPriority w:val="21"/>
    <w:qFormat/>
    <w:rsid w:val="00F60E4C"/>
    <w:rPr>
      <w:b/>
      <w:bCs/>
      <w:i/>
      <w:iCs/>
      <w:color w:val="5B9BD5"/>
    </w:rPr>
  </w:style>
  <w:style w:type="paragraph" w:customStyle="1" w:styleId="Quote1">
    <w:name w:val="Quote1"/>
    <w:basedOn w:val="Normal"/>
    <w:next w:val="Normal"/>
    <w:uiPriority w:val="29"/>
    <w:qFormat/>
    <w:rsid w:val="00F60E4C"/>
    <w:pPr>
      <w:spacing w:before="0" w:after="0"/>
    </w:pPr>
    <w:rPr>
      <w:rFonts w:ascii="Calibri" w:eastAsia="Calibri" w:hAnsi="Calibri" w:cs="Arial"/>
      <w:i/>
      <w:iCs/>
      <w:color w:val="000000"/>
    </w:rPr>
  </w:style>
  <w:style w:type="paragraph" w:customStyle="1" w:styleId="IntenseQuote1">
    <w:name w:val="Intense Quote1"/>
    <w:basedOn w:val="Normal"/>
    <w:next w:val="Normal"/>
    <w:uiPriority w:val="30"/>
    <w:qFormat/>
    <w:rsid w:val="00F60E4C"/>
    <w:pPr>
      <w:pBdr>
        <w:bottom w:val="single" w:sz="4" w:space="4" w:color="5B9BD5"/>
      </w:pBdr>
      <w:spacing w:before="200" w:after="280"/>
      <w:ind w:left="936" w:right="936"/>
    </w:pPr>
    <w:rPr>
      <w:rFonts w:ascii="Calibri" w:eastAsia="Calibri" w:hAnsi="Calibri" w:cs="Arial"/>
      <w:b/>
      <w:bCs/>
      <w:i/>
      <w:iCs/>
      <w:color w:val="5B9BD5"/>
    </w:rPr>
  </w:style>
  <w:style w:type="character" w:customStyle="1" w:styleId="SubtleReference1">
    <w:name w:val="Subtle Reference1"/>
    <w:basedOn w:val="DefaultParagraphFont"/>
    <w:uiPriority w:val="31"/>
    <w:qFormat/>
    <w:rsid w:val="00F60E4C"/>
    <w:rPr>
      <w:smallCaps/>
      <w:color w:val="ED7D31"/>
      <w:u w:val="single"/>
    </w:rPr>
  </w:style>
  <w:style w:type="character" w:customStyle="1" w:styleId="IntenseReference1">
    <w:name w:val="Intense Reference1"/>
    <w:basedOn w:val="DefaultParagraphFont"/>
    <w:uiPriority w:val="32"/>
    <w:qFormat/>
    <w:rsid w:val="00F60E4C"/>
    <w:rPr>
      <w:b/>
      <w:bCs/>
      <w:i/>
      <w:smallCaps/>
      <w:color w:val="ED7D31"/>
      <w:spacing w:val="5"/>
      <w:u w:val="none"/>
    </w:rPr>
  </w:style>
  <w:style w:type="paragraph" w:customStyle="1" w:styleId="TOCHeading1">
    <w:name w:val="TOC Heading1"/>
    <w:basedOn w:val="Heading1"/>
    <w:next w:val="Normal"/>
    <w:uiPriority w:val="39"/>
    <w:unhideWhenUsed/>
    <w:qFormat/>
    <w:rsid w:val="00F60E4C"/>
    <w:pPr>
      <w:widowControl/>
      <w:tabs>
        <w:tab w:val="clear" w:pos="567"/>
      </w:tabs>
      <w:adjustRightInd/>
      <w:spacing w:line="259" w:lineRule="auto"/>
      <w:jc w:val="left"/>
      <w:textAlignment w:val="auto"/>
    </w:pPr>
    <w:rPr>
      <w:rFonts w:eastAsia="Yu Gothic Light"/>
      <w:kern w:val="2"/>
      <w:lang w:eastAsia="en-US"/>
      <w14:ligatures w14:val="standardContextual"/>
    </w:rPr>
  </w:style>
  <w:style w:type="numbering" w:customStyle="1" w:styleId="NoList11">
    <w:name w:val="No List11"/>
    <w:next w:val="NoList"/>
    <w:uiPriority w:val="99"/>
    <w:semiHidden/>
    <w:unhideWhenUsed/>
    <w:rsid w:val="00F60E4C"/>
  </w:style>
  <w:style w:type="table" w:customStyle="1" w:styleId="TableGrid11">
    <w:name w:val="Table Grid11"/>
    <w:basedOn w:val="TableNormal"/>
    <w:next w:val="TableGrid"/>
    <w:uiPriority w:val="59"/>
    <w:rsid w:val="00F60E4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F60E4C"/>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F60E4C"/>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F60E4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F60E4C"/>
    <w:rPr>
      <w:rFonts w:asciiTheme="majorHAnsi" w:eastAsiaTheme="majorEastAsia" w:hAnsiTheme="majorHAnsi" w:cstheme="majorBidi"/>
      <w:i/>
      <w:iCs/>
      <w:color w:val="2E74B5" w:themeColor="accent1" w:themeShade="BF"/>
    </w:rPr>
  </w:style>
  <w:style w:type="character" w:customStyle="1" w:styleId="SubtitleChar1">
    <w:name w:val="Subtitle Char1"/>
    <w:basedOn w:val="DefaultParagraphFont"/>
    <w:uiPriority w:val="11"/>
    <w:rsid w:val="00F60E4C"/>
    <w:rPr>
      <w:rFonts w:eastAsiaTheme="minorEastAsia"/>
      <w:color w:val="5A5A5A" w:themeColor="text1" w:themeTint="A5"/>
      <w:spacing w:val="15"/>
    </w:rPr>
  </w:style>
  <w:style w:type="character" w:customStyle="1" w:styleId="QuoteChar1">
    <w:name w:val="Quote Char1"/>
    <w:basedOn w:val="DefaultParagraphFont"/>
    <w:uiPriority w:val="29"/>
    <w:rsid w:val="00F60E4C"/>
    <w:rPr>
      <w:i/>
      <w:iCs/>
      <w:color w:val="404040" w:themeColor="text1" w:themeTint="BF"/>
    </w:rPr>
  </w:style>
  <w:style w:type="character" w:customStyle="1" w:styleId="IntenseQuoteChar1">
    <w:name w:val="Intense Quote Char1"/>
    <w:basedOn w:val="DefaultParagraphFont"/>
    <w:uiPriority w:val="30"/>
    <w:rsid w:val="00F60E4C"/>
    <w:rPr>
      <w:i/>
      <w:iCs/>
      <w:color w:val="5B9BD5" w:themeColor="accent1"/>
    </w:rPr>
  </w:style>
  <w:style w:type="paragraph" w:styleId="List2">
    <w:name w:val="List 2"/>
    <w:basedOn w:val="Normal"/>
    <w:uiPriority w:val="99"/>
    <w:semiHidden/>
    <w:unhideWhenUsed/>
    <w:rsid w:val="00AD200B"/>
    <w:pPr>
      <w:ind w:left="566" w:hanging="283"/>
      <w:contextualSpacing/>
    </w:pPr>
  </w:style>
  <w:style w:type="paragraph" w:customStyle="1" w:styleId="outlineelement">
    <w:name w:val="outlineelement"/>
    <w:basedOn w:val="Normal"/>
    <w:rsid w:val="000D28F0"/>
    <w:pPr>
      <w:widowControl/>
      <w:adjustRightInd/>
      <w:spacing w:before="100" w:beforeAutospacing="1" w:after="100" w:afterAutospacing="1"/>
      <w:jc w:val="left"/>
      <w:textAlignment w:val="auto"/>
    </w:pPr>
    <w:rPr>
      <w:rFonts w:ascii="Times New Roman" w:hAnsi="Times New Roman"/>
      <w:sz w:val="24"/>
      <w:szCs w:val="24"/>
    </w:rPr>
  </w:style>
  <w:style w:type="character" w:customStyle="1" w:styleId="scxw183941518">
    <w:name w:val="scxw183941518"/>
    <w:basedOn w:val="DefaultParagraphFont"/>
    <w:rsid w:val="000D28F0"/>
  </w:style>
  <w:style w:type="paragraph" w:customStyle="1" w:styleId="HeaderStyle2">
    <w:name w:val="HeaderStyle2"/>
    <w:basedOn w:val="Heading2"/>
    <w:next w:val="Normal"/>
    <w:link w:val="HeaderStyle2Char"/>
    <w:uiPriority w:val="98"/>
    <w:qFormat/>
    <w:rsid w:val="000D28F0"/>
    <w:pPr>
      <w:tabs>
        <w:tab w:val="num" w:pos="720"/>
      </w:tabs>
      <w:spacing w:before="180" w:after="120" w:line="480" w:lineRule="auto"/>
      <w:jc w:val="left"/>
    </w:pPr>
    <w:rPr>
      <w:rFonts w:eastAsia="Times New Roman" w:cstheme="minorHAnsi"/>
      <w:color w:val="3D4B67"/>
      <w:sz w:val="28"/>
      <w:szCs w:val="28"/>
    </w:rPr>
  </w:style>
  <w:style w:type="character" w:customStyle="1" w:styleId="HeaderStyle2Char">
    <w:name w:val="HeaderStyle2 Char"/>
    <w:basedOn w:val="Heading2Char"/>
    <w:link w:val="HeaderStyle2"/>
    <w:uiPriority w:val="98"/>
    <w:rsid w:val="000D28F0"/>
    <w:rPr>
      <w:rFonts w:ascii="Arial" w:eastAsia="Times New Roman" w:hAnsi="Arial" w:cstheme="minorHAnsi"/>
      <w:b/>
      <w:bCs/>
      <w:color w:val="3D4B67"/>
      <w:sz w:val="28"/>
      <w:szCs w:val="28"/>
      <w:lang w:eastAsia="en-AU"/>
    </w:rPr>
  </w:style>
  <w:style w:type="paragraph" w:customStyle="1" w:styleId="HeaderStyle3">
    <w:name w:val="HeaderStyle3"/>
    <w:basedOn w:val="Heading4"/>
    <w:next w:val="Normal"/>
    <w:link w:val="HeaderStyle3Char"/>
    <w:uiPriority w:val="98"/>
    <w:qFormat/>
    <w:rsid w:val="000D28F0"/>
    <w:pPr>
      <w:spacing w:before="320" w:after="240"/>
      <w:jc w:val="left"/>
    </w:pPr>
    <w:rPr>
      <w:rFonts w:ascii="Calibri" w:hAnsi="Calibri" w:cs="Calibri"/>
      <w:color w:val="3D4B67"/>
      <w:sz w:val="24"/>
      <w:szCs w:val="24"/>
    </w:rPr>
  </w:style>
  <w:style w:type="character" w:customStyle="1" w:styleId="HeaderStyle3Char">
    <w:name w:val="HeaderStyle3 Char"/>
    <w:basedOn w:val="Heading4Char"/>
    <w:link w:val="HeaderStyle3"/>
    <w:uiPriority w:val="98"/>
    <w:rsid w:val="000D28F0"/>
    <w:rPr>
      <w:rFonts w:ascii="Calibri" w:eastAsiaTheme="majorEastAsia" w:hAnsi="Calibri" w:cs="Calibri"/>
      <w:b/>
      <w:bCs/>
      <w:iCs/>
      <w:color w:val="3D4B67"/>
      <w:sz w:val="24"/>
      <w:szCs w:val="24"/>
      <w:lang w:eastAsia="en-AU"/>
    </w:rPr>
  </w:style>
  <w:style w:type="paragraph" w:customStyle="1" w:styleId="StandardNHRA">
    <w:name w:val="Standard NHRA"/>
    <w:basedOn w:val="Normal"/>
    <w:link w:val="StandardNHRAChar"/>
    <w:uiPriority w:val="98"/>
    <w:qFormat/>
    <w:rsid w:val="000D28F0"/>
    <w:pPr>
      <w:keepNext/>
      <w:tabs>
        <w:tab w:val="num" w:pos="720"/>
      </w:tabs>
      <w:spacing w:before="0" w:after="240" w:line="260" w:lineRule="exact"/>
      <w:ind w:left="709" w:hanging="709"/>
      <w:jc w:val="left"/>
    </w:pPr>
    <w:rPr>
      <w:rFonts w:asciiTheme="minorHAnsi" w:hAnsiTheme="minorHAnsi" w:cstheme="minorBidi"/>
      <w:sz w:val="24"/>
      <w:szCs w:val="24"/>
    </w:rPr>
  </w:style>
  <w:style w:type="character" w:customStyle="1" w:styleId="StandardNHRAChar">
    <w:name w:val="Standard NHRA Char"/>
    <w:basedOn w:val="DefaultParagraphFont"/>
    <w:link w:val="StandardNHRA"/>
    <w:uiPriority w:val="98"/>
    <w:rsid w:val="000D28F0"/>
    <w:rPr>
      <w:rFonts w:eastAsia="Times New Roman"/>
      <w:sz w:val="24"/>
      <w:szCs w:val="24"/>
      <w:lang w:eastAsia="en-AU"/>
    </w:rPr>
  </w:style>
  <w:style w:type="character" w:customStyle="1" w:styleId="scxw65085306">
    <w:name w:val="scxw65085306"/>
    <w:basedOn w:val="DefaultParagraphFont"/>
    <w:rsid w:val="00815287"/>
  </w:style>
  <w:style w:type="numbering" w:customStyle="1" w:styleId="Preliminaries">
    <w:name w:val="Preliminaries"/>
    <w:uiPriority w:val="99"/>
    <w:rsid w:val="00583315"/>
    <w:pPr>
      <w:numPr>
        <w:numId w:val="50"/>
      </w:numPr>
    </w:pPr>
  </w:style>
  <w:style w:type="numbering" w:customStyle="1" w:styleId="SchA">
    <w:name w:val="Sch A"/>
    <w:uiPriority w:val="99"/>
    <w:rsid w:val="0068090D"/>
    <w:pPr>
      <w:numPr>
        <w:numId w:val="53"/>
      </w:numPr>
    </w:pPr>
  </w:style>
  <w:style w:type="numbering" w:customStyle="1" w:styleId="SchB">
    <w:name w:val="Sch B"/>
    <w:uiPriority w:val="99"/>
    <w:rsid w:val="00FB683A"/>
    <w:pPr>
      <w:numPr>
        <w:numId w:val="89"/>
      </w:numPr>
    </w:pPr>
  </w:style>
  <w:style w:type="numbering" w:customStyle="1" w:styleId="SchC">
    <w:name w:val="Sch C"/>
    <w:uiPriority w:val="99"/>
    <w:rsid w:val="004F27CE"/>
    <w:pPr>
      <w:numPr>
        <w:numId w:val="118"/>
      </w:numPr>
    </w:pPr>
  </w:style>
  <w:style w:type="numbering" w:customStyle="1" w:styleId="SchD">
    <w:name w:val="Sch D"/>
    <w:uiPriority w:val="99"/>
    <w:rsid w:val="00250C77"/>
    <w:pPr>
      <w:numPr>
        <w:numId w:val="139"/>
      </w:numPr>
    </w:pPr>
  </w:style>
  <w:style w:type="numbering" w:customStyle="1" w:styleId="SchE">
    <w:name w:val="Sch E"/>
    <w:uiPriority w:val="99"/>
    <w:rsid w:val="009B77B3"/>
    <w:pPr>
      <w:numPr>
        <w:numId w:val="140"/>
      </w:numPr>
    </w:pPr>
  </w:style>
  <w:style w:type="numbering" w:customStyle="1" w:styleId="SchF">
    <w:name w:val="Sch F"/>
    <w:uiPriority w:val="99"/>
    <w:rsid w:val="001E0F7F"/>
    <w:pPr>
      <w:numPr>
        <w:numId w:val="154"/>
      </w:numPr>
    </w:pPr>
  </w:style>
  <w:style w:type="numbering" w:customStyle="1" w:styleId="SchG">
    <w:name w:val="Sch G"/>
    <w:uiPriority w:val="99"/>
    <w:rsid w:val="00E22AEB"/>
    <w:pPr>
      <w:numPr>
        <w:numId w:val="163"/>
      </w:numPr>
    </w:pPr>
  </w:style>
  <w:style w:type="numbering" w:customStyle="1" w:styleId="SchH">
    <w:name w:val="Sch H"/>
    <w:uiPriority w:val="99"/>
    <w:rsid w:val="001C3E33"/>
    <w:pPr>
      <w:numPr>
        <w:numId w:val="164"/>
      </w:numPr>
    </w:pPr>
  </w:style>
  <w:style w:type="numbering" w:customStyle="1" w:styleId="SchI">
    <w:name w:val="Sch I"/>
    <w:uiPriority w:val="99"/>
    <w:rsid w:val="003F4139"/>
    <w:pPr>
      <w:numPr>
        <w:numId w:val="194"/>
      </w:numPr>
    </w:pPr>
  </w:style>
  <w:style w:type="numbering" w:customStyle="1" w:styleId="SchJ">
    <w:name w:val="Sch J"/>
    <w:uiPriority w:val="99"/>
    <w:rsid w:val="00B911FC"/>
    <w:pPr>
      <w:numPr>
        <w:numId w:val="222"/>
      </w:numPr>
    </w:pPr>
  </w:style>
  <w:style w:type="numbering" w:customStyle="1" w:styleId="Appendix">
    <w:name w:val="Appendix"/>
    <w:uiPriority w:val="99"/>
    <w:rsid w:val="001D7260"/>
    <w:pPr>
      <w:numPr>
        <w:numId w:val="2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0562">
      <w:bodyDiv w:val="1"/>
      <w:marLeft w:val="0"/>
      <w:marRight w:val="0"/>
      <w:marTop w:val="0"/>
      <w:marBottom w:val="0"/>
      <w:divBdr>
        <w:top w:val="none" w:sz="0" w:space="0" w:color="auto"/>
        <w:left w:val="none" w:sz="0" w:space="0" w:color="auto"/>
        <w:bottom w:val="none" w:sz="0" w:space="0" w:color="auto"/>
        <w:right w:val="none" w:sz="0" w:space="0" w:color="auto"/>
      </w:divBdr>
    </w:div>
    <w:div w:id="23557333">
      <w:bodyDiv w:val="1"/>
      <w:marLeft w:val="0"/>
      <w:marRight w:val="0"/>
      <w:marTop w:val="0"/>
      <w:marBottom w:val="0"/>
      <w:divBdr>
        <w:top w:val="none" w:sz="0" w:space="0" w:color="auto"/>
        <w:left w:val="none" w:sz="0" w:space="0" w:color="auto"/>
        <w:bottom w:val="none" w:sz="0" w:space="0" w:color="auto"/>
        <w:right w:val="none" w:sz="0" w:space="0" w:color="auto"/>
      </w:divBdr>
    </w:div>
    <w:div w:id="117992869">
      <w:bodyDiv w:val="1"/>
      <w:marLeft w:val="0"/>
      <w:marRight w:val="0"/>
      <w:marTop w:val="0"/>
      <w:marBottom w:val="0"/>
      <w:divBdr>
        <w:top w:val="none" w:sz="0" w:space="0" w:color="auto"/>
        <w:left w:val="none" w:sz="0" w:space="0" w:color="auto"/>
        <w:bottom w:val="none" w:sz="0" w:space="0" w:color="auto"/>
        <w:right w:val="none" w:sz="0" w:space="0" w:color="auto"/>
      </w:divBdr>
    </w:div>
    <w:div w:id="137846874">
      <w:bodyDiv w:val="1"/>
      <w:marLeft w:val="0"/>
      <w:marRight w:val="0"/>
      <w:marTop w:val="0"/>
      <w:marBottom w:val="0"/>
      <w:divBdr>
        <w:top w:val="none" w:sz="0" w:space="0" w:color="auto"/>
        <w:left w:val="none" w:sz="0" w:space="0" w:color="auto"/>
        <w:bottom w:val="none" w:sz="0" w:space="0" w:color="auto"/>
        <w:right w:val="none" w:sz="0" w:space="0" w:color="auto"/>
      </w:divBdr>
      <w:divsChild>
        <w:div w:id="200284460">
          <w:marLeft w:val="0"/>
          <w:marRight w:val="0"/>
          <w:marTop w:val="0"/>
          <w:marBottom w:val="0"/>
          <w:divBdr>
            <w:top w:val="none" w:sz="0" w:space="0" w:color="auto"/>
            <w:left w:val="none" w:sz="0" w:space="0" w:color="auto"/>
            <w:bottom w:val="none" w:sz="0" w:space="0" w:color="auto"/>
            <w:right w:val="none" w:sz="0" w:space="0" w:color="auto"/>
          </w:divBdr>
        </w:div>
        <w:div w:id="299312553">
          <w:marLeft w:val="0"/>
          <w:marRight w:val="0"/>
          <w:marTop w:val="0"/>
          <w:marBottom w:val="0"/>
          <w:divBdr>
            <w:top w:val="none" w:sz="0" w:space="0" w:color="auto"/>
            <w:left w:val="none" w:sz="0" w:space="0" w:color="auto"/>
            <w:bottom w:val="none" w:sz="0" w:space="0" w:color="auto"/>
            <w:right w:val="none" w:sz="0" w:space="0" w:color="auto"/>
          </w:divBdr>
        </w:div>
        <w:div w:id="320811904">
          <w:marLeft w:val="0"/>
          <w:marRight w:val="0"/>
          <w:marTop w:val="0"/>
          <w:marBottom w:val="0"/>
          <w:divBdr>
            <w:top w:val="none" w:sz="0" w:space="0" w:color="auto"/>
            <w:left w:val="none" w:sz="0" w:space="0" w:color="auto"/>
            <w:bottom w:val="none" w:sz="0" w:space="0" w:color="auto"/>
            <w:right w:val="none" w:sz="0" w:space="0" w:color="auto"/>
          </w:divBdr>
        </w:div>
        <w:div w:id="369957595">
          <w:marLeft w:val="0"/>
          <w:marRight w:val="0"/>
          <w:marTop w:val="0"/>
          <w:marBottom w:val="0"/>
          <w:divBdr>
            <w:top w:val="none" w:sz="0" w:space="0" w:color="auto"/>
            <w:left w:val="none" w:sz="0" w:space="0" w:color="auto"/>
            <w:bottom w:val="none" w:sz="0" w:space="0" w:color="auto"/>
            <w:right w:val="none" w:sz="0" w:space="0" w:color="auto"/>
          </w:divBdr>
        </w:div>
        <w:div w:id="477842646">
          <w:marLeft w:val="0"/>
          <w:marRight w:val="0"/>
          <w:marTop w:val="0"/>
          <w:marBottom w:val="0"/>
          <w:divBdr>
            <w:top w:val="none" w:sz="0" w:space="0" w:color="auto"/>
            <w:left w:val="none" w:sz="0" w:space="0" w:color="auto"/>
            <w:bottom w:val="none" w:sz="0" w:space="0" w:color="auto"/>
            <w:right w:val="none" w:sz="0" w:space="0" w:color="auto"/>
          </w:divBdr>
        </w:div>
        <w:div w:id="493684413">
          <w:marLeft w:val="0"/>
          <w:marRight w:val="0"/>
          <w:marTop w:val="0"/>
          <w:marBottom w:val="0"/>
          <w:divBdr>
            <w:top w:val="none" w:sz="0" w:space="0" w:color="auto"/>
            <w:left w:val="none" w:sz="0" w:space="0" w:color="auto"/>
            <w:bottom w:val="none" w:sz="0" w:space="0" w:color="auto"/>
            <w:right w:val="none" w:sz="0" w:space="0" w:color="auto"/>
          </w:divBdr>
        </w:div>
        <w:div w:id="592323015">
          <w:marLeft w:val="0"/>
          <w:marRight w:val="0"/>
          <w:marTop w:val="0"/>
          <w:marBottom w:val="0"/>
          <w:divBdr>
            <w:top w:val="none" w:sz="0" w:space="0" w:color="auto"/>
            <w:left w:val="none" w:sz="0" w:space="0" w:color="auto"/>
            <w:bottom w:val="none" w:sz="0" w:space="0" w:color="auto"/>
            <w:right w:val="none" w:sz="0" w:space="0" w:color="auto"/>
          </w:divBdr>
        </w:div>
        <w:div w:id="791292966">
          <w:marLeft w:val="0"/>
          <w:marRight w:val="0"/>
          <w:marTop w:val="0"/>
          <w:marBottom w:val="0"/>
          <w:divBdr>
            <w:top w:val="none" w:sz="0" w:space="0" w:color="auto"/>
            <w:left w:val="none" w:sz="0" w:space="0" w:color="auto"/>
            <w:bottom w:val="none" w:sz="0" w:space="0" w:color="auto"/>
            <w:right w:val="none" w:sz="0" w:space="0" w:color="auto"/>
          </w:divBdr>
        </w:div>
        <w:div w:id="868221436">
          <w:marLeft w:val="0"/>
          <w:marRight w:val="0"/>
          <w:marTop w:val="0"/>
          <w:marBottom w:val="0"/>
          <w:divBdr>
            <w:top w:val="none" w:sz="0" w:space="0" w:color="auto"/>
            <w:left w:val="none" w:sz="0" w:space="0" w:color="auto"/>
            <w:bottom w:val="none" w:sz="0" w:space="0" w:color="auto"/>
            <w:right w:val="none" w:sz="0" w:space="0" w:color="auto"/>
          </w:divBdr>
        </w:div>
        <w:div w:id="1006833331">
          <w:marLeft w:val="0"/>
          <w:marRight w:val="0"/>
          <w:marTop w:val="0"/>
          <w:marBottom w:val="0"/>
          <w:divBdr>
            <w:top w:val="none" w:sz="0" w:space="0" w:color="auto"/>
            <w:left w:val="none" w:sz="0" w:space="0" w:color="auto"/>
            <w:bottom w:val="none" w:sz="0" w:space="0" w:color="auto"/>
            <w:right w:val="none" w:sz="0" w:space="0" w:color="auto"/>
          </w:divBdr>
        </w:div>
        <w:div w:id="1207647248">
          <w:marLeft w:val="0"/>
          <w:marRight w:val="0"/>
          <w:marTop w:val="0"/>
          <w:marBottom w:val="0"/>
          <w:divBdr>
            <w:top w:val="none" w:sz="0" w:space="0" w:color="auto"/>
            <w:left w:val="none" w:sz="0" w:space="0" w:color="auto"/>
            <w:bottom w:val="none" w:sz="0" w:space="0" w:color="auto"/>
            <w:right w:val="none" w:sz="0" w:space="0" w:color="auto"/>
          </w:divBdr>
        </w:div>
        <w:div w:id="1374381597">
          <w:marLeft w:val="0"/>
          <w:marRight w:val="0"/>
          <w:marTop w:val="0"/>
          <w:marBottom w:val="0"/>
          <w:divBdr>
            <w:top w:val="none" w:sz="0" w:space="0" w:color="auto"/>
            <w:left w:val="none" w:sz="0" w:space="0" w:color="auto"/>
            <w:bottom w:val="none" w:sz="0" w:space="0" w:color="auto"/>
            <w:right w:val="none" w:sz="0" w:space="0" w:color="auto"/>
          </w:divBdr>
        </w:div>
        <w:div w:id="1518733707">
          <w:marLeft w:val="0"/>
          <w:marRight w:val="0"/>
          <w:marTop w:val="0"/>
          <w:marBottom w:val="0"/>
          <w:divBdr>
            <w:top w:val="none" w:sz="0" w:space="0" w:color="auto"/>
            <w:left w:val="none" w:sz="0" w:space="0" w:color="auto"/>
            <w:bottom w:val="none" w:sz="0" w:space="0" w:color="auto"/>
            <w:right w:val="none" w:sz="0" w:space="0" w:color="auto"/>
          </w:divBdr>
        </w:div>
        <w:div w:id="1540318017">
          <w:marLeft w:val="0"/>
          <w:marRight w:val="0"/>
          <w:marTop w:val="0"/>
          <w:marBottom w:val="0"/>
          <w:divBdr>
            <w:top w:val="none" w:sz="0" w:space="0" w:color="auto"/>
            <w:left w:val="none" w:sz="0" w:space="0" w:color="auto"/>
            <w:bottom w:val="none" w:sz="0" w:space="0" w:color="auto"/>
            <w:right w:val="none" w:sz="0" w:space="0" w:color="auto"/>
          </w:divBdr>
        </w:div>
        <w:div w:id="1573735117">
          <w:marLeft w:val="0"/>
          <w:marRight w:val="0"/>
          <w:marTop w:val="0"/>
          <w:marBottom w:val="0"/>
          <w:divBdr>
            <w:top w:val="none" w:sz="0" w:space="0" w:color="auto"/>
            <w:left w:val="none" w:sz="0" w:space="0" w:color="auto"/>
            <w:bottom w:val="none" w:sz="0" w:space="0" w:color="auto"/>
            <w:right w:val="none" w:sz="0" w:space="0" w:color="auto"/>
          </w:divBdr>
        </w:div>
        <w:div w:id="1669595933">
          <w:marLeft w:val="0"/>
          <w:marRight w:val="0"/>
          <w:marTop w:val="0"/>
          <w:marBottom w:val="0"/>
          <w:divBdr>
            <w:top w:val="none" w:sz="0" w:space="0" w:color="auto"/>
            <w:left w:val="none" w:sz="0" w:space="0" w:color="auto"/>
            <w:bottom w:val="none" w:sz="0" w:space="0" w:color="auto"/>
            <w:right w:val="none" w:sz="0" w:space="0" w:color="auto"/>
          </w:divBdr>
        </w:div>
        <w:div w:id="1762412242">
          <w:marLeft w:val="0"/>
          <w:marRight w:val="0"/>
          <w:marTop w:val="0"/>
          <w:marBottom w:val="0"/>
          <w:divBdr>
            <w:top w:val="none" w:sz="0" w:space="0" w:color="auto"/>
            <w:left w:val="none" w:sz="0" w:space="0" w:color="auto"/>
            <w:bottom w:val="none" w:sz="0" w:space="0" w:color="auto"/>
            <w:right w:val="none" w:sz="0" w:space="0" w:color="auto"/>
          </w:divBdr>
        </w:div>
        <w:div w:id="1845242345">
          <w:marLeft w:val="0"/>
          <w:marRight w:val="0"/>
          <w:marTop w:val="0"/>
          <w:marBottom w:val="0"/>
          <w:divBdr>
            <w:top w:val="none" w:sz="0" w:space="0" w:color="auto"/>
            <w:left w:val="none" w:sz="0" w:space="0" w:color="auto"/>
            <w:bottom w:val="none" w:sz="0" w:space="0" w:color="auto"/>
            <w:right w:val="none" w:sz="0" w:space="0" w:color="auto"/>
          </w:divBdr>
        </w:div>
        <w:div w:id="1868062575">
          <w:marLeft w:val="0"/>
          <w:marRight w:val="0"/>
          <w:marTop w:val="0"/>
          <w:marBottom w:val="0"/>
          <w:divBdr>
            <w:top w:val="none" w:sz="0" w:space="0" w:color="auto"/>
            <w:left w:val="none" w:sz="0" w:space="0" w:color="auto"/>
            <w:bottom w:val="none" w:sz="0" w:space="0" w:color="auto"/>
            <w:right w:val="none" w:sz="0" w:space="0" w:color="auto"/>
          </w:divBdr>
        </w:div>
        <w:div w:id="1900624866">
          <w:marLeft w:val="0"/>
          <w:marRight w:val="0"/>
          <w:marTop w:val="0"/>
          <w:marBottom w:val="0"/>
          <w:divBdr>
            <w:top w:val="none" w:sz="0" w:space="0" w:color="auto"/>
            <w:left w:val="none" w:sz="0" w:space="0" w:color="auto"/>
            <w:bottom w:val="none" w:sz="0" w:space="0" w:color="auto"/>
            <w:right w:val="none" w:sz="0" w:space="0" w:color="auto"/>
          </w:divBdr>
        </w:div>
        <w:div w:id="1948274558">
          <w:marLeft w:val="0"/>
          <w:marRight w:val="0"/>
          <w:marTop w:val="0"/>
          <w:marBottom w:val="0"/>
          <w:divBdr>
            <w:top w:val="none" w:sz="0" w:space="0" w:color="auto"/>
            <w:left w:val="none" w:sz="0" w:space="0" w:color="auto"/>
            <w:bottom w:val="none" w:sz="0" w:space="0" w:color="auto"/>
            <w:right w:val="none" w:sz="0" w:space="0" w:color="auto"/>
          </w:divBdr>
        </w:div>
        <w:div w:id="1964266668">
          <w:marLeft w:val="0"/>
          <w:marRight w:val="0"/>
          <w:marTop w:val="0"/>
          <w:marBottom w:val="0"/>
          <w:divBdr>
            <w:top w:val="none" w:sz="0" w:space="0" w:color="auto"/>
            <w:left w:val="none" w:sz="0" w:space="0" w:color="auto"/>
            <w:bottom w:val="none" w:sz="0" w:space="0" w:color="auto"/>
            <w:right w:val="none" w:sz="0" w:space="0" w:color="auto"/>
          </w:divBdr>
        </w:div>
        <w:div w:id="1984308759">
          <w:marLeft w:val="0"/>
          <w:marRight w:val="0"/>
          <w:marTop w:val="0"/>
          <w:marBottom w:val="0"/>
          <w:divBdr>
            <w:top w:val="none" w:sz="0" w:space="0" w:color="auto"/>
            <w:left w:val="none" w:sz="0" w:space="0" w:color="auto"/>
            <w:bottom w:val="none" w:sz="0" w:space="0" w:color="auto"/>
            <w:right w:val="none" w:sz="0" w:space="0" w:color="auto"/>
          </w:divBdr>
        </w:div>
        <w:div w:id="2083522413">
          <w:marLeft w:val="0"/>
          <w:marRight w:val="0"/>
          <w:marTop w:val="0"/>
          <w:marBottom w:val="0"/>
          <w:divBdr>
            <w:top w:val="none" w:sz="0" w:space="0" w:color="auto"/>
            <w:left w:val="none" w:sz="0" w:space="0" w:color="auto"/>
            <w:bottom w:val="none" w:sz="0" w:space="0" w:color="auto"/>
            <w:right w:val="none" w:sz="0" w:space="0" w:color="auto"/>
          </w:divBdr>
        </w:div>
        <w:div w:id="2112554801">
          <w:marLeft w:val="0"/>
          <w:marRight w:val="0"/>
          <w:marTop w:val="0"/>
          <w:marBottom w:val="0"/>
          <w:divBdr>
            <w:top w:val="none" w:sz="0" w:space="0" w:color="auto"/>
            <w:left w:val="none" w:sz="0" w:space="0" w:color="auto"/>
            <w:bottom w:val="none" w:sz="0" w:space="0" w:color="auto"/>
            <w:right w:val="none" w:sz="0" w:space="0" w:color="auto"/>
          </w:divBdr>
        </w:div>
        <w:div w:id="2117870504">
          <w:marLeft w:val="0"/>
          <w:marRight w:val="0"/>
          <w:marTop w:val="0"/>
          <w:marBottom w:val="0"/>
          <w:divBdr>
            <w:top w:val="none" w:sz="0" w:space="0" w:color="auto"/>
            <w:left w:val="none" w:sz="0" w:space="0" w:color="auto"/>
            <w:bottom w:val="none" w:sz="0" w:space="0" w:color="auto"/>
            <w:right w:val="none" w:sz="0" w:space="0" w:color="auto"/>
          </w:divBdr>
        </w:div>
        <w:div w:id="2125882128">
          <w:marLeft w:val="0"/>
          <w:marRight w:val="0"/>
          <w:marTop w:val="0"/>
          <w:marBottom w:val="0"/>
          <w:divBdr>
            <w:top w:val="none" w:sz="0" w:space="0" w:color="auto"/>
            <w:left w:val="none" w:sz="0" w:space="0" w:color="auto"/>
            <w:bottom w:val="none" w:sz="0" w:space="0" w:color="auto"/>
            <w:right w:val="none" w:sz="0" w:space="0" w:color="auto"/>
          </w:divBdr>
        </w:div>
      </w:divsChild>
    </w:div>
    <w:div w:id="235088036">
      <w:bodyDiv w:val="1"/>
      <w:marLeft w:val="0"/>
      <w:marRight w:val="0"/>
      <w:marTop w:val="0"/>
      <w:marBottom w:val="0"/>
      <w:divBdr>
        <w:top w:val="none" w:sz="0" w:space="0" w:color="auto"/>
        <w:left w:val="none" w:sz="0" w:space="0" w:color="auto"/>
        <w:bottom w:val="none" w:sz="0" w:space="0" w:color="auto"/>
        <w:right w:val="none" w:sz="0" w:space="0" w:color="auto"/>
      </w:divBdr>
    </w:div>
    <w:div w:id="239218499">
      <w:bodyDiv w:val="1"/>
      <w:marLeft w:val="0"/>
      <w:marRight w:val="0"/>
      <w:marTop w:val="0"/>
      <w:marBottom w:val="0"/>
      <w:divBdr>
        <w:top w:val="none" w:sz="0" w:space="0" w:color="auto"/>
        <w:left w:val="none" w:sz="0" w:space="0" w:color="auto"/>
        <w:bottom w:val="none" w:sz="0" w:space="0" w:color="auto"/>
        <w:right w:val="none" w:sz="0" w:space="0" w:color="auto"/>
      </w:divBdr>
    </w:div>
    <w:div w:id="280039364">
      <w:bodyDiv w:val="1"/>
      <w:marLeft w:val="0"/>
      <w:marRight w:val="0"/>
      <w:marTop w:val="0"/>
      <w:marBottom w:val="0"/>
      <w:divBdr>
        <w:top w:val="none" w:sz="0" w:space="0" w:color="auto"/>
        <w:left w:val="none" w:sz="0" w:space="0" w:color="auto"/>
        <w:bottom w:val="none" w:sz="0" w:space="0" w:color="auto"/>
        <w:right w:val="none" w:sz="0" w:space="0" w:color="auto"/>
      </w:divBdr>
    </w:div>
    <w:div w:id="281501806">
      <w:bodyDiv w:val="1"/>
      <w:marLeft w:val="0"/>
      <w:marRight w:val="0"/>
      <w:marTop w:val="0"/>
      <w:marBottom w:val="0"/>
      <w:divBdr>
        <w:top w:val="none" w:sz="0" w:space="0" w:color="auto"/>
        <w:left w:val="none" w:sz="0" w:space="0" w:color="auto"/>
        <w:bottom w:val="none" w:sz="0" w:space="0" w:color="auto"/>
        <w:right w:val="none" w:sz="0" w:space="0" w:color="auto"/>
      </w:divBdr>
    </w:div>
    <w:div w:id="284580906">
      <w:bodyDiv w:val="1"/>
      <w:marLeft w:val="0"/>
      <w:marRight w:val="0"/>
      <w:marTop w:val="0"/>
      <w:marBottom w:val="0"/>
      <w:divBdr>
        <w:top w:val="none" w:sz="0" w:space="0" w:color="auto"/>
        <w:left w:val="none" w:sz="0" w:space="0" w:color="auto"/>
        <w:bottom w:val="none" w:sz="0" w:space="0" w:color="auto"/>
        <w:right w:val="none" w:sz="0" w:space="0" w:color="auto"/>
      </w:divBdr>
    </w:div>
    <w:div w:id="304968955">
      <w:bodyDiv w:val="1"/>
      <w:marLeft w:val="0"/>
      <w:marRight w:val="0"/>
      <w:marTop w:val="0"/>
      <w:marBottom w:val="0"/>
      <w:divBdr>
        <w:top w:val="none" w:sz="0" w:space="0" w:color="auto"/>
        <w:left w:val="none" w:sz="0" w:space="0" w:color="auto"/>
        <w:bottom w:val="none" w:sz="0" w:space="0" w:color="auto"/>
        <w:right w:val="none" w:sz="0" w:space="0" w:color="auto"/>
      </w:divBdr>
      <w:divsChild>
        <w:div w:id="1259218620">
          <w:marLeft w:val="0"/>
          <w:marRight w:val="0"/>
          <w:marTop w:val="0"/>
          <w:marBottom w:val="0"/>
          <w:divBdr>
            <w:top w:val="none" w:sz="0" w:space="0" w:color="auto"/>
            <w:left w:val="none" w:sz="0" w:space="0" w:color="auto"/>
            <w:bottom w:val="none" w:sz="0" w:space="0" w:color="auto"/>
            <w:right w:val="none" w:sz="0" w:space="0" w:color="auto"/>
          </w:divBdr>
        </w:div>
      </w:divsChild>
    </w:div>
    <w:div w:id="392237892">
      <w:bodyDiv w:val="1"/>
      <w:marLeft w:val="0"/>
      <w:marRight w:val="0"/>
      <w:marTop w:val="0"/>
      <w:marBottom w:val="0"/>
      <w:divBdr>
        <w:top w:val="none" w:sz="0" w:space="0" w:color="auto"/>
        <w:left w:val="none" w:sz="0" w:space="0" w:color="auto"/>
        <w:bottom w:val="none" w:sz="0" w:space="0" w:color="auto"/>
        <w:right w:val="none" w:sz="0" w:space="0" w:color="auto"/>
      </w:divBdr>
    </w:div>
    <w:div w:id="426120997">
      <w:bodyDiv w:val="1"/>
      <w:marLeft w:val="0"/>
      <w:marRight w:val="0"/>
      <w:marTop w:val="0"/>
      <w:marBottom w:val="0"/>
      <w:divBdr>
        <w:top w:val="none" w:sz="0" w:space="0" w:color="auto"/>
        <w:left w:val="none" w:sz="0" w:space="0" w:color="auto"/>
        <w:bottom w:val="none" w:sz="0" w:space="0" w:color="auto"/>
        <w:right w:val="none" w:sz="0" w:space="0" w:color="auto"/>
      </w:divBdr>
    </w:div>
    <w:div w:id="432941509">
      <w:bodyDiv w:val="1"/>
      <w:marLeft w:val="0"/>
      <w:marRight w:val="0"/>
      <w:marTop w:val="0"/>
      <w:marBottom w:val="0"/>
      <w:divBdr>
        <w:top w:val="none" w:sz="0" w:space="0" w:color="auto"/>
        <w:left w:val="none" w:sz="0" w:space="0" w:color="auto"/>
        <w:bottom w:val="none" w:sz="0" w:space="0" w:color="auto"/>
        <w:right w:val="none" w:sz="0" w:space="0" w:color="auto"/>
      </w:divBdr>
    </w:div>
    <w:div w:id="464936136">
      <w:bodyDiv w:val="1"/>
      <w:marLeft w:val="0"/>
      <w:marRight w:val="0"/>
      <w:marTop w:val="0"/>
      <w:marBottom w:val="0"/>
      <w:divBdr>
        <w:top w:val="none" w:sz="0" w:space="0" w:color="auto"/>
        <w:left w:val="none" w:sz="0" w:space="0" w:color="auto"/>
        <w:bottom w:val="none" w:sz="0" w:space="0" w:color="auto"/>
        <w:right w:val="none" w:sz="0" w:space="0" w:color="auto"/>
      </w:divBdr>
    </w:div>
    <w:div w:id="503281299">
      <w:bodyDiv w:val="1"/>
      <w:marLeft w:val="0"/>
      <w:marRight w:val="0"/>
      <w:marTop w:val="0"/>
      <w:marBottom w:val="0"/>
      <w:divBdr>
        <w:top w:val="none" w:sz="0" w:space="0" w:color="auto"/>
        <w:left w:val="none" w:sz="0" w:space="0" w:color="auto"/>
        <w:bottom w:val="none" w:sz="0" w:space="0" w:color="auto"/>
        <w:right w:val="none" w:sz="0" w:space="0" w:color="auto"/>
      </w:divBdr>
    </w:div>
    <w:div w:id="508179002">
      <w:bodyDiv w:val="1"/>
      <w:marLeft w:val="0"/>
      <w:marRight w:val="0"/>
      <w:marTop w:val="0"/>
      <w:marBottom w:val="0"/>
      <w:divBdr>
        <w:top w:val="none" w:sz="0" w:space="0" w:color="auto"/>
        <w:left w:val="none" w:sz="0" w:space="0" w:color="auto"/>
        <w:bottom w:val="none" w:sz="0" w:space="0" w:color="auto"/>
        <w:right w:val="none" w:sz="0" w:space="0" w:color="auto"/>
      </w:divBdr>
    </w:div>
    <w:div w:id="520631937">
      <w:bodyDiv w:val="1"/>
      <w:marLeft w:val="0"/>
      <w:marRight w:val="0"/>
      <w:marTop w:val="0"/>
      <w:marBottom w:val="0"/>
      <w:divBdr>
        <w:top w:val="none" w:sz="0" w:space="0" w:color="auto"/>
        <w:left w:val="none" w:sz="0" w:space="0" w:color="auto"/>
        <w:bottom w:val="none" w:sz="0" w:space="0" w:color="auto"/>
        <w:right w:val="none" w:sz="0" w:space="0" w:color="auto"/>
      </w:divBdr>
    </w:div>
    <w:div w:id="527253188">
      <w:bodyDiv w:val="1"/>
      <w:marLeft w:val="0"/>
      <w:marRight w:val="0"/>
      <w:marTop w:val="0"/>
      <w:marBottom w:val="0"/>
      <w:divBdr>
        <w:top w:val="none" w:sz="0" w:space="0" w:color="auto"/>
        <w:left w:val="none" w:sz="0" w:space="0" w:color="auto"/>
        <w:bottom w:val="none" w:sz="0" w:space="0" w:color="auto"/>
        <w:right w:val="none" w:sz="0" w:space="0" w:color="auto"/>
      </w:divBdr>
    </w:div>
    <w:div w:id="529226239">
      <w:bodyDiv w:val="1"/>
      <w:marLeft w:val="0"/>
      <w:marRight w:val="0"/>
      <w:marTop w:val="0"/>
      <w:marBottom w:val="0"/>
      <w:divBdr>
        <w:top w:val="none" w:sz="0" w:space="0" w:color="auto"/>
        <w:left w:val="none" w:sz="0" w:space="0" w:color="auto"/>
        <w:bottom w:val="none" w:sz="0" w:space="0" w:color="auto"/>
        <w:right w:val="none" w:sz="0" w:space="0" w:color="auto"/>
      </w:divBdr>
    </w:div>
    <w:div w:id="553202711">
      <w:bodyDiv w:val="1"/>
      <w:marLeft w:val="0"/>
      <w:marRight w:val="0"/>
      <w:marTop w:val="0"/>
      <w:marBottom w:val="0"/>
      <w:divBdr>
        <w:top w:val="none" w:sz="0" w:space="0" w:color="auto"/>
        <w:left w:val="none" w:sz="0" w:space="0" w:color="auto"/>
        <w:bottom w:val="none" w:sz="0" w:space="0" w:color="auto"/>
        <w:right w:val="none" w:sz="0" w:space="0" w:color="auto"/>
      </w:divBdr>
      <w:divsChild>
        <w:div w:id="46102070">
          <w:marLeft w:val="0"/>
          <w:marRight w:val="0"/>
          <w:marTop w:val="0"/>
          <w:marBottom w:val="0"/>
          <w:divBdr>
            <w:top w:val="none" w:sz="0" w:space="0" w:color="auto"/>
            <w:left w:val="none" w:sz="0" w:space="0" w:color="auto"/>
            <w:bottom w:val="none" w:sz="0" w:space="0" w:color="auto"/>
            <w:right w:val="none" w:sz="0" w:space="0" w:color="auto"/>
          </w:divBdr>
        </w:div>
        <w:div w:id="48963698">
          <w:marLeft w:val="0"/>
          <w:marRight w:val="0"/>
          <w:marTop w:val="0"/>
          <w:marBottom w:val="0"/>
          <w:divBdr>
            <w:top w:val="none" w:sz="0" w:space="0" w:color="auto"/>
            <w:left w:val="none" w:sz="0" w:space="0" w:color="auto"/>
            <w:bottom w:val="none" w:sz="0" w:space="0" w:color="auto"/>
            <w:right w:val="none" w:sz="0" w:space="0" w:color="auto"/>
          </w:divBdr>
        </w:div>
        <w:div w:id="450712236">
          <w:marLeft w:val="0"/>
          <w:marRight w:val="0"/>
          <w:marTop w:val="0"/>
          <w:marBottom w:val="0"/>
          <w:divBdr>
            <w:top w:val="none" w:sz="0" w:space="0" w:color="auto"/>
            <w:left w:val="none" w:sz="0" w:space="0" w:color="auto"/>
            <w:bottom w:val="none" w:sz="0" w:space="0" w:color="auto"/>
            <w:right w:val="none" w:sz="0" w:space="0" w:color="auto"/>
          </w:divBdr>
        </w:div>
        <w:div w:id="518011830">
          <w:marLeft w:val="0"/>
          <w:marRight w:val="0"/>
          <w:marTop w:val="0"/>
          <w:marBottom w:val="0"/>
          <w:divBdr>
            <w:top w:val="none" w:sz="0" w:space="0" w:color="auto"/>
            <w:left w:val="none" w:sz="0" w:space="0" w:color="auto"/>
            <w:bottom w:val="none" w:sz="0" w:space="0" w:color="auto"/>
            <w:right w:val="none" w:sz="0" w:space="0" w:color="auto"/>
          </w:divBdr>
        </w:div>
        <w:div w:id="659582381">
          <w:marLeft w:val="0"/>
          <w:marRight w:val="0"/>
          <w:marTop w:val="0"/>
          <w:marBottom w:val="0"/>
          <w:divBdr>
            <w:top w:val="none" w:sz="0" w:space="0" w:color="auto"/>
            <w:left w:val="none" w:sz="0" w:space="0" w:color="auto"/>
            <w:bottom w:val="none" w:sz="0" w:space="0" w:color="auto"/>
            <w:right w:val="none" w:sz="0" w:space="0" w:color="auto"/>
          </w:divBdr>
        </w:div>
        <w:div w:id="694768340">
          <w:marLeft w:val="0"/>
          <w:marRight w:val="0"/>
          <w:marTop w:val="0"/>
          <w:marBottom w:val="0"/>
          <w:divBdr>
            <w:top w:val="none" w:sz="0" w:space="0" w:color="auto"/>
            <w:left w:val="none" w:sz="0" w:space="0" w:color="auto"/>
            <w:bottom w:val="none" w:sz="0" w:space="0" w:color="auto"/>
            <w:right w:val="none" w:sz="0" w:space="0" w:color="auto"/>
          </w:divBdr>
        </w:div>
        <w:div w:id="807628910">
          <w:marLeft w:val="0"/>
          <w:marRight w:val="0"/>
          <w:marTop w:val="0"/>
          <w:marBottom w:val="0"/>
          <w:divBdr>
            <w:top w:val="none" w:sz="0" w:space="0" w:color="auto"/>
            <w:left w:val="none" w:sz="0" w:space="0" w:color="auto"/>
            <w:bottom w:val="none" w:sz="0" w:space="0" w:color="auto"/>
            <w:right w:val="none" w:sz="0" w:space="0" w:color="auto"/>
          </w:divBdr>
        </w:div>
        <w:div w:id="847208953">
          <w:marLeft w:val="0"/>
          <w:marRight w:val="0"/>
          <w:marTop w:val="0"/>
          <w:marBottom w:val="0"/>
          <w:divBdr>
            <w:top w:val="none" w:sz="0" w:space="0" w:color="auto"/>
            <w:left w:val="none" w:sz="0" w:space="0" w:color="auto"/>
            <w:bottom w:val="none" w:sz="0" w:space="0" w:color="auto"/>
            <w:right w:val="none" w:sz="0" w:space="0" w:color="auto"/>
          </w:divBdr>
        </w:div>
        <w:div w:id="858931091">
          <w:marLeft w:val="0"/>
          <w:marRight w:val="0"/>
          <w:marTop w:val="0"/>
          <w:marBottom w:val="0"/>
          <w:divBdr>
            <w:top w:val="none" w:sz="0" w:space="0" w:color="auto"/>
            <w:left w:val="none" w:sz="0" w:space="0" w:color="auto"/>
            <w:bottom w:val="none" w:sz="0" w:space="0" w:color="auto"/>
            <w:right w:val="none" w:sz="0" w:space="0" w:color="auto"/>
          </w:divBdr>
        </w:div>
        <w:div w:id="975841383">
          <w:marLeft w:val="0"/>
          <w:marRight w:val="0"/>
          <w:marTop w:val="0"/>
          <w:marBottom w:val="0"/>
          <w:divBdr>
            <w:top w:val="none" w:sz="0" w:space="0" w:color="auto"/>
            <w:left w:val="none" w:sz="0" w:space="0" w:color="auto"/>
            <w:bottom w:val="none" w:sz="0" w:space="0" w:color="auto"/>
            <w:right w:val="none" w:sz="0" w:space="0" w:color="auto"/>
          </w:divBdr>
        </w:div>
        <w:div w:id="992487549">
          <w:marLeft w:val="0"/>
          <w:marRight w:val="0"/>
          <w:marTop w:val="0"/>
          <w:marBottom w:val="0"/>
          <w:divBdr>
            <w:top w:val="none" w:sz="0" w:space="0" w:color="auto"/>
            <w:left w:val="none" w:sz="0" w:space="0" w:color="auto"/>
            <w:bottom w:val="none" w:sz="0" w:space="0" w:color="auto"/>
            <w:right w:val="none" w:sz="0" w:space="0" w:color="auto"/>
          </w:divBdr>
        </w:div>
        <w:div w:id="1047485484">
          <w:marLeft w:val="0"/>
          <w:marRight w:val="0"/>
          <w:marTop w:val="0"/>
          <w:marBottom w:val="0"/>
          <w:divBdr>
            <w:top w:val="none" w:sz="0" w:space="0" w:color="auto"/>
            <w:left w:val="none" w:sz="0" w:space="0" w:color="auto"/>
            <w:bottom w:val="none" w:sz="0" w:space="0" w:color="auto"/>
            <w:right w:val="none" w:sz="0" w:space="0" w:color="auto"/>
          </w:divBdr>
        </w:div>
        <w:div w:id="1048651225">
          <w:marLeft w:val="0"/>
          <w:marRight w:val="0"/>
          <w:marTop w:val="0"/>
          <w:marBottom w:val="0"/>
          <w:divBdr>
            <w:top w:val="none" w:sz="0" w:space="0" w:color="auto"/>
            <w:left w:val="none" w:sz="0" w:space="0" w:color="auto"/>
            <w:bottom w:val="none" w:sz="0" w:space="0" w:color="auto"/>
            <w:right w:val="none" w:sz="0" w:space="0" w:color="auto"/>
          </w:divBdr>
        </w:div>
        <w:div w:id="1288396608">
          <w:marLeft w:val="0"/>
          <w:marRight w:val="0"/>
          <w:marTop w:val="0"/>
          <w:marBottom w:val="0"/>
          <w:divBdr>
            <w:top w:val="none" w:sz="0" w:space="0" w:color="auto"/>
            <w:left w:val="none" w:sz="0" w:space="0" w:color="auto"/>
            <w:bottom w:val="none" w:sz="0" w:space="0" w:color="auto"/>
            <w:right w:val="none" w:sz="0" w:space="0" w:color="auto"/>
          </w:divBdr>
        </w:div>
        <w:div w:id="1325544892">
          <w:marLeft w:val="0"/>
          <w:marRight w:val="0"/>
          <w:marTop w:val="0"/>
          <w:marBottom w:val="0"/>
          <w:divBdr>
            <w:top w:val="none" w:sz="0" w:space="0" w:color="auto"/>
            <w:left w:val="none" w:sz="0" w:space="0" w:color="auto"/>
            <w:bottom w:val="none" w:sz="0" w:space="0" w:color="auto"/>
            <w:right w:val="none" w:sz="0" w:space="0" w:color="auto"/>
          </w:divBdr>
        </w:div>
        <w:div w:id="1366635560">
          <w:marLeft w:val="0"/>
          <w:marRight w:val="0"/>
          <w:marTop w:val="0"/>
          <w:marBottom w:val="0"/>
          <w:divBdr>
            <w:top w:val="none" w:sz="0" w:space="0" w:color="auto"/>
            <w:left w:val="none" w:sz="0" w:space="0" w:color="auto"/>
            <w:bottom w:val="none" w:sz="0" w:space="0" w:color="auto"/>
            <w:right w:val="none" w:sz="0" w:space="0" w:color="auto"/>
          </w:divBdr>
        </w:div>
        <w:div w:id="1437096425">
          <w:marLeft w:val="0"/>
          <w:marRight w:val="0"/>
          <w:marTop w:val="0"/>
          <w:marBottom w:val="0"/>
          <w:divBdr>
            <w:top w:val="none" w:sz="0" w:space="0" w:color="auto"/>
            <w:left w:val="none" w:sz="0" w:space="0" w:color="auto"/>
            <w:bottom w:val="none" w:sz="0" w:space="0" w:color="auto"/>
            <w:right w:val="none" w:sz="0" w:space="0" w:color="auto"/>
          </w:divBdr>
        </w:div>
        <w:div w:id="1503667847">
          <w:marLeft w:val="0"/>
          <w:marRight w:val="0"/>
          <w:marTop w:val="0"/>
          <w:marBottom w:val="0"/>
          <w:divBdr>
            <w:top w:val="none" w:sz="0" w:space="0" w:color="auto"/>
            <w:left w:val="none" w:sz="0" w:space="0" w:color="auto"/>
            <w:bottom w:val="none" w:sz="0" w:space="0" w:color="auto"/>
            <w:right w:val="none" w:sz="0" w:space="0" w:color="auto"/>
          </w:divBdr>
        </w:div>
        <w:div w:id="1507600070">
          <w:marLeft w:val="0"/>
          <w:marRight w:val="0"/>
          <w:marTop w:val="0"/>
          <w:marBottom w:val="0"/>
          <w:divBdr>
            <w:top w:val="none" w:sz="0" w:space="0" w:color="auto"/>
            <w:left w:val="none" w:sz="0" w:space="0" w:color="auto"/>
            <w:bottom w:val="none" w:sz="0" w:space="0" w:color="auto"/>
            <w:right w:val="none" w:sz="0" w:space="0" w:color="auto"/>
          </w:divBdr>
        </w:div>
        <w:div w:id="1600601509">
          <w:marLeft w:val="0"/>
          <w:marRight w:val="0"/>
          <w:marTop w:val="0"/>
          <w:marBottom w:val="0"/>
          <w:divBdr>
            <w:top w:val="none" w:sz="0" w:space="0" w:color="auto"/>
            <w:left w:val="none" w:sz="0" w:space="0" w:color="auto"/>
            <w:bottom w:val="none" w:sz="0" w:space="0" w:color="auto"/>
            <w:right w:val="none" w:sz="0" w:space="0" w:color="auto"/>
          </w:divBdr>
        </w:div>
        <w:div w:id="1616864964">
          <w:marLeft w:val="0"/>
          <w:marRight w:val="0"/>
          <w:marTop w:val="0"/>
          <w:marBottom w:val="0"/>
          <w:divBdr>
            <w:top w:val="none" w:sz="0" w:space="0" w:color="auto"/>
            <w:left w:val="none" w:sz="0" w:space="0" w:color="auto"/>
            <w:bottom w:val="none" w:sz="0" w:space="0" w:color="auto"/>
            <w:right w:val="none" w:sz="0" w:space="0" w:color="auto"/>
          </w:divBdr>
        </w:div>
        <w:div w:id="1649168360">
          <w:marLeft w:val="0"/>
          <w:marRight w:val="0"/>
          <w:marTop w:val="0"/>
          <w:marBottom w:val="0"/>
          <w:divBdr>
            <w:top w:val="none" w:sz="0" w:space="0" w:color="auto"/>
            <w:left w:val="none" w:sz="0" w:space="0" w:color="auto"/>
            <w:bottom w:val="none" w:sz="0" w:space="0" w:color="auto"/>
            <w:right w:val="none" w:sz="0" w:space="0" w:color="auto"/>
          </w:divBdr>
        </w:div>
        <w:div w:id="1655181359">
          <w:marLeft w:val="0"/>
          <w:marRight w:val="0"/>
          <w:marTop w:val="0"/>
          <w:marBottom w:val="0"/>
          <w:divBdr>
            <w:top w:val="none" w:sz="0" w:space="0" w:color="auto"/>
            <w:left w:val="none" w:sz="0" w:space="0" w:color="auto"/>
            <w:bottom w:val="none" w:sz="0" w:space="0" w:color="auto"/>
            <w:right w:val="none" w:sz="0" w:space="0" w:color="auto"/>
          </w:divBdr>
        </w:div>
        <w:div w:id="1665934319">
          <w:marLeft w:val="0"/>
          <w:marRight w:val="0"/>
          <w:marTop w:val="0"/>
          <w:marBottom w:val="0"/>
          <w:divBdr>
            <w:top w:val="none" w:sz="0" w:space="0" w:color="auto"/>
            <w:left w:val="none" w:sz="0" w:space="0" w:color="auto"/>
            <w:bottom w:val="none" w:sz="0" w:space="0" w:color="auto"/>
            <w:right w:val="none" w:sz="0" w:space="0" w:color="auto"/>
          </w:divBdr>
        </w:div>
        <w:div w:id="1671640402">
          <w:marLeft w:val="0"/>
          <w:marRight w:val="0"/>
          <w:marTop w:val="0"/>
          <w:marBottom w:val="0"/>
          <w:divBdr>
            <w:top w:val="none" w:sz="0" w:space="0" w:color="auto"/>
            <w:left w:val="none" w:sz="0" w:space="0" w:color="auto"/>
            <w:bottom w:val="none" w:sz="0" w:space="0" w:color="auto"/>
            <w:right w:val="none" w:sz="0" w:space="0" w:color="auto"/>
          </w:divBdr>
        </w:div>
        <w:div w:id="1690839100">
          <w:marLeft w:val="0"/>
          <w:marRight w:val="0"/>
          <w:marTop w:val="0"/>
          <w:marBottom w:val="0"/>
          <w:divBdr>
            <w:top w:val="none" w:sz="0" w:space="0" w:color="auto"/>
            <w:left w:val="none" w:sz="0" w:space="0" w:color="auto"/>
            <w:bottom w:val="none" w:sz="0" w:space="0" w:color="auto"/>
            <w:right w:val="none" w:sz="0" w:space="0" w:color="auto"/>
          </w:divBdr>
        </w:div>
        <w:div w:id="1907060328">
          <w:marLeft w:val="0"/>
          <w:marRight w:val="0"/>
          <w:marTop w:val="0"/>
          <w:marBottom w:val="0"/>
          <w:divBdr>
            <w:top w:val="none" w:sz="0" w:space="0" w:color="auto"/>
            <w:left w:val="none" w:sz="0" w:space="0" w:color="auto"/>
            <w:bottom w:val="none" w:sz="0" w:space="0" w:color="auto"/>
            <w:right w:val="none" w:sz="0" w:space="0" w:color="auto"/>
          </w:divBdr>
        </w:div>
      </w:divsChild>
    </w:div>
    <w:div w:id="605892522">
      <w:bodyDiv w:val="1"/>
      <w:marLeft w:val="0"/>
      <w:marRight w:val="0"/>
      <w:marTop w:val="0"/>
      <w:marBottom w:val="0"/>
      <w:divBdr>
        <w:top w:val="none" w:sz="0" w:space="0" w:color="auto"/>
        <w:left w:val="none" w:sz="0" w:space="0" w:color="auto"/>
        <w:bottom w:val="none" w:sz="0" w:space="0" w:color="auto"/>
        <w:right w:val="none" w:sz="0" w:space="0" w:color="auto"/>
      </w:divBdr>
    </w:div>
    <w:div w:id="630289321">
      <w:bodyDiv w:val="1"/>
      <w:marLeft w:val="0"/>
      <w:marRight w:val="0"/>
      <w:marTop w:val="0"/>
      <w:marBottom w:val="0"/>
      <w:divBdr>
        <w:top w:val="none" w:sz="0" w:space="0" w:color="auto"/>
        <w:left w:val="none" w:sz="0" w:space="0" w:color="auto"/>
        <w:bottom w:val="none" w:sz="0" w:space="0" w:color="auto"/>
        <w:right w:val="none" w:sz="0" w:space="0" w:color="auto"/>
      </w:divBdr>
      <w:divsChild>
        <w:div w:id="407994346">
          <w:marLeft w:val="0"/>
          <w:marRight w:val="0"/>
          <w:marTop w:val="0"/>
          <w:marBottom w:val="0"/>
          <w:divBdr>
            <w:top w:val="none" w:sz="0" w:space="0" w:color="auto"/>
            <w:left w:val="none" w:sz="0" w:space="0" w:color="auto"/>
            <w:bottom w:val="none" w:sz="0" w:space="0" w:color="auto"/>
            <w:right w:val="none" w:sz="0" w:space="0" w:color="auto"/>
          </w:divBdr>
        </w:div>
        <w:div w:id="418405112">
          <w:marLeft w:val="0"/>
          <w:marRight w:val="0"/>
          <w:marTop w:val="0"/>
          <w:marBottom w:val="0"/>
          <w:divBdr>
            <w:top w:val="none" w:sz="0" w:space="0" w:color="auto"/>
            <w:left w:val="none" w:sz="0" w:space="0" w:color="auto"/>
            <w:bottom w:val="none" w:sz="0" w:space="0" w:color="auto"/>
            <w:right w:val="none" w:sz="0" w:space="0" w:color="auto"/>
          </w:divBdr>
        </w:div>
        <w:div w:id="535429686">
          <w:marLeft w:val="0"/>
          <w:marRight w:val="0"/>
          <w:marTop w:val="0"/>
          <w:marBottom w:val="0"/>
          <w:divBdr>
            <w:top w:val="none" w:sz="0" w:space="0" w:color="auto"/>
            <w:left w:val="none" w:sz="0" w:space="0" w:color="auto"/>
            <w:bottom w:val="none" w:sz="0" w:space="0" w:color="auto"/>
            <w:right w:val="none" w:sz="0" w:space="0" w:color="auto"/>
          </w:divBdr>
        </w:div>
        <w:div w:id="759837803">
          <w:marLeft w:val="0"/>
          <w:marRight w:val="0"/>
          <w:marTop w:val="0"/>
          <w:marBottom w:val="0"/>
          <w:divBdr>
            <w:top w:val="none" w:sz="0" w:space="0" w:color="auto"/>
            <w:left w:val="none" w:sz="0" w:space="0" w:color="auto"/>
            <w:bottom w:val="none" w:sz="0" w:space="0" w:color="auto"/>
            <w:right w:val="none" w:sz="0" w:space="0" w:color="auto"/>
          </w:divBdr>
        </w:div>
        <w:div w:id="1217549319">
          <w:marLeft w:val="0"/>
          <w:marRight w:val="0"/>
          <w:marTop w:val="0"/>
          <w:marBottom w:val="0"/>
          <w:divBdr>
            <w:top w:val="none" w:sz="0" w:space="0" w:color="auto"/>
            <w:left w:val="none" w:sz="0" w:space="0" w:color="auto"/>
            <w:bottom w:val="none" w:sz="0" w:space="0" w:color="auto"/>
            <w:right w:val="none" w:sz="0" w:space="0" w:color="auto"/>
          </w:divBdr>
        </w:div>
        <w:div w:id="1259875369">
          <w:marLeft w:val="0"/>
          <w:marRight w:val="0"/>
          <w:marTop w:val="0"/>
          <w:marBottom w:val="0"/>
          <w:divBdr>
            <w:top w:val="none" w:sz="0" w:space="0" w:color="auto"/>
            <w:left w:val="none" w:sz="0" w:space="0" w:color="auto"/>
            <w:bottom w:val="none" w:sz="0" w:space="0" w:color="auto"/>
            <w:right w:val="none" w:sz="0" w:space="0" w:color="auto"/>
          </w:divBdr>
        </w:div>
        <w:div w:id="1792164923">
          <w:marLeft w:val="0"/>
          <w:marRight w:val="0"/>
          <w:marTop w:val="0"/>
          <w:marBottom w:val="0"/>
          <w:divBdr>
            <w:top w:val="none" w:sz="0" w:space="0" w:color="auto"/>
            <w:left w:val="none" w:sz="0" w:space="0" w:color="auto"/>
            <w:bottom w:val="none" w:sz="0" w:space="0" w:color="auto"/>
            <w:right w:val="none" w:sz="0" w:space="0" w:color="auto"/>
          </w:divBdr>
        </w:div>
        <w:div w:id="2060321560">
          <w:marLeft w:val="0"/>
          <w:marRight w:val="0"/>
          <w:marTop w:val="0"/>
          <w:marBottom w:val="0"/>
          <w:divBdr>
            <w:top w:val="none" w:sz="0" w:space="0" w:color="auto"/>
            <w:left w:val="none" w:sz="0" w:space="0" w:color="auto"/>
            <w:bottom w:val="none" w:sz="0" w:space="0" w:color="auto"/>
            <w:right w:val="none" w:sz="0" w:space="0" w:color="auto"/>
          </w:divBdr>
        </w:div>
      </w:divsChild>
    </w:div>
    <w:div w:id="633677237">
      <w:bodyDiv w:val="1"/>
      <w:marLeft w:val="0"/>
      <w:marRight w:val="0"/>
      <w:marTop w:val="0"/>
      <w:marBottom w:val="0"/>
      <w:divBdr>
        <w:top w:val="none" w:sz="0" w:space="0" w:color="auto"/>
        <w:left w:val="none" w:sz="0" w:space="0" w:color="auto"/>
        <w:bottom w:val="none" w:sz="0" w:space="0" w:color="auto"/>
        <w:right w:val="none" w:sz="0" w:space="0" w:color="auto"/>
      </w:divBdr>
    </w:div>
    <w:div w:id="636376165">
      <w:bodyDiv w:val="1"/>
      <w:marLeft w:val="0"/>
      <w:marRight w:val="0"/>
      <w:marTop w:val="0"/>
      <w:marBottom w:val="0"/>
      <w:divBdr>
        <w:top w:val="none" w:sz="0" w:space="0" w:color="auto"/>
        <w:left w:val="none" w:sz="0" w:space="0" w:color="auto"/>
        <w:bottom w:val="none" w:sz="0" w:space="0" w:color="auto"/>
        <w:right w:val="none" w:sz="0" w:space="0" w:color="auto"/>
      </w:divBdr>
    </w:div>
    <w:div w:id="655961767">
      <w:bodyDiv w:val="1"/>
      <w:marLeft w:val="0"/>
      <w:marRight w:val="0"/>
      <w:marTop w:val="0"/>
      <w:marBottom w:val="0"/>
      <w:divBdr>
        <w:top w:val="none" w:sz="0" w:space="0" w:color="auto"/>
        <w:left w:val="none" w:sz="0" w:space="0" w:color="auto"/>
        <w:bottom w:val="none" w:sz="0" w:space="0" w:color="auto"/>
        <w:right w:val="none" w:sz="0" w:space="0" w:color="auto"/>
      </w:divBdr>
    </w:div>
    <w:div w:id="690836444">
      <w:bodyDiv w:val="1"/>
      <w:marLeft w:val="0"/>
      <w:marRight w:val="0"/>
      <w:marTop w:val="0"/>
      <w:marBottom w:val="0"/>
      <w:divBdr>
        <w:top w:val="none" w:sz="0" w:space="0" w:color="auto"/>
        <w:left w:val="none" w:sz="0" w:space="0" w:color="auto"/>
        <w:bottom w:val="none" w:sz="0" w:space="0" w:color="auto"/>
        <w:right w:val="none" w:sz="0" w:space="0" w:color="auto"/>
      </w:divBdr>
    </w:div>
    <w:div w:id="691999433">
      <w:bodyDiv w:val="1"/>
      <w:marLeft w:val="0"/>
      <w:marRight w:val="0"/>
      <w:marTop w:val="0"/>
      <w:marBottom w:val="0"/>
      <w:divBdr>
        <w:top w:val="none" w:sz="0" w:space="0" w:color="auto"/>
        <w:left w:val="none" w:sz="0" w:space="0" w:color="auto"/>
        <w:bottom w:val="none" w:sz="0" w:space="0" w:color="auto"/>
        <w:right w:val="none" w:sz="0" w:space="0" w:color="auto"/>
      </w:divBdr>
    </w:div>
    <w:div w:id="694578850">
      <w:bodyDiv w:val="1"/>
      <w:marLeft w:val="0"/>
      <w:marRight w:val="0"/>
      <w:marTop w:val="0"/>
      <w:marBottom w:val="0"/>
      <w:divBdr>
        <w:top w:val="none" w:sz="0" w:space="0" w:color="auto"/>
        <w:left w:val="none" w:sz="0" w:space="0" w:color="auto"/>
        <w:bottom w:val="none" w:sz="0" w:space="0" w:color="auto"/>
        <w:right w:val="none" w:sz="0" w:space="0" w:color="auto"/>
      </w:divBdr>
    </w:div>
    <w:div w:id="703755448">
      <w:bodyDiv w:val="1"/>
      <w:marLeft w:val="0"/>
      <w:marRight w:val="0"/>
      <w:marTop w:val="0"/>
      <w:marBottom w:val="0"/>
      <w:divBdr>
        <w:top w:val="none" w:sz="0" w:space="0" w:color="auto"/>
        <w:left w:val="none" w:sz="0" w:space="0" w:color="auto"/>
        <w:bottom w:val="none" w:sz="0" w:space="0" w:color="auto"/>
        <w:right w:val="none" w:sz="0" w:space="0" w:color="auto"/>
      </w:divBdr>
    </w:div>
    <w:div w:id="769013148">
      <w:bodyDiv w:val="1"/>
      <w:marLeft w:val="0"/>
      <w:marRight w:val="0"/>
      <w:marTop w:val="0"/>
      <w:marBottom w:val="0"/>
      <w:divBdr>
        <w:top w:val="none" w:sz="0" w:space="0" w:color="auto"/>
        <w:left w:val="none" w:sz="0" w:space="0" w:color="auto"/>
        <w:bottom w:val="none" w:sz="0" w:space="0" w:color="auto"/>
        <w:right w:val="none" w:sz="0" w:space="0" w:color="auto"/>
      </w:divBdr>
    </w:div>
    <w:div w:id="786123018">
      <w:bodyDiv w:val="1"/>
      <w:marLeft w:val="0"/>
      <w:marRight w:val="0"/>
      <w:marTop w:val="0"/>
      <w:marBottom w:val="0"/>
      <w:divBdr>
        <w:top w:val="none" w:sz="0" w:space="0" w:color="auto"/>
        <w:left w:val="none" w:sz="0" w:space="0" w:color="auto"/>
        <w:bottom w:val="none" w:sz="0" w:space="0" w:color="auto"/>
        <w:right w:val="none" w:sz="0" w:space="0" w:color="auto"/>
      </w:divBdr>
    </w:div>
    <w:div w:id="801073466">
      <w:bodyDiv w:val="1"/>
      <w:marLeft w:val="0"/>
      <w:marRight w:val="0"/>
      <w:marTop w:val="0"/>
      <w:marBottom w:val="0"/>
      <w:divBdr>
        <w:top w:val="none" w:sz="0" w:space="0" w:color="auto"/>
        <w:left w:val="none" w:sz="0" w:space="0" w:color="auto"/>
        <w:bottom w:val="none" w:sz="0" w:space="0" w:color="auto"/>
        <w:right w:val="none" w:sz="0" w:space="0" w:color="auto"/>
      </w:divBdr>
    </w:div>
    <w:div w:id="823934055">
      <w:bodyDiv w:val="1"/>
      <w:marLeft w:val="0"/>
      <w:marRight w:val="0"/>
      <w:marTop w:val="0"/>
      <w:marBottom w:val="0"/>
      <w:divBdr>
        <w:top w:val="none" w:sz="0" w:space="0" w:color="auto"/>
        <w:left w:val="none" w:sz="0" w:space="0" w:color="auto"/>
        <w:bottom w:val="none" w:sz="0" w:space="0" w:color="auto"/>
        <w:right w:val="none" w:sz="0" w:space="0" w:color="auto"/>
      </w:divBdr>
    </w:div>
    <w:div w:id="844974370">
      <w:bodyDiv w:val="1"/>
      <w:marLeft w:val="0"/>
      <w:marRight w:val="0"/>
      <w:marTop w:val="0"/>
      <w:marBottom w:val="0"/>
      <w:divBdr>
        <w:top w:val="none" w:sz="0" w:space="0" w:color="auto"/>
        <w:left w:val="none" w:sz="0" w:space="0" w:color="auto"/>
        <w:bottom w:val="none" w:sz="0" w:space="0" w:color="auto"/>
        <w:right w:val="none" w:sz="0" w:space="0" w:color="auto"/>
      </w:divBdr>
    </w:div>
    <w:div w:id="847670870">
      <w:bodyDiv w:val="1"/>
      <w:marLeft w:val="0"/>
      <w:marRight w:val="0"/>
      <w:marTop w:val="0"/>
      <w:marBottom w:val="0"/>
      <w:divBdr>
        <w:top w:val="none" w:sz="0" w:space="0" w:color="auto"/>
        <w:left w:val="none" w:sz="0" w:space="0" w:color="auto"/>
        <w:bottom w:val="none" w:sz="0" w:space="0" w:color="auto"/>
        <w:right w:val="none" w:sz="0" w:space="0" w:color="auto"/>
      </w:divBdr>
    </w:div>
    <w:div w:id="880825813">
      <w:bodyDiv w:val="1"/>
      <w:marLeft w:val="0"/>
      <w:marRight w:val="0"/>
      <w:marTop w:val="0"/>
      <w:marBottom w:val="0"/>
      <w:divBdr>
        <w:top w:val="none" w:sz="0" w:space="0" w:color="auto"/>
        <w:left w:val="none" w:sz="0" w:space="0" w:color="auto"/>
        <w:bottom w:val="none" w:sz="0" w:space="0" w:color="auto"/>
        <w:right w:val="none" w:sz="0" w:space="0" w:color="auto"/>
      </w:divBdr>
    </w:div>
    <w:div w:id="893665869">
      <w:bodyDiv w:val="1"/>
      <w:marLeft w:val="0"/>
      <w:marRight w:val="0"/>
      <w:marTop w:val="0"/>
      <w:marBottom w:val="0"/>
      <w:divBdr>
        <w:top w:val="none" w:sz="0" w:space="0" w:color="auto"/>
        <w:left w:val="none" w:sz="0" w:space="0" w:color="auto"/>
        <w:bottom w:val="none" w:sz="0" w:space="0" w:color="auto"/>
        <w:right w:val="none" w:sz="0" w:space="0" w:color="auto"/>
      </w:divBdr>
    </w:div>
    <w:div w:id="896161515">
      <w:bodyDiv w:val="1"/>
      <w:marLeft w:val="0"/>
      <w:marRight w:val="0"/>
      <w:marTop w:val="0"/>
      <w:marBottom w:val="0"/>
      <w:divBdr>
        <w:top w:val="none" w:sz="0" w:space="0" w:color="auto"/>
        <w:left w:val="none" w:sz="0" w:space="0" w:color="auto"/>
        <w:bottom w:val="none" w:sz="0" w:space="0" w:color="auto"/>
        <w:right w:val="none" w:sz="0" w:space="0" w:color="auto"/>
      </w:divBdr>
    </w:div>
    <w:div w:id="904418540">
      <w:bodyDiv w:val="1"/>
      <w:marLeft w:val="0"/>
      <w:marRight w:val="0"/>
      <w:marTop w:val="0"/>
      <w:marBottom w:val="0"/>
      <w:divBdr>
        <w:top w:val="none" w:sz="0" w:space="0" w:color="auto"/>
        <w:left w:val="none" w:sz="0" w:space="0" w:color="auto"/>
        <w:bottom w:val="none" w:sz="0" w:space="0" w:color="auto"/>
        <w:right w:val="none" w:sz="0" w:space="0" w:color="auto"/>
      </w:divBdr>
    </w:div>
    <w:div w:id="930284721">
      <w:bodyDiv w:val="1"/>
      <w:marLeft w:val="0"/>
      <w:marRight w:val="0"/>
      <w:marTop w:val="0"/>
      <w:marBottom w:val="0"/>
      <w:divBdr>
        <w:top w:val="none" w:sz="0" w:space="0" w:color="auto"/>
        <w:left w:val="none" w:sz="0" w:space="0" w:color="auto"/>
        <w:bottom w:val="none" w:sz="0" w:space="0" w:color="auto"/>
        <w:right w:val="none" w:sz="0" w:space="0" w:color="auto"/>
      </w:divBdr>
    </w:div>
    <w:div w:id="938147934">
      <w:bodyDiv w:val="1"/>
      <w:marLeft w:val="0"/>
      <w:marRight w:val="0"/>
      <w:marTop w:val="0"/>
      <w:marBottom w:val="0"/>
      <w:divBdr>
        <w:top w:val="none" w:sz="0" w:space="0" w:color="auto"/>
        <w:left w:val="none" w:sz="0" w:space="0" w:color="auto"/>
        <w:bottom w:val="none" w:sz="0" w:space="0" w:color="auto"/>
        <w:right w:val="none" w:sz="0" w:space="0" w:color="auto"/>
      </w:divBdr>
    </w:div>
    <w:div w:id="953754422">
      <w:bodyDiv w:val="1"/>
      <w:marLeft w:val="0"/>
      <w:marRight w:val="0"/>
      <w:marTop w:val="0"/>
      <w:marBottom w:val="0"/>
      <w:divBdr>
        <w:top w:val="none" w:sz="0" w:space="0" w:color="auto"/>
        <w:left w:val="none" w:sz="0" w:space="0" w:color="auto"/>
        <w:bottom w:val="none" w:sz="0" w:space="0" w:color="auto"/>
        <w:right w:val="none" w:sz="0" w:space="0" w:color="auto"/>
      </w:divBdr>
    </w:div>
    <w:div w:id="962614436">
      <w:bodyDiv w:val="1"/>
      <w:marLeft w:val="0"/>
      <w:marRight w:val="0"/>
      <w:marTop w:val="0"/>
      <w:marBottom w:val="0"/>
      <w:divBdr>
        <w:top w:val="none" w:sz="0" w:space="0" w:color="auto"/>
        <w:left w:val="none" w:sz="0" w:space="0" w:color="auto"/>
        <w:bottom w:val="none" w:sz="0" w:space="0" w:color="auto"/>
        <w:right w:val="none" w:sz="0" w:space="0" w:color="auto"/>
      </w:divBdr>
    </w:div>
    <w:div w:id="972323181">
      <w:bodyDiv w:val="1"/>
      <w:marLeft w:val="0"/>
      <w:marRight w:val="0"/>
      <w:marTop w:val="0"/>
      <w:marBottom w:val="0"/>
      <w:divBdr>
        <w:top w:val="none" w:sz="0" w:space="0" w:color="auto"/>
        <w:left w:val="none" w:sz="0" w:space="0" w:color="auto"/>
        <w:bottom w:val="none" w:sz="0" w:space="0" w:color="auto"/>
        <w:right w:val="none" w:sz="0" w:space="0" w:color="auto"/>
      </w:divBdr>
    </w:div>
    <w:div w:id="1001465936">
      <w:bodyDiv w:val="1"/>
      <w:marLeft w:val="0"/>
      <w:marRight w:val="0"/>
      <w:marTop w:val="0"/>
      <w:marBottom w:val="0"/>
      <w:divBdr>
        <w:top w:val="none" w:sz="0" w:space="0" w:color="auto"/>
        <w:left w:val="none" w:sz="0" w:space="0" w:color="auto"/>
        <w:bottom w:val="none" w:sz="0" w:space="0" w:color="auto"/>
        <w:right w:val="none" w:sz="0" w:space="0" w:color="auto"/>
      </w:divBdr>
    </w:div>
    <w:div w:id="1015575208">
      <w:bodyDiv w:val="1"/>
      <w:marLeft w:val="0"/>
      <w:marRight w:val="0"/>
      <w:marTop w:val="0"/>
      <w:marBottom w:val="0"/>
      <w:divBdr>
        <w:top w:val="none" w:sz="0" w:space="0" w:color="auto"/>
        <w:left w:val="none" w:sz="0" w:space="0" w:color="auto"/>
        <w:bottom w:val="none" w:sz="0" w:space="0" w:color="auto"/>
        <w:right w:val="none" w:sz="0" w:space="0" w:color="auto"/>
      </w:divBdr>
    </w:div>
    <w:div w:id="1077173624">
      <w:bodyDiv w:val="1"/>
      <w:marLeft w:val="0"/>
      <w:marRight w:val="0"/>
      <w:marTop w:val="0"/>
      <w:marBottom w:val="0"/>
      <w:divBdr>
        <w:top w:val="none" w:sz="0" w:space="0" w:color="auto"/>
        <w:left w:val="none" w:sz="0" w:space="0" w:color="auto"/>
        <w:bottom w:val="none" w:sz="0" w:space="0" w:color="auto"/>
        <w:right w:val="none" w:sz="0" w:space="0" w:color="auto"/>
      </w:divBdr>
    </w:div>
    <w:div w:id="1088425202">
      <w:bodyDiv w:val="1"/>
      <w:marLeft w:val="0"/>
      <w:marRight w:val="0"/>
      <w:marTop w:val="0"/>
      <w:marBottom w:val="0"/>
      <w:divBdr>
        <w:top w:val="none" w:sz="0" w:space="0" w:color="auto"/>
        <w:left w:val="none" w:sz="0" w:space="0" w:color="auto"/>
        <w:bottom w:val="none" w:sz="0" w:space="0" w:color="auto"/>
        <w:right w:val="none" w:sz="0" w:space="0" w:color="auto"/>
      </w:divBdr>
    </w:div>
    <w:div w:id="1094280117">
      <w:bodyDiv w:val="1"/>
      <w:marLeft w:val="0"/>
      <w:marRight w:val="0"/>
      <w:marTop w:val="0"/>
      <w:marBottom w:val="0"/>
      <w:divBdr>
        <w:top w:val="none" w:sz="0" w:space="0" w:color="auto"/>
        <w:left w:val="none" w:sz="0" w:space="0" w:color="auto"/>
        <w:bottom w:val="none" w:sz="0" w:space="0" w:color="auto"/>
        <w:right w:val="none" w:sz="0" w:space="0" w:color="auto"/>
      </w:divBdr>
    </w:div>
    <w:div w:id="1157064841">
      <w:bodyDiv w:val="1"/>
      <w:marLeft w:val="0"/>
      <w:marRight w:val="0"/>
      <w:marTop w:val="0"/>
      <w:marBottom w:val="0"/>
      <w:divBdr>
        <w:top w:val="none" w:sz="0" w:space="0" w:color="auto"/>
        <w:left w:val="none" w:sz="0" w:space="0" w:color="auto"/>
        <w:bottom w:val="none" w:sz="0" w:space="0" w:color="auto"/>
        <w:right w:val="none" w:sz="0" w:space="0" w:color="auto"/>
      </w:divBdr>
    </w:div>
    <w:div w:id="1166819272">
      <w:bodyDiv w:val="1"/>
      <w:marLeft w:val="0"/>
      <w:marRight w:val="0"/>
      <w:marTop w:val="0"/>
      <w:marBottom w:val="0"/>
      <w:divBdr>
        <w:top w:val="none" w:sz="0" w:space="0" w:color="auto"/>
        <w:left w:val="none" w:sz="0" w:space="0" w:color="auto"/>
        <w:bottom w:val="none" w:sz="0" w:space="0" w:color="auto"/>
        <w:right w:val="none" w:sz="0" w:space="0" w:color="auto"/>
      </w:divBdr>
    </w:div>
    <w:div w:id="1169905337">
      <w:bodyDiv w:val="1"/>
      <w:marLeft w:val="0"/>
      <w:marRight w:val="0"/>
      <w:marTop w:val="0"/>
      <w:marBottom w:val="0"/>
      <w:divBdr>
        <w:top w:val="none" w:sz="0" w:space="0" w:color="auto"/>
        <w:left w:val="none" w:sz="0" w:space="0" w:color="auto"/>
        <w:bottom w:val="none" w:sz="0" w:space="0" w:color="auto"/>
        <w:right w:val="none" w:sz="0" w:space="0" w:color="auto"/>
      </w:divBdr>
    </w:div>
    <w:div w:id="1182280391">
      <w:bodyDiv w:val="1"/>
      <w:marLeft w:val="0"/>
      <w:marRight w:val="0"/>
      <w:marTop w:val="0"/>
      <w:marBottom w:val="0"/>
      <w:divBdr>
        <w:top w:val="none" w:sz="0" w:space="0" w:color="auto"/>
        <w:left w:val="none" w:sz="0" w:space="0" w:color="auto"/>
        <w:bottom w:val="none" w:sz="0" w:space="0" w:color="auto"/>
        <w:right w:val="none" w:sz="0" w:space="0" w:color="auto"/>
      </w:divBdr>
    </w:div>
    <w:div w:id="1187913776">
      <w:bodyDiv w:val="1"/>
      <w:marLeft w:val="0"/>
      <w:marRight w:val="0"/>
      <w:marTop w:val="0"/>
      <w:marBottom w:val="0"/>
      <w:divBdr>
        <w:top w:val="none" w:sz="0" w:space="0" w:color="auto"/>
        <w:left w:val="none" w:sz="0" w:space="0" w:color="auto"/>
        <w:bottom w:val="none" w:sz="0" w:space="0" w:color="auto"/>
        <w:right w:val="none" w:sz="0" w:space="0" w:color="auto"/>
      </w:divBdr>
    </w:div>
    <w:div w:id="1190948915">
      <w:bodyDiv w:val="1"/>
      <w:marLeft w:val="0"/>
      <w:marRight w:val="0"/>
      <w:marTop w:val="0"/>
      <w:marBottom w:val="0"/>
      <w:divBdr>
        <w:top w:val="none" w:sz="0" w:space="0" w:color="auto"/>
        <w:left w:val="none" w:sz="0" w:space="0" w:color="auto"/>
        <w:bottom w:val="none" w:sz="0" w:space="0" w:color="auto"/>
        <w:right w:val="none" w:sz="0" w:space="0" w:color="auto"/>
      </w:divBdr>
    </w:div>
    <w:div w:id="1205017217">
      <w:bodyDiv w:val="1"/>
      <w:marLeft w:val="0"/>
      <w:marRight w:val="0"/>
      <w:marTop w:val="0"/>
      <w:marBottom w:val="0"/>
      <w:divBdr>
        <w:top w:val="none" w:sz="0" w:space="0" w:color="auto"/>
        <w:left w:val="none" w:sz="0" w:space="0" w:color="auto"/>
        <w:bottom w:val="none" w:sz="0" w:space="0" w:color="auto"/>
        <w:right w:val="none" w:sz="0" w:space="0" w:color="auto"/>
      </w:divBdr>
    </w:div>
    <w:div w:id="1296637944">
      <w:bodyDiv w:val="1"/>
      <w:marLeft w:val="0"/>
      <w:marRight w:val="0"/>
      <w:marTop w:val="0"/>
      <w:marBottom w:val="0"/>
      <w:divBdr>
        <w:top w:val="none" w:sz="0" w:space="0" w:color="auto"/>
        <w:left w:val="none" w:sz="0" w:space="0" w:color="auto"/>
        <w:bottom w:val="none" w:sz="0" w:space="0" w:color="auto"/>
        <w:right w:val="none" w:sz="0" w:space="0" w:color="auto"/>
      </w:divBdr>
    </w:div>
    <w:div w:id="1302614064">
      <w:bodyDiv w:val="1"/>
      <w:marLeft w:val="0"/>
      <w:marRight w:val="0"/>
      <w:marTop w:val="0"/>
      <w:marBottom w:val="0"/>
      <w:divBdr>
        <w:top w:val="none" w:sz="0" w:space="0" w:color="auto"/>
        <w:left w:val="none" w:sz="0" w:space="0" w:color="auto"/>
        <w:bottom w:val="none" w:sz="0" w:space="0" w:color="auto"/>
        <w:right w:val="none" w:sz="0" w:space="0" w:color="auto"/>
      </w:divBdr>
    </w:div>
    <w:div w:id="1318614354">
      <w:bodyDiv w:val="1"/>
      <w:marLeft w:val="0"/>
      <w:marRight w:val="0"/>
      <w:marTop w:val="0"/>
      <w:marBottom w:val="0"/>
      <w:divBdr>
        <w:top w:val="none" w:sz="0" w:space="0" w:color="auto"/>
        <w:left w:val="none" w:sz="0" w:space="0" w:color="auto"/>
        <w:bottom w:val="none" w:sz="0" w:space="0" w:color="auto"/>
        <w:right w:val="none" w:sz="0" w:space="0" w:color="auto"/>
      </w:divBdr>
    </w:div>
    <w:div w:id="1325471012">
      <w:bodyDiv w:val="1"/>
      <w:marLeft w:val="0"/>
      <w:marRight w:val="0"/>
      <w:marTop w:val="0"/>
      <w:marBottom w:val="0"/>
      <w:divBdr>
        <w:top w:val="none" w:sz="0" w:space="0" w:color="auto"/>
        <w:left w:val="none" w:sz="0" w:space="0" w:color="auto"/>
        <w:bottom w:val="none" w:sz="0" w:space="0" w:color="auto"/>
        <w:right w:val="none" w:sz="0" w:space="0" w:color="auto"/>
      </w:divBdr>
    </w:div>
    <w:div w:id="1340768203">
      <w:bodyDiv w:val="1"/>
      <w:marLeft w:val="0"/>
      <w:marRight w:val="0"/>
      <w:marTop w:val="0"/>
      <w:marBottom w:val="0"/>
      <w:divBdr>
        <w:top w:val="none" w:sz="0" w:space="0" w:color="auto"/>
        <w:left w:val="none" w:sz="0" w:space="0" w:color="auto"/>
        <w:bottom w:val="none" w:sz="0" w:space="0" w:color="auto"/>
        <w:right w:val="none" w:sz="0" w:space="0" w:color="auto"/>
      </w:divBdr>
    </w:div>
    <w:div w:id="1343825973">
      <w:bodyDiv w:val="1"/>
      <w:marLeft w:val="0"/>
      <w:marRight w:val="0"/>
      <w:marTop w:val="0"/>
      <w:marBottom w:val="0"/>
      <w:divBdr>
        <w:top w:val="none" w:sz="0" w:space="0" w:color="auto"/>
        <w:left w:val="none" w:sz="0" w:space="0" w:color="auto"/>
        <w:bottom w:val="none" w:sz="0" w:space="0" w:color="auto"/>
        <w:right w:val="none" w:sz="0" w:space="0" w:color="auto"/>
      </w:divBdr>
    </w:div>
    <w:div w:id="1346515820">
      <w:bodyDiv w:val="1"/>
      <w:marLeft w:val="0"/>
      <w:marRight w:val="0"/>
      <w:marTop w:val="0"/>
      <w:marBottom w:val="0"/>
      <w:divBdr>
        <w:top w:val="none" w:sz="0" w:space="0" w:color="auto"/>
        <w:left w:val="none" w:sz="0" w:space="0" w:color="auto"/>
        <w:bottom w:val="none" w:sz="0" w:space="0" w:color="auto"/>
        <w:right w:val="none" w:sz="0" w:space="0" w:color="auto"/>
      </w:divBdr>
    </w:div>
    <w:div w:id="1368720312">
      <w:bodyDiv w:val="1"/>
      <w:marLeft w:val="0"/>
      <w:marRight w:val="0"/>
      <w:marTop w:val="0"/>
      <w:marBottom w:val="0"/>
      <w:divBdr>
        <w:top w:val="none" w:sz="0" w:space="0" w:color="auto"/>
        <w:left w:val="none" w:sz="0" w:space="0" w:color="auto"/>
        <w:bottom w:val="none" w:sz="0" w:space="0" w:color="auto"/>
        <w:right w:val="none" w:sz="0" w:space="0" w:color="auto"/>
      </w:divBdr>
    </w:div>
    <w:div w:id="1401634404">
      <w:bodyDiv w:val="1"/>
      <w:marLeft w:val="0"/>
      <w:marRight w:val="0"/>
      <w:marTop w:val="0"/>
      <w:marBottom w:val="0"/>
      <w:divBdr>
        <w:top w:val="none" w:sz="0" w:space="0" w:color="auto"/>
        <w:left w:val="none" w:sz="0" w:space="0" w:color="auto"/>
        <w:bottom w:val="none" w:sz="0" w:space="0" w:color="auto"/>
        <w:right w:val="none" w:sz="0" w:space="0" w:color="auto"/>
      </w:divBdr>
    </w:div>
    <w:div w:id="1424258042">
      <w:bodyDiv w:val="1"/>
      <w:marLeft w:val="0"/>
      <w:marRight w:val="0"/>
      <w:marTop w:val="0"/>
      <w:marBottom w:val="0"/>
      <w:divBdr>
        <w:top w:val="none" w:sz="0" w:space="0" w:color="auto"/>
        <w:left w:val="none" w:sz="0" w:space="0" w:color="auto"/>
        <w:bottom w:val="none" w:sz="0" w:space="0" w:color="auto"/>
        <w:right w:val="none" w:sz="0" w:space="0" w:color="auto"/>
      </w:divBdr>
    </w:div>
    <w:div w:id="1458796227">
      <w:bodyDiv w:val="1"/>
      <w:marLeft w:val="0"/>
      <w:marRight w:val="0"/>
      <w:marTop w:val="0"/>
      <w:marBottom w:val="0"/>
      <w:divBdr>
        <w:top w:val="none" w:sz="0" w:space="0" w:color="auto"/>
        <w:left w:val="none" w:sz="0" w:space="0" w:color="auto"/>
        <w:bottom w:val="none" w:sz="0" w:space="0" w:color="auto"/>
        <w:right w:val="none" w:sz="0" w:space="0" w:color="auto"/>
      </w:divBdr>
    </w:div>
    <w:div w:id="1478187770">
      <w:bodyDiv w:val="1"/>
      <w:marLeft w:val="0"/>
      <w:marRight w:val="0"/>
      <w:marTop w:val="0"/>
      <w:marBottom w:val="0"/>
      <w:divBdr>
        <w:top w:val="none" w:sz="0" w:space="0" w:color="auto"/>
        <w:left w:val="none" w:sz="0" w:space="0" w:color="auto"/>
        <w:bottom w:val="none" w:sz="0" w:space="0" w:color="auto"/>
        <w:right w:val="none" w:sz="0" w:space="0" w:color="auto"/>
      </w:divBdr>
    </w:div>
    <w:div w:id="1483816335">
      <w:bodyDiv w:val="1"/>
      <w:marLeft w:val="0"/>
      <w:marRight w:val="0"/>
      <w:marTop w:val="0"/>
      <w:marBottom w:val="0"/>
      <w:divBdr>
        <w:top w:val="none" w:sz="0" w:space="0" w:color="auto"/>
        <w:left w:val="none" w:sz="0" w:space="0" w:color="auto"/>
        <w:bottom w:val="none" w:sz="0" w:space="0" w:color="auto"/>
        <w:right w:val="none" w:sz="0" w:space="0" w:color="auto"/>
      </w:divBdr>
    </w:div>
    <w:div w:id="1506935868">
      <w:bodyDiv w:val="1"/>
      <w:marLeft w:val="0"/>
      <w:marRight w:val="0"/>
      <w:marTop w:val="0"/>
      <w:marBottom w:val="0"/>
      <w:divBdr>
        <w:top w:val="none" w:sz="0" w:space="0" w:color="auto"/>
        <w:left w:val="none" w:sz="0" w:space="0" w:color="auto"/>
        <w:bottom w:val="none" w:sz="0" w:space="0" w:color="auto"/>
        <w:right w:val="none" w:sz="0" w:space="0" w:color="auto"/>
      </w:divBdr>
    </w:div>
    <w:div w:id="1540049541">
      <w:bodyDiv w:val="1"/>
      <w:marLeft w:val="0"/>
      <w:marRight w:val="0"/>
      <w:marTop w:val="0"/>
      <w:marBottom w:val="0"/>
      <w:divBdr>
        <w:top w:val="none" w:sz="0" w:space="0" w:color="auto"/>
        <w:left w:val="none" w:sz="0" w:space="0" w:color="auto"/>
        <w:bottom w:val="none" w:sz="0" w:space="0" w:color="auto"/>
        <w:right w:val="none" w:sz="0" w:space="0" w:color="auto"/>
      </w:divBdr>
    </w:div>
    <w:div w:id="1542597612">
      <w:bodyDiv w:val="1"/>
      <w:marLeft w:val="0"/>
      <w:marRight w:val="0"/>
      <w:marTop w:val="0"/>
      <w:marBottom w:val="0"/>
      <w:divBdr>
        <w:top w:val="none" w:sz="0" w:space="0" w:color="auto"/>
        <w:left w:val="none" w:sz="0" w:space="0" w:color="auto"/>
        <w:bottom w:val="none" w:sz="0" w:space="0" w:color="auto"/>
        <w:right w:val="none" w:sz="0" w:space="0" w:color="auto"/>
      </w:divBdr>
    </w:div>
    <w:div w:id="1550339173">
      <w:bodyDiv w:val="1"/>
      <w:marLeft w:val="0"/>
      <w:marRight w:val="0"/>
      <w:marTop w:val="0"/>
      <w:marBottom w:val="0"/>
      <w:divBdr>
        <w:top w:val="none" w:sz="0" w:space="0" w:color="auto"/>
        <w:left w:val="none" w:sz="0" w:space="0" w:color="auto"/>
        <w:bottom w:val="none" w:sz="0" w:space="0" w:color="auto"/>
        <w:right w:val="none" w:sz="0" w:space="0" w:color="auto"/>
      </w:divBdr>
    </w:div>
    <w:div w:id="1581327351">
      <w:bodyDiv w:val="1"/>
      <w:marLeft w:val="0"/>
      <w:marRight w:val="0"/>
      <w:marTop w:val="0"/>
      <w:marBottom w:val="0"/>
      <w:divBdr>
        <w:top w:val="none" w:sz="0" w:space="0" w:color="auto"/>
        <w:left w:val="none" w:sz="0" w:space="0" w:color="auto"/>
        <w:bottom w:val="none" w:sz="0" w:space="0" w:color="auto"/>
        <w:right w:val="none" w:sz="0" w:space="0" w:color="auto"/>
      </w:divBdr>
    </w:div>
    <w:div w:id="1649900758">
      <w:bodyDiv w:val="1"/>
      <w:marLeft w:val="0"/>
      <w:marRight w:val="0"/>
      <w:marTop w:val="0"/>
      <w:marBottom w:val="0"/>
      <w:divBdr>
        <w:top w:val="none" w:sz="0" w:space="0" w:color="auto"/>
        <w:left w:val="none" w:sz="0" w:space="0" w:color="auto"/>
        <w:bottom w:val="none" w:sz="0" w:space="0" w:color="auto"/>
        <w:right w:val="none" w:sz="0" w:space="0" w:color="auto"/>
      </w:divBdr>
      <w:divsChild>
        <w:div w:id="256862935">
          <w:marLeft w:val="0"/>
          <w:marRight w:val="0"/>
          <w:marTop w:val="0"/>
          <w:marBottom w:val="0"/>
          <w:divBdr>
            <w:top w:val="none" w:sz="0" w:space="0" w:color="auto"/>
            <w:left w:val="none" w:sz="0" w:space="0" w:color="auto"/>
            <w:bottom w:val="none" w:sz="0" w:space="0" w:color="auto"/>
            <w:right w:val="none" w:sz="0" w:space="0" w:color="auto"/>
          </w:divBdr>
        </w:div>
        <w:div w:id="2019187037">
          <w:marLeft w:val="0"/>
          <w:marRight w:val="0"/>
          <w:marTop w:val="0"/>
          <w:marBottom w:val="0"/>
          <w:divBdr>
            <w:top w:val="none" w:sz="0" w:space="0" w:color="auto"/>
            <w:left w:val="none" w:sz="0" w:space="0" w:color="auto"/>
            <w:bottom w:val="none" w:sz="0" w:space="0" w:color="auto"/>
            <w:right w:val="none" w:sz="0" w:space="0" w:color="auto"/>
          </w:divBdr>
        </w:div>
      </w:divsChild>
    </w:div>
    <w:div w:id="1676417440">
      <w:bodyDiv w:val="1"/>
      <w:marLeft w:val="0"/>
      <w:marRight w:val="0"/>
      <w:marTop w:val="0"/>
      <w:marBottom w:val="0"/>
      <w:divBdr>
        <w:top w:val="none" w:sz="0" w:space="0" w:color="auto"/>
        <w:left w:val="none" w:sz="0" w:space="0" w:color="auto"/>
        <w:bottom w:val="none" w:sz="0" w:space="0" w:color="auto"/>
        <w:right w:val="none" w:sz="0" w:space="0" w:color="auto"/>
      </w:divBdr>
    </w:div>
    <w:div w:id="1700085444">
      <w:bodyDiv w:val="1"/>
      <w:marLeft w:val="0"/>
      <w:marRight w:val="0"/>
      <w:marTop w:val="0"/>
      <w:marBottom w:val="0"/>
      <w:divBdr>
        <w:top w:val="none" w:sz="0" w:space="0" w:color="auto"/>
        <w:left w:val="none" w:sz="0" w:space="0" w:color="auto"/>
        <w:bottom w:val="none" w:sz="0" w:space="0" w:color="auto"/>
        <w:right w:val="none" w:sz="0" w:space="0" w:color="auto"/>
      </w:divBdr>
    </w:div>
    <w:div w:id="1708870535">
      <w:bodyDiv w:val="1"/>
      <w:marLeft w:val="0"/>
      <w:marRight w:val="0"/>
      <w:marTop w:val="0"/>
      <w:marBottom w:val="0"/>
      <w:divBdr>
        <w:top w:val="none" w:sz="0" w:space="0" w:color="auto"/>
        <w:left w:val="none" w:sz="0" w:space="0" w:color="auto"/>
        <w:bottom w:val="none" w:sz="0" w:space="0" w:color="auto"/>
        <w:right w:val="none" w:sz="0" w:space="0" w:color="auto"/>
      </w:divBdr>
    </w:div>
    <w:div w:id="1710647583">
      <w:bodyDiv w:val="1"/>
      <w:marLeft w:val="0"/>
      <w:marRight w:val="0"/>
      <w:marTop w:val="0"/>
      <w:marBottom w:val="0"/>
      <w:divBdr>
        <w:top w:val="none" w:sz="0" w:space="0" w:color="auto"/>
        <w:left w:val="none" w:sz="0" w:space="0" w:color="auto"/>
        <w:bottom w:val="none" w:sz="0" w:space="0" w:color="auto"/>
        <w:right w:val="none" w:sz="0" w:space="0" w:color="auto"/>
      </w:divBdr>
    </w:div>
    <w:div w:id="1717463461">
      <w:bodyDiv w:val="1"/>
      <w:marLeft w:val="0"/>
      <w:marRight w:val="0"/>
      <w:marTop w:val="0"/>
      <w:marBottom w:val="0"/>
      <w:divBdr>
        <w:top w:val="none" w:sz="0" w:space="0" w:color="auto"/>
        <w:left w:val="none" w:sz="0" w:space="0" w:color="auto"/>
        <w:bottom w:val="none" w:sz="0" w:space="0" w:color="auto"/>
        <w:right w:val="none" w:sz="0" w:space="0" w:color="auto"/>
      </w:divBdr>
    </w:div>
    <w:div w:id="1724907793">
      <w:bodyDiv w:val="1"/>
      <w:marLeft w:val="0"/>
      <w:marRight w:val="0"/>
      <w:marTop w:val="0"/>
      <w:marBottom w:val="0"/>
      <w:divBdr>
        <w:top w:val="none" w:sz="0" w:space="0" w:color="auto"/>
        <w:left w:val="none" w:sz="0" w:space="0" w:color="auto"/>
        <w:bottom w:val="none" w:sz="0" w:space="0" w:color="auto"/>
        <w:right w:val="none" w:sz="0" w:space="0" w:color="auto"/>
      </w:divBdr>
    </w:div>
    <w:div w:id="1775899721">
      <w:bodyDiv w:val="1"/>
      <w:marLeft w:val="0"/>
      <w:marRight w:val="0"/>
      <w:marTop w:val="0"/>
      <w:marBottom w:val="0"/>
      <w:divBdr>
        <w:top w:val="none" w:sz="0" w:space="0" w:color="auto"/>
        <w:left w:val="none" w:sz="0" w:space="0" w:color="auto"/>
        <w:bottom w:val="none" w:sz="0" w:space="0" w:color="auto"/>
        <w:right w:val="none" w:sz="0" w:space="0" w:color="auto"/>
      </w:divBdr>
    </w:div>
    <w:div w:id="1804149972">
      <w:bodyDiv w:val="1"/>
      <w:marLeft w:val="0"/>
      <w:marRight w:val="0"/>
      <w:marTop w:val="0"/>
      <w:marBottom w:val="0"/>
      <w:divBdr>
        <w:top w:val="none" w:sz="0" w:space="0" w:color="auto"/>
        <w:left w:val="none" w:sz="0" w:space="0" w:color="auto"/>
        <w:bottom w:val="none" w:sz="0" w:space="0" w:color="auto"/>
        <w:right w:val="none" w:sz="0" w:space="0" w:color="auto"/>
      </w:divBdr>
    </w:div>
    <w:div w:id="1833140020">
      <w:bodyDiv w:val="1"/>
      <w:marLeft w:val="0"/>
      <w:marRight w:val="0"/>
      <w:marTop w:val="0"/>
      <w:marBottom w:val="0"/>
      <w:divBdr>
        <w:top w:val="none" w:sz="0" w:space="0" w:color="auto"/>
        <w:left w:val="none" w:sz="0" w:space="0" w:color="auto"/>
        <w:bottom w:val="none" w:sz="0" w:space="0" w:color="auto"/>
        <w:right w:val="none" w:sz="0" w:space="0" w:color="auto"/>
      </w:divBdr>
    </w:div>
    <w:div w:id="1854492217">
      <w:bodyDiv w:val="1"/>
      <w:marLeft w:val="0"/>
      <w:marRight w:val="0"/>
      <w:marTop w:val="0"/>
      <w:marBottom w:val="0"/>
      <w:divBdr>
        <w:top w:val="none" w:sz="0" w:space="0" w:color="auto"/>
        <w:left w:val="none" w:sz="0" w:space="0" w:color="auto"/>
        <w:bottom w:val="none" w:sz="0" w:space="0" w:color="auto"/>
        <w:right w:val="none" w:sz="0" w:space="0" w:color="auto"/>
      </w:divBdr>
    </w:div>
    <w:div w:id="1854803570">
      <w:bodyDiv w:val="1"/>
      <w:marLeft w:val="0"/>
      <w:marRight w:val="0"/>
      <w:marTop w:val="0"/>
      <w:marBottom w:val="0"/>
      <w:divBdr>
        <w:top w:val="none" w:sz="0" w:space="0" w:color="auto"/>
        <w:left w:val="none" w:sz="0" w:space="0" w:color="auto"/>
        <w:bottom w:val="none" w:sz="0" w:space="0" w:color="auto"/>
        <w:right w:val="none" w:sz="0" w:space="0" w:color="auto"/>
      </w:divBdr>
    </w:div>
    <w:div w:id="1863085074">
      <w:bodyDiv w:val="1"/>
      <w:marLeft w:val="0"/>
      <w:marRight w:val="0"/>
      <w:marTop w:val="0"/>
      <w:marBottom w:val="0"/>
      <w:divBdr>
        <w:top w:val="none" w:sz="0" w:space="0" w:color="auto"/>
        <w:left w:val="none" w:sz="0" w:space="0" w:color="auto"/>
        <w:bottom w:val="none" w:sz="0" w:space="0" w:color="auto"/>
        <w:right w:val="none" w:sz="0" w:space="0" w:color="auto"/>
      </w:divBdr>
    </w:div>
    <w:div w:id="1866021614">
      <w:bodyDiv w:val="1"/>
      <w:marLeft w:val="0"/>
      <w:marRight w:val="0"/>
      <w:marTop w:val="0"/>
      <w:marBottom w:val="0"/>
      <w:divBdr>
        <w:top w:val="none" w:sz="0" w:space="0" w:color="auto"/>
        <w:left w:val="none" w:sz="0" w:space="0" w:color="auto"/>
        <w:bottom w:val="none" w:sz="0" w:space="0" w:color="auto"/>
        <w:right w:val="none" w:sz="0" w:space="0" w:color="auto"/>
      </w:divBdr>
    </w:div>
    <w:div w:id="1873880146">
      <w:bodyDiv w:val="1"/>
      <w:marLeft w:val="0"/>
      <w:marRight w:val="0"/>
      <w:marTop w:val="0"/>
      <w:marBottom w:val="0"/>
      <w:divBdr>
        <w:top w:val="none" w:sz="0" w:space="0" w:color="auto"/>
        <w:left w:val="none" w:sz="0" w:space="0" w:color="auto"/>
        <w:bottom w:val="none" w:sz="0" w:space="0" w:color="auto"/>
        <w:right w:val="none" w:sz="0" w:space="0" w:color="auto"/>
      </w:divBdr>
    </w:div>
    <w:div w:id="1875576964">
      <w:bodyDiv w:val="1"/>
      <w:marLeft w:val="0"/>
      <w:marRight w:val="0"/>
      <w:marTop w:val="0"/>
      <w:marBottom w:val="0"/>
      <w:divBdr>
        <w:top w:val="none" w:sz="0" w:space="0" w:color="auto"/>
        <w:left w:val="none" w:sz="0" w:space="0" w:color="auto"/>
        <w:bottom w:val="none" w:sz="0" w:space="0" w:color="auto"/>
        <w:right w:val="none" w:sz="0" w:space="0" w:color="auto"/>
      </w:divBdr>
    </w:div>
    <w:div w:id="1885753389">
      <w:bodyDiv w:val="1"/>
      <w:marLeft w:val="0"/>
      <w:marRight w:val="0"/>
      <w:marTop w:val="0"/>
      <w:marBottom w:val="0"/>
      <w:divBdr>
        <w:top w:val="none" w:sz="0" w:space="0" w:color="auto"/>
        <w:left w:val="none" w:sz="0" w:space="0" w:color="auto"/>
        <w:bottom w:val="none" w:sz="0" w:space="0" w:color="auto"/>
        <w:right w:val="none" w:sz="0" w:space="0" w:color="auto"/>
      </w:divBdr>
    </w:div>
    <w:div w:id="1904872521">
      <w:bodyDiv w:val="1"/>
      <w:marLeft w:val="0"/>
      <w:marRight w:val="0"/>
      <w:marTop w:val="0"/>
      <w:marBottom w:val="0"/>
      <w:divBdr>
        <w:top w:val="none" w:sz="0" w:space="0" w:color="auto"/>
        <w:left w:val="none" w:sz="0" w:space="0" w:color="auto"/>
        <w:bottom w:val="none" w:sz="0" w:space="0" w:color="auto"/>
        <w:right w:val="none" w:sz="0" w:space="0" w:color="auto"/>
      </w:divBdr>
    </w:div>
    <w:div w:id="1954627869">
      <w:bodyDiv w:val="1"/>
      <w:marLeft w:val="0"/>
      <w:marRight w:val="0"/>
      <w:marTop w:val="0"/>
      <w:marBottom w:val="0"/>
      <w:divBdr>
        <w:top w:val="none" w:sz="0" w:space="0" w:color="auto"/>
        <w:left w:val="none" w:sz="0" w:space="0" w:color="auto"/>
        <w:bottom w:val="none" w:sz="0" w:space="0" w:color="auto"/>
        <w:right w:val="none" w:sz="0" w:space="0" w:color="auto"/>
      </w:divBdr>
    </w:div>
    <w:div w:id="1975333966">
      <w:bodyDiv w:val="1"/>
      <w:marLeft w:val="0"/>
      <w:marRight w:val="0"/>
      <w:marTop w:val="0"/>
      <w:marBottom w:val="0"/>
      <w:divBdr>
        <w:top w:val="none" w:sz="0" w:space="0" w:color="auto"/>
        <w:left w:val="none" w:sz="0" w:space="0" w:color="auto"/>
        <w:bottom w:val="none" w:sz="0" w:space="0" w:color="auto"/>
        <w:right w:val="none" w:sz="0" w:space="0" w:color="auto"/>
      </w:divBdr>
    </w:div>
    <w:div w:id="2010937321">
      <w:bodyDiv w:val="1"/>
      <w:marLeft w:val="0"/>
      <w:marRight w:val="0"/>
      <w:marTop w:val="0"/>
      <w:marBottom w:val="0"/>
      <w:divBdr>
        <w:top w:val="none" w:sz="0" w:space="0" w:color="auto"/>
        <w:left w:val="none" w:sz="0" w:space="0" w:color="auto"/>
        <w:bottom w:val="none" w:sz="0" w:space="0" w:color="auto"/>
        <w:right w:val="none" w:sz="0" w:space="0" w:color="auto"/>
      </w:divBdr>
    </w:div>
    <w:div w:id="2016305285">
      <w:bodyDiv w:val="1"/>
      <w:marLeft w:val="0"/>
      <w:marRight w:val="0"/>
      <w:marTop w:val="0"/>
      <w:marBottom w:val="0"/>
      <w:divBdr>
        <w:top w:val="none" w:sz="0" w:space="0" w:color="auto"/>
        <w:left w:val="none" w:sz="0" w:space="0" w:color="auto"/>
        <w:bottom w:val="none" w:sz="0" w:space="0" w:color="auto"/>
        <w:right w:val="none" w:sz="0" w:space="0" w:color="auto"/>
      </w:divBdr>
    </w:div>
    <w:div w:id="2040351502">
      <w:bodyDiv w:val="1"/>
      <w:marLeft w:val="0"/>
      <w:marRight w:val="0"/>
      <w:marTop w:val="0"/>
      <w:marBottom w:val="0"/>
      <w:divBdr>
        <w:top w:val="none" w:sz="0" w:space="0" w:color="auto"/>
        <w:left w:val="none" w:sz="0" w:space="0" w:color="auto"/>
        <w:bottom w:val="none" w:sz="0" w:space="0" w:color="auto"/>
        <w:right w:val="none" w:sz="0" w:space="0" w:color="auto"/>
      </w:divBdr>
    </w:div>
    <w:div w:id="2071229051">
      <w:bodyDiv w:val="1"/>
      <w:marLeft w:val="0"/>
      <w:marRight w:val="0"/>
      <w:marTop w:val="0"/>
      <w:marBottom w:val="0"/>
      <w:divBdr>
        <w:top w:val="none" w:sz="0" w:space="0" w:color="auto"/>
        <w:left w:val="none" w:sz="0" w:space="0" w:color="auto"/>
        <w:bottom w:val="none" w:sz="0" w:space="0" w:color="auto"/>
        <w:right w:val="none" w:sz="0" w:space="0" w:color="auto"/>
      </w:divBdr>
    </w:div>
    <w:div w:id="2071732283">
      <w:bodyDiv w:val="1"/>
      <w:marLeft w:val="0"/>
      <w:marRight w:val="0"/>
      <w:marTop w:val="0"/>
      <w:marBottom w:val="0"/>
      <w:divBdr>
        <w:top w:val="none" w:sz="0" w:space="0" w:color="auto"/>
        <w:left w:val="none" w:sz="0" w:space="0" w:color="auto"/>
        <w:bottom w:val="none" w:sz="0" w:space="0" w:color="auto"/>
        <w:right w:val="none" w:sz="0" w:space="0" w:color="auto"/>
      </w:divBdr>
    </w:div>
    <w:div w:id="209166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yperlink" Target="http://www.federalfinancialrelations.gov.au/agreements/national-health-reform-agreement" TargetMode="Externa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74271</Words>
  <Characters>423345</Characters>
  <Application>Microsoft Office Word</Application>
  <DocSecurity>0</DocSecurity>
  <Lines>3527</Lines>
  <Paragraphs>993</Paragraphs>
  <ScaleCrop>false</ScaleCrop>
  <HeadingPairs>
    <vt:vector size="2" baseType="variant">
      <vt:variant>
        <vt:lpstr>Title</vt:lpstr>
      </vt:variant>
      <vt:variant>
        <vt:i4>1</vt:i4>
      </vt:variant>
    </vt:vector>
  </HeadingPairs>
  <TitlesOfParts>
    <vt:vector size="1" baseType="lpstr">
      <vt:lpstr>Addendum to the National Health Reform Agreement 2026–2031</vt:lpstr>
    </vt:vector>
  </TitlesOfParts>
  <Company/>
  <LinksUpToDate>false</LinksUpToDate>
  <CharactersWithSpaces>496623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National Health Reform Agreement 2026–2031</dc:title>
  <dc:subject/>
  <dc:creator>Australian Government</dc:creator>
  <cp:keywords/>
  <cp:lastModifiedBy/>
  <cp:revision>1</cp:revision>
  <dcterms:created xsi:type="dcterms:W3CDTF">2026-04-07T01:18:00Z</dcterms:created>
  <dcterms:modified xsi:type="dcterms:W3CDTF">2026-04-07T01:18:00Z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2026-04-07T01:19:02Z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28bde6a4-722e-49ca-a160-250c37cf5bc4</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