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41D8F" w14:textId="3F52ACEF" w:rsidR="00C91B5F" w:rsidRPr="005E4A1B" w:rsidRDefault="00B4170A" w:rsidP="00EA74D0">
      <w:pPr>
        <w:pStyle w:val="Title"/>
        <w:rPr>
          <w:rFonts w:cs="Arial"/>
          <w:caps/>
          <w:color w:val="ED7D31" w:themeColor="accent2"/>
          <w:sz w:val="48"/>
          <w:szCs w:val="48"/>
        </w:rPr>
      </w:pPr>
      <w:r>
        <w:rPr>
          <w:rFonts w:cs="Arial"/>
          <w:caps/>
          <w:sz w:val="48"/>
          <w:szCs w:val="48"/>
        </w:rPr>
        <w:t>B</w:t>
      </w:r>
      <w:r w:rsidR="00045F7E" w:rsidRPr="005E4A1B">
        <w:rPr>
          <w:rFonts w:cs="Arial"/>
          <w:caps/>
          <w:sz w:val="48"/>
          <w:szCs w:val="48"/>
        </w:rPr>
        <w:t xml:space="preserve">ilateral </w:t>
      </w:r>
      <w:r w:rsidR="002E0E98" w:rsidRPr="005E4A1B">
        <w:rPr>
          <w:rFonts w:cs="Arial"/>
          <w:caps/>
          <w:sz w:val="48"/>
          <w:szCs w:val="48"/>
        </w:rPr>
        <w:t>SCHEDULE</w:t>
      </w:r>
      <w:r w:rsidR="00045F7E" w:rsidRPr="005E4A1B">
        <w:rPr>
          <w:rFonts w:cs="Arial"/>
          <w:caps/>
          <w:sz w:val="48"/>
          <w:szCs w:val="48"/>
        </w:rPr>
        <w:t xml:space="preserve"> on </w:t>
      </w:r>
      <w:r w:rsidR="0055495D" w:rsidRPr="005E4A1B">
        <w:rPr>
          <w:rFonts w:cs="Arial"/>
          <w:caps/>
          <w:sz w:val="48"/>
          <w:szCs w:val="48"/>
        </w:rPr>
        <w:t>Mental Health and Suicide Prevention</w:t>
      </w:r>
      <w:r w:rsidR="00045F7E" w:rsidRPr="005E4A1B">
        <w:rPr>
          <w:rFonts w:cs="Arial"/>
          <w:caps/>
          <w:sz w:val="48"/>
          <w:szCs w:val="48"/>
        </w:rPr>
        <w:t>:</w:t>
      </w:r>
      <w:r w:rsidR="0055495D" w:rsidRPr="005E4A1B">
        <w:rPr>
          <w:rFonts w:cs="Arial"/>
          <w:caps/>
          <w:sz w:val="48"/>
          <w:szCs w:val="48"/>
        </w:rPr>
        <w:t xml:space="preserve"> </w:t>
      </w:r>
      <w:r w:rsidR="00FF592F" w:rsidRPr="005E4A1B">
        <w:rPr>
          <w:rFonts w:cs="Arial"/>
          <w:caps/>
          <w:color w:val="ED7D31" w:themeColor="accent2"/>
          <w:sz w:val="48"/>
          <w:szCs w:val="48"/>
        </w:rPr>
        <w:t>South Australia</w:t>
      </w:r>
    </w:p>
    <w:p w14:paraId="02AED224" w14:textId="77777777" w:rsidR="00045F7E" w:rsidRPr="005E4A1B" w:rsidRDefault="00D83C67" w:rsidP="00A3099F">
      <w:pPr>
        <w:pStyle w:val="Heading1"/>
      </w:pPr>
      <w:r w:rsidRPr="005E4A1B">
        <w:t xml:space="preserve">Parties to the </w:t>
      </w:r>
      <w:r w:rsidR="002E0E98" w:rsidRPr="005E4A1B">
        <w:t>Schedule</w:t>
      </w:r>
    </w:p>
    <w:p w14:paraId="07C064BB" w14:textId="3FD85D11" w:rsidR="008146F6" w:rsidRPr="005E4A1B" w:rsidRDefault="008146F6" w:rsidP="006A1596">
      <w:pPr>
        <w:pStyle w:val="ListParagraph"/>
        <w:numPr>
          <w:ilvl w:val="0"/>
          <w:numId w:val="5"/>
        </w:numPr>
        <w:spacing w:line="24" w:lineRule="atLeast"/>
      </w:pPr>
      <w:r w:rsidRPr="005E4A1B">
        <w:t xml:space="preserve">This is an </w:t>
      </w:r>
      <w:r w:rsidR="008B1EFB" w:rsidRPr="005E4A1B">
        <w:t>a</w:t>
      </w:r>
      <w:r w:rsidRPr="005E4A1B">
        <w:t>greement between:</w:t>
      </w:r>
    </w:p>
    <w:p w14:paraId="7AE50F82" w14:textId="77777777" w:rsidR="008146F6" w:rsidRPr="005E4A1B" w:rsidRDefault="008146F6" w:rsidP="006A1596">
      <w:pPr>
        <w:pStyle w:val="ListParagraph"/>
        <w:numPr>
          <w:ilvl w:val="1"/>
          <w:numId w:val="5"/>
        </w:numPr>
        <w:spacing w:line="24" w:lineRule="atLeast"/>
      </w:pPr>
      <w:r w:rsidRPr="005E4A1B">
        <w:t xml:space="preserve">the </w:t>
      </w:r>
      <w:r w:rsidRPr="005E4A1B">
        <w:rPr>
          <w:rFonts w:ascii="Calibri" w:hAnsi="Calibri" w:cs="Calibri"/>
        </w:rPr>
        <w:t>Commonwealth</w:t>
      </w:r>
      <w:r w:rsidRPr="005E4A1B">
        <w:t xml:space="preserve"> of Australia; and</w:t>
      </w:r>
    </w:p>
    <w:p w14:paraId="4090DA30" w14:textId="77777777" w:rsidR="008146F6" w:rsidRPr="005E4A1B" w:rsidRDefault="00CB0417" w:rsidP="006A1596">
      <w:pPr>
        <w:pStyle w:val="ListParagraph"/>
        <w:numPr>
          <w:ilvl w:val="1"/>
          <w:numId w:val="5"/>
        </w:numPr>
        <w:spacing w:line="24" w:lineRule="atLeast"/>
      </w:pPr>
      <w:r w:rsidRPr="005E4A1B">
        <w:t>South Australia</w:t>
      </w:r>
      <w:r w:rsidR="008146F6" w:rsidRPr="005E4A1B">
        <w:t>.</w:t>
      </w:r>
    </w:p>
    <w:p w14:paraId="100F4A9E" w14:textId="77777777" w:rsidR="00D83C67" w:rsidRPr="005E4A1B" w:rsidRDefault="00D83C67" w:rsidP="00D83C67">
      <w:pPr>
        <w:pStyle w:val="Heading1"/>
      </w:pPr>
      <w:r w:rsidRPr="005E4A1B">
        <w:t>Term of the Agreement</w:t>
      </w:r>
    </w:p>
    <w:p w14:paraId="35AE4772" w14:textId="1485B272" w:rsidR="008146F6" w:rsidRPr="006B7EBE" w:rsidRDefault="008146F6" w:rsidP="006A1596">
      <w:pPr>
        <w:pStyle w:val="ListParagraph"/>
        <w:numPr>
          <w:ilvl w:val="0"/>
          <w:numId w:val="5"/>
        </w:numPr>
        <w:spacing w:line="24" w:lineRule="atLeast"/>
      </w:pPr>
      <w:r>
        <w:t xml:space="preserve">This </w:t>
      </w:r>
      <w:r w:rsidR="002E0E98">
        <w:t>Schedule</w:t>
      </w:r>
      <w:r>
        <w:t xml:space="preserve"> is expected to expire on 30 June 202</w:t>
      </w:r>
      <w:r w:rsidR="00CB532F">
        <w:t>7</w:t>
      </w:r>
      <w:r w:rsidR="00092615">
        <w:t xml:space="preserve">. </w:t>
      </w:r>
      <w:r w:rsidR="00455D17">
        <w:t xml:space="preserve">This </w:t>
      </w:r>
      <w:r w:rsidR="00285DEC">
        <w:t xml:space="preserve">version </w:t>
      </w:r>
      <w:r w:rsidR="00455D17">
        <w:t xml:space="preserve">supersedes the previous version </w:t>
      </w:r>
      <w:r w:rsidR="00455D17" w:rsidRPr="006B7EBE">
        <w:t xml:space="preserve">of the Schedule, which came into effect 18 February 2022.  </w:t>
      </w:r>
    </w:p>
    <w:p w14:paraId="212704C8" w14:textId="74F48229" w:rsidR="2BB02679" w:rsidRPr="006B7EBE" w:rsidRDefault="2BB02679" w:rsidP="7E9CE2D0">
      <w:pPr>
        <w:pStyle w:val="ListParagraph"/>
        <w:numPr>
          <w:ilvl w:val="0"/>
          <w:numId w:val="5"/>
        </w:numPr>
        <w:spacing w:line="24" w:lineRule="atLeast"/>
        <w:rPr>
          <w:rFonts w:ascii="Calibri" w:eastAsia="Calibri" w:hAnsi="Calibri" w:cs="Calibri"/>
          <w:color w:val="000000" w:themeColor="text1"/>
          <w:szCs w:val="22"/>
        </w:rPr>
      </w:pPr>
      <w:r w:rsidRPr="006B7EBE">
        <w:rPr>
          <w:rFonts w:ascii="Calibri" w:eastAsia="Calibri" w:hAnsi="Calibri" w:cs="Calibri"/>
          <w:color w:val="000000" w:themeColor="text1"/>
          <w:szCs w:val="22"/>
          <w:lang w:val="en-AU"/>
        </w:rPr>
        <w:t xml:space="preserve">This Schedule may be amended at any time with the agreement of both Parties. </w:t>
      </w:r>
    </w:p>
    <w:p w14:paraId="32D280BD" w14:textId="6CF9BBEB" w:rsidR="2BB02679" w:rsidRPr="006B7EBE" w:rsidRDefault="2BB02679" w:rsidP="7E9CE2D0">
      <w:pPr>
        <w:pStyle w:val="ListParagraph"/>
        <w:numPr>
          <w:ilvl w:val="0"/>
          <w:numId w:val="5"/>
        </w:numPr>
        <w:tabs>
          <w:tab w:val="left" w:pos="834"/>
        </w:tabs>
        <w:spacing w:before="122"/>
        <w:rPr>
          <w:rFonts w:ascii="Calibri" w:eastAsia="Calibri" w:hAnsi="Calibri" w:cs="Calibri"/>
          <w:color w:val="000000" w:themeColor="text1"/>
          <w:szCs w:val="22"/>
        </w:rPr>
      </w:pPr>
      <w:r w:rsidRPr="006B7EBE">
        <w:rPr>
          <w:rFonts w:ascii="Calibri" w:eastAsia="Calibri" w:hAnsi="Calibri" w:cs="Calibri"/>
          <w:color w:val="000000" w:themeColor="text1"/>
          <w:szCs w:val="22"/>
          <w:lang w:val="en-AU"/>
        </w:rPr>
        <w:t xml:space="preserve">This Schedule is subject to the </w:t>
      </w:r>
      <w:r w:rsidR="005C5675" w:rsidRPr="00534562">
        <w:rPr>
          <w:color w:val="000000" w:themeColor="text1"/>
        </w:rPr>
        <w:t>National</w:t>
      </w:r>
      <w:r w:rsidR="005C5675">
        <w:rPr>
          <w:color w:val="000000" w:themeColor="text1"/>
        </w:rPr>
        <w:t xml:space="preserve"> Mental Health and Suicide Prevention</w:t>
      </w:r>
      <w:r w:rsidR="005C5675" w:rsidRPr="00534562">
        <w:rPr>
          <w:color w:val="000000" w:themeColor="text1"/>
        </w:rPr>
        <w:t xml:space="preserve"> Agreement </w:t>
      </w:r>
      <w:r w:rsidR="005C5675">
        <w:rPr>
          <w:color w:val="000000" w:themeColor="text1"/>
        </w:rPr>
        <w:t xml:space="preserve">(the National Agreement) </w:t>
      </w:r>
      <w:r w:rsidRPr="006B7EBE">
        <w:rPr>
          <w:rFonts w:ascii="Calibri" w:eastAsia="Calibri" w:hAnsi="Calibri" w:cs="Calibri"/>
          <w:color w:val="000000" w:themeColor="text1"/>
          <w:szCs w:val="22"/>
          <w:lang w:val="en-AU"/>
        </w:rPr>
        <w:t>and will be administered in accordance with the terms of the Federation Funding Agreement – Health. Where inconsistences exist between this Schedule and the requirements of the National Agreement, the National Agreement will prevail.</w:t>
      </w:r>
    </w:p>
    <w:p w14:paraId="655A4746" w14:textId="5FE60D34" w:rsidR="2BB02679" w:rsidRDefault="2BB02679" w:rsidP="7E9CE2D0">
      <w:pPr>
        <w:pStyle w:val="ListParagraph"/>
        <w:numPr>
          <w:ilvl w:val="0"/>
          <w:numId w:val="5"/>
        </w:numPr>
        <w:tabs>
          <w:tab w:val="left" w:pos="883"/>
          <w:tab w:val="left" w:pos="884"/>
        </w:tabs>
        <w:spacing w:before="119"/>
        <w:ind w:right="168"/>
        <w:rPr>
          <w:rFonts w:ascii="Calibri" w:eastAsia="Calibri" w:hAnsi="Calibri" w:cs="Calibri"/>
          <w:color w:val="000000" w:themeColor="text1"/>
          <w:szCs w:val="22"/>
        </w:rPr>
      </w:pPr>
      <w:r w:rsidRPr="7E9CE2D0">
        <w:rPr>
          <w:rFonts w:ascii="Calibri" w:eastAsia="Calibri" w:hAnsi="Calibri" w:cs="Calibri"/>
          <w:color w:val="000000" w:themeColor="text1"/>
          <w:szCs w:val="22"/>
          <w:lang w:val="en-AU"/>
        </w:rPr>
        <w:t>The Commonwealth undertakes to make the terms and conditions within this Schedule consistent, where appropriate, across the states and territories (states). In the event that more favourable terms and conditions are negotiated with a specific state, the Commonwealth will make these available to South Australia, if this relates to substantial financial or governance arrangements.</w:t>
      </w:r>
    </w:p>
    <w:p w14:paraId="70DA18D2" w14:textId="77777777" w:rsidR="008146F6" w:rsidRPr="005E4A1B" w:rsidRDefault="008146F6" w:rsidP="00A3099F">
      <w:pPr>
        <w:pStyle w:val="Heading1"/>
      </w:pPr>
      <w:r w:rsidRPr="005E4A1B">
        <w:t>Purpose</w:t>
      </w:r>
    </w:p>
    <w:p w14:paraId="79F7239A" w14:textId="77777777" w:rsidR="008146F6" w:rsidRPr="005E4A1B" w:rsidRDefault="008146F6" w:rsidP="006A1596">
      <w:pPr>
        <w:pStyle w:val="ListParagraph"/>
        <w:numPr>
          <w:ilvl w:val="0"/>
          <w:numId w:val="5"/>
        </w:numPr>
        <w:spacing w:line="24" w:lineRule="atLeast"/>
      </w:pPr>
      <w:r w:rsidRPr="005E4A1B">
        <w:t xml:space="preserve">This </w:t>
      </w:r>
      <w:r w:rsidR="002E0E98" w:rsidRPr="005E4A1B">
        <w:t>Schedule</w:t>
      </w:r>
      <w:r w:rsidRPr="005E4A1B">
        <w:t xml:space="preserve"> will support improved mental health and suicide prevention outcomes for all people in </w:t>
      </w:r>
      <w:r w:rsidR="00CB0417" w:rsidRPr="005E4A1B">
        <w:t>South Australia</w:t>
      </w:r>
      <w:r w:rsidRPr="005E4A1B">
        <w:t xml:space="preserve"> through collaborative efforts to address gaps in the mental health and suicide prevention system.</w:t>
      </w:r>
    </w:p>
    <w:p w14:paraId="191DB9C4" w14:textId="77777777" w:rsidR="00B42803" w:rsidRPr="005E4A1B" w:rsidRDefault="00B42803" w:rsidP="00B42803">
      <w:pPr>
        <w:pStyle w:val="Heading1"/>
      </w:pPr>
      <w:r w:rsidRPr="005E4A1B">
        <w:t>Principles</w:t>
      </w:r>
    </w:p>
    <w:p w14:paraId="246C608F" w14:textId="7F8F2C72" w:rsidR="00D83C67" w:rsidRPr="005E4A1B" w:rsidRDefault="00D83C67" w:rsidP="006A1596">
      <w:pPr>
        <w:pStyle w:val="ListParagraph"/>
        <w:numPr>
          <w:ilvl w:val="0"/>
          <w:numId w:val="5"/>
        </w:numPr>
      </w:pPr>
      <w:r w:rsidRPr="005E4A1B">
        <w:t>Activities within this Schedule will align with, and be carried out according to, the principles outlined in the National Agreement</w:t>
      </w:r>
      <w:r w:rsidR="00F3748D" w:rsidRPr="005E4A1B">
        <w:t xml:space="preserve"> and the National Health Reform Agreement Addendum </w:t>
      </w:r>
      <w:r w:rsidRPr="005E4A1B">
        <w:br/>
      </w:r>
      <w:r w:rsidR="00F3748D" w:rsidRPr="005E4A1B">
        <w:t>(NHRA)</w:t>
      </w:r>
      <w:r w:rsidRPr="005E4A1B">
        <w:t>.</w:t>
      </w:r>
    </w:p>
    <w:p w14:paraId="6CC104F2" w14:textId="77777777" w:rsidR="00963A2C" w:rsidRPr="005E4A1B" w:rsidRDefault="00963A2C" w:rsidP="00B42803">
      <w:pPr>
        <w:pStyle w:val="Heading1"/>
      </w:pPr>
      <w:r w:rsidRPr="005E4A1B">
        <w:t>Roles and Responsibilities</w:t>
      </w:r>
      <w:r w:rsidR="00F72F40" w:rsidRPr="005E4A1B">
        <w:t xml:space="preserve"> </w:t>
      </w:r>
      <w:r w:rsidR="00C17558" w:rsidRPr="005E4A1B">
        <w:t xml:space="preserve">specific to this </w:t>
      </w:r>
      <w:r w:rsidR="002E0E98" w:rsidRPr="005E4A1B">
        <w:t>Schedule</w:t>
      </w:r>
    </w:p>
    <w:p w14:paraId="43E79E31" w14:textId="77777777" w:rsidR="002E1F98" w:rsidRPr="005E4A1B" w:rsidRDefault="00963A2C" w:rsidP="006A1596">
      <w:pPr>
        <w:pStyle w:val="ListParagraph"/>
        <w:numPr>
          <w:ilvl w:val="0"/>
          <w:numId w:val="5"/>
        </w:numPr>
      </w:pPr>
      <w:r w:rsidRPr="005E4A1B">
        <w:t xml:space="preserve">This Schedule builds on the roles and responsibilities </w:t>
      </w:r>
      <w:r w:rsidR="00FC3AF6" w:rsidRPr="005E4A1B">
        <w:t xml:space="preserve">for the Commonwealth and the states and territories </w:t>
      </w:r>
      <w:r w:rsidRPr="005E4A1B">
        <w:t xml:space="preserve">agreed </w:t>
      </w:r>
      <w:r w:rsidR="00B33EBC" w:rsidRPr="005E4A1B">
        <w:t>in</w:t>
      </w:r>
      <w:r w:rsidR="00F3748D" w:rsidRPr="005E4A1B">
        <w:t xml:space="preserve"> the</w:t>
      </w:r>
      <w:r w:rsidRPr="005E4A1B">
        <w:t xml:space="preserve"> </w:t>
      </w:r>
      <w:r w:rsidR="00F3748D" w:rsidRPr="005E4A1B">
        <w:t>NHRA</w:t>
      </w:r>
      <w:r w:rsidR="00B33EBC" w:rsidRPr="005E4A1B">
        <w:t xml:space="preserve"> and</w:t>
      </w:r>
      <w:r w:rsidR="00FC3AF6" w:rsidRPr="005E4A1B">
        <w:t xml:space="preserve"> </w:t>
      </w:r>
      <w:r w:rsidR="00CC70E7" w:rsidRPr="005E4A1B">
        <w:t>the</w:t>
      </w:r>
      <w:r w:rsidR="00E60BC9" w:rsidRPr="005E4A1B">
        <w:t xml:space="preserve"> </w:t>
      </w:r>
      <w:r w:rsidR="00FC3AF6" w:rsidRPr="005E4A1B">
        <w:t>National Agreement</w:t>
      </w:r>
      <w:r w:rsidRPr="005E4A1B">
        <w:t xml:space="preserve"> </w:t>
      </w:r>
      <w:r w:rsidR="00E60BC9" w:rsidRPr="005E4A1B">
        <w:t xml:space="preserve">to </w:t>
      </w:r>
      <w:r w:rsidRPr="005E4A1B">
        <w:t>improve health outcomes for all Australians and ensure the sustainability of the Australian health system.</w:t>
      </w:r>
    </w:p>
    <w:p w14:paraId="27AC9565" w14:textId="46496B59" w:rsidR="002E1F98" w:rsidRPr="005E4A1B" w:rsidRDefault="001445E1" w:rsidP="002E1F98">
      <w:pPr>
        <w:pStyle w:val="ListParagraph"/>
        <w:numPr>
          <w:ilvl w:val="0"/>
          <w:numId w:val="5"/>
        </w:numPr>
      </w:pPr>
      <w:r w:rsidRPr="005E4A1B">
        <w:t xml:space="preserve">Broad roles and responsibilities for the Commonwealth and </w:t>
      </w:r>
      <w:r w:rsidR="007F7D3F" w:rsidRPr="005E4A1B">
        <w:t>the s</w:t>
      </w:r>
      <w:r w:rsidRPr="005E4A1B">
        <w:t>tates</w:t>
      </w:r>
      <w:r w:rsidR="007F7D3F" w:rsidRPr="005E4A1B">
        <w:t xml:space="preserve"> and t</w:t>
      </w:r>
      <w:r w:rsidRPr="005E4A1B">
        <w:t xml:space="preserve">erritories </w:t>
      </w:r>
      <w:r w:rsidR="00E97AC8" w:rsidRPr="005E4A1B">
        <w:t xml:space="preserve">are </w:t>
      </w:r>
      <w:r w:rsidRPr="005E4A1B">
        <w:t xml:space="preserve">specified in the National Agreement. Specific roles and responsibilities for the Commonwealth and </w:t>
      </w:r>
      <w:r w:rsidR="00CB0417" w:rsidRPr="005E4A1B">
        <w:t>South Australia</w:t>
      </w:r>
      <w:r w:rsidR="00F64BC7" w:rsidRPr="005E4A1B">
        <w:t xml:space="preserve"> </w:t>
      </w:r>
      <w:r w:rsidRPr="005E4A1B">
        <w:t xml:space="preserve">as they relate to this </w:t>
      </w:r>
      <w:r w:rsidR="002E0E98" w:rsidRPr="005E4A1B">
        <w:t>Schedule</w:t>
      </w:r>
      <w:r w:rsidRPr="005E4A1B">
        <w:t xml:space="preserve"> are set out below.</w:t>
      </w:r>
      <w:r w:rsidR="002E1F98" w:rsidRPr="005E4A1B">
        <w:t xml:space="preserve"> </w:t>
      </w:r>
    </w:p>
    <w:p w14:paraId="22EC0422" w14:textId="09A81B2A" w:rsidR="002E1F98" w:rsidRPr="005E4A1B" w:rsidRDefault="00D31737" w:rsidP="002E1F98">
      <w:pPr>
        <w:pStyle w:val="ListParagraph"/>
        <w:numPr>
          <w:ilvl w:val="0"/>
          <w:numId w:val="5"/>
        </w:numPr>
      </w:pPr>
      <w:r w:rsidRPr="005E4A1B">
        <w:t>The Parties are</w:t>
      </w:r>
      <w:r w:rsidR="002E1F98" w:rsidRPr="005E4A1B">
        <w:t xml:space="preserve"> committed to achieving outcomes for Aboriginal and Torres Strait Islander Australians. </w:t>
      </w:r>
      <w:r w:rsidRPr="005E4A1B">
        <w:t>The Parties</w:t>
      </w:r>
      <w:r w:rsidR="002E1F98" w:rsidRPr="005E4A1B">
        <w:t xml:space="preserve"> commit to continuing to work closely with the National Indigenous </w:t>
      </w:r>
      <w:r w:rsidR="002E1F98" w:rsidRPr="005E4A1B">
        <w:lastRenderedPageBreak/>
        <w:t xml:space="preserve">Australians Agency </w:t>
      </w:r>
      <w:r w:rsidR="00F66ABD" w:rsidRPr="005E4A1B">
        <w:t xml:space="preserve">and Aboriginal and Torres Strait </w:t>
      </w:r>
      <w:r w:rsidR="00504DC8" w:rsidRPr="005E4A1B">
        <w:t xml:space="preserve">Islander </w:t>
      </w:r>
      <w:r w:rsidR="00F66ABD" w:rsidRPr="005E4A1B">
        <w:t xml:space="preserve">service providers </w:t>
      </w:r>
      <w:r w:rsidR="002E1F98" w:rsidRPr="005E4A1B">
        <w:t xml:space="preserve">to ensure programs are </w:t>
      </w:r>
      <w:r w:rsidR="00647448" w:rsidRPr="005E4A1B">
        <w:t>best placed</w:t>
      </w:r>
      <w:r w:rsidR="002E1F98" w:rsidRPr="005E4A1B">
        <w:t xml:space="preserve"> to deliver optimal outcomes and to ensure that services are complimentary and not duplicative. </w:t>
      </w:r>
    </w:p>
    <w:p w14:paraId="536747EB" w14:textId="77777777" w:rsidR="00963A2C" w:rsidRPr="005E4A1B" w:rsidRDefault="00963A2C" w:rsidP="006A1596">
      <w:pPr>
        <w:pStyle w:val="ListParagraph"/>
        <w:numPr>
          <w:ilvl w:val="0"/>
          <w:numId w:val="5"/>
        </w:numPr>
      </w:pPr>
      <w:r w:rsidRPr="005E4A1B">
        <w:t xml:space="preserve">Under this </w:t>
      </w:r>
      <w:r w:rsidR="002E0E98" w:rsidRPr="005E4A1B">
        <w:t>Schedule</w:t>
      </w:r>
      <w:r w:rsidRPr="005E4A1B">
        <w:t>, the Commonwealth agrees to be responsible for:</w:t>
      </w:r>
    </w:p>
    <w:p w14:paraId="3C3EEBB9" w14:textId="4299D102" w:rsidR="007F48CE" w:rsidRPr="005E4A1B" w:rsidRDefault="002C2406" w:rsidP="007F48CE">
      <w:pPr>
        <w:pStyle w:val="ListParagraph"/>
        <w:numPr>
          <w:ilvl w:val="1"/>
          <w:numId w:val="5"/>
        </w:numPr>
      </w:pPr>
      <w:r>
        <w:t>Funding the establishment and operation of two</w:t>
      </w:r>
      <w:r w:rsidR="11D59DEE">
        <w:t xml:space="preserve"> small</w:t>
      </w:r>
      <w:r>
        <w:t xml:space="preserve"> </w:t>
      </w:r>
      <w:r w:rsidR="000B798C">
        <w:t>Medicare</w:t>
      </w:r>
      <w:r w:rsidR="00CC53B2">
        <w:t xml:space="preserve"> </w:t>
      </w:r>
      <w:r w:rsidR="00AC7759">
        <w:t>M</w:t>
      </w:r>
      <w:r w:rsidR="00CC53B2">
        <w:t xml:space="preserve">ental </w:t>
      </w:r>
      <w:r w:rsidR="00AC7759">
        <w:t>H</w:t>
      </w:r>
      <w:r w:rsidR="00CC53B2">
        <w:t xml:space="preserve">ealth </w:t>
      </w:r>
      <w:r w:rsidR="41FAEDCD">
        <w:t>Centres</w:t>
      </w:r>
      <w:r>
        <w:t xml:space="preserve"> in South Australia.</w:t>
      </w:r>
    </w:p>
    <w:p w14:paraId="54E5DA85" w14:textId="112984FF" w:rsidR="00E60BC9" w:rsidRPr="005E4A1B" w:rsidRDefault="00AB2BD2" w:rsidP="00210EC9">
      <w:pPr>
        <w:pStyle w:val="ListParagraph"/>
        <w:numPr>
          <w:ilvl w:val="1"/>
          <w:numId w:val="5"/>
        </w:numPr>
      </w:pPr>
      <w:r w:rsidRPr="005E4A1B">
        <w:t>F</w:t>
      </w:r>
      <w:r w:rsidR="00F4613A" w:rsidRPr="005E4A1B">
        <w:t>unding</w:t>
      </w:r>
      <w:r w:rsidR="00E90A87" w:rsidRPr="005E4A1B">
        <w:t xml:space="preserve"> </w:t>
      </w:r>
      <w:r w:rsidR="00CC53B2" w:rsidRPr="005E4A1B">
        <w:t xml:space="preserve">the establishment and </w:t>
      </w:r>
      <w:r w:rsidRPr="005E4A1B">
        <w:t xml:space="preserve">operation of </w:t>
      </w:r>
      <w:r w:rsidR="00DE1BA1" w:rsidRPr="005E4A1B">
        <w:t xml:space="preserve">two </w:t>
      </w:r>
      <w:r w:rsidR="22527FC1" w:rsidRPr="005E4A1B">
        <w:t xml:space="preserve">full </w:t>
      </w:r>
      <w:r w:rsidR="00BB3CE4" w:rsidRPr="005E4A1B">
        <w:t>Medicare</w:t>
      </w:r>
      <w:r w:rsidR="00F079D9" w:rsidRPr="005E4A1B">
        <w:t xml:space="preserve"> mental </w:t>
      </w:r>
      <w:r w:rsidR="00AC7759" w:rsidRPr="005E4A1B">
        <w:t>H</w:t>
      </w:r>
      <w:r w:rsidR="00F079D9" w:rsidRPr="005E4A1B">
        <w:t xml:space="preserve">ealth </w:t>
      </w:r>
      <w:r w:rsidR="00AC7759" w:rsidRPr="005E4A1B">
        <w:t>C</w:t>
      </w:r>
      <w:r w:rsidR="00F079D9" w:rsidRPr="005E4A1B">
        <w:t>entr</w:t>
      </w:r>
      <w:r w:rsidR="00AE2C10" w:rsidRPr="005E4A1B">
        <w:t>e</w:t>
      </w:r>
      <w:r w:rsidR="00DE1BA1" w:rsidRPr="005E4A1B">
        <w:t>s</w:t>
      </w:r>
      <w:r w:rsidR="006A58E9" w:rsidRPr="005E4A1B">
        <w:t>:</w:t>
      </w:r>
    </w:p>
    <w:p w14:paraId="10FCF0A5" w14:textId="656B2EFC" w:rsidR="00E60BC9" w:rsidRPr="005E4A1B" w:rsidRDefault="00253EF2" w:rsidP="00E60BC9">
      <w:pPr>
        <w:pStyle w:val="ListParagraph"/>
        <w:numPr>
          <w:ilvl w:val="2"/>
          <w:numId w:val="5"/>
        </w:numPr>
      </w:pPr>
      <w:r w:rsidRPr="005E4A1B">
        <w:t xml:space="preserve">one </w:t>
      </w:r>
      <w:r w:rsidR="00154AA2" w:rsidRPr="005E4A1B">
        <w:t xml:space="preserve">to be </w:t>
      </w:r>
      <w:r w:rsidR="000019FC" w:rsidRPr="005E4A1B">
        <w:t xml:space="preserve">integrated </w:t>
      </w:r>
      <w:r w:rsidR="00154AA2" w:rsidRPr="005E4A1B">
        <w:t xml:space="preserve">with </w:t>
      </w:r>
      <w:r w:rsidRPr="005E4A1B">
        <w:t xml:space="preserve">a new </w:t>
      </w:r>
      <w:r w:rsidR="00154AA2" w:rsidRPr="005E4A1B">
        <w:t>South Australia</w:t>
      </w:r>
      <w:r w:rsidR="001052D5" w:rsidRPr="005E4A1B">
        <w:t>n Crisis Stabil</w:t>
      </w:r>
      <w:r w:rsidR="00EA6CEF" w:rsidRPr="005E4A1B">
        <w:t>i</w:t>
      </w:r>
      <w:r w:rsidR="001052D5" w:rsidRPr="005E4A1B">
        <w:t xml:space="preserve">sation </w:t>
      </w:r>
      <w:r w:rsidR="00154AA2" w:rsidRPr="005E4A1B">
        <w:t>Centre</w:t>
      </w:r>
      <w:r w:rsidR="00FF1029">
        <w:t xml:space="preserve"> </w:t>
      </w:r>
      <w:r w:rsidR="52DFEB13" w:rsidRPr="005E4A1B">
        <w:rPr>
          <w:rFonts w:ascii="Calibri" w:eastAsia="Calibri" w:hAnsi="Calibri" w:cs="Calibri"/>
          <w:szCs w:val="22"/>
        </w:rPr>
        <w:t>(Northern Adelaide</w:t>
      </w:r>
      <w:r w:rsidR="00E60BC9" w:rsidRPr="005E4A1B">
        <w:t>;</w:t>
      </w:r>
      <w:r w:rsidRPr="005E4A1B">
        <w:t xml:space="preserve"> and</w:t>
      </w:r>
    </w:p>
    <w:p w14:paraId="52A892A0" w14:textId="18BAF729" w:rsidR="00E60BC9" w:rsidRPr="005E4A1B" w:rsidRDefault="00253EF2" w:rsidP="6245677E">
      <w:pPr>
        <w:pStyle w:val="ListParagraph"/>
        <w:numPr>
          <w:ilvl w:val="2"/>
          <w:numId w:val="5"/>
        </w:numPr>
        <w:rPr>
          <w:szCs w:val="22"/>
        </w:rPr>
      </w:pPr>
      <w:r w:rsidRPr="005E4A1B">
        <w:t>one to be</w:t>
      </w:r>
      <w:r w:rsidR="00A45974" w:rsidRPr="005E4A1B">
        <w:t xml:space="preserve"> an enhance</w:t>
      </w:r>
      <w:r w:rsidR="00523602" w:rsidRPr="005E4A1B">
        <w:t>d</w:t>
      </w:r>
      <w:r w:rsidR="00A45974" w:rsidRPr="005E4A1B">
        <w:t xml:space="preserve"> </w:t>
      </w:r>
      <w:r w:rsidR="00DC4596" w:rsidRPr="005E4A1B">
        <w:t>c</w:t>
      </w:r>
      <w:r w:rsidR="00A45974" w:rsidRPr="005E4A1B">
        <w:t xml:space="preserve">entre </w:t>
      </w:r>
      <w:r w:rsidR="00CC53B2" w:rsidRPr="005E4A1B">
        <w:t xml:space="preserve">that </w:t>
      </w:r>
      <w:r w:rsidR="00A45974" w:rsidRPr="005E4A1B">
        <w:t>align</w:t>
      </w:r>
      <w:r w:rsidR="00CC53B2" w:rsidRPr="005E4A1B">
        <w:t>s</w:t>
      </w:r>
      <w:r w:rsidR="00A45974" w:rsidRPr="005E4A1B">
        <w:t xml:space="preserve"> with elements of the South Australian</w:t>
      </w:r>
      <w:r w:rsidRPr="005E4A1B">
        <w:t xml:space="preserve"> Urgent </w:t>
      </w:r>
      <w:r w:rsidR="002F5ADE" w:rsidRPr="005E4A1B">
        <w:t xml:space="preserve">Mental Health </w:t>
      </w:r>
      <w:r w:rsidRPr="005E4A1B">
        <w:t>Care Centre</w:t>
      </w:r>
      <w:r w:rsidR="00A45974" w:rsidRPr="005E4A1B">
        <w:t xml:space="preserve"> model</w:t>
      </w:r>
      <w:r w:rsidR="00FF1029">
        <w:t xml:space="preserve"> </w:t>
      </w:r>
      <w:r w:rsidR="5CE0D43C" w:rsidRPr="005E4A1B">
        <w:rPr>
          <w:rFonts w:ascii="Calibri" w:eastAsia="Calibri" w:hAnsi="Calibri" w:cs="Calibri"/>
          <w:szCs w:val="22"/>
        </w:rPr>
        <w:t>(Mount Barker).</w:t>
      </w:r>
      <w:r w:rsidR="00F079D9" w:rsidRPr="005E4A1B">
        <w:t xml:space="preserve"> </w:t>
      </w:r>
    </w:p>
    <w:p w14:paraId="280DF62B" w14:textId="57A88FB3" w:rsidR="0072659E" w:rsidRPr="005E4A1B" w:rsidRDefault="00B407EB" w:rsidP="00E60BC9">
      <w:pPr>
        <w:pStyle w:val="ListParagraph"/>
        <w:numPr>
          <w:ilvl w:val="1"/>
          <w:numId w:val="5"/>
        </w:numPr>
      </w:pPr>
      <w:r w:rsidRPr="005E4A1B">
        <w:t xml:space="preserve">Continuing </w:t>
      </w:r>
      <w:r w:rsidR="00F079D9" w:rsidRPr="005E4A1B">
        <w:t xml:space="preserve">to </w:t>
      </w:r>
      <w:r w:rsidR="00CC53B2" w:rsidRPr="005E4A1B">
        <w:t>co-</w:t>
      </w:r>
      <w:r w:rsidR="00F079D9" w:rsidRPr="005E4A1B">
        <w:t>fund operation</w:t>
      </w:r>
      <w:r w:rsidR="00154AA2" w:rsidRPr="005E4A1B">
        <w:t>al</w:t>
      </w:r>
      <w:r w:rsidR="00F079D9" w:rsidRPr="005E4A1B">
        <w:t xml:space="preserve"> costs for one existing </w:t>
      </w:r>
      <w:r w:rsidR="00CC53B2" w:rsidRPr="005E4A1B">
        <w:t xml:space="preserve">Urgent Mental Health Care Centre </w:t>
      </w:r>
      <w:r w:rsidR="00F079D9" w:rsidRPr="005E4A1B">
        <w:t>in Adelaide.</w:t>
      </w:r>
    </w:p>
    <w:p w14:paraId="3AA994A1" w14:textId="1126C7F8" w:rsidR="003446BB" w:rsidRPr="005E4A1B" w:rsidRDefault="003446BB" w:rsidP="003446BB">
      <w:pPr>
        <w:pStyle w:val="ListParagraph"/>
        <w:numPr>
          <w:ilvl w:val="1"/>
          <w:numId w:val="5"/>
        </w:numPr>
      </w:pPr>
      <w:r w:rsidRPr="005E4A1B">
        <w:t>Providing a National Service Model and support to inform the development, implementation and operation of a decentralised Head to Health Kids Hubs model.</w:t>
      </w:r>
    </w:p>
    <w:p w14:paraId="16B7C97F" w14:textId="190622C6" w:rsidR="007F48CE" w:rsidRPr="005E4A1B" w:rsidRDefault="00B244CD" w:rsidP="00E60BC9">
      <w:pPr>
        <w:pStyle w:val="ListParagraph"/>
        <w:numPr>
          <w:ilvl w:val="1"/>
          <w:numId w:val="5"/>
        </w:numPr>
      </w:pPr>
      <w:r w:rsidRPr="005E4A1B">
        <w:t>Providing</w:t>
      </w:r>
      <w:r w:rsidR="003D3738" w:rsidRPr="005E4A1B">
        <w:t xml:space="preserve"> </w:t>
      </w:r>
      <w:r w:rsidRPr="005E4A1B">
        <w:t xml:space="preserve">funding to South Australia to establish and operate </w:t>
      </w:r>
      <w:r w:rsidR="00C115F7" w:rsidRPr="005E4A1B">
        <w:t xml:space="preserve">a </w:t>
      </w:r>
      <w:r w:rsidR="002906C6" w:rsidRPr="005E4A1B">
        <w:t xml:space="preserve">Medicare </w:t>
      </w:r>
      <w:r w:rsidR="00FA5A9C" w:rsidRPr="005E4A1B">
        <w:t>Mental</w:t>
      </w:r>
      <w:r w:rsidR="008A5DA0" w:rsidRPr="005E4A1B">
        <w:t xml:space="preserve"> </w:t>
      </w:r>
      <w:r w:rsidR="00AC7759" w:rsidRPr="005E4A1B">
        <w:t xml:space="preserve">Health </w:t>
      </w:r>
      <w:r w:rsidR="008A5DA0" w:rsidRPr="005E4A1B">
        <w:t>Kids Hub through a decentralised model across</w:t>
      </w:r>
      <w:r w:rsidR="00133AA3" w:rsidRPr="005E4A1B">
        <w:t xml:space="preserve"> up to</w:t>
      </w:r>
      <w:r w:rsidR="008A5DA0" w:rsidRPr="005E4A1B">
        <w:t xml:space="preserve"> </w:t>
      </w:r>
      <w:r w:rsidRPr="005E4A1B">
        <w:t>two</w:t>
      </w:r>
      <w:r w:rsidR="007F48CE" w:rsidRPr="005E4A1B">
        <w:t xml:space="preserve"> </w:t>
      </w:r>
      <w:r w:rsidR="008A5DA0" w:rsidRPr="005E4A1B">
        <w:t>locations</w:t>
      </w:r>
      <w:r w:rsidR="007F48CE" w:rsidRPr="005E4A1B">
        <w:t xml:space="preserve"> in accordance with the National Service Model.</w:t>
      </w:r>
    </w:p>
    <w:p w14:paraId="2744A28A" w14:textId="77777777" w:rsidR="00006AEE" w:rsidRPr="005E4A1B" w:rsidRDefault="00006AEE" w:rsidP="00006AEE">
      <w:pPr>
        <w:pStyle w:val="ListParagraph"/>
        <w:numPr>
          <w:ilvl w:val="1"/>
          <w:numId w:val="5"/>
        </w:numPr>
      </w:pPr>
      <w:r w:rsidRPr="005E4A1B">
        <w:t xml:space="preserve">Establishing one new headspace site to increase access to youth mental health services. </w:t>
      </w:r>
    </w:p>
    <w:p w14:paraId="4A07D742" w14:textId="77777777" w:rsidR="00A37AB7" w:rsidRPr="005E4A1B" w:rsidRDefault="00A37AB7" w:rsidP="008D20C0">
      <w:pPr>
        <w:pStyle w:val="ListParagraph"/>
        <w:numPr>
          <w:ilvl w:val="1"/>
          <w:numId w:val="5"/>
        </w:numPr>
      </w:pPr>
      <w:r w:rsidRPr="005E4A1B">
        <w:t xml:space="preserve">Maintaining and enhancing the Commonwealth’s </w:t>
      </w:r>
      <w:r w:rsidR="001E2F1B" w:rsidRPr="005E4A1B">
        <w:t>Initial</w:t>
      </w:r>
      <w:r w:rsidRPr="005E4A1B">
        <w:t xml:space="preserve"> Assessment and Referral </w:t>
      </w:r>
      <w:r w:rsidR="00F65A45" w:rsidRPr="005E4A1B">
        <w:t xml:space="preserve">(IAR) </w:t>
      </w:r>
      <w:r w:rsidRPr="005E4A1B">
        <w:t>Tool and implementing in primary care and Commonwea</w:t>
      </w:r>
      <w:r w:rsidR="00BC1913" w:rsidRPr="005E4A1B">
        <w:t>l</w:t>
      </w:r>
      <w:r w:rsidRPr="005E4A1B">
        <w:t>th-funded mental health services.</w:t>
      </w:r>
    </w:p>
    <w:p w14:paraId="2320B577" w14:textId="38F63870" w:rsidR="00D310CE" w:rsidRPr="005E4A1B" w:rsidRDefault="00E46CC2" w:rsidP="00564FEF">
      <w:pPr>
        <w:pStyle w:val="ListParagraph"/>
        <w:numPr>
          <w:ilvl w:val="1"/>
          <w:numId w:val="5"/>
        </w:numPr>
        <w:rPr>
          <w:lang w:val="en-AU"/>
        </w:rPr>
      </w:pPr>
      <w:r w:rsidRPr="005E4A1B">
        <w:t>Providing funding to South Australia to support implementation of the Aboriginal Mental Health and Wellbeing Centre.</w:t>
      </w:r>
    </w:p>
    <w:p w14:paraId="38DE5BD7" w14:textId="11F540B4" w:rsidR="00E9688E" w:rsidRPr="005E4A1B" w:rsidRDefault="00E9688E" w:rsidP="00CC70E7">
      <w:pPr>
        <w:pStyle w:val="ListParagraph"/>
        <w:numPr>
          <w:ilvl w:val="1"/>
          <w:numId w:val="5"/>
        </w:numPr>
        <w:rPr>
          <w:lang w:val="en-AU"/>
        </w:rPr>
      </w:pPr>
      <w:r w:rsidRPr="005E4A1B">
        <w:t xml:space="preserve">Funding the establishment of one </w:t>
      </w:r>
      <w:r w:rsidR="00CC70E7" w:rsidRPr="005E4A1B">
        <w:rPr>
          <w:lang w:val="en-AU"/>
        </w:rPr>
        <w:t xml:space="preserve">Distress Brief Support Trial </w:t>
      </w:r>
      <w:r w:rsidR="00CC70E7" w:rsidRPr="005E4A1B">
        <w:t>site</w:t>
      </w:r>
      <w:r w:rsidR="0028635A" w:rsidRPr="005E4A1B">
        <w:t xml:space="preserve"> and supporting the trial through</w:t>
      </w:r>
      <w:r w:rsidR="00083BC0" w:rsidRPr="005E4A1B">
        <w:t xml:space="preserve"> national governance</w:t>
      </w:r>
      <w:r w:rsidR="0028635A" w:rsidRPr="005E4A1B">
        <w:t xml:space="preserve"> and</w:t>
      </w:r>
      <w:r w:rsidR="00083BC0" w:rsidRPr="005E4A1B">
        <w:t xml:space="preserve"> collaboration with participating states, </w:t>
      </w:r>
      <w:r w:rsidR="00DF7536" w:rsidRPr="005E4A1B">
        <w:t>implementation,</w:t>
      </w:r>
      <w:r w:rsidR="00083BC0" w:rsidRPr="005E4A1B">
        <w:t xml:space="preserve"> and evaluation</w:t>
      </w:r>
      <w:r w:rsidR="00CC70E7" w:rsidRPr="005E4A1B">
        <w:t>.</w:t>
      </w:r>
    </w:p>
    <w:p w14:paraId="5E622687" w14:textId="1F0B6863" w:rsidR="00B407EB" w:rsidRPr="005E4A1B" w:rsidRDefault="00523602" w:rsidP="00A37AB7">
      <w:pPr>
        <w:pStyle w:val="ListParagraph"/>
        <w:numPr>
          <w:ilvl w:val="1"/>
          <w:numId w:val="5"/>
        </w:numPr>
      </w:pPr>
      <w:r>
        <w:t>Funding postvention support services in South Australia for people bereaved and impacted by suicide.</w:t>
      </w:r>
    </w:p>
    <w:p w14:paraId="766CE534" w14:textId="13B06394" w:rsidR="00154AA2" w:rsidRPr="005E4A1B" w:rsidRDefault="00154AA2" w:rsidP="00A37AB7">
      <w:pPr>
        <w:pStyle w:val="ListParagraph"/>
        <w:numPr>
          <w:ilvl w:val="1"/>
          <w:numId w:val="5"/>
        </w:numPr>
      </w:pPr>
      <w:r>
        <w:t xml:space="preserve">Providing funding to South Australia </w:t>
      </w:r>
      <w:r w:rsidR="00BC7069">
        <w:t xml:space="preserve">to support </w:t>
      </w:r>
      <w:r w:rsidR="00CC53B2">
        <w:t xml:space="preserve">integration </w:t>
      </w:r>
      <w:r w:rsidR="00BC7069">
        <w:t>of the IAR tool and the National Phone / Digital Intake Service</w:t>
      </w:r>
      <w:r w:rsidR="00CC53B2">
        <w:t xml:space="preserve"> with existing intake processes</w:t>
      </w:r>
      <w:r w:rsidR="00BC7069">
        <w:t>.</w:t>
      </w:r>
    </w:p>
    <w:p w14:paraId="3A8CDCED" w14:textId="35738E83" w:rsidR="2A5718C0" w:rsidRDefault="2A5718C0" w:rsidP="59267F59">
      <w:pPr>
        <w:pStyle w:val="ListParagraph"/>
        <w:numPr>
          <w:ilvl w:val="1"/>
          <w:numId w:val="5"/>
        </w:numPr>
      </w:pPr>
      <w:r>
        <w:t xml:space="preserve">Aiming to make sure PHNs have sufficient time to deliver on PHN commissioned initiatives. </w:t>
      </w:r>
    </w:p>
    <w:p w14:paraId="4AA1E5C4" w14:textId="77777777" w:rsidR="00F72F40" w:rsidRPr="005E4A1B" w:rsidRDefault="00F72F40" w:rsidP="006A1596">
      <w:pPr>
        <w:pStyle w:val="ListParagraph"/>
        <w:numPr>
          <w:ilvl w:val="0"/>
          <w:numId w:val="5"/>
        </w:numPr>
      </w:pPr>
      <w:r>
        <w:t xml:space="preserve">Under this </w:t>
      </w:r>
      <w:r w:rsidR="002E0E98">
        <w:t>Schedule</w:t>
      </w:r>
      <w:r>
        <w:t xml:space="preserve">, </w:t>
      </w:r>
      <w:r w:rsidR="00CB0417">
        <w:t xml:space="preserve">South Australia </w:t>
      </w:r>
      <w:r>
        <w:t>agrees to be responsible for:</w:t>
      </w:r>
    </w:p>
    <w:p w14:paraId="3FF85D01" w14:textId="1B70D445" w:rsidR="000019FC" w:rsidRPr="005E4A1B" w:rsidRDefault="00AB2BD2" w:rsidP="006A1596">
      <w:pPr>
        <w:pStyle w:val="ListParagraph"/>
        <w:numPr>
          <w:ilvl w:val="1"/>
          <w:numId w:val="5"/>
        </w:numPr>
      </w:pPr>
      <w:r>
        <w:t xml:space="preserve">Funding the </w:t>
      </w:r>
      <w:r w:rsidR="00CC53B2">
        <w:t xml:space="preserve">establishment and </w:t>
      </w:r>
      <w:r>
        <w:t xml:space="preserve">operation of </w:t>
      </w:r>
      <w:r w:rsidR="00253EF2">
        <w:t xml:space="preserve">a </w:t>
      </w:r>
      <w:r>
        <w:t xml:space="preserve">new </w:t>
      </w:r>
      <w:r w:rsidR="00750FB2">
        <w:t xml:space="preserve">South Australian </w:t>
      </w:r>
      <w:r w:rsidR="001052D5">
        <w:t>Crisis Stabilisation</w:t>
      </w:r>
      <w:r w:rsidR="00F65A45">
        <w:t xml:space="preserve"> Centre</w:t>
      </w:r>
      <w:r w:rsidR="00CC53B2">
        <w:t>,</w:t>
      </w:r>
      <w:r w:rsidR="00253EF2">
        <w:t xml:space="preserve"> </w:t>
      </w:r>
      <w:r w:rsidR="00CC53B2">
        <w:t xml:space="preserve">to be </w:t>
      </w:r>
      <w:r w:rsidR="004870C2">
        <w:t>integrated</w:t>
      </w:r>
      <w:r w:rsidR="00CC53B2">
        <w:t xml:space="preserve"> </w:t>
      </w:r>
      <w:r>
        <w:t>with the</w:t>
      </w:r>
      <w:r w:rsidR="00113762">
        <w:t xml:space="preserve"> Commonwealth-funded</w:t>
      </w:r>
      <w:r>
        <w:t xml:space="preserve"> </w:t>
      </w:r>
      <w:r w:rsidR="00CC53B2">
        <w:t xml:space="preserve">Northern Adelaide </w:t>
      </w:r>
      <w:r w:rsidR="1DF12DA1">
        <w:t>Medicare Mental Health Centre</w:t>
      </w:r>
      <w:r>
        <w:t>.</w:t>
      </w:r>
    </w:p>
    <w:p w14:paraId="3614D02C" w14:textId="528C1E17" w:rsidR="00AB2BD2" w:rsidRPr="005E4A1B" w:rsidRDefault="003446BB" w:rsidP="006A1596">
      <w:pPr>
        <w:pStyle w:val="ListParagraph"/>
        <w:numPr>
          <w:ilvl w:val="1"/>
          <w:numId w:val="5"/>
        </w:numPr>
      </w:pPr>
      <w:bookmarkStart w:id="0" w:name="_Hlk138325749"/>
      <w:r w:rsidRPr="005E4A1B">
        <w:t>P</w:t>
      </w:r>
      <w:r w:rsidR="00BB7FD7" w:rsidRPr="005E4A1B">
        <w:t>roviding</w:t>
      </w:r>
      <w:r w:rsidR="000019FC" w:rsidRPr="005E4A1B">
        <w:t xml:space="preserve"> funding to enhance the capability of the Northern Adelaide </w:t>
      </w:r>
      <w:r w:rsidR="00364E4F" w:rsidRPr="005E4A1B">
        <w:t xml:space="preserve">Medicare </w:t>
      </w:r>
      <w:r w:rsidR="00FB1CD3" w:rsidRPr="005E4A1B">
        <w:t>Mental</w:t>
      </w:r>
      <w:r w:rsidR="000019FC" w:rsidRPr="005E4A1B">
        <w:t xml:space="preserve"> Health Centre to support full integration with the</w:t>
      </w:r>
      <w:r w:rsidR="00750FB2" w:rsidRPr="005E4A1B">
        <w:t xml:space="preserve"> South Australian</w:t>
      </w:r>
      <w:r w:rsidR="000019FC" w:rsidRPr="005E4A1B">
        <w:t xml:space="preserve"> Crisis Stabilisation Centre. </w:t>
      </w:r>
      <w:bookmarkEnd w:id="0"/>
    </w:p>
    <w:p w14:paraId="5782F589" w14:textId="42A9193C" w:rsidR="00837BCE" w:rsidRPr="005E4A1B" w:rsidRDefault="00837BCE" w:rsidP="006A1596">
      <w:pPr>
        <w:pStyle w:val="ListParagraph"/>
        <w:numPr>
          <w:ilvl w:val="1"/>
          <w:numId w:val="5"/>
        </w:numPr>
      </w:pPr>
      <w:r w:rsidRPr="005E4A1B">
        <w:t xml:space="preserve">Funding the enhancement of the </w:t>
      </w:r>
      <w:r w:rsidR="004A33BE" w:rsidRPr="005E4A1B">
        <w:t>Mount</w:t>
      </w:r>
      <w:r w:rsidRPr="005E4A1B">
        <w:t xml:space="preserve"> Barker </w:t>
      </w:r>
      <w:r w:rsidR="00FB1CD3" w:rsidRPr="005E4A1B">
        <w:t xml:space="preserve">Medicare </w:t>
      </w:r>
      <w:r w:rsidR="00A43725" w:rsidRPr="005E4A1B">
        <w:t>Mental Health</w:t>
      </w:r>
      <w:r w:rsidRPr="005E4A1B">
        <w:t xml:space="preserve"> </w:t>
      </w:r>
      <w:r w:rsidR="00666F0C" w:rsidRPr="005E4A1B">
        <w:t xml:space="preserve">Centre </w:t>
      </w:r>
      <w:r w:rsidRPr="005E4A1B">
        <w:t xml:space="preserve">to provide additional urgent and crisis support capabilities, beyond the core requirements of the </w:t>
      </w:r>
      <w:r w:rsidR="00A43725" w:rsidRPr="005E4A1B">
        <w:t xml:space="preserve">Medicare </w:t>
      </w:r>
      <w:r w:rsidRPr="005E4A1B">
        <w:t xml:space="preserve">Mental Health </w:t>
      </w:r>
      <w:r w:rsidR="00750FB2" w:rsidRPr="005E4A1B">
        <w:t>Centre’s</w:t>
      </w:r>
      <w:r w:rsidRPr="005E4A1B">
        <w:t xml:space="preserve"> </w:t>
      </w:r>
      <w:r w:rsidR="77FBED8E" w:rsidRPr="005E4A1B">
        <w:t xml:space="preserve">national </w:t>
      </w:r>
      <w:r w:rsidRPr="005E4A1B">
        <w:t>Service Model.</w:t>
      </w:r>
    </w:p>
    <w:p w14:paraId="56126288" w14:textId="2C8069F2" w:rsidR="00A45974" w:rsidRPr="005E4A1B" w:rsidRDefault="00A45974" w:rsidP="6245677E">
      <w:pPr>
        <w:pStyle w:val="ListParagraph"/>
        <w:numPr>
          <w:ilvl w:val="1"/>
          <w:numId w:val="5"/>
        </w:numPr>
        <w:rPr>
          <w:szCs w:val="22"/>
        </w:rPr>
      </w:pPr>
      <w:r w:rsidRPr="005E4A1B">
        <w:t>Working towards enhancing digital screening and data collection for antenatal and postnatal mental health screening across public maternity and family care setting</w:t>
      </w:r>
      <w:r w:rsidR="00E9688E" w:rsidRPr="005E4A1B">
        <w:t>s</w:t>
      </w:r>
      <w:r w:rsidRPr="005E4A1B">
        <w:t>, and contributing</w:t>
      </w:r>
      <w:r w:rsidR="007C1CAA" w:rsidRPr="005E4A1B">
        <w:t xml:space="preserve"> nationally consistent</w:t>
      </w:r>
      <w:r w:rsidRPr="005E4A1B">
        <w:t xml:space="preserve"> </w:t>
      </w:r>
      <w:r w:rsidR="007C1CAA" w:rsidRPr="005E4A1B">
        <w:t xml:space="preserve">perinatal mental health </w:t>
      </w:r>
      <w:r w:rsidR="7AF6F522" w:rsidRPr="005E4A1B">
        <w:rPr>
          <w:rFonts w:ascii="Calibri" w:eastAsia="Calibri" w:hAnsi="Calibri" w:cs="Calibri"/>
          <w:szCs w:val="22"/>
        </w:rPr>
        <w:t>screening</w:t>
      </w:r>
      <w:r w:rsidR="7AF6F522" w:rsidRPr="005E4A1B">
        <w:t xml:space="preserve"> </w:t>
      </w:r>
      <w:r w:rsidRPr="005E4A1B">
        <w:t xml:space="preserve">data to </w:t>
      </w:r>
      <w:r w:rsidR="007C1CAA" w:rsidRPr="005E4A1B">
        <w:t>the Australian Institute of Health and Welfare</w:t>
      </w:r>
      <w:r w:rsidRPr="005E4A1B">
        <w:t>.</w:t>
      </w:r>
    </w:p>
    <w:p w14:paraId="1A5AEC7A" w14:textId="77777777" w:rsidR="00504DC8" w:rsidRPr="005E4A1B" w:rsidRDefault="00504DC8" w:rsidP="00504DC8">
      <w:pPr>
        <w:pStyle w:val="ListParagraph"/>
        <w:numPr>
          <w:ilvl w:val="1"/>
          <w:numId w:val="5"/>
        </w:numPr>
      </w:pPr>
      <w:r w:rsidRPr="005E4A1B">
        <w:lastRenderedPageBreak/>
        <w:t xml:space="preserve">Adopting and implementing the </w:t>
      </w:r>
      <w:r w:rsidR="00BC7069" w:rsidRPr="005E4A1B">
        <w:t>IAR</w:t>
      </w:r>
      <w:r w:rsidRPr="005E4A1B">
        <w:t xml:space="preserve"> Tool in </w:t>
      </w:r>
      <w:r w:rsidR="006623F4" w:rsidRPr="005E4A1B">
        <w:t>South Australian</w:t>
      </w:r>
      <w:r w:rsidRPr="005E4A1B">
        <w:t xml:space="preserve"> mental health clinical services.</w:t>
      </w:r>
    </w:p>
    <w:p w14:paraId="2D2EBB78" w14:textId="0335E0E1" w:rsidR="0079774A" w:rsidRPr="005E4A1B" w:rsidRDefault="00837BCE" w:rsidP="00504DC8">
      <w:pPr>
        <w:pStyle w:val="ListParagraph"/>
        <w:numPr>
          <w:ilvl w:val="1"/>
          <w:numId w:val="5"/>
        </w:numPr>
      </w:pPr>
      <w:r w:rsidRPr="005E4A1B">
        <w:t xml:space="preserve">Supporting integration of </w:t>
      </w:r>
      <w:r w:rsidR="0079774A" w:rsidRPr="005E4A1B">
        <w:t>the National Phone / Digital Intake Service</w:t>
      </w:r>
      <w:r w:rsidRPr="005E4A1B">
        <w:t xml:space="preserve"> with existing state intake processes</w:t>
      </w:r>
      <w:r w:rsidR="0079774A" w:rsidRPr="005E4A1B">
        <w:t>.</w:t>
      </w:r>
    </w:p>
    <w:p w14:paraId="74DAB871" w14:textId="4B1326DE" w:rsidR="00655935" w:rsidRPr="005E4A1B" w:rsidRDefault="008A5DA0" w:rsidP="00655935">
      <w:pPr>
        <w:pStyle w:val="ListParagraph"/>
        <w:numPr>
          <w:ilvl w:val="1"/>
          <w:numId w:val="5"/>
        </w:numPr>
      </w:pPr>
      <w:r w:rsidRPr="005E4A1B">
        <w:t xml:space="preserve">Establishing and </w:t>
      </w:r>
      <w:r w:rsidR="00D43867" w:rsidRPr="005E4A1B">
        <w:t xml:space="preserve">commissioning </w:t>
      </w:r>
      <w:r w:rsidRPr="005E4A1B">
        <w:t xml:space="preserve">operation of a </w:t>
      </w:r>
      <w:r w:rsidR="00D6376C" w:rsidRPr="005E4A1B">
        <w:t>Medicare Mental</w:t>
      </w:r>
      <w:r w:rsidR="009E7E04" w:rsidRPr="005E4A1B">
        <w:t xml:space="preserve"> </w:t>
      </w:r>
      <w:r w:rsidRPr="005E4A1B">
        <w:t>Health Kids Hub</w:t>
      </w:r>
      <w:r w:rsidR="00D43867" w:rsidRPr="005E4A1B">
        <w:t>, funded by the Commonwealth,</w:t>
      </w:r>
      <w:r w:rsidRPr="005E4A1B">
        <w:t xml:space="preserve"> through a </w:t>
      </w:r>
      <w:r w:rsidR="00D43867" w:rsidRPr="005E4A1B">
        <w:t>decentrali</w:t>
      </w:r>
      <w:r w:rsidR="00750FB2" w:rsidRPr="005E4A1B">
        <w:t>s</w:t>
      </w:r>
      <w:r w:rsidR="00D43867" w:rsidRPr="005E4A1B">
        <w:t>ed</w:t>
      </w:r>
      <w:r w:rsidRPr="005E4A1B">
        <w:t xml:space="preserve"> model</w:t>
      </w:r>
      <w:r w:rsidR="00A83962" w:rsidRPr="005E4A1B">
        <w:t xml:space="preserve"> </w:t>
      </w:r>
      <w:r w:rsidRPr="005E4A1B">
        <w:t xml:space="preserve">across </w:t>
      </w:r>
      <w:r w:rsidR="00133AA3" w:rsidRPr="005E4A1B">
        <w:t xml:space="preserve">up to </w:t>
      </w:r>
      <w:r w:rsidRPr="005E4A1B">
        <w:t xml:space="preserve">two locations, in accordance with the National Service Model and </w:t>
      </w:r>
      <w:r w:rsidR="00104D4E" w:rsidRPr="005E4A1B">
        <w:t>Medicare Mental</w:t>
      </w:r>
      <w:r w:rsidRPr="005E4A1B">
        <w:t xml:space="preserve"> Health Kids branding and in consultation with Primary Health Networks (PHNs</w:t>
      </w:r>
    </w:p>
    <w:p w14:paraId="13BA6912" w14:textId="77777777" w:rsidR="00F72F40" w:rsidRPr="005E4A1B" w:rsidRDefault="00F72F40" w:rsidP="006A1596">
      <w:pPr>
        <w:pStyle w:val="ListParagraph"/>
        <w:numPr>
          <w:ilvl w:val="0"/>
          <w:numId w:val="5"/>
        </w:numPr>
      </w:pPr>
      <w:r w:rsidRPr="005E4A1B">
        <w:t>To support delivery of the initiatives identified in this Schedule, the Parties will jointly be responsible for:</w:t>
      </w:r>
    </w:p>
    <w:p w14:paraId="715D8F0F" w14:textId="789D9B84" w:rsidR="00474774" w:rsidRPr="005E4A1B" w:rsidRDefault="00A83962" w:rsidP="6245677E">
      <w:pPr>
        <w:pStyle w:val="ListParagraph"/>
        <w:numPr>
          <w:ilvl w:val="1"/>
          <w:numId w:val="5"/>
        </w:numPr>
        <w:rPr>
          <w:szCs w:val="22"/>
        </w:rPr>
      </w:pPr>
      <w:r w:rsidRPr="005E4A1B">
        <w:t>Agreeing</w:t>
      </w:r>
      <w:r w:rsidR="008A5DA0" w:rsidRPr="005E4A1B">
        <w:t xml:space="preserve"> a decentralised model</w:t>
      </w:r>
      <w:r w:rsidRPr="005E4A1B">
        <w:t xml:space="preserve"> for the </w:t>
      </w:r>
      <w:r w:rsidR="00A47B58" w:rsidRPr="005E4A1B">
        <w:t>Medicare Mental</w:t>
      </w:r>
      <w:r w:rsidRPr="005E4A1B">
        <w:t xml:space="preserve"> Kids Hub</w:t>
      </w:r>
      <w:r w:rsidR="00D47D3E" w:rsidRPr="005E4A1B">
        <w:t xml:space="preserve"> </w:t>
      </w:r>
      <w:r w:rsidR="008A5DA0" w:rsidRPr="005E4A1B">
        <w:t>to improve access to multidisciplinary team care for children</w:t>
      </w:r>
      <w:r w:rsidR="37131577" w:rsidRPr="005E4A1B">
        <w:t xml:space="preserve"> </w:t>
      </w:r>
      <w:r w:rsidR="37131577" w:rsidRPr="005E4A1B">
        <w:rPr>
          <w:rFonts w:ascii="Calibri" w:eastAsia="Calibri" w:hAnsi="Calibri" w:cs="Calibri"/>
          <w:szCs w:val="22"/>
        </w:rPr>
        <w:t>0-12 (families, carers and kin)</w:t>
      </w:r>
      <w:r w:rsidR="00474774" w:rsidRPr="005E4A1B">
        <w:t>.</w:t>
      </w:r>
    </w:p>
    <w:p w14:paraId="1800FDA1" w14:textId="49549AD5" w:rsidR="00D31737" w:rsidRPr="005E4A1B" w:rsidRDefault="000D2351" w:rsidP="00D31737">
      <w:pPr>
        <w:pStyle w:val="ListParagraph"/>
        <w:numPr>
          <w:ilvl w:val="1"/>
          <w:numId w:val="5"/>
        </w:numPr>
      </w:pPr>
      <w:r>
        <w:t xml:space="preserve">Co-funding the </w:t>
      </w:r>
      <w:r w:rsidR="00AB2BD2">
        <w:t xml:space="preserve">establishment of </w:t>
      </w:r>
      <w:r w:rsidR="00DE1BA1">
        <w:t xml:space="preserve">two </w:t>
      </w:r>
      <w:r w:rsidR="000019FC">
        <w:t xml:space="preserve">integrated services </w:t>
      </w:r>
      <w:r w:rsidR="00151527">
        <w:t xml:space="preserve">to improve access to multidisciplinary adult mental health </w:t>
      </w:r>
      <w:r w:rsidR="00837BCE">
        <w:t xml:space="preserve">care </w:t>
      </w:r>
      <w:r w:rsidR="00151527">
        <w:t xml:space="preserve">including </w:t>
      </w:r>
      <w:r w:rsidR="007447EA">
        <w:t>Medicare Mental Health</w:t>
      </w:r>
      <w:r w:rsidR="00151527">
        <w:t xml:space="preserve"> </w:t>
      </w:r>
      <w:r w:rsidR="005A5846">
        <w:t>C</w:t>
      </w:r>
      <w:r w:rsidR="00151527">
        <w:t xml:space="preserve">entres and </w:t>
      </w:r>
      <w:r>
        <w:t>state-funded</w:t>
      </w:r>
      <w:r w:rsidR="00151527">
        <w:t xml:space="preserve"> </w:t>
      </w:r>
      <w:r w:rsidR="00523602">
        <w:t xml:space="preserve">mental health </w:t>
      </w:r>
      <w:r w:rsidR="00151527">
        <w:t>services</w:t>
      </w:r>
      <w:r w:rsidR="00253EF2">
        <w:t xml:space="preserve"> such as a new Crisis Stabil</w:t>
      </w:r>
      <w:r w:rsidR="00EA6CEF">
        <w:t>i</w:t>
      </w:r>
      <w:r w:rsidR="00253EF2">
        <w:t>sation Centre</w:t>
      </w:r>
      <w:r w:rsidR="00151527">
        <w:t>.</w:t>
      </w:r>
    </w:p>
    <w:p w14:paraId="790ED709" w14:textId="77777777" w:rsidR="00F72F40" w:rsidRPr="005E4A1B" w:rsidRDefault="00F72F40" w:rsidP="006A1596">
      <w:pPr>
        <w:pStyle w:val="ListParagraph"/>
        <w:numPr>
          <w:ilvl w:val="1"/>
          <w:numId w:val="5"/>
        </w:numPr>
      </w:pPr>
      <w:r w:rsidRPr="005E4A1B">
        <w:t>Integration of adult mental health services.</w:t>
      </w:r>
    </w:p>
    <w:p w14:paraId="7AEA37E8" w14:textId="0CAABEAA" w:rsidR="00F879B5" w:rsidRPr="005E4A1B" w:rsidRDefault="00C60E9D" w:rsidP="00474774">
      <w:pPr>
        <w:pStyle w:val="ListParagraph"/>
        <w:numPr>
          <w:ilvl w:val="1"/>
          <w:numId w:val="5"/>
        </w:numPr>
      </w:pPr>
      <w:r w:rsidRPr="005E4A1B">
        <w:rPr>
          <w:rFonts w:cstheme="minorHAnsi"/>
        </w:rPr>
        <w:t xml:space="preserve">Co-funding, on a 50:50 basis, the establishment and ongoing operation of an Aboriginal </w:t>
      </w:r>
      <w:r w:rsidR="00C20366" w:rsidRPr="005E4A1B">
        <w:rPr>
          <w:rFonts w:cstheme="minorHAnsi"/>
        </w:rPr>
        <w:t xml:space="preserve">Social </w:t>
      </w:r>
      <w:r w:rsidR="00AA4395" w:rsidRPr="005E4A1B">
        <w:rPr>
          <w:rFonts w:cstheme="minorHAnsi"/>
        </w:rPr>
        <w:t>and Emotional</w:t>
      </w:r>
      <w:r w:rsidRPr="005E4A1B">
        <w:rPr>
          <w:rFonts w:cstheme="minorHAnsi"/>
        </w:rPr>
        <w:t xml:space="preserve"> Wellbeing Centre in accordance with an agreed service model </w:t>
      </w:r>
      <w:r w:rsidRPr="005E4A1B">
        <w:t>to improve access to culturally appropriate, multidisciplinary mental health and wellbeing services for Aboriginal and Torres Strait Islander peoples and improve service integration.</w:t>
      </w:r>
      <w:r w:rsidR="0081666C" w:rsidRPr="005E4A1B" w:rsidDel="0081666C">
        <w:t xml:space="preserve"> </w:t>
      </w:r>
    </w:p>
    <w:p w14:paraId="066FAABB" w14:textId="44B70452" w:rsidR="007250E5" w:rsidRPr="005E4A1B" w:rsidRDefault="007F2D35" w:rsidP="00CE30C2">
      <w:pPr>
        <w:pStyle w:val="ListParagraph"/>
        <w:numPr>
          <w:ilvl w:val="1"/>
          <w:numId w:val="5"/>
        </w:numPr>
      </w:pPr>
      <w:r w:rsidRPr="005E4A1B">
        <w:rPr>
          <w:rFonts w:cstheme="minorHAnsi"/>
        </w:rPr>
        <w:t>Establishing a partnership approach to enhance, through</w:t>
      </w:r>
      <w:r w:rsidR="00D43867" w:rsidRPr="005E4A1B">
        <w:rPr>
          <w:rFonts w:cstheme="minorHAnsi"/>
        </w:rPr>
        <w:t xml:space="preserve"> Commonwealth</w:t>
      </w:r>
      <w:r w:rsidRPr="005E4A1B">
        <w:rPr>
          <w:rFonts w:cstheme="minorHAnsi"/>
        </w:rPr>
        <w:t xml:space="preserve"> funding </w:t>
      </w:r>
      <w:r w:rsidR="003312FE" w:rsidRPr="005E4A1B">
        <w:rPr>
          <w:rFonts w:cstheme="minorHAnsi"/>
        </w:rPr>
        <w:t xml:space="preserve">and </w:t>
      </w:r>
      <w:r w:rsidR="00D43867" w:rsidRPr="005E4A1B">
        <w:rPr>
          <w:rFonts w:cstheme="minorHAnsi"/>
        </w:rPr>
        <w:t xml:space="preserve">existing state resource </w:t>
      </w:r>
      <w:r w:rsidRPr="005E4A1B">
        <w:rPr>
          <w:rFonts w:cstheme="minorHAnsi"/>
        </w:rPr>
        <w:t>contribution</w:t>
      </w:r>
      <w:r w:rsidR="003312FE" w:rsidRPr="005E4A1B">
        <w:rPr>
          <w:rFonts w:cstheme="minorHAnsi"/>
        </w:rPr>
        <w:t>s</w:t>
      </w:r>
      <w:r w:rsidRPr="005E4A1B">
        <w:rPr>
          <w:rFonts w:cstheme="minorHAnsi"/>
        </w:rPr>
        <w:t xml:space="preserve">, current and planned headspace services to increase access to </w:t>
      </w:r>
      <w:r w:rsidR="006D365A" w:rsidRPr="005E4A1B">
        <w:rPr>
          <w:rFonts w:cstheme="minorHAnsi"/>
        </w:rPr>
        <w:t xml:space="preserve">multidisciplinary </w:t>
      </w:r>
      <w:r w:rsidRPr="005E4A1B">
        <w:rPr>
          <w:rFonts w:cstheme="minorHAnsi"/>
        </w:rPr>
        <w:t>youth mental health services</w:t>
      </w:r>
      <w:r w:rsidR="006D365A" w:rsidRPr="005E4A1B">
        <w:rPr>
          <w:rFonts w:cstheme="minorHAnsi"/>
        </w:rPr>
        <w:t xml:space="preserve"> in South Australia</w:t>
      </w:r>
      <w:r w:rsidRPr="005E4A1B">
        <w:rPr>
          <w:rFonts w:cstheme="minorHAnsi"/>
        </w:rPr>
        <w:t xml:space="preserve">, </w:t>
      </w:r>
      <w:r w:rsidR="006D365A" w:rsidRPr="005E4A1B">
        <w:rPr>
          <w:rFonts w:cstheme="minorHAnsi"/>
        </w:rPr>
        <w:t xml:space="preserve">ensuring integration with existing services in a way that is </w:t>
      </w:r>
      <w:r w:rsidRPr="005E4A1B">
        <w:rPr>
          <w:rFonts w:cstheme="minorHAnsi"/>
        </w:rPr>
        <w:t>consistent with the headspace model with the addition of service offerings that support severe/complex presentations</w:t>
      </w:r>
      <w:r w:rsidR="007250E5" w:rsidRPr="005E4A1B">
        <w:t xml:space="preserve">. </w:t>
      </w:r>
    </w:p>
    <w:p w14:paraId="04F58DB2" w14:textId="77777777" w:rsidR="00F72F40" w:rsidRPr="005E4A1B" w:rsidRDefault="007F2D35" w:rsidP="006A1596">
      <w:pPr>
        <w:pStyle w:val="ListParagraph"/>
        <w:numPr>
          <w:ilvl w:val="1"/>
          <w:numId w:val="5"/>
        </w:numPr>
      </w:pPr>
      <w:r w:rsidRPr="005E4A1B">
        <w:rPr>
          <w:rFonts w:cstheme="minorHAnsi"/>
        </w:rPr>
        <w:t>Improving integration of youth mental health services</w:t>
      </w:r>
      <w:r w:rsidRPr="005E4A1B">
        <w:t>, with a focus on ensuring young people can access an appropriate level of support, wait times are minimised, and transition between services is streamlined</w:t>
      </w:r>
      <w:r w:rsidR="00F72F40" w:rsidRPr="005E4A1B">
        <w:t>.</w:t>
      </w:r>
    </w:p>
    <w:p w14:paraId="5B499D42" w14:textId="77777777" w:rsidR="00A45974" w:rsidRPr="005E4A1B" w:rsidRDefault="00A45974" w:rsidP="006A1596">
      <w:pPr>
        <w:pStyle w:val="ListParagraph"/>
        <w:numPr>
          <w:ilvl w:val="1"/>
          <w:numId w:val="5"/>
        </w:numPr>
      </w:pPr>
      <w:r w:rsidRPr="005E4A1B">
        <w:rPr>
          <w:rFonts w:cstheme="minorHAnsi"/>
        </w:rPr>
        <w:t>Enhancing electronic collection and central extraction of perinatal mental health screening data collected from public antenatal and postnatal care settings.</w:t>
      </w:r>
    </w:p>
    <w:p w14:paraId="7FAA1E1F" w14:textId="39DD0728" w:rsidR="00750FB2" w:rsidRPr="005E4A1B" w:rsidRDefault="0015023A" w:rsidP="006A1596">
      <w:pPr>
        <w:pStyle w:val="ListParagraph"/>
        <w:numPr>
          <w:ilvl w:val="1"/>
          <w:numId w:val="5"/>
        </w:numPr>
      </w:pPr>
      <w:r w:rsidRPr="005E4A1B">
        <w:t>Co-</w:t>
      </w:r>
      <w:r w:rsidR="00913569" w:rsidRPr="005E4A1B">
        <w:t>funding</w:t>
      </w:r>
      <w:r w:rsidRPr="005E4A1B">
        <w:t xml:space="preserve"> </w:t>
      </w:r>
      <w:r w:rsidR="00D72E11" w:rsidRPr="005E4A1B">
        <w:t>the existing aftercare service (</w:t>
      </w:r>
      <w:r w:rsidR="00D72E11" w:rsidRPr="005E4A1B">
        <w:rPr>
          <w:i/>
        </w:rPr>
        <w:t>the Way Back Support Service</w:t>
      </w:r>
      <w:r w:rsidR="00A85791" w:rsidRPr="005E4A1B">
        <w:rPr>
          <w:i/>
        </w:rPr>
        <w:t xml:space="preserve"> via the Aftercare Following Suicide Attempt Agreement</w:t>
      </w:r>
      <w:r w:rsidR="003D3738" w:rsidRPr="005E4A1B">
        <w:rPr>
          <w:i/>
        </w:rPr>
        <w:t>, the Transition Extension to 2023-24</w:t>
      </w:r>
      <w:r w:rsidR="00D72E11" w:rsidRPr="005E4A1B">
        <w:t>) to support individuals following a suicide attempt and/or suicidal crisis</w:t>
      </w:r>
      <w:r w:rsidR="00A85791" w:rsidRPr="005E4A1B">
        <w:t>,</w:t>
      </w:r>
      <w:r w:rsidR="00D72E11" w:rsidRPr="005E4A1B">
        <w:t xml:space="preserve"> </w:t>
      </w:r>
      <w:r w:rsidRPr="005E4A1B">
        <w:t xml:space="preserve">existing aftercare services for people discharged from hospital after a suicide attempt or who are in suicidal crisis. </w:t>
      </w:r>
    </w:p>
    <w:p w14:paraId="3C529475" w14:textId="77777777" w:rsidR="00A45974" w:rsidRPr="005E4A1B" w:rsidRDefault="00A45974" w:rsidP="006A1596">
      <w:pPr>
        <w:pStyle w:val="ListParagraph"/>
        <w:numPr>
          <w:ilvl w:val="1"/>
          <w:numId w:val="5"/>
        </w:numPr>
      </w:pPr>
      <w:r w:rsidRPr="005E4A1B">
        <w:rPr>
          <w:rFonts w:cstheme="minorHAnsi"/>
        </w:rPr>
        <w:t xml:space="preserve">Working </w:t>
      </w:r>
      <w:r w:rsidR="00E9688E" w:rsidRPr="005E4A1B">
        <w:rPr>
          <w:rFonts w:cstheme="minorHAnsi"/>
        </w:rPr>
        <w:t>collaboratively towards achieving universal aftercare</w:t>
      </w:r>
      <w:r w:rsidR="00D72E11" w:rsidRPr="005E4A1B">
        <w:t xml:space="preserve"> for people discharged from hospital after a suicide attempt or who are in suicidal crisis</w:t>
      </w:r>
      <w:r w:rsidR="00E9688E" w:rsidRPr="005E4A1B">
        <w:rPr>
          <w:rFonts w:cstheme="minorHAnsi"/>
        </w:rPr>
        <w:t>, ensuring integration between Commonwealth and state funded services.</w:t>
      </w:r>
    </w:p>
    <w:p w14:paraId="47161675" w14:textId="77777777" w:rsidR="00C647FB" w:rsidRPr="005E4A1B" w:rsidRDefault="00C647FB" w:rsidP="006A1596">
      <w:pPr>
        <w:pStyle w:val="ListParagraph"/>
        <w:numPr>
          <w:ilvl w:val="1"/>
          <w:numId w:val="5"/>
        </w:numPr>
      </w:pPr>
      <w:r w:rsidRPr="005E4A1B">
        <w:t xml:space="preserve">Working collaboratively to implement suitable transition arrangements from the Way Back Support Service to universal aftercare services.  </w:t>
      </w:r>
    </w:p>
    <w:p w14:paraId="35686B0F" w14:textId="6F685342" w:rsidR="00015AB1" w:rsidRPr="005E4A1B" w:rsidRDefault="00BD470C" w:rsidP="006A1596">
      <w:pPr>
        <w:pStyle w:val="ListParagraph"/>
        <w:numPr>
          <w:ilvl w:val="1"/>
          <w:numId w:val="5"/>
        </w:numPr>
      </w:pPr>
      <w:r w:rsidRPr="005E4A1B">
        <w:rPr>
          <w:rFonts w:cstheme="minorHAnsi"/>
        </w:rPr>
        <w:t xml:space="preserve">Working collaboratively to ensure integration of early intervention and non-health services to prevent and reduce </w:t>
      </w:r>
      <w:r w:rsidR="00D40D55" w:rsidRPr="005E4A1B">
        <w:rPr>
          <w:rFonts w:cstheme="minorHAnsi"/>
        </w:rPr>
        <w:t xml:space="preserve">distress and </w:t>
      </w:r>
      <w:r w:rsidRPr="005E4A1B">
        <w:rPr>
          <w:rFonts w:cstheme="minorHAnsi"/>
        </w:rPr>
        <w:t>suicidal behavior.</w:t>
      </w:r>
    </w:p>
    <w:p w14:paraId="01DFEF27" w14:textId="3391BB99" w:rsidR="00504DC8" w:rsidRPr="005E4A1B" w:rsidRDefault="00504DC8" w:rsidP="00504DC8">
      <w:pPr>
        <w:pStyle w:val="ListParagraph"/>
        <w:numPr>
          <w:ilvl w:val="1"/>
          <w:numId w:val="5"/>
        </w:numPr>
      </w:pPr>
      <w:r w:rsidRPr="005E4A1B">
        <w:t>Continuing to support the development and implementation of the joint regional mental health and suicide prevention plan between</w:t>
      </w:r>
      <w:r w:rsidR="002B7ED3" w:rsidRPr="005E4A1B">
        <w:t xml:space="preserve"> the</w:t>
      </w:r>
      <w:r w:rsidRPr="005E4A1B">
        <w:t xml:space="preserve"> South Australia</w:t>
      </w:r>
      <w:r w:rsidR="002B7ED3" w:rsidRPr="005E4A1B">
        <w:t xml:space="preserve"> Department of</w:t>
      </w:r>
      <w:r w:rsidRPr="005E4A1B">
        <w:t xml:space="preserve"> Health</w:t>
      </w:r>
      <w:r w:rsidR="002B7ED3" w:rsidRPr="005E4A1B">
        <w:t xml:space="preserve"> and Wellbeing</w:t>
      </w:r>
      <w:r w:rsidR="001F4BE1" w:rsidRPr="005E4A1B">
        <w:t xml:space="preserve"> and </w:t>
      </w:r>
      <w:r w:rsidRPr="005E4A1B">
        <w:t xml:space="preserve">South Australia’s </w:t>
      </w:r>
      <w:r w:rsidR="00750FB2" w:rsidRPr="005E4A1B">
        <w:t>PHNs</w:t>
      </w:r>
      <w:r w:rsidR="00AB2BD2" w:rsidRPr="005E4A1B">
        <w:t xml:space="preserve"> </w:t>
      </w:r>
      <w:r w:rsidRPr="005E4A1B">
        <w:t>with a particular focus on supporting the mental health and social and emotional wellbeing of Aboriginal</w:t>
      </w:r>
      <w:r w:rsidR="00B50856" w:rsidRPr="005E4A1B">
        <w:t xml:space="preserve"> and Torres Strait Islander</w:t>
      </w:r>
      <w:r w:rsidRPr="005E4A1B">
        <w:t xml:space="preserve"> Australians.</w:t>
      </w:r>
    </w:p>
    <w:p w14:paraId="06E65056" w14:textId="77777777" w:rsidR="00504DC8" w:rsidRPr="005E4A1B" w:rsidRDefault="00504DC8" w:rsidP="00504DC8">
      <w:pPr>
        <w:pStyle w:val="Normalnumbered"/>
        <w:numPr>
          <w:ilvl w:val="1"/>
          <w:numId w:val="5"/>
        </w:numPr>
        <w:tabs>
          <w:tab w:val="left" w:pos="720"/>
        </w:tabs>
        <w:spacing w:line="240" w:lineRule="auto"/>
        <w:rPr>
          <w:rFonts w:asciiTheme="minorHAnsi" w:hAnsiTheme="minorHAnsi"/>
          <w:color w:val="auto"/>
          <w:sz w:val="22"/>
          <w:lang w:val="en-US"/>
        </w:rPr>
      </w:pPr>
      <w:r w:rsidRPr="005E4A1B">
        <w:rPr>
          <w:rFonts w:asciiTheme="minorHAnsi" w:hAnsiTheme="minorHAnsi"/>
          <w:color w:val="auto"/>
          <w:sz w:val="22"/>
          <w:lang w:val="en-US"/>
        </w:rPr>
        <w:t>Collecting and reporting data to support the objectives of this Schedule. Including:</w:t>
      </w:r>
    </w:p>
    <w:p w14:paraId="4CA4AA51" w14:textId="2711E8BC" w:rsidR="00504DC8" w:rsidRPr="005E4A1B" w:rsidRDefault="00504DC8" w:rsidP="00504DC8">
      <w:pPr>
        <w:pStyle w:val="Normalnumbered"/>
        <w:numPr>
          <w:ilvl w:val="2"/>
          <w:numId w:val="5"/>
        </w:numPr>
        <w:spacing w:line="240" w:lineRule="auto"/>
        <w:rPr>
          <w:rFonts w:asciiTheme="minorHAnsi" w:hAnsiTheme="minorHAnsi"/>
          <w:color w:val="auto"/>
          <w:sz w:val="22"/>
          <w:lang w:val="en-US"/>
        </w:rPr>
      </w:pPr>
      <w:r w:rsidRPr="005E4A1B">
        <w:rPr>
          <w:rFonts w:asciiTheme="minorHAnsi" w:hAnsiTheme="minorHAnsi"/>
          <w:color w:val="auto"/>
          <w:sz w:val="22"/>
          <w:lang w:val="en-US"/>
        </w:rPr>
        <w:lastRenderedPageBreak/>
        <w:t>Achieving comprehensive health data access, usage and sharing, whilst maintaining data security and preserving individuals</w:t>
      </w:r>
      <w:r w:rsidR="0092290A" w:rsidRPr="005E4A1B">
        <w:rPr>
          <w:rFonts w:asciiTheme="minorHAnsi" w:hAnsiTheme="minorHAnsi"/>
          <w:color w:val="auto"/>
          <w:sz w:val="22"/>
          <w:lang w:val="en-US"/>
        </w:rPr>
        <w:t>’</w:t>
      </w:r>
      <w:r w:rsidRPr="005E4A1B">
        <w:rPr>
          <w:rFonts w:asciiTheme="minorHAnsi" w:hAnsiTheme="minorHAnsi"/>
          <w:color w:val="auto"/>
          <w:sz w:val="22"/>
          <w:lang w:val="en-US"/>
        </w:rPr>
        <w:t xml:space="preserve"> privacy. </w:t>
      </w:r>
    </w:p>
    <w:p w14:paraId="6426C34D" w14:textId="77777777" w:rsidR="00504DC8" w:rsidRPr="005E4A1B" w:rsidRDefault="00504DC8" w:rsidP="00504DC8">
      <w:pPr>
        <w:pStyle w:val="Normalnumbered"/>
        <w:numPr>
          <w:ilvl w:val="2"/>
          <w:numId w:val="5"/>
        </w:numPr>
        <w:spacing w:line="240" w:lineRule="auto"/>
        <w:rPr>
          <w:rFonts w:asciiTheme="minorHAnsi" w:hAnsiTheme="minorHAnsi"/>
          <w:color w:val="auto"/>
          <w:sz w:val="22"/>
          <w:lang w:val="en-US"/>
        </w:rPr>
      </w:pPr>
      <w:r w:rsidRPr="005E4A1B">
        <w:rPr>
          <w:rFonts w:asciiTheme="minorHAnsi" w:hAnsiTheme="minorHAnsi"/>
          <w:color w:val="auto"/>
          <w:sz w:val="22"/>
          <w:lang w:val="en-US"/>
        </w:rPr>
        <w:t xml:space="preserve">Providing data access to support shared patient-clinician decision making, improved services delivery and system planning. </w:t>
      </w:r>
    </w:p>
    <w:p w14:paraId="3E1F4261" w14:textId="77777777" w:rsidR="00504DC8" w:rsidRPr="005E4A1B" w:rsidRDefault="00504DC8" w:rsidP="00504DC8">
      <w:pPr>
        <w:pStyle w:val="Normalnumbered"/>
        <w:numPr>
          <w:ilvl w:val="2"/>
          <w:numId w:val="5"/>
        </w:numPr>
        <w:spacing w:line="240" w:lineRule="auto"/>
        <w:rPr>
          <w:rFonts w:asciiTheme="minorHAnsi" w:hAnsiTheme="minorHAnsi"/>
          <w:color w:val="auto"/>
          <w:sz w:val="22"/>
          <w:lang w:val="en-US"/>
        </w:rPr>
      </w:pPr>
      <w:r w:rsidRPr="005E4A1B">
        <w:rPr>
          <w:rFonts w:asciiTheme="minorHAnsi" w:hAnsiTheme="minorHAnsi"/>
          <w:color w:val="auto"/>
          <w:sz w:val="22"/>
          <w:lang w:val="en-US"/>
        </w:rPr>
        <w:t>Working together to better harness data, analytics and evidence, to drive meaningful improvements in the health system</w:t>
      </w:r>
      <w:r w:rsidR="004E2807" w:rsidRPr="005E4A1B">
        <w:rPr>
          <w:rFonts w:asciiTheme="minorHAnsi" w:hAnsiTheme="minorHAnsi"/>
          <w:color w:val="auto"/>
          <w:sz w:val="22"/>
          <w:lang w:val="en-US"/>
        </w:rPr>
        <w:t>.</w:t>
      </w:r>
    </w:p>
    <w:p w14:paraId="5042622C" w14:textId="77777777" w:rsidR="00A7169B" w:rsidRPr="005E4A1B" w:rsidRDefault="00AF7F1F" w:rsidP="009E693D">
      <w:pPr>
        <w:pStyle w:val="ListParagraph"/>
        <w:numPr>
          <w:ilvl w:val="1"/>
          <w:numId w:val="5"/>
        </w:numPr>
      </w:pPr>
      <w:r w:rsidRPr="005E4A1B">
        <w:t>Improve joint regional planning and commissioning for mental health and suicide prevention services, with appropriate governance, accountability and evaluation of Commonwealth, State and jointly planned and funded programs and services.</w:t>
      </w:r>
    </w:p>
    <w:p w14:paraId="1DBD1125" w14:textId="77777777" w:rsidR="00D06BD0" w:rsidRPr="005E4A1B" w:rsidRDefault="00D06BD0" w:rsidP="00533A31">
      <w:pPr>
        <w:pStyle w:val="Heading1"/>
      </w:pPr>
      <w:r w:rsidRPr="005E4A1B">
        <w:t>Objectives and outcomes</w:t>
      </w:r>
    </w:p>
    <w:p w14:paraId="79478624" w14:textId="77777777" w:rsidR="00D06BD0" w:rsidRPr="005E4A1B" w:rsidRDefault="00D06BD0" w:rsidP="00D06BD0">
      <w:pPr>
        <w:pStyle w:val="ListParagraph"/>
        <w:numPr>
          <w:ilvl w:val="0"/>
          <w:numId w:val="5"/>
        </w:numPr>
      </w:pPr>
      <w:r w:rsidRPr="005E4A1B">
        <w:t xml:space="preserve">The Parties agree on their shared objective to work collaboratively together to implement systemic reforms that address gaps in the mental health and suicide prevention system, improve mental health outcomes for all people in </w:t>
      </w:r>
      <w:r w:rsidR="00CB0417" w:rsidRPr="005E4A1B">
        <w:t>South Australia</w:t>
      </w:r>
      <w:r w:rsidRPr="005E4A1B">
        <w:t>, prevent and reduce suicidal behaviour, and deliver a mental health and suicide prevention system that is comprehensive, coordinated, consumer-focused and compassionate.</w:t>
      </w:r>
    </w:p>
    <w:p w14:paraId="47F1FAC7" w14:textId="77777777" w:rsidR="00D06BD0" w:rsidRPr="005E4A1B" w:rsidRDefault="00D06BD0" w:rsidP="00D06BD0">
      <w:pPr>
        <w:pStyle w:val="ListParagraph"/>
        <w:numPr>
          <w:ilvl w:val="0"/>
          <w:numId w:val="5"/>
        </w:numPr>
      </w:pPr>
      <w:r w:rsidRPr="005E4A1B">
        <w:t xml:space="preserve">As a priority in the first instance, the Parties agree to work together to address areas identified for immediate reform as informed by the Productivity Commission’s final report into mental health, the National Suicide Prevention Adviser’s final </w:t>
      </w:r>
      <w:r w:rsidR="00F3748D" w:rsidRPr="005E4A1B">
        <w:t xml:space="preserve">advice </w:t>
      </w:r>
      <w:r w:rsidRPr="005E4A1B">
        <w:t>and other inquir</w:t>
      </w:r>
      <w:r w:rsidR="003024BA" w:rsidRPr="005E4A1B">
        <w:t>i</w:t>
      </w:r>
      <w:r w:rsidRPr="005E4A1B">
        <w:t>es.</w:t>
      </w:r>
    </w:p>
    <w:p w14:paraId="292E8D1F" w14:textId="77777777" w:rsidR="00D06BD0" w:rsidRPr="005E4A1B" w:rsidRDefault="00D06BD0" w:rsidP="00D06BD0">
      <w:pPr>
        <w:pStyle w:val="ListParagraph"/>
        <w:numPr>
          <w:ilvl w:val="0"/>
          <w:numId w:val="5"/>
        </w:numPr>
      </w:pPr>
      <w:r w:rsidRPr="005E4A1B">
        <w:t>This will be achieved by focusing efforts to:</w:t>
      </w:r>
    </w:p>
    <w:p w14:paraId="79E89628" w14:textId="77777777" w:rsidR="00D06BD0" w:rsidRPr="005E4A1B" w:rsidRDefault="00D06BD0" w:rsidP="00D31737">
      <w:pPr>
        <w:pStyle w:val="ListParagraph"/>
        <w:numPr>
          <w:ilvl w:val="1"/>
          <w:numId w:val="5"/>
        </w:numPr>
      </w:pPr>
      <w:r w:rsidRPr="005E4A1B">
        <w:t>reduce system fragmentation through improved integration between Commonwealth and State-funded services;</w:t>
      </w:r>
    </w:p>
    <w:p w14:paraId="6AD569B3" w14:textId="77777777" w:rsidR="00D06BD0" w:rsidRPr="005E4A1B" w:rsidRDefault="00D06BD0" w:rsidP="00D31737">
      <w:pPr>
        <w:pStyle w:val="ListParagraph"/>
        <w:numPr>
          <w:ilvl w:val="1"/>
          <w:numId w:val="5"/>
        </w:numPr>
      </w:pPr>
      <w:r w:rsidRPr="005E4A1B">
        <w:t xml:space="preserve">address gaps in the system by ensuring community-based mental health and suicide prevention services, and in particular ambulatory services, are effective, accessible and affordable; and </w:t>
      </w:r>
    </w:p>
    <w:p w14:paraId="1844EAE5" w14:textId="77777777" w:rsidR="00D06BD0" w:rsidRPr="005E4A1B" w:rsidRDefault="00D06BD0" w:rsidP="00D31737">
      <w:pPr>
        <w:pStyle w:val="ListParagraph"/>
        <w:numPr>
          <w:ilvl w:val="1"/>
          <w:numId w:val="5"/>
        </w:numPr>
      </w:pPr>
      <w:r w:rsidRPr="005E4A1B">
        <w:t>prioritise further investment in prevention, early intervention and effective management of severe and enduring mental health conditions.</w:t>
      </w:r>
    </w:p>
    <w:p w14:paraId="26F41834" w14:textId="77777777" w:rsidR="00D06BD0" w:rsidRPr="005E4A1B" w:rsidRDefault="00D06BD0" w:rsidP="00D06BD0">
      <w:pPr>
        <w:pStyle w:val="Heading1"/>
      </w:pPr>
      <w:r w:rsidRPr="005E4A1B">
        <w:t>Implementation</w:t>
      </w:r>
    </w:p>
    <w:p w14:paraId="7D514187" w14:textId="77777777" w:rsidR="00D06BD0" w:rsidRPr="005E4A1B" w:rsidRDefault="00D06BD0" w:rsidP="00D06BD0">
      <w:pPr>
        <w:pStyle w:val="ListParagraph"/>
        <w:numPr>
          <w:ilvl w:val="0"/>
          <w:numId w:val="5"/>
        </w:numPr>
      </w:pPr>
      <w:r w:rsidRPr="005E4A1B">
        <w:t xml:space="preserve">The Parties agree that implementation of this Schedule will:  </w:t>
      </w:r>
    </w:p>
    <w:p w14:paraId="314BD28D" w14:textId="77777777" w:rsidR="00D06BD0" w:rsidRPr="005E4A1B" w:rsidRDefault="00504DC8" w:rsidP="00D06BD0">
      <w:pPr>
        <w:pStyle w:val="ListParagraph"/>
        <w:numPr>
          <w:ilvl w:val="1"/>
          <w:numId w:val="5"/>
        </w:numPr>
      </w:pPr>
      <w:r w:rsidRPr="005E4A1B">
        <w:t>b</w:t>
      </w:r>
      <w:r w:rsidR="00D06BD0" w:rsidRPr="005E4A1B">
        <w:t>e informed by the lived experience o</w:t>
      </w:r>
      <w:r w:rsidR="00617ADA" w:rsidRPr="005E4A1B">
        <w:t>f</w:t>
      </w:r>
      <w:r w:rsidR="00D06BD0" w:rsidRPr="005E4A1B">
        <w:t xml:space="preserve"> consumers and carers and will enable person-centred care that addresses the needs of diverse cohorts and regional and rural communities;</w:t>
      </w:r>
    </w:p>
    <w:p w14:paraId="44D94476" w14:textId="0D61357C" w:rsidR="00D06BD0" w:rsidRPr="005E4A1B" w:rsidRDefault="00504DC8" w:rsidP="00D06BD0">
      <w:pPr>
        <w:pStyle w:val="ListParagraph"/>
        <w:numPr>
          <w:ilvl w:val="1"/>
          <w:numId w:val="5"/>
        </w:numPr>
      </w:pPr>
      <w:r w:rsidRPr="005E4A1B">
        <w:t>f</w:t>
      </w:r>
      <w:r w:rsidR="00D06BD0" w:rsidRPr="005E4A1B">
        <w:t xml:space="preserve">acilitate local level responses that take account of social determinants and their impact on mental health and wellbeing and risk of suicide, working cohesively with the broader health system;  </w:t>
      </w:r>
    </w:p>
    <w:p w14:paraId="5E244984" w14:textId="6AB21BB1" w:rsidR="00D06BD0" w:rsidRPr="005E4A1B" w:rsidRDefault="00504DC8" w:rsidP="00D06BD0">
      <w:pPr>
        <w:pStyle w:val="ListParagraph"/>
        <w:numPr>
          <w:ilvl w:val="1"/>
          <w:numId w:val="5"/>
        </w:numPr>
      </w:pPr>
      <w:r>
        <w:t>e</w:t>
      </w:r>
      <w:r w:rsidR="00D06BD0">
        <w:t xml:space="preserve">nsure the particular needs of </w:t>
      </w:r>
      <w:r w:rsidR="00BD639E">
        <w:t xml:space="preserve">priority </w:t>
      </w:r>
      <w:r w:rsidR="00D06BD0">
        <w:t>population groups, including people in rural and remote locations, Aboriginal and Torres Strait Islander people, LGBTQI</w:t>
      </w:r>
      <w:r w:rsidR="0092290A">
        <w:t>A</w:t>
      </w:r>
      <w:r w:rsidR="00D06BD0">
        <w:t>+</w:t>
      </w:r>
      <w:r w:rsidR="007E2080">
        <w:t>SB</w:t>
      </w:r>
      <w:r w:rsidR="00D06BD0">
        <w:t xml:space="preserve"> and culturally and linguistically diverse communities, are addressed and services delivered in a culturally appropriate manner</w:t>
      </w:r>
      <w:r w:rsidR="7CD0B03F">
        <w:t>;</w:t>
      </w:r>
      <w:r w:rsidR="1BE74FF0">
        <w:t xml:space="preserve"> and </w:t>
      </w:r>
    </w:p>
    <w:p w14:paraId="350C011C" w14:textId="08D5D063" w:rsidR="1D18F129" w:rsidRDefault="643B7D72" w:rsidP="59267F59">
      <w:pPr>
        <w:pStyle w:val="ListParagraph"/>
        <w:numPr>
          <w:ilvl w:val="1"/>
          <w:numId w:val="5"/>
        </w:numPr>
      </w:pPr>
      <w:r>
        <w:t xml:space="preserve">encourage co-design </w:t>
      </w:r>
      <w:r w:rsidR="00B82E0F">
        <w:t>between the Commonwealth,</w:t>
      </w:r>
      <w:r>
        <w:t xml:space="preserve"> PHNs and SA Health as a best practice approach for implementing each init</w:t>
      </w:r>
      <w:r w:rsidR="078D5BFA">
        <w:t>iative</w:t>
      </w:r>
      <w:r w:rsidR="222E4E11">
        <w:t>.</w:t>
      </w:r>
    </w:p>
    <w:p w14:paraId="31254750" w14:textId="77777777" w:rsidR="00D06BD0" w:rsidRPr="005E4A1B" w:rsidRDefault="00D06BD0" w:rsidP="00D06BD0">
      <w:pPr>
        <w:pStyle w:val="Heading1"/>
      </w:pPr>
      <w:r>
        <w:t>Publication</w:t>
      </w:r>
    </w:p>
    <w:p w14:paraId="7E2D9349" w14:textId="77777777" w:rsidR="00D06BD0" w:rsidRPr="005E4A1B" w:rsidRDefault="00D06BD0" w:rsidP="00D06BD0">
      <w:pPr>
        <w:pStyle w:val="ListParagraph"/>
        <w:numPr>
          <w:ilvl w:val="0"/>
          <w:numId w:val="5"/>
        </w:numPr>
      </w:pPr>
      <w:r w:rsidRPr="005E4A1B">
        <w:t xml:space="preserve">This </w:t>
      </w:r>
      <w:r w:rsidR="002E0E98" w:rsidRPr="005E4A1B">
        <w:t>Schedule</w:t>
      </w:r>
      <w:r w:rsidRPr="005E4A1B">
        <w:t xml:space="preserve"> will be published on the Federal Financial Relations website after formal agreement</w:t>
      </w:r>
      <w:r w:rsidR="00851D0F" w:rsidRPr="005E4A1B">
        <w:t>.</w:t>
      </w:r>
    </w:p>
    <w:p w14:paraId="357865CF" w14:textId="77777777" w:rsidR="00D06BD0" w:rsidRPr="005E4A1B" w:rsidRDefault="00D06BD0" w:rsidP="00D06BD0">
      <w:pPr>
        <w:pStyle w:val="Heading1"/>
      </w:pPr>
      <w:r w:rsidRPr="005E4A1B">
        <w:lastRenderedPageBreak/>
        <w:t>Linkages with other Agreements</w:t>
      </w:r>
    </w:p>
    <w:p w14:paraId="66E68DA3" w14:textId="05AF3FDB" w:rsidR="00D06BD0" w:rsidRPr="005E4A1B" w:rsidRDefault="0092290A" w:rsidP="00D06BD0">
      <w:pPr>
        <w:pStyle w:val="ListParagraph"/>
        <w:numPr>
          <w:ilvl w:val="0"/>
          <w:numId w:val="5"/>
        </w:numPr>
      </w:pPr>
      <w:r w:rsidRPr="005E4A1B">
        <w:t>While t</w:t>
      </w:r>
      <w:r w:rsidR="00D06BD0" w:rsidRPr="005E4A1B">
        <w:t xml:space="preserve">his Schedule builds on, and re-affirms, the roles and responsibilities as agreed through </w:t>
      </w:r>
      <w:r w:rsidR="00367803" w:rsidRPr="005E4A1B">
        <w:t>the NHRA</w:t>
      </w:r>
      <w:r w:rsidR="000019FC" w:rsidRPr="005E4A1B">
        <w:t xml:space="preserve"> and the National Agreement</w:t>
      </w:r>
      <w:r w:rsidR="00D06BD0" w:rsidRPr="005E4A1B">
        <w:t xml:space="preserve">, the clauses </w:t>
      </w:r>
      <w:r w:rsidR="00F97FB7" w:rsidRPr="005E4A1B">
        <w:t>within</w:t>
      </w:r>
      <w:r w:rsidR="00D06BD0" w:rsidRPr="005E4A1B">
        <w:t xml:space="preserve"> this </w:t>
      </w:r>
      <w:r w:rsidR="002E0E98" w:rsidRPr="005E4A1B">
        <w:t>Schedule</w:t>
      </w:r>
      <w:r w:rsidR="00D06BD0" w:rsidRPr="005E4A1B">
        <w:t xml:space="preserve"> do not supersede those in the NHRA. </w:t>
      </w:r>
    </w:p>
    <w:p w14:paraId="35D4A572" w14:textId="77777777" w:rsidR="004E2807" w:rsidRPr="005E4A1B" w:rsidRDefault="004E2807" w:rsidP="004E2807">
      <w:pPr>
        <w:pStyle w:val="ListParagraph"/>
        <w:numPr>
          <w:ilvl w:val="0"/>
          <w:numId w:val="5"/>
        </w:numPr>
      </w:pPr>
      <w:r w:rsidRPr="005E4A1B">
        <w:t>Where inconsistences exist between the requirements of this Schedule</w:t>
      </w:r>
      <w:r w:rsidR="000019FC" w:rsidRPr="005E4A1B">
        <w:t>,</w:t>
      </w:r>
      <w:r w:rsidR="006C1372" w:rsidRPr="005E4A1B">
        <w:t xml:space="preserve"> </w:t>
      </w:r>
      <w:r w:rsidRPr="005E4A1B">
        <w:t>the NHR</w:t>
      </w:r>
      <w:r w:rsidR="000019FC" w:rsidRPr="005E4A1B">
        <w:t>A and</w:t>
      </w:r>
      <w:r w:rsidR="006C1372" w:rsidRPr="005E4A1B">
        <w:t>/or</w:t>
      </w:r>
      <w:r w:rsidR="000019FC" w:rsidRPr="005E4A1B">
        <w:t xml:space="preserve"> the National Agreement</w:t>
      </w:r>
      <w:r w:rsidRPr="005E4A1B">
        <w:t xml:space="preserve">, the requirements of the NHRA will prevail. </w:t>
      </w:r>
    </w:p>
    <w:p w14:paraId="39DBCA3A" w14:textId="77777777" w:rsidR="00D06BD0" w:rsidRPr="005E4A1B" w:rsidRDefault="00D06BD0" w:rsidP="00D06BD0">
      <w:pPr>
        <w:pStyle w:val="ListParagraph"/>
        <w:numPr>
          <w:ilvl w:val="0"/>
          <w:numId w:val="5"/>
        </w:numPr>
      </w:pPr>
      <w:r w:rsidRPr="005E4A1B">
        <w:t xml:space="preserve">Where relevant to the roles and responsibilities of the Parties, this </w:t>
      </w:r>
      <w:r w:rsidR="002E0E98" w:rsidRPr="005E4A1B">
        <w:t>Schedule</w:t>
      </w:r>
      <w:r w:rsidRPr="005E4A1B">
        <w:t xml:space="preserve"> should be read together with</w:t>
      </w:r>
      <w:r w:rsidR="004F3BC2" w:rsidRPr="005E4A1B">
        <w:t xml:space="preserve"> the</w:t>
      </w:r>
      <w:r w:rsidRPr="005E4A1B">
        <w:t>:</w:t>
      </w:r>
    </w:p>
    <w:p w14:paraId="775FDA3E" w14:textId="4D622916" w:rsidR="007E3DC2" w:rsidRPr="005E4A1B" w:rsidRDefault="006F5B4A" w:rsidP="006F5B4A">
      <w:pPr>
        <w:pStyle w:val="ListParagraph"/>
        <w:numPr>
          <w:ilvl w:val="1"/>
          <w:numId w:val="5"/>
        </w:numPr>
      </w:pPr>
      <w:r w:rsidRPr="005E4A1B">
        <w:t>National Suicide Prevention Strategy 2025-35</w:t>
      </w:r>
      <w:r w:rsidR="005C35EF" w:rsidRPr="005E4A1B">
        <w:t>;</w:t>
      </w:r>
    </w:p>
    <w:p w14:paraId="08A9010F" w14:textId="77777777" w:rsidR="00D06BD0" w:rsidRPr="005E4A1B" w:rsidRDefault="00D06BD0" w:rsidP="00D06BD0">
      <w:pPr>
        <w:pStyle w:val="ListParagraph"/>
        <w:numPr>
          <w:ilvl w:val="1"/>
          <w:numId w:val="5"/>
        </w:numPr>
      </w:pPr>
      <w:r w:rsidRPr="005E4A1B">
        <w:t>National Aboriginal and Torres Strait Islander Mental Health and Suicide Prevention Strategy;</w:t>
      </w:r>
    </w:p>
    <w:p w14:paraId="569A4941" w14:textId="77777777" w:rsidR="00D06BD0" w:rsidRPr="005E4A1B" w:rsidRDefault="00D06BD0" w:rsidP="00D06BD0">
      <w:pPr>
        <w:pStyle w:val="ListParagraph"/>
        <w:numPr>
          <w:ilvl w:val="1"/>
          <w:numId w:val="5"/>
        </w:numPr>
      </w:pPr>
      <w:r w:rsidRPr="005E4A1B">
        <w:t>National Safety and Quality Digital and Mental Health Standards;</w:t>
      </w:r>
    </w:p>
    <w:p w14:paraId="77F93447" w14:textId="77777777" w:rsidR="00D06BD0" w:rsidRPr="005E4A1B" w:rsidRDefault="00D06BD0" w:rsidP="00D06BD0">
      <w:pPr>
        <w:pStyle w:val="ListParagraph"/>
        <w:numPr>
          <w:ilvl w:val="1"/>
          <w:numId w:val="5"/>
        </w:numPr>
      </w:pPr>
      <w:r w:rsidRPr="005E4A1B">
        <w:t>National Mental Health Workforce Strategy;</w:t>
      </w:r>
    </w:p>
    <w:p w14:paraId="2E5776B0" w14:textId="77777777" w:rsidR="00D06BD0" w:rsidRPr="005E4A1B" w:rsidRDefault="00D06BD0" w:rsidP="00D06BD0">
      <w:pPr>
        <w:pStyle w:val="ListParagraph"/>
        <w:numPr>
          <w:ilvl w:val="1"/>
          <w:numId w:val="5"/>
        </w:numPr>
      </w:pPr>
      <w:r w:rsidRPr="005E4A1B">
        <w:t>National Mental Health Services Planning Framework;</w:t>
      </w:r>
    </w:p>
    <w:p w14:paraId="6C71112E" w14:textId="77777777" w:rsidR="004F3BC2" w:rsidRPr="005E4A1B" w:rsidRDefault="004F3BC2" w:rsidP="004F3BC2">
      <w:pPr>
        <w:pStyle w:val="ListParagraph"/>
        <w:numPr>
          <w:ilvl w:val="1"/>
          <w:numId w:val="5"/>
        </w:numPr>
      </w:pPr>
      <w:r w:rsidRPr="005E4A1B">
        <w:t>National Children’s Mental Health and Wellbeing Strategy;</w:t>
      </w:r>
    </w:p>
    <w:p w14:paraId="48AD0A58" w14:textId="77777777" w:rsidR="00D06BD0" w:rsidRPr="005E4A1B" w:rsidRDefault="00D06BD0" w:rsidP="00D06BD0">
      <w:pPr>
        <w:pStyle w:val="ListParagraph"/>
        <w:numPr>
          <w:ilvl w:val="1"/>
          <w:numId w:val="5"/>
        </w:numPr>
      </w:pPr>
      <w:r w:rsidRPr="005E4A1B">
        <w:t>Equally Well Consensus Statement;</w:t>
      </w:r>
    </w:p>
    <w:p w14:paraId="3172BCE5" w14:textId="77777777" w:rsidR="00D06BD0" w:rsidRPr="005E4A1B" w:rsidRDefault="00D06BD0" w:rsidP="00D06BD0">
      <w:pPr>
        <w:pStyle w:val="ListParagraph"/>
        <w:numPr>
          <w:ilvl w:val="1"/>
          <w:numId w:val="5"/>
        </w:numPr>
      </w:pPr>
      <w:r w:rsidRPr="005E4A1B">
        <w:t>National Mental Health Performance Framework 2020;</w:t>
      </w:r>
    </w:p>
    <w:p w14:paraId="19C55863" w14:textId="77777777" w:rsidR="00D06BD0" w:rsidRPr="005E4A1B" w:rsidRDefault="00D06BD0" w:rsidP="00D06BD0">
      <w:pPr>
        <w:pStyle w:val="ListParagraph"/>
        <w:numPr>
          <w:ilvl w:val="1"/>
          <w:numId w:val="5"/>
        </w:numPr>
      </w:pPr>
      <w:r w:rsidRPr="005E4A1B">
        <w:t>National Mental Health and Suicide Prevention Information Development Priorities, Third and future editions;</w:t>
      </w:r>
    </w:p>
    <w:p w14:paraId="42DC9479" w14:textId="77777777" w:rsidR="00D06BD0" w:rsidRPr="005E4A1B" w:rsidRDefault="00D06BD0" w:rsidP="00D06BD0">
      <w:pPr>
        <w:pStyle w:val="ListParagraph"/>
        <w:numPr>
          <w:ilvl w:val="1"/>
          <w:numId w:val="5"/>
        </w:numPr>
      </w:pPr>
      <w:r w:rsidRPr="005E4A1B">
        <w:t>Intergovernmental Agreement on Data Sharing;</w:t>
      </w:r>
      <w:r w:rsidR="00D31737" w:rsidRPr="005E4A1B">
        <w:t xml:space="preserve"> </w:t>
      </w:r>
    </w:p>
    <w:p w14:paraId="2338BCE0" w14:textId="77777777" w:rsidR="00CB799D" w:rsidRPr="005E4A1B" w:rsidRDefault="00CB799D" w:rsidP="00D06BD0">
      <w:pPr>
        <w:pStyle w:val="ListParagraph"/>
        <w:numPr>
          <w:ilvl w:val="1"/>
          <w:numId w:val="5"/>
        </w:numPr>
      </w:pPr>
      <w:r w:rsidRPr="005E4A1B">
        <w:t>National Agreement on Closing the Gap</w:t>
      </w:r>
      <w:r w:rsidR="00F86E0E" w:rsidRPr="005E4A1B">
        <w:t>;</w:t>
      </w:r>
    </w:p>
    <w:p w14:paraId="52B2ABD3" w14:textId="751A31CF" w:rsidR="00006AEE" w:rsidRPr="005E4A1B" w:rsidRDefault="00006AEE" w:rsidP="00D06BD0">
      <w:pPr>
        <w:pStyle w:val="ListParagraph"/>
        <w:numPr>
          <w:ilvl w:val="1"/>
          <w:numId w:val="5"/>
        </w:numPr>
      </w:pPr>
      <w:r w:rsidRPr="005E4A1B">
        <w:t xml:space="preserve">South Australian Health and Wellbeing Strategy 2020 </w:t>
      </w:r>
      <w:r w:rsidR="006C1372" w:rsidRPr="005E4A1B">
        <w:t>-</w:t>
      </w:r>
      <w:r w:rsidRPr="005E4A1B">
        <w:t>2025;</w:t>
      </w:r>
    </w:p>
    <w:p w14:paraId="2B769E50" w14:textId="08F5D747" w:rsidR="00006AEE" w:rsidRPr="005E4A1B" w:rsidRDefault="00006AEE" w:rsidP="00006AEE">
      <w:pPr>
        <w:pStyle w:val="ListParagraph"/>
        <w:numPr>
          <w:ilvl w:val="1"/>
          <w:numId w:val="5"/>
        </w:numPr>
      </w:pPr>
      <w:r w:rsidRPr="005E4A1B">
        <w:t>South Australian Mental Health Services Plan 2020-2025</w:t>
      </w:r>
      <w:r w:rsidR="003036C9" w:rsidRPr="005E4A1B">
        <w:t>;</w:t>
      </w:r>
      <w:r w:rsidRPr="005E4A1B">
        <w:t xml:space="preserve"> </w:t>
      </w:r>
    </w:p>
    <w:p w14:paraId="00A422AE" w14:textId="58E6ADA3" w:rsidR="003036C9" w:rsidRPr="005E4A1B" w:rsidRDefault="001F4BE1" w:rsidP="001F4BE1">
      <w:pPr>
        <w:pStyle w:val="ListParagraph"/>
        <w:numPr>
          <w:ilvl w:val="1"/>
          <w:numId w:val="5"/>
        </w:numPr>
      </w:pPr>
      <w:r w:rsidRPr="005E4A1B">
        <w:rPr>
          <w:i/>
          <w:iCs/>
        </w:rPr>
        <w:t>South Australia Mental Health Act 2009</w:t>
      </w:r>
      <w:r w:rsidR="003036C9" w:rsidRPr="005E4A1B">
        <w:t xml:space="preserve">; </w:t>
      </w:r>
    </w:p>
    <w:p w14:paraId="33D328DB" w14:textId="24A02CCB" w:rsidR="001F4BE1" w:rsidRPr="005E4A1B" w:rsidRDefault="003036C9" w:rsidP="001F4BE1">
      <w:pPr>
        <w:pStyle w:val="ListParagraph"/>
        <w:numPr>
          <w:ilvl w:val="1"/>
          <w:numId w:val="5"/>
        </w:numPr>
      </w:pPr>
      <w:r w:rsidRPr="005E4A1B">
        <w:rPr>
          <w:i/>
          <w:iCs/>
        </w:rPr>
        <w:t>South Australia Suicide Prevention Act 2021</w:t>
      </w:r>
      <w:r w:rsidR="00FC3640" w:rsidRPr="005E4A1B">
        <w:rPr>
          <w:i/>
          <w:iCs/>
        </w:rPr>
        <w:t>;</w:t>
      </w:r>
    </w:p>
    <w:p w14:paraId="2D0648A6" w14:textId="6A900E57" w:rsidR="00BC0E4B" w:rsidRPr="005E4A1B" w:rsidRDefault="00FC3640" w:rsidP="001F4BE1">
      <w:pPr>
        <w:pStyle w:val="ListParagraph"/>
        <w:numPr>
          <w:ilvl w:val="1"/>
          <w:numId w:val="5"/>
        </w:numPr>
        <w:rPr>
          <w:i/>
          <w:iCs/>
        </w:rPr>
      </w:pPr>
      <w:r w:rsidRPr="005E4A1B">
        <w:rPr>
          <w:i/>
          <w:iCs/>
        </w:rPr>
        <w:t xml:space="preserve">South Australia </w:t>
      </w:r>
      <w:r w:rsidR="00BC0E4B" w:rsidRPr="005E4A1B">
        <w:rPr>
          <w:i/>
          <w:iCs/>
        </w:rPr>
        <w:t>Health Care Act 2008</w:t>
      </w:r>
      <w:r w:rsidR="00A3057C" w:rsidRPr="005E4A1B">
        <w:rPr>
          <w:i/>
          <w:iCs/>
        </w:rPr>
        <w:t xml:space="preserve">; </w:t>
      </w:r>
      <w:r w:rsidR="00A3057C" w:rsidRPr="005E4A1B">
        <w:t>and</w:t>
      </w:r>
    </w:p>
    <w:p w14:paraId="651DC140" w14:textId="77777777" w:rsidR="00BC0E4B" w:rsidRPr="005E4A1B" w:rsidRDefault="00FC3640" w:rsidP="001F4BE1">
      <w:pPr>
        <w:pStyle w:val="ListParagraph"/>
        <w:numPr>
          <w:ilvl w:val="1"/>
          <w:numId w:val="5"/>
        </w:numPr>
        <w:rPr>
          <w:i/>
          <w:iCs/>
        </w:rPr>
      </w:pPr>
      <w:r w:rsidRPr="005E4A1B">
        <w:rPr>
          <w:i/>
          <w:iCs/>
        </w:rPr>
        <w:t xml:space="preserve">South Australia </w:t>
      </w:r>
      <w:r w:rsidR="00BC0E4B" w:rsidRPr="005E4A1B">
        <w:rPr>
          <w:i/>
          <w:iCs/>
        </w:rPr>
        <w:t>Criminal Law Consolidation Act 1935</w:t>
      </w:r>
      <w:r w:rsidR="00A3057C" w:rsidRPr="005E4A1B">
        <w:rPr>
          <w:i/>
          <w:iCs/>
        </w:rPr>
        <w:t>.</w:t>
      </w:r>
    </w:p>
    <w:p w14:paraId="418B8FE3" w14:textId="77777777" w:rsidR="00D06BD0" w:rsidRPr="005E4A1B" w:rsidRDefault="00D06BD0" w:rsidP="00D06BD0">
      <w:pPr>
        <w:pStyle w:val="Heading1"/>
      </w:pPr>
      <w:r w:rsidRPr="005E4A1B">
        <w:t>Whole of Government</w:t>
      </w:r>
    </w:p>
    <w:p w14:paraId="221BD6ED" w14:textId="77777777" w:rsidR="00D06BD0" w:rsidRPr="005E4A1B" w:rsidRDefault="00D06BD0" w:rsidP="00D06BD0">
      <w:pPr>
        <w:pStyle w:val="ListParagraph"/>
        <w:numPr>
          <w:ilvl w:val="0"/>
          <w:numId w:val="5"/>
        </w:numPr>
      </w:pPr>
      <w:r w:rsidRPr="005E4A1B">
        <w:t xml:space="preserve">The Parties recognise that the enablers of mental health </w:t>
      </w:r>
      <w:r w:rsidR="00470821" w:rsidRPr="005E4A1B">
        <w:t xml:space="preserve">and suicide prevention </w:t>
      </w:r>
      <w:r w:rsidRPr="005E4A1B">
        <w:t>reform are beyond the influence of the health system alone and span all aspects of where people live, work, learn and socialise. The Parties commit to engaging with other portfolios where required to progress the initiatives and activities under this Schedule.</w:t>
      </w:r>
    </w:p>
    <w:p w14:paraId="21110550" w14:textId="77777777" w:rsidR="00D06BD0" w:rsidRPr="005E4A1B" w:rsidRDefault="00D06BD0" w:rsidP="00D06BD0">
      <w:pPr>
        <w:pStyle w:val="Heading1"/>
      </w:pPr>
      <w:r w:rsidRPr="005E4A1B">
        <w:t>Governance</w:t>
      </w:r>
    </w:p>
    <w:p w14:paraId="25057EEB" w14:textId="6CC8A7EC" w:rsidR="00D06BD0" w:rsidRPr="005E4A1B" w:rsidRDefault="00D06BD0" w:rsidP="00D06BD0">
      <w:pPr>
        <w:pStyle w:val="ListParagraph"/>
        <w:numPr>
          <w:ilvl w:val="0"/>
          <w:numId w:val="5"/>
        </w:numPr>
      </w:pPr>
      <w:r w:rsidRPr="005E4A1B">
        <w:t>The Commonwealth Department of Health</w:t>
      </w:r>
      <w:r w:rsidR="009C7EB0" w:rsidRPr="005E4A1B">
        <w:t>,</w:t>
      </w:r>
      <w:r w:rsidRPr="005E4A1B">
        <w:t xml:space="preserve"> </w:t>
      </w:r>
      <w:r w:rsidR="00F870FB" w:rsidRPr="005E4A1B">
        <w:t>D</w:t>
      </w:r>
      <w:r w:rsidR="009C7EB0" w:rsidRPr="005E4A1B">
        <w:t>isability and Ag</w:t>
      </w:r>
      <w:r w:rsidR="006D00BD" w:rsidRPr="005E4A1B">
        <w:t>e</w:t>
      </w:r>
      <w:r w:rsidR="009C7EB0" w:rsidRPr="005E4A1B">
        <w:t>ing</w:t>
      </w:r>
      <w:r w:rsidR="0092290A" w:rsidRPr="005E4A1B">
        <w:t xml:space="preserve"> </w:t>
      </w:r>
      <w:r w:rsidRPr="005E4A1B">
        <w:t xml:space="preserve">will be responsible for ongoing administration of this </w:t>
      </w:r>
      <w:r w:rsidR="002E0E98" w:rsidRPr="005E4A1B">
        <w:t>Schedule</w:t>
      </w:r>
      <w:r w:rsidRPr="005E4A1B">
        <w:t>.</w:t>
      </w:r>
      <w:r w:rsidR="00A7169B" w:rsidRPr="005E4A1B">
        <w:t xml:space="preserve"> </w:t>
      </w:r>
      <w:r w:rsidR="00A7169B" w:rsidRPr="005E4A1B">
        <w:rPr>
          <w:rFonts w:cstheme="minorHAnsi"/>
          <w:szCs w:val="22"/>
        </w:rPr>
        <w:t>Amendments to this Schedule must be agreed by all parties in writing.</w:t>
      </w:r>
    </w:p>
    <w:p w14:paraId="5EE2C154" w14:textId="77777777" w:rsidR="00D06BD0" w:rsidRPr="005E4A1B" w:rsidRDefault="00D06BD0" w:rsidP="00D06BD0">
      <w:pPr>
        <w:pStyle w:val="ListParagraph"/>
        <w:numPr>
          <w:ilvl w:val="0"/>
          <w:numId w:val="5"/>
        </w:numPr>
      </w:pPr>
      <w:r w:rsidRPr="005E4A1B">
        <w:t>Commonwealth and state Ministers with portfolio responsibility for Mental Health are authorised to agree and amend this Schedule.</w:t>
      </w:r>
      <w:r w:rsidR="00D63845" w:rsidRPr="005E4A1B">
        <w:t xml:space="preserve"> </w:t>
      </w:r>
      <w:r w:rsidR="00D63845" w:rsidRPr="005E4A1B">
        <w:rPr>
          <w:rFonts w:cstheme="minorHAnsi"/>
          <w:szCs w:val="22"/>
        </w:rPr>
        <w:t xml:space="preserve">If planned amendments may change the nature of this Schedule or involve significant changes to its associated funding, the Parties agree to notify the Council on Federal Financial Relations prior to finalising these amendments and comply with any advice </w:t>
      </w:r>
      <w:r w:rsidR="00D63845" w:rsidRPr="005E4A1B">
        <w:rPr>
          <w:rFonts w:cstheme="minorHAnsi"/>
          <w:szCs w:val="22"/>
        </w:rPr>
        <w:lastRenderedPageBreak/>
        <w:t>provided.</w:t>
      </w:r>
    </w:p>
    <w:p w14:paraId="3C1FAA0E" w14:textId="77777777" w:rsidR="001914A3" w:rsidRPr="005E4A1B" w:rsidRDefault="001914A3" w:rsidP="001914A3">
      <w:pPr>
        <w:pStyle w:val="ListParagraph"/>
        <w:numPr>
          <w:ilvl w:val="0"/>
          <w:numId w:val="5"/>
        </w:numPr>
        <w:rPr>
          <w:lang w:val="en-AU"/>
        </w:rPr>
      </w:pPr>
      <w:r w:rsidRPr="005E4A1B">
        <w:t xml:space="preserve">The </w:t>
      </w:r>
      <w:r w:rsidRPr="005E4A1B">
        <w:rPr>
          <w:lang w:val="en-AU"/>
        </w:rPr>
        <w:t xml:space="preserve">South Australian Bilateral Schedule Implementation Working Group (Working Group) </w:t>
      </w:r>
      <w:r w:rsidR="00E97AC8" w:rsidRPr="005E4A1B">
        <w:rPr>
          <w:lang w:val="en-AU"/>
        </w:rPr>
        <w:t>will be</w:t>
      </w:r>
      <w:r w:rsidRPr="005E4A1B">
        <w:rPr>
          <w:lang w:val="en-AU"/>
        </w:rPr>
        <w:t xml:space="preserve"> established </w:t>
      </w:r>
      <w:bookmarkStart w:id="1" w:name="_Hlk107833489"/>
      <w:r w:rsidRPr="005E4A1B">
        <w:rPr>
          <w:lang w:val="en-AU"/>
        </w:rPr>
        <w:t xml:space="preserve">as a decision-making governance forum </w:t>
      </w:r>
      <w:bookmarkEnd w:id="1"/>
      <w:r w:rsidRPr="005E4A1B">
        <w:rPr>
          <w:lang w:val="en-AU"/>
        </w:rPr>
        <w:t>to oversee the implementation of commitments in the bilateral schedule between the Commonwealth and South Australia.</w:t>
      </w:r>
    </w:p>
    <w:p w14:paraId="25CB9C33" w14:textId="78D69A3F" w:rsidR="001914A3" w:rsidRPr="005E4A1B" w:rsidRDefault="001914A3" w:rsidP="001914A3">
      <w:pPr>
        <w:pStyle w:val="ListParagraph"/>
        <w:numPr>
          <w:ilvl w:val="0"/>
          <w:numId w:val="5"/>
        </w:numPr>
        <w:rPr>
          <w:lang w:val="en-AU"/>
        </w:rPr>
      </w:pPr>
      <w:r w:rsidRPr="005E4A1B">
        <w:rPr>
          <w:lang w:val="en-AU"/>
        </w:rPr>
        <w:t>Membership will include senior official representation from the Commonwealth Department of Health and Aged Care and the South Australian Department</w:t>
      </w:r>
      <w:r w:rsidR="00BC0E4B" w:rsidRPr="005E4A1B">
        <w:rPr>
          <w:lang w:val="en-AU"/>
        </w:rPr>
        <w:t xml:space="preserve"> of Health and Wellbeing</w:t>
      </w:r>
      <w:r w:rsidRPr="005E4A1B">
        <w:rPr>
          <w:lang w:val="en-AU"/>
        </w:rPr>
        <w:t xml:space="preserve"> with responsibility for mental health and suicide prevention policy, programs,</w:t>
      </w:r>
      <w:r w:rsidR="00E97AC8" w:rsidRPr="005E4A1B">
        <w:rPr>
          <w:lang w:val="en-AU"/>
        </w:rPr>
        <w:t xml:space="preserve"> South Australia</w:t>
      </w:r>
      <w:r w:rsidRPr="005E4A1B">
        <w:rPr>
          <w:lang w:val="en-AU"/>
        </w:rPr>
        <w:t xml:space="preserve"> </w:t>
      </w:r>
      <w:r w:rsidR="00750FB2" w:rsidRPr="005E4A1B">
        <w:rPr>
          <w:lang w:val="en-AU"/>
        </w:rPr>
        <w:t>PHNs</w:t>
      </w:r>
      <w:r w:rsidRPr="005E4A1B">
        <w:rPr>
          <w:lang w:val="en-AU"/>
        </w:rPr>
        <w:t xml:space="preserve"> and other relevant clinical expertise as required.</w:t>
      </w:r>
    </w:p>
    <w:p w14:paraId="0F342473" w14:textId="77777777" w:rsidR="00A60912" w:rsidRPr="005E4A1B" w:rsidRDefault="001914A3" w:rsidP="001914A3">
      <w:pPr>
        <w:pStyle w:val="ListParagraph"/>
        <w:numPr>
          <w:ilvl w:val="0"/>
          <w:numId w:val="5"/>
        </w:numPr>
        <w:rPr>
          <w:lang w:val="en-AU"/>
        </w:rPr>
      </w:pPr>
      <w:r w:rsidRPr="005E4A1B">
        <w:rPr>
          <w:lang w:val="en-AU"/>
        </w:rPr>
        <w:t>The Working Group will report to the South Australian Joint Health Planning and Commissioning Committee (JPCC), which provides an overarching governance approach to joint Commonwealth-South Australia planning, funding and commissioning of health services</w:t>
      </w:r>
      <w:r w:rsidR="00E97AC8" w:rsidRPr="005E4A1B">
        <w:rPr>
          <w:lang w:val="en-AU"/>
        </w:rPr>
        <w:t xml:space="preserve"> within South Australia</w:t>
      </w:r>
      <w:r w:rsidRPr="005E4A1B">
        <w:rPr>
          <w:lang w:val="en-AU"/>
        </w:rPr>
        <w:t xml:space="preserve">. </w:t>
      </w:r>
    </w:p>
    <w:p w14:paraId="5E671409" w14:textId="77777777" w:rsidR="002B7ED3" w:rsidRPr="005E4A1B" w:rsidRDefault="001914A3" w:rsidP="002B7ED3">
      <w:pPr>
        <w:pStyle w:val="ListParagraph"/>
        <w:numPr>
          <w:ilvl w:val="0"/>
          <w:numId w:val="5"/>
        </w:numPr>
        <w:rPr>
          <w:lang w:val="en-AU"/>
        </w:rPr>
      </w:pPr>
      <w:r w:rsidRPr="005E4A1B">
        <w:rPr>
          <w:lang w:val="en-AU"/>
        </w:rPr>
        <w:t>Where</w:t>
      </w:r>
      <w:r w:rsidR="00250EB6" w:rsidRPr="005E4A1B">
        <w:rPr>
          <w:lang w:val="en-AU"/>
        </w:rPr>
        <w:t xml:space="preserve"> key risks</w:t>
      </w:r>
      <w:r w:rsidR="00A60912" w:rsidRPr="005E4A1B">
        <w:rPr>
          <w:lang w:val="en-AU"/>
        </w:rPr>
        <w:t xml:space="preserve"> and implementation issues cannot be resolved by the JPCC, </w:t>
      </w:r>
      <w:r w:rsidR="00A60912" w:rsidRPr="005E4A1B">
        <w:t>they will report to the Commonwealth and South Australian Chief Executives for resolution. Health Chief Executives will report to Health Ministers on implementation and key risks as required</w:t>
      </w:r>
      <w:r w:rsidR="00EB58FD" w:rsidRPr="005E4A1B">
        <w:t>.</w:t>
      </w:r>
    </w:p>
    <w:p w14:paraId="33788951" w14:textId="5BE84F88" w:rsidR="00D06BD0" w:rsidRPr="005E4A1B" w:rsidRDefault="00EB58FD" w:rsidP="002B7ED3">
      <w:pPr>
        <w:pStyle w:val="ListParagraph"/>
        <w:numPr>
          <w:ilvl w:val="0"/>
          <w:numId w:val="5"/>
        </w:numPr>
        <w:rPr>
          <w:lang w:val="en-AU"/>
        </w:rPr>
      </w:pPr>
      <w:r w:rsidRPr="005E4A1B">
        <w:t xml:space="preserve">For the purposes of this Schedule, the </w:t>
      </w:r>
      <w:r w:rsidR="002B7ED3" w:rsidRPr="005E4A1B">
        <w:t>JPCC</w:t>
      </w:r>
      <w:r w:rsidRPr="005E4A1B">
        <w:t xml:space="preserve"> will not hold</w:t>
      </w:r>
      <w:r w:rsidR="002B7ED3" w:rsidRPr="005E4A1B">
        <w:t>, or administer</w:t>
      </w:r>
      <w:r w:rsidRPr="005E4A1B">
        <w:t xml:space="preserve"> Commonwealth or State funds. Commonwealth funds will be held and administered by </w:t>
      </w:r>
      <w:r w:rsidR="002B7ED3" w:rsidRPr="005E4A1B">
        <w:t>the relevant PHNs, the</w:t>
      </w:r>
      <w:r w:rsidR="000A7E17" w:rsidRPr="005E4A1B">
        <w:t xml:space="preserve"> State or the</w:t>
      </w:r>
      <w:r w:rsidR="002B7ED3" w:rsidRPr="005E4A1B">
        <w:t xml:space="preserve"> Commonwealth where applicable</w:t>
      </w:r>
      <w:r w:rsidRPr="005E4A1B">
        <w:t xml:space="preserve">. </w:t>
      </w:r>
      <w:r w:rsidR="002B7ED3" w:rsidRPr="005E4A1B">
        <w:t>South Australian</w:t>
      </w:r>
      <w:r w:rsidRPr="005E4A1B">
        <w:t xml:space="preserve"> funds will be held and administered by the </w:t>
      </w:r>
      <w:r w:rsidR="002B7ED3" w:rsidRPr="005E4A1B">
        <w:rPr>
          <w:lang w:val="en-AU"/>
        </w:rPr>
        <w:t>South Australian Department of Health and Wellbeing</w:t>
      </w:r>
      <w:r w:rsidR="007F17B2" w:rsidRPr="005E4A1B">
        <w:rPr>
          <w:lang w:val="en-AU"/>
        </w:rPr>
        <w:t>.</w:t>
      </w:r>
    </w:p>
    <w:p w14:paraId="3238BF6B" w14:textId="77777777" w:rsidR="00D06BD0" w:rsidRPr="005E4A1B" w:rsidRDefault="00D06BD0" w:rsidP="00D06BD0">
      <w:pPr>
        <w:pStyle w:val="ListParagraph"/>
        <w:numPr>
          <w:ilvl w:val="0"/>
          <w:numId w:val="5"/>
        </w:numPr>
      </w:pPr>
      <w:r w:rsidRPr="005E4A1B">
        <w:t>The Parties commit to a consultative approach throughout the life of the Schedule and, where required, will seek advice from people with lived experience, other experts, and community and working groups on matters of service design, planning, implementation, evaluation, data and governance.</w:t>
      </w:r>
    </w:p>
    <w:p w14:paraId="4614414A" w14:textId="77777777" w:rsidR="00B42803" w:rsidRPr="005E4A1B" w:rsidRDefault="00B42803" w:rsidP="00B42803">
      <w:pPr>
        <w:pStyle w:val="Heading1"/>
      </w:pPr>
      <w:r w:rsidRPr="005E4A1B">
        <w:t>Financial Contributions</w:t>
      </w:r>
    </w:p>
    <w:p w14:paraId="1219906C" w14:textId="77777777" w:rsidR="00B42803" w:rsidRPr="005E4A1B" w:rsidRDefault="00B42803" w:rsidP="006A1596">
      <w:pPr>
        <w:pStyle w:val="ListParagraph"/>
        <w:numPr>
          <w:ilvl w:val="0"/>
          <w:numId w:val="5"/>
        </w:numPr>
      </w:pPr>
      <w:r w:rsidRPr="005E4A1B">
        <w:t xml:space="preserve">The Parties agree to </w:t>
      </w:r>
      <w:r w:rsidR="00963A2C" w:rsidRPr="005E4A1B">
        <w:t xml:space="preserve">fund </w:t>
      </w:r>
      <w:r w:rsidRPr="005E4A1B">
        <w:t xml:space="preserve">delivery of initiatives in this </w:t>
      </w:r>
      <w:r w:rsidR="002E0E98" w:rsidRPr="005E4A1B">
        <w:t>Schedule</w:t>
      </w:r>
      <w:r w:rsidRPr="005E4A1B">
        <w:t xml:space="preserve"> as outlined in Annex A. </w:t>
      </w:r>
    </w:p>
    <w:p w14:paraId="79C63F38" w14:textId="77777777" w:rsidR="004F3BC2" w:rsidRPr="005E4A1B" w:rsidRDefault="004F3BC2" w:rsidP="004F3BC2">
      <w:pPr>
        <w:pStyle w:val="ListParagraph"/>
        <w:numPr>
          <w:ilvl w:val="0"/>
          <w:numId w:val="5"/>
        </w:numPr>
      </w:pPr>
      <w:r w:rsidRPr="005E4A1B">
        <w:t xml:space="preserve">In line with the provisions at A9 and A10 of the NHRA, the Commonwealth will not fund patient services through the NHRA if the same service, or any part of the same service, is funded through this Schedule or any other Commonwealth program except as specifically exempt.  </w:t>
      </w:r>
    </w:p>
    <w:p w14:paraId="45744C31" w14:textId="77777777" w:rsidR="004F3BC2" w:rsidRPr="005E4A1B" w:rsidRDefault="004F3BC2" w:rsidP="004F3BC2">
      <w:pPr>
        <w:pStyle w:val="ListParagraph"/>
        <w:numPr>
          <w:ilvl w:val="0"/>
          <w:numId w:val="5"/>
        </w:numPr>
      </w:pPr>
      <w:r w:rsidRPr="005E4A1B">
        <w:t>Similarly, the Commonwealth will not fund through other Commonwealth programs any services that are funded through this Schedule.</w:t>
      </w:r>
    </w:p>
    <w:p w14:paraId="199BCF97" w14:textId="77777777" w:rsidR="00D06BD0" w:rsidRPr="005E4A1B" w:rsidRDefault="00D06BD0" w:rsidP="00D06BD0">
      <w:pPr>
        <w:pStyle w:val="Heading1"/>
      </w:pPr>
      <w:r w:rsidRPr="005E4A1B">
        <w:t>Data and Evaluation</w:t>
      </w:r>
    </w:p>
    <w:p w14:paraId="09779AE4" w14:textId="77777777" w:rsidR="00D06BD0" w:rsidRPr="005E4A1B" w:rsidRDefault="00D06BD0" w:rsidP="00D06BD0">
      <w:pPr>
        <w:pStyle w:val="Heading2"/>
        <w:rPr>
          <w:lang w:val="en-AU"/>
        </w:rPr>
      </w:pPr>
      <w:r w:rsidRPr="005E4A1B">
        <w:rPr>
          <w:lang w:val="en-AU"/>
        </w:rPr>
        <w:t>Data</w:t>
      </w:r>
    </w:p>
    <w:p w14:paraId="4C7DD7CC" w14:textId="77777777" w:rsidR="00D06BD0" w:rsidRPr="005E4A1B" w:rsidRDefault="00CB0417" w:rsidP="00D06BD0">
      <w:pPr>
        <w:pStyle w:val="ListParagraph"/>
        <w:numPr>
          <w:ilvl w:val="0"/>
          <w:numId w:val="5"/>
        </w:numPr>
      </w:pPr>
      <w:r w:rsidRPr="005E4A1B">
        <w:t xml:space="preserve">South Australia </w:t>
      </w:r>
      <w:r w:rsidR="00D06BD0" w:rsidRPr="005E4A1B">
        <w:t xml:space="preserve">will work with the Commonwealth and other states </w:t>
      </w:r>
      <w:r w:rsidR="001F4BE1" w:rsidRPr="005E4A1B">
        <w:t xml:space="preserve">and territories (states) </w:t>
      </w:r>
      <w:r w:rsidR="00D06BD0" w:rsidRPr="005E4A1B">
        <w:t xml:space="preserve">to develop a nationally consistent approach to data collection and data sharing, including data linkage, program evaluation, system evaluation and performance monitoring, including key performance indicators. </w:t>
      </w:r>
    </w:p>
    <w:p w14:paraId="12CC8514" w14:textId="25DA18EB" w:rsidR="006C1372" w:rsidRPr="005E4A1B" w:rsidRDefault="00D06BD0" w:rsidP="00D06BD0">
      <w:pPr>
        <w:pStyle w:val="ListParagraph"/>
        <w:numPr>
          <w:ilvl w:val="0"/>
          <w:numId w:val="5"/>
        </w:numPr>
      </w:pPr>
      <w:r w:rsidRPr="005E4A1B">
        <w:t xml:space="preserve">For each initiative in this </w:t>
      </w:r>
      <w:r w:rsidR="002E0E98" w:rsidRPr="005E4A1B">
        <w:t>Schedule</w:t>
      </w:r>
      <w:r w:rsidRPr="005E4A1B">
        <w:t xml:space="preserve">, </w:t>
      </w:r>
      <w:r w:rsidR="00CB0417" w:rsidRPr="005E4A1B">
        <w:t xml:space="preserve">South Australia </w:t>
      </w:r>
      <w:r w:rsidRPr="005E4A1B">
        <w:t xml:space="preserve">and the Commonwealth will agree, </w:t>
      </w:r>
      <w:r w:rsidR="0092290A" w:rsidRPr="005E4A1B">
        <w:t>3</w:t>
      </w:r>
      <w:r w:rsidR="001F4BE1" w:rsidRPr="005E4A1B">
        <w:t xml:space="preserve"> </w:t>
      </w:r>
      <w:r w:rsidRPr="005E4A1B">
        <w:t>months</w:t>
      </w:r>
      <w:r w:rsidR="0092290A" w:rsidRPr="005E4A1B">
        <w:t xml:space="preserve"> prior to each service becoming operational</w:t>
      </w:r>
      <w:r w:rsidRPr="005E4A1B">
        <w:t xml:space="preserve">, the minimum data specifications and reporting process to monitor service activity. </w:t>
      </w:r>
    </w:p>
    <w:p w14:paraId="4B1A0D2F" w14:textId="77777777" w:rsidR="006C1372" w:rsidRPr="005E4A1B" w:rsidRDefault="00D06BD0" w:rsidP="00D06BD0">
      <w:pPr>
        <w:pStyle w:val="ListParagraph"/>
        <w:numPr>
          <w:ilvl w:val="0"/>
          <w:numId w:val="5"/>
        </w:numPr>
      </w:pPr>
      <w:r w:rsidRPr="005E4A1B">
        <w:t xml:space="preserve">Where appropriate, data collection will use the commissioning organisation’s existing data collection and reporting processes. </w:t>
      </w:r>
    </w:p>
    <w:p w14:paraId="41789167" w14:textId="77777777" w:rsidR="00D06BD0" w:rsidRPr="005E4A1B" w:rsidRDefault="00D06BD0" w:rsidP="00D06BD0">
      <w:pPr>
        <w:pStyle w:val="ListParagraph"/>
        <w:numPr>
          <w:ilvl w:val="0"/>
          <w:numId w:val="5"/>
        </w:numPr>
      </w:pPr>
      <w:r w:rsidRPr="005E4A1B">
        <w:t xml:space="preserve">If required, the commissioning organisation will be responsible for modifying processes to collect the minimum requirements and facilitating data access for both </w:t>
      </w:r>
      <w:r w:rsidR="00CB0417" w:rsidRPr="005E4A1B">
        <w:t xml:space="preserve">South Australia </w:t>
      </w:r>
      <w:r w:rsidRPr="005E4A1B">
        <w:t>and the Commonwealth in a timely manner (at least quarterly). Data collection and reporting processes will transition to nationally agreed approaches as part of the National Agreement.</w:t>
      </w:r>
    </w:p>
    <w:p w14:paraId="496EE147" w14:textId="77777777" w:rsidR="00EB3605" w:rsidRPr="005E4A1B" w:rsidRDefault="00D92D25" w:rsidP="00EB3605">
      <w:pPr>
        <w:pStyle w:val="ListParagraph"/>
        <w:numPr>
          <w:ilvl w:val="0"/>
          <w:numId w:val="5"/>
        </w:numPr>
      </w:pPr>
      <w:r w:rsidRPr="005E4A1B">
        <w:lastRenderedPageBreak/>
        <w:t xml:space="preserve">South Australia and the Commonwealth commit to </w:t>
      </w:r>
      <w:r w:rsidR="00EB3605" w:rsidRPr="005E4A1B">
        <w:t>improve data collection and sharing, balanced with a focus on reducing burdensome and duplicative data collection, sharing and reporting.</w:t>
      </w:r>
    </w:p>
    <w:p w14:paraId="3DC537DC" w14:textId="77777777" w:rsidR="00D06BD0" w:rsidRPr="005E4A1B" w:rsidRDefault="00D06BD0" w:rsidP="00D06BD0">
      <w:pPr>
        <w:pStyle w:val="Heading2"/>
      </w:pPr>
      <w:r w:rsidRPr="005E4A1B">
        <w:t xml:space="preserve">Evaluation </w:t>
      </w:r>
    </w:p>
    <w:p w14:paraId="51FCCF4F" w14:textId="77777777" w:rsidR="00D06BD0" w:rsidRPr="005E4A1B" w:rsidRDefault="00AF7F1F" w:rsidP="00D06BD0">
      <w:pPr>
        <w:pStyle w:val="ListParagraph"/>
        <w:numPr>
          <w:ilvl w:val="0"/>
          <w:numId w:val="5"/>
        </w:numPr>
      </w:pPr>
      <w:r w:rsidRPr="005E4A1B">
        <w:t xml:space="preserve">The Commonwealth and </w:t>
      </w:r>
      <w:r w:rsidR="00CB0417" w:rsidRPr="005E4A1B">
        <w:t xml:space="preserve">South Australia </w:t>
      </w:r>
      <w:r w:rsidR="00D06BD0" w:rsidRPr="005E4A1B">
        <w:t xml:space="preserve">will ensure funders and commissioners require programs and services funded through this </w:t>
      </w:r>
      <w:r w:rsidR="002E0E98" w:rsidRPr="005E4A1B">
        <w:t>Schedule</w:t>
      </w:r>
      <w:r w:rsidR="00D06BD0" w:rsidRPr="005E4A1B">
        <w:t xml:space="preserve"> are evaluated. These evaluations will be conducted in accordance with the National Agreement.</w:t>
      </w:r>
    </w:p>
    <w:p w14:paraId="12545944" w14:textId="77777777" w:rsidR="00045F7E" w:rsidRPr="005E4A1B" w:rsidRDefault="00045F7E" w:rsidP="00A3099F">
      <w:pPr>
        <w:pStyle w:val="Heading1"/>
      </w:pPr>
      <w:r w:rsidRPr="005E4A1B">
        <w:t>Initiatives for Collaboration</w:t>
      </w:r>
    </w:p>
    <w:p w14:paraId="48F13A4D" w14:textId="77777777" w:rsidR="00677A8E" w:rsidRPr="005E4A1B" w:rsidRDefault="00677A8E" w:rsidP="00677A8E">
      <w:pPr>
        <w:pStyle w:val="ListParagraph"/>
        <w:numPr>
          <w:ilvl w:val="0"/>
          <w:numId w:val="5"/>
        </w:numPr>
      </w:pPr>
      <w:r w:rsidRPr="005E4A1B">
        <w:t>The Parties agree on their shared objective to work collaboratively together to implement systemic reforms that:</w:t>
      </w:r>
    </w:p>
    <w:p w14:paraId="69568971" w14:textId="77777777" w:rsidR="00677A8E" w:rsidRPr="005E4A1B" w:rsidRDefault="00677A8E" w:rsidP="00677A8E">
      <w:pPr>
        <w:pStyle w:val="ListParagraph"/>
        <w:numPr>
          <w:ilvl w:val="1"/>
          <w:numId w:val="5"/>
        </w:numPr>
      </w:pPr>
      <w:r w:rsidRPr="005E4A1B">
        <w:t>address gaps in the mental health and suicide prevention system</w:t>
      </w:r>
    </w:p>
    <w:p w14:paraId="37E39C5A" w14:textId="77777777" w:rsidR="00677A8E" w:rsidRPr="005E4A1B" w:rsidRDefault="00677A8E" w:rsidP="00677A8E">
      <w:pPr>
        <w:pStyle w:val="ListParagraph"/>
        <w:numPr>
          <w:ilvl w:val="1"/>
          <w:numId w:val="5"/>
        </w:numPr>
      </w:pPr>
      <w:r w:rsidRPr="005E4A1B">
        <w:t xml:space="preserve">improve mental health outcomes for all people in </w:t>
      </w:r>
      <w:r w:rsidR="00CB0417" w:rsidRPr="005E4A1B">
        <w:t>South Australia</w:t>
      </w:r>
    </w:p>
    <w:p w14:paraId="31F1FC8B" w14:textId="3AFAA758" w:rsidR="00677A8E" w:rsidRPr="005E4A1B" w:rsidRDefault="00677A8E" w:rsidP="00677A8E">
      <w:pPr>
        <w:pStyle w:val="ListParagraph"/>
        <w:numPr>
          <w:ilvl w:val="1"/>
          <w:numId w:val="5"/>
        </w:numPr>
      </w:pPr>
      <w:r w:rsidRPr="005E4A1B">
        <w:t>prevent and reduce suicidal behaviour</w:t>
      </w:r>
      <w:r w:rsidR="00474774" w:rsidRPr="005E4A1B">
        <w:t>;</w:t>
      </w:r>
      <w:r w:rsidRPr="005E4A1B">
        <w:t xml:space="preserve"> and</w:t>
      </w:r>
    </w:p>
    <w:p w14:paraId="2B721DCA" w14:textId="77777777" w:rsidR="00677A8E" w:rsidRPr="005E4A1B" w:rsidRDefault="00677A8E" w:rsidP="00677A8E">
      <w:pPr>
        <w:pStyle w:val="ListParagraph"/>
        <w:numPr>
          <w:ilvl w:val="1"/>
          <w:numId w:val="5"/>
        </w:numPr>
      </w:pPr>
      <w:r w:rsidRPr="005E4A1B">
        <w:t>deliver a mental health and suicide prevention system that is comprehensive, coordinated, consumer-focused and compassionate.</w:t>
      </w:r>
    </w:p>
    <w:p w14:paraId="53ED9830" w14:textId="77777777" w:rsidR="00677A8E" w:rsidRPr="005E4A1B" w:rsidRDefault="00677A8E" w:rsidP="00677A8E">
      <w:pPr>
        <w:pStyle w:val="ListParagraph"/>
        <w:numPr>
          <w:ilvl w:val="0"/>
          <w:numId w:val="5"/>
        </w:numPr>
      </w:pPr>
      <w:r w:rsidRPr="005E4A1B">
        <w:t>As a priority in the first instance, the Parties agree to work together on key initiatives as described below.</w:t>
      </w:r>
    </w:p>
    <w:p w14:paraId="0EEDCBBF" w14:textId="4E10A040" w:rsidR="006420EB" w:rsidRPr="005E4A1B" w:rsidRDefault="718BAE96" w:rsidP="6245677E">
      <w:pPr>
        <w:pStyle w:val="Heading2"/>
        <w:rPr>
          <w:rFonts w:ascii="Calibri" w:eastAsia="Calibri" w:hAnsi="Calibri" w:cs="Calibri"/>
        </w:rPr>
      </w:pPr>
      <w:r w:rsidRPr="005E4A1B">
        <w:rPr>
          <w:rFonts w:ascii="Calibri" w:eastAsia="Calibri" w:hAnsi="Calibri" w:cs="Calibri"/>
        </w:rPr>
        <w:t xml:space="preserve"> Adult Mental Health Centre and Satellite Network (Medicare Men</w:t>
      </w:r>
      <w:r w:rsidR="310C039B" w:rsidRPr="005E4A1B">
        <w:rPr>
          <w:rFonts w:ascii="Calibri" w:eastAsia="Calibri" w:hAnsi="Calibri" w:cs="Calibri"/>
        </w:rPr>
        <w:t>t</w:t>
      </w:r>
      <w:r w:rsidRPr="005E4A1B">
        <w:rPr>
          <w:rFonts w:ascii="Calibri" w:eastAsia="Calibri" w:hAnsi="Calibri" w:cs="Calibri"/>
        </w:rPr>
        <w:t>al Health Centres)</w:t>
      </w:r>
    </w:p>
    <w:p w14:paraId="5E85B6E2" w14:textId="612EFDFB" w:rsidR="6245677E" w:rsidRPr="005E4A1B" w:rsidRDefault="6245677E" w:rsidP="005E4A1B"/>
    <w:p w14:paraId="214A3207" w14:textId="77777777" w:rsidR="00DF1E37" w:rsidRPr="005E4A1B" w:rsidRDefault="006420EB" w:rsidP="00677A8E">
      <w:pPr>
        <w:pStyle w:val="ListParagraph"/>
        <w:numPr>
          <w:ilvl w:val="0"/>
          <w:numId w:val="5"/>
        </w:numPr>
        <w:rPr>
          <w:rFonts w:ascii="Calibri" w:hAnsi="Calibri" w:cs="Calibri"/>
        </w:rPr>
      </w:pPr>
      <w:r w:rsidRPr="005E4A1B">
        <w:rPr>
          <w:rFonts w:ascii="Calibri" w:hAnsi="Calibri" w:cs="Calibri"/>
        </w:rPr>
        <w:t xml:space="preserve">The </w:t>
      </w:r>
      <w:r w:rsidR="00DF1E37" w:rsidRPr="005E4A1B">
        <w:rPr>
          <w:rFonts w:ascii="Calibri" w:hAnsi="Calibri" w:cs="Calibri"/>
        </w:rPr>
        <w:t xml:space="preserve">Commonwealth and </w:t>
      </w:r>
      <w:r w:rsidR="00CB0417" w:rsidRPr="005E4A1B">
        <w:t xml:space="preserve">South Australia </w:t>
      </w:r>
      <w:r w:rsidR="00DF1E37" w:rsidRPr="005E4A1B">
        <w:rPr>
          <w:rFonts w:ascii="Calibri" w:hAnsi="Calibri" w:cs="Calibri"/>
        </w:rPr>
        <w:t xml:space="preserve">agree to work collaboratively with the shared objective to address gaps in the mental health system and provide more integrated, seamless mental health care for adults and older adults. </w:t>
      </w:r>
    </w:p>
    <w:p w14:paraId="366E0153" w14:textId="3CF2A8BF" w:rsidR="006512F9" w:rsidRPr="005E4A1B" w:rsidRDefault="006512F9" w:rsidP="006512F9">
      <w:pPr>
        <w:pStyle w:val="ListParagraph"/>
        <w:numPr>
          <w:ilvl w:val="0"/>
          <w:numId w:val="5"/>
        </w:numPr>
        <w:rPr>
          <w:rFonts w:ascii="Calibri" w:hAnsi="Calibri" w:cs="Calibri"/>
        </w:rPr>
      </w:pPr>
      <w:r w:rsidRPr="005E4A1B">
        <w:t>The</w:t>
      </w:r>
      <w:r w:rsidRPr="005E4A1B">
        <w:rPr>
          <w:rFonts w:ascii="Calibri" w:hAnsi="Calibri" w:cs="Calibri"/>
        </w:rPr>
        <w:t xml:space="preserve"> Commonwealth and </w:t>
      </w:r>
      <w:r w:rsidRPr="005E4A1B">
        <w:t xml:space="preserve">South Australia </w:t>
      </w:r>
      <w:r w:rsidRPr="005E4A1B">
        <w:rPr>
          <w:rFonts w:ascii="Calibri" w:hAnsi="Calibri" w:cs="Calibri"/>
        </w:rPr>
        <w:t>agree to:</w:t>
      </w:r>
    </w:p>
    <w:p w14:paraId="35358B45" w14:textId="6EE08852" w:rsidR="003439AB" w:rsidRPr="005E4A1B" w:rsidRDefault="006512F9" w:rsidP="006512F9">
      <w:pPr>
        <w:pStyle w:val="ListParagraph"/>
        <w:numPr>
          <w:ilvl w:val="1"/>
          <w:numId w:val="6"/>
        </w:numPr>
        <w:spacing w:line="24" w:lineRule="atLeast"/>
      </w:pPr>
      <w:r w:rsidRPr="005E4A1B">
        <w:t>Co-fund the establishment</w:t>
      </w:r>
      <w:r w:rsidR="003312FE" w:rsidRPr="005E4A1B">
        <w:t xml:space="preserve"> </w:t>
      </w:r>
      <w:r w:rsidR="00837BCE" w:rsidRPr="005E4A1B">
        <w:t xml:space="preserve">and operation </w:t>
      </w:r>
      <w:r w:rsidR="003312FE" w:rsidRPr="005E4A1B">
        <w:t>of</w:t>
      </w:r>
      <w:r w:rsidRPr="005E4A1B">
        <w:t xml:space="preserve"> </w:t>
      </w:r>
      <w:r w:rsidR="00837BCE" w:rsidRPr="005E4A1B">
        <w:t xml:space="preserve">a </w:t>
      </w:r>
      <w:r w:rsidR="003439AB" w:rsidRPr="005E4A1B">
        <w:t>new</w:t>
      </w:r>
      <w:r w:rsidRPr="005E4A1B">
        <w:t xml:space="preserve"> </w:t>
      </w:r>
      <w:r w:rsidR="0079774A" w:rsidRPr="005E4A1B">
        <w:t>co-</w:t>
      </w:r>
      <w:r w:rsidR="00FE6C9B" w:rsidRPr="005E4A1B">
        <w:t xml:space="preserve">commissioned and </w:t>
      </w:r>
      <w:r w:rsidR="004011D9" w:rsidRPr="005E4A1B">
        <w:t>integrated</w:t>
      </w:r>
      <w:r w:rsidR="0079774A" w:rsidRPr="005E4A1B">
        <w:t xml:space="preserve"> </w:t>
      </w:r>
      <w:r w:rsidR="00A735E3" w:rsidRPr="005E4A1B">
        <w:t>Medicare Mental</w:t>
      </w:r>
      <w:r w:rsidR="00837BCE" w:rsidRPr="005E4A1B">
        <w:t xml:space="preserve"> Health Centre and a Crisis Stabilisation Unit </w:t>
      </w:r>
      <w:r w:rsidR="003439AB" w:rsidRPr="005E4A1B">
        <w:t>in Northern Adelaide</w:t>
      </w:r>
      <w:r w:rsidR="00837BCE" w:rsidRPr="005E4A1B">
        <w:t>. This will be delivered in two phases:</w:t>
      </w:r>
    </w:p>
    <w:p w14:paraId="622C9FCB" w14:textId="7C3F0DCC" w:rsidR="00837BCE" w:rsidRPr="005E4A1B" w:rsidRDefault="00837BCE" w:rsidP="00A60912">
      <w:pPr>
        <w:pStyle w:val="ListParagraph"/>
        <w:numPr>
          <w:ilvl w:val="2"/>
          <w:numId w:val="6"/>
        </w:numPr>
        <w:spacing w:line="24" w:lineRule="atLeast"/>
      </w:pPr>
      <w:r w:rsidRPr="005E4A1B">
        <w:t>A</w:t>
      </w:r>
      <w:r w:rsidR="00035286" w:rsidRPr="005E4A1B">
        <w:t xml:space="preserve"> Commonwealth funded</w:t>
      </w:r>
      <w:r w:rsidRPr="005E4A1B">
        <w:t xml:space="preserve"> interim </w:t>
      </w:r>
      <w:r w:rsidR="00583E53" w:rsidRPr="005E4A1B">
        <w:t>Medicare Mental</w:t>
      </w:r>
      <w:r w:rsidRPr="005E4A1B">
        <w:t xml:space="preserve"> Health </w:t>
      </w:r>
      <w:r w:rsidR="00622E9C" w:rsidRPr="005E4A1B">
        <w:t xml:space="preserve">Centre </w:t>
      </w:r>
      <w:r w:rsidRPr="005E4A1B">
        <w:t xml:space="preserve">to be established </w:t>
      </w:r>
      <w:r w:rsidR="00367803" w:rsidRPr="005E4A1B">
        <w:t>in 2022</w:t>
      </w:r>
      <w:r w:rsidRPr="005E4A1B">
        <w:t>-23</w:t>
      </w:r>
      <w:r w:rsidR="00035286" w:rsidRPr="005E4A1B">
        <w:t>, operational in 2023-24</w:t>
      </w:r>
      <w:r w:rsidR="003F3817" w:rsidRPr="005E4A1B">
        <w:t xml:space="preserve">, supported by SA funding to extend hours of operation and enhance capability to deliver urgent crisis care. </w:t>
      </w:r>
    </w:p>
    <w:p w14:paraId="64FB24C2" w14:textId="1A014133" w:rsidR="005B6326" w:rsidRPr="005E4A1B" w:rsidRDefault="00D43867" w:rsidP="003439AB">
      <w:pPr>
        <w:pStyle w:val="ListParagraph"/>
        <w:numPr>
          <w:ilvl w:val="2"/>
          <w:numId w:val="6"/>
        </w:numPr>
        <w:spacing w:line="24" w:lineRule="atLeast"/>
      </w:pPr>
      <w:r w:rsidRPr="005E4A1B">
        <w:t>I</w:t>
      </w:r>
      <w:r w:rsidR="004011D9" w:rsidRPr="005E4A1B">
        <w:t>ntegrated</w:t>
      </w:r>
      <w:r w:rsidR="00837BCE" w:rsidRPr="005E4A1B">
        <w:t xml:space="preserve"> and co-commissioned </w:t>
      </w:r>
      <w:r w:rsidR="00FF0FA2" w:rsidRPr="005E4A1B">
        <w:t>Medicare Mental</w:t>
      </w:r>
      <w:r w:rsidR="00BD5F2D" w:rsidRPr="005E4A1B">
        <w:t xml:space="preserve"> </w:t>
      </w:r>
      <w:r w:rsidR="00837BCE" w:rsidRPr="005E4A1B">
        <w:t xml:space="preserve">Health </w:t>
      </w:r>
      <w:r w:rsidR="00622E9C" w:rsidRPr="005E4A1B">
        <w:t xml:space="preserve">Centre </w:t>
      </w:r>
      <w:r w:rsidR="00837BCE" w:rsidRPr="005E4A1B">
        <w:t>and Crisis Stabilisation Unit services to commence establishment in 2022-23</w:t>
      </w:r>
      <w:r w:rsidRPr="005E4A1B">
        <w:t>, operational from 2025-26</w:t>
      </w:r>
      <w:r w:rsidR="00837BCE" w:rsidRPr="005E4A1B">
        <w:t>.</w:t>
      </w:r>
    </w:p>
    <w:p w14:paraId="11BE038A" w14:textId="3D2EFF32" w:rsidR="00E97AC8" w:rsidRPr="005E4A1B" w:rsidRDefault="00837BCE" w:rsidP="00B108AD">
      <w:pPr>
        <w:pStyle w:val="ListParagraph"/>
        <w:numPr>
          <w:ilvl w:val="1"/>
          <w:numId w:val="6"/>
        </w:numPr>
        <w:spacing w:line="24" w:lineRule="atLeast"/>
      </w:pPr>
      <w:r w:rsidRPr="005E4A1B">
        <w:t>Co-fund the establishment and operation of</w:t>
      </w:r>
      <w:r w:rsidR="00035286" w:rsidRPr="005E4A1B">
        <w:t xml:space="preserve"> a new enhanced </w:t>
      </w:r>
      <w:r w:rsidR="00BD5F2D" w:rsidRPr="005E4A1B">
        <w:t>Medicare Mental Health</w:t>
      </w:r>
      <w:r w:rsidR="00035286" w:rsidRPr="005E4A1B">
        <w:t xml:space="preserve"> Centre in </w:t>
      </w:r>
      <w:r w:rsidR="003439AB" w:rsidRPr="005E4A1B">
        <w:t>Mount Barker</w:t>
      </w:r>
      <w:r w:rsidR="00035286" w:rsidRPr="005E4A1B">
        <w:t>,</w:t>
      </w:r>
      <w:r w:rsidR="00E46CC2" w:rsidRPr="005E4A1B">
        <w:t xml:space="preserve"> </w:t>
      </w:r>
      <w:r w:rsidR="003439AB" w:rsidRPr="005E4A1B">
        <w:t xml:space="preserve">to be </w:t>
      </w:r>
      <w:r w:rsidR="008172AC" w:rsidRPr="005E4A1B">
        <w:t>operational</w:t>
      </w:r>
      <w:r w:rsidR="00013BD5" w:rsidRPr="005E4A1B">
        <w:t xml:space="preserve"> </w:t>
      </w:r>
      <w:r w:rsidR="008172AC" w:rsidRPr="005E4A1B">
        <w:t xml:space="preserve">from </w:t>
      </w:r>
      <w:r w:rsidR="003439AB" w:rsidRPr="005E4A1B">
        <w:t>202</w:t>
      </w:r>
      <w:r w:rsidR="006D5995" w:rsidRPr="005E4A1B">
        <w:t>3-24</w:t>
      </w:r>
      <w:r w:rsidR="0067210E" w:rsidRPr="005E4A1B">
        <w:t xml:space="preserve">. </w:t>
      </w:r>
    </w:p>
    <w:p w14:paraId="419A8F89" w14:textId="60B6E177" w:rsidR="006512F9" w:rsidRPr="005E4A1B" w:rsidRDefault="0067210E" w:rsidP="00B108AD">
      <w:pPr>
        <w:pStyle w:val="ListParagraph"/>
        <w:numPr>
          <w:ilvl w:val="1"/>
          <w:numId w:val="6"/>
        </w:numPr>
        <w:spacing w:line="24" w:lineRule="atLeast"/>
      </w:pPr>
      <w:r w:rsidRPr="005E4A1B">
        <w:t xml:space="preserve">The Mount Barker service will </w:t>
      </w:r>
      <w:r w:rsidR="00035286" w:rsidRPr="005E4A1B">
        <w:t xml:space="preserve">be </w:t>
      </w:r>
      <w:r w:rsidR="006D5995" w:rsidRPr="005E4A1B">
        <w:t>co-</w:t>
      </w:r>
      <w:r w:rsidR="00035286" w:rsidRPr="005E4A1B">
        <w:t xml:space="preserve">commissioned and will </w:t>
      </w:r>
      <w:r w:rsidRPr="005E4A1B">
        <w:t>incorporate additional services aligned with the South Australian Urgent Mental Health Care Centre model</w:t>
      </w:r>
      <w:r w:rsidR="003439AB" w:rsidRPr="005E4A1B">
        <w:t xml:space="preserve">. </w:t>
      </w:r>
    </w:p>
    <w:p w14:paraId="618162C5" w14:textId="77777777" w:rsidR="006512F9" w:rsidRPr="005E4A1B" w:rsidRDefault="00DF1E37" w:rsidP="00677A8E">
      <w:pPr>
        <w:pStyle w:val="ListParagraph"/>
        <w:numPr>
          <w:ilvl w:val="0"/>
          <w:numId w:val="5"/>
        </w:numPr>
        <w:rPr>
          <w:rFonts w:ascii="Calibri" w:hAnsi="Calibri" w:cs="Calibri"/>
        </w:rPr>
      </w:pPr>
      <w:r w:rsidRPr="005E4A1B">
        <w:rPr>
          <w:rFonts w:ascii="Calibri" w:hAnsi="Calibri" w:cs="Calibri"/>
        </w:rPr>
        <w:t>The Commonwealth agrees to</w:t>
      </w:r>
      <w:r w:rsidR="006512F9" w:rsidRPr="005E4A1B">
        <w:rPr>
          <w:rFonts w:ascii="Calibri" w:hAnsi="Calibri" w:cs="Calibri"/>
        </w:rPr>
        <w:t>:</w:t>
      </w:r>
    </w:p>
    <w:p w14:paraId="763754B1" w14:textId="5F13C5C9" w:rsidR="00E97AC8" w:rsidRPr="005E4A1B" w:rsidRDefault="006D5995" w:rsidP="006512F9">
      <w:pPr>
        <w:pStyle w:val="ListParagraph"/>
        <w:numPr>
          <w:ilvl w:val="1"/>
          <w:numId w:val="5"/>
        </w:numPr>
        <w:rPr>
          <w:rFonts w:ascii="Calibri" w:hAnsi="Calibri" w:cs="Calibri"/>
        </w:rPr>
      </w:pPr>
      <w:r w:rsidRPr="005E4A1B">
        <w:rPr>
          <w:rFonts w:ascii="Calibri" w:hAnsi="Calibri" w:cs="Calibri"/>
        </w:rPr>
        <w:t>Co-f</w:t>
      </w:r>
      <w:r w:rsidR="00C60E9D" w:rsidRPr="005E4A1B">
        <w:rPr>
          <w:rFonts w:ascii="Calibri" w:hAnsi="Calibri" w:cs="Calibri"/>
        </w:rPr>
        <w:t>und the operating costs for</w:t>
      </w:r>
      <w:r w:rsidR="00B4170A">
        <w:rPr>
          <w:rFonts w:ascii="Calibri" w:hAnsi="Calibri" w:cs="Calibri"/>
        </w:rPr>
        <w:t xml:space="preserve"> </w:t>
      </w:r>
      <w:r w:rsidR="6A75501B" w:rsidRPr="005E4A1B">
        <w:rPr>
          <w:rFonts w:ascii="Calibri" w:hAnsi="Calibri" w:cs="Calibri"/>
        </w:rPr>
        <w:t xml:space="preserve">the </w:t>
      </w:r>
      <w:r w:rsidR="00C60E9D" w:rsidRPr="005E4A1B">
        <w:rPr>
          <w:rFonts w:ascii="Calibri" w:hAnsi="Calibri" w:cs="Calibri"/>
        </w:rPr>
        <w:t xml:space="preserve">existing </w:t>
      </w:r>
      <w:r w:rsidR="35E2B99C" w:rsidRPr="005E4A1B">
        <w:rPr>
          <w:rFonts w:ascii="Calibri" w:eastAsia="Calibri" w:hAnsi="Calibri" w:cs="Calibri"/>
          <w:szCs w:val="22"/>
        </w:rPr>
        <w:t xml:space="preserve">Urgent Mental Health Care </w:t>
      </w:r>
      <w:r w:rsidR="00622E9C" w:rsidRPr="005E4A1B">
        <w:rPr>
          <w:rFonts w:ascii="Calibri" w:hAnsi="Calibri" w:cs="Calibri"/>
        </w:rPr>
        <w:t>C</w:t>
      </w:r>
      <w:r w:rsidR="00C60E9D" w:rsidRPr="005E4A1B">
        <w:rPr>
          <w:rFonts w:ascii="Calibri" w:hAnsi="Calibri" w:cs="Calibri"/>
        </w:rPr>
        <w:t xml:space="preserve">entre in </w:t>
      </w:r>
      <w:r w:rsidR="006512F9" w:rsidRPr="005E4A1B">
        <w:rPr>
          <w:rFonts w:ascii="Calibri" w:hAnsi="Calibri" w:cs="Calibri"/>
        </w:rPr>
        <w:t>Adelaide.</w:t>
      </w:r>
    </w:p>
    <w:p w14:paraId="43B8F8F8" w14:textId="1DA72718" w:rsidR="00E97AC8" w:rsidRPr="005E4A1B" w:rsidRDefault="006512F9" w:rsidP="006512F9">
      <w:pPr>
        <w:pStyle w:val="ListParagraph"/>
        <w:numPr>
          <w:ilvl w:val="1"/>
          <w:numId w:val="5"/>
        </w:numPr>
        <w:rPr>
          <w:rFonts w:ascii="Calibri" w:hAnsi="Calibri" w:cs="Calibri"/>
        </w:rPr>
      </w:pPr>
      <w:r w:rsidRPr="005E4A1B">
        <w:rPr>
          <w:rFonts w:ascii="Calibri" w:hAnsi="Calibri" w:cs="Calibri"/>
        </w:rPr>
        <w:t xml:space="preserve">Fully fund the </w:t>
      </w:r>
      <w:r w:rsidR="00151527" w:rsidRPr="005E4A1B">
        <w:rPr>
          <w:rFonts w:ascii="Calibri" w:hAnsi="Calibri" w:cs="Calibri"/>
        </w:rPr>
        <w:t xml:space="preserve">establishment and </w:t>
      </w:r>
      <w:r w:rsidRPr="005E4A1B">
        <w:rPr>
          <w:rFonts w:ascii="Calibri" w:hAnsi="Calibri" w:cs="Calibri"/>
        </w:rPr>
        <w:t>operating costs</w:t>
      </w:r>
      <w:r w:rsidR="005553F5" w:rsidRPr="005E4A1B">
        <w:rPr>
          <w:rFonts w:ascii="Calibri" w:hAnsi="Calibri" w:cs="Calibri"/>
        </w:rPr>
        <w:t xml:space="preserve"> </w:t>
      </w:r>
      <w:r w:rsidR="00035286" w:rsidRPr="005E4A1B">
        <w:rPr>
          <w:rFonts w:ascii="Calibri" w:hAnsi="Calibri" w:cs="Calibri"/>
        </w:rPr>
        <w:t xml:space="preserve">for </w:t>
      </w:r>
      <w:r w:rsidR="74577A82" w:rsidRPr="005E4A1B">
        <w:rPr>
          <w:rFonts w:ascii="Calibri" w:hAnsi="Calibri" w:cs="Calibri"/>
        </w:rPr>
        <w:t>the</w:t>
      </w:r>
      <w:r w:rsidRPr="005E4A1B">
        <w:rPr>
          <w:rFonts w:ascii="Calibri" w:hAnsi="Calibri" w:cs="Calibri"/>
        </w:rPr>
        <w:t xml:space="preserve"> </w:t>
      </w:r>
      <w:r w:rsidR="00E9249D" w:rsidRPr="005E4A1B">
        <w:rPr>
          <w:rFonts w:ascii="Calibri" w:hAnsi="Calibri" w:cs="Calibri"/>
        </w:rPr>
        <w:t>Medicare Mental</w:t>
      </w:r>
      <w:r w:rsidRPr="005E4A1B">
        <w:rPr>
          <w:rFonts w:ascii="Calibri" w:hAnsi="Calibri" w:cs="Calibri"/>
        </w:rPr>
        <w:t xml:space="preserve"> Health </w:t>
      </w:r>
      <w:r w:rsidR="00622E9C" w:rsidRPr="005E4A1B">
        <w:rPr>
          <w:rFonts w:ascii="Calibri" w:hAnsi="Calibri" w:cs="Calibri"/>
        </w:rPr>
        <w:t>C</w:t>
      </w:r>
      <w:r w:rsidRPr="005E4A1B">
        <w:rPr>
          <w:rFonts w:ascii="Calibri" w:hAnsi="Calibri" w:cs="Calibri"/>
        </w:rPr>
        <w:t>entre</w:t>
      </w:r>
      <w:r w:rsidR="00035286" w:rsidRPr="005E4A1B">
        <w:rPr>
          <w:rFonts w:ascii="Calibri" w:hAnsi="Calibri" w:cs="Calibri"/>
        </w:rPr>
        <w:t xml:space="preserve"> in Northern Adelaide</w:t>
      </w:r>
      <w:r w:rsidR="00E97AC8" w:rsidRPr="005E4A1B">
        <w:rPr>
          <w:rFonts w:ascii="Calibri" w:hAnsi="Calibri" w:cs="Calibri"/>
        </w:rPr>
        <w:t xml:space="preserve">. </w:t>
      </w:r>
    </w:p>
    <w:p w14:paraId="2A3426E0" w14:textId="291ED37C" w:rsidR="003439AB" w:rsidRPr="005E4A1B" w:rsidRDefault="00E97AC8" w:rsidP="001025BD">
      <w:pPr>
        <w:pStyle w:val="ListParagraph"/>
        <w:numPr>
          <w:ilvl w:val="2"/>
          <w:numId w:val="5"/>
        </w:numPr>
        <w:rPr>
          <w:rFonts w:ascii="Calibri" w:hAnsi="Calibri" w:cs="Calibri"/>
        </w:rPr>
      </w:pPr>
      <w:r w:rsidRPr="005E4A1B">
        <w:rPr>
          <w:rFonts w:ascii="Calibri" w:hAnsi="Calibri" w:cs="Calibri"/>
        </w:rPr>
        <w:t xml:space="preserve">The Northern Adelaide centre will be </w:t>
      </w:r>
      <w:r w:rsidR="006C1372" w:rsidRPr="005E4A1B">
        <w:rPr>
          <w:rFonts w:ascii="Calibri" w:hAnsi="Calibri" w:cs="Calibri"/>
        </w:rPr>
        <w:t xml:space="preserve">fully integrated </w:t>
      </w:r>
      <w:r w:rsidR="00BF672A" w:rsidRPr="005E4A1B">
        <w:rPr>
          <w:rFonts w:ascii="Calibri" w:hAnsi="Calibri" w:cs="Calibri"/>
        </w:rPr>
        <w:t xml:space="preserve">with </w:t>
      </w:r>
      <w:r w:rsidR="00035286" w:rsidRPr="005E4A1B">
        <w:rPr>
          <w:rFonts w:ascii="Calibri" w:hAnsi="Calibri" w:cs="Calibri"/>
        </w:rPr>
        <w:t xml:space="preserve">the </w:t>
      </w:r>
      <w:r w:rsidR="00BF672A" w:rsidRPr="005E4A1B">
        <w:rPr>
          <w:rFonts w:ascii="Calibri" w:hAnsi="Calibri" w:cs="Calibri"/>
        </w:rPr>
        <w:t>state-funded</w:t>
      </w:r>
      <w:r w:rsidR="00035286" w:rsidRPr="005E4A1B">
        <w:rPr>
          <w:rFonts w:ascii="Calibri" w:hAnsi="Calibri" w:cs="Calibri"/>
        </w:rPr>
        <w:t xml:space="preserve"> Crisis Stabilisation Unit</w:t>
      </w:r>
      <w:r w:rsidR="00BF672A" w:rsidRPr="005E4A1B">
        <w:rPr>
          <w:rFonts w:ascii="Calibri" w:hAnsi="Calibri" w:cs="Calibri"/>
        </w:rPr>
        <w:t xml:space="preserve">, </w:t>
      </w:r>
      <w:r w:rsidR="00035286" w:rsidRPr="005E4A1B">
        <w:rPr>
          <w:rFonts w:ascii="Calibri" w:hAnsi="Calibri" w:cs="Calibri"/>
        </w:rPr>
        <w:t xml:space="preserve">and </w:t>
      </w:r>
      <w:r w:rsidR="003312FE" w:rsidRPr="005E4A1B">
        <w:rPr>
          <w:rFonts w:ascii="Calibri" w:hAnsi="Calibri" w:cs="Calibri"/>
        </w:rPr>
        <w:t xml:space="preserve">operated </w:t>
      </w:r>
      <w:r w:rsidR="00BF672A" w:rsidRPr="005E4A1B">
        <w:rPr>
          <w:rFonts w:ascii="Calibri" w:hAnsi="Calibri" w:cs="Calibri"/>
        </w:rPr>
        <w:t>in accordance with</w:t>
      </w:r>
      <w:r w:rsidR="003312FE" w:rsidRPr="005E4A1B">
        <w:rPr>
          <w:rFonts w:ascii="Calibri" w:hAnsi="Calibri" w:cs="Calibri"/>
        </w:rPr>
        <w:t xml:space="preserve"> the Commonwealth </w:t>
      </w:r>
      <w:r w:rsidR="001B36E4" w:rsidRPr="005E4A1B">
        <w:rPr>
          <w:rFonts w:ascii="Calibri" w:hAnsi="Calibri" w:cs="Calibri"/>
        </w:rPr>
        <w:t xml:space="preserve">Medicare </w:t>
      </w:r>
      <w:r w:rsidR="00EB3EE4" w:rsidRPr="005E4A1B">
        <w:rPr>
          <w:rFonts w:ascii="Calibri" w:hAnsi="Calibri" w:cs="Calibri"/>
        </w:rPr>
        <w:t>Mental</w:t>
      </w:r>
      <w:r w:rsidR="003312FE" w:rsidRPr="005E4A1B">
        <w:rPr>
          <w:rFonts w:ascii="Calibri" w:hAnsi="Calibri" w:cs="Calibri"/>
        </w:rPr>
        <w:t xml:space="preserve"> Health Centre </w:t>
      </w:r>
      <w:r w:rsidR="2587C05F" w:rsidRPr="005E4A1B">
        <w:rPr>
          <w:rFonts w:ascii="Calibri" w:hAnsi="Calibri" w:cs="Calibri"/>
        </w:rPr>
        <w:t xml:space="preserve">national </w:t>
      </w:r>
      <w:r w:rsidR="00035286" w:rsidRPr="005E4A1B">
        <w:rPr>
          <w:rFonts w:ascii="Calibri" w:hAnsi="Calibri" w:cs="Calibri"/>
        </w:rPr>
        <w:t xml:space="preserve">service </w:t>
      </w:r>
      <w:r w:rsidR="003312FE" w:rsidRPr="005E4A1B">
        <w:rPr>
          <w:rFonts w:ascii="Calibri" w:hAnsi="Calibri" w:cs="Calibri"/>
        </w:rPr>
        <w:t>model</w:t>
      </w:r>
      <w:r w:rsidR="003439AB" w:rsidRPr="005E4A1B">
        <w:rPr>
          <w:rFonts w:ascii="Calibri" w:hAnsi="Calibri" w:cs="Calibri"/>
        </w:rPr>
        <w:t>.</w:t>
      </w:r>
    </w:p>
    <w:p w14:paraId="7A873CDE" w14:textId="1EA41656" w:rsidR="002C2406" w:rsidRPr="005E4A1B" w:rsidRDefault="002C2406" w:rsidP="002C2406">
      <w:pPr>
        <w:pStyle w:val="ListParagraph"/>
        <w:numPr>
          <w:ilvl w:val="1"/>
          <w:numId w:val="5"/>
        </w:numPr>
        <w:rPr>
          <w:rFonts w:ascii="Calibri" w:hAnsi="Calibri" w:cs="Calibri"/>
        </w:rPr>
      </w:pPr>
      <w:r w:rsidRPr="005E4A1B">
        <w:rPr>
          <w:rFonts w:ascii="Calibri" w:hAnsi="Calibri" w:cs="Calibri"/>
        </w:rPr>
        <w:lastRenderedPageBreak/>
        <w:t xml:space="preserve">Fully fund the establishment and operation costs of two </w:t>
      </w:r>
      <w:r w:rsidR="01F47B56" w:rsidRPr="005E4A1B">
        <w:rPr>
          <w:rFonts w:ascii="Calibri" w:hAnsi="Calibri" w:cs="Calibri"/>
        </w:rPr>
        <w:t>small Medicare Mental Health Centre</w:t>
      </w:r>
      <w:r w:rsidRPr="005E4A1B">
        <w:rPr>
          <w:rFonts w:ascii="Calibri" w:hAnsi="Calibri" w:cs="Calibri"/>
        </w:rPr>
        <w:t>:</w:t>
      </w:r>
    </w:p>
    <w:p w14:paraId="313719B2" w14:textId="094BFA86" w:rsidR="002C2406" w:rsidRPr="005E4A1B" w:rsidRDefault="002C2406" w:rsidP="002C2406">
      <w:pPr>
        <w:pStyle w:val="ListParagraph"/>
        <w:numPr>
          <w:ilvl w:val="2"/>
          <w:numId w:val="5"/>
        </w:numPr>
        <w:rPr>
          <w:rFonts w:ascii="Calibri" w:hAnsi="Calibri" w:cs="Calibri"/>
        </w:rPr>
      </w:pPr>
      <w:r w:rsidRPr="005E4A1B">
        <w:rPr>
          <w:rFonts w:ascii="Calibri" w:hAnsi="Calibri" w:cs="Calibri"/>
        </w:rPr>
        <w:t xml:space="preserve">One to be established in </w:t>
      </w:r>
      <w:r w:rsidR="00035286" w:rsidRPr="005E4A1B">
        <w:rPr>
          <w:rFonts w:ascii="Calibri" w:hAnsi="Calibri" w:cs="Calibri"/>
        </w:rPr>
        <w:t xml:space="preserve">Mount Gambier in </w:t>
      </w:r>
      <w:r w:rsidRPr="005E4A1B">
        <w:rPr>
          <w:rFonts w:ascii="Calibri" w:hAnsi="Calibri" w:cs="Calibri"/>
        </w:rPr>
        <w:t>2021-22 and operational in 2022-23.</w:t>
      </w:r>
    </w:p>
    <w:p w14:paraId="29E17DAF" w14:textId="42D69F2D" w:rsidR="002C2406" w:rsidRPr="005E4A1B" w:rsidRDefault="002C2406" w:rsidP="002C2406">
      <w:pPr>
        <w:pStyle w:val="ListParagraph"/>
        <w:numPr>
          <w:ilvl w:val="2"/>
          <w:numId w:val="5"/>
        </w:numPr>
        <w:rPr>
          <w:rFonts w:ascii="Calibri" w:hAnsi="Calibri" w:cs="Calibri"/>
        </w:rPr>
      </w:pPr>
      <w:r w:rsidRPr="005E4A1B">
        <w:rPr>
          <w:rFonts w:ascii="Calibri" w:hAnsi="Calibri" w:cs="Calibri"/>
        </w:rPr>
        <w:t xml:space="preserve">One to be established in </w:t>
      </w:r>
      <w:r w:rsidR="00035286" w:rsidRPr="005E4A1B">
        <w:rPr>
          <w:rFonts w:ascii="Calibri" w:hAnsi="Calibri" w:cs="Calibri"/>
        </w:rPr>
        <w:t xml:space="preserve">Port Pirie in </w:t>
      </w:r>
      <w:r w:rsidRPr="005E4A1B">
        <w:rPr>
          <w:rFonts w:ascii="Calibri" w:hAnsi="Calibri" w:cs="Calibri"/>
        </w:rPr>
        <w:t>2022-23 and operational in 2023-24.</w:t>
      </w:r>
    </w:p>
    <w:p w14:paraId="4A9F6902" w14:textId="77777777" w:rsidR="006512F9" w:rsidRPr="005E4A1B" w:rsidRDefault="006512F9" w:rsidP="006512F9">
      <w:pPr>
        <w:pStyle w:val="ListParagraph"/>
        <w:numPr>
          <w:ilvl w:val="0"/>
          <w:numId w:val="5"/>
        </w:numPr>
        <w:rPr>
          <w:rFonts w:ascii="Calibri" w:hAnsi="Calibri" w:cs="Calibri"/>
        </w:rPr>
      </w:pPr>
      <w:r w:rsidRPr="005E4A1B">
        <w:rPr>
          <w:rFonts w:ascii="Calibri" w:hAnsi="Calibri" w:cs="Calibri"/>
        </w:rPr>
        <w:t>South Australia agrees to:</w:t>
      </w:r>
    </w:p>
    <w:p w14:paraId="608C41AC" w14:textId="50CF52D8" w:rsidR="006D5995" w:rsidRPr="005E4A1B" w:rsidRDefault="006D5995" w:rsidP="6245677E">
      <w:pPr>
        <w:pStyle w:val="ListParagraph"/>
        <w:numPr>
          <w:ilvl w:val="1"/>
          <w:numId w:val="5"/>
        </w:numPr>
        <w:rPr>
          <w:rFonts w:cstheme="minorBidi"/>
        </w:rPr>
      </w:pPr>
      <w:r w:rsidRPr="005E4A1B">
        <w:rPr>
          <w:rFonts w:ascii="Calibri" w:hAnsi="Calibri" w:cs="Calibri"/>
        </w:rPr>
        <w:t xml:space="preserve">Co-fund the operating costs for </w:t>
      </w:r>
      <w:r w:rsidR="5331A06B" w:rsidRPr="005E4A1B">
        <w:rPr>
          <w:rFonts w:ascii="Calibri" w:hAnsi="Calibri" w:cs="Calibri"/>
        </w:rPr>
        <w:t>the</w:t>
      </w:r>
      <w:r w:rsidRPr="005E4A1B">
        <w:rPr>
          <w:rFonts w:ascii="Calibri" w:hAnsi="Calibri" w:cs="Calibri"/>
        </w:rPr>
        <w:t xml:space="preserve"> existing </w:t>
      </w:r>
      <w:r w:rsidR="73F6DD08" w:rsidRPr="005E4A1B">
        <w:rPr>
          <w:rFonts w:ascii="Calibri" w:eastAsia="Calibri" w:hAnsi="Calibri" w:cs="Calibri"/>
          <w:szCs w:val="22"/>
        </w:rPr>
        <w:t>Urgent Mental Health Care</w:t>
      </w:r>
      <w:r w:rsidRPr="005E4A1B">
        <w:rPr>
          <w:rFonts w:ascii="Calibri" w:hAnsi="Calibri" w:cs="Calibri"/>
        </w:rPr>
        <w:t xml:space="preserve"> in Adelaide to extend the service to 24/7 operations.</w:t>
      </w:r>
    </w:p>
    <w:p w14:paraId="7FC05C6A" w14:textId="371BE56F" w:rsidR="003439AB" w:rsidRPr="005E4A1B" w:rsidRDefault="006512F9" w:rsidP="003312FE">
      <w:pPr>
        <w:pStyle w:val="ListParagraph"/>
        <w:numPr>
          <w:ilvl w:val="1"/>
          <w:numId w:val="5"/>
        </w:numPr>
        <w:rPr>
          <w:rFonts w:cstheme="minorHAnsi"/>
        </w:rPr>
      </w:pPr>
      <w:r w:rsidRPr="005E4A1B">
        <w:rPr>
          <w:rFonts w:ascii="Calibri" w:hAnsi="Calibri" w:cs="Calibri"/>
        </w:rPr>
        <w:t xml:space="preserve">Fully fund the </w:t>
      </w:r>
      <w:r w:rsidR="000D2351" w:rsidRPr="005E4A1B">
        <w:rPr>
          <w:rFonts w:ascii="Calibri" w:hAnsi="Calibri" w:cs="Calibri"/>
        </w:rPr>
        <w:t xml:space="preserve">establishment and </w:t>
      </w:r>
      <w:r w:rsidRPr="005E4A1B">
        <w:rPr>
          <w:rFonts w:ascii="Calibri" w:hAnsi="Calibri" w:cs="Calibri"/>
        </w:rPr>
        <w:t>operating costs</w:t>
      </w:r>
      <w:r w:rsidR="000D2351" w:rsidRPr="005E4A1B">
        <w:rPr>
          <w:rFonts w:ascii="Calibri" w:hAnsi="Calibri" w:cs="Calibri"/>
        </w:rPr>
        <w:t xml:space="preserve"> of a Crisis Stabilisation </w:t>
      </w:r>
      <w:r w:rsidR="00035286" w:rsidRPr="005E4A1B">
        <w:rPr>
          <w:rFonts w:ascii="Calibri" w:hAnsi="Calibri" w:cs="Calibri"/>
        </w:rPr>
        <w:t>Unit</w:t>
      </w:r>
      <w:r w:rsidR="00E97AC8" w:rsidRPr="005E4A1B">
        <w:rPr>
          <w:rFonts w:ascii="Calibri" w:hAnsi="Calibri" w:cs="Calibri"/>
        </w:rPr>
        <w:t xml:space="preserve"> </w:t>
      </w:r>
      <w:r w:rsidRPr="005E4A1B">
        <w:rPr>
          <w:rFonts w:ascii="Calibri" w:hAnsi="Calibri" w:cs="Calibri"/>
        </w:rPr>
        <w:t xml:space="preserve">in South Australia, to be </w:t>
      </w:r>
      <w:r w:rsidR="006C1372" w:rsidRPr="005E4A1B">
        <w:rPr>
          <w:rFonts w:ascii="Calibri" w:hAnsi="Calibri" w:cs="Calibri"/>
        </w:rPr>
        <w:t>fully integrated</w:t>
      </w:r>
      <w:r w:rsidRPr="005E4A1B">
        <w:rPr>
          <w:rFonts w:ascii="Calibri" w:hAnsi="Calibri" w:cs="Calibri"/>
        </w:rPr>
        <w:t xml:space="preserve"> with the</w:t>
      </w:r>
      <w:r w:rsidR="000D2351" w:rsidRPr="005E4A1B">
        <w:rPr>
          <w:rFonts w:ascii="Calibri" w:hAnsi="Calibri" w:cs="Calibri"/>
        </w:rPr>
        <w:t xml:space="preserve"> Northern Adelaide</w:t>
      </w:r>
      <w:r w:rsidRPr="005E4A1B">
        <w:rPr>
          <w:rFonts w:ascii="Calibri" w:hAnsi="Calibri" w:cs="Calibri"/>
        </w:rPr>
        <w:t xml:space="preserve"> </w:t>
      </w:r>
      <w:r w:rsidR="004C4E53" w:rsidRPr="005E4A1B">
        <w:rPr>
          <w:rFonts w:ascii="Calibri" w:hAnsi="Calibri" w:cs="Calibri"/>
        </w:rPr>
        <w:t>Medicare Mental Health</w:t>
      </w:r>
      <w:r w:rsidRPr="005E4A1B">
        <w:rPr>
          <w:rFonts w:ascii="Calibri" w:hAnsi="Calibri" w:cs="Calibri"/>
        </w:rPr>
        <w:t xml:space="preserve"> </w:t>
      </w:r>
      <w:r w:rsidR="00C4241E" w:rsidRPr="005E4A1B">
        <w:rPr>
          <w:rFonts w:ascii="Calibri" w:hAnsi="Calibri" w:cs="Calibri"/>
        </w:rPr>
        <w:t>C</w:t>
      </w:r>
      <w:r w:rsidRPr="005E4A1B">
        <w:rPr>
          <w:rFonts w:ascii="Calibri" w:hAnsi="Calibri" w:cs="Calibri"/>
        </w:rPr>
        <w:t>entre</w:t>
      </w:r>
      <w:r w:rsidR="003439AB" w:rsidRPr="005E4A1B">
        <w:rPr>
          <w:rFonts w:ascii="Calibri" w:hAnsi="Calibri" w:cs="Calibri"/>
        </w:rPr>
        <w:t>.</w:t>
      </w:r>
    </w:p>
    <w:p w14:paraId="11A65528" w14:textId="0B8C7374" w:rsidR="00612E43" w:rsidRPr="005E4A1B" w:rsidRDefault="00612E43" w:rsidP="00612E43">
      <w:pPr>
        <w:pStyle w:val="ListParagraph"/>
        <w:numPr>
          <w:ilvl w:val="1"/>
          <w:numId w:val="5"/>
        </w:numPr>
        <w:rPr>
          <w:rFonts w:ascii="Calibri" w:hAnsi="Calibri" w:cs="Calibri"/>
        </w:rPr>
      </w:pPr>
      <w:r w:rsidRPr="005E4A1B">
        <w:rPr>
          <w:rFonts w:ascii="Calibri" w:hAnsi="Calibri" w:cs="Calibri"/>
        </w:rPr>
        <w:t xml:space="preserve">Provide funding to enhance the capability of the Northern Adelaide </w:t>
      </w:r>
      <w:r w:rsidR="004C4E53" w:rsidRPr="005E4A1B">
        <w:rPr>
          <w:rFonts w:ascii="Calibri" w:hAnsi="Calibri" w:cs="Calibri"/>
        </w:rPr>
        <w:t>Medicare Mental Health</w:t>
      </w:r>
      <w:r w:rsidRPr="005E4A1B">
        <w:rPr>
          <w:rFonts w:ascii="Calibri" w:hAnsi="Calibri" w:cs="Calibri"/>
        </w:rPr>
        <w:t xml:space="preserve"> </w:t>
      </w:r>
      <w:r w:rsidR="00C4241E" w:rsidRPr="005E4A1B">
        <w:rPr>
          <w:rFonts w:ascii="Calibri" w:hAnsi="Calibri" w:cs="Calibri"/>
        </w:rPr>
        <w:t>C</w:t>
      </w:r>
      <w:r w:rsidRPr="005E4A1B">
        <w:rPr>
          <w:rFonts w:ascii="Calibri" w:hAnsi="Calibri" w:cs="Calibri"/>
        </w:rPr>
        <w:t>entre to support full integration with the Crisis Stabilisation</w:t>
      </w:r>
      <w:r w:rsidR="00035286" w:rsidRPr="005E4A1B">
        <w:rPr>
          <w:rFonts w:ascii="Calibri" w:hAnsi="Calibri" w:cs="Calibri"/>
        </w:rPr>
        <w:t xml:space="preserve"> Unit</w:t>
      </w:r>
      <w:r w:rsidRPr="005E4A1B">
        <w:rPr>
          <w:rFonts w:ascii="Calibri" w:hAnsi="Calibri" w:cs="Calibri"/>
        </w:rPr>
        <w:t xml:space="preserve">. </w:t>
      </w:r>
    </w:p>
    <w:p w14:paraId="0DD6507D" w14:textId="516420D2" w:rsidR="00842AF6" w:rsidRPr="005E4A1B" w:rsidRDefault="00842AF6" w:rsidP="00842AF6">
      <w:pPr>
        <w:pStyle w:val="ListParagraph"/>
        <w:numPr>
          <w:ilvl w:val="0"/>
          <w:numId w:val="5"/>
        </w:numPr>
        <w:rPr>
          <w:rFonts w:ascii="Calibri" w:hAnsi="Calibri" w:cs="Calibri"/>
        </w:rPr>
      </w:pPr>
      <w:r w:rsidRPr="005E4A1B">
        <w:rPr>
          <w:rFonts w:ascii="Calibri" w:hAnsi="Calibri" w:cs="Calibri"/>
        </w:rPr>
        <w:t xml:space="preserve">The Commonwealth will provide its portion of funding for </w:t>
      </w:r>
      <w:r w:rsidR="000B0431" w:rsidRPr="005E4A1B">
        <w:rPr>
          <w:rFonts w:ascii="Calibri" w:hAnsi="Calibri" w:cs="Calibri"/>
        </w:rPr>
        <w:t>Medicare Mental</w:t>
      </w:r>
      <w:r w:rsidRPr="005E4A1B">
        <w:rPr>
          <w:rFonts w:ascii="Calibri" w:hAnsi="Calibri" w:cs="Calibri"/>
        </w:rPr>
        <w:t xml:space="preserve"> Health</w:t>
      </w:r>
      <w:r w:rsidR="00750FB2" w:rsidRPr="005E4A1B">
        <w:rPr>
          <w:rFonts w:ascii="Calibri" w:hAnsi="Calibri" w:cs="Calibri"/>
        </w:rPr>
        <w:t xml:space="preserve"> </w:t>
      </w:r>
      <w:r w:rsidR="00C4241E" w:rsidRPr="005E4A1B">
        <w:rPr>
          <w:rFonts w:ascii="Calibri" w:hAnsi="Calibri" w:cs="Calibri"/>
        </w:rPr>
        <w:t>C</w:t>
      </w:r>
      <w:r w:rsidRPr="005E4A1B">
        <w:rPr>
          <w:rFonts w:ascii="Calibri" w:hAnsi="Calibri" w:cs="Calibri"/>
        </w:rPr>
        <w:t xml:space="preserve">entres to PHNs in South Australia who will work closely with South Australia </w:t>
      </w:r>
      <w:r w:rsidR="006C1372" w:rsidRPr="005E4A1B">
        <w:rPr>
          <w:rFonts w:ascii="Calibri" w:hAnsi="Calibri" w:cs="Calibri"/>
        </w:rPr>
        <w:t>to</w:t>
      </w:r>
      <w:r w:rsidRPr="005E4A1B">
        <w:rPr>
          <w:rFonts w:ascii="Calibri" w:hAnsi="Calibri" w:cs="Calibri"/>
        </w:rPr>
        <w:t xml:space="preserve"> joint</w:t>
      </w:r>
      <w:r w:rsidR="006C1372" w:rsidRPr="005E4A1B">
        <w:rPr>
          <w:rFonts w:ascii="Calibri" w:hAnsi="Calibri" w:cs="Calibri"/>
        </w:rPr>
        <w:t>ly</w:t>
      </w:r>
      <w:r w:rsidRPr="005E4A1B">
        <w:rPr>
          <w:rFonts w:ascii="Calibri" w:hAnsi="Calibri" w:cs="Calibri"/>
        </w:rPr>
        <w:t xml:space="preserve"> plan</w:t>
      </w:r>
      <w:r w:rsidR="006C1372" w:rsidRPr="005E4A1B">
        <w:rPr>
          <w:rFonts w:ascii="Calibri" w:hAnsi="Calibri" w:cs="Calibri"/>
        </w:rPr>
        <w:t xml:space="preserve"> </w:t>
      </w:r>
      <w:r w:rsidRPr="005E4A1B">
        <w:rPr>
          <w:rFonts w:ascii="Calibri" w:hAnsi="Calibri" w:cs="Calibri"/>
        </w:rPr>
        <w:t>and commission services.</w:t>
      </w:r>
    </w:p>
    <w:p w14:paraId="71DA7538" w14:textId="6249E2F1" w:rsidR="00842AF6" w:rsidRPr="005E4A1B" w:rsidRDefault="00842AF6" w:rsidP="00842AF6">
      <w:pPr>
        <w:pStyle w:val="ListParagraph"/>
        <w:numPr>
          <w:ilvl w:val="0"/>
          <w:numId w:val="5"/>
        </w:numPr>
        <w:rPr>
          <w:rFonts w:ascii="Calibri" w:hAnsi="Calibri" w:cs="Calibri"/>
        </w:rPr>
      </w:pPr>
      <w:r w:rsidRPr="005E4A1B">
        <w:rPr>
          <w:rFonts w:eastAsia="Times New Roman"/>
          <w:szCs w:val="22"/>
        </w:rPr>
        <w:t xml:space="preserve">The Commonwealth and South Australia agree to work collaboratively in </w:t>
      </w:r>
      <w:r w:rsidR="00383885" w:rsidRPr="005E4A1B">
        <w:rPr>
          <w:rFonts w:eastAsia="Times New Roman"/>
          <w:szCs w:val="22"/>
        </w:rPr>
        <w:t xml:space="preserve">determining the enhancements to be delivered through the </w:t>
      </w:r>
      <w:r w:rsidRPr="005E4A1B">
        <w:rPr>
          <w:rFonts w:eastAsia="Times New Roman"/>
          <w:szCs w:val="22"/>
        </w:rPr>
        <w:t xml:space="preserve">Mount Barker </w:t>
      </w:r>
      <w:r w:rsidR="00BB179D" w:rsidRPr="005E4A1B">
        <w:rPr>
          <w:rFonts w:eastAsia="Times New Roman"/>
          <w:szCs w:val="22"/>
        </w:rPr>
        <w:t>Medicare Mental</w:t>
      </w:r>
      <w:r w:rsidR="00383885" w:rsidRPr="005E4A1B">
        <w:rPr>
          <w:rFonts w:eastAsia="Times New Roman"/>
          <w:szCs w:val="22"/>
        </w:rPr>
        <w:t xml:space="preserve"> Health </w:t>
      </w:r>
      <w:r w:rsidR="00C4241E" w:rsidRPr="005E4A1B">
        <w:rPr>
          <w:rFonts w:eastAsia="Times New Roman"/>
          <w:szCs w:val="22"/>
        </w:rPr>
        <w:t>C</w:t>
      </w:r>
      <w:r w:rsidR="00750FB2" w:rsidRPr="005E4A1B">
        <w:rPr>
          <w:rFonts w:eastAsia="Times New Roman"/>
          <w:szCs w:val="22"/>
        </w:rPr>
        <w:t>entre.</w:t>
      </w:r>
      <w:r w:rsidRPr="005E4A1B">
        <w:rPr>
          <w:rFonts w:eastAsia="Times New Roman"/>
          <w:szCs w:val="22"/>
        </w:rPr>
        <w:t xml:space="preserve"> </w:t>
      </w:r>
      <w:r w:rsidR="00383885" w:rsidRPr="005E4A1B">
        <w:rPr>
          <w:rFonts w:eastAsia="Times New Roman"/>
          <w:szCs w:val="22"/>
        </w:rPr>
        <w:t xml:space="preserve">An </w:t>
      </w:r>
      <w:r w:rsidRPr="005E4A1B">
        <w:rPr>
          <w:rFonts w:eastAsia="Times New Roman"/>
          <w:szCs w:val="22"/>
        </w:rPr>
        <w:t xml:space="preserve">integrated and joint governance arrangement </w:t>
      </w:r>
      <w:r w:rsidR="00383885" w:rsidRPr="005E4A1B">
        <w:rPr>
          <w:rFonts w:eastAsia="Times New Roman"/>
          <w:szCs w:val="22"/>
        </w:rPr>
        <w:t xml:space="preserve">will be established </w:t>
      </w:r>
      <w:r w:rsidRPr="005E4A1B">
        <w:rPr>
          <w:rFonts w:eastAsia="Times New Roman"/>
          <w:szCs w:val="22"/>
        </w:rPr>
        <w:t>to oversee the operation of the centre.</w:t>
      </w:r>
    </w:p>
    <w:p w14:paraId="64CFCCD1" w14:textId="175D7024" w:rsidR="006512F9" w:rsidRPr="005E4A1B" w:rsidRDefault="006512F9" w:rsidP="006512F9">
      <w:pPr>
        <w:pStyle w:val="Heading2"/>
      </w:pPr>
      <w:bookmarkStart w:id="2" w:name="_Hlk83816424"/>
      <w:r w:rsidRPr="005E4A1B">
        <w:t xml:space="preserve">Aboriginal </w:t>
      </w:r>
      <w:r w:rsidR="005A23B1" w:rsidRPr="005E4A1B">
        <w:t>Soci</w:t>
      </w:r>
      <w:r w:rsidR="00C4241E" w:rsidRPr="005E4A1B">
        <w:t>a</w:t>
      </w:r>
      <w:r w:rsidR="005A23B1" w:rsidRPr="005E4A1B">
        <w:t xml:space="preserve">l and Emotional wellbeing </w:t>
      </w:r>
      <w:r w:rsidRPr="005E4A1B">
        <w:t>Centre</w:t>
      </w:r>
    </w:p>
    <w:p w14:paraId="12F16849" w14:textId="77777777" w:rsidR="006512F9" w:rsidRPr="005E4A1B" w:rsidRDefault="006512F9" w:rsidP="006512F9">
      <w:pPr>
        <w:pStyle w:val="ListParagraph"/>
        <w:numPr>
          <w:ilvl w:val="0"/>
          <w:numId w:val="5"/>
        </w:numPr>
        <w:rPr>
          <w:rFonts w:cstheme="minorHAnsi"/>
        </w:rPr>
      </w:pPr>
      <w:r w:rsidRPr="005E4A1B">
        <w:rPr>
          <w:rFonts w:cstheme="minorHAnsi"/>
        </w:rPr>
        <w:t>The Commonwealth and South Australia agree to:</w:t>
      </w:r>
    </w:p>
    <w:p w14:paraId="523A83BF" w14:textId="6E2C0B80" w:rsidR="006512F9" w:rsidRPr="005E4A1B" w:rsidRDefault="006512F9">
      <w:pPr>
        <w:pStyle w:val="ListParagraph"/>
        <w:numPr>
          <w:ilvl w:val="0"/>
          <w:numId w:val="9"/>
        </w:numPr>
        <w:spacing w:line="24" w:lineRule="atLeast"/>
      </w:pPr>
      <w:r w:rsidRPr="005E4A1B">
        <w:t xml:space="preserve">Co-fund the </w:t>
      </w:r>
      <w:r w:rsidR="006D365A" w:rsidRPr="005E4A1B">
        <w:t xml:space="preserve">establishment and </w:t>
      </w:r>
      <w:r w:rsidRPr="005E4A1B">
        <w:t xml:space="preserve">operation of one new Aboriginal Mental Health and Wellbeing Centre to </w:t>
      </w:r>
      <w:r w:rsidR="00B108AD" w:rsidRPr="005E4A1B">
        <w:t xml:space="preserve">commence establishment </w:t>
      </w:r>
      <w:r w:rsidRPr="005E4A1B">
        <w:t xml:space="preserve">in 2022-23 and </w:t>
      </w:r>
      <w:r w:rsidR="00B108AD" w:rsidRPr="005E4A1B">
        <w:t xml:space="preserve">be </w:t>
      </w:r>
      <w:r w:rsidRPr="005E4A1B">
        <w:t xml:space="preserve">operational </w:t>
      </w:r>
      <w:r w:rsidR="00B108AD" w:rsidRPr="005E4A1B">
        <w:t xml:space="preserve">by the end of </w:t>
      </w:r>
      <w:r w:rsidRPr="005E4A1B">
        <w:t>2023-24.</w:t>
      </w:r>
    </w:p>
    <w:p w14:paraId="29DD1E50" w14:textId="77777777" w:rsidR="006512F9" w:rsidRPr="005E4A1B" w:rsidRDefault="006512F9">
      <w:pPr>
        <w:pStyle w:val="ListParagraph"/>
        <w:numPr>
          <w:ilvl w:val="0"/>
          <w:numId w:val="9"/>
        </w:numPr>
        <w:spacing w:line="24" w:lineRule="atLeast"/>
      </w:pPr>
      <w:r w:rsidRPr="005E4A1B">
        <w:t>Collaborate in developing coordinated, culturally safe Aboriginal and Torres Strait Islander mental health and wellbeing services in consultation with Aboriginal Community Controlled Health Organisations, Aboriginal and Torres Strait Islander people and other Indigenous health organisations.</w:t>
      </w:r>
    </w:p>
    <w:p w14:paraId="22E0BA6E" w14:textId="77777777" w:rsidR="0072659E" w:rsidRPr="005E4A1B" w:rsidRDefault="006512F9">
      <w:pPr>
        <w:pStyle w:val="ListParagraph"/>
        <w:numPr>
          <w:ilvl w:val="0"/>
          <w:numId w:val="9"/>
        </w:numPr>
        <w:spacing w:line="24" w:lineRule="atLeast"/>
        <w:rPr>
          <w:rFonts w:cstheme="minorHAnsi"/>
        </w:rPr>
      </w:pPr>
      <w:r w:rsidRPr="005E4A1B">
        <w:t>Work together to determine the location of the new centre</w:t>
      </w:r>
      <w:r w:rsidR="006D365A" w:rsidRPr="005E4A1B">
        <w:t xml:space="preserve"> and flexibly implement a model that integrates with existing services</w:t>
      </w:r>
      <w:r w:rsidRPr="005E4A1B">
        <w:t>.</w:t>
      </w:r>
    </w:p>
    <w:p w14:paraId="225CDFDC" w14:textId="77777777" w:rsidR="00CA4EBF" w:rsidRPr="005E4A1B" w:rsidRDefault="00CA4EBF" w:rsidP="00CA4EBF">
      <w:pPr>
        <w:pStyle w:val="ListParagraph"/>
        <w:numPr>
          <w:ilvl w:val="0"/>
          <w:numId w:val="5"/>
        </w:numPr>
        <w:rPr>
          <w:rFonts w:cstheme="minorHAnsi"/>
        </w:rPr>
      </w:pPr>
      <w:r w:rsidRPr="005E4A1B">
        <w:rPr>
          <w:rFonts w:cstheme="minorHAnsi"/>
        </w:rPr>
        <w:t>The Commonwealth agrees to transfer its portion of funding directly to South Australia for the establishment and ongoing operation of the Aboriginal Mental Health and Wellbeing Centre.</w:t>
      </w:r>
    </w:p>
    <w:p w14:paraId="6004C2DA" w14:textId="2AC20DA2" w:rsidR="00851D0F" w:rsidRPr="005E4A1B" w:rsidRDefault="001F6B34" w:rsidP="00851D0F">
      <w:pPr>
        <w:pStyle w:val="Heading2"/>
      </w:pPr>
      <w:r w:rsidRPr="005E4A1B">
        <w:t>Investing</w:t>
      </w:r>
      <w:r w:rsidRPr="005E4A1B">
        <w:rPr>
          <w:spacing w:val="-6"/>
        </w:rPr>
        <w:t xml:space="preserve"> </w:t>
      </w:r>
      <w:r w:rsidRPr="005E4A1B">
        <w:t>in</w:t>
      </w:r>
      <w:r w:rsidRPr="005E4A1B">
        <w:rPr>
          <w:spacing w:val="-2"/>
        </w:rPr>
        <w:t xml:space="preserve"> </w:t>
      </w:r>
      <w:r w:rsidR="00851D0F" w:rsidRPr="005E4A1B">
        <w:t>Child Mental Health and Wellbeing</w:t>
      </w:r>
    </w:p>
    <w:p w14:paraId="31B40D6C" w14:textId="77777777" w:rsidR="005420F3" w:rsidRPr="005E4A1B" w:rsidRDefault="00851D0F" w:rsidP="005420F3">
      <w:pPr>
        <w:pStyle w:val="ListParagraph"/>
        <w:numPr>
          <w:ilvl w:val="0"/>
          <w:numId w:val="5"/>
        </w:numPr>
        <w:spacing w:line="24" w:lineRule="atLeast"/>
      </w:pPr>
      <w:r w:rsidRPr="005E4A1B">
        <w:t xml:space="preserve">The Commonwealth and </w:t>
      </w:r>
      <w:r w:rsidR="00CB0417" w:rsidRPr="005E4A1B">
        <w:t xml:space="preserve">South Australia </w:t>
      </w:r>
      <w:r w:rsidRPr="005E4A1B">
        <w:t>agree to</w:t>
      </w:r>
      <w:r w:rsidR="005420F3" w:rsidRPr="005E4A1B">
        <w:t>:</w:t>
      </w:r>
    </w:p>
    <w:p w14:paraId="6373B51C" w14:textId="041E0397" w:rsidR="003D324E" w:rsidRPr="005E4A1B" w:rsidRDefault="005E35DC" w:rsidP="005E35DC">
      <w:pPr>
        <w:pStyle w:val="ListParagraph"/>
        <w:numPr>
          <w:ilvl w:val="1"/>
          <w:numId w:val="5"/>
        </w:numPr>
        <w:spacing w:line="24" w:lineRule="atLeast"/>
      </w:pPr>
      <w:r>
        <w:t xml:space="preserve">Work collaboratively, through Commonwealth funding and existing state resource contribution, to establish and operate one </w:t>
      </w:r>
      <w:r w:rsidR="00EC1F01">
        <w:t>Medicare Mental</w:t>
      </w:r>
      <w:r>
        <w:t xml:space="preserve"> Health Kids Hub with scope for a jointly agreed decentralised model across up to two locations that integrates with existing services. The location of the </w:t>
      </w:r>
      <w:r w:rsidR="00FA69C4">
        <w:t xml:space="preserve">Medicare </w:t>
      </w:r>
      <w:r w:rsidR="00EC1F01">
        <w:t>Mental</w:t>
      </w:r>
      <w:r>
        <w:t xml:space="preserve"> Health Kids Hub will align with existing election commitments announced by Commonwealth and South Australian Governments in May 2022.  </w:t>
      </w:r>
    </w:p>
    <w:p w14:paraId="68F7DAF2" w14:textId="62195831" w:rsidR="003D324E" w:rsidRPr="005E4A1B" w:rsidRDefault="5CC5E04A" w:rsidP="59267F59">
      <w:pPr>
        <w:pStyle w:val="ListParagraph"/>
        <w:numPr>
          <w:ilvl w:val="1"/>
          <w:numId w:val="5"/>
        </w:numPr>
        <w:spacing w:line="24" w:lineRule="atLeast"/>
      </w:pPr>
      <w:r w:rsidRPr="59267F59">
        <w:rPr>
          <w:rFonts w:ascii="Calibri" w:eastAsia="Calibri" w:hAnsi="Calibri" w:cs="Calibri"/>
        </w:rPr>
        <w:t xml:space="preserve">Commence operation of services in </w:t>
      </w:r>
      <w:r w:rsidR="39044A07" w:rsidRPr="59267F59">
        <w:rPr>
          <w:rFonts w:ascii="Calibri" w:eastAsia="Calibri" w:hAnsi="Calibri" w:cs="Calibri"/>
        </w:rPr>
        <w:t>2025-26</w:t>
      </w:r>
      <w:r w:rsidR="003D324E" w:rsidRPr="59267F59">
        <w:rPr>
          <w:rFonts w:ascii="Calibri" w:eastAsia="Calibri" w:hAnsi="Calibri" w:cs="Calibri"/>
        </w:rPr>
        <w:t>.</w:t>
      </w:r>
    </w:p>
    <w:p w14:paraId="40DB5DC8" w14:textId="7DFCE9F7" w:rsidR="00BE7937" w:rsidRPr="005E4A1B" w:rsidRDefault="006C1372" w:rsidP="001F6B34">
      <w:pPr>
        <w:pStyle w:val="ListParagraph"/>
        <w:numPr>
          <w:ilvl w:val="1"/>
          <w:numId w:val="5"/>
        </w:numPr>
        <w:spacing w:line="24" w:lineRule="atLeast"/>
      </w:pPr>
      <w:r>
        <w:t>W</w:t>
      </w:r>
      <w:r w:rsidR="00000139">
        <w:t>ork collaboratively</w:t>
      </w:r>
      <w:r w:rsidR="008120A9">
        <w:t xml:space="preserve"> </w:t>
      </w:r>
      <w:r w:rsidR="001F6B34">
        <w:t>to continue to improve access to multidisciplinary</w:t>
      </w:r>
      <w:r w:rsidR="00000139">
        <w:t xml:space="preserve"> mental health and wellbeing </w:t>
      </w:r>
      <w:r w:rsidR="001F6B34">
        <w:t xml:space="preserve">services </w:t>
      </w:r>
      <w:r w:rsidR="00000139">
        <w:t>for children in South Australia.</w:t>
      </w:r>
    </w:p>
    <w:p w14:paraId="3AA99175" w14:textId="55BB72B9" w:rsidR="00851D0F" w:rsidRPr="005E4A1B" w:rsidRDefault="009B0EB0" w:rsidP="001F6B34">
      <w:pPr>
        <w:pStyle w:val="ListParagraph"/>
        <w:numPr>
          <w:ilvl w:val="1"/>
          <w:numId w:val="5"/>
        </w:numPr>
        <w:spacing w:line="24" w:lineRule="atLeast"/>
      </w:pPr>
      <w:r w:rsidRPr="59267F59">
        <w:rPr>
          <w:rFonts w:cstheme="minorBidi"/>
        </w:rPr>
        <w:t xml:space="preserve">Work together to implement a flexible model that aligns </w:t>
      </w:r>
      <w:r w:rsidR="00BE7937">
        <w:t xml:space="preserve">with the </w:t>
      </w:r>
      <w:r w:rsidR="00EC1F01">
        <w:t>Medicare Mental</w:t>
      </w:r>
      <w:r w:rsidR="00BE7937">
        <w:t xml:space="preserve"> Health Kids </w:t>
      </w:r>
      <w:r w:rsidRPr="59267F59">
        <w:rPr>
          <w:rFonts w:cstheme="minorBidi"/>
        </w:rPr>
        <w:t xml:space="preserve">National Service </w:t>
      </w:r>
      <w:r w:rsidR="0050175D" w:rsidRPr="59267F59">
        <w:rPr>
          <w:rFonts w:cstheme="minorBidi"/>
        </w:rPr>
        <w:t>M</w:t>
      </w:r>
      <w:r w:rsidR="00BE7937" w:rsidRPr="59267F59">
        <w:rPr>
          <w:rFonts w:cstheme="minorBidi"/>
        </w:rPr>
        <w:t>odel</w:t>
      </w:r>
      <w:r w:rsidR="00BE7937">
        <w:t xml:space="preserve"> and</w:t>
      </w:r>
      <w:r>
        <w:t xml:space="preserve"> </w:t>
      </w:r>
      <w:r w:rsidRPr="59267F59">
        <w:rPr>
          <w:rFonts w:cstheme="minorBidi"/>
        </w:rPr>
        <w:t>national</w:t>
      </w:r>
      <w:r w:rsidR="00BE7937" w:rsidRPr="59267F59">
        <w:rPr>
          <w:rFonts w:cstheme="minorBidi"/>
        </w:rPr>
        <w:t xml:space="preserve"> </w:t>
      </w:r>
      <w:r w:rsidR="00BE7937">
        <w:t>branding</w:t>
      </w:r>
      <w:r w:rsidR="00CC70E7">
        <w:t>.</w:t>
      </w:r>
    </w:p>
    <w:p w14:paraId="163DFA24" w14:textId="132D07FD" w:rsidR="001F6B34" w:rsidRPr="005E4A1B" w:rsidRDefault="00AC1DFC" w:rsidP="001F6B34">
      <w:pPr>
        <w:pStyle w:val="ListParagraph"/>
        <w:numPr>
          <w:ilvl w:val="0"/>
          <w:numId w:val="5"/>
        </w:numPr>
        <w:spacing w:line="24" w:lineRule="atLeast"/>
      </w:pPr>
      <w:r>
        <w:lastRenderedPageBreak/>
        <w:t xml:space="preserve">The Commonwealth </w:t>
      </w:r>
      <w:r w:rsidR="0050175D">
        <w:t>will</w:t>
      </w:r>
      <w:r>
        <w:t xml:space="preserve"> </w:t>
      </w:r>
      <w:r w:rsidR="008A5DA0">
        <w:t xml:space="preserve">fully fund one </w:t>
      </w:r>
      <w:r w:rsidR="00FB622E">
        <w:t>Medicare Mental</w:t>
      </w:r>
      <w:r w:rsidR="008A5DA0">
        <w:t xml:space="preserve"> Health Kids Hub and provide</w:t>
      </w:r>
      <w:r>
        <w:t xml:space="preserve"> its funding directly to South Australia to establish and operate</w:t>
      </w:r>
      <w:r w:rsidR="005420F3">
        <w:t xml:space="preserve"> </w:t>
      </w:r>
      <w:r w:rsidR="008A5DA0">
        <w:t xml:space="preserve">the service through a </w:t>
      </w:r>
      <w:r w:rsidR="005420F3">
        <w:t xml:space="preserve">decentralised </w:t>
      </w:r>
      <w:r>
        <w:t>model agreed by both Parties.</w:t>
      </w:r>
    </w:p>
    <w:p w14:paraId="62B1F93D" w14:textId="77777777" w:rsidR="006420EB" w:rsidRPr="005E4A1B" w:rsidRDefault="006420EB" w:rsidP="00A3099F">
      <w:pPr>
        <w:pStyle w:val="Heading2"/>
      </w:pPr>
      <w:r>
        <w:t xml:space="preserve">Enhancement and </w:t>
      </w:r>
      <w:r w:rsidR="002F5ADE">
        <w:t xml:space="preserve">Expansion </w:t>
      </w:r>
      <w:r>
        <w:t>of Youth Mental Health Services</w:t>
      </w:r>
    </w:p>
    <w:p w14:paraId="60B381E9" w14:textId="77777777" w:rsidR="002F5ADE" w:rsidRPr="005E4A1B" w:rsidRDefault="002F5ADE" w:rsidP="002F5ADE">
      <w:pPr>
        <w:pStyle w:val="ListParagraph"/>
        <w:numPr>
          <w:ilvl w:val="0"/>
          <w:numId w:val="5"/>
        </w:numPr>
        <w:rPr>
          <w:rFonts w:ascii="Calibri" w:hAnsi="Calibri" w:cs="Calibri"/>
        </w:rPr>
      </w:pPr>
      <w:r w:rsidRPr="59267F59">
        <w:rPr>
          <w:rFonts w:ascii="Calibri" w:hAnsi="Calibri" w:cs="Calibri"/>
        </w:rPr>
        <w:t xml:space="preserve">The Commonwealth agrees to fully fund the establishment and operation of one new headspace site in South Australia. </w:t>
      </w:r>
    </w:p>
    <w:p w14:paraId="618B9EEF" w14:textId="4204BAB5" w:rsidR="00A60912" w:rsidRPr="005E4A1B" w:rsidRDefault="006420EB" w:rsidP="59267F59">
      <w:pPr>
        <w:pStyle w:val="ListParagraph"/>
        <w:numPr>
          <w:ilvl w:val="0"/>
          <w:numId w:val="5"/>
        </w:numPr>
        <w:spacing w:line="24" w:lineRule="atLeast"/>
        <w:rPr>
          <w:rFonts w:cstheme="minorBidi"/>
        </w:rPr>
      </w:pPr>
      <w:r w:rsidRPr="59267F59">
        <w:rPr>
          <w:rFonts w:ascii="Calibri" w:hAnsi="Calibri" w:cs="Calibri"/>
        </w:rPr>
        <w:t xml:space="preserve">The Commonwealth and </w:t>
      </w:r>
      <w:r w:rsidR="00CB0417">
        <w:t xml:space="preserve">South Australia </w:t>
      </w:r>
      <w:r w:rsidR="008F49F6" w:rsidRPr="59267F59">
        <w:rPr>
          <w:rFonts w:ascii="Calibri" w:hAnsi="Calibri" w:cs="Calibri"/>
        </w:rPr>
        <w:t>agree to</w:t>
      </w:r>
      <w:r w:rsidR="00491122" w:rsidRPr="59267F59">
        <w:rPr>
          <w:rFonts w:ascii="Calibri" w:hAnsi="Calibri" w:cs="Calibri"/>
        </w:rPr>
        <w:t xml:space="preserve"> </w:t>
      </w:r>
      <w:r w:rsidR="00654199" w:rsidRPr="59267F59">
        <w:rPr>
          <w:rFonts w:ascii="Calibri" w:hAnsi="Calibri" w:cs="Calibri"/>
        </w:rPr>
        <w:t>w</w:t>
      </w:r>
      <w:r w:rsidR="00E25009" w:rsidRPr="59267F59">
        <w:rPr>
          <w:rFonts w:ascii="Calibri" w:hAnsi="Calibri" w:cs="Calibri"/>
        </w:rPr>
        <w:t xml:space="preserve">ork collaboratively to enhance, through </w:t>
      </w:r>
      <w:r w:rsidR="006D5995" w:rsidRPr="59267F59">
        <w:rPr>
          <w:rFonts w:ascii="Calibri" w:hAnsi="Calibri" w:cs="Calibri"/>
        </w:rPr>
        <w:t xml:space="preserve">Commonwealth </w:t>
      </w:r>
      <w:r w:rsidR="00E25009" w:rsidRPr="59267F59">
        <w:rPr>
          <w:rFonts w:ascii="Calibri" w:hAnsi="Calibri" w:cs="Calibri"/>
        </w:rPr>
        <w:t xml:space="preserve">funding </w:t>
      </w:r>
      <w:r w:rsidR="006D5995" w:rsidRPr="59267F59">
        <w:rPr>
          <w:rFonts w:ascii="Calibri" w:hAnsi="Calibri" w:cs="Calibri"/>
        </w:rPr>
        <w:t>and existing state resource</w:t>
      </w:r>
      <w:r w:rsidR="00E25009" w:rsidRPr="59267F59">
        <w:rPr>
          <w:rFonts w:ascii="Calibri" w:hAnsi="Calibri" w:cs="Calibri"/>
        </w:rPr>
        <w:t xml:space="preserve"> contribution, current and planned headspace services </w:t>
      </w:r>
      <w:r w:rsidR="00C85BBA" w:rsidRPr="59267F59">
        <w:rPr>
          <w:rFonts w:ascii="Calibri" w:hAnsi="Calibri" w:cs="Calibri"/>
        </w:rPr>
        <w:t>and agreed</w:t>
      </w:r>
      <w:r w:rsidR="00BF672A" w:rsidRPr="59267F59">
        <w:rPr>
          <w:rFonts w:ascii="Calibri" w:hAnsi="Calibri" w:cs="Calibri"/>
        </w:rPr>
        <w:t xml:space="preserve"> an</w:t>
      </w:r>
      <w:r w:rsidR="00C85BBA" w:rsidRPr="59267F59">
        <w:rPr>
          <w:rFonts w:ascii="Calibri" w:hAnsi="Calibri" w:cs="Calibri"/>
        </w:rPr>
        <w:t xml:space="preserve"> approach </w:t>
      </w:r>
      <w:r w:rsidR="00E25009" w:rsidRPr="59267F59">
        <w:rPr>
          <w:rFonts w:ascii="Calibri" w:hAnsi="Calibri" w:cs="Calibri"/>
        </w:rPr>
        <w:t xml:space="preserve">to increase access to multidisciplinary youth mental health services in South Australia that </w:t>
      </w:r>
      <w:r w:rsidR="00C85BBA" w:rsidRPr="59267F59">
        <w:rPr>
          <w:rFonts w:ascii="Calibri" w:hAnsi="Calibri" w:cs="Calibri"/>
        </w:rPr>
        <w:t xml:space="preserve">aligns with the headspace model, </w:t>
      </w:r>
      <w:r w:rsidR="00E25009" w:rsidRPr="59267F59">
        <w:rPr>
          <w:rFonts w:ascii="Calibri" w:hAnsi="Calibri" w:cs="Calibri"/>
        </w:rPr>
        <w:t xml:space="preserve">ensures integration with existing services and </w:t>
      </w:r>
      <w:r w:rsidR="00C85BBA" w:rsidRPr="59267F59">
        <w:rPr>
          <w:rFonts w:ascii="Calibri" w:hAnsi="Calibri" w:cs="Calibri"/>
        </w:rPr>
        <w:t xml:space="preserve">does not cause </w:t>
      </w:r>
      <w:r w:rsidR="00E25009" w:rsidRPr="59267F59">
        <w:rPr>
          <w:rFonts w:ascii="Calibri" w:hAnsi="Calibri" w:cs="Calibri"/>
        </w:rPr>
        <w:t>increased fragmentation</w:t>
      </w:r>
      <w:r w:rsidR="00E25009" w:rsidRPr="59267F59">
        <w:rPr>
          <w:rFonts w:cstheme="minorBidi"/>
        </w:rPr>
        <w:t>.</w:t>
      </w:r>
    </w:p>
    <w:p w14:paraId="445D281E" w14:textId="77777777" w:rsidR="001F6B34" w:rsidRPr="005E4A1B" w:rsidRDefault="001F6B34" w:rsidP="00CF6121">
      <w:pPr>
        <w:pStyle w:val="Heading2"/>
      </w:pPr>
      <w:bookmarkStart w:id="3" w:name="_Hlk84522404"/>
      <w:bookmarkEnd w:id="2"/>
      <w:r>
        <w:t>Aftercare Services</w:t>
      </w:r>
    </w:p>
    <w:p w14:paraId="44D8D2F3" w14:textId="77777777" w:rsidR="001F6B34" w:rsidRPr="005E4A1B" w:rsidRDefault="001F6B34" w:rsidP="001F6B34">
      <w:pPr>
        <w:pStyle w:val="ListParagraph"/>
        <w:numPr>
          <w:ilvl w:val="0"/>
          <w:numId w:val="5"/>
        </w:numPr>
      </w:pPr>
      <w:r>
        <w:t>The Commonwealth and South Australia agree to work towards achieving universal aftercare services to support individuals following a suicide attempt and/or suicidal crisis.</w:t>
      </w:r>
    </w:p>
    <w:p w14:paraId="4D219C21" w14:textId="77777777" w:rsidR="001F6B34" w:rsidRPr="005E4A1B" w:rsidRDefault="001F6B34" w:rsidP="001F6B34">
      <w:pPr>
        <w:pStyle w:val="ListParagraph"/>
        <w:numPr>
          <w:ilvl w:val="0"/>
          <w:numId w:val="5"/>
        </w:numPr>
      </w:pPr>
      <w:r>
        <w:t>The Commonwealth</w:t>
      </w:r>
      <w:r w:rsidR="0089736C">
        <w:t xml:space="preserve"> and South Australia</w:t>
      </w:r>
      <w:r>
        <w:t xml:space="preserve"> agree to:</w:t>
      </w:r>
    </w:p>
    <w:p w14:paraId="1D6F6E64" w14:textId="2B4E2AA2" w:rsidR="000E1E4D" w:rsidRPr="005E4A1B" w:rsidRDefault="00E97AC8" w:rsidP="0089736C">
      <w:pPr>
        <w:pStyle w:val="ListParagraph"/>
        <w:numPr>
          <w:ilvl w:val="1"/>
          <w:numId w:val="5"/>
        </w:numPr>
      </w:pPr>
      <w:r>
        <w:t>C</w:t>
      </w:r>
      <w:r w:rsidR="0089736C">
        <w:t>o-fund</w:t>
      </w:r>
      <w:r w:rsidR="00AC1DFC">
        <w:t xml:space="preserve"> </w:t>
      </w:r>
      <w:r w:rsidR="0089736C">
        <w:t xml:space="preserve">the continuation of the existing service being delivered under </w:t>
      </w:r>
      <w:r w:rsidR="00750FB2" w:rsidRPr="59267F59">
        <w:rPr>
          <w:i/>
          <w:iCs/>
        </w:rPr>
        <w:t xml:space="preserve">the Way Back Support Service via the Aftercare Following Suicide Attempt Agreement, the Transition Extension to 2023-24 </w:t>
      </w:r>
      <w:r w:rsidR="00750FB2">
        <w:t xml:space="preserve">(the Way Back </w:t>
      </w:r>
      <w:r w:rsidR="003060AF">
        <w:t xml:space="preserve">Support </w:t>
      </w:r>
      <w:r w:rsidR="00750FB2">
        <w:t>Service)</w:t>
      </w:r>
      <w:r w:rsidR="000E1E4D">
        <w:t xml:space="preserve">, </w:t>
      </w:r>
      <w:r w:rsidR="00AC1DFC">
        <w:t>until</w:t>
      </w:r>
      <w:r w:rsidR="000E1E4D">
        <w:t xml:space="preserve"> 30 June 202</w:t>
      </w:r>
      <w:r w:rsidR="00AC1DFC">
        <w:t>4</w:t>
      </w:r>
      <w:r w:rsidR="000E1E4D">
        <w:t xml:space="preserve">. </w:t>
      </w:r>
    </w:p>
    <w:p w14:paraId="56EAA1FB" w14:textId="52F96D51" w:rsidR="0089736C" w:rsidRPr="005E4A1B" w:rsidRDefault="000E1E4D" w:rsidP="0089736C">
      <w:pPr>
        <w:pStyle w:val="ListParagraph"/>
        <w:numPr>
          <w:ilvl w:val="1"/>
          <w:numId w:val="5"/>
        </w:numPr>
      </w:pPr>
      <w:r>
        <w:t xml:space="preserve">Work together to implement suitable transition arrangements from the Way Back Service </w:t>
      </w:r>
      <w:r w:rsidR="0056539A">
        <w:t>to</w:t>
      </w:r>
      <w:r>
        <w:t xml:space="preserve"> continue aftercare ser</w:t>
      </w:r>
      <w:r w:rsidR="0056539A">
        <w:t>vices, commissioned by the PHN,</w:t>
      </w:r>
      <w:r w:rsidR="0089736C">
        <w:t xml:space="preserve"> until 30 June 202</w:t>
      </w:r>
      <w:r w:rsidR="461BD9E6">
        <w:t>6</w:t>
      </w:r>
      <w:r w:rsidR="0089736C">
        <w:t>.</w:t>
      </w:r>
    </w:p>
    <w:p w14:paraId="0255081C" w14:textId="70C65FB1" w:rsidR="009A659B" w:rsidRPr="005E4A1B" w:rsidRDefault="00E97AC8" w:rsidP="009A659B">
      <w:pPr>
        <w:widowControl/>
        <w:numPr>
          <w:ilvl w:val="1"/>
          <w:numId w:val="5"/>
        </w:numPr>
        <w:rPr>
          <w:rFonts w:eastAsia="Times New Roman"/>
          <w:color w:val="000000"/>
        </w:rPr>
      </w:pPr>
      <w:r w:rsidRPr="005E4A1B">
        <w:rPr>
          <w:rFonts w:eastAsia="Times New Roman"/>
          <w:color w:val="000000"/>
        </w:rPr>
        <w:t>W</w:t>
      </w:r>
      <w:r w:rsidR="009A659B" w:rsidRPr="005E4A1B">
        <w:rPr>
          <w:rFonts w:eastAsia="Times New Roman"/>
          <w:color w:val="000000"/>
        </w:rPr>
        <w:t>ork towards achieving universal aftercare services to support individuals following a suicide attempt and/or suicidal crisis, which could be through the Way Back Service, or other models.</w:t>
      </w:r>
    </w:p>
    <w:p w14:paraId="1D50BD10" w14:textId="066D6BC5" w:rsidR="0089736C" w:rsidRPr="005E4A1B" w:rsidRDefault="0089736C" w:rsidP="00CF6121">
      <w:pPr>
        <w:pStyle w:val="Heading2"/>
      </w:pPr>
      <w:r w:rsidRPr="005E4A1B">
        <w:t xml:space="preserve">Distress </w:t>
      </w:r>
      <w:r w:rsidR="00BE7937" w:rsidRPr="005E4A1B">
        <w:t>Brief Support Trial</w:t>
      </w:r>
      <w:r w:rsidRPr="005E4A1B">
        <w:t xml:space="preserve"> </w:t>
      </w:r>
    </w:p>
    <w:p w14:paraId="3D71E0C9" w14:textId="77777777" w:rsidR="0089736C" w:rsidRPr="005E4A1B" w:rsidRDefault="00CA4EBF" w:rsidP="0089736C">
      <w:pPr>
        <w:pStyle w:val="ListParagraph"/>
        <w:numPr>
          <w:ilvl w:val="0"/>
          <w:numId w:val="5"/>
        </w:numPr>
      </w:pPr>
      <w:r w:rsidRPr="005E4A1B">
        <w:rPr>
          <w:rFonts w:ascii="Calibri" w:hAnsi="Calibri" w:cs="Calibri"/>
        </w:rPr>
        <w:t>The Commonwealth and South Australia agree to work collaboratively with the shared objective of preventing and reducing suicidal behavior in South Australia.</w:t>
      </w:r>
    </w:p>
    <w:p w14:paraId="54C964EC" w14:textId="77777777" w:rsidR="00CA4EBF" w:rsidRPr="005E4A1B" w:rsidRDefault="00CA4EBF" w:rsidP="0089736C">
      <w:pPr>
        <w:pStyle w:val="ListParagraph"/>
        <w:numPr>
          <w:ilvl w:val="0"/>
          <w:numId w:val="5"/>
        </w:numPr>
      </w:pPr>
      <w:r w:rsidRPr="005E4A1B">
        <w:rPr>
          <w:rFonts w:ascii="Calibri" w:hAnsi="Calibri" w:cs="Calibri"/>
        </w:rPr>
        <w:t>The Commonwealth agrees to:</w:t>
      </w:r>
    </w:p>
    <w:p w14:paraId="4D318CC6" w14:textId="384A0BF6" w:rsidR="00CA4EBF" w:rsidRPr="005E4A1B" w:rsidRDefault="00750FB2" w:rsidP="00CA4EBF">
      <w:pPr>
        <w:pStyle w:val="ListParagraph"/>
        <w:numPr>
          <w:ilvl w:val="1"/>
          <w:numId w:val="5"/>
        </w:numPr>
      </w:pPr>
      <w:r w:rsidRPr="005E4A1B">
        <w:rPr>
          <w:rFonts w:ascii="Calibri" w:hAnsi="Calibri" w:cs="Calibri"/>
        </w:rPr>
        <w:t>F</w:t>
      </w:r>
      <w:r w:rsidR="00CA4EBF" w:rsidRPr="005E4A1B">
        <w:rPr>
          <w:rFonts w:ascii="Calibri" w:hAnsi="Calibri" w:cs="Calibri"/>
        </w:rPr>
        <w:t xml:space="preserve">und one </w:t>
      </w:r>
      <w:r w:rsidR="006C1372" w:rsidRPr="005E4A1B">
        <w:rPr>
          <w:rFonts w:ascii="Calibri" w:hAnsi="Calibri" w:cs="Calibri"/>
        </w:rPr>
        <w:t>D</w:t>
      </w:r>
      <w:r w:rsidR="00CA4EBF" w:rsidRPr="005E4A1B">
        <w:rPr>
          <w:rFonts w:ascii="Calibri" w:hAnsi="Calibri" w:cs="Calibri"/>
        </w:rPr>
        <w:t>istress</w:t>
      </w:r>
      <w:r w:rsidR="006C1372" w:rsidRPr="005E4A1B">
        <w:rPr>
          <w:rFonts w:ascii="Calibri" w:hAnsi="Calibri" w:cs="Calibri"/>
        </w:rPr>
        <w:t xml:space="preserve"> </w:t>
      </w:r>
      <w:r w:rsidR="00BE7937" w:rsidRPr="005E4A1B">
        <w:rPr>
          <w:rFonts w:ascii="Calibri" w:hAnsi="Calibri" w:cs="Calibri"/>
        </w:rPr>
        <w:t xml:space="preserve">Brief Support </w:t>
      </w:r>
      <w:r w:rsidR="00033640" w:rsidRPr="005E4A1B">
        <w:rPr>
          <w:rFonts w:ascii="Calibri" w:hAnsi="Calibri" w:cs="Calibri"/>
        </w:rPr>
        <w:t>T</w:t>
      </w:r>
      <w:r w:rsidR="00CA4EBF" w:rsidRPr="005E4A1B">
        <w:rPr>
          <w:rFonts w:ascii="Calibri" w:hAnsi="Calibri" w:cs="Calibri"/>
        </w:rPr>
        <w:t>rial site in South Australia with the objective of preventing and reducing suicidal behaviour through early intervention in non-mental health settings.</w:t>
      </w:r>
    </w:p>
    <w:p w14:paraId="00F25602" w14:textId="77777777" w:rsidR="00CA4EBF" w:rsidRPr="005E4A1B" w:rsidRDefault="00CA4EBF" w:rsidP="00CA4EBF">
      <w:pPr>
        <w:pStyle w:val="ListParagraph"/>
        <w:numPr>
          <w:ilvl w:val="0"/>
          <w:numId w:val="5"/>
        </w:numPr>
      </w:pPr>
      <w:r w:rsidRPr="005E4A1B">
        <w:rPr>
          <w:rFonts w:ascii="Calibri" w:hAnsi="Calibri" w:cs="Calibri"/>
        </w:rPr>
        <w:t>The Commonwealth and South Australia will:</w:t>
      </w:r>
    </w:p>
    <w:p w14:paraId="6BDA488A" w14:textId="0BB99D1C" w:rsidR="00CA4EBF" w:rsidRPr="005E4A1B" w:rsidRDefault="00750FB2" w:rsidP="00CA4EBF">
      <w:pPr>
        <w:pStyle w:val="ListParagraph"/>
        <w:numPr>
          <w:ilvl w:val="1"/>
          <w:numId w:val="5"/>
        </w:numPr>
      </w:pPr>
      <w:r w:rsidRPr="005E4A1B">
        <w:rPr>
          <w:rFonts w:ascii="Calibri" w:hAnsi="Calibri" w:cs="Calibri"/>
        </w:rPr>
        <w:t>A</w:t>
      </w:r>
      <w:r w:rsidR="00CA4EBF" w:rsidRPr="005E4A1B">
        <w:rPr>
          <w:rFonts w:ascii="Calibri" w:hAnsi="Calibri" w:cs="Calibri"/>
        </w:rPr>
        <w:t xml:space="preserve">gree </w:t>
      </w:r>
      <w:r w:rsidR="00D40D55" w:rsidRPr="005E4A1B">
        <w:rPr>
          <w:rFonts w:ascii="Calibri" w:hAnsi="Calibri" w:cs="Calibri"/>
        </w:rPr>
        <w:t>to the</w:t>
      </w:r>
      <w:r w:rsidR="00CA4EBF" w:rsidRPr="005E4A1B">
        <w:rPr>
          <w:rFonts w:ascii="Calibri" w:hAnsi="Calibri" w:cs="Calibri"/>
        </w:rPr>
        <w:t xml:space="preserve"> principles and objectives of the Distress</w:t>
      </w:r>
      <w:r w:rsidR="00BE7937" w:rsidRPr="005E4A1B">
        <w:rPr>
          <w:rFonts w:ascii="Calibri" w:hAnsi="Calibri" w:cs="Calibri"/>
        </w:rPr>
        <w:t xml:space="preserve"> Brief Support</w:t>
      </w:r>
      <w:r w:rsidR="00CA4EBF" w:rsidRPr="005E4A1B">
        <w:rPr>
          <w:rFonts w:ascii="Calibri" w:hAnsi="Calibri" w:cs="Calibri"/>
        </w:rPr>
        <w:t xml:space="preserve"> Trial, including pilot location</w:t>
      </w:r>
      <w:r w:rsidR="00D40D55" w:rsidRPr="005E4A1B">
        <w:rPr>
          <w:rFonts w:ascii="Calibri" w:hAnsi="Calibri" w:cs="Calibri"/>
        </w:rPr>
        <w:t>, implementation</w:t>
      </w:r>
      <w:r w:rsidR="00EB6FD1" w:rsidRPr="005E4A1B">
        <w:rPr>
          <w:rFonts w:ascii="Calibri" w:hAnsi="Calibri" w:cs="Calibri"/>
        </w:rPr>
        <w:t xml:space="preserve"> and delivery approach</w:t>
      </w:r>
      <w:r w:rsidR="00D40D55" w:rsidRPr="005E4A1B">
        <w:rPr>
          <w:rFonts w:ascii="Calibri" w:hAnsi="Calibri" w:cs="Calibri"/>
        </w:rPr>
        <w:t>, and evaluation</w:t>
      </w:r>
      <w:r w:rsidR="005E684E" w:rsidRPr="005E4A1B">
        <w:rPr>
          <w:rFonts w:ascii="Calibri" w:hAnsi="Calibri" w:cs="Calibri"/>
        </w:rPr>
        <w:t xml:space="preserve"> of the </w:t>
      </w:r>
      <w:r w:rsidR="00E97AC8" w:rsidRPr="005E4A1B">
        <w:rPr>
          <w:rFonts w:ascii="Calibri" w:hAnsi="Calibri" w:cs="Calibri"/>
        </w:rPr>
        <w:t>trial</w:t>
      </w:r>
      <w:r w:rsidRPr="005E4A1B">
        <w:rPr>
          <w:rFonts w:ascii="Calibri" w:hAnsi="Calibri" w:cs="Calibri"/>
        </w:rPr>
        <w:t>.</w:t>
      </w:r>
      <w:r w:rsidR="00E97AC8" w:rsidRPr="005E4A1B">
        <w:rPr>
          <w:rFonts w:ascii="Calibri" w:hAnsi="Calibri" w:cs="Calibri"/>
        </w:rPr>
        <w:t xml:space="preserve"> </w:t>
      </w:r>
    </w:p>
    <w:p w14:paraId="301DD0B8" w14:textId="1E0B453A" w:rsidR="00CA4EBF" w:rsidRPr="005E4A1B" w:rsidRDefault="00750FB2" w:rsidP="00CA4EBF">
      <w:pPr>
        <w:pStyle w:val="ListParagraph"/>
        <w:numPr>
          <w:ilvl w:val="1"/>
          <w:numId w:val="5"/>
        </w:numPr>
      </w:pPr>
      <w:r w:rsidRPr="005E4A1B">
        <w:rPr>
          <w:rFonts w:ascii="Calibri" w:hAnsi="Calibri" w:cs="Calibri"/>
        </w:rPr>
        <w:t>Ensure</w:t>
      </w:r>
      <w:r w:rsidR="00CA4EBF" w:rsidRPr="005E4A1B">
        <w:rPr>
          <w:rFonts w:ascii="Calibri" w:hAnsi="Calibri" w:cs="Calibri"/>
        </w:rPr>
        <w:t xml:space="preserve"> the program integrates with the existing service system.</w:t>
      </w:r>
    </w:p>
    <w:p w14:paraId="02DCE828" w14:textId="77777777" w:rsidR="00CA4EBF" w:rsidRPr="005E4A1B" w:rsidRDefault="00CA4EBF" w:rsidP="00CA4EBF">
      <w:pPr>
        <w:pStyle w:val="Heading2"/>
        <w:spacing w:before="120"/>
        <w:jc w:val="both"/>
        <w:rPr>
          <w:rFonts w:cs="Calibri"/>
          <w:lang w:val="en-AU"/>
        </w:rPr>
      </w:pPr>
      <w:r w:rsidRPr="005E4A1B">
        <w:t>Postvention</w:t>
      </w:r>
      <w:r w:rsidRPr="005E4A1B">
        <w:rPr>
          <w:spacing w:val="-5"/>
        </w:rPr>
        <w:t xml:space="preserve"> </w:t>
      </w:r>
      <w:r w:rsidRPr="005E4A1B">
        <w:t>Support</w:t>
      </w:r>
    </w:p>
    <w:p w14:paraId="6FC2FAAE" w14:textId="035B2418" w:rsidR="00CA4EBF" w:rsidRPr="005E4A1B" w:rsidRDefault="00CA4EBF" w:rsidP="00CA4EBF">
      <w:pPr>
        <w:pStyle w:val="ListParagraph"/>
        <w:numPr>
          <w:ilvl w:val="0"/>
          <w:numId w:val="5"/>
        </w:numPr>
        <w:rPr>
          <w:rFonts w:ascii="Calibri" w:hAnsi="Calibri" w:cs="Calibri"/>
        </w:rPr>
      </w:pPr>
      <w:bookmarkStart w:id="4" w:name="_Hlk139626543"/>
      <w:r w:rsidRPr="005E4A1B">
        <w:rPr>
          <w:rFonts w:ascii="Calibri" w:hAnsi="Calibri" w:cs="Calibri"/>
        </w:rPr>
        <w:t xml:space="preserve">The Commonwealth agrees to fund </w:t>
      </w:r>
      <w:r w:rsidR="005509DC" w:rsidRPr="005E4A1B">
        <w:rPr>
          <w:rFonts w:ascii="Calibri" w:hAnsi="Calibri" w:cs="Calibri"/>
        </w:rPr>
        <w:t xml:space="preserve">YouTurn Ltd </w:t>
      </w:r>
      <w:r w:rsidR="00797803" w:rsidRPr="005E4A1B">
        <w:rPr>
          <w:rFonts w:ascii="Calibri" w:hAnsi="Calibri" w:cs="Calibri"/>
        </w:rPr>
        <w:t xml:space="preserve">until 2024-25 </w:t>
      </w:r>
      <w:r w:rsidRPr="005E4A1B">
        <w:rPr>
          <w:rFonts w:ascii="Calibri" w:hAnsi="Calibri" w:cs="Calibri"/>
        </w:rPr>
        <w:t>to</w:t>
      </w:r>
      <w:r w:rsidR="009A4090" w:rsidRPr="005E4A1B">
        <w:rPr>
          <w:rFonts w:ascii="Calibri" w:hAnsi="Calibri" w:cs="Calibri"/>
        </w:rPr>
        <w:t xml:space="preserve"> continue existing service provision for postvention support in South Australia, </w:t>
      </w:r>
      <w:r w:rsidRPr="005E4A1B">
        <w:rPr>
          <w:rFonts w:ascii="Calibri" w:hAnsi="Calibri" w:cs="Calibri"/>
        </w:rPr>
        <w:t>modelled on the StandBy Support After Suicide Program to ensure people in South Australia who are bereaved or impacted by suicide can access its services.</w:t>
      </w:r>
    </w:p>
    <w:bookmarkEnd w:id="4"/>
    <w:p w14:paraId="2617CF3D" w14:textId="73DB5724" w:rsidR="00CF6121" w:rsidRPr="005E4A1B" w:rsidRDefault="00CF6121" w:rsidP="00CF6121">
      <w:pPr>
        <w:pStyle w:val="Heading2"/>
      </w:pPr>
      <w:r>
        <w:t xml:space="preserve">Preventing and </w:t>
      </w:r>
      <w:r w:rsidR="3FB60E84">
        <w:t>R</w:t>
      </w:r>
      <w:r>
        <w:t xml:space="preserve">educing </w:t>
      </w:r>
      <w:r w:rsidR="04FB93DF">
        <w:t>S</w:t>
      </w:r>
      <w:r>
        <w:t xml:space="preserve">uicidal </w:t>
      </w:r>
      <w:r w:rsidR="7B667E86">
        <w:t>B</w:t>
      </w:r>
      <w:r>
        <w:t>ehaviour</w:t>
      </w:r>
    </w:p>
    <w:p w14:paraId="7A762276" w14:textId="7470B40B" w:rsidR="00CF6121" w:rsidRPr="005E4A1B" w:rsidRDefault="00BB79EB" w:rsidP="00CF6121">
      <w:pPr>
        <w:pStyle w:val="ListParagraph"/>
        <w:numPr>
          <w:ilvl w:val="0"/>
          <w:numId w:val="5"/>
        </w:numPr>
        <w:rPr>
          <w:rFonts w:ascii="Calibri" w:hAnsi="Calibri" w:cs="Calibri"/>
        </w:rPr>
      </w:pPr>
      <w:r w:rsidRPr="005E4A1B">
        <w:rPr>
          <w:rFonts w:ascii="Calibri" w:hAnsi="Calibri" w:cs="Calibri"/>
        </w:rPr>
        <w:t>In addition to the above measures, t</w:t>
      </w:r>
      <w:r w:rsidR="00CF6121" w:rsidRPr="005E4A1B">
        <w:rPr>
          <w:rFonts w:ascii="Calibri" w:hAnsi="Calibri" w:cs="Calibri"/>
        </w:rPr>
        <w:t xml:space="preserve">he Commonwealth and South Australia agree to work collaboratively with the shared objective of preventing and reducing suicidal behavior in South Australia, in addition to providing compassionate, evidence-based supports if suicidal behavior does occur. </w:t>
      </w:r>
    </w:p>
    <w:p w14:paraId="73EF6943" w14:textId="1FAEB7AA" w:rsidR="00506C4B" w:rsidRPr="005E4A1B" w:rsidRDefault="00506C4B" w:rsidP="00506C4B">
      <w:pPr>
        <w:pStyle w:val="ListParagraph"/>
        <w:numPr>
          <w:ilvl w:val="0"/>
          <w:numId w:val="5"/>
        </w:numPr>
        <w:rPr>
          <w:rFonts w:ascii="Calibri" w:hAnsi="Calibri" w:cs="Calibri"/>
        </w:rPr>
      </w:pPr>
      <w:r w:rsidRPr="005E4A1B">
        <w:rPr>
          <w:rFonts w:ascii="Calibri" w:hAnsi="Calibri" w:cs="Calibri"/>
        </w:rPr>
        <w:t xml:space="preserve">The Parties recognise South Australia’s </w:t>
      </w:r>
      <w:r w:rsidRPr="005E4A1B">
        <w:rPr>
          <w:rFonts w:ascii="Calibri" w:hAnsi="Calibri" w:cs="Calibri"/>
          <w:i/>
          <w:iCs/>
        </w:rPr>
        <w:t>Working Towards Zero Suicide</w:t>
      </w:r>
      <w:r w:rsidRPr="005E4A1B">
        <w:rPr>
          <w:rFonts w:ascii="Calibri" w:hAnsi="Calibri" w:cs="Calibri"/>
        </w:rPr>
        <w:t xml:space="preserve"> initiative is an approach to </w:t>
      </w:r>
      <w:r w:rsidRPr="005E4A1B">
        <w:rPr>
          <w:rFonts w:ascii="Calibri" w:hAnsi="Calibri" w:cs="Calibri"/>
        </w:rPr>
        <w:lastRenderedPageBreak/>
        <w:t xml:space="preserve">suicide prevention that is a key priority within South Australia’s Mental Health Services Plan </w:t>
      </w:r>
      <w:r w:rsidR="00E97AC8" w:rsidRPr="005E4A1B">
        <w:rPr>
          <w:rFonts w:ascii="Calibri" w:hAnsi="Calibri" w:cs="Calibri"/>
        </w:rPr>
        <w:br/>
      </w:r>
      <w:r w:rsidRPr="005E4A1B">
        <w:rPr>
          <w:rFonts w:ascii="Calibri" w:hAnsi="Calibri" w:cs="Calibri"/>
        </w:rPr>
        <w:t xml:space="preserve">2020-25. The </w:t>
      </w:r>
      <w:r w:rsidRPr="005E4A1B">
        <w:rPr>
          <w:rFonts w:ascii="Calibri" w:hAnsi="Calibri" w:cs="Calibri"/>
          <w:i/>
          <w:iCs/>
        </w:rPr>
        <w:t>Towards Zero Suicide</w:t>
      </w:r>
      <w:r w:rsidRPr="005E4A1B">
        <w:rPr>
          <w:rFonts w:ascii="Calibri" w:hAnsi="Calibri" w:cs="Calibri"/>
        </w:rPr>
        <w:t xml:space="preserve"> initiative provides best practice suicide prevention care, support for people in contact with healthcare services, and ensures leadership of people with lived experience.</w:t>
      </w:r>
    </w:p>
    <w:p w14:paraId="42A61A1D" w14:textId="77777777" w:rsidR="00156CB1" w:rsidRPr="005E4A1B" w:rsidRDefault="00156CB1" w:rsidP="00A87E8E">
      <w:pPr>
        <w:pStyle w:val="Heading2"/>
      </w:pPr>
      <w:r w:rsidRPr="005E4A1B">
        <w:t>Perinatal Mental Health Screening</w:t>
      </w:r>
    </w:p>
    <w:p w14:paraId="79449E3A" w14:textId="341AB5C5" w:rsidR="00156CB1" w:rsidRPr="005E4A1B" w:rsidRDefault="00156CB1" w:rsidP="00156CB1">
      <w:pPr>
        <w:pStyle w:val="ListParagraph"/>
        <w:numPr>
          <w:ilvl w:val="0"/>
          <w:numId w:val="5"/>
        </w:numPr>
      </w:pPr>
      <w:r w:rsidRPr="005E4A1B">
        <w:t>South Australia agree</w:t>
      </w:r>
      <w:r w:rsidR="00FF669A" w:rsidRPr="005E4A1B">
        <w:t>s</w:t>
      </w:r>
      <w:r w:rsidRPr="005E4A1B">
        <w:t xml:space="preserve"> to work towards providing nationally consistent perinatal mental health screening data to the Australian Institute of Health and Welfare (AIHW) from 2023-24 and on identifying and addressing gaps in perinatal mental health screening.</w:t>
      </w:r>
    </w:p>
    <w:p w14:paraId="58771327" w14:textId="77777777" w:rsidR="00E422EE" w:rsidRPr="005E4A1B" w:rsidRDefault="00156CB1" w:rsidP="00156CB1">
      <w:pPr>
        <w:pStyle w:val="ListParagraph"/>
        <w:numPr>
          <w:ilvl w:val="0"/>
          <w:numId w:val="5"/>
        </w:numPr>
      </w:pPr>
      <w:r w:rsidRPr="005E4A1B">
        <w:t>The</w:t>
      </w:r>
      <w:r w:rsidR="00E422EE" w:rsidRPr="005E4A1B">
        <w:t xml:space="preserve"> Commonwealth agrees to:</w:t>
      </w:r>
    </w:p>
    <w:p w14:paraId="5507A5DD" w14:textId="41983426" w:rsidR="00156CB1" w:rsidRPr="005E4A1B" w:rsidRDefault="00E422EE" w:rsidP="6245677E">
      <w:pPr>
        <w:pStyle w:val="ListParagraph"/>
        <w:numPr>
          <w:ilvl w:val="1"/>
          <w:numId w:val="5"/>
        </w:numPr>
        <w:rPr>
          <w:rFonts w:ascii="Calibri" w:eastAsia="Calibri" w:hAnsi="Calibri" w:cs="Calibri"/>
          <w:szCs w:val="22"/>
        </w:rPr>
      </w:pPr>
      <w:r w:rsidRPr="005E4A1B">
        <w:t xml:space="preserve">Continue to </w:t>
      </w:r>
      <w:r w:rsidR="00156CB1" w:rsidRPr="005E4A1B">
        <w:t>fund the</w:t>
      </w:r>
      <w:r w:rsidRPr="005E4A1B">
        <w:t xml:space="preserve"> Centre of Perinatal Excellence to </w:t>
      </w:r>
      <w:r w:rsidR="00070034" w:rsidRPr="005E4A1B">
        <w:t xml:space="preserve">at least </w:t>
      </w:r>
      <w:r w:rsidR="0273E6DB" w:rsidRPr="005E4A1B">
        <w:rPr>
          <w:rFonts w:ascii="Calibri" w:eastAsia="Calibri" w:hAnsi="Calibri" w:cs="Calibri"/>
          <w:szCs w:val="22"/>
        </w:rPr>
        <w:t xml:space="preserve">2026-27 </w:t>
      </w:r>
    </w:p>
    <w:p w14:paraId="6B269136" w14:textId="7C8F83CF" w:rsidR="00156CB1" w:rsidRPr="005E4A1B" w:rsidRDefault="00E422EE" w:rsidP="00E422EE">
      <w:pPr>
        <w:pStyle w:val="ListParagraph"/>
        <w:numPr>
          <w:ilvl w:val="1"/>
          <w:numId w:val="5"/>
        </w:numPr>
      </w:pPr>
      <w:r w:rsidRPr="005E4A1B">
        <w:t xml:space="preserve"> through existing arrangements for </w:t>
      </w:r>
      <w:r w:rsidR="0017274F" w:rsidRPr="005E4A1B">
        <w:t>provision of the iCOPE tool to states for use in public antenatal and postnatal settings</w:t>
      </w:r>
      <w:r w:rsidR="00070034" w:rsidRPr="005E4A1B">
        <w:t xml:space="preserve"> free of charge.</w:t>
      </w:r>
    </w:p>
    <w:p w14:paraId="419DC0D9" w14:textId="77777777" w:rsidR="00E422EE" w:rsidRPr="005E4A1B" w:rsidRDefault="00E422EE" w:rsidP="00E422EE">
      <w:pPr>
        <w:pStyle w:val="ListParagraph"/>
        <w:numPr>
          <w:ilvl w:val="1"/>
          <w:numId w:val="5"/>
        </w:numPr>
      </w:pPr>
      <w:r w:rsidRPr="005E4A1B">
        <w:t xml:space="preserve">Continue to fund the AIHW through existing arrangements to support national perinatal mental health reporting. </w:t>
      </w:r>
    </w:p>
    <w:p w14:paraId="5BFC24F7" w14:textId="77777777" w:rsidR="00A87E8E" w:rsidRPr="005E4A1B" w:rsidRDefault="00A87E8E" w:rsidP="00A87E8E">
      <w:pPr>
        <w:pStyle w:val="Heading2"/>
      </w:pPr>
      <w:r w:rsidRPr="005E4A1B">
        <w:t>Initial Assessment and Referral</w:t>
      </w:r>
    </w:p>
    <w:p w14:paraId="7322F34A" w14:textId="6F0329A6" w:rsidR="00A87E8E" w:rsidRPr="005E4A1B" w:rsidRDefault="00A87E8E" w:rsidP="0079774A">
      <w:pPr>
        <w:pStyle w:val="ListParagraph"/>
        <w:numPr>
          <w:ilvl w:val="0"/>
          <w:numId w:val="5"/>
        </w:numPr>
        <w:spacing w:line="24" w:lineRule="atLeast"/>
        <w:rPr>
          <w:rFonts w:ascii="Calibri" w:hAnsi="Calibri" w:cs="Calibri"/>
        </w:rPr>
      </w:pPr>
      <w:r w:rsidRPr="005E4A1B">
        <w:rPr>
          <w:rFonts w:ascii="Calibri" w:hAnsi="Calibri" w:cs="Calibri"/>
        </w:rPr>
        <w:t>South Australia agrees to adopt and support the use of the IAR tool and to support consistent intake</w:t>
      </w:r>
      <w:r w:rsidR="00732BE4" w:rsidRPr="005E4A1B">
        <w:rPr>
          <w:rFonts w:ascii="Calibri" w:hAnsi="Calibri" w:cs="Calibri"/>
        </w:rPr>
        <w:t xml:space="preserve"> and</w:t>
      </w:r>
      <w:r w:rsidRPr="005E4A1B">
        <w:rPr>
          <w:rFonts w:ascii="Calibri" w:hAnsi="Calibri" w:cs="Calibri"/>
        </w:rPr>
        <w:t xml:space="preserve"> referral integration across all state-funded services and clinical services.</w:t>
      </w:r>
    </w:p>
    <w:p w14:paraId="1EDC5CBD" w14:textId="77777777" w:rsidR="00A87E8E" w:rsidRPr="005E4A1B" w:rsidRDefault="00A87E8E" w:rsidP="0079774A">
      <w:pPr>
        <w:pStyle w:val="ListParagraph"/>
        <w:numPr>
          <w:ilvl w:val="0"/>
          <w:numId w:val="5"/>
        </w:numPr>
        <w:spacing w:line="24" w:lineRule="atLeast"/>
        <w:rPr>
          <w:rFonts w:ascii="Calibri" w:hAnsi="Calibri" w:cs="Calibri"/>
        </w:rPr>
      </w:pPr>
      <w:r w:rsidRPr="005E4A1B">
        <w:rPr>
          <w:rFonts w:ascii="Calibri" w:hAnsi="Calibri" w:cs="Calibri"/>
        </w:rPr>
        <w:t>The Commonwealth agrees to maintain the current IAR tool and implement the IAR in general practice and Commonwealth-funded mental health care services.</w:t>
      </w:r>
    </w:p>
    <w:p w14:paraId="06DE8612" w14:textId="77777777" w:rsidR="00A87E8E" w:rsidRPr="005E4A1B" w:rsidRDefault="00A87E8E" w:rsidP="0079774A">
      <w:pPr>
        <w:pStyle w:val="ListParagraph"/>
        <w:numPr>
          <w:ilvl w:val="0"/>
          <w:numId w:val="5"/>
        </w:numPr>
        <w:spacing w:line="24" w:lineRule="atLeast"/>
        <w:rPr>
          <w:rFonts w:ascii="Calibri" w:hAnsi="Calibri" w:cs="Calibri"/>
        </w:rPr>
      </w:pPr>
      <w:r w:rsidRPr="005E4A1B">
        <w:rPr>
          <w:rFonts w:ascii="Calibri" w:hAnsi="Calibri" w:cs="Calibri"/>
        </w:rPr>
        <w:t>The Commonwealth agrees to provide a one-time payment to South Australia to support implementation costs.</w:t>
      </w:r>
    </w:p>
    <w:p w14:paraId="21CA17FD" w14:textId="77777777" w:rsidR="00D06BD0" w:rsidRPr="005E4A1B" w:rsidRDefault="00D06BD0" w:rsidP="00D06BD0">
      <w:pPr>
        <w:pStyle w:val="Heading2"/>
      </w:pPr>
      <w:r w:rsidRPr="005E4A1B">
        <w:t>National Phone/Digital Intake Service</w:t>
      </w:r>
    </w:p>
    <w:p w14:paraId="61070845" w14:textId="2442C623" w:rsidR="00D06BD0" w:rsidRPr="005E4A1B" w:rsidRDefault="00D06BD0" w:rsidP="0079774A">
      <w:pPr>
        <w:pStyle w:val="ListParagraph"/>
        <w:numPr>
          <w:ilvl w:val="0"/>
          <w:numId w:val="5"/>
        </w:numPr>
        <w:spacing w:line="24" w:lineRule="atLeast"/>
        <w:rPr>
          <w:rFonts w:ascii="Calibri" w:hAnsi="Calibri" w:cs="Calibri"/>
        </w:rPr>
      </w:pPr>
      <w:r w:rsidRPr="005E4A1B">
        <w:rPr>
          <w:rFonts w:ascii="Calibri" w:hAnsi="Calibri" w:cs="Calibri"/>
        </w:rPr>
        <w:t xml:space="preserve">The Commonwealth and </w:t>
      </w:r>
      <w:r w:rsidR="00955BB9" w:rsidRPr="005E4A1B">
        <w:rPr>
          <w:rFonts w:ascii="Calibri" w:hAnsi="Calibri" w:cs="Calibri"/>
        </w:rPr>
        <w:t>South Australia</w:t>
      </w:r>
      <w:r w:rsidRPr="005E4A1B">
        <w:rPr>
          <w:rFonts w:ascii="Calibri" w:hAnsi="Calibri" w:cs="Calibri"/>
        </w:rPr>
        <w:t xml:space="preserve"> will work collaboratively to implement a consistent, state-wide intake and assessment phone service that integrates with existing state-based systems. The service will be staffed by therapeutic professionals</w:t>
      </w:r>
      <w:r w:rsidR="007A26BE" w:rsidRPr="005E4A1B">
        <w:rPr>
          <w:rFonts w:ascii="Calibri" w:hAnsi="Calibri" w:cs="Calibri"/>
        </w:rPr>
        <w:t xml:space="preserve">, including those with lived </w:t>
      </w:r>
      <w:r w:rsidR="00AF64AB" w:rsidRPr="005E4A1B">
        <w:rPr>
          <w:rFonts w:ascii="Calibri" w:hAnsi="Calibri" w:cs="Calibri"/>
        </w:rPr>
        <w:t>experience, who</w:t>
      </w:r>
      <w:r w:rsidRPr="005E4A1B">
        <w:rPr>
          <w:rFonts w:ascii="Calibri" w:hAnsi="Calibri" w:cs="Calibri"/>
        </w:rPr>
        <w:t xml:space="preserve"> will offer compassionate and consistent triage warm </w:t>
      </w:r>
      <w:r w:rsidR="00AF64AB" w:rsidRPr="005E4A1B">
        <w:rPr>
          <w:rFonts w:ascii="Calibri" w:hAnsi="Calibri" w:cs="Calibri"/>
        </w:rPr>
        <w:t>referrals to</w:t>
      </w:r>
      <w:r w:rsidRPr="005E4A1B">
        <w:rPr>
          <w:rFonts w:ascii="Calibri" w:hAnsi="Calibri" w:cs="Calibri"/>
        </w:rPr>
        <w:t xml:space="preserve"> the most appropriate local services.</w:t>
      </w:r>
    </w:p>
    <w:p w14:paraId="65D52438" w14:textId="0AEAC37E" w:rsidR="00D06BD0" w:rsidRPr="005E4A1B" w:rsidRDefault="00955BB9" w:rsidP="0079774A">
      <w:pPr>
        <w:pStyle w:val="ListParagraph"/>
        <w:numPr>
          <w:ilvl w:val="0"/>
          <w:numId w:val="5"/>
        </w:numPr>
        <w:spacing w:line="24" w:lineRule="atLeast"/>
        <w:rPr>
          <w:rFonts w:ascii="Calibri" w:hAnsi="Calibri" w:cs="Calibri"/>
        </w:rPr>
      </w:pPr>
      <w:r w:rsidRPr="005E4A1B">
        <w:rPr>
          <w:rFonts w:ascii="Calibri" w:hAnsi="Calibri" w:cs="Calibri"/>
        </w:rPr>
        <w:t>South Australia</w:t>
      </w:r>
      <w:r w:rsidR="00D06BD0" w:rsidRPr="005E4A1B">
        <w:rPr>
          <w:rFonts w:ascii="Calibri" w:hAnsi="Calibri" w:cs="Calibri"/>
        </w:rPr>
        <w:t xml:space="preserve"> agrees to support referral pathways between state services and the </w:t>
      </w:r>
      <w:r w:rsidR="00006AF4" w:rsidRPr="005E4A1B">
        <w:rPr>
          <w:rFonts w:ascii="Calibri" w:hAnsi="Calibri" w:cs="Calibri"/>
        </w:rPr>
        <w:t>Medicare M</w:t>
      </w:r>
      <w:r w:rsidR="00750FB2" w:rsidRPr="005E4A1B">
        <w:rPr>
          <w:rFonts w:ascii="Calibri" w:hAnsi="Calibri" w:cs="Calibri"/>
        </w:rPr>
        <w:t xml:space="preserve">ental </w:t>
      </w:r>
      <w:r w:rsidR="00006AF4" w:rsidRPr="005E4A1B">
        <w:rPr>
          <w:rFonts w:ascii="Calibri" w:hAnsi="Calibri" w:cs="Calibri"/>
        </w:rPr>
        <w:t>H</w:t>
      </w:r>
      <w:r w:rsidR="00750FB2" w:rsidRPr="005E4A1B">
        <w:rPr>
          <w:rFonts w:ascii="Calibri" w:hAnsi="Calibri" w:cs="Calibri"/>
        </w:rPr>
        <w:t xml:space="preserve">ealth </w:t>
      </w:r>
      <w:r w:rsidR="00006AF4" w:rsidRPr="005E4A1B">
        <w:rPr>
          <w:rFonts w:ascii="Calibri" w:hAnsi="Calibri" w:cs="Calibri"/>
        </w:rPr>
        <w:t>C</w:t>
      </w:r>
      <w:r w:rsidR="00D06BD0" w:rsidRPr="005E4A1B">
        <w:rPr>
          <w:rFonts w:ascii="Calibri" w:hAnsi="Calibri" w:cs="Calibri"/>
        </w:rPr>
        <w:t>entre</w:t>
      </w:r>
      <w:r w:rsidR="00E46CC2" w:rsidRPr="005E4A1B">
        <w:rPr>
          <w:rFonts w:ascii="Calibri" w:hAnsi="Calibri" w:cs="Calibri"/>
        </w:rPr>
        <w:t>s</w:t>
      </w:r>
      <w:r w:rsidR="7745E51A" w:rsidRPr="005E4A1B">
        <w:rPr>
          <w:rFonts w:ascii="Calibri" w:hAnsi="Calibri" w:cs="Calibri"/>
        </w:rPr>
        <w:t>.</w:t>
      </w:r>
      <w:bookmarkEnd w:id="3"/>
    </w:p>
    <w:p w14:paraId="3CDB5A6D" w14:textId="77777777" w:rsidR="0081666C" w:rsidRPr="005E4A1B" w:rsidRDefault="0081666C" w:rsidP="0079774A">
      <w:pPr>
        <w:pStyle w:val="ListParagraph"/>
        <w:numPr>
          <w:ilvl w:val="0"/>
          <w:numId w:val="5"/>
        </w:numPr>
        <w:spacing w:line="24" w:lineRule="atLeast"/>
        <w:rPr>
          <w:rFonts w:ascii="Calibri" w:hAnsi="Calibri" w:cs="Calibri"/>
        </w:rPr>
      </w:pPr>
      <w:r w:rsidRPr="005E4A1B">
        <w:rPr>
          <w:rFonts w:ascii="Calibri" w:hAnsi="Calibri" w:cs="Calibri"/>
        </w:rPr>
        <w:t xml:space="preserve">The Commonwealth agrees to provide a one-time payment to South Australia </w:t>
      </w:r>
      <w:r w:rsidR="00E577BA" w:rsidRPr="005E4A1B">
        <w:rPr>
          <w:rFonts w:ascii="Calibri" w:hAnsi="Calibri" w:cs="Calibri"/>
        </w:rPr>
        <w:t xml:space="preserve">to </w:t>
      </w:r>
      <w:r w:rsidR="00491122" w:rsidRPr="005E4A1B">
        <w:rPr>
          <w:rFonts w:ascii="Calibri" w:hAnsi="Calibri" w:cs="Calibri"/>
        </w:rPr>
        <w:t xml:space="preserve">support </w:t>
      </w:r>
      <w:r w:rsidRPr="005E4A1B">
        <w:rPr>
          <w:rFonts w:ascii="Calibri" w:hAnsi="Calibri" w:cs="Calibri"/>
        </w:rPr>
        <w:t>implementation</w:t>
      </w:r>
      <w:r w:rsidR="00E577BA" w:rsidRPr="005E4A1B">
        <w:rPr>
          <w:rFonts w:ascii="Calibri" w:hAnsi="Calibri" w:cs="Calibri"/>
        </w:rPr>
        <w:t xml:space="preserve"> costs</w:t>
      </w:r>
      <w:r w:rsidRPr="005E4A1B">
        <w:rPr>
          <w:rFonts w:ascii="Calibri" w:hAnsi="Calibri" w:cs="Calibri"/>
        </w:rPr>
        <w:t>.</w:t>
      </w:r>
    </w:p>
    <w:p w14:paraId="4628D885" w14:textId="77777777" w:rsidR="000A6A10" w:rsidRPr="005E4A1B" w:rsidRDefault="000A6A10" w:rsidP="000A6A10">
      <w:pPr>
        <w:pStyle w:val="Heading2"/>
      </w:pPr>
      <w:r w:rsidRPr="005E4A1B">
        <w:t>Regional Planning and Commissioning</w:t>
      </w:r>
    </w:p>
    <w:p w14:paraId="280746C0" w14:textId="7F3BC073" w:rsidR="00FA5100" w:rsidRPr="005E4A1B" w:rsidRDefault="00955BB9" w:rsidP="00A87E8E">
      <w:pPr>
        <w:pStyle w:val="ListParagraph"/>
        <w:numPr>
          <w:ilvl w:val="0"/>
          <w:numId w:val="5"/>
        </w:numPr>
        <w:spacing w:line="24" w:lineRule="atLeast"/>
      </w:pPr>
      <w:r w:rsidRPr="005E4A1B">
        <w:t>South Australia</w:t>
      </w:r>
      <w:r w:rsidR="000A6A10" w:rsidRPr="005E4A1B">
        <w:t xml:space="preserve"> agrees to continue to support </w:t>
      </w:r>
      <w:r w:rsidR="0072068A" w:rsidRPr="005E4A1B">
        <w:t xml:space="preserve">and encourage the development and implementation </w:t>
      </w:r>
      <w:r w:rsidR="0072068A" w:rsidRPr="005E4A1B">
        <w:rPr>
          <w:rFonts w:ascii="Calibri" w:hAnsi="Calibri" w:cs="Calibri"/>
        </w:rPr>
        <w:t xml:space="preserve">of a joint regional mental health and suicide </w:t>
      </w:r>
      <w:r w:rsidR="009B07BE" w:rsidRPr="005E4A1B">
        <w:rPr>
          <w:rFonts w:ascii="Calibri" w:hAnsi="Calibri" w:cs="Calibri"/>
        </w:rPr>
        <w:t xml:space="preserve">prevention </w:t>
      </w:r>
      <w:r w:rsidR="0072068A" w:rsidRPr="005E4A1B">
        <w:rPr>
          <w:rFonts w:ascii="Calibri" w:hAnsi="Calibri" w:cs="Calibri"/>
        </w:rPr>
        <w:t>plan between South Australia, South Australian PHNs and other key community and service provider stakeholders. This includes commissioning local services and undertaking activities in accordance with this plan.</w:t>
      </w:r>
    </w:p>
    <w:p w14:paraId="3A3204D3" w14:textId="77777777" w:rsidR="00FA5100" w:rsidRPr="005E4A1B" w:rsidRDefault="00FA5100" w:rsidP="00FA5100">
      <w:pPr>
        <w:pStyle w:val="Heading2"/>
        <w:rPr>
          <w:b w:val="0"/>
          <w:bCs w:val="0"/>
          <w:sz w:val="22"/>
          <w:szCs w:val="22"/>
        </w:rPr>
      </w:pPr>
      <w:r w:rsidRPr="005E4A1B">
        <w:t xml:space="preserve">Workforce </w:t>
      </w:r>
    </w:p>
    <w:p w14:paraId="2BEFDAA9" w14:textId="77777777" w:rsidR="00D71F38" w:rsidRPr="005E4A1B" w:rsidRDefault="00D71F38" w:rsidP="00A87E8E">
      <w:pPr>
        <w:pStyle w:val="ListParagraph"/>
        <w:numPr>
          <w:ilvl w:val="0"/>
          <w:numId w:val="5"/>
        </w:numPr>
        <w:spacing w:line="24" w:lineRule="atLeast"/>
        <w:rPr>
          <w:rFonts w:ascii="Calibri" w:hAnsi="Calibri" w:cs="Calibri"/>
        </w:rPr>
      </w:pPr>
      <w:r w:rsidRPr="005E4A1B">
        <w:rPr>
          <w:rFonts w:ascii="Calibri" w:hAnsi="Calibri" w:cs="Calibri"/>
        </w:rPr>
        <w:t>The Commonwealth and South Australia agree to work collaboratively to:</w:t>
      </w:r>
    </w:p>
    <w:p w14:paraId="2BA44E3A" w14:textId="3252F71D" w:rsidR="00D71F38" w:rsidRPr="005E4A1B" w:rsidRDefault="006C6365">
      <w:pPr>
        <w:pStyle w:val="ListParagraph"/>
        <w:numPr>
          <w:ilvl w:val="1"/>
          <w:numId w:val="8"/>
        </w:numPr>
        <w:spacing w:line="24" w:lineRule="atLeast"/>
        <w:rPr>
          <w:rFonts w:ascii="Calibri" w:hAnsi="Calibri" w:cs="Calibri"/>
        </w:rPr>
      </w:pPr>
      <w:r w:rsidRPr="005E4A1B">
        <w:rPr>
          <w:rFonts w:ascii="Calibri" w:hAnsi="Calibri" w:cs="Calibri"/>
        </w:rPr>
        <w:t>S</w:t>
      </w:r>
      <w:r w:rsidR="00D71F38" w:rsidRPr="005E4A1B">
        <w:rPr>
          <w:rFonts w:ascii="Calibri" w:hAnsi="Calibri" w:cs="Calibri"/>
        </w:rPr>
        <w:t xml:space="preserve">upport alignment with the </w:t>
      </w:r>
      <w:r w:rsidR="00033640" w:rsidRPr="005E4A1B">
        <w:rPr>
          <w:rFonts w:ascii="Calibri" w:hAnsi="Calibri" w:cs="Calibri"/>
        </w:rPr>
        <w:t>N</w:t>
      </w:r>
      <w:r w:rsidR="00D71F38" w:rsidRPr="005E4A1B">
        <w:rPr>
          <w:rFonts w:ascii="Calibri" w:hAnsi="Calibri" w:cs="Calibri"/>
        </w:rPr>
        <w:t xml:space="preserve">ational </w:t>
      </w:r>
      <w:r w:rsidR="00157449" w:rsidRPr="005E4A1B">
        <w:rPr>
          <w:rFonts w:ascii="Calibri" w:hAnsi="Calibri" w:cs="Calibri"/>
        </w:rPr>
        <w:t>Mental Health</w:t>
      </w:r>
      <w:r w:rsidR="00D71F38" w:rsidRPr="005E4A1B">
        <w:rPr>
          <w:rFonts w:ascii="Calibri" w:hAnsi="Calibri" w:cs="Calibri"/>
        </w:rPr>
        <w:t xml:space="preserve"> Workforce Strategy and similar measures already funded by the Commonwealth</w:t>
      </w:r>
      <w:r w:rsidR="00860B6D" w:rsidRPr="005E4A1B">
        <w:rPr>
          <w:rFonts w:ascii="Calibri" w:hAnsi="Calibri" w:cs="Calibri"/>
        </w:rPr>
        <w:t xml:space="preserve"> and </w:t>
      </w:r>
      <w:r w:rsidR="003013CF" w:rsidRPr="005E4A1B">
        <w:rPr>
          <w:rFonts w:ascii="Calibri" w:hAnsi="Calibri" w:cs="Calibri"/>
        </w:rPr>
        <w:t>South Australia</w:t>
      </w:r>
      <w:r w:rsidR="00D71F38" w:rsidRPr="005E4A1B">
        <w:rPr>
          <w:rFonts w:ascii="Calibri" w:hAnsi="Calibri" w:cs="Calibri"/>
        </w:rPr>
        <w:t xml:space="preserve">. </w:t>
      </w:r>
    </w:p>
    <w:p w14:paraId="5959CFD3" w14:textId="33DED4A6" w:rsidR="00D71F38" w:rsidRPr="005E4A1B" w:rsidRDefault="006C6365">
      <w:pPr>
        <w:pStyle w:val="ListParagraph"/>
        <w:numPr>
          <w:ilvl w:val="1"/>
          <w:numId w:val="8"/>
        </w:numPr>
        <w:spacing w:line="24" w:lineRule="atLeast"/>
        <w:rPr>
          <w:rFonts w:ascii="Calibri" w:hAnsi="Calibri" w:cs="Calibri"/>
        </w:rPr>
      </w:pPr>
      <w:r w:rsidRPr="005E4A1B">
        <w:rPr>
          <w:rFonts w:ascii="Calibri" w:hAnsi="Calibri" w:cs="Calibri"/>
        </w:rPr>
        <w:t>E</w:t>
      </w:r>
      <w:r w:rsidR="00D71F38" w:rsidRPr="005E4A1B">
        <w:rPr>
          <w:rFonts w:ascii="Calibri" w:hAnsi="Calibri" w:cs="Calibri"/>
        </w:rPr>
        <w:t xml:space="preserve">nsure students and graduates receive a mix of rotations between the acute and community/primary care settings, and to ensure they are appropriately supervised throughout training and placements. </w:t>
      </w:r>
    </w:p>
    <w:p w14:paraId="6586B9CD" w14:textId="0690B83A" w:rsidR="00D71F38" w:rsidRPr="005E4A1B" w:rsidRDefault="006C6365">
      <w:pPr>
        <w:pStyle w:val="ListParagraph"/>
        <w:numPr>
          <w:ilvl w:val="1"/>
          <w:numId w:val="8"/>
        </w:numPr>
        <w:spacing w:line="24" w:lineRule="atLeast"/>
        <w:rPr>
          <w:rFonts w:ascii="Calibri" w:hAnsi="Calibri" w:cs="Calibri"/>
        </w:rPr>
      </w:pPr>
      <w:r w:rsidRPr="005E4A1B">
        <w:rPr>
          <w:rFonts w:ascii="Calibri" w:hAnsi="Calibri" w:cs="Calibri"/>
        </w:rPr>
        <w:t>P</w:t>
      </w:r>
      <w:r w:rsidR="00D71F38" w:rsidRPr="005E4A1B">
        <w:rPr>
          <w:rFonts w:ascii="Calibri" w:hAnsi="Calibri" w:cs="Calibri"/>
        </w:rPr>
        <w:t xml:space="preserve">romote mental health careers as an attractive career option. </w:t>
      </w:r>
    </w:p>
    <w:p w14:paraId="7C92D9BE" w14:textId="78F84D54" w:rsidR="00D71F38" w:rsidRPr="005E4A1B" w:rsidRDefault="006C6365">
      <w:pPr>
        <w:pStyle w:val="ListParagraph"/>
        <w:numPr>
          <w:ilvl w:val="1"/>
          <w:numId w:val="8"/>
        </w:numPr>
        <w:spacing w:line="24" w:lineRule="atLeast"/>
        <w:rPr>
          <w:rFonts w:ascii="Calibri" w:hAnsi="Calibri" w:cs="Calibri"/>
        </w:rPr>
      </w:pPr>
      <w:r w:rsidRPr="005E4A1B">
        <w:rPr>
          <w:rFonts w:ascii="Calibri" w:hAnsi="Calibri" w:cs="Calibri"/>
        </w:rPr>
        <w:lastRenderedPageBreak/>
        <w:t>S</w:t>
      </w:r>
      <w:r w:rsidR="00D71F38" w:rsidRPr="005E4A1B">
        <w:rPr>
          <w:rFonts w:ascii="Calibri" w:hAnsi="Calibri" w:cs="Calibri"/>
        </w:rPr>
        <w:t>upport a national approach to attracting an overseas workforce with consideration given to broader health workforce needs.</w:t>
      </w:r>
    </w:p>
    <w:p w14:paraId="28B839EC" w14:textId="68BB7B8F" w:rsidR="00FA5100" w:rsidRPr="005E4A1B" w:rsidRDefault="006C6365">
      <w:pPr>
        <w:pStyle w:val="ListParagraph"/>
        <w:numPr>
          <w:ilvl w:val="1"/>
          <w:numId w:val="11"/>
        </w:numPr>
        <w:spacing w:line="24" w:lineRule="atLeast"/>
        <w:rPr>
          <w:rFonts w:ascii="Calibri" w:hAnsi="Calibri" w:cs="Calibri"/>
        </w:rPr>
      </w:pPr>
      <w:r w:rsidRPr="005E4A1B">
        <w:rPr>
          <w:rFonts w:ascii="Calibri" w:hAnsi="Calibri" w:cs="Calibri"/>
        </w:rPr>
        <w:t xml:space="preserve">Build </w:t>
      </w:r>
      <w:r w:rsidR="00D71F38" w:rsidRPr="005E4A1B">
        <w:rPr>
          <w:rFonts w:ascii="Calibri" w:hAnsi="Calibri" w:cs="Calibri"/>
        </w:rPr>
        <w:t>structures and supports for the Lived Experience workforce.</w:t>
      </w:r>
    </w:p>
    <w:p w14:paraId="3E92DBCA" w14:textId="77777777" w:rsidR="00BD639E" w:rsidRPr="005E4A1B" w:rsidRDefault="00BD639E" w:rsidP="00132123">
      <w:pPr>
        <w:pStyle w:val="Heading2"/>
      </w:pPr>
      <w:r w:rsidRPr="005E4A1B">
        <w:t>Veterans Mental Health</w:t>
      </w:r>
    </w:p>
    <w:p w14:paraId="2306B20C" w14:textId="77777777" w:rsidR="00BD639E" w:rsidRPr="005E4A1B" w:rsidRDefault="00BD639E" w:rsidP="00A87E8E">
      <w:pPr>
        <w:pStyle w:val="ListParagraph"/>
        <w:numPr>
          <w:ilvl w:val="0"/>
          <w:numId w:val="5"/>
        </w:numPr>
        <w:spacing w:line="24" w:lineRule="atLeast"/>
        <w:rPr>
          <w:rFonts w:ascii="Calibri" w:hAnsi="Calibri" w:cs="Calibri"/>
        </w:rPr>
      </w:pPr>
      <w:r w:rsidRPr="005E4A1B">
        <w:rPr>
          <w:rFonts w:ascii="Calibri" w:hAnsi="Calibri" w:cs="Calibri"/>
        </w:rPr>
        <w:t>The Parties agree to strengthen the partnerships with mental health service providers to support veterans.</w:t>
      </w:r>
    </w:p>
    <w:p w14:paraId="52E92BC8" w14:textId="77777777" w:rsidR="00A3099F" w:rsidRPr="005E4A1B" w:rsidRDefault="00B42803" w:rsidP="00B42803">
      <w:pPr>
        <w:pStyle w:val="Heading1"/>
      </w:pPr>
      <w:r w:rsidRPr="005E4A1B">
        <w:t>Performance and Reporting Requirements</w:t>
      </w:r>
    </w:p>
    <w:p w14:paraId="5641850D" w14:textId="664CF35B" w:rsidR="00B42803" w:rsidRPr="005E4A1B" w:rsidRDefault="00B42803" w:rsidP="00A87E8E">
      <w:pPr>
        <w:pStyle w:val="ListParagraph"/>
        <w:numPr>
          <w:ilvl w:val="0"/>
          <w:numId w:val="5"/>
        </w:numPr>
        <w:spacing w:line="24" w:lineRule="atLeast"/>
      </w:pPr>
      <w:r>
        <w:t>Performance and reporting requirements are outlined in Annex B</w:t>
      </w:r>
      <w:r w:rsidR="588CB3A2">
        <w:t>.</w:t>
      </w:r>
    </w:p>
    <w:p w14:paraId="768C620C" w14:textId="47EBE62B" w:rsidR="00566471" w:rsidRPr="005E4A1B" w:rsidRDefault="00566471" w:rsidP="59267F59">
      <w:pPr>
        <w:pStyle w:val="Heading1"/>
        <w:widowControl/>
        <w:spacing w:after="160" w:line="259" w:lineRule="auto"/>
        <w:sectPr w:rsidR="00566471" w:rsidRPr="005E4A1B" w:rsidSect="00B4170A">
          <w:headerReference w:type="first" r:id="rId8"/>
          <w:footerReference w:type="first" r:id="rId9"/>
          <w:pgSz w:w="11906" w:h="16838" w:code="9"/>
          <w:pgMar w:top="1134" w:right="1134" w:bottom="1134" w:left="1134" w:header="426" w:footer="709" w:gutter="0"/>
          <w:pgNumType w:chapStyle="9"/>
          <w:cols w:space="708"/>
          <w:titlePg/>
          <w:docGrid w:linePitch="360"/>
        </w:sectPr>
      </w:pPr>
    </w:p>
    <w:p w14:paraId="029A7002" w14:textId="77777777" w:rsidR="003A1F0E" w:rsidRPr="005E4A1B" w:rsidRDefault="003A1F0E" w:rsidP="003A1F0E">
      <w:pPr>
        <w:pStyle w:val="Heading1"/>
      </w:pPr>
      <w:r w:rsidRPr="005E4A1B">
        <w:lastRenderedPageBreak/>
        <w:t xml:space="preserve">Annex A: Financial contributions </w:t>
      </w:r>
    </w:p>
    <w:p w14:paraId="79C7A3C3" w14:textId="5671C3A3" w:rsidR="003A1F0E" w:rsidRPr="005E4A1B" w:rsidRDefault="003A1F0E" w:rsidP="5F4DCC5D">
      <w:pPr>
        <w:pStyle w:val="Tableformat"/>
        <w:spacing w:line="252" w:lineRule="auto"/>
        <w:rPr>
          <w:rFonts w:asciiTheme="minorHAnsi" w:hAnsiTheme="minorHAnsi" w:cstheme="minorBidi"/>
          <w:b w:val="0"/>
          <w:bCs w:val="0"/>
          <w:sz w:val="22"/>
          <w:szCs w:val="22"/>
          <w:lang w:eastAsia="en-US"/>
        </w:rPr>
      </w:pPr>
      <w:r w:rsidRPr="5F4DCC5D">
        <w:rPr>
          <w:rFonts w:asciiTheme="minorHAnsi" w:hAnsiTheme="minorHAnsi" w:cstheme="minorBidi"/>
          <w:b w:val="0"/>
          <w:bCs w:val="0"/>
          <w:sz w:val="22"/>
          <w:szCs w:val="22"/>
          <w:lang w:eastAsia="en-US"/>
        </w:rPr>
        <w:t>The Commonwealth will provide an estimated financial contribution of $</w:t>
      </w:r>
      <w:r w:rsidR="7F7ADD88" w:rsidRPr="5F4DCC5D">
        <w:rPr>
          <w:rFonts w:asciiTheme="minorHAnsi" w:hAnsiTheme="minorHAnsi" w:cstheme="minorBidi"/>
          <w:b w:val="0"/>
          <w:bCs w:val="0"/>
          <w:sz w:val="22"/>
          <w:szCs w:val="22"/>
          <w:lang w:eastAsia="en-US"/>
        </w:rPr>
        <w:t>1</w:t>
      </w:r>
      <w:r w:rsidR="00FF1029">
        <w:rPr>
          <w:rFonts w:asciiTheme="minorHAnsi" w:hAnsiTheme="minorHAnsi" w:cstheme="minorBidi"/>
          <w:b w:val="0"/>
          <w:bCs w:val="0"/>
          <w:sz w:val="22"/>
          <w:szCs w:val="22"/>
          <w:lang w:eastAsia="en-US"/>
        </w:rPr>
        <w:t>26.08</w:t>
      </w:r>
      <w:r w:rsidRPr="5F4DCC5D">
        <w:rPr>
          <w:rFonts w:asciiTheme="minorHAnsi" w:hAnsiTheme="minorHAnsi" w:cstheme="minorBidi"/>
          <w:b w:val="0"/>
          <w:bCs w:val="0"/>
          <w:sz w:val="22"/>
          <w:szCs w:val="22"/>
          <w:lang w:eastAsia="en-US"/>
        </w:rPr>
        <w:t xml:space="preserve">m in respect of this Schedule, as outlined in Table 1. </w:t>
      </w:r>
    </w:p>
    <w:p w14:paraId="7AE26208" w14:textId="5E1B6663" w:rsidR="003A1F0E" w:rsidRPr="005E4A1B" w:rsidRDefault="003A1F0E" w:rsidP="5F4DCC5D">
      <w:pPr>
        <w:pStyle w:val="Tableformat"/>
        <w:spacing w:line="252" w:lineRule="auto"/>
        <w:rPr>
          <w:rFonts w:asciiTheme="minorHAnsi" w:hAnsiTheme="minorHAnsi" w:cstheme="minorBidi"/>
          <w:b w:val="0"/>
          <w:bCs w:val="0"/>
          <w:sz w:val="22"/>
          <w:szCs w:val="22"/>
          <w:lang w:eastAsia="en-US"/>
        </w:rPr>
      </w:pPr>
      <w:r w:rsidRPr="5F4DCC5D">
        <w:rPr>
          <w:rFonts w:asciiTheme="minorHAnsi" w:hAnsiTheme="minorHAnsi" w:cstheme="minorBidi"/>
          <w:b w:val="0"/>
          <w:bCs w:val="0"/>
          <w:sz w:val="22"/>
          <w:szCs w:val="22"/>
          <w:lang w:eastAsia="en-US"/>
        </w:rPr>
        <w:t>South Australia will provide an estimated financial contribution of $</w:t>
      </w:r>
      <w:r w:rsidR="00A168F2" w:rsidRPr="5F4DCC5D">
        <w:rPr>
          <w:rFonts w:asciiTheme="minorHAnsi" w:hAnsiTheme="minorHAnsi" w:cstheme="minorBidi"/>
          <w:b w:val="0"/>
          <w:bCs w:val="0"/>
          <w:sz w:val="22"/>
          <w:szCs w:val="22"/>
          <w:lang w:eastAsia="en-US"/>
        </w:rPr>
        <w:t>8</w:t>
      </w:r>
      <w:r w:rsidRPr="5F4DCC5D">
        <w:rPr>
          <w:rFonts w:asciiTheme="minorHAnsi" w:hAnsiTheme="minorHAnsi" w:cstheme="minorBidi"/>
          <w:b w:val="0"/>
          <w:bCs w:val="0"/>
          <w:sz w:val="22"/>
          <w:szCs w:val="22"/>
          <w:lang w:eastAsia="en-US"/>
        </w:rPr>
        <w:t>0</w:t>
      </w:r>
      <w:r w:rsidR="4DC460D1" w:rsidRPr="5F4DCC5D">
        <w:rPr>
          <w:rFonts w:asciiTheme="minorHAnsi" w:hAnsiTheme="minorHAnsi" w:cstheme="minorBidi"/>
          <w:b w:val="0"/>
          <w:bCs w:val="0"/>
          <w:sz w:val="22"/>
          <w:szCs w:val="22"/>
          <w:lang w:eastAsia="en-US"/>
        </w:rPr>
        <w:t>.18</w:t>
      </w:r>
      <w:r w:rsidRPr="5F4DCC5D">
        <w:rPr>
          <w:rFonts w:asciiTheme="minorHAnsi" w:hAnsiTheme="minorHAnsi" w:cstheme="minorBidi"/>
          <w:b w:val="0"/>
          <w:bCs w:val="0"/>
          <w:sz w:val="22"/>
          <w:szCs w:val="22"/>
          <w:lang w:eastAsia="en-US"/>
        </w:rPr>
        <w:t xml:space="preserve">m as outlined in Table 1, and in-kind support in respect of this Schedule. </w:t>
      </w:r>
      <w:r w:rsidR="00E46CC2" w:rsidRPr="5F4DCC5D">
        <w:rPr>
          <w:rFonts w:asciiTheme="minorHAnsi" w:hAnsiTheme="minorHAnsi" w:cstheme="minorBidi"/>
          <w:b w:val="0"/>
          <w:bCs w:val="0"/>
          <w:sz w:val="22"/>
          <w:szCs w:val="22"/>
          <w:lang w:eastAsia="en-US"/>
        </w:rPr>
        <w:t>The Commonwealth recogni</w:t>
      </w:r>
      <w:r w:rsidR="004A33BE" w:rsidRPr="5F4DCC5D">
        <w:rPr>
          <w:rFonts w:asciiTheme="minorHAnsi" w:hAnsiTheme="minorHAnsi" w:cstheme="minorBidi"/>
          <w:b w:val="0"/>
          <w:bCs w:val="0"/>
          <w:sz w:val="22"/>
          <w:szCs w:val="22"/>
          <w:lang w:eastAsia="en-US"/>
        </w:rPr>
        <w:t>s</w:t>
      </w:r>
      <w:r w:rsidR="00E46CC2" w:rsidRPr="5F4DCC5D">
        <w:rPr>
          <w:rFonts w:asciiTheme="minorHAnsi" w:hAnsiTheme="minorHAnsi" w:cstheme="minorBidi"/>
          <w:b w:val="0"/>
          <w:bCs w:val="0"/>
          <w:sz w:val="22"/>
          <w:szCs w:val="22"/>
          <w:lang w:eastAsia="en-US"/>
        </w:rPr>
        <w:t>es South Australia’s broader significant investment to reform its mental health and suicide prevention system</w:t>
      </w:r>
      <w:r w:rsidR="00FF669A" w:rsidRPr="5F4DCC5D">
        <w:rPr>
          <w:rFonts w:asciiTheme="minorHAnsi" w:hAnsiTheme="minorHAnsi" w:cstheme="minorBidi"/>
          <w:b w:val="0"/>
          <w:bCs w:val="0"/>
          <w:sz w:val="22"/>
          <w:szCs w:val="22"/>
          <w:lang w:eastAsia="en-US"/>
        </w:rPr>
        <w:t xml:space="preserve"> in parallel to this schedule</w:t>
      </w:r>
      <w:r w:rsidR="00F77145" w:rsidRPr="5F4DCC5D">
        <w:rPr>
          <w:rFonts w:asciiTheme="minorHAnsi" w:hAnsiTheme="minorHAnsi" w:cstheme="minorBidi"/>
          <w:b w:val="0"/>
          <w:bCs w:val="0"/>
          <w:sz w:val="22"/>
          <w:szCs w:val="22"/>
          <w:lang w:eastAsia="en-US"/>
        </w:rPr>
        <w:t xml:space="preserve"> totaling $40.8</w:t>
      </w:r>
      <w:r w:rsidR="0066160B" w:rsidRPr="5F4DCC5D">
        <w:rPr>
          <w:rFonts w:asciiTheme="minorHAnsi" w:hAnsiTheme="minorHAnsi" w:cstheme="minorBidi"/>
          <w:b w:val="0"/>
          <w:bCs w:val="0"/>
          <w:sz w:val="22"/>
          <w:szCs w:val="22"/>
          <w:lang w:eastAsia="en-US"/>
        </w:rPr>
        <w:t>m</w:t>
      </w:r>
      <w:r w:rsidR="00E46CC2" w:rsidRPr="5F4DCC5D">
        <w:rPr>
          <w:rFonts w:asciiTheme="minorHAnsi" w:hAnsiTheme="minorHAnsi" w:cstheme="minorBidi"/>
          <w:b w:val="0"/>
          <w:bCs w:val="0"/>
          <w:sz w:val="22"/>
          <w:szCs w:val="22"/>
          <w:lang w:eastAsia="en-US"/>
        </w:rPr>
        <w:t>, includ</w:t>
      </w:r>
      <w:r w:rsidR="00FF669A" w:rsidRPr="5F4DCC5D">
        <w:rPr>
          <w:rFonts w:asciiTheme="minorHAnsi" w:hAnsiTheme="minorHAnsi" w:cstheme="minorBidi"/>
          <w:b w:val="0"/>
          <w:bCs w:val="0"/>
          <w:sz w:val="22"/>
          <w:szCs w:val="22"/>
          <w:lang w:eastAsia="en-US"/>
        </w:rPr>
        <w:t>ing</w:t>
      </w:r>
      <w:r w:rsidR="00E46CC2" w:rsidRPr="5F4DCC5D">
        <w:rPr>
          <w:rFonts w:asciiTheme="minorHAnsi" w:hAnsiTheme="minorHAnsi" w:cstheme="minorBidi"/>
          <w:b w:val="0"/>
          <w:bCs w:val="0"/>
          <w:sz w:val="22"/>
          <w:szCs w:val="22"/>
          <w:lang w:eastAsia="en-US"/>
        </w:rPr>
        <w:t xml:space="preserve"> </w:t>
      </w:r>
      <w:r w:rsidR="0081717F" w:rsidRPr="5F4DCC5D">
        <w:rPr>
          <w:rFonts w:asciiTheme="minorHAnsi" w:hAnsiTheme="minorHAnsi" w:cstheme="minorBidi"/>
          <w:b w:val="0"/>
          <w:bCs w:val="0"/>
          <w:sz w:val="22"/>
          <w:szCs w:val="22"/>
          <w:lang w:eastAsia="en-US"/>
        </w:rPr>
        <w:t>$3.1m for additional community mental health staff; $7.8 million for Child and Adolescent</w:t>
      </w:r>
      <w:r w:rsidR="00D1126B" w:rsidRPr="5F4DCC5D">
        <w:rPr>
          <w:rFonts w:asciiTheme="minorHAnsi" w:hAnsiTheme="minorHAnsi" w:cstheme="minorBidi"/>
          <w:b w:val="0"/>
          <w:bCs w:val="0"/>
          <w:sz w:val="22"/>
          <w:szCs w:val="22"/>
          <w:lang w:eastAsia="en-US"/>
        </w:rPr>
        <w:t xml:space="preserve"> Mental Health Services, including </w:t>
      </w:r>
      <w:r w:rsidR="0081717F" w:rsidRPr="5F4DCC5D">
        <w:rPr>
          <w:rFonts w:asciiTheme="minorHAnsi" w:hAnsiTheme="minorHAnsi" w:cstheme="minorBidi"/>
          <w:b w:val="0"/>
          <w:bCs w:val="0"/>
          <w:sz w:val="22"/>
          <w:szCs w:val="22"/>
          <w:lang w:eastAsia="en-US"/>
        </w:rPr>
        <w:t>additional child psychiatrists and child psychologists</w:t>
      </w:r>
      <w:r w:rsidR="00F77145" w:rsidRPr="5F4DCC5D">
        <w:rPr>
          <w:rFonts w:asciiTheme="minorHAnsi" w:hAnsiTheme="minorHAnsi" w:cstheme="minorBidi"/>
          <w:b w:val="0"/>
          <w:bCs w:val="0"/>
          <w:sz w:val="22"/>
          <w:szCs w:val="22"/>
          <w:lang w:eastAsia="en-US"/>
        </w:rPr>
        <w:t>; and $29.9</w:t>
      </w:r>
      <w:r w:rsidR="00D1126B" w:rsidRPr="5F4DCC5D">
        <w:rPr>
          <w:rFonts w:asciiTheme="minorHAnsi" w:hAnsiTheme="minorHAnsi" w:cstheme="minorBidi"/>
          <w:b w:val="0"/>
          <w:bCs w:val="0"/>
          <w:sz w:val="22"/>
          <w:szCs w:val="22"/>
          <w:lang w:eastAsia="en-US"/>
        </w:rPr>
        <w:t xml:space="preserve"> million for Community Mental Health services</w:t>
      </w:r>
      <w:r w:rsidR="0081717F" w:rsidRPr="5F4DCC5D">
        <w:rPr>
          <w:rFonts w:asciiTheme="minorHAnsi" w:hAnsiTheme="minorHAnsi" w:cstheme="minorBidi"/>
          <w:b w:val="0"/>
          <w:bCs w:val="0"/>
          <w:sz w:val="22"/>
          <w:szCs w:val="22"/>
          <w:lang w:eastAsia="en-US"/>
        </w:rPr>
        <w:t>.</w:t>
      </w:r>
    </w:p>
    <w:p w14:paraId="59D7B6EE" w14:textId="77777777" w:rsidR="003A1F0E" w:rsidRPr="005E4A1B" w:rsidRDefault="003A1F0E" w:rsidP="003A1F0E">
      <w:pPr>
        <w:pStyle w:val="Tableformat"/>
        <w:spacing w:line="252" w:lineRule="auto"/>
        <w:rPr>
          <w:rFonts w:asciiTheme="minorHAnsi" w:hAnsiTheme="minorHAnsi" w:cstheme="minorHAnsi"/>
          <w:b w:val="0"/>
          <w:bCs w:val="0"/>
          <w:sz w:val="22"/>
          <w:szCs w:val="22"/>
          <w:lang w:eastAsia="en-US"/>
        </w:rPr>
      </w:pPr>
      <w:r w:rsidRPr="005E4A1B">
        <w:rPr>
          <w:rFonts w:asciiTheme="minorHAnsi" w:hAnsiTheme="minorHAnsi" w:cstheme="minorHAnsi"/>
          <w:b w:val="0"/>
          <w:bCs w:val="0"/>
          <w:sz w:val="22"/>
          <w:szCs w:val="22"/>
          <w:lang w:eastAsia="en-US"/>
        </w:rPr>
        <w:t xml:space="preserve">The Parties will ensure the collection, sharing and reporting of service activity data for all initiatives in this Schedule, and ensuring all initiatives are evaluated. </w:t>
      </w:r>
    </w:p>
    <w:p w14:paraId="4391A333" w14:textId="77777777" w:rsidR="003A1F0E" w:rsidRPr="005E4A1B" w:rsidRDefault="003A1F0E" w:rsidP="003A1F0E">
      <w:pPr>
        <w:pStyle w:val="Tableformat"/>
        <w:spacing w:line="252" w:lineRule="auto"/>
        <w:rPr>
          <w:rFonts w:asciiTheme="minorHAnsi" w:hAnsiTheme="minorHAnsi" w:cstheme="minorHAnsi"/>
          <w:b w:val="0"/>
          <w:bCs w:val="0"/>
          <w:sz w:val="22"/>
          <w:szCs w:val="22"/>
          <w:lang w:eastAsia="en-US"/>
        </w:rPr>
      </w:pPr>
      <w:r w:rsidRPr="59267F59">
        <w:rPr>
          <w:rFonts w:asciiTheme="minorHAnsi" w:hAnsiTheme="minorHAnsi" w:cstheme="minorBidi"/>
          <w:b w:val="0"/>
          <w:bCs w:val="0"/>
          <w:sz w:val="22"/>
          <w:szCs w:val="22"/>
          <w:lang w:eastAsia="en-US"/>
        </w:rPr>
        <w:t xml:space="preserve">Detailed financial contributions are outlined in Table 2.  </w:t>
      </w:r>
    </w:p>
    <w:p w14:paraId="2BBFCB05" w14:textId="77777777" w:rsidR="003A1F0E" w:rsidRPr="005E4A1B" w:rsidRDefault="003A1F0E" w:rsidP="003A1F0E">
      <w:pPr>
        <w:rPr>
          <w:sz w:val="24"/>
          <w:szCs w:val="22"/>
        </w:rPr>
      </w:pPr>
      <w:bookmarkStart w:id="5" w:name="OLE_LINK1"/>
      <w:r w:rsidRPr="005E4A1B">
        <w:rPr>
          <w:b/>
          <w:bCs/>
          <w:sz w:val="24"/>
          <w:szCs w:val="22"/>
        </w:rPr>
        <w:t>Table 1: Summary of Financial Contributions</w:t>
      </w:r>
    </w:p>
    <w:tbl>
      <w:tblPr>
        <w:tblW w:w="1502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3422"/>
        <w:gridCol w:w="1657"/>
        <w:gridCol w:w="1658"/>
        <w:gridCol w:w="1658"/>
        <w:gridCol w:w="1657"/>
        <w:gridCol w:w="1658"/>
        <w:gridCol w:w="1658"/>
        <w:gridCol w:w="1658"/>
      </w:tblGrid>
      <w:tr w:rsidR="008B7467" w:rsidRPr="005E4A1B" w14:paraId="217DE3A5" w14:textId="77777777" w:rsidTr="5F4DCC5D">
        <w:trPr>
          <w:cantSplit/>
          <w:trHeight w:val="593"/>
        </w:trPr>
        <w:tc>
          <w:tcPr>
            <w:tcW w:w="3422" w:type="dxa"/>
            <w:tcBorders>
              <w:top w:val="single" w:sz="12" w:space="0" w:color="44546A" w:themeColor="text2"/>
              <w:left w:val="nil"/>
              <w:bottom w:val="single" w:sz="12" w:space="0" w:color="44546A" w:themeColor="text2"/>
            </w:tcBorders>
            <w:tcMar>
              <w:top w:w="0" w:type="dxa"/>
              <w:left w:w="108" w:type="dxa"/>
              <w:bottom w:w="0" w:type="dxa"/>
              <w:right w:w="108" w:type="dxa"/>
            </w:tcMar>
            <w:vAlign w:val="bottom"/>
          </w:tcPr>
          <w:p w14:paraId="5A30E2FD" w14:textId="77777777" w:rsidR="00333DB6" w:rsidRPr="005E4A1B" w:rsidRDefault="00333DB6" w:rsidP="00CA52F0">
            <w:pPr>
              <w:keepNext/>
              <w:spacing w:before="60" w:after="60" w:line="252" w:lineRule="auto"/>
              <w:ind w:left="-111"/>
              <w:rPr>
                <w:b/>
                <w:bCs/>
                <w:szCs w:val="22"/>
              </w:rPr>
            </w:pPr>
            <w:r w:rsidRPr="005E4A1B">
              <w:rPr>
                <w:b/>
                <w:bCs/>
                <w:szCs w:val="22"/>
              </w:rPr>
              <w:t>($)</w:t>
            </w:r>
          </w:p>
        </w:tc>
        <w:tc>
          <w:tcPr>
            <w:tcW w:w="1657" w:type="dxa"/>
            <w:tcBorders>
              <w:top w:val="single" w:sz="12" w:space="0" w:color="44546A" w:themeColor="text2"/>
              <w:bottom w:val="single" w:sz="12" w:space="0" w:color="44546A" w:themeColor="text2"/>
            </w:tcBorders>
            <w:tcMar>
              <w:top w:w="0" w:type="dxa"/>
              <w:left w:w="108" w:type="dxa"/>
              <w:bottom w:w="0" w:type="dxa"/>
              <w:right w:w="108" w:type="dxa"/>
            </w:tcMar>
            <w:vAlign w:val="bottom"/>
          </w:tcPr>
          <w:p w14:paraId="0BE7537E" w14:textId="77777777" w:rsidR="00333DB6" w:rsidRPr="005E4A1B" w:rsidRDefault="00333DB6" w:rsidP="00550F61">
            <w:pPr>
              <w:keepNext/>
              <w:spacing w:before="60" w:after="60" w:line="252" w:lineRule="auto"/>
              <w:jc w:val="right"/>
              <w:rPr>
                <w:b/>
                <w:bCs/>
                <w:szCs w:val="22"/>
              </w:rPr>
            </w:pPr>
            <w:r w:rsidRPr="005E4A1B">
              <w:rPr>
                <w:b/>
                <w:bCs/>
                <w:szCs w:val="22"/>
              </w:rPr>
              <w:t>2021-22</w:t>
            </w:r>
          </w:p>
        </w:tc>
        <w:tc>
          <w:tcPr>
            <w:tcW w:w="1658" w:type="dxa"/>
            <w:tcBorders>
              <w:top w:val="single" w:sz="12" w:space="0" w:color="44546A" w:themeColor="text2"/>
              <w:bottom w:val="single" w:sz="12" w:space="0" w:color="44546A" w:themeColor="text2"/>
            </w:tcBorders>
            <w:tcMar>
              <w:top w:w="0" w:type="dxa"/>
              <w:left w:w="108" w:type="dxa"/>
              <w:bottom w:w="0" w:type="dxa"/>
              <w:right w:w="108" w:type="dxa"/>
            </w:tcMar>
            <w:vAlign w:val="bottom"/>
          </w:tcPr>
          <w:p w14:paraId="34FEE4A1" w14:textId="77777777" w:rsidR="00333DB6" w:rsidRPr="005E4A1B" w:rsidRDefault="00333DB6" w:rsidP="00550F61">
            <w:pPr>
              <w:keepNext/>
              <w:spacing w:before="60" w:after="60" w:line="252" w:lineRule="auto"/>
              <w:jc w:val="right"/>
              <w:rPr>
                <w:b/>
                <w:bCs/>
                <w:szCs w:val="22"/>
              </w:rPr>
            </w:pPr>
            <w:r w:rsidRPr="005E4A1B">
              <w:rPr>
                <w:b/>
                <w:bCs/>
                <w:szCs w:val="22"/>
              </w:rPr>
              <w:t>2022-23</w:t>
            </w:r>
          </w:p>
        </w:tc>
        <w:tc>
          <w:tcPr>
            <w:tcW w:w="1658" w:type="dxa"/>
            <w:tcBorders>
              <w:top w:val="single" w:sz="12" w:space="0" w:color="44546A" w:themeColor="text2"/>
              <w:bottom w:val="single" w:sz="12" w:space="0" w:color="44546A" w:themeColor="text2"/>
            </w:tcBorders>
            <w:tcMar>
              <w:top w:w="0" w:type="dxa"/>
              <w:left w:w="108" w:type="dxa"/>
              <w:bottom w:w="0" w:type="dxa"/>
              <w:right w:w="108" w:type="dxa"/>
            </w:tcMar>
            <w:vAlign w:val="bottom"/>
          </w:tcPr>
          <w:p w14:paraId="57F46266" w14:textId="77777777" w:rsidR="00333DB6" w:rsidRPr="005E4A1B" w:rsidRDefault="00333DB6" w:rsidP="00550F61">
            <w:pPr>
              <w:keepNext/>
              <w:spacing w:before="60" w:after="60" w:line="252" w:lineRule="auto"/>
              <w:jc w:val="right"/>
              <w:rPr>
                <w:b/>
                <w:bCs/>
                <w:szCs w:val="22"/>
              </w:rPr>
            </w:pPr>
            <w:r w:rsidRPr="005E4A1B">
              <w:rPr>
                <w:b/>
                <w:bCs/>
                <w:szCs w:val="22"/>
              </w:rPr>
              <w:t>2023-24</w:t>
            </w:r>
          </w:p>
        </w:tc>
        <w:tc>
          <w:tcPr>
            <w:tcW w:w="1657" w:type="dxa"/>
            <w:tcBorders>
              <w:top w:val="single" w:sz="12" w:space="0" w:color="44546A" w:themeColor="text2"/>
              <w:bottom w:val="single" w:sz="12" w:space="0" w:color="44546A" w:themeColor="text2"/>
            </w:tcBorders>
            <w:tcMar>
              <w:top w:w="0" w:type="dxa"/>
              <w:left w:w="108" w:type="dxa"/>
              <w:bottom w:w="0" w:type="dxa"/>
              <w:right w:w="108" w:type="dxa"/>
            </w:tcMar>
            <w:vAlign w:val="bottom"/>
          </w:tcPr>
          <w:p w14:paraId="3B102A77" w14:textId="77777777" w:rsidR="00333DB6" w:rsidRPr="005E4A1B" w:rsidRDefault="00333DB6" w:rsidP="00550F61">
            <w:pPr>
              <w:keepNext/>
              <w:spacing w:before="60" w:after="60" w:line="252" w:lineRule="auto"/>
              <w:jc w:val="right"/>
              <w:rPr>
                <w:b/>
                <w:bCs/>
                <w:szCs w:val="22"/>
              </w:rPr>
            </w:pPr>
            <w:r w:rsidRPr="005E4A1B">
              <w:rPr>
                <w:b/>
                <w:bCs/>
                <w:szCs w:val="22"/>
              </w:rPr>
              <w:t>2024-25</w:t>
            </w:r>
          </w:p>
        </w:tc>
        <w:tc>
          <w:tcPr>
            <w:tcW w:w="1658" w:type="dxa"/>
            <w:tcBorders>
              <w:top w:val="single" w:sz="12" w:space="0" w:color="44546A" w:themeColor="text2"/>
              <w:bottom w:val="single" w:sz="12" w:space="0" w:color="44546A" w:themeColor="text2"/>
            </w:tcBorders>
            <w:tcMar>
              <w:top w:w="0" w:type="dxa"/>
              <w:left w:w="108" w:type="dxa"/>
              <w:bottom w:w="0" w:type="dxa"/>
              <w:right w:w="108" w:type="dxa"/>
            </w:tcMar>
            <w:vAlign w:val="bottom"/>
          </w:tcPr>
          <w:p w14:paraId="29D07AF8" w14:textId="77777777" w:rsidR="00333DB6" w:rsidRPr="005E4A1B" w:rsidRDefault="00333DB6" w:rsidP="00550F61">
            <w:pPr>
              <w:keepNext/>
              <w:spacing w:before="60" w:after="60" w:line="252" w:lineRule="auto"/>
              <w:jc w:val="right"/>
              <w:rPr>
                <w:b/>
                <w:bCs/>
                <w:szCs w:val="22"/>
              </w:rPr>
            </w:pPr>
            <w:r w:rsidRPr="005E4A1B">
              <w:rPr>
                <w:b/>
                <w:bCs/>
                <w:szCs w:val="22"/>
              </w:rPr>
              <w:t>2025-26</w:t>
            </w:r>
          </w:p>
        </w:tc>
        <w:tc>
          <w:tcPr>
            <w:tcW w:w="1658" w:type="dxa"/>
            <w:tcBorders>
              <w:top w:val="single" w:sz="12" w:space="0" w:color="44546A" w:themeColor="text2"/>
              <w:bottom w:val="single" w:sz="12" w:space="0" w:color="44546A" w:themeColor="text2"/>
            </w:tcBorders>
          </w:tcPr>
          <w:p w14:paraId="05B5604A" w14:textId="77777777" w:rsidR="00635845" w:rsidRPr="005E4A1B" w:rsidRDefault="00635845">
            <w:pPr>
              <w:keepNext/>
              <w:spacing w:before="60" w:after="60" w:line="252" w:lineRule="auto"/>
              <w:jc w:val="center"/>
              <w:rPr>
                <w:b/>
                <w:bCs/>
                <w:sz w:val="2"/>
                <w:szCs w:val="2"/>
              </w:rPr>
            </w:pPr>
          </w:p>
          <w:p w14:paraId="4926E6D4" w14:textId="77777777" w:rsidR="005F7867" w:rsidRPr="005E4A1B" w:rsidRDefault="005F7867">
            <w:pPr>
              <w:keepNext/>
              <w:spacing w:before="60" w:after="60" w:line="252" w:lineRule="auto"/>
              <w:jc w:val="center"/>
              <w:rPr>
                <w:b/>
                <w:bCs/>
                <w:sz w:val="2"/>
                <w:szCs w:val="2"/>
              </w:rPr>
            </w:pPr>
          </w:p>
          <w:p w14:paraId="32B1ED9F" w14:textId="61C12149" w:rsidR="00333DB6" w:rsidRPr="005E4A1B" w:rsidRDefault="00333DB6" w:rsidP="008B7467">
            <w:pPr>
              <w:keepNext/>
              <w:spacing w:before="60" w:after="60" w:line="252" w:lineRule="auto"/>
              <w:jc w:val="center"/>
              <w:rPr>
                <w:b/>
                <w:bCs/>
                <w:szCs w:val="22"/>
              </w:rPr>
            </w:pPr>
            <w:r w:rsidRPr="005E4A1B">
              <w:rPr>
                <w:b/>
                <w:bCs/>
                <w:szCs w:val="22"/>
              </w:rPr>
              <w:t>2026-27</w:t>
            </w:r>
          </w:p>
        </w:tc>
        <w:tc>
          <w:tcPr>
            <w:tcW w:w="1658" w:type="dxa"/>
            <w:tcBorders>
              <w:top w:val="single" w:sz="12" w:space="0" w:color="44546A" w:themeColor="text2"/>
              <w:bottom w:val="single" w:sz="12" w:space="0" w:color="44546A" w:themeColor="text2"/>
            </w:tcBorders>
            <w:tcMar>
              <w:top w:w="0" w:type="dxa"/>
              <w:left w:w="108" w:type="dxa"/>
              <w:bottom w:w="0" w:type="dxa"/>
              <w:right w:w="108" w:type="dxa"/>
            </w:tcMar>
            <w:vAlign w:val="bottom"/>
          </w:tcPr>
          <w:p w14:paraId="2AC6A392" w14:textId="1E620DA3" w:rsidR="00333DB6" w:rsidRPr="005E4A1B" w:rsidRDefault="00333DB6" w:rsidP="00550F61">
            <w:pPr>
              <w:keepNext/>
              <w:spacing w:before="60" w:after="60" w:line="252" w:lineRule="auto"/>
              <w:jc w:val="right"/>
              <w:rPr>
                <w:b/>
                <w:bCs/>
                <w:szCs w:val="22"/>
              </w:rPr>
            </w:pPr>
            <w:r w:rsidRPr="005E4A1B">
              <w:rPr>
                <w:b/>
                <w:bCs/>
                <w:szCs w:val="22"/>
              </w:rPr>
              <w:t>Total</w:t>
            </w:r>
          </w:p>
        </w:tc>
      </w:tr>
      <w:tr w:rsidR="008B7467" w:rsidRPr="005E4A1B" w14:paraId="3A48DA23" w14:textId="77777777" w:rsidTr="5F4DCC5D">
        <w:trPr>
          <w:cantSplit/>
          <w:trHeight w:val="343"/>
        </w:trPr>
        <w:tc>
          <w:tcPr>
            <w:tcW w:w="3422" w:type="dxa"/>
            <w:tcBorders>
              <w:top w:val="single" w:sz="12" w:space="0" w:color="44546A" w:themeColor="text2"/>
              <w:left w:val="nil"/>
              <w:bottom w:val="single" w:sz="12" w:space="0" w:color="44546A" w:themeColor="text2"/>
            </w:tcBorders>
            <w:tcMar>
              <w:top w:w="0" w:type="dxa"/>
              <w:left w:w="108" w:type="dxa"/>
              <w:bottom w:w="0" w:type="dxa"/>
              <w:right w:w="108" w:type="dxa"/>
            </w:tcMar>
            <w:hideMark/>
          </w:tcPr>
          <w:p w14:paraId="7592EEFB" w14:textId="77777777" w:rsidR="00333DB6" w:rsidRPr="001D3D27" w:rsidRDefault="00333DB6" w:rsidP="00333DB6">
            <w:pPr>
              <w:keepNext/>
              <w:spacing w:before="60" w:after="60"/>
              <w:ind w:left="-111"/>
              <w:rPr>
                <w:b/>
                <w:bCs/>
                <w:szCs w:val="22"/>
              </w:rPr>
            </w:pPr>
            <w:r w:rsidRPr="001D3D27">
              <w:rPr>
                <w:b/>
                <w:bCs/>
                <w:szCs w:val="22"/>
              </w:rPr>
              <w:t>Estimated total budget</w:t>
            </w:r>
          </w:p>
        </w:tc>
        <w:tc>
          <w:tcPr>
            <w:tcW w:w="1657" w:type="dxa"/>
            <w:tcBorders>
              <w:top w:val="single" w:sz="12" w:space="0" w:color="44546A" w:themeColor="text2"/>
              <w:bottom w:val="single" w:sz="12" w:space="0" w:color="44546A" w:themeColor="text2"/>
            </w:tcBorders>
            <w:tcMar>
              <w:top w:w="0" w:type="dxa"/>
              <w:left w:w="108" w:type="dxa"/>
              <w:bottom w:w="0" w:type="dxa"/>
              <w:right w:w="108" w:type="dxa"/>
            </w:tcMar>
          </w:tcPr>
          <w:p w14:paraId="20E6FC4F" w14:textId="77777777" w:rsidR="00333DB6" w:rsidRPr="001D3D27" w:rsidRDefault="00333DB6" w:rsidP="00333DB6">
            <w:pPr>
              <w:spacing w:before="60" w:after="60"/>
              <w:jc w:val="right"/>
              <w:rPr>
                <w:rFonts w:cstheme="minorHAnsi"/>
                <w:b/>
                <w:bCs/>
                <w:szCs w:val="22"/>
              </w:rPr>
            </w:pPr>
            <w:r w:rsidRPr="001D3D27">
              <w:rPr>
                <w:rFonts w:cstheme="minorHAnsi"/>
                <w:b/>
                <w:bCs/>
                <w:szCs w:val="22"/>
              </w:rPr>
              <w:t>3,070,000</w:t>
            </w:r>
          </w:p>
        </w:tc>
        <w:tc>
          <w:tcPr>
            <w:tcW w:w="1658" w:type="dxa"/>
            <w:tcBorders>
              <w:top w:val="single" w:sz="12" w:space="0" w:color="44546A" w:themeColor="text2"/>
              <w:bottom w:val="single" w:sz="12" w:space="0" w:color="44546A" w:themeColor="text2"/>
            </w:tcBorders>
            <w:tcMar>
              <w:left w:w="108" w:type="dxa"/>
              <w:right w:w="108" w:type="dxa"/>
            </w:tcMar>
          </w:tcPr>
          <w:p w14:paraId="586A368B" w14:textId="602AA68E" w:rsidR="00333DB6" w:rsidRPr="001D3D27" w:rsidRDefault="00333DB6" w:rsidP="00333DB6">
            <w:pPr>
              <w:spacing w:before="60" w:after="60"/>
              <w:jc w:val="right"/>
              <w:rPr>
                <w:rFonts w:cstheme="minorHAnsi"/>
                <w:b/>
                <w:bCs/>
                <w:szCs w:val="22"/>
              </w:rPr>
            </w:pPr>
            <w:r w:rsidRPr="001D3D27">
              <w:rPr>
                <w:rFonts w:cstheme="minorHAnsi"/>
                <w:b/>
                <w:bCs/>
                <w:szCs w:val="22"/>
              </w:rPr>
              <w:t>20,507,561</w:t>
            </w:r>
          </w:p>
        </w:tc>
        <w:tc>
          <w:tcPr>
            <w:tcW w:w="1658" w:type="dxa"/>
            <w:tcBorders>
              <w:top w:val="single" w:sz="12" w:space="0" w:color="44546A" w:themeColor="text2"/>
              <w:bottom w:val="single" w:sz="12" w:space="0" w:color="44546A" w:themeColor="text2"/>
            </w:tcBorders>
            <w:tcMar>
              <w:left w:w="108" w:type="dxa"/>
              <w:right w:w="108" w:type="dxa"/>
            </w:tcMar>
          </w:tcPr>
          <w:p w14:paraId="7DBB5626" w14:textId="5F447472" w:rsidR="00333DB6" w:rsidRPr="001D3D27" w:rsidRDefault="00333DB6" w:rsidP="00333DB6">
            <w:pPr>
              <w:spacing w:before="60" w:after="60"/>
              <w:jc w:val="right"/>
              <w:rPr>
                <w:rFonts w:cstheme="minorHAnsi"/>
                <w:b/>
                <w:bCs/>
                <w:szCs w:val="22"/>
              </w:rPr>
            </w:pPr>
            <w:r w:rsidRPr="001D3D27">
              <w:rPr>
                <w:b/>
                <w:bCs/>
              </w:rPr>
              <w:t>41,184,573</w:t>
            </w:r>
          </w:p>
        </w:tc>
        <w:tc>
          <w:tcPr>
            <w:tcW w:w="1657" w:type="dxa"/>
            <w:tcBorders>
              <w:top w:val="single" w:sz="12" w:space="0" w:color="44546A" w:themeColor="text2"/>
              <w:bottom w:val="single" w:sz="12" w:space="0" w:color="44546A" w:themeColor="text2"/>
            </w:tcBorders>
            <w:tcMar>
              <w:left w:w="108" w:type="dxa"/>
              <w:right w:w="108" w:type="dxa"/>
            </w:tcMar>
          </w:tcPr>
          <w:p w14:paraId="16E4DFFA" w14:textId="6034119A" w:rsidR="00333DB6" w:rsidRPr="001D3D27" w:rsidRDefault="00333DB6" w:rsidP="00333DB6">
            <w:pPr>
              <w:spacing w:before="60" w:after="60"/>
              <w:jc w:val="right"/>
              <w:rPr>
                <w:rFonts w:cstheme="minorHAnsi"/>
                <w:b/>
                <w:bCs/>
                <w:szCs w:val="22"/>
              </w:rPr>
            </w:pPr>
            <w:r w:rsidRPr="001D3D27">
              <w:rPr>
                <w:b/>
                <w:bCs/>
              </w:rPr>
              <w:t>46,037,558</w:t>
            </w:r>
          </w:p>
        </w:tc>
        <w:tc>
          <w:tcPr>
            <w:tcW w:w="1658" w:type="dxa"/>
            <w:tcBorders>
              <w:top w:val="single" w:sz="12" w:space="0" w:color="44546A" w:themeColor="text2"/>
              <w:bottom w:val="single" w:sz="12" w:space="0" w:color="44546A" w:themeColor="text2"/>
            </w:tcBorders>
          </w:tcPr>
          <w:p w14:paraId="1BDFE73A" w14:textId="107A0551" w:rsidR="00333DB6" w:rsidRPr="001D3D27" w:rsidRDefault="00333DB6" w:rsidP="00333DB6">
            <w:pPr>
              <w:spacing w:before="60" w:after="60"/>
              <w:jc w:val="right"/>
              <w:rPr>
                <w:b/>
                <w:bCs/>
              </w:rPr>
            </w:pPr>
            <w:r w:rsidRPr="001D3D27">
              <w:rPr>
                <w:b/>
                <w:bCs/>
              </w:rPr>
              <w:t>4</w:t>
            </w:r>
            <w:r w:rsidR="00FF1029">
              <w:rPr>
                <w:b/>
                <w:bCs/>
              </w:rPr>
              <w:t>4,178,464</w:t>
            </w:r>
          </w:p>
        </w:tc>
        <w:tc>
          <w:tcPr>
            <w:tcW w:w="1658" w:type="dxa"/>
            <w:tcBorders>
              <w:top w:val="single" w:sz="12" w:space="0" w:color="44546A" w:themeColor="text2"/>
              <w:bottom w:val="single" w:sz="12" w:space="0" w:color="44546A" w:themeColor="text2"/>
            </w:tcBorders>
            <w:tcMar>
              <w:left w:w="108" w:type="dxa"/>
              <w:right w:w="108" w:type="dxa"/>
            </w:tcMar>
          </w:tcPr>
          <w:p w14:paraId="65712A26" w14:textId="0A68E30C" w:rsidR="00333DB6" w:rsidRPr="001D3D27" w:rsidRDefault="5F9B6E1F" w:rsidP="5F4DCC5D">
            <w:pPr>
              <w:spacing w:before="60" w:after="60"/>
              <w:jc w:val="right"/>
              <w:rPr>
                <w:rFonts w:cstheme="minorBidi"/>
                <w:b/>
                <w:bCs/>
              </w:rPr>
            </w:pPr>
            <w:r w:rsidRPr="5F4DCC5D">
              <w:rPr>
                <w:rFonts w:cstheme="minorBidi"/>
                <w:b/>
                <w:bCs/>
              </w:rPr>
              <w:t>51,276,189</w:t>
            </w:r>
          </w:p>
        </w:tc>
        <w:tc>
          <w:tcPr>
            <w:tcW w:w="1658" w:type="dxa"/>
            <w:tcBorders>
              <w:top w:val="single" w:sz="12" w:space="0" w:color="44546A" w:themeColor="text2"/>
              <w:bottom w:val="single" w:sz="12" w:space="0" w:color="44546A" w:themeColor="text2"/>
            </w:tcBorders>
            <w:tcMar>
              <w:top w:w="0" w:type="dxa"/>
              <w:left w:w="108" w:type="dxa"/>
              <w:bottom w:w="0" w:type="dxa"/>
              <w:right w:w="108" w:type="dxa"/>
            </w:tcMar>
            <w:hideMark/>
          </w:tcPr>
          <w:p w14:paraId="416AD3B7" w14:textId="51EC2618" w:rsidR="00333DB6" w:rsidRPr="001D3D27" w:rsidRDefault="00FF1029" w:rsidP="5F4DCC5D">
            <w:pPr>
              <w:widowControl/>
              <w:spacing w:before="60" w:after="60"/>
              <w:jc w:val="right"/>
              <w:rPr>
                <w:b/>
                <w:bCs/>
                <w:lang w:val="en-AU"/>
              </w:rPr>
            </w:pPr>
            <w:r>
              <w:rPr>
                <w:b/>
                <w:bCs/>
              </w:rPr>
              <w:t>206,254,345</w:t>
            </w:r>
          </w:p>
        </w:tc>
      </w:tr>
      <w:tr w:rsidR="008B7467" w:rsidRPr="005E4A1B" w14:paraId="0D4E3C89" w14:textId="77777777" w:rsidTr="5F4DCC5D">
        <w:trPr>
          <w:cantSplit/>
          <w:trHeight w:val="109"/>
        </w:trPr>
        <w:tc>
          <w:tcPr>
            <w:tcW w:w="3422" w:type="dxa"/>
            <w:tcBorders>
              <w:top w:val="single" w:sz="12" w:space="0" w:color="44546A" w:themeColor="text2"/>
            </w:tcBorders>
            <w:tcMar>
              <w:top w:w="0" w:type="dxa"/>
              <w:left w:w="108" w:type="dxa"/>
              <w:bottom w:w="0" w:type="dxa"/>
              <w:right w:w="108" w:type="dxa"/>
            </w:tcMar>
          </w:tcPr>
          <w:p w14:paraId="17E55592" w14:textId="77777777" w:rsidR="00333DB6" w:rsidRPr="001D3D27" w:rsidRDefault="00333DB6" w:rsidP="00333DB6">
            <w:pPr>
              <w:keepNext/>
              <w:spacing w:before="60" w:after="60"/>
              <w:ind w:left="-111"/>
              <w:rPr>
                <w:szCs w:val="22"/>
              </w:rPr>
            </w:pPr>
            <w:r w:rsidRPr="001D3D27">
              <w:rPr>
                <w:b/>
                <w:bCs/>
                <w:szCs w:val="22"/>
              </w:rPr>
              <w:t>Commonwealth total contribution</w:t>
            </w:r>
          </w:p>
        </w:tc>
        <w:tc>
          <w:tcPr>
            <w:tcW w:w="1657" w:type="dxa"/>
            <w:tcBorders>
              <w:top w:val="single" w:sz="12" w:space="0" w:color="44546A" w:themeColor="text2"/>
            </w:tcBorders>
            <w:tcMar>
              <w:top w:w="0" w:type="dxa"/>
              <w:left w:w="108" w:type="dxa"/>
              <w:bottom w:w="0" w:type="dxa"/>
              <w:right w:w="108" w:type="dxa"/>
            </w:tcMar>
          </w:tcPr>
          <w:p w14:paraId="5410883F" w14:textId="77777777" w:rsidR="00333DB6" w:rsidRPr="001D3D27" w:rsidRDefault="00333DB6" w:rsidP="00333DB6">
            <w:pPr>
              <w:spacing w:before="60" w:after="60"/>
              <w:jc w:val="right"/>
              <w:rPr>
                <w:rFonts w:ascii="Calibri" w:hAnsi="Calibri" w:cs="Calibri"/>
                <w:b/>
                <w:szCs w:val="22"/>
              </w:rPr>
            </w:pPr>
            <w:r w:rsidRPr="001D3D27">
              <w:rPr>
                <w:rFonts w:cstheme="minorHAnsi"/>
                <w:b/>
                <w:color w:val="000000"/>
                <w:szCs w:val="22"/>
              </w:rPr>
              <w:t xml:space="preserve">170,000 </w:t>
            </w:r>
          </w:p>
        </w:tc>
        <w:tc>
          <w:tcPr>
            <w:tcW w:w="1658" w:type="dxa"/>
            <w:tcBorders>
              <w:top w:val="single" w:sz="12" w:space="0" w:color="44546A" w:themeColor="text2"/>
            </w:tcBorders>
            <w:tcMar>
              <w:top w:w="0" w:type="dxa"/>
              <w:left w:w="108" w:type="dxa"/>
              <w:bottom w:w="0" w:type="dxa"/>
              <w:right w:w="108" w:type="dxa"/>
            </w:tcMar>
          </w:tcPr>
          <w:p w14:paraId="1947BA4C" w14:textId="08407F6A" w:rsidR="00333DB6" w:rsidRPr="001D3D27" w:rsidRDefault="00333DB6" w:rsidP="00333DB6">
            <w:pPr>
              <w:spacing w:before="60" w:after="60"/>
              <w:jc w:val="right"/>
              <w:rPr>
                <w:rFonts w:ascii="Calibri" w:hAnsi="Calibri" w:cs="Calibri"/>
                <w:b/>
                <w:szCs w:val="22"/>
              </w:rPr>
            </w:pPr>
            <w:r w:rsidRPr="001D3D27">
              <w:rPr>
                <w:rFonts w:cstheme="minorHAnsi"/>
                <w:b/>
                <w:color w:val="000000"/>
                <w:szCs w:val="22"/>
              </w:rPr>
              <w:t>7,707,561</w:t>
            </w:r>
          </w:p>
        </w:tc>
        <w:tc>
          <w:tcPr>
            <w:tcW w:w="1658" w:type="dxa"/>
            <w:tcBorders>
              <w:top w:val="single" w:sz="12" w:space="0" w:color="44546A" w:themeColor="text2"/>
            </w:tcBorders>
            <w:tcMar>
              <w:top w:w="0" w:type="dxa"/>
              <w:left w:w="108" w:type="dxa"/>
              <w:bottom w:w="0" w:type="dxa"/>
              <w:right w:w="108" w:type="dxa"/>
            </w:tcMar>
          </w:tcPr>
          <w:p w14:paraId="6FC2AE2D" w14:textId="2D64ABCC" w:rsidR="00333DB6" w:rsidRPr="001D3D27" w:rsidRDefault="00333DB6" w:rsidP="00333DB6">
            <w:pPr>
              <w:spacing w:before="60" w:after="60"/>
              <w:jc w:val="right"/>
              <w:rPr>
                <w:rFonts w:ascii="Calibri" w:hAnsi="Calibri" w:cs="Calibri"/>
                <w:b/>
                <w:szCs w:val="22"/>
              </w:rPr>
            </w:pPr>
            <w:r w:rsidRPr="001D3D27">
              <w:rPr>
                <w:b/>
              </w:rPr>
              <w:t>28,284,573</w:t>
            </w:r>
          </w:p>
        </w:tc>
        <w:tc>
          <w:tcPr>
            <w:tcW w:w="1657" w:type="dxa"/>
            <w:tcBorders>
              <w:top w:val="single" w:sz="12" w:space="0" w:color="44546A" w:themeColor="text2"/>
            </w:tcBorders>
            <w:tcMar>
              <w:top w:w="0" w:type="dxa"/>
              <w:left w:w="108" w:type="dxa"/>
              <w:bottom w:w="0" w:type="dxa"/>
              <w:right w:w="108" w:type="dxa"/>
            </w:tcMar>
          </w:tcPr>
          <w:p w14:paraId="1AA0F9DF" w14:textId="0A1F83FC" w:rsidR="00333DB6" w:rsidRPr="001D3D27" w:rsidRDefault="00333DB6" w:rsidP="00333DB6">
            <w:pPr>
              <w:spacing w:before="60" w:after="60"/>
              <w:jc w:val="right"/>
              <w:rPr>
                <w:rFonts w:cstheme="minorHAnsi"/>
                <w:b/>
                <w:color w:val="000000"/>
                <w:szCs w:val="22"/>
              </w:rPr>
            </w:pPr>
            <w:r w:rsidRPr="001D3D27">
              <w:rPr>
                <w:b/>
              </w:rPr>
              <w:t>29,637,558</w:t>
            </w:r>
          </w:p>
        </w:tc>
        <w:tc>
          <w:tcPr>
            <w:tcW w:w="1658" w:type="dxa"/>
            <w:tcBorders>
              <w:top w:val="single" w:sz="12" w:space="0" w:color="44546A" w:themeColor="text2"/>
            </w:tcBorders>
          </w:tcPr>
          <w:p w14:paraId="1CA66E05" w14:textId="71FCC7C5" w:rsidR="00333DB6" w:rsidRPr="001D3D27" w:rsidRDefault="00FF1029" w:rsidP="00333DB6">
            <w:pPr>
              <w:spacing w:before="60" w:after="60"/>
              <w:jc w:val="right"/>
              <w:rPr>
                <w:b/>
              </w:rPr>
            </w:pPr>
            <w:r>
              <w:rPr>
                <w:b/>
              </w:rPr>
              <w:t>27,378,464</w:t>
            </w:r>
          </w:p>
        </w:tc>
        <w:tc>
          <w:tcPr>
            <w:tcW w:w="1658" w:type="dxa"/>
            <w:tcBorders>
              <w:top w:val="single" w:sz="12" w:space="0" w:color="44546A" w:themeColor="text2"/>
            </w:tcBorders>
            <w:tcMar>
              <w:top w:w="0" w:type="dxa"/>
              <w:left w:w="108" w:type="dxa"/>
              <w:bottom w:w="0" w:type="dxa"/>
              <w:right w:w="108" w:type="dxa"/>
            </w:tcMar>
          </w:tcPr>
          <w:p w14:paraId="2C9EADDD" w14:textId="507BC282" w:rsidR="00333DB6" w:rsidRPr="001D3D27" w:rsidRDefault="00133BB2" w:rsidP="00333DB6">
            <w:pPr>
              <w:spacing w:before="60" w:after="60"/>
              <w:jc w:val="right"/>
              <w:rPr>
                <w:rFonts w:cstheme="minorHAnsi"/>
                <w:b/>
                <w:color w:val="000000"/>
                <w:szCs w:val="22"/>
              </w:rPr>
            </w:pPr>
            <w:r w:rsidRPr="001D3D27">
              <w:rPr>
                <w:rFonts w:cstheme="minorHAnsi"/>
                <w:b/>
                <w:color w:val="000000"/>
                <w:szCs w:val="22"/>
              </w:rPr>
              <w:t>3</w:t>
            </w:r>
            <w:r w:rsidR="001C56BF" w:rsidRPr="001D3D27">
              <w:rPr>
                <w:rFonts w:cstheme="minorHAnsi"/>
                <w:b/>
                <w:color w:val="000000"/>
                <w:szCs w:val="22"/>
              </w:rPr>
              <w:t>2,9</w:t>
            </w:r>
            <w:r w:rsidRPr="001D3D27">
              <w:rPr>
                <w:rFonts w:cstheme="minorHAnsi"/>
                <w:b/>
                <w:color w:val="000000"/>
                <w:szCs w:val="22"/>
              </w:rPr>
              <w:t>01,469</w:t>
            </w:r>
          </w:p>
        </w:tc>
        <w:tc>
          <w:tcPr>
            <w:tcW w:w="1658" w:type="dxa"/>
            <w:tcBorders>
              <w:top w:val="single" w:sz="12" w:space="0" w:color="44546A" w:themeColor="text2"/>
            </w:tcBorders>
            <w:tcMar>
              <w:top w:w="0" w:type="dxa"/>
              <w:left w:w="108" w:type="dxa"/>
              <w:bottom w:w="0" w:type="dxa"/>
              <w:right w:w="108" w:type="dxa"/>
            </w:tcMar>
          </w:tcPr>
          <w:p w14:paraId="5E80C68F" w14:textId="02CE1F9B" w:rsidR="00333DB6" w:rsidRPr="001D3D27" w:rsidRDefault="00FF1029" w:rsidP="00333DB6">
            <w:pPr>
              <w:spacing w:before="60" w:after="60"/>
              <w:jc w:val="right"/>
              <w:rPr>
                <w:rFonts w:cstheme="minorHAnsi"/>
                <w:b/>
                <w:color w:val="000000"/>
                <w:szCs w:val="22"/>
              </w:rPr>
            </w:pPr>
            <w:r>
              <w:rPr>
                <w:b/>
              </w:rPr>
              <w:t>126,079,625</w:t>
            </w:r>
          </w:p>
        </w:tc>
      </w:tr>
      <w:tr w:rsidR="008B7467" w:rsidRPr="005E4A1B" w14:paraId="0382B225" w14:textId="77777777" w:rsidTr="5F4DCC5D">
        <w:trPr>
          <w:cantSplit/>
          <w:trHeight w:val="58"/>
        </w:trPr>
        <w:tc>
          <w:tcPr>
            <w:tcW w:w="3422" w:type="dxa"/>
            <w:tcMar>
              <w:top w:w="0" w:type="dxa"/>
              <w:left w:w="108" w:type="dxa"/>
              <w:bottom w:w="0" w:type="dxa"/>
              <w:right w:w="108" w:type="dxa"/>
            </w:tcMar>
            <w:hideMark/>
          </w:tcPr>
          <w:p w14:paraId="0D750C6B" w14:textId="77777777" w:rsidR="00333DB6" w:rsidRPr="001D3D27" w:rsidRDefault="00333DB6" w:rsidP="00333DB6">
            <w:pPr>
              <w:keepNext/>
              <w:spacing w:before="60" w:after="60"/>
              <w:ind w:left="34"/>
              <w:rPr>
                <w:szCs w:val="22"/>
              </w:rPr>
            </w:pPr>
            <w:r w:rsidRPr="001D3D27">
              <w:rPr>
                <w:szCs w:val="22"/>
              </w:rPr>
              <w:t>Estimated payments to South Australia</w:t>
            </w:r>
          </w:p>
        </w:tc>
        <w:tc>
          <w:tcPr>
            <w:tcW w:w="1657" w:type="dxa"/>
            <w:tcMar>
              <w:top w:w="0" w:type="dxa"/>
              <w:left w:w="108" w:type="dxa"/>
              <w:bottom w:w="0" w:type="dxa"/>
              <w:right w:w="108" w:type="dxa"/>
            </w:tcMar>
            <w:hideMark/>
          </w:tcPr>
          <w:p w14:paraId="5E6A24A2" w14:textId="77777777" w:rsidR="00333DB6" w:rsidRPr="001D3D27" w:rsidRDefault="00333DB6" w:rsidP="00333DB6">
            <w:pPr>
              <w:spacing w:before="60" w:after="60"/>
              <w:jc w:val="right"/>
              <w:rPr>
                <w:rFonts w:cstheme="minorHAnsi"/>
                <w:szCs w:val="22"/>
              </w:rPr>
            </w:pPr>
            <w:r w:rsidRPr="001D3D27">
              <w:rPr>
                <w:rFonts w:ascii="Calibri" w:hAnsi="Calibri" w:cs="Calibri"/>
                <w:szCs w:val="22"/>
              </w:rPr>
              <w:t xml:space="preserve">- </w:t>
            </w:r>
          </w:p>
        </w:tc>
        <w:tc>
          <w:tcPr>
            <w:tcW w:w="1658" w:type="dxa"/>
            <w:tcMar>
              <w:top w:w="0" w:type="dxa"/>
              <w:left w:w="108" w:type="dxa"/>
              <w:bottom w:w="0" w:type="dxa"/>
              <w:right w:w="108" w:type="dxa"/>
            </w:tcMar>
            <w:hideMark/>
          </w:tcPr>
          <w:p w14:paraId="290C4ACC" w14:textId="77777777" w:rsidR="00333DB6" w:rsidRPr="001D3D27" w:rsidRDefault="00333DB6" w:rsidP="00333DB6">
            <w:pPr>
              <w:spacing w:before="60" w:after="60"/>
              <w:jc w:val="right"/>
              <w:rPr>
                <w:rFonts w:cstheme="minorHAnsi"/>
                <w:szCs w:val="22"/>
              </w:rPr>
            </w:pPr>
            <w:r w:rsidRPr="001D3D27">
              <w:rPr>
                <w:rFonts w:ascii="Calibri" w:hAnsi="Calibri" w:cs="Calibri"/>
                <w:szCs w:val="22"/>
              </w:rPr>
              <w:t>400,000</w:t>
            </w:r>
          </w:p>
        </w:tc>
        <w:tc>
          <w:tcPr>
            <w:tcW w:w="1658" w:type="dxa"/>
            <w:tcMar>
              <w:top w:w="0" w:type="dxa"/>
              <w:left w:w="108" w:type="dxa"/>
              <w:bottom w:w="0" w:type="dxa"/>
              <w:right w:w="108" w:type="dxa"/>
            </w:tcMar>
            <w:hideMark/>
          </w:tcPr>
          <w:p w14:paraId="579E35D2" w14:textId="64E8A77D" w:rsidR="00333DB6" w:rsidRPr="001D3D27" w:rsidRDefault="00333DB6" w:rsidP="00333DB6">
            <w:pPr>
              <w:spacing w:before="60" w:after="60"/>
              <w:jc w:val="right"/>
              <w:rPr>
                <w:rFonts w:cstheme="minorHAnsi"/>
                <w:szCs w:val="22"/>
              </w:rPr>
            </w:pPr>
            <w:r w:rsidRPr="001D3D27">
              <w:t>7,437,000</w:t>
            </w:r>
          </w:p>
        </w:tc>
        <w:tc>
          <w:tcPr>
            <w:tcW w:w="1657" w:type="dxa"/>
            <w:tcMar>
              <w:top w:w="0" w:type="dxa"/>
              <w:left w:w="108" w:type="dxa"/>
              <w:bottom w:w="0" w:type="dxa"/>
              <w:right w:w="108" w:type="dxa"/>
            </w:tcMar>
            <w:hideMark/>
          </w:tcPr>
          <w:p w14:paraId="6B839E97" w14:textId="4C6E46D8" w:rsidR="00333DB6" w:rsidRPr="001D3D27" w:rsidRDefault="00333DB6" w:rsidP="00333DB6">
            <w:pPr>
              <w:spacing w:before="60" w:after="60"/>
              <w:jc w:val="right"/>
              <w:rPr>
                <w:rFonts w:cstheme="minorHAnsi"/>
                <w:szCs w:val="22"/>
              </w:rPr>
            </w:pPr>
            <w:r w:rsidRPr="001D3D27">
              <w:t>9,174,415</w:t>
            </w:r>
          </w:p>
        </w:tc>
        <w:tc>
          <w:tcPr>
            <w:tcW w:w="1658" w:type="dxa"/>
          </w:tcPr>
          <w:p w14:paraId="68A7B7F6" w14:textId="3E9D2B79" w:rsidR="00333DB6" w:rsidRPr="001D3D27" w:rsidRDefault="00333DB6" w:rsidP="00333DB6">
            <w:pPr>
              <w:spacing w:before="60" w:after="60"/>
              <w:jc w:val="right"/>
            </w:pPr>
            <w:r w:rsidRPr="001D3D27">
              <w:t>9,413,465</w:t>
            </w:r>
          </w:p>
        </w:tc>
        <w:tc>
          <w:tcPr>
            <w:tcW w:w="1658" w:type="dxa"/>
            <w:tcMar>
              <w:top w:w="0" w:type="dxa"/>
              <w:left w:w="108" w:type="dxa"/>
              <w:bottom w:w="0" w:type="dxa"/>
              <w:right w:w="108" w:type="dxa"/>
            </w:tcMar>
          </w:tcPr>
          <w:p w14:paraId="3367F6E0" w14:textId="7D8878B0" w:rsidR="00333DB6" w:rsidRPr="001D3D27" w:rsidRDefault="00484A85" w:rsidP="00333DB6">
            <w:pPr>
              <w:spacing w:before="60" w:after="60"/>
              <w:jc w:val="right"/>
              <w:rPr>
                <w:rFonts w:cstheme="minorHAnsi"/>
                <w:szCs w:val="22"/>
              </w:rPr>
            </w:pPr>
            <w:r w:rsidRPr="001D3D27">
              <w:rPr>
                <w:rFonts w:cstheme="minorHAnsi"/>
                <w:szCs w:val="22"/>
              </w:rPr>
              <w:t>9,7</w:t>
            </w:r>
            <w:r w:rsidR="003B6B6F" w:rsidRPr="001D3D27">
              <w:rPr>
                <w:rFonts w:cstheme="minorHAnsi"/>
                <w:szCs w:val="22"/>
              </w:rPr>
              <w:t>62,151</w:t>
            </w:r>
          </w:p>
        </w:tc>
        <w:tc>
          <w:tcPr>
            <w:tcW w:w="1658" w:type="dxa"/>
            <w:tcMar>
              <w:top w:w="0" w:type="dxa"/>
              <w:left w:w="108" w:type="dxa"/>
              <w:bottom w:w="0" w:type="dxa"/>
              <w:right w:w="108" w:type="dxa"/>
            </w:tcMar>
            <w:hideMark/>
          </w:tcPr>
          <w:p w14:paraId="3676B822" w14:textId="2869F9E5" w:rsidR="00333DB6" w:rsidRPr="001D3D27" w:rsidRDefault="006636AA" w:rsidP="00333DB6">
            <w:pPr>
              <w:spacing w:before="60" w:after="60"/>
              <w:jc w:val="right"/>
              <w:rPr>
                <w:rFonts w:cstheme="minorHAnsi"/>
                <w:szCs w:val="22"/>
              </w:rPr>
            </w:pPr>
            <w:r w:rsidRPr="001D3D27">
              <w:t>36,</w:t>
            </w:r>
            <w:r w:rsidR="003B6B6F" w:rsidRPr="001D3D27">
              <w:t>1</w:t>
            </w:r>
            <w:r w:rsidRPr="001D3D27">
              <w:t>87,031</w:t>
            </w:r>
          </w:p>
        </w:tc>
      </w:tr>
      <w:tr w:rsidR="008B7467" w:rsidRPr="005E4A1B" w14:paraId="2B722024" w14:textId="77777777" w:rsidTr="5F4DCC5D">
        <w:trPr>
          <w:cantSplit/>
          <w:trHeight w:val="58"/>
        </w:trPr>
        <w:tc>
          <w:tcPr>
            <w:tcW w:w="3422" w:type="dxa"/>
            <w:tcBorders>
              <w:bottom w:val="single" w:sz="12" w:space="0" w:color="44546A" w:themeColor="text2"/>
            </w:tcBorders>
            <w:tcMar>
              <w:top w:w="0" w:type="dxa"/>
              <w:left w:w="108" w:type="dxa"/>
              <w:bottom w:w="0" w:type="dxa"/>
              <w:right w:w="108" w:type="dxa"/>
            </w:tcMar>
          </w:tcPr>
          <w:p w14:paraId="47F8D4FC" w14:textId="77777777" w:rsidR="00333DB6" w:rsidRPr="001D3D27" w:rsidRDefault="00333DB6" w:rsidP="00333DB6">
            <w:pPr>
              <w:keepNext/>
              <w:spacing w:before="60" w:after="60"/>
              <w:ind w:left="34"/>
              <w:rPr>
                <w:szCs w:val="22"/>
              </w:rPr>
            </w:pPr>
            <w:r w:rsidRPr="001D3D27">
              <w:rPr>
                <w:szCs w:val="22"/>
              </w:rPr>
              <w:t>Other Commonwealth payments</w:t>
            </w:r>
          </w:p>
        </w:tc>
        <w:tc>
          <w:tcPr>
            <w:tcW w:w="1657" w:type="dxa"/>
            <w:tcBorders>
              <w:bottom w:val="single" w:sz="12" w:space="0" w:color="44546A" w:themeColor="text2"/>
            </w:tcBorders>
            <w:tcMar>
              <w:top w:w="0" w:type="dxa"/>
              <w:left w:w="108" w:type="dxa"/>
              <w:bottom w:w="0" w:type="dxa"/>
              <w:right w:w="108" w:type="dxa"/>
            </w:tcMar>
          </w:tcPr>
          <w:p w14:paraId="300FB372" w14:textId="77777777" w:rsidR="00333DB6" w:rsidRPr="001D3D27" w:rsidRDefault="00333DB6" w:rsidP="00333DB6">
            <w:pPr>
              <w:spacing w:before="60" w:after="60"/>
              <w:jc w:val="right"/>
              <w:rPr>
                <w:rFonts w:ascii="Calibri" w:hAnsi="Calibri" w:cs="Calibri"/>
                <w:szCs w:val="22"/>
              </w:rPr>
            </w:pPr>
            <w:r w:rsidRPr="001D3D27">
              <w:rPr>
                <w:rFonts w:ascii="Calibri" w:hAnsi="Calibri" w:cs="Calibri"/>
                <w:color w:val="000000"/>
                <w:szCs w:val="22"/>
              </w:rPr>
              <w:t>170,000</w:t>
            </w:r>
          </w:p>
        </w:tc>
        <w:tc>
          <w:tcPr>
            <w:tcW w:w="1658" w:type="dxa"/>
            <w:tcBorders>
              <w:bottom w:val="single" w:sz="12" w:space="0" w:color="44546A" w:themeColor="text2"/>
            </w:tcBorders>
            <w:tcMar>
              <w:top w:w="0" w:type="dxa"/>
              <w:left w:w="108" w:type="dxa"/>
              <w:bottom w:w="0" w:type="dxa"/>
              <w:right w:w="108" w:type="dxa"/>
            </w:tcMar>
          </w:tcPr>
          <w:p w14:paraId="6563E578" w14:textId="0D820EB2" w:rsidR="00333DB6" w:rsidRPr="001D3D27" w:rsidRDefault="00333DB6" w:rsidP="00333DB6">
            <w:pPr>
              <w:spacing w:before="60" w:after="60"/>
              <w:jc w:val="right"/>
              <w:rPr>
                <w:rFonts w:ascii="Calibri" w:hAnsi="Calibri" w:cs="Calibri"/>
                <w:szCs w:val="22"/>
              </w:rPr>
            </w:pPr>
            <w:r w:rsidRPr="001D3D27">
              <w:rPr>
                <w:rFonts w:ascii="Calibri" w:hAnsi="Calibri" w:cs="Calibri"/>
                <w:color w:val="000000"/>
                <w:szCs w:val="22"/>
              </w:rPr>
              <w:t>7,307,561</w:t>
            </w:r>
          </w:p>
        </w:tc>
        <w:tc>
          <w:tcPr>
            <w:tcW w:w="1658" w:type="dxa"/>
            <w:tcBorders>
              <w:bottom w:val="single" w:sz="12" w:space="0" w:color="44546A" w:themeColor="text2"/>
            </w:tcBorders>
            <w:tcMar>
              <w:top w:w="0" w:type="dxa"/>
              <w:left w:w="108" w:type="dxa"/>
              <w:bottom w:w="0" w:type="dxa"/>
              <w:right w:w="108" w:type="dxa"/>
            </w:tcMar>
          </w:tcPr>
          <w:p w14:paraId="44670A41" w14:textId="517A8B6B" w:rsidR="00333DB6" w:rsidRPr="001D3D27" w:rsidRDefault="00333DB6" w:rsidP="00333DB6">
            <w:pPr>
              <w:spacing w:before="60" w:after="60"/>
              <w:jc w:val="right"/>
              <w:rPr>
                <w:rFonts w:ascii="Calibri" w:hAnsi="Calibri" w:cs="Calibri"/>
                <w:szCs w:val="22"/>
              </w:rPr>
            </w:pPr>
            <w:r w:rsidRPr="001D3D27">
              <w:t>20,847,573</w:t>
            </w:r>
          </w:p>
        </w:tc>
        <w:tc>
          <w:tcPr>
            <w:tcW w:w="1657" w:type="dxa"/>
            <w:tcBorders>
              <w:bottom w:val="single" w:sz="12" w:space="0" w:color="44546A" w:themeColor="text2"/>
            </w:tcBorders>
            <w:tcMar>
              <w:top w:w="0" w:type="dxa"/>
              <w:left w:w="108" w:type="dxa"/>
              <w:bottom w:w="0" w:type="dxa"/>
              <w:right w:w="108" w:type="dxa"/>
            </w:tcMar>
          </w:tcPr>
          <w:p w14:paraId="40013B67" w14:textId="65437005" w:rsidR="00333DB6" w:rsidRPr="001D3D27" w:rsidRDefault="00333DB6" w:rsidP="00333DB6">
            <w:pPr>
              <w:spacing w:before="60" w:after="60"/>
              <w:jc w:val="right"/>
              <w:rPr>
                <w:rFonts w:cstheme="minorHAnsi"/>
                <w:color w:val="000000"/>
                <w:szCs w:val="22"/>
              </w:rPr>
            </w:pPr>
            <w:r w:rsidRPr="001D3D27">
              <w:t>20,463,143</w:t>
            </w:r>
          </w:p>
        </w:tc>
        <w:tc>
          <w:tcPr>
            <w:tcW w:w="1658" w:type="dxa"/>
            <w:tcBorders>
              <w:bottom w:val="single" w:sz="12" w:space="0" w:color="44546A" w:themeColor="text2"/>
            </w:tcBorders>
          </w:tcPr>
          <w:p w14:paraId="3B36E941" w14:textId="4127D292" w:rsidR="00333DB6" w:rsidRPr="001D3D27" w:rsidRDefault="00FF1029" w:rsidP="00333DB6">
            <w:pPr>
              <w:spacing w:before="60" w:after="60"/>
              <w:jc w:val="right"/>
            </w:pPr>
            <w:r>
              <w:t>17,964,999</w:t>
            </w:r>
          </w:p>
        </w:tc>
        <w:tc>
          <w:tcPr>
            <w:tcW w:w="1658" w:type="dxa"/>
            <w:tcBorders>
              <w:bottom w:val="single" w:sz="12" w:space="0" w:color="44546A" w:themeColor="text2"/>
            </w:tcBorders>
            <w:tcMar>
              <w:top w:w="0" w:type="dxa"/>
              <w:left w:w="108" w:type="dxa"/>
              <w:bottom w:w="0" w:type="dxa"/>
              <w:right w:w="108" w:type="dxa"/>
            </w:tcMar>
          </w:tcPr>
          <w:p w14:paraId="0A50A574" w14:textId="2DE2920F" w:rsidR="00333DB6" w:rsidRPr="001D3D27" w:rsidRDefault="00AD4031" w:rsidP="00333DB6">
            <w:pPr>
              <w:spacing w:before="60" w:after="60"/>
              <w:jc w:val="right"/>
              <w:rPr>
                <w:rFonts w:cstheme="minorHAnsi"/>
                <w:color w:val="000000"/>
                <w:szCs w:val="22"/>
              </w:rPr>
            </w:pPr>
            <w:r w:rsidRPr="001D3D27">
              <w:rPr>
                <w:rFonts w:cstheme="minorHAnsi"/>
                <w:color w:val="000000"/>
                <w:szCs w:val="22"/>
              </w:rPr>
              <w:t>23,139,318</w:t>
            </w:r>
          </w:p>
        </w:tc>
        <w:tc>
          <w:tcPr>
            <w:tcW w:w="1658" w:type="dxa"/>
            <w:tcBorders>
              <w:bottom w:val="single" w:sz="12" w:space="0" w:color="44546A" w:themeColor="text2"/>
            </w:tcBorders>
            <w:tcMar>
              <w:top w:w="0" w:type="dxa"/>
              <w:left w:w="108" w:type="dxa"/>
              <w:bottom w:w="0" w:type="dxa"/>
              <w:right w:w="108" w:type="dxa"/>
            </w:tcMar>
          </w:tcPr>
          <w:p w14:paraId="52E80E1C" w14:textId="1CC61EBB" w:rsidR="00333DB6" w:rsidRPr="001D3D27" w:rsidRDefault="00FF1029" w:rsidP="00333DB6">
            <w:pPr>
              <w:spacing w:before="60" w:after="60"/>
              <w:jc w:val="right"/>
              <w:rPr>
                <w:rFonts w:cstheme="minorHAnsi"/>
                <w:color w:val="000000"/>
                <w:szCs w:val="22"/>
              </w:rPr>
            </w:pPr>
            <w:r>
              <w:t>89,892,594</w:t>
            </w:r>
          </w:p>
        </w:tc>
      </w:tr>
      <w:tr w:rsidR="008B7467" w:rsidRPr="005E4A1B" w14:paraId="26D08A34" w14:textId="77777777" w:rsidTr="5F4DCC5D">
        <w:trPr>
          <w:cantSplit/>
          <w:trHeight w:val="58"/>
        </w:trPr>
        <w:tc>
          <w:tcPr>
            <w:tcW w:w="3422" w:type="dxa"/>
            <w:tcBorders>
              <w:top w:val="single" w:sz="12" w:space="0" w:color="44546A" w:themeColor="text2"/>
              <w:bottom w:val="nil"/>
            </w:tcBorders>
            <w:tcMar>
              <w:top w:w="0" w:type="dxa"/>
              <w:left w:w="108" w:type="dxa"/>
              <w:bottom w:w="0" w:type="dxa"/>
              <w:right w:w="108" w:type="dxa"/>
            </w:tcMar>
          </w:tcPr>
          <w:p w14:paraId="3C471B18" w14:textId="14A01202" w:rsidR="00333DB6" w:rsidRPr="001D3D27" w:rsidRDefault="00333DB6" w:rsidP="00333DB6">
            <w:pPr>
              <w:keepNext/>
              <w:spacing w:before="60" w:after="60"/>
              <w:ind w:left="-108"/>
              <w:rPr>
                <w:b/>
                <w:bCs/>
                <w:szCs w:val="22"/>
              </w:rPr>
            </w:pPr>
            <w:r w:rsidRPr="001D3D27">
              <w:rPr>
                <w:b/>
                <w:bCs/>
              </w:rPr>
              <w:t>South Australia total contribution</w:t>
            </w:r>
          </w:p>
        </w:tc>
        <w:tc>
          <w:tcPr>
            <w:tcW w:w="1657" w:type="dxa"/>
            <w:tcBorders>
              <w:top w:val="single" w:sz="12" w:space="0" w:color="44546A" w:themeColor="text2"/>
              <w:bottom w:val="nil"/>
            </w:tcBorders>
            <w:tcMar>
              <w:top w:w="0" w:type="dxa"/>
              <w:left w:w="108" w:type="dxa"/>
              <w:bottom w:w="0" w:type="dxa"/>
              <w:right w:w="108" w:type="dxa"/>
            </w:tcMar>
          </w:tcPr>
          <w:p w14:paraId="0EE746F5" w14:textId="5BDF901F" w:rsidR="00333DB6" w:rsidRPr="001D3D27" w:rsidRDefault="00333DB6" w:rsidP="00333DB6">
            <w:pPr>
              <w:spacing w:before="60" w:after="60"/>
              <w:jc w:val="right"/>
              <w:rPr>
                <w:rFonts w:ascii="Calibri" w:hAnsi="Calibri" w:cs="Calibri"/>
                <w:b/>
                <w:bCs/>
                <w:color w:val="000000"/>
                <w:szCs w:val="22"/>
              </w:rPr>
            </w:pPr>
            <w:r w:rsidRPr="001D3D27">
              <w:rPr>
                <w:b/>
                <w:bCs/>
              </w:rPr>
              <w:t>2,900,000</w:t>
            </w:r>
          </w:p>
        </w:tc>
        <w:tc>
          <w:tcPr>
            <w:tcW w:w="1658" w:type="dxa"/>
            <w:tcBorders>
              <w:top w:val="single" w:sz="12" w:space="0" w:color="44546A" w:themeColor="text2"/>
              <w:bottom w:val="nil"/>
            </w:tcBorders>
            <w:tcMar>
              <w:top w:w="0" w:type="dxa"/>
              <w:left w:w="108" w:type="dxa"/>
              <w:bottom w:w="0" w:type="dxa"/>
              <w:right w:w="108" w:type="dxa"/>
            </w:tcMar>
          </w:tcPr>
          <w:p w14:paraId="5999D34F" w14:textId="2AA8D459" w:rsidR="00333DB6" w:rsidRPr="001D3D27" w:rsidRDefault="00333DB6" w:rsidP="00333DB6">
            <w:pPr>
              <w:spacing w:before="60" w:after="60"/>
              <w:jc w:val="right"/>
              <w:rPr>
                <w:rFonts w:ascii="Calibri" w:hAnsi="Calibri" w:cs="Calibri"/>
                <w:b/>
                <w:bCs/>
                <w:color w:val="000000"/>
                <w:szCs w:val="22"/>
              </w:rPr>
            </w:pPr>
            <w:r w:rsidRPr="001D3D27">
              <w:rPr>
                <w:b/>
                <w:bCs/>
              </w:rPr>
              <w:t>12,800,000</w:t>
            </w:r>
          </w:p>
        </w:tc>
        <w:tc>
          <w:tcPr>
            <w:tcW w:w="1658" w:type="dxa"/>
            <w:tcBorders>
              <w:top w:val="single" w:sz="12" w:space="0" w:color="44546A" w:themeColor="text2"/>
              <w:bottom w:val="nil"/>
            </w:tcBorders>
            <w:tcMar>
              <w:top w:w="0" w:type="dxa"/>
              <w:left w:w="108" w:type="dxa"/>
              <w:bottom w:w="0" w:type="dxa"/>
              <w:right w:w="108" w:type="dxa"/>
            </w:tcMar>
          </w:tcPr>
          <w:p w14:paraId="7D4C6147" w14:textId="29E72111" w:rsidR="00333DB6" w:rsidRPr="001D3D27" w:rsidRDefault="00333DB6" w:rsidP="00333DB6">
            <w:pPr>
              <w:spacing w:before="60" w:after="60"/>
              <w:jc w:val="right"/>
              <w:rPr>
                <w:b/>
                <w:bCs/>
              </w:rPr>
            </w:pPr>
            <w:r w:rsidRPr="001D3D27">
              <w:rPr>
                <w:b/>
                <w:bCs/>
              </w:rPr>
              <w:t>12,900,000</w:t>
            </w:r>
          </w:p>
        </w:tc>
        <w:tc>
          <w:tcPr>
            <w:tcW w:w="1657" w:type="dxa"/>
            <w:tcBorders>
              <w:top w:val="single" w:sz="12" w:space="0" w:color="44546A" w:themeColor="text2"/>
              <w:bottom w:val="nil"/>
            </w:tcBorders>
            <w:tcMar>
              <w:top w:w="0" w:type="dxa"/>
              <w:left w:w="108" w:type="dxa"/>
              <w:bottom w:w="0" w:type="dxa"/>
              <w:right w:w="108" w:type="dxa"/>
            </w:tcMar>
          </w:tcPr>
          <w:p w14:paraId="763CC9FD" w14:textId="22EC4EA3" w:rsidR="00333DB6" w:rsidRPr="001D3D27" w:rsidRDefault="00333DB6" w:rsidP="00333DB6">
            <w:pPr>
              <w:spacing w:before="60" w:after="60"/>
              <w:jc w:val="right"/>
              <w:rPr>
                <w:b/>
                <w:bCs/>
              </w:rPr>
            </w:pPr>
            <w:r w:rsidRPr="001D3D27">
              <w:rPr>
                <w:b/>
                <w:bCs/>
              </w:rPr>
              <w:t>16,400,000</w:t>
            </w:r>
          </w:p>
        </w:tc>
        <w:tc>
          <w:tcPr>
            <w:tcW w:w="1658" w:type="dxa"/>
            <w:tcBorders>
              <w:top w:val="single" w:sz="12" w:space="0" w:color="44546A" w:themeColor="text2"/>
              <w:bottom w:val="nil"/>
            </w:tcBorders>
          </w:tcPr>
          <w:p w14:paraId="5D783A74" w14:textId="52CC38B3" w:rsidR="00333DB6" w:rsidRPr="001D3D27" w:rsidRDefault="00333DB6" w:rsidP="00333DB6">
            <w:pPr>
              <w:spacing w:before="60" w:after="60"/>
              <w:jc w:val="right"/>
              <w:rPr>
                <w:b/>
                <w:bCs/>
              </w:rPr>
            </w:pPr>
            <w:r w:rsidRPr="001D3D27">
              <w:rPr>
                <w:b/>
                <w:bCs/>
              </w:rPr>
              <w:t>16,800,000</w:t>
            </w:r>
          </w:p>
        </w:tc>
        <w:tc>
          <w:tcPr>
            <w:tcW w:w="1658" w:type="dxa"/>
            <w:tcBorders>
              <w:top w:val="single" w:sz="12" w:space="0" w:color="44546A" w:themeColor="text2"/>
              <w:bottom w:val="nil"/>
            </w:tcBorders>
            <w:tcMar>
              <w:top w:w="0" w:type="dxa"/>
              <w:left w:w="108" w:type="dxa"/>
              <w:bottom w:w="0" w:type="dxa"/>
              <w:right w:w="108" w:type="dxa"/>
            </w:tcMar>
          </w:tcPr>
          <w:p w14:paraId="151DF004" w14:textId="3AECC9BA" w:rsidR="00333DB6" w:rsidRPr="001D3D27" w:rsidRDefault="704E6941" w:rsidP="00333DB6">
            <w:pPr>
              <w:spacing w:before="60" w:after="60"/>
              <w:jc w:val="right"/>
              <w:rPr>
                <w:b/>
                <w:bCs/>
              </w:rPr>
            </w:pPr>
            <w:r w:rsidRPr="5F4DCC5D">
              <w:rPr>
                <w:b/>
                <w:bCs/>
              </w:rPr>
              <w:t>18,374,720</w:t>
            </w:r>
          </w:p>
        </w:tc>
        <w:tc>
          <w:tcPr>
            <w:tcW w:w="1658" w:type="dxa"/>
            <w:tcBorders>
              <w:top w:val="single" w:sz="12" w:space="0" w:color="44546A" w:themeColor="text2"/>
              <w:bottom w:val="nil"/>
            </w:tcBorders>
            <w:tcMar>
              <w:top w:w="0" w:type="dxa"/>
              <w:left w:w="108" w:type="dxa"/>
              <w:bottom w:w="0" w:type="dxa"/>
              <w:right w:w="108" w:type="dxa"/>
            </w:tcMar>
          </w:tcPr>
          <w:p w14:paraId="388D7BBB" w14:textId="46C1B481" w:rsidR="00333DB6" w:rsidRPr="001D3D27" w:rsidRDefault="46AEB4D7" w:rsidP="5F4DCC5D">
            <w:pPr>
              <w:spacing w:before="60" w:after="60"/>
              <w:jc w:val="right"/>
            </w:pPr>
            <w:r w:rsidRPr="5F4DCC5D">
              <w:rPr>
                <w:b/>
                <w:bCs/>
              </w:rPr>
              <w:t>80,174,720</w:t>
            </w:r>
          </w:p>
        </w:tc>
      </w:tr>
      <w:tr w:rsidR="008B7467" w:rsidRPr="005E4A1B" w14:paraId="103093B2" w14:textId="77777777" w:rsidTr="5F4DCC5D">
        <w:trPr>
          <w:cantSplit/>
          <w:trHeight w:val="58"/>
        </w:trPr>
        <w:tc>
          <w:tcPr>
            <w:tcW w:w="3422" w:type="dxa"/>
            <w:tcBorders>
              <w:top w:val="nil"/>
              <w:bottom w:val="single" w:sz="12" w:space="0" w:color="44546A" w:themeColor="text2"/>
            </w:tcBorders>
            <w:tcMar>
              <w:top w:w="0" w:type="dxa"/>
              <w:left w:w="108" w:type="dxa"/>
              <w:bottom w:w="0" w:type="dxa"/>
              <w:right w:w="108" w:type="dxa"/>
            </w:tcMar>
          </w:tcPr>
          <w:p w14:paraId="0CA5472D" w14:textId="7D5D1386" w:rsidR="00333DB6" w:rsidRPr="001D3D27" w:rsidRDefault="00333DB6" w:rsidP="00333DB6">
            <w:pPr>
              <w:keepNext/>
              <w:spacing w:before="60" w:after="60"/>
              <w:ind w:left="34"/>
              <w:rPr>
                <w:szCs w:val="22"/>
              </w:rPr>
            </w:pPr>
            <w:r w:rsidRPr="001D3D27">
              <w:t>South Australia financial commitments</w:t>
            </w:r>
          </w:p>
        </w:tc>
        <w:tc>
          <w:tcPr>
            <w:tcW w:w="1657" w:type="dxa"/>
            <w:tcBorders>
              <w:top w:val="nil"/>
              <w:bottom w:val="single" w:sz="12" w:space="0" w:color="44546A" w:themeColor="text2"/>
            </w:tcBorders>
            <w:tcMar>
              <w:top w:w="0" w:type="dxa"/>
              <w:left w:w="108" w:type="dxa"/>
              <w:bottom w:w="0" w:type="dxa"/>
              <w:right w:w="108" w:type="dxa"/>
            </w:tcMar>
          </w:tcPr>
          <w:p w14:paraId="3BA8328F" w14:textId="76C2EC98" w:rsidR="00333DB6" w:rsidRPr="001D3D27" w:rsidRDefault="00333DB6" w:rsidP="00333DB6">
            <w:pPr>
              <w:spacing w:before="60" w:after="60"/>
              <w:jc w:val="right"/>
              <w:rPr>
                <w:rFonts w:ascii="Calibri" w:hAnsi="Calibri" w:cs="Calibri"/>
                <w:color w:val="000000"/>
                <w:szCs w:val="22"/>
              </w:rPr>
            </w:pPr>
            <w:r w:rsidRPr="001D3D27">
              <w:t>2,900,000</w:t>
            </w:r>
          </w:p>
        </w:tc>
        <w:tc>
          <w:tcPr>
            <w:tcW w:w="1658" w:type="dxa"/>
            <w:tcBorders>
              <w:top w:val="nil"/>
              <w:bottom w:val="single" w:sz="12" w:space="0" w:color="44546A" w:themeColor="text2"/>
            </w:tcBorders>
            <w:tcMar>
              <w:top w:w="0" w:type="dxa"/>
              <w:left w:w="108" w:type="dxa"/>
              <w:bottom w:w="0" w:type="dxa"/>
              <w:right w:w="108" w:type="dxa"/>
            </w:tcMar>
          </w:tcPr>
          <w:p w14:paraId="3EA86E0B" w14:textId="2EFB793B" w:rsidR="00333DB6" w:rsidRPr="001D3D27" w:rsidRDefault="00333DB6" w:rsidP="00333DB6">
            <w:pPr>
              <w:spacing w:before="60" w:after="60"/>
              <w:jc w:val="right"/>
              <w:rPr>
                <w:rFonts w:ascii="Calibri" w:hAnsi="Calibri" w:cs="Calibri"/>
                <w:color w:val="000000"/>
                <w:szCs w:val="22"/>
              </w:rPr>
            </w:pPr>
            <w:r w:rsidRPr="001D3D27">
              <w:t>12,800,000</w:t>
            </w:r>
          </w:p>
        </w:tc>
        <w:tc>
          <w:tcPr>
            <w:tcW w:w="1658" w:type="dxa"/>
            <w:tcBorders>
              <w:top w:val="nil"/>
              <w:bottom w:val="single" w:sz="12" w:space="0" w:color="44546A" w:themeColor="text2"/>
            </w:tcBorders>
            <w:tcMar>
              <w:top w:w="0" w:type="dxa"/>
              <w:left w:w="108" w:type="dxa"/>
              <w:bottom w:w="0" w:type="dxa"/>
              <w:right w:w="108" w:type="dxa"/>
            </w:tcMar>
          </w:tcPr>
          <w:p w14:paraId="5E926A85" w14:textId="0066A993" w:rsidR="00333DB6" w:rsidRPr="001D3D27" w:rsidRDefault="00333DB6" w:rsidP="00333DB6">
            <w:pPr>
              <w:spacing w:before="60" w:after="60"/>
              <w:jc w:val="right"/>
            </w:pPr>
            <w:r w:rsidRPr="001D3D27">
              <w:t>12,900,000</w:t>
            </w:r>
          </w:p>
        </w:tc>
        <w:tc>
          <w:tcPr>
            <w:tcW w:w="1657" w:type="dxa"/>
            <w:tcBorders>
              <w:top w:val="nil"/>
              <w:bottom w:val="single" w:sz="12" w:space="0" w:color="44546A" w:themeColor="text2"/>
            </w:tcBorders>
            <w:tcMar>
              <w:top w:w="0" w:type="dxa"/>
              <w:left w:w="108" w:type="dxa"/>
              <w:bottom w:w="0" w:type="dxa"/>
              <w:right w:w="108" w:type="dxa"/>
            </w:tcMar>
          </w:tcPr>
          <w:p w14:paraId="320D57F2" w14:textId="7D841768" w:rsidR="00333DB6" w:rsidRPr="001D3D27" w:rsidRDefault="00333DB6" w:rsidP="00333DB6">
            <w:pPr>
              <w:spacing w:before="60" w:after="60"/>
              <w:jc w:val="right"/>
            </w:pPr>
            <w:r w:rsidRPr="001D3D27">
              <w:t>16,400,000</w:t>
            </w:r>
          </w:p>
        </w:tc>
        <w:tc>
          <w:tcPr>
            <w:tcW w:w="1658" w:type="dxa"/>
            <w:tcBorders>
              <w:top w:val="nil"/>
              <w:bottom w:val="single" w:sz="12" w:space="0" w:color="44546A" w:themeColor="text2"/>
            </w:tcBorders>
          </w:tcPr>
          <w:p w14:paraId="240098C5" w14:textId="7FA80490" w:rsidR="00333DB6" w:rsidRPr="001D3D27" w:rsidRDefault="00333DB6" w:rsidP="00333DB6">
            <w:pPr>
              <w:spacing w:before="60" w:after="60"/>
              <w:jc w:val="right"/>
            </w:pPr>
            <w:r w:rsidRPr="001D3D27">
              <w:t>16,800,000</w:t>
            </w:r>
          </w:p>
        </w:tc>
        <w:tc>
          <w:tcPr>
            <w:tcW w:w="1658" w:type="dxa"/>
            <w:tcBorders>
              <w:top w:val="nil"/>
              <w:bottom w:val="single" w:sz="12" w:space="0" w:color="44546A" w:themeColor="text2"/>
            </w:tcBorders>
            <w:tcMar>
              <w:top w:w="0" w:type="dxa"/>
              <w:left w:w="108" w:type="dxa"/>
              <w:bottom w:w="0" w:type="dxa"/>
              <w:right w:w="108" w:type="dxa"/>
            </w:tcMar>
          </w:tcPr>
          <w:p w14:paraId="44F39A68" w14:textId="60FFB99D" w:rsidR="00333DB6" w:rsidRPr="001D3D27" w:rsidRDefault="701EA2CA" w:rsidP="5F4DCC5D">
            <w:pPr>
              <w:spacing w:before="60" w:after="60"/>
              <w:jc w:val="right"/>
            </w:pPr>
            <w:r>
              <w:t>18,374,720</w:t>
            </w:r>
          </w:p>
        </w:tc>
        <w:tc>
          <w:tcPr>
            <w:tcW w:w="1658" w:type="dxa"/>
            <w:tcBorders>
              <w:top w:val="nil"/>
              <w:bottom w:val="single" w:sz="12" w:space="0" w:color="44546A" w:themeColor="text2"/>
            </w:tcBorders>
            <w:tcMar>
              <w:top w:w="0" w:type="dxa"/>
              <w:left w:w="108" w:type="dxa"/>
              <w:bottom w:w="0" w:type="dxa"/>
              <w:right w:w="108" w:type="dxa"/>
            </w:tcMar>
          </w:tcPr>
          <w:p w14:paraId="50776A29" w14:textId="521FD45F" w:rsidR="00333DB6" w:rsidRPr="001D3D27" w:rsidRDefault="16855E32" w:rsidP="5F4DCC5D">
            <w:pPr>
              <w:spacing w:before="60" w:after="60"/>
              <w:jc w:val="right"/>
            </w:pPr>
            <w:r>
              <w:t>80,174,720</w:t>
            </w:r>
          </w:p>
        </w:tc>
      </w:tr>
    </w:tbl>
    <w:bookmarkEnd w:id="5"/>
    <w:p w14:paraId="18F4806A" w14:textId="77777777" w:rsidR="003A1F0E" w:rsidRPr="005E4A1B" w:rsidRDefault="003A1F0E" w:rsidP="003A1F0E">
      <w:pPr>
        <w:rPr>
          <w:sz w:val="18"/>
          <w:szCs w:val="18"/>
        </w:rPr>
      </w:pPr>
      <w:r w:rsidRPr="005E4A1B">
        <w:rPr>
          <w:sz w:val="18"/>
          <w:szCs w:val="18"/>
        </w:rPr>
        <w:t xml:space="preserve">Notes: </w:t>
      </w:r>
    </w:p>
    <w:p w14:paraId="76EF2A49" w14:textId="77777777" w:rsidR="003A1F0E" w:rsidRPr="005E4A1B" w:rsidRDefault="003A1F0E" w:rsidP="003A1F0E">
      <w:pPr>
        <w:pStyle w:val="ListParagraph"/>
        <w:numPr>
          <w:ilvl w:val="0"/>
          <w:numId w:val="2"/>
        </w:numPr>
        <w:spacing w:after="0"/>
        <w:rPr>
          <w:sz w:val="18"/>
          <w:szCs w:val="18"/>
        </w:rPr>
      </w:pPr>
      <w:r w:rsidRPr="005E4A1B">
        <w:rPr>
          <w:sz w:val="18"/>
          <w:szCs w:val="18"/>
        </w:rPr>
        <w:t>Other Commonwealth payments include payments to the Primary Health Network to commission services in support of services and activities funded under this Schedule.</w:t>
      </w:r>
    </w:p>
    <w:p w14:paraId="5036332C" w14:textId="77777777" w:rsidR="003A1F0E" w:rsidRPr="005E4A1B" w:rsidRDefault="003A1F0E" w:rsidP="003A1F0E">
      <w:pPr>
        <w:pStyle w:val="ListParagraph"/>
        <w:numPr>
          <w:ilvl w:val="0"/>
          <w:numId w:val="2"/>
        </w:numPr>
        <w:spacing w:after="0"/>
        <w:rPr>
          <w:sz w:val="18"/>
          <w:szCs w:val="18"/>
        </w:rPr>
      </w:pPr>
      <w:r w:rsidRPr="005E4A1B">
        <w:rPr>
          <w:sz w:val="18"/>
          <w:szCs w:val="18"/>
        </w:rPr>
        <w:t xml:space="preserve">In line with the provisions Addendum to the National Health Reform Agreement 2020-2025, the Commonwealth will not fund patient services through the NHRA if the same service, or any part of the same service, is funded through this Schedule or any other Commonwealth program.  </w:t>
      </w:r>
    </w:p>
    <w:p w14:paraId="4A55F42D" w14:textId="77777777" w:rsidR="003A1F0E" w:rsidRPr="005E4A1B" w:rsidRDefault="003A1F0E" w:rsidP="003A1F0E">
      <w:pPr>
        <w:pStyle w:val="ListParagraph"/>
        <w:numPr>
          <w:ilvl w:val="0"/>
          <w:numId w:val="2"/>
        </w:numPr>
        <w:spacing w:after="0"/>
        <w:rPr>
          <w:sz w:val="18"/>
          <w:szCs w:val="18"/>
        </w:rPr>
      </w:pPr>
      <w:r w:rsidRPr="005E4A1B">
        <w:rPr>
          <w:sz w:val="18"/>
          <w:szCs w:val="18"/>
        </w:rPr>
        <w:t xml:space="preserve">As the figures are rounded, there may be some discrepancies with the total figures provided. </w:t>
      </w:r>
    </w:p>
    <w:p w14:paraId="3B680C52" w14:textId="51EA12FD" w:rsidR="003A1F0E" w:rsidRPr="005E4A1B" w:rsidRDefault="003A1F0E" w:rsidP="003A1F0E">
      <w:pPr>
        <w:rPr>
          <w:b/>
          <w:bCs/>
          <w:sz w:val="24"/>
          <w:szCs w:val="22"/>
        </w:rPr>
      </w:pPr>
      <w:r w:rsidRPr="005E4A1B">
        <w:rPr>
          <w:b/>
          <w:bCs/>
          <w:sz w:val="24"/>
          <w:szCs w:val="22"/>
        </w:rPr>
        <w:br w:type="column"/>
      </w:r>
      <w:r w:rsidRPr="005E4A1B">
        <w:rPr>
          <w:b/>
          <w:bCs/>
          <w:sz w:val="24"/>
          <w:szCs w:val="22"/>
        </w:rPr>
        <w:lastRenderedPageBreak/>
        <w:t>Table 2: Detailed Financial Contributions</w:t>
      </w:r>
    </w:p>
    <w:tbl>
      <w:tblPr>
        <w:tblW w:w="15450"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4562"/>
        <w:gridCol w:w="1191"/>
        <w:gridCol w:w="1012"/>
        <w:gridCol w:w="17"/>
        <w:gridCol w:w="311"/>
        <w:gridCol w:w="1056"/>
        <w:gridCol w:w="18"/>
        <w:gridCol w:w="260"/>
        <w:gridCol w:w="1107"/>
        <w:gridCol w:w="19"/>
        <w:gridCol w:w="208"/>
        <w:gridCol w:w="1158"/>
        <w:gridCol w:w="20"/>
        <w:gridCol w:w="343"/>
        <w:gridCol w:w="1022"/>
        <w:gridCol w:w="115"/>
        <w:gridCol w:w="115"/>
        <w:gridCol w:w="1291"/>
        <w:gridCol w:w="115"/>
        <w:gridCol w:w="172"/>
        <w:gridCol w:w="1338"/>
      </w:tblGrid>
      <w:tr w:rsidR="008B7467" w:rsidRPr="005E4A1B" w14:paraId="0C3B6FAB" w14:textId="77777777" w:rsidTr="5F4DCC5D">
        <w:trPr>
          <w:cantSplit/>
          <w:trHeight w:val="273"/>
          <w:tblHeader/>
        </w:trPr>
        <w:tc>
          <w:tcPr>
            <w:tcW w:w="5753" w:type="dxa"/>
            <w:gridSpan w:val="2"/>
            <w:tcBorders>
              <w:top w:val="single" w:sz="4" w:space="0" w:color="auto"/>
              <w:left w:val="nil"/>
              <w:bottom w:val="single" w:sz="4" w:space="0" w:color="auto"/>
              <w:right w:val="nil"/>
            </w:tcBorders>
            <w:tcMar>
              <w:top w:w="0" w:type="dxa"/>
              <w:left w:w="108" w:type="dxa"/>
              <w:bottom w:w="0" w:type="dxa"/>
              <w:right w:w="57" w:type="dxa"/>
            </w:tcMar>
            <w:hideMark/>
          </w:tcPr>
          <w:p w14:paraId="21AD8327" w14:textId="77777777" w:rsidR="0028500B" w:rsidRPr="001D3D27" w:rsidRDefault="0028500B" w:rsidP="003056A9">
            <w:pPr>
              <w:keepLines/>
              <w:spacing w:before="40" w:after="40" w:line="256" w:lineRule="auto"/>
              <w:ind w:left="-111"/>
              <w:rPr>
                <w:rFonts w:cstheme="minorHAnsi"/>
                <w:b/>
                <w:sz w:val="21"/>
                <w:szCs w:val="21"/>
              </w:rPr>
            </w:pPr>
            <w:r w:rsidRPr="001D3D27">
              <w:rPr>
                <w:rFonts w:cstheme="minorHAnsi"/>
                <w:b/>
                <w:sz w:val="21"/>
                <w:szCs w:val="21"/>
              </w:rPr>
              <w:t>($)</w:t>
            </w:r>
          </w:p>
        </w:tc>
        <w:tc>
          <w:tcPr>
            <w:tcW w:w="1340" w:type="dxa"/>
            <w:gridSpan w:val="3"/>
            <w:tcBorders>
              <w:top w:val="single" w:sz="4" w:space="0" w:color="auto"/>
              <w:left w:val="nil"/>
              <w:bottom w:val="single" w:sz="4" w:space="0" w:color="auto"/>
              <w:right w:val="nil"/>
            </w:tcBorders>
            <w:hideMark/>
          </w:tcPr>
          <w:p w14:paraId="188D2F16" w14:textId="77777777" w:rsidR="0028500B" w:rsidRPr="001D3D27" w:rsidRDefault="0028500B" w:rsidP="003056A9">
            <w:pPr>
              <w:keepLines/>
              <w:spacing w:before="40" w:after="40" w:line="256" w:lineRule="auto"/>
              <w:jc w:val="right"/>
              <w:rPr>
                <w:rFonts w:cstheme="minorHAnsi"/>
                <w:b/>
                <w:sz w:val="21"/>
                <w:szCs w:val="21"/>
              </w:rPr>
            </w:pPr>
            <w:r w:rsidRPr="001D3D27">
              <w:rPr>
                <w:rFonts w:cstheme="minorHAnsi"/>
                <w:b/>
                <w:sz w:val="21"/>
                <w:szCs w:val="21"/>
              </w:rPr>
              <w:t>2021-22</w:t>
            </w:r>
          </w:p>
        </w:tc>
        <w:tc>
          <w:tcPr>
            <w:tcW w:w="1334" w:type="dxa"/>
            <w:gridSpan w:val="3"/>
            <w:tcBorders>
              <w:top w:val="single" w:sz="4" w:space="0" w:color="auto"/>
              <w:left w:val="nil"/>
              <w:bottom w:val="single" w:sz="4" w:space="0" w:color="auto"/>
              <w:right w:val="nil"/>
            </w:tcBorders>
            <w:hideMark/>
          </w:tcPr>
          <w:p w14:paraId="7B541024" w14:textId="77777777" w:rsidR="0028500B" w:rsidRPr="001D3D27" w:rsidRDefault="0028500B" w:rsidP="003056A9">
            <w:pPr>
              <w:keepLines/>
              <w:spacing w:before="40" w:after="40" w:line="256" w:lineRule="auto"/>
              <w:jc w:val="right"/>
              <w:rPr>
                <w:rFonts w:cstheme="minorHAnsi"/>
                <w:b/>
                <w:sz w:val="21"/>
                <w:szCs w:val="21"/>
              </w:rPr>
            </w:pPr>
            <w:r w:rsidRPr="001D3D27">
              <w:rPr>
                <w:rFonts w:cstheme="minorHAnsi"/>
                <w:b/>
                <w:sz w:val="21"/>
                <w:szCs w:val="21"/>
              </w:rPr>
              <w:t>2022-23</w:t>
            </w:r>
          </w:p>
        </w:tc>
        <w:tc>
          <w:tcPr>
            <w:tcW w:w="1334" w:type="dxa"/>
            <w:gridSpan w:val="3"/>
            <w:tcBorders>
              <w:top w:val="single" w:sz="4" w:space="0" w:color="auto"/>
              <w:left w:val="nil"/>
              <w:bottom w:val="single" w:sz="4" w:space="0" w:color="auto"/>
              <w:right w:val="nil"/>
            </w:tcBorders>
            <w:hideMark/>
          </w:tcPr>
          <w:p w14:paraId="62FC3B46" w14:textId="77777777" w:rsidR="0028500B" w:rsidRPr="001D3D27" w:rsidRDefault="0028500B" w:rsidP="003056A9">
            <w:pPr>
              <w:keepLines/>
              <w:spacing w:before="40" w:after="40" w:line="256" w:lineRule="auto"/>
              <w:jc w:val="right"/>
              <w:rPr>
                <w:rFonts w:cstheme="minorHAnsi"/>
                <w:b/>
                <w:sz w:val="21"/>
                <w:szCs w:val="21"/>
              </w:rPr>
            </w:pPr>
            <w:r w:rsidRPr="001D3D27">
              <w:rPr>
                <w:rFonts w:cstheme="minorHAnsi"/>
                <w:b/>
                <w:sz w:val="21"/>
                <w:szCs w:val="21"/>
              </w:rPr>
              <w:t>2023-24</w:t>
            </w:r>
          </w:p>
        </w:tc>
        <w:tc>
          <w:tcPr>
            <w:tcW w:w="1521" w:type="dxa"/>
            <w:gridSpan w:val="3"/>
            <w:tcBorders>
              <w:top w:val="single" w:sz="4" w:space="0" w:color="auto"/>
              <w:left w:val="nil"/>
              <w:bottom w:val="single" w:sz="4" w:space="0" w:color="auto"/>
              <w:right w:val="nil"/>
            </w:tcBorders>
            <w:hideMark/>
          </w:tcPr>
          <w:p w14:paraId="017AD290" w14:textId="77777777" w:rsidR="0028500B" w:rsidRPr="001D3D27" w:rsidRDefault="0028500B" w:rsidP="003056A9">
            <w:pPr>
              <w:keepLines/>
              <w:spacing w:before="40" w:after="40" w:line="256" w:lineRule="auto"/>
              <w:jc w:val="right"/>
              <w:rPr>
                <w:rFonts w:cstheme="minorHAnsi"/>
                <w:b/>
                <w:sz w:val="21"/>
                <w:szCs w:val="21"/>
              </w:rPr>
            </w:pPr>
            <w:r w:rsidRPr="001D3D27">
              <w:rPr>
                <w:rFonts w:cstheme="minorHAnsi"/>
                <w:b/>
                <w:sz w:val="21"/>
                <w:szCs w:val="21"/>
              </w:rPr>
              <w:t>2024-25</w:t>
            </w:r>
          </w:p>
        </w:tc>
        <w:tc>
          <w:tcPr>
            <w:tcW w:w="1252" w:type="dxa"/>
            <w:gridSpan w:val="3"/>
            <w:tcBorders>
              <w:top w:val="single" w:sz="4" w:space="0" w:color="auto"/>
              <w:left w:val="nil"/>
              <w:bottom w:val="single" w:sz="4" w:space="0" w:color="auto"/>
              <w:right w:val="nil"/>
            </w:tcBorders>
            <w:hideMark/>
          </w:tcPr>
          <w:p w14:paraId="5FEC8187" w14:textId="77777777" w:rsidR="0028500B" w:rsidRPr="001D3D27" w:rsidRDefault="0028500B" w:rsidP="003056A9">
            <w:pPr>
              <w:keepLines/>
              <w:spacing w:before="40" w:after="40" w:line="256" w:lineRule="auto"/>
              <w:jc w:val="right"/>
              <w:rPr>
                <w:rFonts w:cstheme="minorHAnsi"/>
                <w:b/>
                <w:sz w:val="21"/>
                <w:szCs w:val="21"/>
              </w:rPr>
            </w:pPr>
            <w:r w:rsidRPr="001D3D27">
              <w:rPr>
                <w:rFonts w:cstheme="minorHAnsi"/>
                <w:b/>
                <w:sz w:val="21"/>
                <w:szCs w:val="21"/>
              </w:rPr>
              <w:t>2025-26</w:t>
            </w:r>
          </w:p>
        </w:tc>
        <w:tc>
          <w:tcPr>
            <w:tcW w:w="1578" w:type="dxa"/>
            <w:gridSpan w:val="3"/>
            <w:tcBorders>
              <w:top w:val="single" w:sz="4" w:space="0" w:color="auto"/>
              <w:left w:val="nil"/>
              <w:bottom w:val="single" w:sz="4" w:space="0" w:color="auto"/>
              <w:right w:val="nil"/>
            </w:tcBorders>
          </w:tcPr>
          <w:p w14:paraId="6202A1C9" w14:textId="6BE11588" w:rsidR="0028500B" w:rsidRPr="001D3D27" w:rsidRDefault="0028500B" w:rsidP="003056A9">
            <w:pPr>
              <w:keepLines/>
              <w:spacing w:before="40" w:after="40" w:line="256" w:lineRule="auto"/>
              <w:jc w:val="right"/>
              <w:rPr>
                <w:rFonts w:cstheme="minorHAnsi"/>
                <w:b/>
                <w:sz w:val="21"/>
                <w:szCs w:val="21"/>
              </w:rPr>
            </w:pPr>
            <w:r w:rsidRPr="001D3D27">
              <w:rPr>
                <w:rFonts w:cstheme="minorHAnsi"/>
                <w:b/>
                <w:sz w:val="21"/>
                <w:szCs w:val="21"/>
              </w:rPr>
              <w:t>2026</w:t>
            </w:r>
            <w:r w:rsidR="00EC7BED" w:rsidRPr="001D3D27">
              <w:rPr>
                <w:rFonts w:cstheme="minorHAnsi"/>
                <w:b/>
                <w:sz w:val="21"/>
                <w:szCs w:val="21"/>
              </w:rPr>
              <w:t>-27</w:t>
            </w:r>
          </w:p>
        </w:tc>
        <w:tc>
          <w:tcPr>
            <w:tcW w:w="1338" w:type="dxa"/>
            <w:tcBorders>
              <w:top w:val="single" w:sz="4" w:space="0" w:color="auto"/>
              <w:left w:val="nil"/>
              <w:bottom w:val="single" w:sz="4" w:space="0" w:color="auto"/>
              <w:right w:val="nil"/>
            </w:tcBorders>
            <w:hideMark/>
          </w:tcPr>
          <w:p w14:paraId="0F32001F" w14:textId="3E4E6EEF" w:rsidR="0028500B" w:rsidRPr="001D3D27" w:rsidRDefault="0028500B" w:rsidP="003056A9">
            <w:pPr>
              <w:keepLines/>
              <w:spacing w:before="40" w:after="40" w:line="256" w:lineRule="auto"/>
              <w:jc w:val="right"/>
              <w:rPr>
                <w:rFonts w:cstheme="minorHAnsi"/>
                <w:b/>
                <w:sz w:val="21"/>
                <w:szCs w:val="21"/>
              </w:rPr>
            </w:pPr>
            <w:r w:rsidRPr="001D3D27">
              <w:rPr>
                <w:rFonts w:cstheme="minorHAnsi"/>
                <w:b/>
                <w:sz w:val="21"/>
                <w:szCs w:val="21"/>
              </w:rPr>
              <w:t>Total</w:t>
            </w:r>
          </w:p>
        </w:tc>
      </w:tr>
      <w:tr w:rsidR="00E44A1B" w:rsidRPr="005E4A1B" w14:paraId="1B3E682A" w14:textId="77777777" w:rsidTr="5F4DCC5D">
        <w:trPr>
          <w:cantSplit/>
          <w:trHeight w:val="273"/>
        </w:trPr>
        <w:tc>
          <w:tcPr>
            <w:tcW w:w="5753" w:type="dxa"/>
            <w:gridSpan w:val="2"/>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57" w:type="dxa"/>
            </w:tcMar>
            <w:hideMark/>
          </w:tcPr>
          <w:p w14:paraId="5F37B4C2" w14:textId="77777777" w:rsidR="0028500B" w:rsidRPr="001D3D27" w:rsidRDefault="0028500B" w:rsidP="003056A9">
            <w:pPr>
              <w:keepLines/>
              <w:spacing w:before="40" w:after="40" w:line="256" w:lineRule="auto"/>
              <w:ind w:left="-111"/>
              <w:rPr>
                <w:rFonts w:cstheme="minorHAnsi"/>
                <w:b/>
                <w:sz w:val="21"/>
                <w:szCs w:val="21"/>
              </w:rPr>
            </w:pPr>
            <w:r w:rsidRPr="001D3D27">
              <w:rPr>
                <w:rFonts w:cstheme="minorHAnsi"/>
                <w:b/>
                <w:sz w:val="24"/>
                <w:szCs w:val="24"/>
              </w:rPr>
              <w:t>Commonwealth contribution</w:t>
            </w:r>
          </w:p>
        </w:tc>
        <w:tc>
          <w:tcPr>
            <w:tcW w:w="1340" w:type="dxa"/>
            <w:gridSpan w:val="3"/>
            <w:tcBorders>
              <w:top w:val="single" w:sz="4" w:space="0" w:color="auto"/>
              <w:left w:val="nil"/>
              <w:bottom w:val="single" w:sz="4" w:space="0" w:color="auto"/>
              <w:right w:val="nil"/>
            </w:tcBorders>
            <w:shd w:val="clear" w:color="auto" w:fill="D9D9D9" w:themeFill="background1" w:themeFillShade="D9"/>
            <w:hideMark/>
          </w:tcPr>
          <w:p w14:paraId="771E54CF" w14:textId="77777777" w:rsidR="0028500B" w:rsidRPr="001D3D27" w:rsidRDefault="0028500B" w:rsidP="003056A9">
            <w:pPr>
              <w:keepLines/>
              <w:spacing w:before="40" w:after="40" w:line="256" w:lineRule="auto"/>
              <w:jc w:val="right"/>
              <w:rPr>
                <w:rFonts w:cstheme="minorHAnsi"/>
                <w:b/>
                <w:sz w:val="21"/>
                <w:szCs w:val="21"/>
              </w:rPr>
            </w:pPr>
            <w:r w:rsidRPr="001D3D27">
              <w:rPr>
                <w:rFonts w:cstheme="minorHAnsi"/>
                <w:b/>
                <w:sz w:val="21"/>
                <w:szCs w:val="21"/>
              </w:rPr>
              <w:t>($)</w:t>
            </w:r>
          </w:p>
        </w:tc>
        <w:tc>
          <w:tcPr>
            <w:tcW w:w="1334" w:type="dxa"/>
            <w:gridSpan w:val="3"/>
            <w:tcBorders>
              <w:top w:val="single" w:sz="4" w:space="0" w:color="auto"/>
              <w:left w:val="nil"/>
              <w:bottom w:val="single" w:sz="4" w:space="0" w:color="auto"/>
              <w:right w:val="nil"/>
            </w:tcBorders>
            <w:shd w:val="clear" w:color="auto" w:fill="D9D9D9" w:themeFill="background1" w:themeFillShade="D9"/>
            <w:hideMark/>
          </w:tcPr>
          <w:p w14:paraId="61A87D56" w14:textId="77777777" w:rsidR="0028500B" w:rsidRPr="001D3D27" w:rsidRDefault="0028500B" w:rsidP="003056A9">
            <w:pPr>
              <w:keepLines/>
              <w:spacing w:before="40" w:after="40" w:line="256" w:lineRule="auto"/>
              <w:jc w:val="right"/>
              <w:rPr>
                <w:rFonts w:cstheme="minorHAnsi"/>
                <w:b/>
                <w:sz w:val="21"/>
                <w:szCs w:val="21"/>
              </w:rPr>
            </w:pPr>
            <w:r w:rsidRPr="001D3D27">
              <w:rPr>
                <w:rFonts w:cstheme="minorHAnsi"/>
                <w:b/>
                <w:sz w:val="21"/>
                <w:szCs w:val="21"/>
              </w:rPr>
              <w:t>($)</w:t>
            </w:r>
          </w:p>
        </w:tc>
        <w:tc>
          <w:tcPr>
            <w:tcW w:w="1334" w:type="dxa"/>
            <w:gridSpan w:val="3"/>
            <w:tcBorders>
              <w:top w:val="single" w:sz="4" w:space="0" w:color="auto"/>
              <w:left w:val="nil"/>
              <w:bottom w:val="single" w:sz="4" w:space="0" w:color="auto"/>
              <w:right w:val="nil"/>
            </w:tcBorders>
            <w:shd w:val="clear" w:color="auto" w:fill="D9D9D9" w:themeFill="background1" w:themeFillShade="D9"/>
            <w:hideMark/>
          </w:tcPr>
          <w:p w14:paraId="17DD3B10" w14:textId="77777777" w:rsidR="0028500B" w:rsidRPr="001D3D27" w:rsidRDefault="0028500B" w:rsidP="003056A9">
            <w:pPr>
              <w:keepLines/>
              <w:spacing w:before="40" w:after="40" w:line="256" w:lineRule="auto"/>
              <w:jc w:val="right"/>
              <w:rPr>
                <w:rFonts w:cstheme="minorHAnsi"/>
                <w:b/>
                <w:sz w:val="21"/>
                <w:szCs w:val="21"/>
              </w:rPr>
            </w:pPr>
            <w:r w:rsidRPr="001D3D27">
              <w:rPr>
                <w:rFonts w:cstheme="minorHAnsi"/>
                <w:b/>
                <w:sz w:val="21"/>
                <w:szCs w:val="21"/>
              </w:rPr>
              <w:t>($)</w:t>
            </w:r>
          </w:p>
        </w:tc>
        <w:tc>
          <w:tcPr>
            <w:tcW w:w="1521" w:type="dxa"/>
            <w:gridSpan w:val="3"/>
            <w:tcBorders>
              <w:top w:val="single" w:sz="4" w:space="0" w:color="auto"/>
              <w:left w:val="nil"/>
              <w:bottom w:val="single" w:sz="4" w:space="0" w:color="auto"/>
              <w:right w:val="nil"/>
            </w:tcBorders>
            <w:shd w:val="clear" w:color="auto" w:fill="D9D9D9" w:themeFill="background1" w:themeFillShade="D9"/>
            <w:hideMark/>
          </w:tcPr>
          <w:p w14:paraId="1D2FA118" w14:textId="77777777" w:rsidR="0028500B" w:rsidRPr="001D3D27" w:rsidRDefault="0028500B" w:rsidP="003056A9">
            <w:pPr>
              <w:keepLines/>
              <w:spacing w:before="40" w:after="40" w:line="256" w:lineRule="auto"/>
              <w:jc w:val="right"/>
              <w:rPr>
                <w:rFonts w:cstheme="minorHAnsi"/>
                <w:b/>
                <w:sz w:val="21"/>
                <w:szCs w:val="21"/>
              </w:rPr>
            </w:pPr>
            <w:r w:rsidRPr="001D3D27">
              <w:rPr>
                <w:rFonts w:cstheme="minorHAnsi"/>
                <w:b/>
                <w:sz w:val="21"/>
                <w:szCs w:val="21"/>
              </w:rPr>
              <w:t>($)</w:t>
            </w:r>
          </w:p>
        </w:tc>
        <w:tc>
          <w:tcPr>
            <w:tcW w:w="1252" w:type="dxa"/>
            <w:gridSpan w:val="3"/>
            <w:tcBorders>
              <w:top w:val="single" w:sz="4" w:space="0" w:color="auto"/>
              <w:left w:val="nil"/>
              <w:bottom w:val="single" w:sz="4" w:space="0" w:color="auto"/>
              <w:right w:val="nil"/>
            </w:tcBorders>
            <w:shd w:val="clear" w:color="auto" w:fill="D9D9D9" w:themeFill="background1" w:themeFillShade="D9"/>
            <w:hideMark/>
          </w:tcPr>
          <w:p w14:paraId="4743C5BF" w14:textId="77777777" w:rsidR="0028500B" w:rsidRPr="001D3D27" w:rsidRDefault="0028500B" w:rsidP="003056A9">
            <w:pPr>
              <w:keepLines/>
              <w:spacing w:before="40" w:after="40" w:line="256" w:lineRule="auto"/>
              <w:jc w:val="right"/>
              <w:rPr>
                <w:rFonts w:cstheme="minorHAnsi"/>
                <w:b/>
                <w:sz w:val="21"/>
                <w:szCs w:val="21"/>
              </w:rPr>
            </w:pPr>
            <w:r w:rsidRPr="001D3D27">
              <w:rPr>
                <w:rFonts w:cstheme="minorHAnsi"/>
                <w:b/>
                <w:sz w:val="21"/>
                <w:szCs w:val="21"/>
              </w:rPr>
              <w:t>($)</w:t>
            </w:r>
          </w:p>
        </w:tc>
        <w:tc>
          <w:tcPr>
            <w:tcW w:w="1578" w:type="dxa"/>
            <w:gridSpan w:val="3"/>
            <w:tcBorders>
              <w:top w:val="single" w:sz="4" w:space="0" w:color="auto"/>
              <w:left w:val="nil"/>
              <w:bottom w:val="single" w:sz="4" w:space="0" w:color="auto"/>
              <w:right w:val="nil"/>
            </w:tcBorders>
            <w:shd w:val="clear" w:color="auto" w:fill="D9D9D9" w:themeFill="background1" w:themeFillShade="D9"/>
          </w:tcPr>
          <w:p w14:paraId="70CA7E05" w14:textId="1C997538" w:rsidR="0028500B" w:rsidRPr="001D3D27" w:rsidRDefault="00EC7BED" w:rsidP="005F6234">
            <w:pPr>
              <w:keepLines/>
              <w:spacing w:before="40" w:after="40" w:line="256" w:lineRule="auto"/>
              <w:jc w:val="right"/>
              <w:rPr>
                <w:rFonts w:cstheme="minorHAnsi"/>
                <w:b/>
                <w:sz w:val="21"/>
                <w:szCs w:val="21"/>
              </w:rPr>
            </w:pPr>
            <w:r w:rsidRPr="001D3D27">
              <w:rPr>
                <w:rFonts w:cstheme="minorHAnsi"/>
                <w:b/>
                <w:sz w:val="21"/>
                <w:szCs w:val="21"/>
              </w:rPr>
              <w:t>($)</w:t>
            </w:r>
          </w:p>
        </w:tc>
        <w:tc>
          <w:tcPr>
            <w:tcW w:w="1338" w:type="dxa"/>
            <w:tcBorders>
              <w:top w:val="single" w:sz="4" w:space="0" w:color="auto"/>
              <w:left w:val="nil"/>
              <w:bottom w:val="single" w:sz="4" w:space="0" w:color="auto"/>
              <w:right w:val="nil"/>
            </w:tcBorders>
            <w:shd w:val="clear" w:color="auto" w:fill="D9D9D9" w:themeFill="background1" w:themeFillShade="D9"/>
            <w:hideMark/>
          </w:tcPr>
          <w:p w14:paraId="0E061ACA" w14:textId="6355E1F6" w:rsidR="0028500B" w:rsidRPr="001D3D27" w:rsidRDefault="0028500B" w:rsidP="003056A9">
            <w:pPr>
              <w:keepLines/>
              <w:spacing w:before="40" w:after="40" w:line="256" w:lineRule="auto"/>
              <w:jc w:val="right"/>
              <w:rPr>
                <w:rFonts w:cstheme="minorHAnsi"/>
                <w:b/>
                <w:sz w:val="21"/>
                <w:szCs w:val="21"/>
              </w:rPr>
            </w:pPr>
            <w:r w:rsidRPr="001D3D27">
              <w:rPr>
                <w:rFonts w:cstheme="minorHAnsi"/>
                <w:b/>
                <w:sz w:val="21"/>
                <w:szCs w:val="21"/>
              </w:rPr>
              <w:t>($)</w:t>
            </w:r>
          </w:p>
        </w:tc>
      </w:tr>
      <w:tr w:rsidR="005F6234" w:rsidRPr="005E4A1B" w14:paraId="746E1BD7" w14:textId="77777777" w:rsidTr="5F4DCC5D">
        <w:trPr>
          <w:cantSplit/>
          <w:trHeight w:val="232"/>
        </w:trPr>
        <w:tc>
          <w:tcPr>
            <w:tcW w:w="5753" w:type="dxa"/>
            <w:gridSpan w:val="2"/>
            <w:tcBorders>
              <w:top w:val="single" w:sz="4" w:space="0" w:color="auto"/>
              <w:left w:val="nil"/>
              <w:bottom w:val="nil"/>
              <w:right w:val="nil"/>
            </w:tcBorders>
            <w:tcMar>
              <w:top w:w="0" w:type="dxa"/>
              <w:left w:w="108" w:type="dxa"/>
              <w:bottom w:w="0" w:type="dxa"/>
              <w:right w:w="57" w:type="dxa"/>
            </w:tcMar>
            <w:hideMark/>
          </w:tcPr>
          <w:p w14:paraId="442ED040" w14:textId="77777777" w:rsidR="0028500B" w:rsidRPr="001D3D27" w:rsidRDefault="0028500B" w:rsidP="008A0535">
            <w:pPr>
              <w:keepLines/>
              <w:spacing w:before="60" w:after="60" w:line="256" w:lineRule="auto"/>
              <w:ind w:left="34"/>
              <w:rPr>
                <w:rFonts w:cstheme="minorHAnsi"/>
                <w:sz w:val="20"/>
              </w:rPr>
            </w:pPr>
            <w:r w:rsidRPr="001D3D27">
              <w:rPr>
                <w:b/>
                <w:bCs/>
                <w:sz w:val="20"/>
                <w:lang w:eastAsia="en-AU"/>
              </w:rPr>
              <w:t xml:space="preserve">Commonwealth payments to </w:t>
            </w:r>
            <w:r w:rsidRPr="001D3D27">
              <w:rPr>
                <w:b/>
                <w:bCs/>
                <w:sz w:val="20"/>
              </w:rPr>
              <w:t xml:space="preserve">South Australia </w:t>
            </w:r>
          </w:p>
        </w:tc>
        <w:tc>
          <w:tcPr>
            <w:tcW w:w="1340" w:type="dxa"/>
            <w:gridSpan w:val="3"/>
            <w:tcBorders>
              <w:top w:val="single" w:sz="4" w:space="0" w:color="auto"/>
              <w:left w:val="nil"/>
              <w:bottom w:val="nil"/>
              <w:right w:val="nil"/>
            </w:tcBorders>
            <w:hideMark/>
          </w:tcPr>
          <w:p w14:paraId="52F7FB8B" w14:textId="77777777" w:rsidR="0028500B" w:rsidRPr="001D3D27" w:rsidRDefault="0028500B" w:rsidP="001A7CD0">
            <w:pPr>
              <w:keepLines/>
              <w:spacing w:before="40" w:after="40" w:line="256" w:lineRule="auto"/>
              <w:jc w:val="right"/>
              <w:rPr>
                <w:rFonts w:ascii="Calibri" w:hAnsi="Calibri" w:cs="Calibri"/>
                <w:b/>
                <w:sz w:val="20"/>
              </w:rPr>
            </w:pPr>
            <w:r w:rsidRPr="001D3D27">
              <w:rPr>
                <w:rFonts w:ascii="Calibri" w:hAnsi="Calibri" w:cs="Calibri"/>
                <w:b/>
                <w:sz w:val="20"/>
              </w:rPr>
              <w:t xml:space="preserve">- </w:t>
            </w:r>
          </w:p>
        </w:tc>
        <w:tc>
          <w:tcPr>
            <w:tcW w:w="1334" w:type="dxa"/>
            <w:gridSpan w:val="3"/>
            <w:tcBorders>
              <w:top w:val="single" w:sz="4" w:space="0" w:color="auto"/>
              <w:left w:val="nil"/>
              <w:bottom w:val="nil"/>
              <w:right w:val="nil"/>
            </w:tcBorders>
            <w:hideMark/>
          </w:tcPr>
          <w:p w14:paraId="0E79EA9A" w14:textId="77777777" w:rsidR="0028500B" w:rsidRPr="001D3D27" w:rsidRDefault="0028500B" w:rsidP="001A7CD0">
            <w:pPr>
              <w:keepLines/>
              <w:spacing w:before="40" w:after="40" w:line="256" w:lineRule="auto"/>
              <w:jc w:val="right"/>
              <w:rPr>
                <w:rFonts w:ascii="Calibri" w:hAnsi="Calibri" w:cs="Calibri"/>
                <w:b/>
                <w:sz w:val="20"/>
              </w:rPr>
            </w:pPr>
            <w:r w:rsidRPr="001D3D27">
              <w:rPr>
                <w:rFonts w:ascii="Calibri" w:hAnsi="Calibri" w:cs="Calibri"/>
                <w:b/>
                <w:sz w:val="20"/>
              </w:rPr>
              <w:t>400,000</w:t>
            </w:r>
          </w:p>
        </w:tc>
        <w:tc>
          <w:tcPr>
            <w:tcW w:w="1334" w:type="dxa"/>
            <w:gridSpan w:val="3"/>
            <w:tcBorders>
              <w:top w:val="single" w:sz="4" w:space="0" w:color="auto"/>
              <w:left w:val="nil"/>
              <w:bottom w:val="nil"/>
              <w:right w:val="nil"/>
            </w:tcBorders>
            <w:hideMark/>
          </w:tcPr>
          <w:p w14:paraId="7629C705" w14:textId="1C5145B8" w:rsidR="0028500B" w:rsidRPr="001D3D27" w:rsidRDefault="0028500B" w:rsidP="001A7CD0">
            <w:pPr>
              <w:keepLines/>
              <w:spacing w:before="40" w:after="40" w:line="256" w:lineRule="auto"/>
              <w:jc w:val="right"/>
              <w:rPr>
                <w:rFonts w:ascii="Calibri" w:hAnsi="Calibri" w:cs="Calibri"/>
                <w:b/>
                <w:bCs/>
                <w:sz w:val="20"/>
              </w:rPr>
            </w:pPr>
            <w:r w:rsidRPr="001D3D27">
              <w:rPr>
                <w:b/>
                <w:bCs/>
                <w:sz w:val="20"/>
              </w:rPr>
              <w:t>7,437,000</w:t>
            </w:r>
          </w:p>
        </w:tc>
        <w:tc>
          <w:tcPr>
            <w:tcW w:w="1521" w:type="dxa"/>
            <w:gridSpan w:val="3"/>
            <w:tcBorders>
              <w:top w:val="single" w:sz="4" w:space="0" w:color="auto"/>
              <w:left w:val="nil"/>
              <w:bottom w:val="nil"/>
              <w:right w:val="nil"/>
            </w:tcBorders>
            <w:hideMark/>
          </w:tcPr>
          <w:p w14:paraId="3BC50A0C" w14:textId="612B9778" w:rsidR="0028500B" w:rsidRPr="001D3D27" w:rsidRDefault="0028500B" w:rsidP="001A7CD0">
            <w:pPr>
              <w:keepLines/>
              <w:spacing w:before="40" w:after="40" w:line="256" w:lineRule="auto"/>
              <w:jc w:val="right"/>
              <w:rPr>
                <w:rFonts w:cstheme="minorHAnsi"/>
                <w:b/>
                <w:bCs/>
                <w:sz w:val="20"/>
              </w:rPr>
            </w:pPr>
            <w:r w:rsidRPr="001D3D27">
              <w:rPr>
                <w:rFonts w:cstheme="minorHAnsi"/>
                <w:b/>
                <w:color w:val="000000"/>
                <w:sz w:val="20"/>
              </w:rPr>
              <w:t>9,174,415</w:t>
            </w:r>
          </w:p>
        </w:tc>
        <w:tc>
          <w:tcPr>
            <w:tcW w:w="1252" w:type="dxa"/>
            <w:gridSpan w:val="3"/>
            <w:tcBorders>
              <w:top w:val="single" w:sz="4" w:space="0" w:color="auto"/>
              <w:left w:val="nil"/>
              <w:bottom w:val="nil"/>
              <w:right w:val="nil"/>
            </w:tcBorders>
            <w:hideMark/>
          </w:tcPr>
          <w:p w14:paraId="111F3253" w14:textId="2818FB70" w:rsidR="0028500B" w:rsidRPr="001D3D27" w:rsidRDefault="0028500B" w:rsidP="001A7CD0">
            <w:pPr>
              <w:keepLines/>
              <w:spacing w:before="40" w:after="40" w:line="256" w:lineRule="auto"/>
              <w:jc w:val="right"/>
              <w:rPr>
                <w:rFonts w:cstheme="minorHAnsi"/>
                <w:b/>
                <w:bCs/>
                <w:sz w:val="20"/>
              </w:rPr>
            </w:pPr>
            <w:r w:rsidRPr="001D3D27">
              <w:rPr>
                <w:rFonts w:cstheme="minorHAnsi"/>
                <w:b/>
                <w:color w:val="000000"/>
                <w:sz w:val="20"/>
              </w:rPr>
              <w:t>9,413,465</w:t>
            </w:r>
          </w:p>
        </w:tc>
        <w:tc>
          <w:tcPr>
            <w:tcW w:w="1578" w:type="dxa"/>
            <w:gridSpan w:val="3"/>
            <w:tcBorders>
              <w:top w:val="single" w:sz="4" w:space="0" w:color="auto"/>
              <w:left w:val="nil"/>
              <w:bottom w:val="nil"/>
              <w:right w:val="nil"/>
            </w:tcBorders>
          </w:tcPr>
          <w:p w14:paraId="16132033" w14:textId="387E9AA4" w:rsidR="0028500B" w:rsidRPr="001D3D27" w:rsidRDefault="00A600A7" w:rsidP="001A7CD0">
            <w:pPr>
              <w:keepLines/>
              <w:spacing w:before="40" w:after="40" w:line="256" w:lineRule="auto"/>
              <w:jc w:val="right"/>
              <w:rPr>
                <w:rFonts w:cstheme="minorHAnsi"/>
                <w:b/>
                <w:color w:val="000000"/>
                <w:sz w:val="20"/>
              </w:rPr>
            </w:pPr>
            <w:r w:rsidRPr="001D3D27">
              <w:rPr>
                <w:rFonts w:cstheme="minorHAnsi"/>
                <w:b/>
                <w:color w:val="000000"/>
                <w:sz w:val="20"/>
              </w:rPr>
              <w:t>9</w:t>
            </w:r>
            <w:r w:rsidR="00E97D12" w:rsidRPr="001D3D27">
              <w:rPr>
                <w:rFonts w:cstheme="minorHAnsi"/>
                <w:b/>
                <w:color w:val="000000"/>
                <w:sz w:val="20"/>
              </w:rPr>
              <w:t>,</w:t>
            </w:r>
            <w:r w:rsidRPr="001D3D27">
              <w:rPr>
                <w:rFonts w:cstheme="minorHAnsi"/>
                <w:b/>
                <w:color w:val="000000"/>
                <w:sz w:val="20"/>
              </w:rPr>
              <w:t>7</w:t>
            </w:r>
            <w:r w:rsidR="006960D6" w:rsidRPr="001D3D27">
              <w:rPr>
                <w:rFonts w:cstheme="minorHAnsi"/>
                <w:b/>
                <w:color w:val="000000"/>
                <w:sz w:val="20"/>
              </w:rPr>
              <w:t>62,151</w:t>
            </w:r>
          </w:p>
        </w:tc>
        <w:tc>
          <w:tcPr>
            <w:tcW w:w="1338" w:type="dxa"/>
            <w:tcBorders>
              <w:top w:val="single" w:sz="4" w:space="0" w:color="auto"/>
              <w:left w:val="nil"/>
              <w:bottom w:val="nil"/>
              <w:right w:val="nil"/>
            </w:tcBorders>
            <w:hideMark/>
          </w:tcPr>
          <w:p w14:paraId="74DA43F6" w14:textId="3C365D7D" w:rsidR="0028500B" w:rsidRPr="001D3D27" w:rsidRDefault="006960D6" w:rsidP="001A7CD0">
            <w:pPr>
              <w:keepLines/>
              <w:spacing w:before="40" w:after="40" w:line="256" w:lineRule="auto"/>
              <w:jc w:val="right"/>
              <w:rPr>
                <w:rFonts w:cstheme="minorHAnsi"/>
                <w:b/>
                <w:bCs/>
                <w:sz w:val="20"/>
              </w:rPr>
            </w:pPr>
            <w:r w:rsidRPr="001D3D27">
              <w:rPr>
                <w:rFonts w:cstheme="minorHAnsi"/>
                <w:b/>
                <w:color w:val="000000"/>
                <w:sz w:val="20"/>
              </w:rPr>
              <w:t>36,</w:t>
            </w:r>
            <w:r w:rsidR="00985783" w:rsidRPr="001D3D27">
              <w:rPr>
                <w:rFonts w:cstheme="minorHAnsi"/>
                <w:b/>
                <w:color w:val="000000"/>
                <w:sz w:val="20"/>
              </w:rPr>
              <w:t>1</w:t>
            </w:r>
            <w:r w:rsidRPr="001D3D27">
              <w:rPr>
                <w:rFonts w:cstheme="minorHAnsi"/>
                <w:b/>
                <w:color w:val="000000"/>
                <w:sz w:val="20"/>
              </w:rPr>
              <w:t>87,031</w:t>
            </w:r>
          </w:p>
        </w:tc>
      </w:tr>
      <w:tr w:rsidR="005F6234" w:rsidRPr="005E4A1B" w14:paraId="53680BD2" w14:textId="77777777" w:rsidTr="5F4DCC5D">
        <w:trPr>
          <w:cantSplit/>
          <w:trHeight w:val="357"/>
        </w:trPr>
        <w:tc>
          <w:tcPr>
            <w:tcW w:w="5753" w:type="dxa"/>
            <w:gridSpan w:val="2"/>
            <w:tcBorders>
              <w:top w:val="nil"/>
              <w:left w:val="nil"/>
              <w:bottom w:val="nil"/>
              <w:right w:val="nil"/>
            </w:tcBorders>
            <w:tcMar>
              <w:top w:w="0" w:type="dxa"/>
              <w:left w:w="108" w:type="dxa"/>
              <w:bottom w:w="0" w:type="dxa"/>
              <w:right w:w="57" w:type="dxa"/>
            </w:tcMar>
          </w:tcPr>
          <w:p w14:paraId="3F2F0177" w14:textId="0CAD4BF8" w:rsidR="0028500B" w:rsidRPr="001D3D27" w:rsidRDefault="40A3E6F7" w:rsidP="6245677E">
            <w:pPr>
              <w:keepLines/>
              <w:spacing w:before="60" w:after="60" w:line="256" w:lineRule="auto"/>
              <w:ind w:left="34"/>
              <w:rPr>
                <w:sz w:val="20"/>
                <w:lang w:eastAsia="en-AU"/>
              </w:rPr>
            </w:pPr>
            <w:r w:rsidRPr="001D3D27">
              <w:rPr>
                <w:rFonts w:ascii="Calibri" w:eastAsia="Calibri" w:hAnsi="Calibri" w:cs="Calibri"/>
                <w:sz w:val="20"/>
              </w:rPr>
              <w:t xml:space="preserve"> Adult mental health centre and satellite network (Medicare Mental Health Centres)</w:t>
            </w:r>
          </w:p>
        </w:tc>
        <w:tc>
          <w:tcPr>
            <w:tcW w:w="1340" w:type="dxa"/>
            <w:gridSpan w:val="3"/>
            <w:tcBorders>
              <w:top w:val="nil"/>
              <w:left w:val="nil"/>
              <w:bottom w:val="nil"/>
              <w:right w:val="nil"/>
            </w:tcBorders>
          </w:tcPr>
          <w:p w14:paraId="0957FD89" w14:textId="77777777" w:rsidR="0028500B" w:rsidRPr="001D3D27" w:rsidRDefault="0028500B" w:rsidP="001A7CD0">
            <w:pPr>
              <w:keepLines/>
              <w:spacing w:before="40" w:after="40" w:line="256" w:lineRule="auto"/>
              <w:jc w:val="right"/>
              <w:rPr>
                <w:rFonts w:ascii="Calibri" w:hAnsi="Calibri" w:cs="Calibri"/>
                <w:sz w:val="20"/>
              </w:rPr>
            </w:pPr>
          </w:p>
        </w:tc>
        <w:tc>
          <w:tcPr>
            <w:tcW w:w="1334" w:type="dxa"/>
            <w:gridSpan w:val="3"/>
            <w:tcBorders>
              <w:top w:val="nil"/>
              <w:left w:val="nil"/>
              <w:bottom w:val="nil"/>
              <w:right w:val="nil"/>
            </w:tcBorders>
          </w:tcPr>
          <w:p w14:paraId="0FA6394E" w14:textId="77777777" w:rsidR="0028500B" w:rsidRPr="001D3D27" w:rsidRDefault="0028500B" w:rsidP="001A7CD0">
            <w:pPr>
              <w:keepLines/>
              <w:spacing w:before="40" w:after="40" w:line="256" w:lineRule="auto"/>
              <w:jc w:val="right"/>
              <w:rPr>
                <w:rFonts w:ascii="Calibri" w:hAnsi="Calibri" w:cs="Calibri"/>
                <w:sz w:val="20"/>
              </w:rPr>
            </w:pPr>
          </w:p>
        </w:tc>
        <w:tc>
          <w:tcPr>
            <w:tcW w:w="1334" w:type="dxa"/>
            <w:gridSpan w:val="3"/>
            <w:tcBorders>
              <w:top w:val="nil"/>
              <w:left w:val="nil"/>
              <w:bottom w:val="nil"/>
              <w:right w:val="nil"/>
            </w:tcBorders>
          </w:tcPr>
          <w:p w14:paraId="76F11237" w14:textId="77777777" w:rsidR="0028500B" w:rsidRPr="001D3D27" w:rsidRDefault="0028500B" w:rsidP="001A7CD0">
            <w:pPr>
              <w:keepLines/>
              <w:spacing w:before="40" w:after="40" w:line="256" w:lineRule="auto"/>
              <w:jc w:val="right"/>
              <w:rPr>
                <w:rFonts w:cstheme="minorHAnsi"/>
                <w:bCs/>
                <w:sz w:val="20"/>
              </w:rPr>
            </w:pPr>
          </w:p>
        </w:tc>
        <w:tc>
          <w:tcPr>
            <w:tcW w:w="1521" w:type="dxa"/>
            <w:gridSpan w:val="3"/>
            <w:tcBorders>
              <w:top w:val="nil"/>
              <w:left w:val="nil"/>
              <w:bottom w:val="nil"/>
              <w:right w:val="nil"/>
            </w:tcBorders>
          </w:tcPr>
          <w:p w14:paraId="1954C09E" w14:textId="77777777" w:rsidR="0028500B" w:rsidRPr="001D3D27" w:rsidRDefault="0028500B" w:rsidP="001A7CD0">
            <w:pPr>
              <w:keepLines/>
              <w:spacing w:before="40" w:after="40" w:line="256" w:lineRule="auto"/>
              <w:jc w:val="right"/>
              <w:rPr>
                <w:rFonts w:cstheme="minorHAnsi"/>
                <w:bCs/>
                <w:sz w:val="20"/>
              </w:rPr>
            </w:pPr>
          </w:p>
        </w:tc>
        <w:tc>
          <w:tcPr>
            <w:tcW w:w="1252" w:type="dxa"/>
            <w:gridSpan w:val="3"/>
            <w:tcBorders>
              <w:top w:val="nil"/>
              <w:left w:val="nil"/>
              <w:bottom w:val="nil"/>
              <w:right w:val="nil"/>
            </w:tcBorders>
          </w:tcPr>
          <w:p w14:paraId="636E31F5" w14:textId="77777777" w:rsidR="0028500B" w:rsidRPr="001D3D27" w:rsidRDefault="0028500B" w:rsidP="001A7CD0">
            <w:pPr>
              <w:keepLines/>
              <w:spacing w:before="40" w:after="40" w:line="256" w:lineRule="auto"/>
              <w:jc w:val="right"/>
              <w:rPr>
                <w:rFonts w:cstheme="minorHAnsi"/>
                <w:bCs/>
                <w:sz w:val="20"/>
              </w:rPr>
            </w:pPr>
          </w:p>
        </w:tc>
        <w:tc>
          <w:tcPr>
            <w:tcW w:w="1578" w:type="dxa"/>
            <w:gridSpan w:val="3"/>
            <w:tcBorders>
              <w:top w:val="nil"/>
              <w:left w:val="nil"/>
              <w:bottom w:val="nil"/>
              <w:right w:val="nil"/>
            </w:tcBorders>
          </w:tcPr>
          <w:p w14:paraId="7378C94B" w14:textId="77777777" w:rsidR="0028500B" w:rsidRPr="001D3D27" w:rsidRDefault="0028500B" w:rsidP="001A7CD0">
            <w:pPr>
              <w:keepLines/>
              <w:spacing w:before="40" w:after="40" w:line="256" w:lineRule="auto"/>
              <w:jc w:val="right"/>
              <w:rPr>
                <w:rFonts w:ascii="Calibri" w:hAnsi="Calibri" w:cs="Calibri"/>
                <w:sz w:val="20"/>
              </w:rPr>
            </w:pPr>
          </w:p>
        </w:tc>
        <w:tc>
          <w:tcPr>
            <w:tcW w:w="1338" w:type="dxa"/>
            <w:tcBorders>
              <w:top w:val="nil"/>
              <w:left w:val="nil"/>
              <w:bottom w:val="nil"/>
              <w:right w:val="nil"/>
            </w:tcBorders>
          </w:tcPr>
          <w:p w14:paraId="157F6590" w14:textId="5D53D0A9" w:rsidR="0028500B" w:rsidRPr="001D3D27" w:rsidRDefault="0028500B" w:rsidP="001A7CD0">
            <w:pPr>
              <w:keepLines/>
              <w:spacing w:before="40" w:after="40" w:line="256" w:lineRule="auto"/>
              <w:jc w:val="right"/>
              <w:rPr>
                <w:rFonts w:ascii="Calibri" w:hAnsi="Calibri" w:cs="Calibri"/>
                <w:sz w:val="20"/>
              </w:rPr>
            </w:pPr>
          </w:p>
        </w:tc>
      </w:tr>
      <w:tr w:rsidR="005F6234" w:rsidRPr="005E4A1B" w14:paraId="400AFC51" w14:textId="77777777" w:rsidTr="5F4DCC5D">
        <w:trPr>
          <w:cantSplit/>
          <w:trHeight w:val="357"/>
        </w:trPr>
        <w:tc>
          <w:tcPr>
            <w:tcW w:w="5753" w:type="dxa"/>
            <w:gridSpan w:val="2"/>
            <w:tcBorders>
              <w:top w:val="nil"/>
              <w:left w:val="nil"/>
              <w:bottom w:val="nil"/>
              <w:right w:val="nil"/>
            </w:tcBorders>
            <w:tcMar>
              <w:top w:w="0" w:type="dxa"/>
              <w:left w:w="108" w:type="dxa"/>
              <w:bottom w:w="0" w:type="dxa"/>
              <w:right w:w="57" w:type="dxa"/>
            </w:tcMar>
          </w:tcPr>
          <w:p w14:paraId="599A4E34" w14:textId="3FEEAECA" w:rsidR="0028500B" w:rsidRPr="001D3D27" w:rsidRDefault="138BA23C" w:rsidP="6245677E">
            <w:pPr>
              <w:keepLines/>
              <w:spacing w:before="60" w:after="60" w:line="256" w:lineRule="auto"/>
              <w:ind w:left="318"/>
              <w:rPr>
                <w:sz w:val="20"/>
                <w:lang w:eastAsia="en-AU"/>
              </w:rPr>
            </w:pPr>
            <w:r w:rsidRPr="001D3D27">
              <w:rPr>
                <w:rFonts w:ascii="Calibri" w:eastAsia="Calibri" w:hAnsi="Calibri" w:cs="Calibri"/>
                <w:sz w:val="20"/>
              </w:rPr>
              <w:t xml:space="preserve"> Urgent Mental Health Care Centre (Commonwealth contribution)</w:t>
            </w:r>
          </w:p>
        </w:tc>
        <w:tc>
          <w:tcPr>
            <w:tcW w:w="1340" w:type="dxa"/>
            <w:gridSpan w:val="3"/>
            <w:tcBorders>
              <w:top w:val="nil"/>
              <w:left w:val="nil"/>
              <w:bottom w:val="nil"/>
              <w:right w:val="nil"/>
            </w:tcBorders>
          </w:tcPr>
          <w:p w14:paraId="0FB715B5" w14:textId="77777777" w:rsidR="0028500B" w:rsidRPr="001D3D27" w:rsidRDefault="0028500B" w:rsidP="001A7CD0">
            <w:pPr>
              <w:keepLines/>
              <w:spacing w:before="40" w:after="40" w:line="256" w:lineRule="auto"/>
              <w:jc w:val="right"/>
              <w:rPr>
                <w:rFonts w:ascii="Calibri" w:hAnsi="Calibri" w:cs="Calibri"/>
                <w:sz w:val="20"/>
              </w:rPr>
            </w:pPr>
            <w:r w:rsidRPr="001D3D27">
              <w:rPr>
                <w:rFonts w:ascii="Calibri" w:hAnsi="Calibri" w:cs="Calibri"/>
                <w:color w:val="000000"/>
                <w:sz w:val="20"/>
              </w:rPr>
              <w:t>-</w:t>
            </w:r>
          </w:p>
        </w:tc>
        <w:tc>
          <w:tcPr>
            <w:tcW w:w="1334" w:type="dxa"/>
            <w:gridSpan w:val="3"/>
            <w:tcBorders>
              <w:top w:val="nil"/>
              <w:left w:val="nil"/>
              <w:bottom w:val="nil"/>
              <w:right w:val="nil"/>
            </w:tcBorders>
          </w:tcPr>
          <w:p w14:paraId="7DC87B0B" w14:textId="77777777" w:rsidR="0028500B" w:rsidRPr="001D3D27" w:rsidRDefault="0028500B" w:rsidP="001A7CD0">
            <w:pPr>
              <w:keepLines/>
              <w:spacing w:before="40" w:after="40" w:line="256" w:lineRule="auto"/>
              <w:jc w:val="right"/>
              <w:rPr>
                <w:rFonts w:ascii="Calibri" w:hAnsi="Calibri" w:cs="Calibri"/>
                <w:sz w:val="20"/>
              </w:rPr>
            </w:pPr>
            <w:r w:rsidRPr="001D3D27">
              <w:rPr>
                <w:rFonts w:ascii="Calibri" w:hAnsi="Calibri" w:cs="Calibri"/>
                <w:color w:val="000000"/>
                <w:sz w:val="20"/>
              </w:rPr>
              <w:t>-</w:t>
            </w:r>
          </w:p>
        </w:tc>
        <w:tc>
          <w:tcPr>
            <w:tcW w:w="1334" w:type="dxa"/>
            <w:gridSpan w:val="3"/>
            <w:tcBorders>
              <w:top w:val="nil"/>
              <w:left w:val="nil"/>
              <w:bottom w:val="nil"/>
              <w:right w:val="nil"/>
            </w:tcBorders>
          </w:tcPr>
          <w:p w14:paraId="0F256157" w14:textId="77777777" w:rsidR="0028500B" w:rsidRPr="001D3D27" w:rsidRDefault="0028500B" w:rsidP="001A7CD0">
            <w:pPr>
              <w:keepLines/>
              <w:spacing w:before="40" w:after="40" w:line="256" w:lineRule="auto"/>
              <w:jc w:val="right"/>
              <w:rPr>
                <w:rFonts w:cstheme="minorHAnsi"/>
                <w:bCs/>
                <w:sz w:val="20"/>
              </w:rPr>
            </w:pPr>
            <w:r w:rsidRPr="001D3D27">
              <w:rPr>
                <w:rFonts w:ascii="Calibri" w:hAnsi="Calibri" w:cs="Calibri"/>
                <w:color w:val="000000"/>
                <w:sz w:val="20"/>
              </w:rPr>
              <w:t>-</w:t>
            </w:r>
          </w:p>
        </w:tc>
        <w:tc>
          <w:tcPr>
            <w:tcW w:w="1521" w:type="dxa"/>
            <w:gridSpan w:val="3"/>
            <w:tcBorders>
              <w:top w:val="nil"/>
              <w:left w:val="nil"/>
              <w:bottom w:val="nil"/>
              <w:right w:val="nil"/>
            </w:tcBorders>
          </w:tcPr>
          <w:p w14:paraId="28140253" w14:textId="77777777" w:rsidR="0028500B" w:rsidRPr="001D3D27" w:rsidRDefault="0028500B" w:rsidP="001A7CD0">
            <w:pPr>
              <w:keepLines/>
              <w:spacing w:before="40" w:after="40" w:line="256" w:lineRule="auto"/>
              <w:jc w:val="right"/>
              <w:rPr>
                <w:rFonts w:cstheme="minorHAnsi"/>
                <w:bCs/>
                <w:sz w:val="20"/>
              </w:rPr>
            </w:pPr>
            <w:r w:rsidRPr="001D3D27">
              <w:rPr>
                <w:rFonts w:ascii="Calibri" w:hAnsi="Calibri" w:cs="Calibri"/>
                <w:color w:val="000000"/>
                <w:sz w:val="20"/>
              </w:rPr>
              <w:t>4,143,415</w:t>
            </w:r>
          </w:p>
        </w:tc>
        <w:tc>
          <w:tcPr>
            <w:tcW w:w="1252" w:type="dxa"/>
            <w:gridSpan w:val="3"/>
            <w:tcBorders>
              <w:top w:val="nil"/>
              <w:left w:val="nil"/>
              <w:bottom w:val="nil"/>
              <w:right w:val="nil"/>
            </w:tcBorders>
          </w:tcPr>
          <w:p w14:paraId="22A9FB14" w14:textId="77777777" w:rsidR="0028500B" w:rsidRPr="001D3D27" w:rsidRDefault="0028500B" w:rsidP="001A7CD0">
            <w:pPr>
              <w:keepLines/>
              <w:spacing w:before="40" w:after="40" w:line="256" w:lineRule="auto"/>
              <w:jc w:val="right"/>
              <w:rPr>
                <w:rFonts w:cstheme="minorHAnsi"/>
                <w:bCs/>
                <w:sz w:val="20"/>
              </w:rPr>
            </w:pPr>
            <w:r w:rsidRPr="001D3D27">
              <w:rPr>
                <w:rFonts w:ascii="Calibri" w:hAnsi="Calibri" w:cs="Calibri"/>
                <w:color w:val="000000"/>
                <w:sz w:val="20"/>
              </w:rPr>
              <w:t>4,201,465</w:t>
            </w:r>
          </w:p>
        </w:tc>
        <w:tc>
          <w:tcPr>
            <w:tcW w:w="1578" w:type="dxa"/>
            <w:gridSpan w:val="3"/>
            <w:tcBorders>
              <w:top w:val="nil"/>
              <w:left w:val="nil"/>
              <w:bottom w:val="nil"/>
              <w:right w:val="nil"/>
            </w:tcBorders>
          </w:tcPr>
          <w:p w14:paraId="78FAACD9" w14:textId="6566CCB7" w:rsidR="0028500B" w:rsidRPr="001D3D27" w:rsidRDefault="19F6E6F9" w:rsidP="560F6DC5">
            <w:pPr>
              <w:keepLines/>
              <w:spacing w:before="40" w:after="40" w:line="256" w:lineRule="auto"/>
              <w:jc w:val="right"/>
              <w:rPr>
                <w:rFonts w:ascii="Calibri" w:eastAsia="Calibri" w:hAnsi="Calibri" w:cs="Calibri"/>
                <w:sz w:val="20"/>
              </w:rPr>
            </w:pPr>
            <w:r w:rsidRPr="560F6DC5">
              <w:rPr>
                <w:rFonts w:ascii="Calibri" w:eastAsia="Calibri" w:hAnsi="Calibri" w:cs="Calibri"/>
                <w:color w:val="000000" w:themeColor="text1"/>
                <w:sz w:val="20"/>
              </w:rPr>
              <w:t>4,</w:t>
            </w:r>
            <w:r w:rsidR="3B9FFEF7" w:rsidRPr="560F6DC5">
              <w:rPr>
                <w:rFonts w:ascii="Calibri" w:eastAsia="Calibri" w:hAnsi="Calibri" w:cs="Calibri"/>
                <w:color w:val="000000" w:themeColor="text1"/>
                <w:sz w:val="20"/>
              </w:rPr>
              <w:t>425,</w:t>
            </w:r>
            <w:r w:rsidR="73B6853F" w:rsidRPr="560F6DC5">
              <w:rPr>
                <w:rFonts w:ascii="Calibri" w:eastAsia="Calibri" w:hAnsi="Calibri" w:cs="Calibri"/>
                <w:color w:val="000000" w:themeColor="text1"/>
                <w:sz w:val="20"/>
              </w:rPr>
              <w:t>063</w:t>
            </w:r>
          </w:p>
        </w:tc>
        <w:tc>
          <w:tcPr>
            <w:tcW w:w="1338" w:type="dxa"/>
            <w:tcBorders>
              <w:top w:val="nil"/>
              <w:left w:val="nil"/>
              <w:bottom w:val="nil"/>
              <w:right w:val="nil"/>
            </w:tcBorders>
          </w:tcPr>
          <w:p w14:paraId="6E11E855" w14:textId="4A80B565" w:rsidR="0028500B" w:rsidRPr="001D3D27" w:rsidRDefault="00DC6BE3" w:rsidP="560F6DC5">
            <w:pPr>
              <w:keepLines/>
              <w:spacing w:before="40" w:after="40" w:line="256" w:lineRule="auto"/>
              <w:jc w:val="right"/>
              <w:rPr>
                <w:rFonts w:ascii="Calibri" w:eastAsia="Calibri" w:hAnsi="Calibri" w:cs="Calibri"/>
                <w:sz w:val="20"/>
              </w:rPr>
            </w:pPr>
            <w:r w:rsidRPr="560F6DC5">
              <w:rPr>
                <w:rFonts w:ascii="Calibri" w:eastAsia="Calibri" w:hAnsi="Calibri" w:cs="Calibri"/>
                <w:color w:val="000000" w:themeColor="text1"/>
                <w:sz w:val="20"/>
              </w:rPr>
              <w:t>12,</w:t>
            </w:r>
            <w:r w:rsidR="73B6853F" w:rsidRPr="560F6DC5">
              <w:rPr>
                <w:rFonts w:ascii="Calibri" w:eastAsia="Calibri" w:hAnsi="Calibri" w:cs="Calibri"/>
                <w:color w:val="000000" w:themeColor="text1"/>
                <w:sz w:val="20"/>
              </w:rPr>
              <w:t>769,943</w:t>
            </w:r>
          </w:p>
        </w:tc>
      </w:tr>
      <w:tr w:rsidR="005F6234" w:rsidRPr="005E4A1B" w14:paraId="5891DC74" w14:textId="77777777" w:rsidTr="5F4DCC5D">
        <w:trPr>
          <w:cantSplit/>
          <w:trHeight w:val="357"/>
        </w:trPr>
        <w:tc>
          <w:tcPr>
            <w:tcW w:w="5753" w:type="dxa"/>
            <w:gridSpan w:val="2"/>
            <w:tcBorders>
              <w:top w:val="nil"/>
              <w:left w:val="nil"/>
              <w:bottom w:val="nil"/>
              <w:right w:val="nil"/>
            </w:tcBorders>
            <w:tcMar>
              <w:top w:w="0" w:type="dxa"/>
              <w:left w:w="108" w:type="dxa"/>
              <w:bottom w:w="0" w:type="dxa"/>
              <w:right w:w="57" w:type="dxa"/>
            </w:tcMar>
          </w:tcPr>
          <w:p w14:paraId="007E7796" w14:textId="36BD0EA0" w:rsidR="0028500B" w:rsidRPr="001D3D27" w:rsidRDefault="0028500B" w:rsidP="008A0535">
            <w:pPr>
              <w:keepLines/>
              <w:spacing w:before="60" w:after="60" w:line="256" w:lineRule="auto"/>
              <w:rPr>
                <w:sz w:val="20"/>
                <w:lang w:eastAsia="en-AU"/>
              </w:rPr>
            </w:pPr>
            <w:r w:rsidRPr="001D3D27">
              <w:rPr>
                <w:sz w:val="20"/>
              </w:rPr>
              <w:t xml:space="preserve">Aboriginal </w:t>
            </w:r>
            <w:r w:rsidR="00FA2B42" w:rsidRPr="001D3D27">
              <w:rPr>
                <w:sz w:val="20"/>
              </w:rPr>
              <w:t xml:space="preserve">Social and </w:t>
            </w:r>
            <w:r w:rsidR="008D4698" w:rsidRPr="001D3D27">
              <w:rPr>
                <w:sz w:val="20"/>
              </w:rPr>
              <w:t>Emotional</w:t>
            </w:r>
            <w:r w:rsidRPr="001D3D27">
              <w:rPr>
                <w:sz w:val="20"/>
              </w:rPr>
              <w:t xml:space="preserve"> Wellbeing Centre</w:t>
            </w:r>
          </w:p>
        </w:tc>
        <w:tc>
          <w:tcPr>
            <w:tcW w:w="1340" w:type="dxa"/>
            <w:gridSpan w:val="3"/>
            <w:tcBorders>
              <w:top w:val="nil"/>
              <w:left w:val="nil"/>
              <w:bottom w:val="nil"/>
              <w:right w:val="nil"/>
            </w:tcBorders>
          </w:tcPr>
          <w:p w14:paraId="0EBE65E6" w14:textId="77777777" w:rsidR="0028500B" w:rsidRPr="001D3D27" w:rsidRDefault="0028500B" w:rsidP="001A7CD0">
            <w:pPr>
              <w:keepLines/>
              <w:spacing w:before="40" w:after="40" w:line="256" w:lineRule="auto"/>
              <w:jc w:val="right"/>
              <w:rPr>
                <w:rFonts w:ascii="Calibri" w:hAnsi="Calibri" w:cs="Calibri"/>
                <w:color w:val="000000"/>
                <w:sz w:val="20"/>
              </w:rPr>
            </w:pPr>
            <w:r w:rsidRPr="001D3D27">
              <w:rPr>
                <w:rFonts w:ascii="Calibri" w:hAnsi="Calibri" w:cs="Calibri"/>
                <w:color w:val="000000"/>
                <w:sz w:val="20"/>
              </w:rPr>
              <w:t>-</w:t>
            </w:r>
          </w:p>
        </w:tc>
        <w:tc>
          <w:tcPr>
            <w:tcW w:w="1334" w:type="dxa"/>
            <w:gridSpan w:val="3"/>
            <w:tcBorders>
              <w:top w:val="nil"/>
              <w:left w:val="nil"/>
              <w:bottom w:val="nil"/>
              <w:right w:val="nil"/>
            </w:tcBorders>
          </w:tcPr>
          <w:p w14:paraId="3957E912" w14:textId="77777777" w:rsidR="0028500B" w:rsidRPr="001D3D27" w:rsidRDefault="0028500B" w:rsidP="001A7CD0">
            <w:pPr>
              <w:keepLines/>
              <w:spacing w:before="40" w:after="40" w:line="256" w:lineRule="auto"/>
              <w:jc w:val="right"/>
              <w:rPr>
                <w:rFonts w:ascii="Calibri" w:hAnsi="Calibri" w:cs="Calibri"/>
                <w:color w:val="000000"/>
                <w:sz w:val="20"/>
              </w:rPr>
            </w:pPr>
            <w:r w:rsidRPr="001D3D27">
              <w:rPr>
                <w:rFonts w:ascii="Calibri" w:hAnsi="Calibri" w:cs="Calibri"/>
                <w:color w:val="000000"/>
                <w:sz w:val="20"/>
              </w:rPr>
              <w:t>-</w:t>
            </w:r>
          </w:p>
        </w:tc>
        <w:tc>
          <w:tcPr>
            <w:tcW w:w="1334" w:type="dxa"/>
            <w:gridSpan w:val="3"/>
            <w:tcBorders>
              <w:top w:val="nil"/>
              <w:left w:val="nil"/>
              <w:bottom w:val="nil"/>
              <w:right w:val="nil"/>
            </w:tcBorders>
          </w:tcPr>
          <w:p w14:paraId="7C952593" w14:textId="77777777" w:rsidR="0028500B" w:rsidRPr="001D3D27" w:rsidRDefault="0028500B" w:rsidP="001A7CD0">
            <w:pPr>
              <w:keepLines/>
              <w:spacing w:before="40" w:after="40" w:line="256" w:lineRule="auto"/>
              <w:jc w:val="right"/>
              <w:rPr>
                <w:rFonts w:ascii="Calibri" w:hAnsi="Calibri" w:cs="Calibri"/>
                <w:color w:val="000000"/>
                <w:sz w:val="20"/>
              </w:rPr>
            </w:pPr>
            <w:r w:rsidRPr="001D3D27">
              <w:rPr>
                <w:sz w:val="20"/>
              </w:rPr>
              <w:t>2,100,000</w:t>
            </w:r>
          </w:p>
        </w:tc>
        <w:tc>
          <w:tcPr>
            <w:tcW w:w="1521" w:type="dxa"/>
            <w:gridSpan w:val="3"/>
            <w:tcBorders>
              <w:top w:val="nil"/>
              <w:left w:val="nil"/>
              <w:bottom w:val="nil"/>
              <w:right w:val="nil"/>
            </w:tcBorders>
          </w:tcPr>
          <w:p w14:paraId="00CF6C3F" w14:textId="77777777" w:rsidR="0028500B" w:rsidRPr="001D3D27" w:rsidRDefault="0028500B" w:rsidP="001A7CD0">
            <w:pPr>
              <w:keepLines/>
              <w:spacing w:before="40" w:after="40" w:line="256" w:lineRule="auto"/>
              <w:jc w:val="right"/>
              <w:rPr>
                <w:rFonts w:ascii="Calibri" w:hAnsi="Calibri" w:cs="Calibri"/>
                <w:color w:val="000000"/>
                <w:sz w:val="20"/>
              </w:rPr>
            </w:pPr>
            <w:r w:rsidRPr="001D3D27">
              <w:rPr>
                <w:sz w:val="20"/>
              </w:rPr>
              <w:t>1,600,000</w:t>
            </w:r>
          </w:p>
        </w:tc>
        <w:tc>
          <w:tcPr>
            <w:tcW w:w="1252" w:type="dxa"/>
            <w:gridSpan w:val="3"/>
            <w:tcBorders>
              <w:top w:val="nil"/>
              <w:left w:val="nil"/>
              <w:bottom w:val="nil"/>
              <w:right w:val="nil"/>
            </w:tcBorders>
          </w:tcPr>
          <w:p w14:paraId="30785978" w14:textId="77777777" w:rsidR="0028500B" w:rsidRPr="001D3D27" w:rsidRDefault="0028500B" w:rsidP="001A7CD0">
            <w:pPr>
              <w:keepLines/>
              <w:spacing w:before="40" w:after="40" w:line="256" w:lineRule="auto"/>
              <w:jc w:val="right"/>
              <w:rPr>
                <w:rFonts w:ascii="Calibri" w:hAnsi="Calibri" w:cs="Calibri"/>
                <w:color w:val="000000"/>
                <w:sz w:val="20"/>
              </w:rPr>
            </w:pPr>
            <w:r w:rsidRPr="001D3D27">
              <w:rPr>
                <w:sz w:val="20"/>
              </w:rPr>
              <w:t>1,700,000</w:t>
            </w:r>
          </w:p>
        </w:tc>
        <w:tc>
          <w:tcPr>
            <w:tcW w:w="1578" w:type="dxa"/>
            <w:gridSpan w:val="3"/>
            <w:tcBorders>
              <w:top w:val="nil"/>
              <w:left w:val="nil"/>
              <w:bottom w:val="nil"/>
              <w:right w:val="nil"/>
            </w:tcBorders>
          </w:tcPr>
          <w:p w14:paraId="7EAE598F" w14:textId="70B5A380" w:rsidR="0028500B" w:rsidRPr="001D3D27" w:rsidRDefault="008D4698" w:rsidP="001A7CD0">
            <w:pPr>
              <w:keepLines/>
              <w:spacing w:before="40" w:after="40" w:line="256" w:lineRule="auto"/>
              <w:jc w:val="right"/>
              <w:rPr>
                <w:sz w:val="20"/>
              </w:rPr>
            </w:pPr>
            <w:r w:rsidRPr="001D3D27">
              <w:rPr>
                <w:sz w:val="20"/>
              </w:rPr>
              <w:t>1,740,800</w:t>
            </w:r>
          </w:p>
        </w:tc>
        <w:tc>
          <w:tcPr>
            <w:tcW w:w="1338" w:type="dxa"/>
            <w:tcBorders>
              <w:top w:val="nil"/>
              <w:left w:val="nil"/>
              <w:bottom w:val="nil"/>
              <w:right w:val="nil"/>
            </w:tcBorders>
          </w:tcPr>
          <w:p w14:paraId="140D2D5C" w14:textId="0DE6ED57" w:rsidR="0028500B" w:rsidRPr="001D3D27" w:rsidRDefault="00FA2B42" w:rsidP="001A7CD0">
            <w:pPr>
              <w:keepLines/>
              <w:spacing w:before="40" w:after="40" w:line="256" w:lineRule="auto"/>
              <w:jc w:val="right"/>
              <w:rPr>
                <w:rFonts w:ascii="Calibri" w:hAnsi="Calibri" w:cs="Calibri"/>
                <w:color w:val="000000"/>
                <w:sz w:val="20"/>
              </w:rPr>
            </w:pPr>
            <w:r w:rsidRPr="001D3D27">
              <w:rPr>
                <w:sz w:val="20"/>
              </w:rPr>
              <w:t>7,140,800</w:t>
            </w:r>
          </w:p>
        </w:tc>
      </w:tr>
      <w:tr w:rsidR="005F6234" w:rsidRPr="005E4A1B" w14:paraId="020125B7" w14:textId="77777777" w:rsidTr="5F4DCC5D">
        <w:trPr>
          <w:cantSplit/>
          <w:trHeight w:val="357"/>
        </w:trPr>
        <w:tc>
          <w:tcPr>
            <w:tcW w:w="5753" w:type="dxa"/>
            <w:gridSpan w:val="2"/>
            <w:tcBorders>
              <w:top w:val="nil"/>
              <w:left w:val="nil"/>
              <w:bottom w:val="nil"/>
              <w:right w:val="nil"/>
            </w:tcBorders>
            <w:tcMar>
              <w:top w:w="0" w:type="dxa"/>
              <w:left w:w="108" w:type="dxa"/>
              <w:bottom w:w="0" w:type="dxa"/>
              <w:right w:w="57" w:type="dxa"/>
            </w:tcMar>
          </w:tcPr>
          <w:p w14:paraId="6EC32EE8" w14:textId="77777777" w:rsidR="0028500B" w:rsidRPr="001D3D27" w:rsidRDefault="0028500B" w:rsidP="008A0535">
            <w:pPr>
              <w:keepLines/>
              <w:spacing w:before="60" w:after="60" w:line="256" w:lineRule="auto"/>
              <w:rPr>
                <w:sz w:val="20"/>
                <w:lang w:eastAsia="en-AU"/>
              </w:rPr>
            </w:pPr>
            <w:r w:rsidRPr="001D3D27">
              <w:rPr>
                <w:sz w:val="20"/>
              </w:rPr>
              <w:t>Investing in child mental health and wellbeing</w:t>
            </w:r>
          </w:p>
        </w:tc>
        <w:tc>
          <w:tcPr>
            <w:tcW w:w="1340" w:type="dxa"/>
            <w:gridSpan w:val="3"/>
            <w:tcBorders>
              <w:top w:val="nil"/>
              <w:left w:val="nil"/>
              <w:bottom w:val="nil"/>
              <w:right w:val="nil"/>
            </w:tcBorders>
          </w:tcPr>
          <w:p w14:paraId="50EB7DDB" w14:textId="77777777" w:rsidR="0028500B" w:rsidRPr="001D3D27" w:rsidRDefault="0028500B" w:rsidP="001A7CD0">
            <w:pPr>
              <w:keepLines/>
              <w:spacing w:before="40" w:after="40" w:line="256" w:lineRule="auto"/>
              <w:jc w:val="right"/>
              <w:rPr>
                <w:rFonts w:ascii="Calibri" w:hAnsi="Calibri" w:cs="Calibri"/>
                <w:color w:val="000000"/>
                <w:sz w:val="20"/>
              </w:rPr>
            </w:pPr>
            <w:r w:rsidRPr="001D3D27">
              <w:rPr>
                <w:rFonts w:ascii="Calibri" w:hAnsi="Calibri" w:cs="Calibri"/>
                <w:color w:val="000000"/>
                <w:sz w:val="20"/>
              </w:rPr>
              <w:t>-</w:t>
            </w:r>
          </w:p>
        </w:tc>
        <w:tc>
          <w:tcPr>
            <w:tcW w:w="1334" w:type="dxa"/>
            <w:gridSpan w:val="3"/>
            <w:tcBorders>
              <w:top w:val="nil"/>
              <w:left w:val="nil"/>
              <w:bottom w:val="nil"/>
              <w:right w:val="nil"/>
            </w:tcBorders>
          </w:tcPr>
          <w:p w14:paraId="754812E5" w14:textId="77777777" w:rsidR="0028500B" w:rsidRPr="001D3D27" w:rsidRDefault="0028500B" w:rsidP="001A7CD0">
            <w:pPr>
              <w:keepLines/>
              <w:spacing w:before="40" w:after="40" w:line="256" w:lineRule="auto"/>
              <w:jc w:val="right"/>
              <w:rPr>
                <w:rFonts w:ascii="Calibri" w:hAnsi="Calibri" w:cs="Calibri"/>
                <w:color w:val="000000"/>
                <w:sz w:val="20"/>
              </w:rPr>
            </w:pPr>
            <w:r w:rsidRPr="001D3D27">
              <w:rPr>
                <w:rFonts w:ascii="Calibri" w:hAnsi="Calibri" w:cs="Calibri"/>
                <w:color w:val="000000"/>
                <w:sz w:val="20"/>
              </w:rPr>
              <w:t>-</w:t>
            </w:r>
          </w:p>
        </w:tc>
        <w:tc>
          <w:tcPr>
            <w:tcW w:w="1334" w:type="dxa"/>
            <w:gridSpan w:val="3"/>
            <w:tcBorders>
              <w:top w:val="nil"/>
              <w:left w:val="nil"/>
              <w:bottom w:val="nil"/>
              <w:right w:val="nil"/>
            </w:tcBorders>
          </w:tcPr>
          <w:p w14:paraId="6909E150" w14:textId="77777777" w:rsidR="0028500B" w:rsidRPr="001D3D27" w:rsidRDefault="0028500B" w:rsidP="001A7CD0">
            <w:pPr>
              <w:keepLines/>
              <w:spacing w:before="40" w:after="40" w:line="256" w:lineRule="auto"/>
              <w:jc w:val="right"/>
              <w:rPr>
                <w:rFonts w:ascii="Calibri" w:hAnsi="Calibri" w:cs="Calibri"/>
                <w:color w:val="000000"/>
                <w:sz w:val="20"/>
              </w:rPr>
            </w:pPr>
            <w:r w:rsidRPr="001D3D27">
              <w:rPr>
                <w:sz w:val="20"/>
              </w:rPr>
              <w:t>5,337,000</w:t>
            </w:r>
          </w:p>
        </w:tc>
        <w:tc>
          <w:tcPr>
            <w:tcW w:w="1521" w:type="dxa"/>
            <w:gridSpan w:val="3"/>
            <w:tcBorders>
              <w:top w:val="nil"/>
              <w:left w:val="nil"/>
              <w:bottom w:val="nil"/>
              <w:right w:val="nil"/>
            </w:tcBorders>
          </w:tcPr>
          <w:p w14:paraId="3B15994C" w14:textId="77777777" w:rsidR="0028500B" w:rsidRPr="001D3D27" w:rsidRDefault="0028500B" w:rsidP="001A7CD0">
            <w:pPr>
              <w:keepLines/>
              <w:spacing w:before="40" w:after="40" w:line="256" w:lineRule="auto"/>
              <w:jc w:val="right"/>
              <w:rPr>
                <w:rFonts w:ascii="Calibri" w:hAnsi="Calibri" w:cs="Calibri"/>
                <w:color w:val="000000"/>
                <w:sz w:val="20"/>
              </w:rPr>
            </w:pPr>
            <w:r w:rsidRPr="001D3D27">
              <w:rPr>
                <w:sz w:val="20"/>
              </w:rPr>
              <w:t>3,431,000</w:t>
            </w:r>
          </w:p>
        </w:tc>
        <w:tc>
          <w:tcPr>
            <w:tcW w:w="1252" w:type="dxa"/>
            <w:gridSpan w:val="3"/>
            <w:tcBorders>
              <w:top w:val="nil"/>
              <w:left w:val="nil"/>
              <w:bottom w:val="nil"/>
              <w:right w:val="nil"/>
            </w:tcBorders>
          </w:tcPr>
          <w:p w14:paraId="46A6CD47" w14:textId="77777777" w:rsidR="0028500B" w:rsidRPr="001D3D27" w:rsidRDefault="0028500B" w:rsidP="001A7CD0">
            <w:pPr>
              <w:keepLines/>
              <w:spacing w:before="40" w:after="40" w:line="256" w:lineRule="auto"/>
              <w:jc w:val="right"/>
              <w:rPr>
                <w:rFonts w:ascii="Calibri" w:hAnsi="Calibri" w:cs="Calibri"/>
                <w:color w:val="000000"/>
                <w:sz w:val="20"/>
              </w:rPr>
            </w:pPr>
            <w:r w:rsidRPr="001D3D27">
              <w:rPr>
                <w:sz w:val="20"/>
              </w:rPr>
              <w:t>3,512,000</w:t>
            </w:r>
          </w:p>
        </w:tc>
        <w:tc>
          <w:tcPr>
            <w:tcW w:w="1578" w:type="dxa"/>
            <w:gridSpan w:val="3"/>
            <w:tcBorders>
              <w:top w:val="nil"/>
              <w:left w:val="nil"/>
              <w:bottom w:val="nil"/>
              <w:right w:val="nil"/>
            </w:tcBorders>
          </w:tcPr>
          <w:p w14:paraId="48B6AC78" w14:textId="2DD6398E" w:rsidR="0028500B" w:rsidRPr="001D3D27" w:rsidRDefault="00FB1630" w:rsidP="001A7CD0">
            <w:pPr>
              <w:keepLines/>
              <w:spacing w:before="40" w:after="40" w:line="256" w:lineRule="auto"/>
              <w:jc w:val="right"/>
              <w:rPr>
                <w:sz w:val="20"/>
              </w:rPr>
            </w:pPr>
            <w:r w:rsidRPr="001D3D27">
              <w:rPr>
                <w:sz w:val="20"/>
              </w:rPr>
              <w:t>3,596,288</w:t>
            </w:r>
          </w:p>
        </w:tc>
        <w:tc>
          <w:tcPr>
            <w:tcW w:w="1338" w:type="dxa"/>
            <w:tcBorders>
              <w:top w:val="nil"/>
              <w:left w:val="nil"/>
              <w:bottom w:val="nil"/>
              <w:right w:val="nil"/>
            </w:tcBorders>
          </w:tcPr>
          <w:p w14:paraId="081E0060" w14:textId="6F2BD495" w:rsidR="0028500B" w:rsidRPr="001D3D27" w:rsidRDefault="00FB1630" w:rsidP="001A7CD0">
            <w:pPr>
              <w:keepLines/>
              <w:spacing w:before="40" w:after="40" w:line="256" w:lineRule="auto"/>
              <w:jc w:val="right"/>
              <w:rPr>
                <w:rFonts w:ascii="Calibri" w:hAnsi="Calibri" w:cs="Calibri"/>
                <w:color w:val="000000"/>
                <w:sz w:val="20"/>
              </w:rPr>
            </w:pPr>
            <w:r w:rsidRPr="001D3D27">
              <w:rPr>
                <w:sz w:val="20"/>
              </w:rPr>
              <w:t>15,876,288</w:t>
            </w:r>
          </w:p>
        </w:tc>
      </w:tr>
      <w:tr w:rsidR="005F6234" w:rsidRPr="005E4A1B" w14:paraId="7358FD87" w14:textId="77777777" w:rsidTr="5F4DCC5D">
        <w:trPr>
          <w:cantSplit/>
          <w:trHeight w:val="357"/>
        </w:trPr>
        <w:tc>
          <w:tcPr>
            <w:tcW w:w="5753" w:type="dxa"/>
            <w:gridSpan w:val="2"/>
            <w:tcBorders>
              <w:top w:val="nil"/>
              <w:left w:val="nil"/>
              <w:bottom w:val="nil"/>
              <w:right w:val="nil"/>
            </w:tcBorders>
            <w:tcMar>
              <w:top w:w="0" w:type="dxa"/>
              <w:left w:w="108" w:type="dxa"/>
              <w:bottom w:w="0" w:type="dxa"/>
              <w:right w:w="57" w:type="dxa"/>
            </w:tcMar>
          </w:tcPr>
          <w:p w14:paraId="011091DC" w14:textId="77777777" w:rsidR="0028500B" w:rsidRPr="001D3D27" w:rsidRDefault="0028500B" w:rsidP="008A0535">
            <w:pPr>
              <w:keepLines/>
              <w:spacing w:before="60" w:after="60" w:line="256" w:lineRule="auto"/>
              <w:ind w:left="34"/>
              <w:rPr>
                <w:b/>
                <w:bCs/>
                <w:sz w:val="20"/>
                <w:lang w:eastAsia="en-AU"/>
              </w:rPr>
            </w:pPr>
            <w:r w:rsidRPr="001D3D27">
              <w:rPr>
                <w:sz w:val="20"/>
                <w:lang w:eastAsia="en-AU"/>
              </w:rPr>
              <w:t xml:space="preserve">IAR Tool </w:t>
            </w:r>
          </w:p>
        </w:tc>
        <w:tc>
          <w:tcPr>
            <w:tcW w:w="1340" w:type="dxa"/>
            <w:gridSpan w:val="3"/>
            <w:tcBorders>
              <w:top w:val="nil"/>
              <w:left w:val="nil"/>
              <w:bottom w:val="nil"/>
              <w:right w:val="nil"/>
            </w:tcBorders>
          </w:tcPr>
          <w:p w14:paraId="73B85720" w14:textId="77777777" w:rsidR="0028500B" w:rsidRPr="001D3D27" w:rsidRDefault="0028500B" w:rsidP="001A7CD0">
            <w:pPr>
              <w:keepLines/>
              <w:spacing w:before="40" w:after="40" w:line="256" w:lineRule="auto"/>
              <w:jc w:val="right"/>
              <w:rPr>
                <w:rFonts w:ascii="Calibri" w:hAnsi="Calibri" w:cs="Calibri"/>
                <w:b/>
                <w:sz w:val="20"/>
              </w:rPr>
            </w:pPr>
            <w:r w:rsidRPr="001D3D27">
              <w:rPr>
                <w:rFonts w:ascii="Calibri" w:hAnsi="Calibri" w:cs="Calibri"/>
                <w:sz w:val="20"/>
              </w:rPr>
              <w:t>-</w:t>
            </w:r>
          </w:p>
        </w:tc>
        <w:tc>
          <w:tcPr>
            <w:tcW w:w="1334" w:type="dxa"/>
            <w:gridSpan w:val="3"/>
            <w:tcBorders>
              <w:top w:val="nil"/>
              <w:left w:val="nil"/>
              <w:bottom w:val="nil"/>
              <w:right w:val="nil"/>
            </w:tcBorders>
          </w:tcPr>
          <w:p w14:paraId="01F34BED" w14:textId="77777777" w:rsidR="0028500B" w:rsidRPr="001D3D27" w:rsidRDefault="0028500B" w:rsidP="001A7CD0">
            <w:pPr>
              <w:keepLines/>
              <w:spacing w:before="40" w:after="40" w:line="256" w:lineRule="auto"/>
              <w:jc w:val="right"/>
              <w:rPr>
                <w:rFonts w:ascii="Calibri" w:hAnsi="Calibri" w:cs="Calibri"/>
                <w:b/>
                <w:sz w:val="20"/>
              </w:rPr>
            </w:pPr>
            <w:r w:rsidRPr="001D3D27">
              <w:rPr>
                <w:rFonts w:ascii="Calibri" w:hAnsi="Calibri" w:cs="Calibri"/>
                <w:sz w:val="20"/>
              </w:rPr>
              <w:t>200,000</w:t>
            </w:r>
          </w:p>
        </w:tc>
        <w:tc>
          <w:tcPr>
            <w:tcW w:w="1334" w:type="dxa"/>
            <w:gridSpan w:val="3"/>
            <w:tcBorders>
              <w:top w:val="nil"/>
              <w:left w:val="nil"/>
              <w:bottom w:val="nil"/>
              <w:right w:val="nil"/>
            </w:tcBorders>
          </w:tcPr>
          <w:p w14:paraId="6DB479B8" w14:textId="77777777" w:rsidR="0028500B" w:rsidRPr="001D3D27" w:rsidRDefault="0028500B" w:rsidP="001A7CD0">
            <w:pPr>
              <w:keepLines/>
              <w:spacing w:before="40" w:after="40" w:line="256" w:lineRule="auto"/>
              <w:jc w:val="right"/>
              <w:rPr>
                <w:rFonts w:ascii="Calibri" w:hAnsi="Calibri" w:cs="Calibri"/>
                <w:b/>
                <w:sz w:val="20"/>
              </w:rPr>
            </w:pPr>
            <w:r w:rsidRPr="001D3D27">
              <w:rPr>
                <w:rFonts w:cstheme="minorHAnsi"/>
                <w:bCs/>
                <w:sz w:val="20"/>
              </w:rPr>
              <w:t>-</w:t>
            </w:r>
          </w:p>
        </w:tc>
        <w:tc>
          <w:tcPr>
            <w:tcW w:w="1521" w:type="dxa"/>
            <w:gridSpan w:val="3"/>
            <w:tcBorders>
              <w:top w:val="nil"/>
              <w:left w:val="nil"/>
              <w:bottom w:val="nil"/>
              <w:right w:val="nil"/>
            </w:tcBorders>
          </w:tcPr>
          <w:p w14:paraId="3FAE71A5" w14:textId="77777777" w:rsidR="0028500B" w:rsidRPr="001D3D27" w:rsidRDefault="0028500B" w:rsidP="001A7CD0">
            <w:pPr>
              <w:keepLines/>
              <w:spacing w:before="40" w:after="40" w:line="256" w:lineRule="auto"/>
              <w:jc w:val="right"/>
              <w:rPr>
                <w:rFonts w:ascii="Calibri" w:hAnsi="Calibri" w:cs="Calibri"/>
                <w:b/>
                <w:sz w:val="20"/>
              </w:rPr>
            </w:pPr>
            <w:r w:rsidRPr="001D3D27">
              <w:rPr>
                <w:rFonts w:cstheme="minorHAnsi"/>
                <w:bCs/>
                <w:sz w:val="20"/>
              </w:rPr>
              <w:t>-</w:t>
            </w:r>
          </w:p>
        </w:tc>
        <w:tc>
          <w:tcPr>
            <w:tcW w:w="1252" w:type="dxa"/>
            <w:gridSpan w:val="3"/>
            <w:tcBorders>
              <w:top w:val="nil"/>
              <w:left w:val="nil"/>
              <w:bottom w:val="nil"/>
              <w:right w:val="nil"/>
            </w:tcBorders>
          </w:tcPr>
          <w:p w14:paraId="224AA3C8" w14:textId="77777777" w:rsidR="0028500B" w:rsidRPr="001D3D27" w:rsidRDefault="0028500B" w:rsidP="001A7CD0">
            <w:pPr>
              <w:keepLines/>
              <w:spacing w:before="40" w:after="40" w:line="256" w:lineRule="auto"/>
              <w:jc w:val="right"/>
              <w:rPr>
                <w:rFonts w:ascii="Calibri" w:hAnsi="Calibri" w:cs="Calibri"/>
                <w:b/>
                <w:sz w:val="20"/>
              </w:rPr>
            </w:pPr>
            <w:r w:rsidRPr="001D3D27">
              <w:rPr>
                <w:rFonts w:cstheme="minorHAnsi"/>
                <w:bCs/>
                <w:sz w:val="20"/>
              </w:rPr>
              <w:t>-</w:t>
            </w:r>
          </w:p>
        </w:tc>
        <w:tc>
          <w:tcPr>
            <w:tcW w:w="1578" w:type="dxa"/>
            <w:gridSpan w:val="3"/>
            <w:tcBorders>
              <w:top w:val="nil"/>
              <w:left w:val="nil"/>
              <w:bottom w:val="nil"/>
              <w:right w:val="nil"/>
            </w:tcBorders>
          </w:tcPr>
          <w:p w14:paraId="0F7B7D79" w14:textId="2139C06D" w:rsidR="0028500B" w:rsidRPr="001D3D27" w:rsidRDefault="00FB1630" w:rsidP="001A7CD0">
            <w:pPr>
              <w:keepLines/>
              <w:spacing w:before="40" w:after="40" w:line="256" w:lineRule="auto"/>
              <w:jc w:val="right"/>
              <w:rPr>
                <w:rFonts w:ascii="Calibri" w:hAnsi="Calibri" w:cs="Calibri"/>
                <w:sz w:val="20"/>
              </w:rPr>
            </w:pPr>
            <w:r w:rsidRPr="001D3D27">
              <w:rPr>
                <w:rFonts w:ascii="Calibri" w:hAnsi="Calibri" w:cs="Calibri"/>
                <w:sz w:val="20"/>
              </w:rPr>
              <w:t>-</w:t>
            </w:r>
          </w:p>
        </w:tc>
        <w:tc>
          <w:tcPr>
            <w:tcW w:w="1338" w:type="dxa"/>
            <w:tcBorders>
              <w:top w:val="nil"/>
              <w:left w:val="nil"/>
              <w:bottom w:val="nil"/>
              <w:right w:val="nil"/>
            </w:tcBorders>
          </w:tcPr>
          <w:p w14:paraId="2479E528" w14:textId="099E0D93" w:rsidR="0028500B" w:rsidRPr="001D3D27" w:rsidRDefault="0028500B" w:rsidP="001A7CD0">
            <w:pPr>
              <w:keepLines/>
              <w:spacing w:before="40" w:after="40" w:line="256" w:lineRule="auto"/>
              <w:jc w:val="right"/>
              <w:rPr>
                <w:rFonts w:ascii="Calibri" w:hAnsi="Calibri" w:cs="Calibri"/>
                <w:b/>
                <w:sz w:val="20"/>
              </w:rPr>
            </w:pPr>
            <w:r w:rsidRPr="001D3D27">
              <w:rPr>
                <w:rFonts w:ascii="Calibri" w:hAnsi="Calibri" w:cs="Calibri"/>
                <w:sz w:val="20"/>
              </w:rPr>
              <w:t>200,000</w:t>
            </w:r>
          </w:p>
        </w:tc>
      </w:tr>
      <w:tr w:rsidR="005F6234" w:rsidRPr="005E4A1B" w14:paraId="5FE4ABDA" w14:textId="77777777" w:rsidTr="5F4DCC5D">
        <w:trPr>
          <w:cantSplit/>
          <w:trHeight w:val="357"/>
        </w:trPr>
        <w:tc>
          <w:tcPr>
            <w:tcW w:w="5753" w:type="dxa"/>
            <w:gridSpan w:val="2"/>
            <w:tcBorders>
              <w:top w:val="nil"/>
              <w:left w:val="nil"/>
              <w:bottom w:val="nil"/>
              <w:right w:val="nil"/>
            </w:tcBorders>
            <w:tcMar>
              <w:top w:w="0" w:type="dxa"/>
              <w:left w:w="108" w:type="dxa"/>
              <w:bottom w:w="0" w:type="dxa"/>
              <w:right w:w="57" w:type="dxa"/>
            </w:tcMar>
          </w:tcPr>
          <w:p w14:paraId="3803279E" w14:textId="77777777" w:rsidR="0028500B" w:rsidRPr="001D3D27" w:rsidRDefault="0028500B" w:rsidP="008A0535">
            <w:pPr>
              <w:keepLines/>
              <w:spacing w:before="60" w:after="60" w:line="256" w:lineRule="auto"/>
              <w:ind w:left="34"/>
              <w:rPr>
                <w:b/>
                <w:bCs/>
                <w:sz w:val="20"/>
                <w:lang w:eastAsia="en-AU"/>
              </w:rPr>
            </w:pPr>
            <w:r w:rsidRPr="001D3D27">
              <w:rPr>
                <w:sz w:val="20"/>
                <w:lang w:eastAsia="en-AU"/>
              </w:rPr>
              <w:t>National Phone Digital Intake Service</w:t>
            </w:r>
          </w:p>
        </w:tc>
        <w:tc>
          <w:tcPr>
            <w:tcW w:w="1340" w:type="dxa"/>
            <w:gridSpan w:val="3"/>
            <w:tcBorders>
              <w:top w:val="nil"/>
              <w:left w:val="nil"/>
              <w:bottom w:val="nil"/>
              <w:right w:val="nil"/>
            </w:tcBorders>
          </w:tcPr>
          <w:p w14:paraId="6C13B0BD" w14:textId="77777777" w:rsidR="0028500B" w:rsidRPr="001D3D27" w:rsidRDefault="0028500B" w:rsidP="001A7CD0">
            <w:pPr>
              <w:keepLines/>
              <w:spacing w:before="40" w:after="40" w:line="256" w:lineRule="auto"/>
              <w:jc w:val="right"/>
              <w:rPr>
                <w:rFonts w:ascii="Calibri" w:hAnsi="Calibri" w:cs="Calibri"/>
                <w:b/>
                <w:sz w:val="20"/>
              </w:rPr>
            </w:pPr>
            <w:r w:rsidRPr="001D3D27">
              <w:rPr>
                <w:rFonts w:ascii="Calibri" w:hAnsi="Calibri" w:cs="Calibri"/>
                <w:sz w:val="20"/>
              </w:rPr>
              <w:t>-</w:t>
            </w:r>
          </w:p>
        </w:tc>
        <w:tc>
          <w:tcPr>
            <w:tcW w:w="1334" w:type="dxa"/>
            <w:gridSpan w:val="3"/>
            <w:tcBorders>
              <w:top w:val="nil"/>
              <w:left w:val="nil"/>
              <w:bottom w:val="nil"/>
              <w:right w:val="nil"/>
            </w:tcBorders>
          </w:tcPr>
          <w:p w14:paraId="4A70226B" w14:textId="77777777" w:rsidR="0028500B" w:rsidRPr="001D3D27" w:rsidRDefault="0028500B" w:rsidP="001A7CD0">
            <w:pPr>
              <w:keepLines/>
              <w:spacing w:before="40" w:after="40" w:line="256" w:lineRule="auto"/>
              <w:jc w:val="right"/>
              <w:rPr>
                <w:rFonts w:ascii="Calibri" w:hAnsi="Calibri" w:cs="Calibri"/>
                <w:b/>
                <w:sz w:val="20"/>
              </w:rPr>
            </w:pPr>
            <w:r w:rsidRPr="001D3D27">
              <w:rPr>
                <w:rFonts w:ascii="Calibri" w:hAnsi="Calibri" w:cs="Calibri"/>
                <w:sz w:val="20"/>
              </w:rPr>
              <w:t>200,000</w:t>
            </w:r>
          </w:p>
        </w:tc>
        <w:tc>
          <w:tcPr>
            <w:tcW w:w="1334" w:type="dxa"/>
            <w:gridSpan w:val="3"/>
            <w:tcBorders>
              <w:top w:val="nil"/>
              <w:left w:val="nil"/>
              <w:bottom w:val="nil"/>
              <w:right w:val="nil"/>
            </w:tcBorders>
          </w:tcPr>
          <w:p w14:paraId="4AE5421B" w14:textId="77777777" w:rsidR="0028500B" w:rsidRPr="001D3D27" w:rsidRDefault="0028500B" w:rsidP="001A7CD0">
            <w:pPr>
              <w:keepLines/>
              <w:spacing w:before="40" w:after="40" w:line="256" w:lineRule="auto"/>
              <w:jc w:val="right"/>
              <w:rPr>
                <w:rFonts w:ascii="Calibri" w:hAnsi="Calibri" w:cs="Calibri"/>
                <w:b/>
                <w:sz w:val="20"/>
              </w:rPr>
            </w:pPr>
            <w:r w:rsidRPr="001D3D27">
              <w:rPr>
                <w:rFonts w:cstheme="minorHAnsi"/>
                <w:bCs/>
                <w:sz w:val="20"/>
              </w:rPr>
              <w:t>-</w:t>
            </w:r>
          </w:p>
        </w:tc>
        <w:tc>
          <w:tcPr>
            <w:tcW w:w="1521" w:type="dxa"/>
            <w:gridSpan w:val="3"/>
            <w:tcBorders>
              <w:top w:val="nil"/>
              <w:left w:val="nil"/>
              <w:bottom w:val="nil"/>
              <w:right w:val="nil"/>
            </w:tcBorders>
          </w:tcPr>
          <w:p w14:paraId="5825DA7A" w14:textId="77777777" w:rsidR="0028500B" w:rsidRPr="001D3D27" w:rsidRDefault="0028500B" w:rsidP="001A7CD0">
            <w:pPr>
              <w:keepLines/>
              <w:spacing w:before="40" w:after="40" w:line="256" w:lineRule="auto"/>
              <w:jc w:val="right"/>
              <w:rPr>
                <w:rFonts w:ascii="Calibri" w:hAnsi="Calibri" w:cs="Calibri"/>
                <w:b/>
                <w:sz w:val="20"/>
              </w:rPr>
            </w:pPr>
            <w:r w:rsidRPr="001D3D27">
              <w:rPr>
                <w:rFonts w:cstheme="minorHAnsi"/>
                <w:bCs/>
                <w:sz w:val="20"/>
              </w:rPr>
              <w:t>-</w:t>
            </w:r>
          </w:p>
        </w:tc>
        <w:tc>
          <w:tcPr>
            <w:tcW w:w="1252" w:type="dxa"/>
            <w:gridSpan w:val="3"/>
            <w:tcBorders>
              <w:top w:val="nil"/>
              <w:left w:val="nil"/>
              <w:bottom w:val="nil"/>
              <w:right w:val="nil"/>
            </w:tcBorders>
          </w:tcPr>
          <w:p w14:paraId="3F3B5DE6" w14:textId="77777777" w:rsidR="0028500B" w:rsidRPr="001D3D27" w:rsidRDefault="0028500B" w:rsidP="001A7CD0">
            <w:pPr>
              <w:keepLines/>
              <w:spacing w:before="40" w:after="40" w:line="256" w:lineRule="auto"/>
              <w:jc w:val="right"/>
              <w:rPr>
                <w:rFonts w:ascii="Calibri" w:hAnsi="Calibri" w:cs="Calibri"/>
                <w:b/>
                <w:sz w:val="20"/>
              </w:rPr>
            </w:pPr>
            <w:r w:rsidRPr="001D3D27">
              <w:rPr>
                <w:rFonts w:cstheme="minorHAnsi"/>
                <w:bCs/>
                <w:sz w:val="20"/>
              </w:rPr>
              <w:t>-</w:t>
            </w:r>
          </w:p>
        </w:tc>
        <w:tc>
          <w:tcPr>
            <w:tcW w:w="1578" w:type="dxa"/>
            <w:gridSpan w:val="3"/>
            <w:tcBorders>
              <w:top w:val="nil"/>
              <w:left w:val="nil"/>
              <w:bottom w:val="nil"/>
              <w:right w:val="nil"/>
            </w:tcBorders>
          </w:tcPr>
          <w:p w14:paraId="44C91F9F" w14:textId="735D76F5" w:rsidR="0028500B" w:rsidRPr="001D3D27" w:rsidRDefault="00FB1630" w:rsidP="001A7CD0">
            <w:pPr>
              <w:keepLines/>
              <w:spacing w:before="40" w:after="40" w:line="256" w:lineRule="auto"/>
              <w:jc w:val="right"/>
              <w:rPr>
                <w:rFonts w:ascii="Calibri" w:hAnsi="Calibri" w:cs="Calibri"/>
                <w:sz w:val="20"/>
              </w:rPr>
            </w:pPr>
            <w:r w:rsidRPr="001D3D27">
              <w:rPr>
                <w:rFonts w:ascii="Calibri" w:hAnsi="Calibri" w:cs="Calibri"/>
                <w:sz w:val="20"/>
              </w:rPr>
              <w:t>-</w:t>
            </w:r>
          </w:p>
        </w:tc>
        <w:tc>
          <w:tcPr>
            <w:tcW w:w="1338" w:type="dxa"/>
            <w:tcBorders>
              <w:top w:val="nil"/>
              <w:left w:val="nil"/>
              <w:bottom w:val="nil"/>
              <w:right w:val="nil"/>
            </w:tcBorders>
          </w:tcPr>
          <w:p w14:paraId="638E29C1" w14:textId="4AB960F3" w:rsidR="0028500B" w:rsidRPr="001D3D27" w:rsidRDefault="0028500B" w:rsidP="001A7CD0">
            <w:pPr>
              <w:keepLines/>
              <w:spacing w:before="40" w:after="40" w:line="256" w:lineRule="auto"/>
              <w:jc w:val="right"/>
              <w:rPr>
                <w:rFonts w:ascii="Calibri" w:hAnsi="Calibri" w:cs="Calibri"/>
                <w:b/>
                <w:sz w:val="20"/>
              </w:rPr>
            </w:pPr>
            <w:r w:rsidRPr="001D3D27">
              <w:rPr>
                <w:rFonts w:ascii="Calibri" w:hAnsi="Calibri" w:cs="Calibri"/>
                <w:sz w:val="20"/>
              </w:rPr>
              <w:t>200,000</w:t>
            </w:r>
          </w:p>
        </w:tc>
      </w:tr>
      <w:tr w:rsidR="005F6234" w:rsidRPr="005E4A1B" w14:paraId="28D3C13C" w14:textId="77777777" w:rsidTr="5F4DCC5D">
        <w:trPr>
          <w:cantSplit/>
          <w:trHeight w:val="347"/>
        </w:trPr>
        <w:tc>
          <w:tcPr>
            <w:tcW w:w="5753" w:type="dxa"/>
            <w:gridSpan w:val="2"/>
            <w:tcBorders>
              <w:top w:val="single" w:sz="4" w:space="0" w:color="auto"/>
              <w:left w:val="nil"/>
              <w:bottom w:val="nil"/>
              <w:right w:val="nil"/>
            </w:tcBorders>
            <w:tcMar>
              <w:top w:w="0" w:type="dxa"/>
              <w:left w:w="108" w:type="dxa"/>
              <w:bottom w:w="0" w:type="dxa"/>
              <w:right w:w="57" w:type="dxa"/>
            </w:tcMar>
          </w:tcPr>
          <w:p w14:paraId="62A1A2C2" w14:textId="77777777" w:rsidR="0028500B" w:rsidRPr="001D3D27" w:rsidRDefault="0028500B" w:rsidP="008A0535">
            <w:pPr>
              <w:keepLines/>
              <w:spacing w:before="60" w:after="60" w:line="256" w:lineRule="auto"/>
              <w:ind w:left="34"/>
              <w:rPr>
                <w:b/>
                <w:sz w:val="20"/>
                <w:lang w:eastAsia="en-AU"/>
              </w:rPr>
            </w:pPr>
            <w:r w:rsidRPr="001D3D27">
              <w:rPr>
                <w:b/>
                <w:sz w:val="20"/>
                <w:lang w:eastAsia="en-AU"/>
              </w:rPr>
              <w:t>Other Commonwealth payments</w:t>
            </w:r>
          </w:p>
        </w:tc>
        <w:tc>
          <w:tcPr>
            <w:tcW w:w="1340" w:type="dxa"/>
            <w:gridSpan w:val="3"/>
            <w:tcBorders>
              <w:top w:val="single" w:sz="4" w:space="0" w:color="auto"/>
              <w:left w:val="nil"/>
              <w:bottom w:val="nil"/>
              <w:right w:val="nil"/>
            </w:tcBorders>
          </w:tcPr>
          <w:p w14:paraId="6DEDE123" w14:textId="77777777" w:rsidR="0028500B" w:rsidRPr="001D3D27" w:rsidRDefault="0028500B" w:rsidP="001A7CD0">
            <w:pPr>
              <w:keepLines/>
              <w:spacing w:before="40" w:after="40" w:line="256" w:lineRule="auto"/>
              <w:jc w:val="right"/>
              <w:rPr>
                <w:rFonts w:ascii="Calibri" w:hAnsi="Calibri" w:cs="Calibri"/>
                <w:b/>
                <w:color w:val="000000"/>
                <w:sz w:val="20"/>
              </w:rPr>
            </w:pPr>
            <w:r w:rsidRPr="001D3D27">
              <w:rPr>
                <w:rFonts w:ascii="Calibri" w:hAnsi="Calibri" w:cs="Calibri"/>
                <w:b/>
                <w:color w:val="000000"/>
                <w:sz w:val="20"/>
              </w:rPr>
              <w:t>170,000</w:t>
            </w:r>
          </w:p>
        </w:tc>
        <w:tc>
          <w:tcPr>
            <w:tcW w:w="1334" w:type="dxa"/>
            <w:gridSpan w:val="3"/>
            <w:tcBorders>
              <w:top w:val="single" w:sz="4" w:space="0" w:color="auto"/>
              <w:left w:val="nil"/>
              <w:bottom w:val="nil"/>
              <w:right w:val="nil"/>
            </w:tcBorders>
          </w:tcPr>
          <w:p w14:paraId="59E2F4CC" w14:textId="7315BD49" w:rsidR="0028500B" w:rsidRPr="001D3D27" w:rsidDel="0095262B" w:rsidRDefault="0028500B" w:rsidP="001A7CD0">
            <w:pPr>
              <w:keepLines/>
              <w:spacing w:before="40" w:after="40" w:line="256" w:lineRule="auto"/>
              <w:jc w:val="right"/>
              <w:rPr>
                <w:rFonts w:ascii="Calibri" w:hAnsi="Calibri" w:cs="Calibri"/>
                <w:b/>
                <w:color w:val="000000"/>
                <w:sz w:val="20"/>
              </w:rPr>
            </w:pPr>
            <w:r w:rsidRPr="001D3D27">
              <w:rPr>
                <w:rFonts w:ascii="Calibri" w:hAnsi="Calibri" w:cs="Calibri"/>
                <w:b/>
                <w:color w:val="000000"/>
                <w:sz w:val="20"/>
              </w:rPr>
              <w:t>7,307,561</w:t>
            </w:r>
          </w:p>
        </w:tc>
        <w:tc>
          <w:tcPr>
            <w:tcW w:w="1334" w:type="dxa"/>
            <w:gridSpan w:val="3"/>
            <w:tcBorders>
              <w:top w:val="single" w:sz="4" w:space="0" w:color="auto"/>
              <w:left w:val="nil"/>
              <w:bottom w:val="nil"/>
              <w:right w:val="nil"/>
            </w:tcBorders>
          </w:tcPr>
          <w:p w14:paraId="72D62453" w14:textId="240B9BD2" w:rsidR="0028500B" w:rsidRPr="001D3D27" w:rsidDel="0095262B" w:rsidRDefault="0028500B" w:rsidP="001A7CD0">
            <w:pPr>
              <w:keepLines/>
              <w:spacing w:before="40" w:after="40" w:line="256" w:lineRule="auto"/>
              <w:jc w:val="right"/>
              <w:rPr>
                <w:rFonts w:ascii="Calibri" w:hAnsi="Calibri" w:cs="Calibri"/>
                <w:b/>
                <w:color w:val="000000"/>
                <w:sz w:val="20"/>
              </w:rPr>
            </w:pPr>
            <w:r w:rsidRPr="001D3D27">
              <w:rPr>
                <w:b/>
                <w:sz w:val="20"/>
              </w:rPr>
              <w:t>20,847,573</w:t>
            </w:r>
          </w:p>
        </w:tc>
        <w:tc>
          <w:tcPr>
            <w:tcW w:w="1521" w:type="dxa"/>
            <w:gridSpan w:val="3"/>
            <w:tcBorders>
              <w:top w:val="single" w:sz="4" w:space="0" w:color="auto"/>
              <w:left w:val="nil"/>
              <w:bottom w:val="nil"/>
              <w:right w:val="nil"/>
            </w:tcBorders>
          </w:tcPr>
          <w:p w14:paraId="1C3C8BC6" w14:textId="6C659C55" w:rsidR="0028500B" w:rsidRPr="001D3D27" w:rsidDel="0095262B" w:rsidRDefault="0028500B" w:rsidP="001A7CD0">
            <w:pPr>
              <w:keepLines/>
              <w:spacing w:before="40" w:after="40" w:line="256" w:lineRule="auto"/>
              <w:jc w:val="right"/>
              <w:rPr>
                <w:rFonts w:ascii="Calibri" w:hAnsi="Calibri" w:cs="Calibri"/>
                <w:b/>
                <w:color w:val="000000"/>
                <w:sz w:val="20"/>
              </w:rPr>
            </w:pPr>
            <w:r w:rsidRPr="001D3D27">
              <w:rPr>
                <w:rFonts w:ascii="Calibri" w:hAnsi="Calibri" w:cs="Calibri"/>
                <w:b/>
                <w:color w:val="000000"/>
                <w:sz w:val="20"/>
              </w:rPr>
              <w:t>20,463,143</w:t>
            </w:r>
          </w:p>
        </w:tc>
        <w:tc>
          <w:tcPr>
            <w:tcW w:w="1252" w:type="dxa"/>
            <w:gridSpan w:val="3"/>
            <w:tcBorders>
              <w:top w:val="single" w:sz="4" w:space="0" w:color="auto"/>
              <w:left w:val="nil"/>
              <w:bottom w:val="nil"/>
              <w:right w:val="nil"/>
            </w:tcBorders>
          </w:tcPr>
          <w:p w14:paraId="59CAFC13" w14:textId="07B97FBD" w:rsidR="0028500B" w:rsidRPr="001D3D27" w:rsidDel="0095262B" w:rsidRDefault="00FF1029" w:rsidP="001A7CD0">
            <w:pPr>
              <w:keepLines/>
              <w:spacing w:before="40" w:after="40" w:line="256" w:lineRule="auto"/>
              <w:jc w:val="right"/>
              <w:rPr>
                <w:rFonts w:ascii="Calibri" w:hAnsi="Calibri" w:cs="Calibri"/>
                <w:b/>
                <w:color w:val="000000"/>
                <w:sz w:val="20"/>
              </w:rPr>
            </w:pPr>
            <w:r>
              <w:rPr>
                <w:b/>
                <w:sz w:val="20"/>
              </w:rPr>
              <w:t>17,964,999</w:t>
            </w:r>
          </w:p>
        </w:tc>
        <w:tc>
          <w:tcPr>
            <w:tcW w:w="1578" w:type="dxa"/>
            <w:gridSpan w:val="3"/>
            <w:tcBorders>
              <w:top w:val="single" w:sz="4" w:space="0" w:color="auto"/>
              <w:left w:val="nil"/>
              <w:bottom w:val="nil"/>
              <w:right w:val="nil"/>
            </w:tcBorders>
          </w:tcPr>
          <w:p w14:paraId="0B2342ED" w14:textId="224F1870" w:rsidR="0028500B" w:rsidRPr="001D3D27" w:rsidRDefault="00087878" w:rsidP="001A7CD0">
            <w:pPr>
              <w:keepLines/>
              <w:spacing w:before="40" w:after="40" w:line="256" w:lineRule="auto"/>
              <w:jc w:val="right"/>
              <w:rPr>
                <w:rFonts w:cstheme="minorHAnsi"/>
                <w:b/>
                <w:color w:val="000000"/>
                <w:sz w:val="20"/>
              </w:rPr>
            </w:pPr>
            <w:r w:rsidRPr="001D3D27">
              <w:rPr>
                <w:rFonts w:cstheme="minorHAnsi"/>
                <w:b/>
                <w:color w:val="000000"/>
                <w:sz w:val="20"/>
              </w:rPr>
              <w:t>23,139,318</w:t>
            </w:r>
          </w:p>
        </w:tc>
        <w:tc>
          <w:tcPr>
            <w:tcW w:w="1338" w:type="dxa"/>
            <w:tcBorders>
              <w:top w:val="single" w:sz="4" w:space="0" w:color="auto"/>
              <w:left w:val="nil"/>
              <w:bottom w:val="nil"/>
              <w:right w:val="nil"/>
            </w:tcBorders>
          </w:tcPr>
          <w:p w14:paraId="5B355A3D" w14:textId="0F91D38A" w:rsidR="0028500B" w:rsidRPr="001D3D27" w:rsidDel="0095262B" w:rsidRDefault="00FF1029" w:rsidP="001A7CD0">
            <w:pPr>
              <w:keepLines/>
              <w:spacing w:before="40" w:after="40" w:line="256" w:lineRule="auto"/>
              <w:jc w:val="right"/>
              <w:rPr>
                <w:rFonts w:ascii="Calibri" w:hAnsi="Calibri" w:cs="Calibri"/>
                <w:b/>
                <w:color w:val="000000"/>
                <w:sz w:val="20"/>
              </w:rPr>
            </w:pPr>
            <w:r>
              <w:rPr>
                <w:rFonts w:cstheme="minorHAnsi"/>
                <w:b/>
                <w:color w:val="000000"/>
                <w:sz w:val="20"/>
              </w:rPr>
              <w:t>89,892,594</w:t>
            </w:r>
          </w:p>
        </w:tc>
      </w:tr>
      <w:tr w:rsidR="005F6234" w:rsidRPr="005E4A1B" w14:paraId="4B22E9ED" w14:textId="77777777" w:rsidTr="5F4DCC5D">
        <w:trPr>
          <w:cantSplit/>
          <w:trHeight w:val="357"/>
        </w:trPr>
        <w:tc>
          <w:tcPr>
            <w:tcW w:w="5753" w:type="dxa"/>
            <w:gridSpan w:val="2"/>
            <w:tcBorders>
              <w:top w:val="nil"/>
              <w:left w:val="nil"/>
              <w:bottom w:val="nil"/>
              <w:right w:val="nil"/>
            </w:tcBorders>
            <w:tcMar>
              <w:top w:w="0" w:type="dxa"/>
              <w:left w:w="108" w:type="dxa"/>
              <w:bottom w:w="0" w:type="dxa"/>
              <w:right w:w="57" w:type="dxa"/>
            </w:tcMar>
          </w:tcPr>
          <w:p w14:paraId="43D4F451" w14:textId="0177DEB4" w:rsidR="0028500B" w:rsidRPr="001D3D27" w:rsidRDefault="7CC16C4F" w:rsidP="6245677E">
            <w:pPr>
              <w:keepLines/>
              <w:spacing w:before="60" w:after="60" w:line="256" w:lineRule="auto"/>
              <w:rPr>
                <w:sz w:val="20"/>
                <w:lang w:eastAsia="en-AU"/>
              </w:rPr>
            </w:pPr>
            <w:r w:rsidRPr="001D3D27">
              <w:rPr>
                <w:rFonts w:ascii="Calibri" w:eastAsia="Calibri" w:hAnsi="Calibri" w:cs="Calibri"/>
                <w:sz w:val="20"/>
              </w:rPr>
              <w:t xml:space="preserve"> Adult mental health centre and satellite network (Medicare Mental Health Centres) </w:t>
            </w:r>
          </w:p>
          <w:p w14:paraId="5EA8E3ED" w14:textId="2CA916C7" w:rsidR="0028500B" w:rsidRPr="001D3D27" w:rsidRDefault="0028500B" w:rsidP="005E4A1B">
            <w:pPr>
              <w:keepLines/>
              <w:spacing w:after="0" w:line="256" w:lineRule="auto"/>
            </w:pPr>
          </w:p>
        </w:tc>
        <w:tc>
          <w:tcPr>
            <w:tcW w:w="1340" w:type="dxa"/>
            <w:gridSpan w:val="3"/>
            <w:tcBorders>
              <w:top w:val="nil"/>
              <w:left w:val="nil"/>
              <w:bottom w:val="nil"/>
              <w:right w:val="nil"/>
            </w:tcBorders>
          </w:tcPr>
          <w:p w14:paraId="103CDFBB" w14:textId="77777777" w:rsidR="0028500B" w:rsidRPr="001D3D27" w:rsidRDefault="0028500B" w:rsidP="001A7CD0">
            <w:pPr>
              <w:keepLines/>
              <w:spacing w:before="40" w:after="40" w:line="256" w:lineRule="auto"/>
              <w:jc w:val="right"/>
              <w:rPr>
                <w:rFonts w:ascii="Calibri" w:hAnsi="Calibri" w:cs="Calibri"/>
                <w:color w:val="000000"/>
                <w:sz w:val="20"/>
              </w:rPr>
            </w:pPr>
          </w:p>
        </w:tc>
        <w:tc>
          <w:tcPr>
            <w:tcW w:w="1334" w:type="dxa"/>
            <w:gridSpan w:val="3"/>
            <w:tcBorders>
              <w:top w:val="nil"/>
              <w:left w:val="nil"/>
              <w:bottom w:val="nil"/>
              <w:right w:val="nil"/>
            </w:tcBorders>
          </w:tcPr>
          <w:p w14:paraId="0A5FBA3D" w14:textId="77777777" w:rsidR="0028500B" w:rsidRPr="001D3D27" w:rsidDel="0095262B" w:rsidRDefault="0028500B" w:rsidP="001A7CD0">
            <w:pPr>
              <w:keepLines/>
              <w:spacing w:before="40" w:after="40" w:line="256" w:lineRule="auto"/>
              <w:jc w:val="right"/>
              <w:rPr>
                <w:rFonts w:ascii="Calibri" w:hAnsi="Calibri" w:cs="Calibri"/>
                <w:color w:val="000000"/>
                <w:sz w:val="20"/>
              </w:rPr>
            </w:pPr>
          </w:p>
        </w:tc>
        <w:tc>
          <w:tcPr>
            <w:tcW w:w="1334" w:type="dxa"/>
            <w:gridSpan w:val="3"/>
            <w:tcBorders>
              <w:top w:val="nil"/>
              <w:left w:val="nil"/>
              <w:bottom w:val="nil"/>
              <w:right w:val="nil"/>
            </w:tcBorders>
          </w:tcPr>
          <w:p w14:paraId="15787D92" w14:textId="77777777" w:rsidR="0028500B" w:rsidRPr="001D3D27" w:rsidDel="0095262B" w:rsidRDefault="0028500B" w:rsidP="001A7CD0">
            <w:pPr>
              <w:keepLines/>
              <w:spacing w:before="40" w:after="40" w:line="256" w:lineRule="auto"/>
              <w:jc w:val="right"/>
              <w:rPr>
                <w:rFonts w:ascii="Calibri" w:hAnsi="Calibri" w:cs="Calibri"/>
                <w:color w:val="000000"/>
                <w:sz w:val="20"/>
              </w:rPr>
            </w:pPr>
          </w:p>
        </w:tc>
        <w:tc>
          <w:tcPr>
            <w:tcW w:w="1521" w:type="dxa"/>
            <w:gridSpan w:val="3"/>
            <w:tcBorders>
              <w:top w:val="nil"/>
              <w:left w:val="nil"/>
              <w:bottom w:val="nil"/>
              <w:right w:val="nil"/>
            </w:tcBorders>
          </w:tcPr>
          <w:p w14:paraId="4A76017C" w14:textId="77777777" w:rsidR="0028500B" w:rsidRPr="001D3D27" w:rsidDel="0095262B" w:rsidRDefault="0028500B" w:rsidP="001A7CD0">
            <w:pPr>
              <w:keepLines/>
              <w:spacing w:before="40" w:after="40" w:line="256" w:lineRule="auto"/>
              <w:jc w:val="right"/>
              <w:rPr>
                <w:rFonts w:ascii="Calibri" w:hAnsi="Calibri" w:cs="Calibri"/>
                <w:color w:val="000000"/>
                <w:sz w:val="20"/>
              </w:rPr>
            </w:pPr>
          </w:p>
        </w:tc>
        <w:tc>
          <w:tcPr>
            <w:tcW w:w="1252" w:type="dxa"/>
            <w:gridSpan w:val="3"/>
            <w:tcBorders>
              <w:top w:val="nil"/>
              <w:left w:val="nil"/>
              <w:bottom w:val="nil"/>
              <w:right w:val="nil"/>
            </w:tcBorders>
          </w:tcPr>
          <w:p w14:paraId="2C23DBC6" w14:textId="77777777" w:rsidR="0028500B" w:rsidRPr="001D3D27" w:rsidDel="0095262B" w:rsidRDefault="0028500B" w:rsidP="001A7CD0">
            <w:pPr>
              <w:keepLines/>
              <w:spacing w:before="40" w:after="40" w:line="256" w:lineRule="auto"/>
              <w:jc w:val="right"/>
              <w:rPr>
                <w:rFonts w:ascii="Calibri" w:hAnsi="Calibri" w:cs="Calibri"/>
                <w:color w:val="000000"/>
                <w:sz w:val="20"/>
              </w:rPr>
            </w:pPr>
          </w:p>
        </w:tc>
        <w:tc>
          <w:tcPr>
            <w:tcW w:w="1578" w:type="dxa"/>
            <w:gridSpan w:val="3"/>
            <w:tcBorders>
              <w:top w:val="nil"/>
              <w:left w:val="nil"/>
              <w:bottom w:val="nil"/>
              <w:right w:val="nil"/>
            </w:tcBorders>
          </w:tcPr>
          <w:p w14:paraId="2A123254" w14:textId="77777777" w:rsidR="0028500B" w:rsidRPr="001D3D27" w:rsidDel="0095262B" w:rsidRDefault="0028500B" w:rsidP="001A7CD0">
            <w:pPr>
              <w:keepLines/>
              <w:spacing w:before="40" w:after="40" w:line="256" w:lineRule="auto"/>
              <w:jc w:val="right"/>
              <w:rPr>
                <w:rFonts w:ascii="Calibri" w:hAnsi="Calibri" w:cs="Calibri"/>
                <w:color w:val="000000"/>
                <w:sz w:val="20"/>
              </w:rPr>
            </w:pPr>
          </w:p>
        </w:tc>
        <w:tc>
          <w:tcPr>
            <w:tcW w:w="1338" w:type="dxa"/>
            <w:tcBorders>
              <w:top w:val="nil"/>
              <w:left w:val="nil"/>
              <w:bottom w:val="nil"/>
              <w:right w:val="nil"/>
            </w:tcBorders>
          </w:tcPr>
          <w:p w14:paraId="76B2F9B7" w14:textId="5C89B5D9" w:rsidR="0028500B" w:rsidRPr="001D3D27" w:rsidDel="0095262B" w:rsidRDefault="0028500B" w:rsidP="001A7CD0">
            <w:pPr>
              <w:keepLines/>
              <w:spacing w:before="40" w:after="40" w:line="256" w:lineRule="auto"/>
              <w:jc w:val="right"/>
              <w:rPr>
                <w:rFonts w:ascii="Calibri" w:hAnsi="Calibri" w:cs="Calibri"/>
                <w:color w:val="000000"/>
                <w:sz w:val="20"/>
              </w:rPr>
            </w:pPr>
          </w:p>
        </w:tc>
      </w:tr>
      <w:tr w:rsidR="005F6234" w:rsidRPr="005E4A1B" w14:paraId="0737D1A3" w14:textId="77777777" w:rsidTr="5F4DCC5D">
        <w:trPr>
          <w:cantSplit/>
          <w:trHeight w:val="357"/>
        </w:trPr>
        <w:tc>
          <w:tcPr>
            <w:tcW w:w="5753" w:type="dxa"/>
            <w:gridSpan w:val="2"/>
            <w:tcBorders>
              <w:top w:val="nil"/>
              <w:left w:val="nil"/>
              <w:bottom w:val="nil"/>
              <w:right w:val="nil"/>
            </w:tcBorders>
            <w:tcMar>
              <w:top w:w="0" w:type="dxa"/>
              <w:left w:w="108" w:type="dxa"/>
              <w:bottom w:w="0" w:type="dxa"/>
              <w:right w:w="57" w:type="dxa"/>
            </w:tcMar>
            <w:hideMark/>
          </w:tcPr>
          <w:p w14:paraId="1574FA19" w14:textId="2E130440" w:rsidR="0028500B" w:rsidRPr="001D3D27" w:rsidRDefault="354935DD" w:rsidP="6245677E">
            <w:pPr>
              <w:keepLines/>
              <w:spacing w:before="60" w:after="60" w:line="256" w:lineRule="auto"/>
              <w:ind w:left="318"/>
              <w:rPr>
                <w:sz w:val="20"/>
                <w:lang w:eastAsia="en-AU"/>
              </w:rPr>
            </w:pPr>
            <w:r w:rsidRPr="001D3D27">
              <w:rPr>
                <w:rFonts w:ascii="Calibri" w:eastAsia="Calibri" w:hAnsi="Calibri" w:cs="Calibri"/>
                <w:sz w:val="20"/>
              </w:rPr>
              <w:t xml:space="preserve"> Northern Adelaide Medicare Mental Health Centre (co-located with the Crisis Stabilisation Centre) (Commonwealth only funded)</w:t>
            </w:r>
          </w:p>
        </w:tc>
        <w:tc>
          <w:tcPr>
            <w:tcW w:w="1340" w:type="dxa"/>
            <w:gridSpan w:val="3"/>
            <w:tcBorders>
              <w:top w:val="nil"/>
              <w:left w:val="nil"/>
              <w:bottom w:val="nil"/>
              <w:right w:val="nil"/>
            </w:tcBorders>
            <w:hideMark/>
          </w:tcPr>
          <w:p w14:paraId="43AB521F" w14:textId="77777777" w:rsidR="0028500B" w:rsidRPr="001D3D27" w:rsidRDefault="0028500B" w:rsidP="001A7CD0">
            <w:pPr>
              <w:keepLines/>
              <w:spacing w:before="40" w:after="40" w:line="256" w:lineRule="auto"/>
              <w:jc w:val="right"/>
              <w:rPr>
                <w:rFonts w:ascii="Calibri" w:hAnsi="Calibri" w:cs="Calibri"/>
                <w:sz w:val="20"/>
              </w:rPr>
            </w:pPr>
            <w:r w:rsidRPr="001D3D27">
              <w:rPr>
                <w:rFonts w:ascii="Calibri" w:hAnsi="Calibri" w:cs="Calibri"/>
                <w:color w:val="000000"/>
                <w:sz w:val="20"/>
              </w:rPr>
              <w:t xml:space="preserve">-   </w:t>
            </w:r>
          </w:p>
        </w:tc>
        <w:tc>
          <w:tcPr>
            <w:tcW w:w="1334" w:type="dxa"/>
            <w:gridSpan w:val="3"/>
            <w:tcBorders>
              <w:top w:val="nil"/>
              <w:left w:val="nil"/>
              <w:bottom w:val="nil"/>
              <w:right w:val="nil"/>
            </w:tcBorders>
            <w:hideMark/>
          </w:tcPr>
          <w:p w14:paraId="1E7A3C37" w14:textId="77777777" w:rsidR="0028500B" w:rsidRPr="001D3D27" w:rsidRDefault="0028500B" w:rsidP="001A7CD0">
            <w:pPr>
              <w:keepLines/>
              <w:spacing w:before="40" w:after="40" w:line="256" w:lineRule="auto"/>
              <w:jc w:val="right"/>
              <w:rPr>
                <w:rFonts w:ascii="Calibri" w:hAnsi="Calibri" w:cs="Calibri"/>
                <w:sz w:val="20"/>
              </w:rPr>
            </w:pPr>
            <w:r w:rsidRPr="001D3D27">
              <w:rPr>
                <w:rFonts w:ascii="Calibri" w:hAnsi="Calibri" w:cs="Calibri"/>
                <w:color w:val="000000"/>
                <w:sz w:val="20"/>
              </w:rPr>
              <w:t xml:space="preserve">1,750,000 </w:t>
            </w:r>
          </w:p>
        </w:tc>
        <w:tc>
          <w:tcPr>
            <w:tcW w:w="1334" w:type="dxa"/>
            <w:gridSpan w:val="3"/>
            <w:tcBorders>
              <w:top w:val="nil"/>
              <w:left w:val="nil"/>
              <w:bottom w:val="nil"/>
              <w:right w:val="nil"/>
            </w:tcBorders>
            <w:hideMark/>
          </w:tcPr>
          <w:p w14:paraId="5264D25C" w14:textId="77777777" w:rsidR="0028500B" w:rsidRPr="001D3D27" w:rsidRDefault="0028500B" w:rsidP="001A7CD0">
            <w:pPr>
              <w:keepLines/>
              <w:spacing w:before="40" w:after="40" w:line="256" w:lineRule="auto"/>
              <w:jc w:val="right"/>
              <w:rPr>
                <w:rFonts w:ascii="Calibri" w:hAnsi="Calibri" w:cs="Calibri"/>
                <w:sz w:val="20"/>
              </w:rPr>
            </w:pPr>
            <w:r w:rsidRPr="001D3D27">
              <w:rPr>
                <w:rFonts w:ascii="Calibri" w:hAnsi="Calibri" w:cs="Calibri"/>
                <w:color w:val="000000"/>
                <w:sz w:val="20"/>
              </w:rPr>
              <w:t xml:space="preserve">4,086,269 </w:t>
            </w:r>
          </w:p>
        </w:tc>
        <w:tc>
          <w:tcPr>
            <w:tcW w:w="1521" w:type="dxa"/>
            <w:gridSpan w:val="3"/>
            <w:tcBorders>
              <w:top w:val="nil"/>
              <w:left w:val="nil"/>
              <w:bottom w:val="nil"/>
              <w:right w:val="nil"/>
            </w:tcBorders>
            <w:hideMark/>
          </w:tcPr>
          <w:p w14:paraId="00E6FF19" w14:textId="77777777" w:rsidR="0028500B" w:rsidRPr="001D3D27" w:rsidRDefault="0028500B" w:rsidP="001A7CD0">
            <w:pPr>
              <w:keepLines/>
              <w:spacing w:before="40" w:after="40" w:line="256" w:lineRule="auto"/>
              <w:jc w:val="right"/>
              <w:rPr>
                <w:rFonts w:ascii="Calibri" w:hAnsi="Calibri" w:cs="Calibri"/>
                <w:sz w:val="20"/>
              </w:rPr>
            </w:pPr>
            <w:r w:rsidRPr="001D3D27">
              <w:rPr>
                <w:rFonts w:ascii="Calibri" w:hAnsi="Calibri" w:cs="Calibri"/>
                <w:color w:val="000000"/>
                <w:sz w:val="20"/>
              </w:rPr>
              <w:t xml:space="preserve">4,143,415 </w:t>
            </w:r>
          </w:p>
        </w:tc>
        <w:tc>
          <w:tcPr>
            <w:tcW w:w="1252" w:type="dxa"/>
            <w:gridSpan w:val="3"/>
            <w:tcBorders>
              <w:top w:val="nil"/>
              <w:left w:val="nil"/>
              <w:bottom w:val="nil"/>
              <w:right w:val="nil"/>
            </w:tcBorders>
            <w:hideMark/>
          </w:tcPr>
          <w:p w14:paraId="38D5163C" w14:textId="77777777" w:rsidR="0028500B" w:rsidRPr="001D3D27" w:rsidRDefault="0028500B" w:rsidP="001A7CD0">
            <w:pPr>
              <w:keepLines/>
              <w:spacing w:before="40" w:after="40" w:line="256" w:lineRule="auto"/>
              <w:jc w:val="right"/>
              <w:rPr>
                <w:rFonts w:ascii="Calibri" w:hAnsi="Calibri" w:cs="Calibri"/>
                <w:sz w:val="20"/>
              </w:rPr>
            </w:pPr>
            <w:r w:rsidRPr="001D3D27">
              <w:rPr>
                <w:rFonts w:ascii="Calibri" w:hAnsi="Calibri" w:cs="Calibri"/>
                <w:color w:val="000000"/>
                <w:sz w:val="20"/>
              </w:rPr>
              <w:t xml:space="preserve">4,201,465 </w:t>
            </w:r>
          </w:p>
        </w:tc>
        <w:tc>
          <w:tcPr>
            <w:tcW w:w="1578" w:type="dxa"/>
            <w:gridSpan w:val="3"/>
            <w:tcBorders>
              <w:top w:val="nil"/>
              <w:left w:val="nil"/>
              <w:bottom w:val="nil"/>
              <w:right w:val="nil"/>
            </w:tcBorders>
          </w:tcPr>
          <w:p w14:paraId="21CFD914" w14:textId="64C7A258" w:rsidR="0028500B" w:rsidRPr="001D3D27" w:rsidRDefault="00087878" w:rsidP="001A7CD0">
            <w:pPr>
              <w:keepLines/>
              <w:spacing w:before="40" w:after="40" w:line="256" w:lineRule="auto"/>
              <w:jc w:val="right"/>
              <w:rPr>
                <w:rFonts w:ascii="Calibri" w:hAnsi="Calibri" w:cs="Calibri"/>
                <w:color w:val="000000"/>
                <w:sz w:val="20"/>
              </w:rPr>
            </w:pPr>
            <w:r w:rsidRPr="001D3D27">
              <w:rPr>
                <w:rFonts w:ascii="Calibri" w:hAnsi="Calibri" w:cs="Calibri"/>
                <w:color w:val="000000"/>
                <w:sz w:val="20"/>
              </w:rPr>
              <w:t>4</w:t>
            </w:r>
            <w:r w:rsidR="00FF6540" w:rsidRPr="001D3D27">
              <w:rPr>
                <w:rFonts w:ascii="Calibri" w:hAnsi="Calibri" w:cs="Calibri"/>
                <w:color w:val="000000"/>
                <w:sz w:val="20"/>
              </w:rPr>
              <w:t>,302,300</w:t>
            </w:r>
          </w:p>
        </w:tc>
        <w:tc>
          <w:tcPr>
            <w:tcW w:w="1338" w:type="dxa"/>
            <w:tcBorders>
              <w:top w:val="nil"/>
              <w:left w:val="nil"/>
              <w:bottom w:val="nil"/>
              <w:right w:val="nil"/>
            </w:tcBorders>
            <w:hideMark/>
          </w:tcPr>
          <w:p w14:paraId="61C2BF75" w14:textId="2A96CC70" w:rsidR="0028500B" w:rsidRPr="001D3D27" w:rsidRDefault="00087878" w:rsidP="001A7CD0">
            <w:pPr>
              <w:keepLines/>
              <w:spacing w:before="40" w:after="40" w:line="256" w:lineRule="auto"/>
              <w:jc w:val="right"/>
              <w:rPr>
                <w:rFonts w:ascii="Calibri" w:hAnsi="Calibri" w:cs="Calibri"/>
                <w:sz w:val="20"/>
              </w:rPr>
            </w:pPr>
            <w:r w:rsidRPr="001D3D27">
              <w:rPr>
                <w:rFonts w:ascii="Calibri" w:hAnsi="Calibri" w:cs="Calibri"/>
                <w:color w:val="000000"/>
                <w:sz w:val="20"/>
              </w:rPr>
              <w:t>18,483,449</w:t>
            </w:r>
            <w:r w:rsidR="0028500B" w:rsidRPr="001D3D27">
              <w:rPr>
                <w:rFonts w:ascii="Calibri" w:hAnsi="Calibri" w:cs="Calibri"/>
                <w:color w:val="000000"/>
                <w:sz w:val="20"/>
              </w:rPr>
              <w:t xml:space="preserve"> </w:t>
            </w:r>
          </w:p>
        </w:tc>
      </w:tr>
      <w:tr w:rsidR="005F6234" w:rsidRPr="005E4A1B" w14:paraId="6907A7D0" w14:textId="77777777" w:rsidTr="5F4DCC5D">
        <w:trPr>
          <w:cantSplit/>
          <w:trHeight w:val="357"/>
        </w:trPr>
        <w:tc>
          <w:tcPr>
            <w:tcW w:w="5753" w:type="dxa"/>
            <w:gridSpan w:val="2"/>
            <w:tcBorders>
              <w:top w:val="nil"/>
              <w:left w:val="nil"/>
              <w:bottom w:val="nil"/>
              <w:right w:val="nil"/>
            </w:tcBorders>
            <w:tcMar>
              <w:top w:w="0" w:type="dxa"/>
              <w:left w:w="108" w:type="dxa"/>
              <w:bottom w:w="0" w:type="dxa"/>
              <w:right w:w="57" w:type="dxa"/>
            </w:tcMar>
          </w:tcPr>
          <w:p w14:paraId="0371FD6F" w14:textId="1E772B75" w:rsidR="0028500B" w:rsidRPr="001D3D27" w:rsidRDefault="5F7B3098" w:rsidP="560F6DC5">
            <w:pPr>
              <w:keepLines/>
              <w:spacing w:before="60" w:after="60" w:line="256" w:lineRule="auto"/>
              <w:ind w:left="318"/>
              <w:rPr>
                <w:sz w:val="20"/>
                <w:lang w:eastAsia="en-AU"/>
              </w:rPr>
            </w:pPr>
            <w:r w:rsidRPr="560F6DC5">
              <w:rPr>
                <w:rFonts w:ascii="Calibri" w:eastAsia="Calibri" w:hAnsi="Calibri" w:cs="Calibri"/>
                <w:sz w:val="20"/>
              </w:rPr>
              <w:t xml:space="preserve"> Mount Barker Medicare Mental Health Centre (enhanced to include</w:t>
            </w:r>
            <w:r w:rsidR="4AB48AE4" w:rsidRPr="560F6DC5">
              <w:rPr>
                <w:rFonts w:ascii="Calibri" w:eastAsia="Calibri" w:hAnsi="Calibri" w:cs="Calibri"/>
                <w:sz w:val="20"/>
              </w:rPr>
              <w:t xml:space="preserve"> </w:t>
            </w:r>
            <w:r w:rsidRPr="560F6DC5">
              <w:rPr>
                <w:rFonts w:ascii="Calibri" w:eastAsia="Calibri" w:hAnsi="Calibri" w:cs="Calibri"/>
                <w:sz w:val="20"/>
              </w:rPr>
              <w:t>Urgent Mental Health Care Centre) (Commonwealth only-funded)</w:t>
            </w:r>
          </w:p>
        </w:tc>
        <w:tc>
          <w:tcPr>
            <w:tcW w:w="1340" w:type="dxa"/>
            <w:gridSpan w:val="3"/>
            <w:tcBorders>
              <w:top w:val="nil"/>
              <w:left w:val="nil"/>
              <w:bottom w:val="nil"/>
              <w:right w:val="nil"/>
            </w:tcBorders>
          </w:tcPr>
          <w:p w14:paraId="47144D09" w14:textId="77777777" w:rsidR="0028500B" w:rsidRPr="001D3D27" w:rsidRDefault="0028500B" w:rsidP="001A7CD0">
            <w:pPr>
              <w:keepLines/>
              <w:spacing w:before="40" w:after="40" w:line="256" w:lineRule="auto"/>
              <w:jc w:val="right"/>
              <w:rPr>
                <w:rFonts w:ascii="Calibri" w:hAnsi="Calibri" w:cs="Calibri"/>
                <w:color w:val="000000"/>
                <w:sz w:val="20"/>
              </w:rPr>
            </w:pPr>
            <w:r w:rsidRPr="001D3D27">
              <w:rPr>
                <w:rFonts w:ascii="Calibri" w:hAnsi="Calibri" w:cs="Calibri"/>
                <w:color w:val="000000"/>
                <w:sz w:val="20"/>
              </w:rPr>
              <w:t>-</w:t>
            </w:r>
          </w:p>
        </w:tc>
        <w:tc>
          <w:tcPr>
            <w:tcW w:w="1334" w:type="dxa"/>
            <w:gridSpan w:val="3"/>
            <w:tcBorders>
              <w:top w:val="nil"/>
              <w:left w:val="nil"/>
              <w:bottom w:val="nil"/>
              <w:right w:val="nil"/>
            </w:tcBorders>
          </w:tcPr>
          <w:p w14:paraId="70DC3792" w14:textId="77777777" w:rsidR="0028500B" w:rsidRPr="001D3D27" w:rsidRDefault="0028500B" w:rsidP="001A7CD0">
            <w:pPr>
              <w:keepLines/>
              <w:spacing w:before="40" w:after="40" w:line="256" w:lineRule="auto"/>
              <w:jc w:val="right"/>
              <w:rPr>
                <w:rFonts w:ascii="Calibri" w:hAnsi="Calibri" w:cs="Calibri"/>
                <w:color w:val="000000"/>
                <w:sz w:val="20"/>
              </w:rPr>
            </w:pPr>
            <w:r w:rsidRPr="001D3D27">
              <w:rPr>
                <w:rFonts w:ascii="Calibri" w:hAnsi="Calibri" w:cs="Calibri"/>
                <w:color w:val="000000"/>
                <w:sz w:val="20"/>
              </w:rPr>
              <w:t>1,750,000</w:t>
            </w:r>
          </w:p>
        </w:tc>
        <w:tc>
          <w:tcPr>
            <w:tcW w:w="1334" w:type="dxa"/>
            <w:gridSpan w:val="3"/>
            <w:tcBorders>
              <w:top w:val="nil"/>
              <w:left w:val="nil"/>
              <w:bottom w:val="nil"/>
              <w:right w:val="nil"/>
            </w:tcBorders>
          </w:tcPr>
          <w:p w14:paraId="4B4CCC0E" w14:textId="77777777" w:rsidR="0028500B" w:rsidRPr="001D3D27" w:rsidRDefault="0028500B" w:rsidP="001A7CD0">
            <w:pPr>
              <w:keepLines/>
              <w:spacing w:before="40" w:after="40" w:line="256" w:lineRule="auto"/>
              <w:jc w:val="right"/>
              <w:rPr>
                <w:rFonts w:ascii="Calibri" w:hAnsi="Calibri" w:cs="Calibri"/>
                <w:color w:val="000000"/>
                <w:sz w:val="20"/>
              </w:rPr>
            </w:pPr>
            <w:r w:rsidRPr="001D3D27">
              <w:rPr>
                <w:rFonts w:ascii="Calibri" w:hAnsi="Calibri" w:cs="Calibri"/>
                <w:color w:val="000000"/>
                <w:sz w:val="20"/>
              </w:rPr>
              <w:t xml:space="preserve">4,086,269 </w:t>
            </w:r>
          </w:p>
        </w:tc>
        <w:tc>
          <w:tcPr>
            <w:tcW w:w="1521" w:type="dxa"/>
            <w:gridSpan w:val="3"/>
            <w:tcBorders>
              <w:top w:val="nil"/>
              <w:left w:val="nil"/>
              <w:bottom w:val="nil"/>
              <w:right w:val="nil"/>
            </w:tcBorders>
          </w:tcPr>
          <w:p w14:paraId="5C3D2434" w14:textId="77777777" w:rsidR="0028500B" w:rsidRPr="001D3D27" w:rsidRDefault="0028500B" w:rsidP="001A7CD0">
            <w:pPr>
              <w:keepLines/>
              <w:spacing w:before="40" w:after="40" w:line="256" w:lineRule="auto"/>
              <w:jc w:val="right"/>
              <w:rPr>
                <w:rFonts w:ascii="Calibri" w:hAnsi="Calibri" w:cs="Calibri"/>
                <w:color w:val="000000"/>
                <w:sz w:val="20"/>
              </w:rPr>
            </w:pPr>
            <w:r w:rsidRPr="001D3D27">
              <w:rPr>
                <w:rFonts w:ascii="Calibri" w:hAnsi="Calibri" w:cs="Calibri"/>
                <w:color w:val="000000"/>
                <w:sz w:val="20"/>
              </w:rPr>
              <w:t xml:space="preserve">4,143,415 </w:t>
            </w:r>
          </w:p>
        </w:tc>
        <w:tc>
          <w:tcPr>
            <w:tcW w:w="1252" w:type="dxa"/>
            <w:gridSpan w:val="3"/>
            <w:tcBorders>
              <w:top w:val="nil"/>
              <w:left w:val="nil"/>
              <w:bottom w:val="nil"/>
              <w:right w:val="nil"/>
            </w:tcBorders>
          </w:tcPr>
          <w:p w14:paraId="30A2C70B" w14:textId="77777777" w:rsidR="0028500B" w:rsidRPr="001D3D27" w:rsidRDefault="0028500B" w:rsidP="001A7CD0">
            <w:pPr>
              <w:keepLines/>
              <w:spacing w:before="40" w:after="40" w:line="256" w:lineRule="auto"/>
              <w:jc w:val="right"/>
              <w:rPr>
                <w:rFonts w:ascii="Calibri" w:hAnsi="Calibri" w:cs="Calibri"/>
                <w:color w:val="000000"/>
                <w:sz w:val="20"/>
              </w:rPr>
            </w:pPr>
            <w:r w:rsidRPr="001D3D27">
              <w:rPr>
                <w:rFonts w:ascii="Calibri" w:hAnsi="Calibri" w:cs="Calibri"/>
                <w:color w:val="000000"/>
                <w:sz w:val="20"/>
              </w:rPr>
              <w:t xml:space="preserve">4,201,465 </w:t>
            </w:r>
          </w:p>
        </w:tc>
        <w:tc>
          <w:tcPr>
            <w:tcW w:w="1578" w:type="dxa"/>
            <w:gridSpan w:val="3"/>
            <w:tcBorders>
              <w:top w:val="nil"/>
              <w:left w:val="nil"/>
              <w:bottom w:val="nil"/>
              <w:right w:val="nil"/>
            </w:tcBorders>
          </w:tcPr>
          <w:p w14:paraId="3DF22AA0" w14:textId="5E81E6BF" w:rsidR="0028500B" w:rsidRPr="001D3D27" w:rsidRDefault="00FF6540" w:rsidP="001A7CD0">
            <w:pPr>
              <w:keepLines/>
              <w:spacing w:before="40" w:after="40" w:line="256" w:lineRule="auto"/>
              <w:jc w:val="right"/>
              <w:rPr>
                <w:rFonts w:ascii="Calibri" w:hAnsi="Calibri" w:cs="Calibri"/>
                <w:color w:val="000000"/>
                <w:sz w:val="20"/>
              </w:rPr>
            </w:pPr>
            <w:r w:rsidRPr="001D3D27">
              <w:rPr>
                <w:rFonts w:ascii="Calibri" w:hAnsi="Calibri" w:cs="Calibri"/>
                <w:color w:val="000000"/>
                <w:sz w:val="20"/>
              </w:rPr>
              <w:t>4,302,300</w:t>
            </w:r>
          </w:p>
        </w:tc>
        <w:tc>
          <w:tcPr>
            <w:tcW w:w="1338" w:type="dxa"/>
            <w:tcBorders>
              <w:top w:val="nil"/>
              <w:left w:val="nil"/>
              <w:bottom w:val="nil"/>
              <w:right w:val="nil"/>
            </w:tcBorders>
          </w:tcPr>
          <w:p w14:paraId="6FBAB6E7" w14:textId="151E564C" w:rsidR="0028500B" w:rsidRPr="001D3D27" w:rsidRDefault="00FF6540" w:rsidP="001A7CD0">
            <w:pPr>
              <w:keepLines/>
              <w:spacing w:before="40" w:after="40" w:line="256" w:lineRule="auto"/>
              <w:jc w:val="right"/>
              <w:rPr>
                <w:rFonts w:ascii="Calibri" w:hAnsi="Calibri" w:cs="Calibri"/>
                <w:color w:val="000000"/>
                <w:sz w:val="20"/>
              </w:rPr>
            </w:pPr>
            <w:r w:rsidRPr="001D3D27">
              <w:rPr>
                <w:rFonts w:ascii="Calibri" w:hAnsi="Calibri" w:cs="Calibri"/>
                <w:color w:val="000000"/>
                <w:sz w:val="20"/>
              </w:rPr>
              <w:t>18,483,449</w:t>
            </w:r>
          </w:p>
        </w:tc>
      </w:tr>
      <w:tr w:rsidR="005F6234" w:rsidRPr="005E4A1B" w14:paraId="4E586299" w14:textId="77777777" w:rsidTr="5F4DCC5D">
        <w:trPr>
          <w:cantSplit/>
          <w:trHeight w:val="357"/>
        </w:trPr>
        <w:tc>
          <w:tcPr>
            <w:tcW w:w="5753" w:type="dxa"/>
            <w:gridSpan w:val="2"/>
            <w:tcBorders>
              <w:top w:val="nil"/>
              <w:left w:val="nil"/>
              <w:bottom w:val="nil"/>
              <w:right w:val="nil"/>
            </w:tcBorders>
            <w:tcMar>
              <w:top w:w="0" w:type="dxa"/>
              <w:left w:w="108" w:type="dxa"/>
              <w:bottom w:w="0" w:type="dxa"/>
              <w:right w:w="57" w:type="dxa"/>
            </w:tcMar>
          </w:tcPr>
          <w:p w14:paraId="65BDC5FB" w14:textId="07FA4F14" w:rsidR="0028500B" w:rsidRPr="001D3D27" w:rsidRDefault="23DE6F7E" w:rsidP="6245677E">
            <w:pPr>
              <w:keepLines/>
              <w:spacing w:before="60" w:after="60" w:line="256" w:lineRule="auto"/>
              <w:ind w:left="318"/>
              <w:rPr>
                <w:sz w:val="20"/>
                <w:lang w:eastAsia="en-AU"/>
              </w:rPr>
            </w:pPr>
            <w:r w:rsidRPr="001D3D27">
              <w:rPr>
                <w:rFonts w:ascii="Calibri" w:eastAsia="Calibri" w:hAnsi="Calibri" w:cs="Calibri"/>
                <w:sz w:val="20"/>
              </w:rPr>
              <w:t xml:space="preserve"> Mount Gambier and Port Pirie Medicare Mental Health Centres (Commonwealth only funded)</w:t>
            </w:r>
          </w:p>
        </w:tc>
        <w:tc>
          <w:tcPr>
            <w:tcW w:w="1340" w:type="dxa"/>
            <w:gridSpan w:val="3"/>
            <w:tcBorders>
              <w:top w:val="nil"/>
              <w:left w:val="nil"/>
              <w:bottom w:val="nil"/>
              <w:right w:val="nil"/>
            </w:tcBorders>
          </w:tcPr>
          <w:p w14:paraId="3C610BD8" w14:textId="77777777" w:rsidR="0028500B" w:rsidRPr="001D3D27" w:rsidRDefault="0028500B" w:rsidP="001A7CD0">
            <w:pPr>
              <w:keepLines/>
              <w:spacing w:before="40" w:after="40" w:line="256" w:lineRule="auto"/>
              <w:jc w:val="right"/>
              <w:rPr>
                <w:rFonts w:ascii="Calibri" w:hAnsi="Calibri" w:cs="Calibri"/>
                <w:color w:val="000000"/>
                <w:sz w:val="20"/>
              </w:rPr>
            </w:pPr>
            <w:r w:rsidRPr="001D3D27">
              <w:rPr>
                <w:rFonts w:ascii="Calibri" w:hAnsi="Calibri" w:cs="Calibri"/>
                <w:color w:val="000000"/>
                <w:sz w:val="20"/>
              </w:rPr>
              <w:t xml:space="preserve">170,000 </w:t>
            </w:r>
          </w:p>
        </w:tc>
        <w:tc>
          <w:tcPr>
            <w:tcW w:w="1334" w:type="dxa"/>
            <w:gridSpan w:val="3"/>
            <w:tcBorders>
              <w:top w:val="nil"/>
              <w:left w:val="nil"/>
              <w:bottom w:val="nil"/>
              <w:right w:val="nil"/>
            </w:tcBorders>
          </w:tcPr>
          <w:p w14:paraId="72103941" w14:textId="77777777" w:rsidR="0028500B" w:rsidRPr="001D3D27" w:rsidRDefault="0028500B" w:rsidP="001A7CD0">
            <w:pPr>
              <w:keepLines/>
              <w:spacing w:before="40" w:after="40" w:line="256" w:lineRule="auto"/>
              <w:jc w:val="right"/>
              <w:rPr>
                <w:rFonts w:ascii="Calibri" w:hAnsi="Calibri" w:cs="Calibri"/>
                <w:color w:val="000000"/>
                <w:sz w:val="20"/>
              </w:rPr>
            </w:pPr>
            <w:r w:rsidRPr="001D3D27">
              <w:rPr>
                <w:rFonts w:ascii="Calibri" w:hAnsi="Calibri" w:cs="Calibri"/>
                <w:color w:val="000000"/>
                <w:sz w:val="20"/>
              </w:rPr>
              <w:t xml:space="preserve">1,237,561 </w:t>
            </w:r>
          </w:p>
        </w:tc>
        <w:tc>
          <w:tcPr>
            <w:tcW w:w="1334" w:type="dxa"/>
            <w:gridSpan w:val="3"/>
            <w:tcBorders>
              <w:top w:val="nil"/>
              <w:left w:val="nil"/>
              <w:bottom w:val="nil"/>
              <w:right w:val="nil"/>
            </w:tcBorders>
          </w:tcPr>
          <w:p w14:paraId="73716001" w14:textId="77777777" w:rsidR="0028500B" w:rsidRPr="001D3D27" w:rsidRDefault="0028500B" w:rsidP="001A7CD0">
            <w:pPr>
              <w:keepLines/>
              <w:spacing w:before="40" w:after="40" w:line="256" w:lineRule="auto"/>
              <w:jc w:val="right"/>
              <w:rPr>
                <w:rFonts w:ascii="Calibri" w:hAnsi="Calibri" w:cs="Calibri"/>
                <w:color w:val="000000"/>
                <w:sz w:val="20"/>
              </w:rPr>
            </w:pPr>
            <w:r w:rsidRPr="001D3D27">
              <w:rPr>
                <w:rFonts w:ascii="Calibri" w:hAnsi="Calibri" w:cs="Calibri"/>
                <w:color w:val="000000"/>
                <w:sz w:val="20"/>
              </w:rPr>
              <w:t xml:space="preserve">2,165,035 </w:t>
            </w:r>
          </w:p>
        </w:tc>
        <w:tc>
          <w:tcPr>
            <w:tcW w:w="1521" w:type="dxa"/>
            <w:gridSpan w:val="3"/>
            <w:tcBorders>
              <w:top w:val="nil"/>
              <w:left w:val="nil"/>
              <w:bottom w:val="nil"/>
              <w:right w:val="nil"/>
            </w:tcBorders>
          </w:tcPr>
          <w:p w14:paraId="5F7D0E0F" w14:textId="77777777" w:rsidR="0028500B" w:rsidRPr="001D3D27" w:rsidRDefault="0028500B" w:rsidP="001A7CD0">
            <w:pPr>
              <w:keepLines/>
              <w:spacing w:before="40" w:after="40" w:line="256" w:lineRule="auto"/>
              <w:jc w:val="right"/>
              <w:rPr>
                <w:rFonts w:ascii="Calibri" w:hAnsi="Calibri" w:cs="Calibri"/>
                <w:color w:val="000000"/>
                <w:sz w:val="20"/>
              </w:rPr>
            </w:pPr>
            <w:r w:rsidRPr="001D3D27">
              <w:rPr>
                <w:rFonts w:ascii="Calibri" w:hAnsi="Calibri" w:cs="Calibri"/>
                <w:color w:val="000000"/>
                <w:sz w:val="20"/>
              </w:rPr>
              <w:t xml:space="preserve">2,195,313 </w:t>
            </w:r>
          </w:p>
        </w:tc>
        <w:tc>
          <w:tcPr>
            <w:tcW w:w="1252" w:type="dxa"/>
            <w:gridSpan w:val="3"/>
            <w:tcBorders>
              <w:top w:val="nil"/>
              <w:left w:val="nil"/>
              <w:bottom w:val="nil"/>
              <w:right w:val="nil"/>
            </w:tcBorders>
          </w:tcPr>
          <w:p w14:paraId="5B912D7D" w14:textId="77777777" w:rsidR="0028500B" w:rsidRPr="001D3D27" w:rsidRDefault="0028500B" w:rsidP="001A7CD0">
            <w:pPr>
              <w:keepLines/>
              <w:spacing w:before="40" w:after="40" w:line="256" w:lineRule="auto"/>
              <w:jc w:val="right"/>
              <w:rPr>
                <w:rFonts w:ascii="Calibri" w:hAnsi="Calibri" w:cs="Calibri"/>
                <w:color w:val="000000"/>
                <w:sz w:val="20"/>
              </w:rPr>
            </w:pPr>
            <w:r w:rsidRPr="001D3D27">
              <w:rPr>
                <w:rFonts w:ascii="Calibri" w:hAnsi="Calibri" w:cs="Calibri"/>
                <w:color w:val="000000"/>
                <w:sz w:val="20"/>
              </w:rPr>
              <w:t xml:space="preserve">2,226,069 </w:t>
            </w:r>
          </w:p>
        </w:tc>
        <w:tc>
          <w:tcPr>
            <w:tcW w:w="1578" w:type="dxa"/>
            <w:gridSpan w:val="3"/>
            <w:tcBorders>
              <w:top w:val="nil"/>
              <w:left w:val="nil"/>
              <w:bottom w:val="nil"/>
              <w:right w:val="nil"/>
            </w:tcBorders>
          </w:tcPr>
          <w:p w14:paraId="50B4A3D7" w14:textId="697B6F90" w:rsidR="0028500B" w:rsidRPr="001D3D27" w:rsidRDefault="00FF6540" w:rsidP="001A7CD0">
            <w:pPr>
              <w:keepLines/>
              <w:spacing w:before="40" w:after="40" w:line="256" w:lineRule="auto"/>
              <w:jc w:val="right"/>
              <w:rPr>
                <w:rFonts w:ascii="Calibri" w:hAnsi="Calibri" w:cs="Calibri"/>
                <w:bCs/>
                <w:color w:val="000000"/>
                <w:sz w:val="20"/>
              </w:rPr>
            </w:pPr>
            <w:r w:rsidRPr="001D3D27">
              <w:rPr>
                <w:rFonts w:ascii="Calibri" w:hAnsi="Calibri" w:cs="Calibri"/>
                <w:bCs/>
                <w:color w:val="000000"/>
                <w:sz w:val="20"/>
              </w:rPr>
              <w:t>2,279,49</w:t>
            </w:r>
            <w:r w:rsidR="00082432" w:rsidRPr="001D3D27">
              <w:rPr>
                <w:rFonts w:ascii="Calibri" w:hAnsi="Calibri" w:cs="Calibri"/>
                <w:bCs/>
                <w:color w:val="000000"/>
                <w:sz w:val="20"/>
              </w:rPr>
              <w:t>5</w:t>
            </w:r>
          </w:p>
        </w:tc>
        <w:tc>
          <w:tcPr>
            <w:tcW w:w="1338" w:type="dxa"/>
            <w:tcBorders>
              <w:top w:val="nil"/>
              <w:left w:val="nil"/>
              <w:bottom w:val="nil"/>
              <w:right w:val="nil"/>
            </w:tcBorders>
          </w:tcPr>
          <w:p w14:paraId="6B8AFEA8" w14:textId="174DF3B7" w:rsidR="0028500B" w:rsidRPr="001D3D27" w:rsidRDefault="6C0CCE46" w:rsidP="560F6DC5">
            <w:pPr>
              <w:keepLines/>
              <w:spacing w:before="40" w:after="40" w:line="256" w:lineRule="auto"/>
              <w:jc w:val="right"/>
              <w:rPr>
                <w:rFonts w:ascii="Calibri" w:hAnsi="Calibri" w:cs="Calibri"/>
                <w:color w:val="000000"/>
                <w:sz w:val="20"/>
              </w:rPr>
            </w:pPr>
            <w:r w:rsidRPr="560F6DC5">
              <w:rPr>
                <w:rFonts w:ascii="Calibri" w:hAnsi="Calibri" w:cs="Calibri"/>
                <w:color w:val="000000" w:themeColor="text1"/>
                <w:sz w:val="20"/>
              </w:rPr>
              <w:t>10,273,47</w:t>
            </w:r>
            <w:r w:rsidR="10F2E37C" w:rsidRPr="560F6DC5">
              <w:rPr>
                <w:rFonts w:ascii="Calibri" w:hAnsi="Calibri" w:cs="Calibri"/>
                <w:color w:val="000000" w:themeColor="text1"/>
                <w:sz w:val="20"/>
              </w:rPr>
              <w:t>3</w:t>
            </w:r>
            <w:r w:rsidR="4467A01A" w:rsidRPr="560F6DC5">
              <w:rPr>
                <w:rFonts w:ascii="Calibri" w:hAnsi="Calibri" w:cs="Calibri"/>
                <w:color w:val="000000" w:themeColor="text1"/>
                <w:sz w:val="20"/>
              </w:rPr>
              <w:t xml:space="preserve"> </w:t>
            </w:r>
          </w:p>
        </w:tc>
      </w:tr>
      <w:tr w:rsidR="005F6234" w:rsidRPr="005E4A1B" w14:paraId="534242F7" w14:textId="77777777" w:rsidTr="5F4DCC5D">
        <w:trPr>
          <w:cantSplit/>
          <w:trHeight w:val="357"/>
        </w:trPr>
        <w:tc>
          <w:tcPr>
            <w:tcW w:w="5753" w:type="dxa"/>
            <w:gridSpan w:val="2"/>
            <w:tcBorders>
              <w:top w:val="nil"/>
              <w:left w:val="nil"/>
              <w:bottom w:val="nil"/>
              <w:right w:val="nil"/>
            </w:tcBorders>
            <w:tcMar>
              <w:top w:w="0" w:type="dxa"/>
              <w:left w:w="108" w:type="dxa"/>
              <w:bottom w:w="0" w:type="dxa"/>
              <w:right w:w="57" w:type="dxa"/>
            </w:tcMar>
            <w:hideMark/>
          </w:tcPr>
          <w:p w14:paraId="2FCB7341" w14:textId="77777777" w:rsidR="0028500B" w:rsidRPr="001D3D27" w:rsidRDefault="0028500B" w:rsidP="008A0535">
            <w:pPr>
              <w:keepLines/>
              <w:spacing w:before="60" w:after="60" w:line="256" w:lineRule="auto"/>
              <w:rPr>
                <w:rFonts w:cstheme="minorHAnsi"/>
                <w:sz w:val="21"/>
                <w:szCs w:val="21"/>
              </w:rPr>
            </w:pPr>
            <w:r w:rsidRPr="001D3D27">
              <w:rPr>
                <w:sz w:val="20"/>
                <w:lang w:eastAsia="en-AU"/>
              </w:rPr>
              <w:t>Enhancement and expansion of youth mental health services</w:t>
            </w:r>
          </w:p>
        </w:tc>
        <w:tc>
          <w:tcPr>
            <w:tcW w:w="1340" w:type="dxa"/>
            <w:gridSpan w:val="3"/>
            <w:tcBorders>
              <w:top w:val="nil"/>
              <w:left w:val="nil"/>
              <w:bottom w:val="nil"/>
              <w:right w:val="nil"/>
            </w:tcBorders>
            <w:hideMark/>
          </w:tcPr>
          <w:p w14:paraId="2B115F21" w14:textId="77777777" w:rsidR="0028500B" w:rsidRPr="001D3D27" w:rsidRDefault="0028500B" w:rsidP="001A7CD0">
            <w:pPr>
              <w:keepLines/>
              <w:spacing w:before="40" w:after="40" w:line="256" w:lineRule="auto"/>
              <w:jc w:val="right"/>
              <w:rPr>
                <w:rFonts w:cstheme="minorHAnsi"/>
                <w:b/>
                <w:bCs/>
                <w:sz w:val="20"/>
              </w:rPr>
            </w:pPr>
          </w:p>
        </w:tc>
        <w:tc>
          <w:tcPr>
            <w:tcW w:w="1334" w:type="dxa"/>
            <w:gridSpan w:val="3"/>
            <w:tcBorders>
              <w:top w:val="nil"/>
              <w:left w:val="nil"/>
              <w:bottom w:val="nil"/>
              <w:right w:val="nil"/>
            </w:tcBorders>
            <w:hideMark/>
          </w:tcPr>
          <w:p w14:paraId="547B38A6" w14:textId="77777777" w:rsidR="0028500B" w:rsidRPr="001D3D27" w:rsidRDefault="0028500B" w:rsidP="001A7CD0">
            <w:pPr>
              <w:keepLines/>
              <w:spacing w:before="40" w:after="40" w:line="256" w:lineRule="auto"/>
              <w:jc w:val="right"/>
              <w:rPr>
                <w:rFonts w:cstheme="minorHAnsi"/>
                <w:b/>
                <w:bCs/>
                <w:sz w:val="20"/>
              </w:rPr>
            </w:pPr>
          </w:p>
        </w:tc>
        <w:tc>
          <w:tcPr>
            <w:tcW w:w="1334" w:type="dxa"/>
            <w:gridSpan w:val="3"/>
            <w:tcBorders>
              <w:top w:val="nil"/>
              <w:left w:val="nil"/>
              <w:bottom w:val="nil"/>
              <w:right w:val="nil"/>
            </w:tcBorders>
            <w:hideMark/>
          </w:tcPr>
          <w:p w14:paraId="163912F9" w14:textId="77777777" w:rsidR="0028500B" w:rsidRPr="001D3D27" w:rsidRDefault="0028500B" w:rsidP="001A7CD0">
            <w:pPr>
              <w:keepLines/>
              <w:spacing w:before="40" w:after="40" w:line="256" w:lineRule="auto"/>
              <w:jc w:val="right"/>
              <w:rPr>
                <w:rFonts w:cstheme="minorHAnsi"/>
                <w:b/>
                <w:bCs/>
                <w:sz w:val="20"/>
              </w:rPr>
            </w:pPr>
          </w:p>
        </w:tc>
        <w:tc>
          <w:tcPr>
            <w:tcW w:w="1521" w:type="dxa"/>
            <w:gridSpan w:val="3"/>
            <w:tcBorders>
              <w:top w:val="nil"/>
              <w:left w:val="nil"/>
              <w:bottom w:val="nil"/>
              <w:right w:val="nil"/>
            </w:tcBorders>
            <w:hideMark/>
          </w:tcPr>
          <w:p w14:paraId="269985B1" w14:textId="77777777" w:rsidR="0028500B" w:rsidRPr="001D3D27" w:rsidRDefault="0028500B" w:rsidP="001A7CD0">
            <w:pPr>
              <w:keepLines/>
              <w:spacing w:before="40" w:after="40" w:line="256" w:lineRule="auto"/>
              <w:jc w:val="right"/>
              <w:rPr>
                <w:rFonts w:cstheme="minorHAnsi"/>
                <w:b/>
                <w:bCs/>
                <w:sz w:val="20"/>
              </w:rPr>
            </w:pPr>
          </w:p>
        </w:tc>
        <w:tc>
          <w:tcPr>
            <w:tcW w:w="1252" w:type="dxa"/>
            <w:gridSpan w:val="3"/>
            <w:tcBorders>
              <w:top w:val="nil"/>
              <w:left w:val="nil"/>
              <w:bottom w:val="nil"/>
              <w:right w:val="nil"/>
            </w:tcBorders>
            <w:hideMark/>
          </w:tcPr>
          <w:p w14:paraId="6AAAA9B8" w14:textId="77777777" w:rsidR="0028500B" w:rsidRPr="001D3D27" w:rsidRDefault="0028500B" w:rsidP="001A7CD0">
            <w:pPr>
              <w:keepLines/>
              <w:spacing w:before="40" w:after="40" w:line="256" w:lineRule="auto"/>
              <w:jc w:val="right"/>
              <w:rPr>
                <w:rFonts w:cstheme="minorHAnsi"/>
                <w:b/>
                <w:bCs/>
                <w:sz w:val="20"/>
              </w:rPr>
            </w:pPr>
          </w:p>
        </w:tc>
        <w:tc>
          <w:tcPr>
            <w:tcW w:w="1578" w:type="dxa"/>
            <w:gridSpan w:val="3"/>
            <w:tcBorders>
              <w:top w:val="nil"/>
              <w:left w:val="nil"/>
              <w:bottom w:val="nil"/>
              <w:right w:val="nil"/>
            </w:tcBorders>
          </w:tcPr>
          <w:p w14:paraId="3CCD4206" w14:textId="77777777" w:rsidR="0028500B" w:rsidRPr="001D3D27" w:rsidRDefault="0028500B" w:rsidP="001A7CD0">
            <w:pPr>
              <w:keepLines/>
              <w:spacing w:before="40" w:after="40" w:line="256" w:lineRule="auto"/>
              <w:jc w:val="right"/>
              <w:rPr>
                <w:rFonts w:cstheme="minorHAnsi"/>
                <w:b/>
                <w:bCs/>
                <w:sz w:val="20"/>
              </w:rPr>
            </w:pPr>
          </w:p>
        </w:tc>
        <w:tc>
          <w:tcPr>
            <w:tcW w:w="1338" w:type="dxa"/>
            <w:tcBorders>
              <w:top w:val="nil"/>
              <w:left w:val="nil"/>
              <w:bottom w:val="nil"/>
              <w:right w:val="nil"/>
            </w:tcBorders>
            <w:hideMark/>
          </w:tcPr>
          <w:p w14:paraId="303DF08E" w14:textId="39A2FCE9" w:rsidR="0028500B" w:rsidRPr="001D3D27" w:rsidRDefault="0028500B" w:rsidP="001A7CD0">
            <w:pPr>
              <w:keepLines/>
              <w:spacing w:before="40" w:after="40" w:line="256" w:lineRule="auto"/>
              <w:jc w:val="right"/>
              <w:rPr>
                <w:rFonts w:cstheme="minorHAnsi"/>
                <w:b/>
                <w:bCs/>
                <w:sz w:val="20"/>
              </w:rPr>
            </w:pPr>
          </w:p>
        </w:tc>
      </w:tr>
      <w:tr w:rsidR="005F6234" w:rsidRPr="005E4A1B" w14:paraId="21C0AF6E" w14:textId="77777777" w:rsidTr="5F4DCC5D">
        <w:trPr>
          <w:cantSplit/>
          <w:trHeight w:val="357"/>
        </w:trPr>
        <w:tc>
          <w:tcPr>
            <w:tcW w:w="5753" w:type="dxa"/>
            <w:gridSpan w:val="2"/>
            <w:tcBorders>
              <w:top w:val="nil"/>
              <w:left w:val="nil"/>
              <w:bottom w:val="nil"/>
              <w:right w:val="nil"/>
            </w:tcBorders>
            <w:tcMar>
              <w:top w:w="0" w:type="dxa"/>
              <w:left w:w="108" w:type="dxa"/>
              <w:bottom w:w="0" w:type="dxa"/>
              <w:right w:w="57" w:type="dxa"/>
            </w:tcMar>
          </w:tcPr>
          <w:p w14:paraId="300FCD3B" w14:textId="77777777" w:rsidR="0028500B" w:rsidRPr="001D3D27" w:rsidRDefault="0028500B" w:rsidP="008A0535">
            <w:pPr>
              <w:keepLines/>
              <w:spacing w:before="60" w:after="60" w:line="256" w:lineRule="auto"/>
              <w:ind w:left="318"/>
              <w:rPr>
                <w:sz w:val="20"/>
                <w:lang w:eastAsia="en-AU"/>
              </w:rPr>
            </w:pPr>
            <w:r w:rsidRPr="001D3D27">
              <w:rPr>
                <w:sz w:val="20"/>
                <w:lang w:eastAsia="en-AU"/>
              </w:rPr>
              <w:t>Boosting clinical capacity at existing sites</w:t>
            </w:r>
          </w:p>
        </w:tc>
        <w:tc>
          <w:tcPr>
            <w:tcW w:w="1340" w:type="dxa"/>
            <w:gridSpan w:val="3"/>
            <w:tcBorders>
              <w:top w:val="nil"/>
              <w:left w:val="nil"/>
              <w:bottom w:val="nil"/>
              <w:right w:val="nil"/>
            </w:tcBorders>
          </w:tcPr>
          <w:p w14:paraId="69411F8E" w14:textId="77777777" w:rsidR="0028500B" w:rsidRPr="001D3D27" w:rsidRDefault="0028500B" w:rsidP="001A7CD0">
            <w:pPr>
              <w:keepLines/>
              <w:spacing w:before="40" w:after="40" w:line="256" w:lineRule="auto"/>
              <w:jc w:val="right"/>
              <w:rPr>
                <w:bCs/>
                <w:sz w:val="20"/>
              </w:rPr>
            </w:pPr>
            <w:r w:rsidRPr="001D3D27">
              <w:rPr>
                <w:rFonts w:ascii="Calibri" w:hAnsi="Calibri" w:cs="Calibri"/>
                <w:sz w:val="20"/>
              </w:rPr>
              <w:t xml:space="preserve">- </w:t>
            </w:r>
          </w:p>
        </w:tc>
        <w:tc>
          <w:tcPr>
            <w:tcW w:w="1334" w:type="dxa"/>
            <w:gridSpan w:val="3"/>
            <w:tcBorders>
              <w:top w:val="nil"/>
              <w:left w:val="nil"/>
              <w:bottom w:val="nil"/>
              <w:right w:val="nil"/>
            </w:tcBorders>
          </w:tcPr>
          <w:p w14:paraId="02648399" w14:textId="77777777" w:rsidR="0028500B" w:rsidRPr="001D3D27" w:rsidRDefault="0028500B" w:rsidP="001A7CD0">
            <w:pPr>
              <w:keepLines/>
              <w:spacing w:before="40" w:after="40" w:line="256" w:lineRule="auto"/>
              <w:jc w:val="right"/>
              <w:rPr>
                <w:bCs/>
                <w:sz w:val="20"/>
              </w:rPr>
            </w:pPr>
            <w:r w:rsidRPr="001D3D27">
              <w:rPr>
                <w:rFonts w:ascii="Calibri" w:hAnsi="Calibri" w:cs="Calibri"/>
                <w:sz w:val="20"/>
              </w:rPr>
              <w:t>2,570,000</w:t>
            </w:r>
          </w:p>
        </w:tc>
        <w:tc>
          <w:tcPr>
            <w:tcW w:w="1334" w:type="dxa"/>
            <w:gridSpan w:val="3"/>
            <w:tcBorders>
              <w:top w:val="nil"/>
              <w:left w:val="nil"/>
              <w:bottom w:val="nil"/>
              <w:right w:val="nil"/>
            </w:tcBorders>
          </w:tcPr>
          <w:p w14:paraId="65194578" w14:textId="77777777" w:rsidR="0028500B" w:rsidRPr="001D3D27" w:rsidRDefault="0028500B" w:rsidP="001A7CD0">
            <w:pPr>
              <w:keepLines/>
              <w:spacing w:before="40" w:after="40" w:line="256" w:lineRule="auto"/>
              <w:jc w:val="right"/>
              <w:rPr>
                <w:bCs/>
                <w:sz w:val="20"/>
              </w:rPr>
            </w:pPr>
            <w:r w:rsidRPr="001D3D27">
              <w:rPr>
                <w:rFonts w:ascii="Calibri" w:hAnsi="Calibri" w:cs="Calibri"/>
                <w:sz w:val="20"/>
              </w:rPr>
              <w:t xml:space="preserve">2,290,000 </w:t>
            </w:r>
          </w:p>
        </w:tc>
        <w:tc>
          <w:tcPr>
            <w:tcW w:w="1521" w:type="dxa"/>
            <w:gridSpan w:val="3"/>
            <w:tcBorders>
              <w:top w:val="nil"/>
              <w:left w:val="nil"/>
              <w:bottom w:val="nil"/>
              <w:right w:val="nil"/>
            </w:tcBorders>
          </w:tcPr>
          <w:p w14:paraId="158AF1FA" w14:textId="77777777" w:rsidR="0028500B" w:rsidRPr="001D3D27" w:rsidRDefault="0028500B" w:rsidP="001A7CD0">
            <w:pPr>
              <w:keepLines/>
              <w:spacing w:before="40" w:after="40" w:line="256" w:lineRule="auto"/>
              <w:jc w:val="right"/>
              <w:rPr>
                <w:bCs/>
                <w:sz w:val="20"/>
              </w:rPr>
            </w:pPr>
            <w:r w:rsidRPr="001D3D27">
              <w:rPr>
                <w:rFonts w:ascii="Calibri" w:hAnsi="Calibri" w:cs="Calibri"/>
                <w:sz w:val="20"/>
              </w:rPr>
              <w:t xml:space="preserve">3,320,000 </w:t>
            </w:r>
          </w:p>
        </w:tc>
        <w:tc>
          <w:tcPr>
            <w:tcW w:w="1252" w:type="dxa"/>
            <w:gridSpan w:val="3"/>
            <w:tcBorders>
              <w:top w:val="nil"/>
              <w:left w:val="nil"/>
              <w:bottom w:val="nil"/>
              <w:right w:val="nil"/>
            </w:tcBorders>
          </w:tcPr>
          <w:p w14:paraId="0E71C516" w14:textId="77777777" w:rsidR="0028500B" w:rsidRPr="001D3D27" w:rsidRDefault="0028500B" w:rsidP="001A7CD0">
            <w:pPr>
              <w:keepLines/>
              <w:spacing w:before="40" w:after="40" w:line="256" w:lineRule="auto"/>
              <w:jc w:val="right"/>
              <w:rPr>
                <w:bCs/>
                <w:sz w:val="20"/>
              </w:rPr>
            </w:pPr>
            <w:r w:rsidRPr="001D3D27">
              <w:rPr>
                <w:rFonts w:ascii="Calibri" w:hAnsi="Calibri" w:cs="Calibri"/>
                <w:sz w:val="20"/>
              </w:rPr>
              <w:t xml:space="preserve">4,710,000 </w:t>
            </w:r>
          </w:p>
        </w:tc>
        <w:tc>
          <w:tcPr>
            <w:tcW w:w="1578" w:type="dxa"/>
            <w:gridSpan w:val="3"/>
            <w:tcBorders>
              <w:top w:val="nil"/>
              <w:left w:val="nil"/>
              <w:bottom w:val="nil"/>
              <w:right w:val="nil"/>
            </w:tcBorders>
          </w:tcPr>
          <w:p w14:paraId="462E78BD" w14:textId="5D1DA6B9" w:rsidR="0028500B" w:rsidRPr="001D3D27" w:rsidRDefault="00082432" w:rsidP="001A7CD0">
            <w:pPr>
              <w:keepLines/>
              <w:spacing w:before="40" w:after="40" w:line="256" w:lineRule="auto"/>
              <w:jc w:val="right"/>
              <w:rPr>
                <w:rFonts w:ascii="Calibri" w:hAnsi="Calibri" w:cs="Calibri"/>
                <w:sz w:val="20"/>
              </w:rPr>
            </w:pPr>
            <w:r w:rsidRPr="001D3D27">
              <w:rPr>
                <w:rFonts w:ascii="Calibri" w:hAnsi="Calibri" w:cs="Calibri"/>
                <w:sz w:val="20"/>
              </w:rPr>
              <w:t>4,823,040</w:t>
            </w:r>
          </w:p>
        </w:tc>
        <w:tc>
          <w:tcPr>
            <w:tcW w:w="1338" w:type="dxa"/>
            <w:tcBorders>
              <w:top w:val="nil"/>
              <w:left w:val="nil"/>
              <w:bottom w:val="nil"/>
              <w:right w:val="nil"/>
            </w:tcBorders>
          </w:tcPr>
          <w:p w14:paraId="3DA2987C" w14:textId="48099A54" w:rsidR="0028500B" w:rsidRPr="001D3D27" w:rsidRDefault="00082432" w:rsidP="001A7CD0">
            <w:pPr>
              <w:keepLines/>
              <w:spacing w:before="40" w:after="40" w:line="256" w:lineRule="auto"/>
              <w:jc w:val="right"/>
              <w:rPr>
                <w:bCs/>
                <w:sz w:val="20"/>
              </w:rPr>
            </w:pPr>
            <w:r w:rsidRPr="001D3D27">
              <w:rPr>
                <w:rFonts w:ascii="Calibri" w:hAnsi="Calibri" w:cs="Calibri"/>
                <w:sz w:val="20"/>
              </w:rPr>
              <w:t>17,713,040</w:t>
            </w:r>
            <w:r w:rsidR="0028500B" w:rsidRPr="001D3D27">
              <w:rPr>
                <w:rFonts w:ascii="Calibri" w:hAnsi="Calibri" w:cs="Calibri"/>
                <w:sz w:val="20"/>
              </w:rPr>
              <w:t xml:space="preserve"> </w:t>
            </w:r>
          </w:p>
        </w:tc>
      </w:tr>
      <w:tr w:rsidR="005F6234" w:rsidRPr="005E4A1B" w14:paraId="58B2D90B" w14:textId="77777777" w:rsidTr="5F4DCC5D">
        <w:trPr>
          <w:cantSplit/>
          <w:trHeight w:val="357"/>
        </w:trPr>
        <w:tc>
          <w:tcPr>
            <w:tcW w:w="5753" w:type="dxa"/>
            <w:gridSpan w:val="2"/>
            <w:tcBorders>
              <w:top w:val="nil"/>
              <w:left w:val="nil"/>
              <w:bottom w:val="nil"/>
              <w:right w:val="nil"/>
            </w:tcBorders>
            <w:tcMar>
              <w:top w:w="0" w:type="dxa"/>
              <w:left w:w="108" w:type="dxa"/>
              <w:bottom w:w="0" w:type="dxa"/>
              <w:right w:w="57" w:type="dxa"/>
            </w:tcMar>
          </w:tcPr>
          <w:p w14:paraId="7816D564" w14:textId="77777777" w:rsidR="0028500B" w:rsidRPr="001D3D27" w:rsidRDefault="0028500B" w:rsidP="008A0535">
            <w:pPr>
              <w:keepLines/>
              <w:spacing w:before="60" w:after="60" w:line="256" w:lineRule="auto"/>
              <w:ind w:left="318"/>
              <w:rPr>
                <w:sz w:val="20"/>
                <w:lang w:eastAsia="en-AU"/>
              </w:rPr>
            </w:pPr>
            <w:r w:rsidRPr="001D3D27">
              <w:rPr>
                <w:sz w:val="20"/>
                <w:lang w:eastAsia="en-AU"/>
              </w:rPr>
              <w:t xml:space="preserve">Service delivery costs at new sites </w:t>
            </w:r>
          </w:p>
        </w:tc>
        <w:tc>
          <w:tcPr>
            <w:tcW w:w="1340" w:type="dxa"/>
            <w:gridSpan w:val="3"/>
            <w:tcBorders>
              <w:top w:val="nil"/>
              <w:left w:val="nil"/>
              <w:bottom w:val="nil"/>
              <w:right w:val="nil"/>
            </w:tcBorders>
          </w:tcPr>
          <w:p w14:paraId="1F0553A4" w14:textId="77777777" w:rsidR="0028500B" w:rsidRPr="001D3D27" w:rsidRDefault="0028500B" w:rsidP="001A7CD0">
            <w:pPr>
              <w:keepLines/>
              <w:spacing w:before="40" w:after="40" w:line="256" w:lineRule="auto"/>
              <w:jc w:val="right"/>
              <w:rPr>
                <w:bCs/>
                <w:sz w:val="20"/>
              </w:rPr>
            </w:pPr>
            <w:r w:rsidRPr="001D3D27">
              <w:rPr>
                <w:rFonts w:ascii="Calibri" w:hAnsi="Calibri" w:cs="Calibri"/>
                <w:sz w:val="20"/>
              </w:rPr>
              <w:t xml:space="preserve">-   </w:t>
            </w:r>
          </w:p>
        </w:tc>
        <w:tc>
          <w:tcPr>
            <w:tcW w:w="1334" w:type="dxa"/>
            <w:gridSpan w:val="3"/>
            <w:tcBorders>
              <w:top w:val="nil"/>
              <w:left w:val="nil"/>
              <w:bottom w:val="nil"/>
              <w:right w:val="nil"/>
            </w:tcBorders>
          </w:tcPr>
          <w:p w14:paraId="2A668D3A" w14:textId="77777777" w:rsidR="0028500B" w:rsidRPr="001D3D27" w:rsidRDefault="0028500B" w:rsidP="001A7CD0">
            <w:pPr>
              <w:keepLines/>
              <w:spacing w:before="40" w:after="40" w:line="256" w:lineRule="auto"/>
              <w:jc w:val="right"/>
              <w:rPr>
                <w:bCs/>
                <w:sz w:val="20"/>
              </w:rPr>
            </w:pPr>
            <w:r w:rsidRPr="001D3D27">
              <w:rPr>
                <w:rFonts w:ascii="Calibri" w:hAnsi="Calibri" w:cs="Calibri"/>
                <w:sz w:val="20"/>
              </w:rPr>
              <w:t xml:space="preserve">-   </w:t>
            </w:r>
          </w:p>
        </w:tc>
        <w:tc>
          <w:tcPr>
            <w:tcW w:w="1334" w:type="dxa"/>
            <w:gridSpan w:val="3"/>
            <w:tcBorders>
              <w:top w:val="nil"/>
              <w:left w:val="nil"/>
              <w:bottom w:val="nil"/>
              <w:right w:val="nil"/>
            </w:tcBorders>
          </w:tcPr>
          <w:p w14:paraId="3B44AAF5" w14:textId="77777777" w:rsidR="0028500B" w:rsidRPr="001D3D27" w:rsidRDefault="0028500B" w:rsidP="001A7CD0">
            <w:pPr>
              <w:keepLines/>
              <w:spacing w:before="40" w:after="40" w:line="256" w:lineRule="auto"/>
              <w:jc w:val="right"/>
              <w:rPr>
                <w:bCs/>
                <w:sz w:val="20"/>
              </w:rPr>
            </w:pPr>
            <w:r w:rsidRPr="001D3D27">
              <w:rPr>
                <w:rFonts w:ascii="Calibri" w:hAnsi="Calibri" w:cs="Calibri"/>
                <w:sz w:val="20"/>
              </w:rPr>
              <w:t xml:space="preserve">-   </w:t>
            </w:r>
          </w:p>
        </w:tc>
        <w:tc>
          <w:tcPr>
            <w:tcW w:w="1521" w:type="dxa"/>
            <w:gridSpan w:val="3"/>
            <w:tcBorders>
              <w:top w:val="nil"/>
              <w:left w:val="nil"/>
              <w:bottom w:val="nil"/>
              <w:right w:val="nil"/>
            </w:tcBorders>
          </w:tcPr>
          <w:p w14:paraId="545F5E62" w14:textId="77777777" w:rsidR="0028500B" w:rsidRPr="001D3D27" w:rsidRDefault="0028500B" w:rsidP="001A7CD0">
            <w:pPr>
              <w:keepLines/>
              <w:spacing w:before="40" w:after="40" w:line="256" w:lineRule="auto"/>
              <w:jc w:val="right"/>
              <w:rPr>
                <w:bCs/>
                <w:sz w:val="20"/>
              </w:rPr>
            </w:pPr>
            <w:r w:rsidRPr="001D3D27">
              <w:rPr>
                <w:rFonts w:ascii="Calibri" w:hAnsi="Calibri" w:cs="Calibri"/>
                <w:sz w:val="20"/>
              </w:rPr>
              <w:t xml:space="preserve">1,090,000 </w:t>
            </w:r>
          </w:p>
        </w:tc>
        <w:tc>
          <w:tcPr>
            <w:tcW w:w="1252" w:type="dxa"/>
            <w:gridSpan w:val="3"/>
            <w:tcBorders>
              <w:top w:val="nil"/>
              <w:left w:val="nil"/>
              <w:bottom w:val="nil"/>
              <w:right w:val="nil"/>
            </w:tcBorders>
          </w:tcPr>
          <w:p w14:paraId="69B4A639" w14:textId="77777777" w:rsidR="0028500B" w:rsidRPr="001D3D27" w:rsidRDefault="0028500B" w:rsidP="001A7CD0">
            <w:pPr>
              <w:keepLines/>
              <w:spacing w:before="40" w:after="40" w:line="256" w:lineRule="auto"/>
              <w:jc w:val="right"/>
              <w:rPr>
                <w:bCs/>
                <w:sz w:val="20"/>
              </w:rPr>
            </w:pPr>
            <w:r w:rsidRPr="001D3D27">
              <w:rPr>
                <w:rFonts w:ascii="Calibri" w:hAnsi="Calibri" w:cs="Calibri"/>
                <w:sz w:val="20"/>
              </w:rPr>
              <w:t xml:space="preserve">1,570,000 </w:t>
            </w:r>
          </w:p>
        </w:tc>
        <w:tc>
          <w:tcPr>
            <w:tcW w:w="1578" w:type="dxa"/>
            <w:gridSpan w:val="3"/>
            <w:tcBorders>
              <w:top w:val="nil"/>
              <w:left w:val="nil"/>
              <w:bottom w:val="nil"/>
              <w:right w:val="nil"/>
            </w:tcBorders>
          </w:tcPr>
          <w:p w14:paraId="67D62C9B" w14:textId="194A2786" w:rsidR="0028500B" w:rsidRPr="001D3D27" w:rsidRDefault="00D070DA" w:rsidP="001A7CD0">
            <w:pPr>
              <w:keepLines/>
              <w:spacing w:before="40" w:after="40" w:line="256" w:lineRule="auto"/>
              <w:jc w:val="right"/>
              <w:rPr>
                <w:rFonts w:ascii="Calibri" w:hAnsi="Calibri" w:cs="Calibri"/>
                <w:sz w:val="20"/>
              </w:rPr>
            </w:pPr>
            <w:r w:rsidRPr="001D3D27">
              <w:rPr>
                <w:rFonts w:ascii="Calibri" w:hAnsi="Calibri" w:cs="Calibri"/>
                <w:sz w:val="20"/>
              </w:rPr>
              <w:t>1,607,680</w:t>
            </w:r>
          </w:p>
        </w:tc>
        <w:tc>
          <w:tcPr>
            <w:tcW w:w="1338" w:type="dxa"/>
            <w:tcBorders>
              <w:top w:val="nil"/>
              <w:left w:val="nil"/>
              <w:bottom w:val="nil"/>
              <w:right w:val="nil"/>
            </w:tcBorders>
          </w:tcPr>
          <w:p w14:paraId="5259C3A1" w14:textId="33726CD8" w:rsidR="0028500B" w:rsidRPr="001D3D27" w:rsidRDefault="00D070DA" w:rsidP="001A7CD0">
            <w:pPr>
              <w:keepLines/>
              <w:spacing w:before="40" w:after="40" w:line="256" w:lineRule="auto"/>
              <w:jc w:val="right"/>
              <w:rPr>
                <w:bCs/>
                <w:sz w:val="20"/>
              </w:rPr>
            </w:pPr>
            <w:r w:rsidRPr="001D3D27">
              <w:rPr>
                <w:rFonts w:ascii="Calibri" w:hAnsi="Calibri" w:cs="Calibri"/>
                <w:sz w:val="20"/>
              </w:rPr>
              <w:t>4,267,680</w:t>
            </w:r>
            <w:r w:rsidR="0028500B" w:rsidRPr="001D3D27">
              <w:rPr>
                <w:rFonts w:ascii="Calibri" w:hAnsi="Calibri" w:cs="Calibri"/>
                <w:sz w:val="20"/>
              </w:rPr>
              <w:t xml:space="preserve"> </w:t>
            </w:r>
          </w:p>
        </w:tc>
      </w:tr>
      <w:tr w:rsidR="005F6234" w:rsidRPr="005E4A1B" w14:paraId="2E0D309B" w14:textId="77777777" w:rsidTr="5F4DCC5D">
        <w:trPr>
          <w:cantSplit/>
          <w:trHeight w:val="357"/>
        </w:trPr>
        <w:tc>
          <w:tcPr>
            <w:tcW w:w="5753" w:type="dxa"/>
            <w:gridSpan w:val="2"/>
            <w:tcBorders>
              <w:top w:val="nil"/>
              <w:left w:val="nil"/>
              <w:bottom w:val="nil"/>
              <w:right w:val="nil"/>
            </w:tcBorders>
            <w:tcMar>
              <w:top w:w="0" w:type="dxa"/>
              <w:left w:w="108" w:type="dxa"/>
              <w:bottom w:w="0" w:type="dxa"/>
              <w:right w:w="57" w:type="dxa"/>
            </w:tcMar>
          </w:tcPr>
          <w:p w14:paraId="48C3AFA9" w14:textId="77777777" w:rsidR="0028500B" w:rsidRPr="001D3D27" w:rsidRDefault="0028500B" w:rsidP="008A0535">
            <w:pPr>
              <w:keepLines/>
              <w:spacing w:before="60" w:after="60" w:line="256" w:lineRule="auto"/>
              <w:rPr>
                <w:sz w:val="20"/>
                <w:lang w:eastAsia="en-AU"/>
              </w:rPr>
            </w:pPr>
            <w:r w:rsidRPr="001D3D27">
              <w:rPr>
                <w:sz w:val="20"/>
                <w:lang w:eastAsia="en-AU"/>
              </w:rPr>
              <w:lastRenderedPageBreak/>
              <w:t>Aftercare services</w:t>
            </w:r>
          </w:p>
        </w:tc>
        <w:tc>
          <w:tcPr>
            <w:tcW w:w="1340" w:type="dxa"/>
            <w:gridSpan w:val="3"/>
            <w:tcBorders>
              <w:top w:val="nil"/>
              <w:left w:val="nil"/>
              <w:bottom w:val="nil"/>
              <w:right w:val="nil"/>
            </w:tcBorders>
          </w:tcPr>
          <w:p w14:paraId="1636B1ED" w14:textId="77777777" w:rsidR="0028500B" w:rsidRPr="001D3D27" w:rsidRDefault="0028500B" w:rsidP="001A7CD0">
            <w:pPr>
              <w:keepLines/>
              <w:spacing w:before="40" w:after="40" w:line="256" w:lineRule="auto"/>
              <w:jc w:val="right"/>
              <w:rPr>
                <w:i/>
                <w:iCs/>
                <w:sz w:val="20"/>
              </w:rPr>
            </w:pPr>
            <w:r w:rsidRPr="001D3D27">
              <w:rPr>
                <w:i/>
                <w:iCs/>
                <w:sz w:val="20"/>
              </w:rPr>
              <w:t>-</w:t>
            </w:r>
          </w:p>
        </w:tc>
        <w:tc>
          <w:tcPr>
            <w:tcW w:w="1334" w:type="dxa"/>
            <w:gridSpan w:val="3"/>
            <w:tcBorders>
              <w:top w:val="nil"/>
              <w:left w:val="nil"/>
              <w:bottom w:val="nil"/>
              <w:right w:val="nil"/>
            </w:tcBorders>
          </w:tcPr>
          <w:p w14:paraId="4B54882B" w14:textId="77777777" w:rsidR="0028500B" w:rsidRPr="001D3D27" w:rsidRDefault="0028500B" w:rsidP="001A7CD0">
            <w:pPr>
              <w:keepLines/>
              <w:spacing w:before="40" w:after="40" w:line="256" w:lineRule="auto"/>
              <w:jc w:val="right"/>
              <w:rPr>
                <w:sz w:val="20"/>
              </w:rPr>
            </w:pPr>
            <w:r w:rsidRPr="001D3D27">
              <w:rPr>
                <w:sz w:val="20"/>
              </w:rPr>
              <w:t>-</w:t>
            </w:r>
          </w:p>
        </w:tc>
        <w:tc>
          <w:tcPr>
            <w:tcW w:w="1334" w:type="dxa"/>
            <w:gridSpan w:val="3"/>
            <w:tcBorders>
              <w:top w:val="nil"/>
              <w:left w:val="nil"/>
              <w:bottom w:val="nil"/>
              <w:right w:val="nil"/>
            </w:tcBorders>
          </w:tcPr>
          <w:p w14:paraId="04F8C6DF" w14:textId="77777777" w:rsidR="0028500B" w:rsidRPr="001D3D27" w:rsidRDefault="0028500B" w:rsidP="001A7CD0">
            <w:pPr>
              <w:keepLines/>
              <w:spacing w:before="40" w:after="40" w:line="256" w:lineRule="auto"/>
              <w:jc w:val="right"/>
              <w:rPr>
                <w:sz w:val="20"/>
              </w:rPr>
            </w:pPr>
            <w:r w:rsidRPr="001D3D27">
              <w:rPr>
                <w:sz w:val="20"/>
              </w:rPr>
              <w:t>5,341,000</w:t>
            </w:r>
          </w:p>
        </w:tc>
        <w:tc>
          <w:tcPr>
            <w:tcW w:w="1521" w:type="dxa"/>
            <w:gridSpan w:val="3"/>
            <w:tcBorders>
              <w:top w:val="nil"/>
              <w:left w:val="nil"/>
              <w:bottom w:val="nil"/>
              <w:right w:val="nil"/>
            </w:tcBorders>
          </w:tcPr>
          <w:p w14:paraId="56F2060B" w14:textId="77777777" w:rsidR="0028500B" w:rsidRPr="001D3D27" w:rsidRDefault="0028500B" w:rsidP="001A7CD0">
            <w:pPr>
              <w:keepLines/>
              <w:spacing w:before="40" w:after="40" w:line="256" w:lineRule="auto"/>
              <w:jc w:val="right"/>
              <w:rPr>
                <w:sz w:val="20"/>
              </w:rPr>
            </w:pPr>
            <w:r w:rsidRPr="001D3D27">
              <w:rPr>
                <w:sz w:val="20"/>
              </w:rPr>
              <w:t>3,891,000</w:t>
            </w:r>
          </w:p>
        </w:tc>
        <w:tc>
          <w:tcPr>
            <w:tcW w:w="1252" w:type="dxa"/>
            <w:gridSpan w:val="3"/>
            <w:tcBorders>
              <w:top w:val="nil"/>
              <w:left w:val="nil"/>
              <w:bottom w:val="nil"/>
              <w:right w:val="nil"/>
            </w:tcBorders>
          </w:tcPr>
          <w:p w14:paraId="1DDEB435" w14:textId="77777777" w:rsidR="0028500B" w:rsidRPr="001D3D27" w:rsidRDefault="0028500B" w:rsidP="001A7CD0">
            <w:pPr>
              <w:keepLines/>
              <w:spacing w:before="40" w:after="40" w:line="256" w:lineRule="auto"/>
              <w:jc w:val="right"/>
              <w:rPr>
                <w:sz w:val="20"/>
              </w:rPr>
            </w:pPr>
            <w:r w:rsidRPr="001D3D27">
              <w:rPr>
                <w:sz w:val="20"/>
              </w:rPr>
              <w:t>-</w:t>
            </w:r>
          </w:p>
        </w:tc>
        <w:tc>
          <w:tcPr>
            <w:tcW w:w="1578" w:type="dxa"/>
            <w:gridSpan w:val="3"/>
            <w:tcBorders>
              <w:top w:val="nil"/>
              <w:left w:val="nil"/>
              <w:bottom w:val="nil"/>
              <w:right w:val="nil"/>
            </w:tcBorders>
          </w:tcPr>
          <w:p w14:paraId="5E677B91" w14:textId="6F11A58C" w:rsidR="0028500B" w:rsidRPr="001D3D27" w:rsidRDefault="00D070DA" w:rsidP="001A7CD0">
            <w:pPr>
              <w:keepLines/>
              <w:spacing w:before="40" w:after="40" w:line="256" w:lineRule="auto"/>
              <w:jc w:val="right"/>
              <w:rPr>
                <w:sz w:val="20"/>
              </w:rPr>
            </w:pPr>
            <w:r w:rsidRPr="001D3D27">
              <w:rPr>
                <w:sz w:val="20"/>
              </w:rPr>
              <w:t>4,068,056</w:t>
            </w:r>
          </w:p>
        </w:tc>
        <w:tc>
          <w:tcPr>
            <w:tcW w:w="1338" w:type="dxa"/>
            <w:tcBorders>
              <w:top w:val="nil"/>
              <w:left w:val="nil"/>
              <w:bottom w:val="nil"/>
              <w:right w:val="nil"/>
            </w:tcBorders>
          </w:tcPr>
          <w:p w14:paraId="03B4116D" w14:textId="47C67CA0" w:rsidR="0028500B" w:rsidRPr="001D3D27" w:rsidRDefault="00C72162" w:rsidP="001A7CD0">
            <w:pPr>
              <w:keepLines/>
              <w:spacing w:before="40" w:after="40" w:line="256" w:lineRule="auto"/>
              <w:jc w:val="right"/>
              <w:rPr>
                <w:rFonts w:ascii="Calibri" w:hAnsi="Calibri" w:cs="Calibri"/>
                <w:sz w:val="20"/>
              </w:rPr>
            </w:pPr>
            <w:r w:rsidRPr="001D3D27">
              <w:rPr>
                <w:sz w:val="20"/>
              </w:rPr>
              <w:t>13,300,056</w:t>
            </w:r>
          </w:p>
        </w:tc>
      </w:tr>
      <w:tr w:rsidR="005F6234" w:rsidRPr="005E4A1B" w14:paraId="31174722" w14:textId="77777777" w:rsidTr="5F4DCC5D">
        <w:trPr>
          <w:cantSplit/>
          <w:trHeight w:val="357"/>
        </w:trPr>
        <w:tc>
          <w:tcPr>
            <w:tcW w:w="5753" w:type="dxa"/>
            <w:gridSpan w:val="2"/>
            <w:tcBorders>
              <w:top w:val="nil"/>
              <w:left w:val="nil"/>
              <w:bottom w:val="nil"/>
              <w:right w:val="nil"/>
            </w:tcBorders>
            <w:tcMar>
              <w:top w:w="0" w:type="dxa"/>
              <w:left w:w="108" w:type="dxa"/>
              <w:bottom w:w="0" w:type="dxa"/>
              <w:right w:w="57" w:type="dxa"/>
            </w:tcMar>
          </w:tcPr>
          <w:p w14:paraId="4B0E7204" w14:textId="77777777" w:rsidR="0028500B" w:rsidRPr="001D3D27" w:rsidRDefault="0028500B" w:rsidP="008A0535">
            <w:pPr>
              <w:keepLines/>
              <w:spacing w:before="60" w:after="60" w:line="256" w:lineRule="auto"/>
              <w:rPr>
                <w:sz w:val="20"/>
                <w:lang w:eastAsia="en-AU"/>
              </w:rPr>
            </w:pPr>
            <w:r w:rsidRPr="001D3D27">
              <w:rPr>
                <w:sz w:val="20"/>
              </w:rPr>
              <w:t>Distress Brief Support Trial</w:t>
            </w:r>
          </w:p>
        </w:tc>
        <w:tc>
          <w:tcPr>
            <w:tcW w:w="1340" w:type="dxa"/>
            <w:gridSpan w:val="3"/>
            <w:tcBorders>
              <w:top w:val="nil"/>
              <w:left w:val="nil"/>
              <w:bottom w:val="nil"/>
              <w:right w:val="nil"/>
            </w:tcBorders>
          </w:tcPr>
          <w:p w14:paraId="0438D6C7" w14:textId="77777777" w:rsidR="0028500B" w:rsidRPr="001D3D27" w:rsidRDefault="0028500B" w:rsidP="001A7CD0">
            <w:pPr>
              <w:keepLines/>
              <w:spacing w:before="40" w:after="40" w:line="256" w:lineRule="auto"/>
              <w:jc w:val="right"/>
              <w:rPr>
                <w:i/>
                <w:iCs/>
                <w:sz w:val="20"/>
              </w:rPr>
            </w:pPr>
            <w:r w:rsidRPr="001D3D27">
              <w:rPr>
                <w:i/>
                <w:iCs/>
                <w:sz w:val="20"/>
              </w:rPr>
              <w:t>-</w:t>
            </w:r>
          </w:p>
        </w:tc>
        <w:tc>
          <w:tcPr>
            <w:tcW w:w="1334" w:type="dxa"/>
            <w:gridSpan w:val="3"/>
            <w:tcBorders>
              <w:top w:val="nil"/>
              <w:left w:val="nil"/>
              <w:bottom w:val="nil"/>
              <w:right w:val="nil"/>
            </w:tcBorders>
          </w:tcPr>
          <w:p w14:paraId="1394432C" w14:textId="77777777" w:rsidR="0028500B" w:rsidRPr="001D3D27" w:rsidRDefault="0028500B" w:rsidP="001A7CD0">
            <w:pPr>
              <w:keepLines/>
              <w:spacing w:before="40" w:after="40" w:line="256" w:lineRule="auto"/>
              <w:jc w:val="right"/>
              <w:rPr>
                <w:sz w:val="20"/>
              </w:rPr>
            </w:pPr>
            <w:r w:rsidRPr="001D3D27">
              <w:rPr>
                <w:sz w:val="20"/>
              </w:rPr>
              <w:t>-</w:t>
            </w:r>
          </w:p>
        </w:tc>
        <w:tc>
          <w:tcPr>
            <w:tcW w:w="1334" w:type="dxa"/>
            <w:gridSpan w:val="3"/>
            <w:tcBorders>
              <w:top w:val="nil"/>
              <w:left w:val="nil"/>
              <w:bottom w:val="nil"/>
              <w:right w:val="nil"/>
            </w:tcBorders>
          </w:tcPr>
          <w:p w14:paraId="39E1AF46" w14:textId="77777777" w:rsidR="0028500B" w:rsidRPr="001D3D27" w:rsidRDefault="0028500B" w:rsidP="001A7CD0">
            <w:pPr>
              <w:keepLines/>
              <w:spacing w:before="40" w:after="40" w:line="256" w:lineRule="auto"/>
              <w:jc w:val="right"/>
              <w:rPr>
                <w:sz w:val="20"/>
              </w:rPr>
            </w:pPr>
            <w:r w:rsidRPr="001D3D27">
              <w:rPr>
                <w:sz w:val="20"/>
              </w:rPr>
              <w:t>1,823,000</w:t>
            </w:r>
          </w:p>
        </w:tc>
        <w:tc>
          <w:tcPr>
            <w:tcW w:w="1521" w:type="dxa"/>
            <w:gridSpan w:val="3"/>
            <w:tcBorders>
              <w:top w:val="nil"/>
              <w:left w:val="nil"/>
              <w:bottom w:val="nil"/>
              <w:right w:val="nil"/>
            </w:tcBorders>
          </w:tcPr>
          <w:p w14:paraId="220DE46D" w14:textId="77777777" w:rsidR="0028500B" w:rsidRPr="001D3D27" w:rsidRDefault="0028500B" w:rsidP="001A7CD0">
            <w:pPr>
              <w:keepLines/>
              <w:spacing w:before="40" w:after="40" w:line="256" w:lineRule="auto"/>
              <w:jc w:val="right"/>
              <w:rPr>
                <w:sz w:val="20"/>
              </w:rPr>
            </w:pPr>
            <w:r w:rsidRPr="001D3D27">
              <w:rPr>
                <w:sz w:val="20"/>
              </w:rPr>
              <w:t>624,000</w:t>
            </w:r>
          </w:p>
        </w:tc>
        <w:tc>
          <w:tcPr>
            <w:tcW w:w="1252" w:type="dxa"/>
            <w:gridSpan w:val="3"/>
            <w:tcBorders>
              <w:top w:val="nil"/>
              <w:left w:val="nil"/>
              <w:bottom w:val="nil"/>
              <w:right w:val="nil"/>
            </w:tcBorders>
          </w:tcPr>
          <w:p w14:paraId="0A00F4D4" w14:textId="77777777" w:rsidR="0028500B" w:rsidRPr="001D3D27" w:rsidRDefault="0028500B" w:rsidP="001A7CD0">
            <w:pPr>
              <w:keepLines/>
              <w:spacing w:before="40" w:after="40" w:line="256" w:lineRule="auto"/>
              <w:jc w:val="right"/>
              <w:rPr>
                <w:sz w:val="20"/>
              </w:rPr>
            </w:pPr>
            <w:r w:rsidRPr="001D3D27">
              <w:rPr>
                <w:sz w:val="20"/>
              </w:rPr>
              <w:t>-</w:t>
            </w:r>
          </w:p>
        </w:tc>
        <w:tc>
          <w:tcPr>
            <w:tcW w:w="1578" w:type="dxa"/>
            <w:gridSpan w:val="3"/>
            <w:tcBorders>
              <w:top w:val="nil"/>
              <w:left w:val="nil"/>
              <w:bottom w:val="nil"/>
              <w:right w:val="nil"/>
            </w:tcBorders>
          </w:tcPr>
          <w:p w14:paraId="13CE3D1E" w14:textId="5DE41689" w:rsidR="0028500B" w:rsidRPr="001D3D27" w:rsidRDefault="00C72162" w:rsidP="001A7CD0">
            <w:pPr>
              <w:keepLines/>
              <w:spacing w:before="40" w:after="40" w:line="256" w:lineRule="auto"/>
              <w:jc w:val="right"/>
              <w:rPr>
                <w:sz w:val="20"/>
              </w:rPr>
            </w:pPr>
            <w:r w:rsidRPr="001D3D27">
              <w:rPr>
                <w:sz w:val="20"/>
              </w:rPr>
              <w:t>652,394</w:t>
            </w:r>
          </w:p>
        </w:tc>
        <w:tc>
          <w:tcPr>
            <w:tcW w:w="1338" w:type="dxa"/>
            <w:tcBorders>
              <w:top w:val="nil"/>
              <w:left w:val="nil"/>
              <w:bottom w:val="nil"/>
              <w:right w:val="nil"/>
            </w:tcBorders>
          </w:tcPr>
          <w:p w14:paraId="61BD2A93" w14:textId="24A7DE05" w:rsidR="0028500B" w:rsidRPr="001D3D27" w:rsidRDefault="00E456B6" w:rsidP="001A7CD0">
            <w:pPr>
              <w:keepLines/>
              <w:spacing w:before="40" w:after="40" w:line="256" w:lineRule="auto"/>
              <w:jc w:val="right"/>
              <w:rPr>
                <w:rFonts w:ascii="Calibri" w:hAnsi="Calibri" w:cs="Calibri"/>
                <w:sz w:val="20"/>
              </w:rPr>
            </w:pPr>
            <w:r w:rsidRPr="001D3D27">
              <w:rPr>
                <w:sz w:val="20"/>
              </w:rPr>
              <w:t>3,099,394</w:t>
            </w:r>
          </w:p>
        </w:tc>
      </w:tr>
      <w:tr w:rsidR="005F6234" w:rsidRPr="005E4A1B" w14:paraId="325297B9" w14:textId="77777777" w:rsidTr="5F4DCC5D">
        <w:trPr>
          <w:cantSplit/>
          <w:trHeight w:val="357"/>
        </w:trPr>
        <w:tc>
          <w:tcPr>
            <w:tcW w:w="5753" w:type="dxa"/>
            <w:gridSpan w:val="2"/>
            <w:tcBorders>
              <w:top w:val="nil"/>
              <w:left w:val="nil"/>
              <w:bottom w:val="nil"/>
              <w:right w:val="nil"/>
            </w:tcBorders>
            <w:tcMar>
              <w:top w:w="0" w:type="dxa"/>
              <w:left w:w="108" w:type="dxa"/>
              <w:bottom w:w="0" w:type="dxa"/>
              <w:right w:w="57" w:type="dxa"/>
            </w:tcMar>
          </w:tcPr>
          <w:p w14:paraId="6510B53F" w14:textId="77777777" w:rsidR="0028500B" w:rsidRPr="001D3D27" w:rsidRDefault="0028500B" w:rsidP="008A0535">
            <w:pPr>
              <w:keepLines/>
              <w:spacing w:before="60" w:after="60" w:line="256" w:lineRule="auto"/>
              <w:rPr>
                <w:sz w:val="20"/>
                <w:lang w:eastAsia="en-AU"/>
              </w:rPr>
            </w:pPr>
            <w:r w:rsidRPr="001D3D27">
              <w:rPr>
                <w:sz w:val="20"/>
              </w:rPr>
              <w:t>Postvention</w:t>
            </w:r>
          </w:p>
        </w:tc>
        <w:tc>
          <w:tcPr>
            <w:tcW w:w="1340" w:type="dxa"/>
            <w:gridSpan w:val="3"/>
            <w:tcBorders>
              <w:top w:val="nil"/>
              <w:left w:val="nil"/>
              <w:bottom w:val="nil"/>
              <w:right w:val="nil"/>
            </w:tcBorders>
          </w:tcPr>
          <w:p w14:paraId="4D06202E" w14:textId="77777777" w:rsidR="0028500B" w:rsidRPr="001D3D27" w:rsidRDefault="0028500B" w:rsidP="001A7CD0">
            <w:pPr>
              <w:keepLines/>
              <w:spacing w:before="40" w:after="40" w:line="256" w:lineRule="auto"/>
              <w:jc w:val="right"/>
              <w:rPr>
                <w:i/>
                <w:iCs/>
                <w:sz w:val="20"/>
              </w:rPr>
            </w:pPr>
            <w:r w:rsidRPr="001D3D27">
              <w:rPr>
                <w:i/>
                <w:iCs/>
                <w:sz w:val="20"/>
              </w:rPr>
              <w:t>-</w:t>
            </w:r>
          </w:p>
        </w:tc>
        <w:tc>
          <w:tcPr>
            <w:tcW w:w="1334" w:type="dxa"/>
            <w:gridSpan w:val="3"/>
            <w:tcBorders>
              <w:top w:val="nil"/>
              <w:left w:val="nil"/>
              <w:bottom w:val="nil"/>
              <w:right w:val="nil"/>
            </w:tcBorders>
          </w:tcPr>
          <w:p w14:paraId="7F0D6CEF" w14:textId="77777777" w:rsidR="0028500B" w:rsidRPr="001D3D27" w:rsidRDefault="0028500B" w:rsidP="001A7CD0">
            <w:pPr>
              <w:keepLines/>
              <w:spacing w:before="40" w:after="40" w:line="256" w:lineRule="auto"/>
              <w:jc w:val="right"/>
              <w:rPr>
                <w:sz w:val="20"/>
              </w:rPr>
            </w:pPr>
            <w:r w:rsidRPr="001D3D27">
              <w:rPr>
                <w:sz w:val="20"/>
              </w:rPr>
              <w:t>-</w:t>
            </w:r>
          </w:p>
        </w:tc>
        <w:tc>
          <w:tcPr>
            <w:tcW w:w="1334" w:type="dxa"/>
            <w:gridSpan w:val="3"/>
            <w:tcBorders>
              <w:top w:val="nil"/>
              <w:left w:val="nil"/>
              <w:bottom w:val="nil"/>
              <w:right w:val="nil"/>
            </w:tcBorders>
          </w:tcPr>
          <w:p w14:paraId="41190010" w14:textId="77777777" w:rsidR="0028500B" w:rsidRPr="001D3D27" w:rsidRDefault="0028500B" w:rsidP="001A7CD0">
            <w:pPr>
              <w:keepLines/>
              <w:spacing w:before="40" w:after="40" w:line="256" w:lineRule="auto"/>
              <w:jc w:val="right"/>
              <w:rPr>
                <w:sz w:val="20"/>
              </w:rPr>
            </w:pPr>
            <w:r w:rsidRPr="001D3D27">
              <w:rPr>
                <w:sz w:val="20"/>
              </w:rPr>
              <w:t>1,056,000</w:t>
            </w:r>
          </w:p>
        </w:tc>
        <w:tc>
          <w:tcPr>
            <w:tcW w:w="1521" w:type="dxa"/>
            <w:gridSpan w:val="3"/>
            <w:tcBorders>
              <w:top w:val="nil"/>
              <w:left w:val="nil"/>
              <w:bottom w:val="nil"/>
              <w:right w:val="nil"/>
            </w:tcBorders>
          </w:tcPr>
          <w:p w14:paraId="77244DBC" w14:textId="77777777" w:rsidR="0028500B" w:rsidRPr="001D3D27" w:rsidRDefault="0028500B" w:rsidP="001A7CD0">
            <w:pPr>
              <w:keepLines/>
              <w:spacing w:before="40" w:after="40" w:line="256" w:lineRule="auto"/>
              <w:jc w:val="right"/>
              <w:rPr>
                <w:sz w:val="20"/>
              </w:rPr>
            </w:pPr>
            <w:r w:rsidRPr="001D3D27">
              <w:rPr>
                <w:sz w:val="20"/>
              </w:rPr>
              <w:t>1,056,000</w:t>
            </w:r>
          </w:p>
        </w:tc>
        <w:tc>
          <w:tcPr>
            <w:tcW w:w="1252" w:type="dxa"/>
            <w:gridSpan w:val="3"/>
            <w:tcBorders>
              <w:top w:val="nil"/>
              <w:left w:val="nil"/>
              <w:bottom w:val="nil"/>
              <w:right w:val="nil"/>
            </w:tcBorders>
          </w:tcPr>
          <w:p w14:paraId="46C72307" w14:textId="3AC45E41" w:rsidR="0028500B" w:rsidRPr="001D3D27" w:rsidRDefault="00FF1029" w:rsidP="001A7CD0">
            <w:pPr>
              <w:keepLines/>
              <w:spacing w:before="40" w:after="40" w:line="256" w:lineRule="auto"/>
              <w:jc w:val="right"/>
              <w:rPr>
                <w:sz w:val="20"/>
              </w:rPr>
            </w:pPr>
            <w:r>
              <w:rPr>
                <w:sz w:val="20"/>
              </w:rPr>
              <w:t>1,056,000</w:t>
            </w:r>
          </w:p>
        </w:tc>
        <w:tc>
          <w:tcPr>
            <w:tcW w:w="1578" w:type="dxa"/>
            <w:gridSpan w:val="3"/>
            <w:tcBorders>
              <w:top w:val="nil"/>
              <w:left w:val="nil"/>
              <w:bottom w:val="nil"/>
              <w:right w:val="nil"/>
            </w:tcBorders>
          </w:tcPr>
          <w:p w14:paraId="2AE7751F" w14:textId="53B99696" w:rsidR="0028500B" w:rsidRPr="001D3D27" w:rsidRDefault="00C72162" w:rsidP="001A7CD0">
            <w:pPr>
              <w:keepLines/>
              <w:spacing w:before="40" w:after="40" w:line="256" w:lineRule="auto"/>
              <w:jc w:val="right"/>
              <w:rPr>
                <w:sz w:val="20"/>
              </w:rPr>
            </w:pPr>
            <w:r w:rsidRPr="001D3D27">
              <w:rPr>
                <w:sz w:val="20"/>
              </w:rPr>
              <w:t>1,104,052</w:t>
            </w:r>
          </w:p>
        </w:tc>
        <w:tc>
          <w:tcPr>
            <w:tcW w:w="1338" w:type="dxa"/>
            <w:tcBorders>
              <w:top w:val="nil"/>
              <w:left w:val="nil"/>
              <w:bottom w:val="nil"/>
              <w:right w:val="nil"/>
            </w:tcBorders>
          </w:tcPr>
          <w:p w14:paraId="60979596" w14:textId="3AAE6CEC" w:rsidR="0028500B" w:rsidRPr="001D3D27" w:rsidRDefault="00FF1029" w:rsidP="001A7CD0">
            <w:pPr>
              <w:keepLines/>
              <w:spacing w:before="40" w:after="40" w:line="256" w:lineRule="auto"/>
              <w:jc w:val="right"/>
              <w:rPr>
                <w:rFonts w:ascii="Calibri" w:hAnsi="Calibri" w:cs="Calibri"/>
                <w:sz w:val="20"/>
              </w:rPr>
            </w:pPr>
            <w:r>
              <w:rPr>
                <w:sz w:val="20"/>
              </w:rPr>
              <w:t>4,267,680</w:t>
            </w:r>
          </w:p>
        </w:tc>
      </w:tr>
      <w:tr w:rsidR="006C64EE" w:rsidRPr="005E4A1B" w14:paraId="6B034C28" w14:textId="77777777" w:rsidTr="5F4DCC5D">
        <w:trPr>
          <w:cantSplit/>
          <w:trHeight w:val="357"/>
        </w:trPr>
        <w:tc>
          <w:tcPr>
            <w:tcW w:w="5753" w:type="dxa"/>
            <w:gridSpan w:val="2"/>
            <w:tcBorders>
              <w:top w:val="single" w:sz="4" w:space="0" w:color="auto"/>
              <w:left w:val="nil"/>
              <w:bottom w:val="nil"/>
              <w:right w:val="nil"/>
            </w:tcBorders>
            <w:tcMar>
              <w:top w:w="0" w:type="dxa"/>
              <w:left w:w="108" w:type="dxa"/>
              <w:bottom w:w="0" w:type="dxa"/>
              <w:right w:w="57" w:type="dxa"/>
            </w:tcMar>
            <w:vAlign w:val="center"/>
          </w:tcPr>
          <w:p w14:paraId="25937431" w14:textId="77777777" w:rsidR="006C64EE" w:rsidRPr="001D3D27" w:rsidRDefault="006C64EE" w:rsidP="006C64EE">
            <w:pPr>
              <w:keepLines/>
              <w:spacing w:before="60" w:after="60" w:line="256" w:lineRule="auto"/>
              <w:rPr>
                <w:sz w:val="20"/>
                <w:lang w:eastAsia="en-AU"/>
              </w:rPr>
            </w:pPr>
            <w:r w:rsidRPr="001D3D27">
              <w:rPr>
                <w:rFonts w:cstheme="minorHAnsi"/>
                <w:b/>
                <w:bCs/>
                <w:sz w:val="20"/>
              </w:rPr>
              <w:t>Commonwealth total contribution</w:t>
            </w:r>
          </w:p>
        </w:tc>
        <w:tc>
          <w:tcPr>
            <w:tcW w:w="1340" w:type="dxa"/>
            <w:gridSpan w:val="3"/>
            <w:tcBorders>
              <w:top w:val="single" w:sz="4" w:space="0" w:color="auto"/>
              <w:left w:val="nil"/>
              <w:bottom w:val="nil"/>
              <w:right w:val="nil"/>
            </w:tcBorders>
            <w:vAlign w:val="center"/>
          </w:tcPr>
          <w:p w14:paraId="24DD496E" w14:textId="77777777" w:rsidR="006C64EE" w:rsidRPr="001D3D27" w:rsidRDefault="006C64EE" w:rsidP="006C64EE">
            <w:pPr>
              <w:keepLines/>
              <w:spacing w:before="40" w:after="40" w:line="256" w:lineRule="auto"/>
              <w:jc w:val="right"/>
              <w:rPr>
                <w:rFonts w:cstheme="minorHAnsi"/>
                <w:b/>
                <w:i/>
                <w:iCs/>
                <w:sz w:val="20"/>
              </w:rPr>
            </w:pPr>
            <w:r w:rsidRPr="001D3D27">
              <w:rPr>
                <w:rFonts w:cstheme="minorHAnsi"/>
                <w:b/>
                <w:color w:val="000000"/>
                <w:sz w:val="20"/>
              </w:rPr>
              <w:t xml:space="preserve">170,000 </w:t>
            </w:r>
          </w:p>
        </w:tc>
        <w:tc>
          <w:tcPr>
            <w:tcW w:w="1334" w:type="dxa"/>
            <w:gridSpan w:val="3"/>
            <w:tcBorders>
              <w:top w:val="single" w:sz="4" w:space="0" w:color="auto"/>
              <w:left w:val="nil"/>
              <w:bottom w:val="nil"/>
              <w:right w:val="nil"/>
            </w:tcBorders>
            <w:vAlign w:val="center"/>
          </w:tcPr>
          <w:p w14:paraId="5856BB54" w14:textId="04181DCF" w:rsidR="006C64EE" w:rsidRPr="001D3D27" w:rsidRDefault="006C64EE" w:rsidP="006C64EE">
            <w:pPr>
              <w:keepLines/>
              <w:spacing w:before="40" w:after="40" w:line="256" w:lineRule="auto"/>
              <w:jc w:val="right"/>
              <w:rPr>
                <w:rFonts w:cstheme="minorHAnsi"/>
                <w:b/>
                <w:color w:val="000000"/>
                <w:sz w:val="20"/>
              </w:rPr>
            </w:pPr>
            <w:r w:rsidRPr="001D3D27">
              <w:rPr>
                <w:rFonts w:cstheme="minorHAnsi"/>
                <w:b/>
                <w:color w:val="000000"/>
                <w:sz w:val="20"/>
              </w:rPr>
              <w:t>7,707,561</w:t>
            </w:r>
          </w:p>
        </w:tc>
        <w:tc>
          <w:tcPr>
            <w:tcW w:w="1334" w:type="dxa"/>
            <w:gridSpan w:val="3"/>
            <w:tcBorders>
              <w:top w:val="single" w:sz="4" w:space="0" w:color="auto"/>
              <w:left w:val="nil"/>
              <w:bottom w:val="nil"/>
              <w:right w:val="nil"/>
            </w:tcBorders>
            <w:vAlign w:val="center"/>
          </w:tcPr>
          <w:p w14:paraId="125D7277" w14:textId="2C3C42F3" w:rsidR="006C64EE" w:rsidRPr="001D3D27" w:rsidRDefault="006C64EE" w:rsidP="006C64EE">
            <w:pPr>
              <w:keepLines/>
              <w:spacing w:before="40" w:after="40" w:line="256" w:lineRule="auto"/>
              <w:jc w:val="right"/>
              <w:rPr>
                <w:rFonts w:cstheme="minorHAnsi"/>
                <w:b/>
                <w:color w:val="000000"/>
                <w:sz w:val="20"/>
              </w:rPr>
            </w:pPr>
            <w:r w:rsidRPr="001D3D27">
              <w:rPr>
                <w:rFonts w:cstheme="minorHAnsi"/>
                <w:b/>
                <w:color w:val="000000"/>
                <w:sz w:val="20"/>
              </w:rPr>
              <w:t>28,284,573</w:t>
            </w:r>
          </w:p>
        </w:tc>
        <w:tc>
          <w:tcPr>
            <w:tcW w:w="1521" w:type="dxa"/>
            <w:gridSpan w:val="3"/>
            <w:tcBorders>
              <w:top w:val="single" w:sz="4" w:space="0" w:color="auto"/>
              <w:left w:val="nil"/>
              <w:bottom w:val="nil"/>
              <w:right w:val="nil"/>
            </w:tcBorders>
            <w:vAlign w:val="center"/>
          </w:tcPr>
          <w:p w14:paraId="25FCF6C1" w14:textId="1EE13953" w:rsidR="006C64EE" w:rsidRPr="001D3D27" w:rsidRDefault="006C64EE" w:rsidP="006C64EE">
            <w:pPr>
              <w:keepLines/>
              <w:spacing w:before="40" w:after="40" w:line="256" w:lineRule="auto"/>
              <w:jc w:val="right"/>
              <w:rPr>
                <w:rFonts w:cstheme="minorHAnsi"/>
                <w:b/>
                <w:color w:val="000000"/>
                <w:sz w:val="20"/>
              </w:rPr>
            </w:pPr>
            <w:r w:rsidRPr="001D3D27">
              <w:rPr>
                <w:rFonts w:cstheme="minorHAnsi"/>
                <w:b/>
                <w:color w:val="000000"/>
                <w:sz w:val="20"/>
              </w:rPr>
              <w:t>29,637,558</w:t>
            </w:r>
          </w:p>
        </w:tc>
        <w:tc>
          <w:tcPr>
            <w:tcW w:w="1252" w:type="dxa"/>
            <w:gridSpan w:val="3"/>
            <w:tcBorders>
              <w:top w:val="single" w:sz="4" w:space="0" w:color="auto"/>
              <w:left w:val="nil"/>
              <w:bottom w:val="nil"/>
              <w:right w:val="nil"/>
            </w:tcBorders>
            <w:vAlign w:val="center"/>
          </w:tcPr>
          <w:p w14:paraId="74931470" w14:textId="6491E57F" w:rsidR="006C64EE" w:rsidRPr="001D3D27" w:rsidRDefault="00FF1029" w:rsidP="006C64EE">
            <w:pPr>
              <w:keepLines/>
              <w:spacing w:before="40" w:after="40" w:line="256" w:lineRule="auto"/>
              <w:jc w:val="right"/>
              <w:rPr>
                <w:rFonts w:cstheme="minorHAnsi"/>
                <w:b/>
                <w:color w:val="000000"/>
                <w:sz w:val="20"/>
              </w:rPr>
            </w:pPr>
            <w:r>
              <w:rPr>
                <w:rFonts w:cstheme="minorHAnsi"/>
                <w:b/>
                <w:color w:val="000000"/>
                <w:sz w:val="20"/>
              </w:rPr>
              <w:t>27,378,464</w:t>
            </w:r>
          </w:p>
        </w:tc>
        <w:tc>
          <w:tcPr>
            <w:tcW w:w="1578" w:type="dxa"/>
            <w:gridSpan w:val="3"/>
            <w:tcBorders>
              <w:top w:val="single" w:sz="4" w:space="0" w:color="auto"/>
              <w:left w:val="nil"/>
              <w:bottom w:val="nil"/>
              <w:right w:val="nil"/>
            </w:tcBorders>
          </w:tcPr>
          <w:p w14:paraId="52ED0CE6" w14:textId="471EFFA6" w:rsidR="006C64EE" w:rsidRPr="001D3D27" w:rsidRDefault="006C64EE" w:rsidP="006C64EE">
            <w:pPr>
              <w:keepLines/>
              <w:spacing w:before="40" w:after="40" w:line="256" w:lineRule="auto"/>
              <w:jc w:val="right"/>
              <w:rPr>
                <w:rFonts w:cstheme="minorHAnsi"/>
                <w:b/>
                <w:color w:val="000000"/>
                <w:sz w:val="20"/>
              </w:rPr>
            </w:pPr>
            <w:r w:rsidRPr="001D3D27">
              <w:rPr>
                <w:rFonts w:cstheme="minorHAnsi"/>
                <w:b/>
                <w:color w:val="000000"/>
                <w:sz w:val="20"/>
              </w:rPr>
              <w:t>32,901,469</w:t>
            </w:r>
          </w:p>
        </w:tc>
        <w:tc>
          <w:tcPr>
            <w:tcW w:w="1338" w:type="dxa"/>
            <w:tcBorders>
              <w:top w:val="single" w:sz="4" w:space="0" w:color="auto"/>
              <w:left w:val="nil"/>
              <w:bottom w:val="nil"/>
              <w:right w:val="nil"/>
            </w:tcBorders>
          </w:tcPr>
          <w:p w14:paraId="49841415" w14:textId="38ABBEA5" w:rsidR="006C64EE" w:rsidRPr="001D3D27" w:rsidRDefault="006C64EE" w:rsidP="006C64EE">
            <w:pPr>
              <w:keepLines/>
              <w:spacing w:before="40" w:after="40" w:line="256" w:lineRule="auto"/>
              <w:jc w:val="right"/>
              <w:rPr>
                <w:rFonts w:cstheme="minorHAnsi"/>
                <w:b/>
                <w:sz w:val="20"/>
              </w:rPr>
            </w:pPr>
            <w:r w:rsidRPr="001D3D27">
              <w:rPr>
                <w:b/>
                <w:sz w:val="20"/>
              </w:rPr>
              <w:t>12</w:t>
            </w:r>
            <w:r w:rsidR="00FF1029">
              <w:rPr>
                <w:b/>
                <w:sz w:val="20"/>
              </w:rPr>
              <w:t>6,079625</w:t>
            </w:r>
          </w:p>
        </w:tc>
      </w:tr>
      <w:tr w:rsidR="008B7467" w:rsidRPr="005E4A1B" w14:paraId="416556A8" w14:textId="77777777" w:rsidTr="5F4DCC5D">
        <w:trPr>
          <w:cantSplit/>
          <w:trHeight w:val="357"/>
        </w:trPr>
        <w:tc>
          <w:tcPr>
            <w:tcW w:w="5753" w:type="dxa"/>
            <w:gridSpan w:val="2"/>
            <w:tcBorders>
              <w:top w:val="single" w:sz="4" w:space="0" w:color="auto"/>
              <w:left w:val="nil"/>
              <w:bottom w:val="single" w:sz="4" w:space="0" w:color="auto"/>
              <w:right w:val="nil"/>
            </w:tcBorders>
            <w:tcMar>
              <w:top w:w="0" w:type="dxa"/>
              <w:left w:w="108" w:type="dxa"/>
              <w:bottom w:w="0" w:type="dxa"/>
              <w:right w:w="57" w:type="dxa"/>
            </w:tcMar>
            <w:vAlign w:val="center"/>
          </w:tcPr>
          <w:p w14:paraId="788D9543" w14:textId="77777777" w:rsidR="00E456B6" w:rsidRPr="001D3D27" w:rsidRDefault="00E456B6" w:rsidP="00E456B6">
            <w:pPr>
              <w:keepLines/>
              <w:spacing w:before="60" w:after="60" w:line="256" w:lineRule="auto"/>
              <w:ind w:left="34"/>
              <w:rPr>
                <w:color w:val="000000"/>
                <w:sz w:val="20"/>
                <w:lang w:eastAsia="en-AU"/>
              </w:rPr>
            </w:pPr>
          </w:p>
        </w:tc>
        <w:tc>
          <w:tcPr>
            <w:tcW w:w="1340" w:type="dxa"/>
            <w:gridSpan w:val="3"/>
            <w:tcBorders>
              <w:top w:val="single" w:sz="4" w:space="0" w:color="auto"/>
              <w:left w:val="nil"/>
              <w:bottom w:val="single" w:sz="4" w:space="0" w:color="auto"/>
              <w:right w:val="nil"/>
            </w:tcBorders>
          </w:tcPr>
          <w:p w14:paraId="6AA4198F" w14:textId="77777777" w:rsidR="00E456B6" w:rsidRPr="001D3D27" w:rsidRDefault="00E456B6" w:rsidP="00E456B6">
            <w:pPr>
              <w:keepLines/>
              <w:spacing w:before="40" w:after="40" w:line="256" w:lineRule="auto"/>
              <w:jc w:val="right"/>
              <w:rPr>
                <w:color w:val="000000"/>
                <w:sz w:val="20"/>
                <w:lang w:eastAsia="en-AU"/>
              </w:rPr>
            </w:pPr>
          </w:p>
        </w:tc>
        <w:tc>
          <w:tcPr>
            <w:tcW w:w="1334" w:type="dxa"/>
            <w:gridSpan w:val="3"/>
            <w:tcBorders>
              <w:top w:val="single" w:sz="4" w:space="0" w:color="auto"/>
              <w:left w:val="nil"/>
              <w:bottom w:val="single" w:sz="4" w:space="0" w:color="auto"/>
              <w:right w:val="nil"/>
            </w:tcBorders>
          </w:tcPr>
          <w:p w14:paraId="34756448" w14:textId="77777777" w:rsidR="00E456B6" w:rsidRPr="001D3D27" w:rsidRDefault="00E456B6" w:rsidP="00E456B6">
            <w:pPr>
              <w:keepLines/>
              <w:spacing w:before="40" w:after="40" w:line="256" w:lineRule="auto"/>
              <w:jc w:val="right"/>
              <w:rPr>
                <w:color w:val="000000"/>
                <w:sz w:val="20"/>
                <w:lang w:eastAsia="en-AU"/>
              </w:rPr>
            </w:pPr>
          </w:p>
        </w:tc>
        <w:tc>
          <w:tcPr>
            <w:tcW w:w="1334" w:type="dxa"/>
            <w:gridSpan w:val="3"/>
            <w:tcBorders>
              <w:top w:val="single" w:sz="4" w:space="0" w:color="auto"/>
              <w:left w:val="nil"/>
              <w:bottom w:val="single" w:sz="4" w:space="0" w:color="auto"/>
              <w:right w:val="nil"/>
            </w:tcBorders>
          </w:tcPr>
          <w:p w14:paraId="1694F620" w14:textId="77777777" w:rsidR="00E456B6" w:rsidRPr="001D3D27" w:rsidRDefault="00E456B6" w:rsidP="00E456B6">
            <w:pPr>
              <w:keepLines/>
              <w:spacing w:before="40" w:after="40" w:line="256" w:lineRule="auto"/>
              <w:jc w:val="right"/>
              <w:rPr>
                <w:color w:val="000000"/>
                <w:sz w:val="20"/>
                <w:lang w:eastAsia="en-AU"/>
              </w:rPr>
            </w:pPr>
          </w:p>
        </w:tc>
        <w:tc>
          <w:tcPr>
            <w:tcW w:w="1521" w:type="dxa"/>
            <w:gridSpan w:val="3"/>
            <w:tcBorders>
              <w:top w:val="single" w:sz="4" w:space="0" w:color="auto"/>
              <w:left w:val="nil"/>
              <w:bottom w:val="single" w:sz="4" w:space="0" w:color="auto"/>
              <w:right w:val="nil"/>
            </w:tcBorders>
          </w:tcPr>
          <w:p w14:paraId="6BB2E68A" w14:textId="77777777" w:rsidR="00E456B6" w:rsidRPr="001D3D27" w:rsidRDefault="00E456B6" w:rsidP="00E456B6">
            <w:pPr>
              <w:keepLines/>
              <w:spacing w:before="40" w:after="40" w:line="256" w:lineRule="auto"/>
              <w:jc w:val="right"/>
              <w:rPr>
                <w:color w:val="000000"/>
                <w:sz w:val="20"/>
                <w:lang w:eastAsia="en-AU"/>
              </w:rPr>
            </w:pPr>
          </w:p>
        </w:tc>
        <w:tc>
          <w:tcPr>
            <w:tcW w:w="1252" w:type="dxa"/>
            <w:gridSpan w:val="3"/>
            <w:tcBorders>
              <w:top w:val="single" w:sz="4" w:space="0" w:color="auto"/>
              <w:left w:val="nil"/>
              <w:bottom w:val="single" w:sz="4" w:space="0" w:color="auto"/>
              <w:right w:val="nil"/>
            </w:tcBorders>
          </w:tcPr>
          <w:p w14:paraId="49432FD2" w14:textId="77777777" w:rsidR="00E456B6" w:rsidRPr="001D3D27" w:rsidRDefault="00E456B6" w:rsidP="00E456B6">
            <w:pPr>
              <w:keepLines/>
              <w:spacing w:before="40" w:after="40" w:line="256" w:lineRule="auto"/>
              <w:jc w:val="right"/>
              <w:rPr>
                <w:color w:val="000000"/>
                <w:sz w:val="20"/>
                <w:lang w:eastAsia="en-AU"/>
              </w:rPr>
            </w:pPr>
          </w:p>
        </w:tc>
        <w:tc>
          <w:tcPr>
            <w:tcW w:w="1578" w:type="dxa"/>
            <w:gridSpan w:val="3"/>
            <w:tcBorders>
              <w:top w:val="single" w:sz="4" w:space="0" w:color="auto"/>
              <w:left w:val="nil"/>
              <w:bottom w:val="single" w:sz="4" w:space="0" w:color="auto"/>
              <w:right w:val="nil"/>
            </w:tcBorders>
          </w:tcPr>
          <w:p w14:paraId="254C6C2E" w14:textId="77777777" w:rsidR="00E456B6" w:rsidRPr="001D3D27" w:rsidRDefault="00E456B6" w:rsidP="00E456B6">
            <w:pPr>
              <w:keepLines/>
              <w:spacing w:before="40" w:after="40" w:line="256" w:lineRule="auto"/>
              <w:jc w:val="right"/>
              <w:rPr>
                <w:color w:val="000000"/>
                <w:sz w:val="20"/>
                <w:lang w:eastAsia="en-AU"/>
              </w:rPr>
            </w:pPr>
          </w:p>
        </w:tc>
        <w:tc>
          <w:tcPr>
            <w:tcW w:w="1338" w:type="dxa"/>
            <w:tcBorders>
              <w:top w:val="single" w:sz="4" w:space="0" w:color="auto"/>
              <w:left w:val="nil"/>
              <w:bottom w:val="single" w:sz="4" w:space="0" w:color="auto"/>
              <w:right w:val="nil"/>
            </w:tcBorders>
          </w:tcPr>
          <w:p w14:paraId="318E7683" w14:textId="2B52DF47" w:rsidR="00E456B6" w:rsidRPr="001D3D27" w:rsidRDefault="00E456B6" w:rsidP="00E456B6">
            <w:pPr>
              <w:keepLines/>
              <w:spacing w:before="40" w:after="40" w:line="256" w:lineRule="auto"/>
              <w:jc w:val="right"/>
              <w:rPr>
                <w:color w:val="000000"/>
                <w:sz w:val="20"/>
                <w:lang w:eastAsia="en-AU"/>
              </w:rPr>
            </w:pPr>
          </w:p>
        </w:tc>
      </w:tr>
      <w:tr w:rsidR="00E44A1B" w:rsidRPr="005E4A1B" w14:paraId="7CAE7373" w14:textId="77777777" w:rsidTr="5F4DCC5D">
        <w:trPr>
          <w:cantSplit/>
          <w:trHeight w:val="357"/>
        </w:trPr>
        <w:tc>
          <w:tcPr>
            <w:tcW w:w="5753" w:type="dxa"/>
            <w:gridSpan w:val="2"/>
            <w:tcBorders>
              <w:top w:val="single" w:sz="4" w:space="0" w:color="auto"/>
              <w:left w:val="nil"/>
              <w:bottom w:val="single" w:sz="4" w:space="0" w:color="auto"/>
              <w:right w:val="nil"/>
            </w:tcBorders>
            <w:shd w:val="clear" w:color="auto" w:fill="D9D9D9" w:themeFill="background1" w:themeFillShade="D9"/>
            <w:tcMar>
              <w:top w:w="0" w:type="dxa"/>
              <w:left w:w="108" w:type="dxa"/>
              <w:bottom w:w="0" w:type="dxa"/>
              <w:right w:w="57" w:type="dxa"/>
            </w:tcMar>
            <w:hideMark/>
          </w:tcPr>
          <w:p w14:paraId="67BA476A" w14:textId="77777777" w:rsidR="00E456B6" w:rsidRPr="001D3D27" w:rsidRDefault="00E456B6" w:rsidP="00E456B6">
            <w:pPr>
              <w:keepLines/>
              <w:spacing w:before="60" w:after="60" w:line="256" w:lineRule="auto"/>
              <w:ind w:left="-108"/>
              <w:rPr>
                <w:color w:val="000000"/>
                <w:sz w:val="20"/>
                <w:lang w:eastAsia="en-AU"/>
              </w:rPr>
            </w:pPr>
            <w:r w:rsidRPr="001D3D27">
              <w:rPr>
                <w:b/>
                <w:bCs/>
                <w:sz w:val="24"/>
                <w:szCs w:val="21"/>
              </w:rPr>
              <w:t xml:space="preserve">South Australia </w:t>
            </w:r>
            <w:r w:rsidRPr="001D3D27">
              <w:rPr>
                <w:rFonts w:cstheme="minorHAnsi"/>
                <w:b/>
                <w:sz w:val="24"/>
                <w:szCs w:val="24"/>
              </w:rPr>
              <w:t>contribution</w:t>
            </w:r>
          </w:p>
        </w:tc>
        <w:tc>
          <w:tcPr>
            <w:tcW w:w="1012" w:type="dxa"/>
            <w:tcBorders>
              <w:top w:val="single" w:sz="4" w:space="0" w:color="auto"/>
              <w:left w:val="nil"/>
              <w:bottom w:val="single" w:sz="4" w:space="0" w:color="auto"/>
              <w:right w:val="nil"/>
            </w:tcBorders>
            <w:shd w:val="clear" w:color="auto" w:fill="D9D9D9" w:themeFill="background1" w:themeFillShade="D9"/>
          </w:tcPr>
          <w:p w14:paraId="7052AC49" w14:textId="77777777" w:rsidR="00E456B6" w:rsidRPr="001D3D27" w:rsidRDefault="00E456B6" w:rsidP="00E456B6">
            <w:pPr>
              <w:keepLines/>
              <w:spacing w:before="40" w:after="40" w:line="256" w:lineRule="auto"/>
              <w:jc w:val="right"/>
              <w:rPr>
                <w:color w:val="000000"/>
                <w:sz w:val="20"/>
                <w:lang w:eastAsia="en-AU"/>
              </w:rPr>
            </w:pPr>
          </w:p>
        </w:tc>
        <w:tc>
          <w:tcPr>
            <w:tcW w:w="1384" w:type="dxa"/>
            <w:gridSpan w:val="3"/>
            <w:tcBorders>
              <w:top w:val="single" w:sz="4" w:space="0" w:color="auto"/>
              <w:left w:val="nil"/>
              <w:bottom w:val="single" w:sz="4" w:space="0" w:color="auto"/>
              <w:right w:val="nil"/>
            </w:tcBorders>
            <w:shd w:val="clear" w:color="auto" w:fill="D9D9D9" w:themeFill="background1" w:themeFillShade="D9"/>
          </w:tcPr>
          <w:p w14:paraId="2EA8533F" w14:textId="77777777" w:rsidR="00E456B6" w:rsidRPr="001D3D27" w:rsidRDefault="00E456B6" w:rsidP="00E456B6">
            <w:pPr>
              <w:keepLines/>
              <w:spacing w:before="40" w:after="40" w:line="256" w:lineRule="auto"/>
              <w:jc w:val="right"/>
              <w:rPr>
                <w:color w:val="000000"/>
                <w:sz w:val="20"/>
                <w:lang w:eastAsia="en-AU"/>
              </w:rPr>
            </w:pPr>
          </w:p>
        </w:tc>
        <w:tc>
          <w:tcPr>
            <w:tcW w:w="1385" w:type="dxa"/>
            <w:gridSpan w:val="3"/>
            <w:tcBorders>
              <w:top w:val="single" w:sz="4" w:space="0" w:color="auto"/>
              <w:left w:val="nil"/>
              <w:bottom w:val="single" w:sz="4" w:space="0" w:color="auto"/>
              <w:right w:val="nil"/>
            </w:tcBorders>
            <w:shd w:val="clear" w:color="auto" w:fill="D9D9D9" w:themeFill="background1" w:themeFillShade="D9"/>
          </w:tcPr>
          <w:p w14:paraId="0A8E72EE" w14:textId="77777777" w:rsidR="00E456B6" w:rsidRPr="001D3D27" w:rsidRDefault="00E456B6" w:rsidP="00E456B6">
            <w:pPr>
              <w:keepLines/>
              <w:spacing w:before="40" w:after="40" w:line="256" w:lineRule="auto"/>
              <w:jc w:val="right"/>
              <w:rPr>
                <w:color w:val="000000"/>
                <w:sz w:val="20"/>
                <w:lang w:eastAsia="en-AU"/>
              </w:rPr>
            </w:pPr>
          </w:p>
        </w:tc>
        <w:tc>
          <w:tcPr>
            <w:tcW w:w="1385" w:type="dxa"/>
            <w:gridSpan w:val="3"/>
            <w:tcBorders>
              <w:top w:val="single" w:sz="4" w:space="0" w:color="auto"/>
              <w:left w:val="nil"/>
              <w:bottom w:val="single" w:sz="4" w:space="0" w:color="auto"/>
              <w:right w:val="nil"/>
            </w:tcBorders>
            <w:shd w:val="clear" w:color="auto" w:fill="D9D9D9" w:themeFill="background1" w:themeFillShade="D9"/>
          </w:tcPr>
          <w:p w14:paraId="15DBBC2D" w14:textId="77777777" w:rsidR="00E456B6" w:rsidRPr="001D3D27" w:rsidRDefault="00E456B6" w:rsidP="00E456B6">
            <w:pPr>
              <w:keepLines/>
              <w:spacing w:before="40" w:after="40" w:line="256" w:lineRule="auto"/>
              <w:jc w:val="right"/>
              <w:rPr>
                <w:color w:val="000000"/>
                <w:sz w:val="20"/>
                <w:lang w:eastAsia="en-AU"/>
              </w:rPr>
            </w:pPr>
          </w:p>
        </w:tc>
        <w:tc>
          <w:tcPr>
            <w:tcW w:w="1385" w:type="dxa"/>
            <w:gridSpan w:val="3"/>
            <w:tcBorders>
              <w:top w:val="single" w:sz="4" w:space="0" w:color="auto"/>
              <w:left w:val="nil"/>
              <w:bottom w:val="single" w:sz="4" w:space="0" w:color="auto"/>
              <w:right w:val="nil"/>
            </w:tcBorders>
            <w:shd w:val="clear" w:color="auto" w:fill="D9D9D9" w:themeFill="background1" w:themeFillShade="D9"/>
          </w:tcPr>
          <w:p w14:paraId="29CEC82A" w14:textId="77777777" w:rsidR="00E456B6" w:rsidRPr="001D3D27" w:rsidRDefault="00E456B6" w:rsidP="00E456B6">
            <w:pPr>
              <w:keepLines/>
              <w:spacing w:before="40" w:after="40" w:line="256" w:lineRule="auto"/>
              <w:jc w:val="right"/>
              <w:rPr>
                <w:color w:val="000000"/>
                <w:sz w:val="20"/>
                <w:lang w:eastAsia="en-AU"/>
              </w:rPr>
            </w:pPr>
          </w:p>
        </w:tc>
        <w:tc>
          <w:tcPr>
            <w:tcW w:w="1521" w:type="dxa"/>
            <w:gridSpan w:val="3"/>
            <w:tcBorders>
              <w:top w:val="single" w:sz="4" w:space="0" w:color="auto"/>
              <w:left w:val="nil"/>
              <w:bottom w:val="single" w:sz="4" w:space="0" w:color="auto"/>
              <w:right w:val="nil"/>
            </w:tcBorders>
            <w:shd w:val="clear" w:color="auto" w:fill="D9D9D9" w:themeFill="background1" w:themeFillShade="D9"/>
          </w:tcPr>
          <w:p w14:paraId="5F44D538" w14:textId="77777777" w:rsidR="00E456B6" w:rsidRPr="001D3D27" w:rsidRDefault="00E456B6" w:rsidP="00E456B6">
            <w:pPr>
              <w:keepLines/>
              <w:spacing w:before="40" w:after="40" w:line="256" w:lineRule="auto"/>
              <w:jc w:val="right"/>
              <w:rPr>
                <w:color w:val="000000"/>
                <w:sz w:val="20"/>
                <w:lang w:eastAsia="en-AU"/>
              </w:rPr>
            </w:pPr>
          </w:p>
        </w:tc>
        <w:tc>
          <w:tcPr>
            <w:tcW w:w="1625" w:type="dxa"/>
            <w:gridSpan w:val="3"/>
            <w:tcBorders>
              <w:top w:val="single" w:sz="4" w:space="0" w:color="auto"/>
              <w:left w:val="nil"/>
              <w:bottom w:val="single" w:sz="4" w:space="0" w:color="auto"/>
              <w:right w:val="nil"/>
            </w:tcBorders>
            <w:shd w:val="clear" w:color="auto" w:fill="D9D9D9" w:themeFill="background1" w:themeFillShade="D9"/>
          </w:tcPr>
          <w:p w14:paraId="7CE1C779" w14:textId="6E4EC768" w:rsidR="00E456B6" w:rsidRPr="001D3D27" w:rsidRDefault="00E456B6" w:rsidP="00E456B6">
            <w:pPr>
              <w:keepLines/>
              <w:spacing w:before="40" w:after="40" w:line="256" w:lineRule="auto"/>
              <w:jc w:val="right"/>
              <w:rPr>
                <w:color w:val="000000"/>
                <w:sz w:val="20"/>
                <w:lang w:eastAsia="en-AU"/>
              </w:rPr>
            </w:pPr>
          </w:p>
        </w:tc>
      </w:tr>
      <w:tr w:rsidR="009963BE" w:rsidRPr="005E4A1B" w14:paraId="4346D63F" w14:textId="77777777" w:rsidTr="5F4DCC5D">
        <w:trPr>
          <w:cantSplit/>
          <w:trHeight w:val="357"/>
        </w:trPr>
        <w:tc>
          <w:tcPr>
            <w:tcW w:w="5753" w:type="dxa"/>
            <w:gridSpan w:val="2"/>
            <w:tcBorders>
              <w:top w:val="single" w:sz="4" w:space="0" w:color="auto"/>
              <w:left w:val="nil"/>
              <w:bottom w:val="nil"/>
              <w:right w:val="nil"/>
            </w:tcBorders>
            <w:tcMar>
              <w:top w:w="0" w:type="dxa"/>
              <w:left w:w="108" w:type="dxa"/>
              <w:bottom w:w="0" w:type="dxa"/>
              <w:right w:w="57" w:type="dxa"/>
            </w:tcMar>
            <w:vAlign w:val="center"/>
            <w:hideMark/>
          </w:tcPr>
          <w:p w14:paraId="4B9004C7" w14:textId="77777777" w:rsidR="00E456B6" w:rsidRPr="001D3D27" w:rsidRDefault="00E456B6" w:rsidP="00E456B6">
            <w:pPr>
              <w:keepLines/>
              <w:spacing w:before="60" w:after="60" w:line="256" w:lineRule="auto"/>
              <w:ind w:left="34"/>
              <w:rPr>
                <w:rFonts w:cstheme="minorHAnsi"/>
                <w:sz w:val="20"/>
              </w:rPr>
            </w:pPr>
            <w:r w:rsidRPr="001D3D27">
              <w:rPr>
                <w:b/>
                <w:bCs/>
                <w:sz w:val="20"/>
              </w:rPr>
              <w:t xml:space="preserve">South Australia </w:t>
            </w:r>
            <w:r w:rsidRPr="001D3D27">
              <w:rPr>
                <w:b/>
                <w:bCs/>
                <w:color w:val="000000"/>
                <w:sz w:val="20"/>
                <w:lang w:eastAsia="en-AU"/>
              </w:rPr>
              <w:t>financial commitments</w:t>
            </w:r>
          </w:p>
        </w:tc>
        <w:tc>
          <w:tcPr>
            <w:tcW w:w="1029" w:type="dxa"/>
            <w:gridSpan w:val="2"/>
            <w:tcBorders>
              <w:top w:val="single" w:sz="4" w:space="0" w:color="auto"/>
              <w:left w:val="nil"/>
              <w:bottom w:val="nil"/>
              <w:right w:val="nil"/>
            </w:tcBorders>
            <w:vAlign w:val="center"/>
            <w:hideMark/>
          </w:tcPr>
          <w:p w14:paraId="6F1425D3" w14:textId="77777777" w:rsidR="00E456B6" w:rsidRPr="001D3D27" w:rsidRDefault="00E456B6" w:rsidP="00E456B6">
            <w:pPr>
              <w:keepLines/>
              <w:spacing w:before="40" w:after="40" w:line="256" w:lineRule="auto"/>
              <w:jc w:val="right"/>
              <w:rPr>
                <w:rFonts w:cstheme="minorHAnsi"/>
                <w:b/>
                <w:bCs/>
                <w:sz w:val="20"/>
              </w:rPr>
            </w:pPr>
            <w:r w:rsidRPr="001D3D27">
              <w:rPr>
                <w:rFonts w:cstheme="minorHAnsi"/>
                <w:b/>
                <w:bCs/>
                <w:sz w:val="20"/>
              </w:rPr>
              <w:t>2,900,000</w:t>
            </w:r>
          </w:p>
        </w:tc>
        <w:tc>
          <w:tcPr>
            <w:tcW w:w="1385" w:type="dxa"/>
            <w:gridSpan w:val="3"/>
            <w:tcBorders>
              <w:top w:val="single" w:sz="4" w:space="0" w:color="auto"/>
              <w:left w:val="nil"/>
              <w:bottom w:val="nil"/>
              <w:right w:val="nil"/>
            </w:tcBorders>
            <w:vAlign w:val="center"/>
          </w:tcPr>
          <w:p w14:paraId="72FC0031" w14:textId="77777777" w:rsidR="00E456B6" w:rsidRPr="001D3D27" w:rsidRDefault="00E456B6" w:rsidP="00E456B6">
            <w:pPr>
              <w:widowControl/>
              <w:spacing w:after="0"/>
              <w:jc w:val="right"/>
              <w:rPr>
                <w:rFonts w:ascii="Calibri" w:hAnsi="Calibri" w:cs="Calibri"/>
                <w:b/>
                <w:bCs/>
                <w:sz w:val="20"/>
              </w:rPr>
            </w:pPr>
            <w:r w:rsidRPr="001D3D27">
              <w:rPr>
                <w:rFonts w:ascii="Calibri" w:hAnsi="Calibri" w:cs="Calibri"/>
                <w:b/>
                <w:bCs/>
                <w:sz w:val="20"/>
              </w:rPr>
              <w:t>12,800,000</w:t>
            </w:r>
          </w:p>
        </w:tc>
        <w:tc>
          <w:tcPr>
            <w:tcW w:w="1386" w:type="dxa"/>
            <w:gridSpan w:val="3"/>
            <w:tcBorders>
              <w:top w:val="single" w:sz="4" w:space="0" w:color="auto"/>
              <w:left w:val="nil"/>
              <w:bottom w:val="nil"/>
              <w:right w:val="nil"/>
            </w:tcBorders>
            <w:vAlign w:val="center"/>
          </w:tcPr>
          <w:p w14:paraId="48A05169" w14:textId="77777777" w:rsidR="00E456B6" w:rsidRPr="001D3D27" w:rsidRDefault="00E456B6" w:rsidP="00E456B6">
            <w:pPr>
              <w:widowControl/>
              <w:spacing w:after="0"/>
              <w:jc w:val="right"/>
              <w:rPr>
                <w:rFonts w:ascii="Calibri" w:hAnsi="Calibri" w:cs="Calibri"/>
                <w:b/>
                <w:bCs/>
                <w:sz w:val="20"/>
              </w:rPr>
            </w:pPr>
            <w:r w:rsidRPr="001D3D27">
              <w:rPr>
                <w:rFonts w:ascii="Calibri" w:hAnsi="Calibri" w:cs="Calibri"/>
                <w:b/>
                <w:bCs/>
                <w:sz w:val="20"/>
              </w:rPr>
              <w:t>12,900,000</w:t>
            </w:r>
          </w:p>
        </w:tc>
        <w:tc>
          <w:tcPr>
            <w:tcW w:w="1386" w:type="dxa"/>
            <w:gridSpan w:val="3"/>
            <w:tcBorders>
              <w:top w:val="single" w:sz="4" w:space="0" w:color="auto"/>
              <w:left w:val="nil"/>
              <w:bottom w:val="nil"/>
              <w:right w:val="nil"/>
            </w:tcBorders>
            <w:vAlign w:val="center"/>
          </w:tcPr>
          <w:p w14:paraId="495FFB7E" w14:textId="77777777" w:rsidR="00E456B6" w:rsidRPr="001D3D27" w:rsidRDefault="00E456B6" w:rsidP="00E456B6">
            <w:pPr>
              <w:widowControl/>
              <w:spacing w:after="0"/>
              <w:jc w:val="right"/>
              <w:rPr>
                <w:rFonts w:ascii="Calibri" w:hAnsi="Calibri" w:cs="Calibri"/>
                <w:b/>
                <w:bCs/>
                <w:sz w:val="20"/>
              </w:rPr>
            </w:pPr>
            <w:r w:rsidRPr="001D3D27">
              <w:rPr>
                <w:rFonts w:ascii="Calibri" w:hAnsi="Calibri" w:cs="Calibri"/>
                <w:b/>
                <w:bCs/>
                <w:sz w:val="20"/>
              </w:rPr>
              <w:t>16,400,000</w:t>
            </w:r>
          </w:p>
        </w:tc>
        <w:tc>
          <w:tcPr>
            <w:tcW w:w="1480" w:type="dxa"/>
            <w:gridSpan w:val="3"/>
            <w:tcBorders>
              <w:top w:val="single" w:sz="4" w:space="0" w:color="auto"/>
              <w:left w:val="nil"/>
              <w:bottom w:val="nil"/>
              <w:right w:val="nil"/>
            </w:tcBorders>
          </w:tcPr>
          <w:p w14:paraId="6BA7AFB1" w14:textId="77777777" w:rsidR="00E456B6" w:rsidRPr="001D3D27" w:rsidRDefault="00E456B6" w:rsidP="00E456B6">
            <w:pPr>
              <w:widowControl/>
              <w:spacing w:after="0"/>
              <w:jc w:val="right"/>
              <w:rPr>
                <w:rFonts w:ascii="Calibri" w:hAnsi="Calibri" w:cs="Calibri"/>
                <w:b/>
                <w:bCs/>
                <w:sz w:val="20"/>
              </w:rPr>
            </w:pPr>
          </w:p>
          <w:p w14:paraId="77F00BEB" w14:textId="262EC77C" w:rsidR="00E456B6" w:rsidRPr="001D3D27" w:rsidRDefault="00E456B6" w:rsidP="00E456B6">
            <w:pPr>
              <w:widowControl/>
              <w:spacing w:after="0"/>
              <w:jc w:val="right"/>
              <w:rPr>
                <w:rFonts w:ascii="Calibri" w:hAnsi="Calibri" w:cs="Calibri"/>
                <w:b/>
                <w:bCs/>
                <w:sz w:val="20"/>
              </w:rPr>
            </w:pPr>
            <w:r w:rsidRPr="001D3D27">
              <w:rPr>
                <w:rFonts w:ascii="Calibri" w:hAnsi="Calibri" w:cs="Calibri"/>
                <w:b/>
                <w:bCs/>
                <w:sz w:val="20"/>
              </w:rPr>
              <w:t>16,800,000</w:t>
            </w:r>
          </w:p>
          <w:p w14:paraId="518FABA5" w14:textId="34CD7998" w:rsidR="00E456B6" w:rsidRPr="001D3D27" w:rsidRDefault="00E456B6" w:rsidP="00E456B6">
            <w:pPr>
              <w:widowControl/>
              <w:spacing w:after="0"/>
              <w:jc w:val="right"/>
              <w:rPr>
                <w:rFonts w:ascii="Calibri" w:hAnsi="Calibri" w:cs="Calibri"/>
                <w:b/>
                <w:bCs/>
                <w:sz w:val="20"/>
              </w:rPr>
            </w:pPr>
          </w:p>
        </w:tc>
        <w:tc>
          <w:tcPr>
            <w:tcW w:w="1521" w:type="dxa"/>
            <w:gridSpan w:val="3"/>
            <w:tcBorders>
              <w:top w:val="single" w:sz="4" w:space="0" w:color="auto"/>
              <w:left w:val="nil"/>
              <w:bottom w:val="nil"/>
              <w:right w:val="nil"/>
            </w:tcBorders>
            <w:vAlign w:val="center"/>
          </w:tcPr>
          <w:p w14:paraId="023FDC28" w14:textId="6CE071B7" w:rsidR="00E456B6" w:rsidRPr="001D3D27" w:rsidRDefault="5236516E" w:rsidP="5F4DCC5D">
            <w:pPr>
              <w:widowControl/>
              <w:spacing w:after="0"/>
              <w:jc w:val="right"/>
            </w:pPr>
            <w:r w:rsidRPr="5F4DCC5D">
              <w:rPr>
                <w:rFonts w:ascii="Calibri" w:hAnsi="Calibri" w:cs="Calibri"/>
                <w:b/>
                <w:bCs/>
                <w:sz w:val="20"/>
              </w:rPr>
              <w:t>18,374,720</w:t>
            </w:r>
          </w:p>
        </w:tc>
        <w:tc>
          <w:tcPr>
            <w:tcW w:w="1510" w:type="dxa"/>
            <w:gridSpan w:val="2"/>
            <w:tcBorders>
              <w:top w:val="single" w:sz="4" w:space="0" w:color="auto"/>
              <w:left w:val="nil"/>
              <w:bottom w:val="nil"/>
              <w:right w:val="nil"/>
            </w:tcBorders>
            <w:vAlign w:val="center"/>
          </w:tcPr>
          <w:p w14:paraId="66ED93AA" w14:textId="34B7DD75" w:rsidR="00E456B6" w:rsidRPr="001D3D27" w:rsidRDefault="5236516E" w:rsidP="5F4DCC5D">
            <w:pPr>
              <w:widowControl/>
              <w:spacing w:after="0"/>
              <w:jc w:val="right"/>
            </w:pPr>
            <w:r w:rsidRPr="5F4DCC5D">
              <w:rPr>
                <w:rFonts w:ascii="Calibri" w:hAnsi="Calibri" w:cs="Calibri"/>
                <w:b/>
                <w:bCs/>
                <w:color w:val="000000" w:themeColor="text1"/>
                <w:sz w:val="20"/>
              </w:rPr>
              <w:t>80,174,720</w:t>
            </w:r>
          </w:p>
        </w:tc>
      </w:tr>
      <w:tr w:rsidR="00E456B6" w:rsidRPr="005E4A1B" w14:paraId="0C381DF5" w14:textId="77777777" w:rsidTr="5F4DCC5D">
        <w:trPr>
          <w:cantSplit/>
          <w:trHeight w:val="357"/>
        </w:trPr>
        <w:tc>
          <w:tcPr>
            <w:tcW w:w="4562" w:type="dxa"/>
            <w:tcBorders>
              <w:top w:val="nil"/>
              <w:left w:val="nil"/>
              <w:bottom w:val="nil"/>
              <w:right w:val="nil"/>
            </w:tcBorders>
          </w:tcPr>
          <w:p w14:paraId="67BFD44E" w14:textId="23D9D109" w:rsidR="00E456B6" w:rsidRPr="001D3D27" w:rsidRDefault="00E456B6" w:rsidP="00E456B6">
            <w:pPr>
              <w:keepLines/>
              <w:spacing w:before="40" w:after="40" w:line="256" w:lineRule="auto"/>
              <w:rPr>
                <w:sz w:val="20"/>
                <w:lang w:eastAsia="en-AU"/>
              </w:rPr>
            </w:pPr>
            <w:r w:rsidRPr="001D3D27">
              <w:rPr>
                <w:sz w:val="20"/>
                <w:lang w:eastAsia="en-AU"/>
              </w:rPr>
              <w:t>Adult mental health centre and satellite network</w:t>
            </w:r>
          </w:p>
        </w:tc>
        <w:tc>
          <w:tcPr>
            <w:tcW w:w="10888" w:type="dxa"/>
            <w:gridSpan w:val="20"/>
            <w:tcBorders>
              <w:top w:val="nil"/>
              <w:left w:val="nil"/>
              <w:bottom w:val="nil"/>
              <w:right w:val="nil"/>
            </w:tcBorders>
            <w:tcMar>
              <w:top w:w="0" w:type="dxa"/>
              <w:left w:w="108" w:type="dxa"/>
              <w:bottom w:w="0" w:type="dxa"/>
              <w:right w:w="57" w:type="dxa"/>
            </w:tcMar>
            <w:hideMark/>
          </w:tcPr>
          <w:p w14:paraId="0F96188A" w14:textId="5568135A" w:rsidR="00E456B6" w:rsidRPr="001D3D27" w:rsidRDefault="00E456B6" w:rsidP="00E456B6">
            <w:pPr>
              <w:keepLines/>
              <w:spacing w:before="40" w:after="40" w:line="256" w:lineRule="auto"/>
              <w:rPr>
                <w:rFonts w:cstheme="minorHAnsi"/>
                <w:b/>
                <w:bCs/>
                <w:sz w:val="20"/>
              </w:rPr>
            </w:pPr>
          </w:p>
        </w:tc>
      </w:tr>
      <w:tr w:rsidR="00E456B6" w:rsidRPr="005E4A1B" w14:paraId="50783E8C" w14:textId="77777777" w:rsidTr="00371518">
        <w:trPr>
          <w:cantSplit/>
          <w:trHeight w:val="357"/>
        </w:trPr>
        <w:tc>
          <w:tcPr>
            <w:tcW w:w="5753" w:type="dxa"/>
            <w:gridSpan w:val="2"/>
            <w:tcBorders>
              <w:top w:val="nil"/>
              <w:left w:val="nil"/>
              <w:bottom w:val="nil"/>
              <w:right w:val="nil"/>
            </w:tcBorders>
            <w:tcMar>
              <w:top w:w="0" w:type="dxa"/>
              <w:left w:w="108" w:type="dxa"/>
              <w:bottom w:w="0" w:type="dxa"/>
              <w:right w:w="57" w:type="dxa"/>
            </w:tcMar>
            <w:vAlign w:val="center"/>
          </w:tcPr>
          <w:p w14:paraId="5FE1FFD7" w14:textId="349B93EC" w:rsidR="00E456B6" w:rsidRPr="001D3D27" w:rsidRDefault="00E456B6" w:rsidP="00E456B6">
            <w:pPr>
              <w:keepLines/>
              <w:spacing w:before="60" w:after="60" w:line="256" w:lineRule="auto"/>
              <w:ind w:left="318"/>
              <w:rPr>
                <w:rFonts w:cstheme="minorHAnsi"/>
                <w:sz w:val="20"/>
              </w:rPr>
            </w:pPr>
            <w:r w:rsidRPr="001D3D27">
              <w:rPr>
                <w:sz w:val="20"/>
                <w:lang w:eastAsia="en-AU"/>
              </w:rPr>
              <w:t xml:space="preserve">Crisis Stabilisation Centre (to be co-located with a Medicare Mental Health Centre) (state funded) </w:t>
            </w:r>
          </w:p>
        </w:tc>
        <w:tc>
          <w:tcPr>
            <w:tcW w:w="1012" w:type="dxa"/>
            <w:tcBorders>
              <w:top w:val="nil"/>
              <w:left w:val="nil"/>
              <w:bottom w:val="nil"/>
              <w:right w:val="nil"/>
            </w:tcBorders>
            <w:vAlign w:val="center"/>
          </w:tcPr>
          <w:p w14:paraId="7C20D203" w14:textId="667CA013" w:rsidR="00E456B6" w:rsidRPr="001D3D27" w:rsidRDefault="00371518" w:rsidP="00371518">
            <w:pPr>
              <w:keepLines/>
              <w:spacing w:before="40" w:after="40" w:line="256" w:lineRule="auto"/>
              <w:ind w:right="-144"/>
              <w:rPr>
                <w:rFonts w:cstheme="minorHAnsi"/>
                <w:b/>
                <w:bCs/>
                <w:sz w:val="20"/>
              </w:rPr>
            </w:pPr>
            <w:r>
              <w:rPr>
                <w:rFonts w:ascii="Calibri" w:hAnsi="Calibri" w:cs="Calibri"/>
                <w:iCs/>
                <w:sz w:val="20"/>
              </w:rPr>
              <w:t>2</w:t>
            </w:r>
            <w:r w:rsidR="00E456B6" w:rsidRPr="001D3D27">
              <w:rPr>
                <w:rFonts w:ascii="Calibri" w:hAnsi="Calibri" w:cs="Calibri"/>
                <w:iCs/>
                <w:sz w:val="20"/>
              </w:rPr>
              <w:t xml:space="preserve">,900,000 </w:t>
            </w:r>
          </w:p>
        </w:tc>
        <w:tc>
          <w:tcPr>
            <w:tcW w:w="1384" w:type="dxa"/>
            <w:gridSpan w:val="3"/>
            <w:tcBorders>
              <w:top w:val="nil"/>
              <w:left w:val="nil"/>
              <w:bottom w:val="nil"/>
              <w:right w:val="nil"/>
            </w:tcBorders>
            <w:vAlign w:val="center"/>
          </w:tcPr>
          <w:p w14:paraId="1225C769" w14:textId="77777777" w:rsidR="00E456B6" w:rsidRPr="001D3D27" w:rsidRDefault="00E456B6" w:rsidP="00E456B6">
            <w:pPr>
              <w:keepLines/>
              <w:spacing w:before="40" w:after="40" w:line="256" w:lineRule="auto"/>
              <w:jc w:val="right"/>
              <w:rPr>
                <w:rFonts w:cstheme="minorHAnsi"/>
                <w:b/>
                <w:bCs/>
                <w:sz w:val="20"/>
              </w:rPr>
            </w:pPr>
            <w:r w:rsidRPr="001D3D27">
              <w:rPr>
                <w:rFonts w:ascii="Calibri" w:hAnsi="Calibri" w:cs="Calibri"/>
                <w:iCs/>
                <w:sz w:val="20"/>
              </w:rPr>
              <w:t>11,700,000</w:t>
            </w:r>
          </w:p>
        </w:tc>
        <w:tc>
          <w:tcPr>
            <w:tcW w:w="1385" w:type="dxa"/>
            <w:gridSpan w:val="3"/>
            <w:tcBorders>
              <w:top w:val="nil"/>
              <w:left w:val="nil"/>
              <w:bottom w:val="nil"/>
              <w:right w:val="nil"/>
            </w:tcBorders>
            <w:vAlign w:val="center"/>
          </w:tcPr>
          <w:p w14:paraId="4E5FC69C" w14:textId="77777777" w:rsidR="00E456B6" w:rsidRPr="001D3D27" w:rsidRDefault="00E456B6" w:rsidP="00E456B6">
            <w:pPr>
              <w:keepLines/>
              <w:spacing w:before="40" w:after="40" w:line="256" w:lineRule="auto"/>
              <w:jc w:val="right"/>
              <w:rPr>
                <w:rFonts w:cstheme="minorHAnsi"/>
                <w:b/>
                <w:bCs/>
                <w:sz w:val="20"/>
              </w:rPr>
            </w:pPr>
            <w:r w:rsidRPr="001D3D27">
              <w:rPr>
                <w:rFonts w:ascii="Calibri" w:hAnsi="Calibri" w:cs="Calibri"/>
                <w:iCs/>
                <w:sz w:val="20"/>
              </w:rPr>
              <w:t>10,000,000</w:t>
            </w:r>
          </w:p>
        </w:tc>
        <w:tc>
          <w:tcPr>
            <w:tcW w:w="1385" w:type="dxa"/>
            <w:gridSpan w:val="3"/>
            <w:tcBorders>
              <w:top w:val="nil"/>
              <w:left w:val="nil"/>
              <w:bottom w:val="nil"/>
              <w:right w:val="nil"/>
            </w:tcBorders>
            <w:vAlign w:val="center"/>
          </w:tcPr>
          <w:p w14:paraId="4B5322BE" w14:textId="77777777" w:rsidR="00E456B6" w:rsidRPr="001D3D27" w:rsidRDefault="00E456B6" w:rsidP="00E456B6">
            <w:pPr>
              <w:keepLines/>
              <w:spacing w:before="40" w:after="40" w:line="256" w:lineRule="auto"/>
              <w:jc w:val="right"/>
              <w:rPr>
                <w:rFonts w:cstheme="minorHAnsi"/>
                <w:b/>
                <w:bCs/>
                <w:sz w:val="20"/>
              </w:rPr>
            </w:pPr>
            <w:r w:rsidRPr="001D3D27">
              <w:rPr>
                <w:rFonts w:ascii="Calibri" w:hAnsi="Calibri" w:cs="Calibri"/>
                <w:iCs/>
                <w:sz w:val="20"/>
              </w:rPr>
              <w:t>8,500,000</w:t>
            </w:r>
          </w:p>
        </w:tc>
        <w:tc>
          <w:tcPr>
            <w:tcW w:w="1385" w:type="dxa"/>
            <w:gridSpan w:val="3"/>
            <w:tcBorders>
              <w:top w:val="nil"/>
              <w:left w:val="nil"/>
              <w:bottom w:val="nil"/>
              <w:right w:val="nil"/>
            </w:tcBorders>
            <w:vAlign w:val="center"/>
          </w:tcPr>
          <w:p w14:paraId="4F68A538" w14:textId="77777777" w:rsidR="00E456B6" w:rsidRPr="001D3D27" w:rsidRDefault="00E456B6" w:rsidP="00E456B6">
            <w:pPr>
              <w:keepLines/>
              <w:spacing w:before="40" w:after="40" w:line="256" w:lineRule="auto"/>
              <w:jc w:val="right"/>
              <w:rPr>
                <w:rFonts w:cstheme="minorHAnsi"/>
                <w:b/>
                <w:bCs/>
                <w:sz w:val="20"/>
              </w:rPr>
            </w:pPr>
            <w:r w:rsidRPr="001D3D27">
              <w:rPr>
                <w:rFonts w:ascii="Calibri" w:hAnsi="Calibri" w:cs="Calibri"/>
                <w:iCs/>
                <w:sz w:val="20"/>
              </w:rPr>
              <w:t>8,600,000</w:t>
            </w:r>
          </w:p>
        </w:tc>
        <w:tc>
          <w:tcPr>
            <w:tcW w:w="1521" w:type="dxa"/>
            <w:gridSpan w:val="3"/>
            <w:tcBorders>
              <w:top w:val="nil"/>
              <w:left w:val="nil"/>
              <w:bottom w:val="nil"/>
              <w:right w:val="nil"/>
            </w:tcBorders>
            <w:vAlign w:val="center"/>
          </w:tcPr>
          <w:p w14:paraId="17047384" w14:textId="7F44B26E" w:rsidR="00AC7FB9" w:rsidRPr="001D3D27" w:rsidRDefault="3F17FE1E" w:rsidP="00371518">
            <w:pPr>
              <w:keepLines/>
              <w:spacing w:before="40" w:after="40" w:line="256" w:lineRule="auto"/>
              <w:jc w:val="right"/>
              <w:rPr>
                <w:rFonts w:ascii="Calibri" w:hAnsi="Calibri" w:cs="Calibri"/>
                <w:sz w:val="20"/>
              </w:rPr>
            </w:pPr>
            <w:r w:rsidRPr="5F4DCC5D">
              <w:rPr>
                <w:rFonts w:ascii="Calibri" w:hAnsi="Calibri" w:cs="Calibri"/>
                <w:sz w:val="20"/>
              </w:rPr>
              <w:t>9,169,680</w:t>
            </w:r>
          </w:p>
        </w:tc>
        <w:tc>
          <w:tcPr>
            <w:tcW w:w="1625" w:type="dxa"/>
            <w:gridSpan w:val="3"/>
            <w:tcBorders>
              <w:top w:val="nil"/>
              <w:left w:val="nil"/>
              <w:bottom w:val="nil"/>
              <w:right w:val="nil"/>
            </w:tcBorders>
            <w:vAlign w:val="center"/>
            <w:hideMark/>
          </w:tcPr>
          <w:p w14:paraId="7C973925" w14:textId="524636E8" w:rsidR="00E456B6" w:rsidRPr="001D3D27" w:rsidRDefault="00EB3395" w:rsidP="5F4DCC5D">
            <w:pPr>
              <w:keepLines/>
              <w:spacing w:before="40" w:after="40" w:line="256" w:lineRule="auto"/>
              <w:jc w:val="right"/>
              <w:rPr>
                <w:rFonts w:cstheme="minorBidi"/>
                <w:b/>
                <w:bCs/>
                <w:sz w:val="20"/>
              </w:rPr>
            </w:pPr>
            <w:r w:rsidRPr="5F4DCC5D">
              <w:rPr>
                <w:rFonts w:ascii="Calibri" w:hAnsi="Calibri" w:cs="Calibri"/>
                <w:sz w:val="20"/>
              </w:rPr>
              <w:t>50</w:t>
            </w:r>
            <w:r w:rsidR="67649C1C" w:rsidRPr="5F4DCC5D">
              <w:rPr>
                <w:rFonts w:ascii="Calibri" w:hAnsi="Calibri" w:cs="Calibri"/>
                <w:sz w:val="20"/>
              </w:rPr>
              <w:t>,869,680</w:t>
            </w:r>
            <w:r w:rsidR="00E456B6" w:rsidRPr="5F4DCC5D">
              <w:rPr>
                <w:rFonts w:ascii="Calibri" w:hAnsi="Calibri" w:cs="Calibri"/>
                <w:sz w:val="20"/>
              </w:rPr>
              <w:t xml:space="preserve">  </w:t>
            </w:r>
          </w:p>
        </w:tc>
      </w:tr>
      <w:tr w:rsidR="00E456B6" w:rsidRPr="005E4A1B" w14:paraId="157A2EC8" w14:textId="77777777" w:rsidTr="5F4DCC5D">
        <w:trPr>
          <w:cantSplit/>
          <w:trHeight w:val="357"/>
        </w:trPr>
        <w:tc>
          <w:tcPr>
            <w:tcW w:w="5753" w:type="dxa"/>
            <w:gridSpan w:val="2"/>
            <w:tcBorders>
              <w:top w:val="nil"/>
              <w:left w:val="nil"/>
              <w:bottom w:val="nil"/>
              <w:right w:val="nil"/>
            </w:tcBorders>
            <w:tcMar>
              <w:top w:w="0" w:type="dxa"/>
              <w:left w:w="108" w:type="dxa"/>
              <w:bottom w:w="0" w:type="dxa"/>
              <w:right w:w="57" w:type="dxa"/>
            </w:tcMar>
            <w:vAlign w:val="center"/>
          </w:tcPr>
          <w:p w14:paraId="30044F50" w14:textId="7CC58A7A" w:rsidR="00E456B6" w:rsidRPr="001D3D27" w:rsidDel="001052D5" w:rsidRDefault="00E456B6" w:rsidP="00E456B6">
            <w:pPr>
              <w:keepLines/>
              <w:spacing w:before="60" w:after="60" w:line="256" w:lineRule="auto"/>
              <w:ind w:left="318"/>
              <w:rPr>
                <w:sz w:val="20"/>
                <w:lang w:eastAsia="en-AU"/>
              </w:rPr>
            </w:pPr>
            <w:r w:rsidRPr="001D3D27">
              <w:rPr>
                <w:sz w:val="20"/>
                <w:lang w:eastAsia="en-AU"/>
              </w:rPr>
              <w:t>Urgent Mental Health Care Centre (to be co-located with a Medicare Mental Health Centre) (state-funded)</w:t>
            </w:r>
          </w:p>
        </w:tc>
        <w:tc>
          <w:tcPr>
            <w:tcW w:w="1012" w:type="dxa"/>
            <w:tcBorders>
              <w:top w:val="nil"/>
              <w:left w:val="nil"/>
              <w:bottom w:val="nil"/>
              <w:right w:val="nil"/>
            </w:tcBorders>
            <w:vAlign w:val="center"/>
          </w:tcPr>
          <w:p w14:paraId="30636A5C" w14:textId="77777777" w:rsidR="00E456B6" w:rsidRPr="001D3D27" w:rsidRDefault="00E456B6" w:rsidP="00E456B6">
            <w:pPr>
              <w:keepLines/>
              <w:spacing w:before="40" w:after="40" w:line="256" w:lineRule="auto"/>
              <w:jc w:val="right"/>
              <w:rPr>
                <w:rFonts w:ascii="Calibri" w:hAnsi="Calibri" w:cs="Calibri"/>
                <w:sz w:val="20"/>
              </w:rPr>
            </w:pPr>
            <w:r w:rsidRPr="001D3D27">
              <w:rPr>
                <w:rFonts w:ascii="Calibri" w:hAnsi="Calibri" w:cs="Calibri"/>
                <w:sz w:val="20"/>
              </w:rPr>
              <w:t>-</w:t>
            </w:r>
          </w:p>
        </w:tc>
        <w:tc>
          <w:tcPr>
            <w:tcW w:w="1384" w:type="dxa"/>
            <w:gridSpan w:val="3"/>
            <w:tcBorders>
              <w:top w:val="nil"/>
              <w:left w:val="nil"/>
              <w:bottom w:val="nil"/>
              <w:right w:val="nil"/>
            </w:tcBorders>
            <w:vAlign w:val="center"/>
          </w:tcPr>
          <w:p w14:paraId="70F40B09" w14:textId="77777777" w:rsidR="00E456B6" w:rsidRPr="001D3D27" w:rsidRDefault="00E456B6" w:rsidP="00E456B6">
            <w:pPr>
              <w:keepLines/>
              <w:spacing w:before="40" w:after="40" w:line="256" w:lineRule="auto"/>
              <w:jc w:val="right"/>
              <w:rPr>
                <w:rFonts w:ascii="Calibri" w:hAnsi="Calibri" w:cs="Calibri"/>
                <w:sz w:val="20"/>
              </w:rPr>
            </w:pPr>
            <w:r w:rsidRPr="001D3D27">
              <w:rPr>
                <w:rFonts w:ascii="Calibri" w:hAnsi="Calibri" w:cs="Calibri"/>
                <w:sz w:val="20"/>
              </w:rPr>
              <w:t>500,000</w:t>
            </w:r>
          </w:p>
        </w:tc>
        <w:tc>
          <w:tcPr>
            <w:tcW w:w="1385" w:type="dxa"/>
            <w:gridSpan w:val="3"/>
            <w:tcBorders>
              <w:top w:val="nil"/>
              <w:left w:val="nil"/>
              <w:bottom w:val="nil"/>
              <w:right w:val="nil"/>
            </w:tcBorders>
            <w:vAlign w:val="center"/>
          </w:tcPr>
          <w:p w14:paraId="5D583A46" w14:textId="77777777" w:rsidR="00E456B6" w:rsidRPr="001D3D27" w:rsidRDefault="00E456B6" w:rsidP="00E456B6">
            <w:pPr>
              <w:keepLines/>
              <w:spacing w:before="40" w:after="40" w:line="256" w:lineRule="auto"/>
              <w:jc w:val="right"/>
              <w:rPr>
                <w:rFonts w:ascii="Calibri" w:hAnsi="Calibri" w:cs="Calibri"/>
                <w:sz w:val="20"/>
              </w:rPr>
            </w:pPr>
            <w:r w:rsidRPr="001D3D27">
              <w:rPr>
                <w:rFonts w:ascii="Calibri" w:hAnsi="Calibri" w:cs="Calibri"/>
                <w:sz w:val="20"/>
              </w:rPr>
              <w:t>1,400,000</w:t>
            </w:r>
          </w:p>
        </w:tc>
        <w:tc>
          <w:tcPr>
            <w:tcW w:w="1385" w:type="dxa"/>
            <w:gridSpan w:val="3"/>
            <w:tcBorders>
              <w:top w:val="nil"/>
              <w:left w:val="nil"/>
              <w:bottom w:val="nil"/>
              <w:right w:val="nil"/>
            </w:tcBorders>
            <w:vAlign w:val="center"/>
          </w:tcPr>
          <w:p w14:paraId="1CC07FC0" w14:textId="77777777" w:rsidR="00E456B6" w:rsidRPr="001D3D27" w:rsidRDefault="00E456B6" w:rsidP="00E456B6">
            <w:pPr>
              <w:keepLines/>
              <w:spacing w:before="40" w:after="40" w:line="256" w:lineRule="auto"/>
              <w:jc w:val="right"/>
              <w:rPr>
                <w:rFonts w:ascii="Calibri" w:hAnsi="Calibri" w:cs="Calibri"/>
                <w:sz w:val="20"/>
              </w:rPr>
            </w:pPr>
            <w:r w:rsidRPr="001D3D27">
              <w:rPr>
                <w:rFonts w:ascii="Calibri" w:hAnsi="Calibri" w:cs="Calibri"/>
                <w:sz w:val="20"/>
              </w:rPr>
              <w:t>1,500,000</w:t>
            </w:r>
          </w:p>
        </w:tc>
        <w:tc>
          <w:tcPr>
            <w:tcW w:w="1385" w:type="dxa"/>
            <w:gridSpan w:val="3"/>
            <w:tcBorders>
              <w:top w:val="nil"/>
              <w:left w:val="nil"/>
              <w:bottom w:val="nil"/>
              <w:right w:val="nil"/>
            </w:tcBorders>
            <w:vAlign w:val="center"/>
          </w:tcPr>
          <w:p w14:paraId="1FF1A6F1" w14:textId="77777777" w:rsidR="00E456B6" w:rsidRPr="001D3D27" w:rsidRDefault="00E456B6" w:rsidP="00E456B6">
            <w:pPr>
              <w:keepLines/>
              <w:spacing w:before="40" w:after="40" w:line="256" w:lineRule="auto"/>
              <w:jc w:val="right"/>
              <w:rPr>
                <w:rFonts w:ascii="Calibri" w:hAnsi="Calibri" w:cs="Calibri"/>
                <w:sz w:val="20"/>
              </w:rPr>
            </w:pPr>
            <w:r w:rsidRPr="001D3D27">
              <w:rPr>
                <w:rFonts w:ascii="Calibri" w:hAnsi="Calibri" w:cs="Calibri"/>
                <w:sz w:val="20"/>
              </w:rPr>
              <w:t>1,600,000</w:t>
            </w:r>
          </w:p>
        </w:tc>
        <w:tc>
          <w:tcPr>
            <w:tcW w:w="1521" w:type="dxa"/>
            <w:gridSpan w:val="3"/>
            <w:tcBorders>
              <w:top w:val="nil"/>
              <w:left w:val="nil"/>
              <w:bottom w:val="nil"/>
              <w:right w:val="nil"/>
            </w:tcBorders>
          </w:tcPr>
          <w:p w14:paraId="79963C48" w14:textId="77777777" w:rsidR="0017740A" w:rsidRPr="001D3D27" w:rsidRDefault="0017740A" w:rsidP="00E456B6">
            <w:pPr>
              <w:keepLines/>
              <w:spacing w:before="40" w:after="40" w:line="256" w:lineRule="auto"/>
              <w:jc w:val="right"/>
              <w:rPr>
                <w:rFonts w:ascii="Calibri" w:hAnsi="Calibri" w:cs="Calibri"/>
                <w:sz w:val="2"/>
                <w:szCs w:val="2"/>
              </w:rPr>
            </w:pPr>
          </w:p>
          <w:p w14:paraId="27EC40BF" w14:textId="0F1F3A8F" w:rsidR="00E456B6" w:rsidRPr="001D3D27" w:rsidRDefault="74CF95AB" w:rsidP="5F4DCC5D">
            <w:pPr>
              <w:keepLines/>
              <w:spacing w:before="40" w:after="40" w:line="256" w:lineRule="auto"/>
              <w:jc w:val="right"/>
            </w:pPr>
            <w:r w:rsidRPr="5F4DCC5D">
              <w:rPr>
                <w:rFonts w:ascii="Calibri" w:hAnsi="Calibri" w:cs="Calibri"/>
                <w:sz w:val="20"/>
              </w:rPr>
              <w:t>1,701,440</w:t>
            </w:r>
          </w:p>
        </w:tc>
        <w:tc>
          <w:tcPr>
            <w:tcW w:w="1625" w:type="dxa"/>
            <w:gridSpan w:val="3"/>
            <w:tcBorders>
              <w:top w:val="nil"/>
              <w:left w:val="nil"/>
              <w:bottom w:val="nil"/>
              <w:right w:val="nil"/>
            </w:tcBorders>
            <w:vAlign w:val="center"/>
          </w:tcPr>
          <w:p w14:paraId="149E3C40" w14:textId="34CE30E8" w:rsidR="00E456B6" w:rsidRPr="001D3D27" w:rsidDel="00122884" w:rsidRDefault="74CF95AB" w:rsidP="5F4DCC5D">
            <w:pPr>
              <w:keepLines/>
              <w:spacing w:before="40" w:after="40" w:line="256" w:lineRule="auto"/>
              <w:jc w:val="right"/>
            </w:pPr>
            <w:r w:rsidRPr="5F4DCC5D">
              <w:rPr>
                <w:rFonts w:ascii="Calibri" w:hAnsi="Calibri" w:cs="Calibri"/>
                <w:sz w:val="20"/>
              </w:rPr>
              <w:t>6,701,440</w:t>
            </w:r>
          </w:p>
        </w:tc>
      </w:tr>
      <w:tr w:rsidR="00E456B6" w:rsidRPr="005E4A1B" w14:paraId="6C262480" w14:textId="77777777" w:rsidTr="5F4DCC5D">
        <w:trPr>
          <w:cantSplit/>
          <w:trHeight w:val="357"/>
        </w:trPr>
        <w:tc>
          <w:tcPr>
            <w:tcW w:w="5753" w:type="dxa"/>
            <w:gridSpan w:val="2"/>
            <w:tcBorders>
              <w:top w:val="nil"/>
              <w:left w:val="nil"/>
              <w:bottom w:val="nil"/>
              <w:right w:val="nil"/>
            </w:tcBorders>
            <w:tcMar>
              <w:top w:w="0" w:type="dxa"/>
              <w:left w:w="108" w:type="dxa"/>
              <w:bottom w:w="0" w:type="dxa"/>
              <w:right w:w="57" w:type="dxa"/>
            </w:tcMar>
            <w:vAlign w:val="center"/>
          </w:tcPr>
          <w:p w14:paraId="0B6165BB" w14:textId="77777777" w:rsidR="00E456B6" w:rsidRPr="001D3D27" w:rsidDel="001052D5" w:rsidRDefault="00E456B6" w:rsidP="00E456B6">
            <w:pPr>
              <w:keepLines/>
              <w:spacing w:before="60" w:after="60" w:line="256" w:lineRule="auto"/>
              <w:ind w:left="318"/>
              <w:rPr>
                <w:sz w:val="20"/>
                <w:lang w:eastAsia="en-AU"/>
              </w:rPr>
            </w:pPr>
            <w:r w:rsidRPr="001D3D27">
              <w:rPr>
                <w:sz w:val="20"/>
                <w:lang w:eastAsia="en-AU"/>
              </w:rPr>
              <w:t>Urgent Mental Health Care Centre (existing centre) (state funded)</w:t>
            </w:r>
          </w:p>
        </w:tc>
        <w:tc>
          <w:tcPr>
            <w:tcW w:w="1012" w:type="dxa"/>
            <w:tcBorders>
              <w:top w:val="nil"/>
              <w:left w:val="nil"/>
              <w:bottom w:val="nil"/>
              <w:right w:val="nil"/>
            </w:tcBorders>
            <w:vAlign w:val="center"/>
          </w:tcPr>
          <w:p w14:paraId="32887DD1" w14:textId="77777777" w:rsidR="00E456B6" w:rsidRPr="001D3D27" w:rsidRDefault="00E456B6" w:rsidP="00E456B6">
            <w:pPr>
              <w:keepLines/>
              <w:spacing w:before="40" w:after="40" w:line="256" w:lineRule="auto"/>
              <w:jc w:val="right"/>
              <w:rPr>
                <w:rFonts w:ascii="Calibri" w:hAnsi="Calibri" w:cs="Calibri"/>
                <w:iCs/>
                <w:sz w:val="20"/>
              </w:rPr>
            </w:pPr>
            <w:r w:rsidRPr="001D3D27">
              <w:rPr>
                <w:rFonts w:ascii="Calibri" w:hAnsi="Calibri" w:cs="Calibri"/>
                <w:iCs/>
                <w:sz w:val="20"/>
              </w:rPr>
              <w:t>-</w:t>
            </w:r>
          </w:p>
        </w:tc>
        <w:tc>
          <w:tcPr>
            <w:tcW w:w="1384" w:type="dxa"/>
            <w:gridSpan w:val="3"/>
            <w:tcBorders>
              <w:top w:val="nil"/>
              <w:left w:val="nil"/>
              <w:bottom w:val="nil"/>
              <w:right w:val="nil"/>
            </w:tcBorders>
            <w:vAlign w:val="center"/>
          </w:tcPr>
          <w:p w14:paraId="394F8E52" w14:textId="77777777" w:rsidR="00E456B6" w:rsidRPr="001D3D27" w:rsidRDefault="00E456B6" w:rsidP="00E456B6">
            <w:pPr>
              <w:keepLines/>
              <w:spacing w:before="40" w:after="40" w:line="256" w:lineRule="auto"/>
              <w:jc w:val="right"/>
              <w:rPr>
                <w:rFonts w:ascii="Calibri" w:hAnsi="Calibri" w:cs="Calibri"/>
                <w:iCs/>
                <w:sz w:val="20"/>
              </w:rPr>
            </w:pPr>
            <w:r w:rsidRPr="001D3D27">
              <w:rPr>
                <w:rFonts w:ascii="Calibri" w:hAnsi="Calibri" w:cs="Calibri"/>
                <w:iCs/>
                <w:sz w:val="20"/>
              </w:rPr>
              <w:t>-</w:t>
            </w:r>
          </w:p>
        </w:tc>
        <w:tc>
          <w:tcPr>
            <w:tcW w:w="1385" w:type="dxa"/>
            <w:gridSpan w:val="3"/>
            <w:tcBorders>
              <w:top w:val="nil"/>
              <w:left w:val="nil"/>
              <w:bottom w:val="nil"/>
              <w:right w:val="nil"/>
            </w:tcBorders>
            <w:vAlign w:val="center"/>
          </w:tcPr>
          <w:p w14:paraId="3C13BFFF" w14:textId="77777777" w:rsidR="00E456B6" w:rsidRPr="001D3D27" w:rsidRDefault="00E456B6" w:rsidP="00E456B6">
            <w:pPr>
              <w:keepLines/>
              <w:spacing w:before="40" w:after="40" w:line="256" w:lineRule="auto"/>
              <w:jc w:val="right"/>
              <w:rPr>
                <w:rFonts w:ascii="Calibri" w:hAnsi="Calibri" w:cs="Calibri"/>
                <w:iCs/>
                <w:sz w:val="20"/>
              </w:rPr>
            </w:pPr>
            <w:r w:rsidRPr="001D3D27">
              <w:rPr>
                <w:rFonts w:ascii="Calibri" w:hAnsi="Calibri" w:cs="Calibri"/>
                <w:iCs/>
                <w:sz w:val="20"/>
              </w:rPr>
              <w:t>-</w:t>
            </w:r>
          </w:p>
        </w:tc>
        <w:tc>
          <w:tcPr>
            <w:tcW w:w="1385" w:type="dxa"/>
            <w:gridSpan w:val="3"/>
            <w:tcBorders>
              <w:top w:val="nil"/>
              <w:left w:val="nil"/>
              <w:bottom w:val="nil"/>
              <w:right w:val="nil"/>
            </w:tcBorders>
            <w:vAlign w:val="center"/>
          </w:tcPr>
          <w:p w14:paraId="5CB97C2A" w14:textId="77777777" w:rsidR="00E456B6" w:rsidRPr="001D3D27" w:rsidRDefault="00E456B6" w:rsidP="00E456B6">
            <w:pPr>
              <w:keepLines/>
              <w:spacing w:before="40" w:after="40" w:line="256" w:lineRule="auto"/>
              <w:jc w:val="right"/>
              <w:rPr>
                <w:rFonts w:ascii="Calibri" w:hAnsi="Calibri" w:cs="Calibri"/>
                <w:iCs/>
                <w:sz w:val="20"/>
              </w:rPr>
            </w:pPr>
            <w:r w:rsidRPr="001D3D27">
              <w:rPr>
                <w:rFonts w:ascii="Calibri" w:hAnsi="Calibri" w:cs="Calibri"/>
                <w:iCs/>
                <w:sz w:val="20"/>
              </w:rPr>
              <w:t>4,800,000</w:t>
            </w:r>
          </w:p>
        </w:tc>
        <w:tc>
          <w:tcPr>
            <w:tcW w:w="1385" w:type="dxa"/>
            <w:gridSpan w:val="3"/>
            <w:tcBorders>
              <w:top w:val="nil"/>
              <w:left w:val="nil"/>
              <w:bottom w:val="nil"/>
              <w:right w:val="nil"/>
            </w:tcBorders>
            <w:vAlign w:val="center"/>
          </w:tcPr>
          <w:p w14:paraId="52DD51FD" w14:textId="77777777" w:rsidR="00E456B6" w:rsidRPr="001D3D27" w:rsidRDefault="00E456B6" w:rsidP="00E456B6">
            <w:pPr>
              <w:keepLines/>
              <w:spacing w:before="40" w:after="40" w:line="256" w:lineRule="auto"/>
              <w:jc w:val="right"/>
              <w:rPr>
                <w:rFonts w:ascii="Calibri" w:hAnsi="Calibri" w:cs="Calibri"/>
                <w:iCs/>
                <w:sz w:val="20"/>
              </w:rPr>
            </w:pPr>
            <w:r w:rsidRPr="001D3D27">
              <w:rPr>
                <w:rFonts w:ascii="Calibri" w:hAnsi="Calibri" w:cs="Calibri"/>
                <w:iCs/>
                <w:sz w:val="20"/>
              </w:rPr>
              <w:t>4,900,000</w:t>
            </w:r>
          </w:p>
        </w:tc>
        <w:tc>
          <w:tcPr>
            <w:tcW w:w="1521" w:type="dxa"/>
            <w:gridSpan w:val="3"/>
            <w:tcBorders>
              <w:top w:val="nil"/>
              <w:left w:val="nil"/>
              <w:bottom w:val="nil"/>
              <w:right w:val="nil"/>
            </w:tcBorders>
          </w:tcPr>
          <w:p w14:paraId="11D8226B" w14:textId="38E27024" w:rsidR="00E456B6" w:rsidRPr="001D3D27" w:rsidRDefault="18C8F684" w:rsidP="5F4DCC5D">
            <w:pPr>
              <w:keepLines/>
              <w:spacing w:before="40" w:after="40" w:line="256" w:lineRule="auto"/>
              <w:jc w:val="right"/>
            </w:pPr>
            <w:r w:rsidRPr="5F4DCC5D">
              <w:rPr>
                <w:rFonts w:ascii="Calibri" w:hAnsi="Calibri" w:cs="Calibri"/>
                <w:sz w:val="20"/>
              </w:rPr>
              <w:t>5,690,880</w:t>
            </w:r>
          </w:p>
        </w:tc>
        <w:tc>
          <w:tcPr>
            <w:tcW w:w="1625" w:type="dxa"/>
            <w:gridSpan w:val="3"/>
            <w:tcBorders>
              <w:top w:val="nil"/>
              <w:left w:val="nil"/>
              <w:bottom w:val="nil"/>
              <w:right w:val="nil"/>
            </w:tcBorders>
            <w:vAlign w:val="center"/>
          </w:tcPr>
          <w:p w14:paraId="0F9F44FC" w14:textId="3005B1FE" w:rsidR="00E456B6" w:rsidRPr="001D3D27" w:rsidRDefault="18C8F684" w:rsidP="5F4DCC5D">
            <w:pPr>
              <w:keepLines/>
              <w:spacing w:before="40" w:after="40" w:line="256" w:lineRule="auto"/>
              <w:jc w:val="right"/>
            </w:pPr>
            <w:r w:rsidRPr="5F4DCC5D">
              <w:rPr>
                <w:rFonts w:ascii="Calibri" w:hAnsi="Calibri" w:cs="Calibri"/>
                <w:sz w:val="20"/>
              </w:rPr>
              <w:t>15,390,880</w:t>
            </w:r>
          </w:p>
        </w:tc>
      </w:tr>
      <w:tr w:rsidR="00E456B6" w:rsidRPr="005E4A1B" w14:paraId="08F18AF2" w14:textId="77777777" w:rsidTr="5F4DCC5D">
        <w:trPr>
          <w:cantSplit/>
          <w:trHeight w:val="357"/>
        </w:trPr>
        <w:tc>
          <w:tcPr>
            <w:tcW w:w="5753" w:type="dxa"/>
            <w:gridSpan w:val="2"/>
            <w:tcBorders>
              <w:top w:val="nil"/>
              <w:left w:val="nil"/>
              <w:bottom w:val="nil"/>
              <w:right w:val="nil"/>
            </w:tcBorders>
            <w:tcMar>
              <w:top w:w="0" w:type="dxa"/>
              <w:left w:w="108" w:type="dxa"/>
              <w:bottom w:w="0" w:type="dxa"/>
              <w:right w:w="57" w:type="dxa"/>
            </w:tcMar>
            <w:vAlign w:val="center"/>
          </w:tcPr>
          <w:p w14:paraId="0E53421B" w14:textId="0326749F" w:rsidR="00E456B6" w:rsidRPr="001D3D27" w:rsidRDefault="00E456B6" w:rsidP="00E456B6">
            <w:pPr>
              <w:keepLines/>
              <w:spacing w:before="60" w:after="60" w:line="256" w:lineRule="auto"/>
              <w:rPr>
                <w:sz w:val="20"/>
                <w:lang w:eastAsia="en-AU"/>
              </w:rPr>
            </w:pPr>
            <w:r w:rsidRPr="001D3D27">
              <w:rPr>
                <w:sz w:val="20"/>
                <w:lang w:eastAsia="en-AU"/>
              </w:rPr>
              <w:t>Aboriginal Social and Wellbeing Centre</w:t>
            </w:r>
          </w:p>
        </w:tc>
        <w:tc>
          <w:tcPr>
            <w:tcW w:w="1012" w:type="dxa"/>
            <w:tcBorders>
              <w:top w:val="nil"/>
              <w:left w:val="nil"/>
              <w:bottom w:val="nil"/>
              <w:right w:val="nil"/>
            </w:tcBorders>
            <w:vAlign w:val="center"/>
          </w:tcPr>
          <w:p w14:paraId="2B1BC62C" w14:textId="77777777" w:rsidR="00E456B6" w:rsidRPr="001D3D27" w:rsidRDefault="00E456B6" w:rsidP="00E456B6">
            <w:pPr>
              <w:keepLines/>
              <w:spacing w:before="40" w:after="40" w:line="256" w:lineRule="auto"/>
              <w:jc w:val="right"/>
              <w:rPr>
                <w:rFonts w:ascii="Calibri" w:hAnsi="Calibri" w:cs="Calibri"/>
                <w:iCs/>
                <w:sz w:val="20"/>
              </w:rPr>
            </w:pPr>
            <w:r w:rsidRPr="001D3D27">
              <w:rPr>
                <w:iCs/>
                <w:sz w:val="20"/>
                <w:szCs w:val="18"/>
              </w:rPr>
              <w:t xml:space="preserve">-  </w:t>
            </w:r>
          </w:p>
        </w:tc>
        <w:tc>
          <w:tcPr>
            <w:tcW w:w="1384" w:type="dxa"/>
            <w:gridSpan w:val="3"/>
            <w:tcBorders>
              <w:top w:val="nil"/>
              <w:left w:val="nil"/>
              <w:bottom w:val="nil"/>
              <w:right w:val="nil"/>
            </w:tcBorders>
            <w:vAlign w:val="center"/>
          </w:tcPr>
          <w:p w14:paraId="638E60F2" w14:textId="77777777" w:rsidR="00E456B6" w:rsidRPr="001D3D27" w:rsidRDefault="00E456B6" w:rsidP="00E456B6">
            <w:pPr>
              <w:keepLines/>
              <w:spacing w:before="40" w:after="40" w:line="256" w:lineRule="auto"/>
              <w:jc w:val="right"/>
              <w:rPr>
                <w:rFonts w:ascii="Calibri" w:hAnsi="Calibri" w:cs="Calibri"/>
                <w:iCs/>
                <w:sz w:val="20"/>
              </w:rPr>
            </w:pPr>
            <w:r w:rsidRPr="001D3D27">
              <w:rPr>
                <w:sz w:val="20"/>
                <w:szCs w:val="18"/>
              </w:rPr>
              <w:t>600,000</w:t>
            </w:r>
          </w:p>
        </w:tc>
        <w:tc>
          <w:tcPr>
            <w:tcW w:w="1385" w:type="dxa"/>
            <w:gridSpan w:val="3"/>
            <w:tcBorders>
              <w:top w:val="nil"/>
              <w:left w:val="nil"/>
              <w:bottom w:val="nil"/>
              <w:right w:val="nil"/>
            </w:tcBorders>
            <w:vAlign w:val="center"/>
          </w:tcPr>
          <w:p w14:paraId="682A1162" w14:textId="77777777" w:rsidR="00E456B6" w:rsidRPr="001D3D27" w:rsidRDefault="00E456B6" w:rsidP="00E456B6">
            <w:pPr>
              <w:keepLines/>
              <w:spacing w:before="40" w:after="40" w:line="256" w:lineRule="auto"/>
              <w:jc w:val="right"/>
              <w:rPr>
                <w:rFonts w:ascii="Calibri" w:hAnsi="Calibri" w:cs="Calibri"/>
                <w:iCs/>
                <w:sz w:val="20"/>
              </w:rPr>
            </w:pPr>
            <w:r w:rsidRPr="001D3D27">
              <w:rPr>
                <w:sz w:val="20"/>
                <w:szCs w:val="18"/>
              </w:rPr>
              <w:t>1,500,000</w:t>
            </w:r>
          </w:p>
        </w:tc>
        <w:tc>
          <w:tcPr>
            <w:tcW w:w="1385" w:type="dxa"/>
            <w:gridSpan w:val="3"/>
            <w:tcBorders>
              <w:top w:val="nil"/>
              <w:left w:val="nil"/>
              <w:bottom w:val="nil"/>
              <w:right w:val="nil"/>
            </w:tcBorders>
            <w:vAlign w:val="center"/>
          </w:tcPr>
          <w:p w14:paraId="30E9C4E7" w14:textId="77777777" w:rsidR="00E456B6" w:rsidRPr="001D3D27" w:rsidRDefault="00E456B6" w:rsidP="00E456B6">
            <w:pPr>
              <w:keepLines/>
              <w:spacing w:before="40" w:after="40" w:line="256" w:lineRule="auto"/>
              <w:jc w:val="right"/>
              <w:rPr>
                <w:rFonts w:ascii="Calibri" w:hAnsi="Calibri" w:cs="Calibri"/>
                <w:iCs/>
                <w:sz w:val="20"/>
              </w:rPr>
            </w:pPr>
            <w:r w:rsidRPr="001D3D27">
              <w:rPr>
                <w:sz w:val="20"/>
                <w:szCs w:val="18"/>
              </w:rPr>
              <w:t>1,600,000</w:t>
            </w:r>
          </w:p>
        </w:tc>
        <w:tc>
          <w:tcPr>
            <w:tcW w:w="1385" w:type="dxa"/>
            <w:gridSpan w:val="3"/>
            <w:tcBorders>
              <w:top w:val="nil"/>
              <w:left w:val="nil"/>
              <w:bottom w:val="nil"/>
              <w:right w:val="nil"/>
            </w:tcBorders>
            <w:vAlign w:val="center"/>
          </w:tcPr>
          <w:p w14:paraId="1333A5C4" w14:textId="77777777" w:rsidR="00E456B6" w:rsidRPr="001D3D27" w:rsidRDefault="00E456B6" w:rsidP="00E456B6">
            <w:pPr>
              <w:keepLines/>
              <w:spacing w:before="40" w:after="40" w:line="256" w:lineRule="auto"/>
              <w:jc w:val="right"/>
              <w:rPr>
                <w:rFonts w:ascii="Calibri" w:hAnsi="Calibri" w:cs="Calibri"/>
                <w:iCs/>
                <w:sz w:val="20"/>
              </w:rPr>
            </w:pPr>
            <w:r w:rsidRPr="001D3D27">
              <w:rPr>
                <w:sz w:val="20"/>
                <w:szCs w:val="18"/>
              </w:rPr>
              <w:t>1,700,000</w:t>
            </w:r>
          </w:p>
        </w:tc>
        <w:tc>
          <w:tcPr>
            <w:tcW w:w="1521" w:type="dxa"/>
            <w:gridSpan w:val="3"/>
            <w:tcBorders>
              <w:top w:val="nil"/>
              <w:left w:val="nil"/>
              <w:bottom w:val="nil"/>
              <w:right w:val="nil"/>
            </w:tcBorders>
          </w:tcPr>
          <w:p w14:paraId="4495E736" w14:textId="12994FA2" w:rsidR="00E456B6" w:rsidRPr="001D3D27" w:rsidRDefault="6DAAB61A" w:rsidP="5F4DCC5D">
            <w:pPr>
              <w:keepLines/>
              <w:spacing w:before="40" w:after="40" w:line="256" w:lineRule="auto"/>
              <w:jc w:val="right"/>
            </w:pPr>
            <w:r w:rsidRPr="5F4DCC5D">
              <w:rPr>
                <w:rFonts w:ascii="Calibri" w:hAnsi="Calibri" w:cs="Calibri"/>
                <w:sz w:val="20"/>
              </w:rPr>
              <w:t>1,812,720</w:t>
            </w:r>
          </w:p>
        </w:tc>
        <w:tc>
          <w:tcPr>
            <w:tcW w:w="1625" w:type="dxa"/>
            <w:gridSpan w:val="3"/>
            <w:tcBorders>
              <w:top w:val="nil"/>
              <w:left w:val="nil"/>
              <w:bottom w:val="nil"/>
              <w:right w:val="nil"/>
            </w:tcBorders>
            <w:vAlign w:val="center"/>
          </w:tcPr>
          <w:p w14:paraId="3F6B0D7F" w14:textId="4BD8EB2B" w:rsidR="00E456B6" w:rsidRPr="001D3D27" w:rsidRDefault="6DAAB61A" w:rsidP="5F4DCC5D">
            <w:pPr>
              <w:keepLines/>
              <w:spacing w:before="40" w:after="40" w:line="256" w:lineRule="auto"/>
              <w:jc w:val="right"/>
            </w:pPr>
            <w:r w:rsidRPr="5F4DCC5D">
              <w:rPr>
                <w:rFonts w:ascii="Calibri" w:hAnsi="Calibri" w:cs="Calibri"/>
                <w:sz w:val="20"/>
              </w:rPr>
              <w:t>7,143,000</w:t>
            </w:r>
          </w:p>
        </w:tc>
      </w:tr>
      <w:tr w:rsidR="00E456B6" w:rsidRPr="005E4A1B" w14:paraId="354E631F" w14:textId="77777777" w:rsidTr="5F4DCC5D">
        <w:trPr>
          <w:cantSplit/>
          <w:trHeight w:val="357"/>
        </w:trPr>
        <w:tc>
          <w:tcPr>
            <w:tcW w:w="5753" w:type="dxa"/>
            <w:gridSpan w:val="2"/>
            <w:tcBorders>
              <w:top w:val="single" w:sz="4" w:space="0" w:color="auto"/>
              <w:left w:val="nil"/>
              <w:bottom w:val="single" w:sz="4" w:space="0" w:color="auto"/>
              <w:right w:val="nil"/>
            </w:tcBorders>
            <w:tcMar>
              <w:top w:w="0" w:type="dxa"/>
              <w:left w:w="108" w:type="dxa"/>
              <w:bottom w:w="0" w:type="dxa"/>
              <w:right w:w="57" w:type="dxa"/>
            </w:tcMar>
            <w:hideMark/>
          </w:tcPr>
          <w:p w14:paraId="356C162B" w14:textId="77777777" w:rsidR="00E456B6" w:rsidRPr="001D3D27" w:rsidRDefault="00E456B6" w:rsidP="00E456B6">
            <w:pPr>
              <w:keepLines/>
              <w:spacing w:before="60" w:after="60" w:line="256" w:lineRule="auto"/>
              <w:ind w:left="34"/>
              <w:rPr>
                <w:rFonts w:cstheme="minorHAnsi"/>
                <w:sz w:val="20"/>
              </w:rPr>
            </w:pPr>
            <w:r w:rsidRPr="001D3D27">
              <w:rPr>
                <w:b/>
                <w:bCs/>
                <w:sz w:val="20"/>
                <w:szCs w:val="21"/>
              </w:rPr>
              <w:t>South Australia</w:t>
            </w:r>
            <w:r w:rsidRPr="001D3D27">
              <w:rPr>
                <w:b/>
                <w:bCs/>
                <w:color w:val="000000"/>
                <w:sz w:val="18"/>
                <w:lang w:eastAsia="en-AU"/>
              </w:rPr>
              <w:t xml:space="preserve"> </w:t>
            </w:r>
            <w:r w:rsidRPr="001D3D27">
              <w:rPr>
                <w:b/>
                <w:bCs/>
                <w:color w:val="000000"/>
                <w:sz w:val="20"/>
                <w:lang w:eastAsia="en-AU"/>
              </w:rPr>
              <w:t xml:space="preserve">total in-kind contribution </w:t>
            </w:r>
          </w:p>
        </w:tc>
        <w:tc>
          <w:tcPr>
            <w:tcW w:w="1012" w:type="dxa"/>
            <w:tcBorders>
              <w:top w:val="single" w:sz="4" w:space="0" w:color="auto"/>
              <w:left w:val="nil"/>
              <w:bottom w:val="single" w:sz="4" w:space="0" w:color="auto"/>
              <w:right w:val="nil"/>
            </w:tcBorders>
          </w:tcPr>
          <w:p w14:paraId="0E9B4890" w14:textId="77777777" w:rsidR="00E456B6" w:rsidRPr="001D3D27" w:rsidRDefault="00E456B6" w:rsidP="00E456B6">
            <w:pPr>
              <w:keepLines/>
              <w:spacing w:before="40" w:after="40" w:line="256" w:lineRule="auto"/>
              <w:jc w:val="right"/>
              <w:rPr>
                <w:rFonts w:cstheme="minorHAnsi"/>
                <w:b/>
                <w:bCs/>
                <w:sz w:val="20"/>
              </w:rPr>
            </w:pPr>
            <w:r w:rsidRPr="001D3D27">
              <w:rPr>
                <w:rFonts w:cstheme="minorHAnsi"/>
                <w:b/>
                <w:bCs/>
                <w:sz w:val="20"/>
              </w:rPr>
              <w:t>-</w:t>
            </w:r>
          </w:p>
        </w:tc>
        <w:tc>
          <w:tcPr>
            <w:tcW w:w="1384" w:type="dxa"/>
            <w:gridSpan w:val="3"/>
            <w:tcBorders>
              <w:top w:val="single" w:sz="4" w:space="0" w:color="auto"/>
              <w:left w:val="nil"/>
              <w:bottom w:val="single" w:sz="4" w:space="0" w:color="auto"/>
              <w:right w:val="nil"/>
            </w:tcBorders>
          </w:tcPr>
          <w:p w14:paraId="763B8717" w14:textId="77777777" w:rsidR="00E456B6" w:rsidRPr="001D3D27" w:rsidRDefault="00E456B6" w:rsidP="00E456B6">
            <w:pPr>
              <w:keepLines/>
              <w:spacing w:before="40" w:after="40" w:line="256" w:lineRule="auto"/>
              <w:jc w:val="right"/>
              <w:rPr>
                <w:rFonts w:cstheme="minorHAnsi"/>
                <w:b/>
                <w:bCs/>
                <w:sz w:val="20"/>
              </w:rPr>
            </w:pPr>
            <w:r w:rsidRPr="001D3D27">
              <w:rPr>
                <w:rFonts w:cstheme="minorHAnsi"/>
                <w:b/>
                <w:bCs/>
                <w:sz w:val="20"/>
              </w:rPr>
              <w:t>-</w:t>
            </w:r>
          </w:p>
        </w:tc>
        <w:tc>
          <w:tcPr>
            <w:tcW w:w="1385" w:type="dxa"/>
            <w:gridSpan w:val="3"/>
            <w:tcBorders>
              <w:top w:val="single" w:sz="4" w:space="0" w:color="auto"/>
              <w:left w:val="nil"/>
              <w:bottom w:val="single" w:sz="4" w:space="0" w:color="auto"/>
              <w:right w:val="nil"/>
            </w:tcBorders>
          </w:tcPr>
          <w:p w14:paraId="64BA61D5" w14:textId="77777777" w:rsidR="00E456B6" w:rsidRPr="001D3D27" w:rsidRDefault="00E456B6" w:rsidP="00E456B6">
            <w:pPr>
              <w:keepLines/>
              <w:spacing w:before="40" w:after="40" w:line="256" w:lineRule="auto"/>
              <w:jc w:val="right"/>
              <w:rPr>
                <w:rFonts w:cstheme="minorHAnsi"/>
                <w:b/>
                <w:bCs/>
                <w:sz w:val="20"/>
              </w:rPr>
            </w:pPr>
            <w:r w:rsidRPr="001D3D27">
              <w:rPr>
                <w:rFonts w:cstheme="minorHAnsi"/>
                <w:b/>
                <w:bCs/>
                <w:sz w:val="20"/>
              </w:rPr>
              <w:t>-</w:t>
            </w:r>
          </w:p>
        </w:tc>
        <w:tc>
          <w:tcPr>
            <w:tcW w:w="1385" w:type="dxa"/>
            <w:gridSpan w:val="3"/>
            <w:tcBorders>
              <w:top w:val="single" w:sz="4" w:space="0" w:color="auto"/>
              <w:left w:val="nil"/>
              <w:bottom w:val="single" w:sz="4" w:space="0" w:color="auto"/>
              <w:right w:val="nil"/>
            </w:tcBorders>
          </w:tcPr>
          <w:p w14:paraId="5D48188C" w14:textId="77777777" w:rsidR="00E456B6" w:rsidRPr="001D3D27" w:rsidRDefault="00E456B6" w:rsidP="00E456B6">
            <w:pPr>
              <w:keepLines/>
              <w:spacing w:before="40" w:after="40" w:line="256" w:lineRule="auto"/>
              <w:jc w:val="right"/>
              <w:rPr>
                <w:rFonts w:cstheme="minorHAnsi"/>
                <w:b/>
                <w:bCs/>
                <w:sz w:val="20"/>
              </w:rPr>
            </w:pPr>
            <w:r w:rsidRPr="001D3D27">
              <w:rPr>
                <w:rFonts w:cstheme="minorHAnsi"/>
                <w:b/>
                <w:bCs/>
                <w:sz w:val="20"/>
              </w:rPr>
              <w:t>-</w:t>
            </w:r>
          </w:p>
        </w:tc>
        <w:tc>
          <w:tcPr>
            <w:tcW w:w="1385" w:type="dxa"/>
            <w:gridSpan w:val="3"/>
            <w:tcBorders>
              <w:top w:val="single" w:sz="4" w:space="0" w:color="auto"/>
              <w:left w:val="nil"/>
              <w:bottom w:val="single" w:sz="4" w:space="0" w:color="auto"/>
              <w:right w:val="nil"/>
            </w:tcBorders>
          </w:tcPr>
          <w:p w14:paraId="31E2897A" w14:textId="77777777" w:rsidR="00E456B6" w:rsidRPr="001D3D27" w:rsidRDefault="00E456B6" w:rsidP="00E456B6">
            <w:pPr>
              <w:keepLines/>
              <w:spacing w:before="40" w:after="40" w:line="256" w:lineRule="auto"/>
              <w:jc w:val="right"/>
              <w:rPr>
                <w:rFonts w:cstheme="minorHAnsi"/>
                <w:b/>
                <w:bCs/>
                <w:sz w:val="20"/>
              </w:rPr>
            </w:pPr>
            <w:r w:rsidRPr="001D3D27">
              <w:rPr>
                <w:rFonts w:cstheme="minorHAnsi"/>
                <w:b/>
                <w:bCs/>
                <w:sz w:val="20"/>
              </w:rPr>
              <w:t>-</w:t>
            </w:r>
          </w:p>
        </w:tc>
        <w:tc>
          <w:tcPr>
            <w:tcW w:w="1521" w:type="dxa"/>
            <w:gridSpan w:val="3"/>
            <w:tcBorders>
              <w:top w:val="single" w:sz="4" w:space="0" w:color="auto"/>
              <w:left w:val="nil"/>
              <w:bottom w:val="single" w:sz="4" w:space="0" w:color="auto"/>
              <w:right w:val="nil"/>
            </w:tcBorders>
          </w:tcPr>
          <w:p w14:paraId="0288AC2D" w14:textId="3633DB76" w:rsidR="00E456B6" w:rsidRPr="001D3D27" w:rsidRDefault="32143730" w:rsidP="5F4DCC5D">
            <w:pPr>
              <w:keepLines/>
              <w:spacing w:before="40" w:after="40" w:line="256" w:lineRule="auto"/>
              <w:jc w:val="right"/>
              <w:rPr>
                <w:rFonts w:cstheme="minorBidi"/>
                <w:b/>
                <w:bCs/>
                <w:sz w:val="20"/>
              </w:rPr>
            </w:pPr>
            <w:r w:rsidRPr="5F4DCC5D">
              <w:rPr>
                <w:rFonts w:cstheme="minorBidi"/>
                <w:b/>
                <w:bCs/>
                <w:sz w:val="20"/>
              </w:rPr>
              <w:t>-</w:t>
            </w:r>
          </w:p>
        </w:tc>
        <w:tc>
          <w:tcPr>
            <w:tcW w:w="1625" w:type="dxa"/>
            <w:gridSpan w:val="3"/>
            <w:tcBorders>
              <w:top w:val="single" w:sz="4" w:space="0" w:color="auto"/>
              <w:left w:val="nil"/>
              <w:bottom w:val="single" w:sz="4" w:space="0" w:color="auto"/>
              <w:right w:val="nil"/>
            </w:tcBorders>
          </w:tcPr>
          <w:p w14:paraId="5AC0E642" w14:textId="38111613" w:rsidR="00E456B6" w:rsidRPr="001D3D27" w:rsidRDefault="00E456B6" w:rsidP="00E456B6">
            <w:pPr>
              <w:keepLines/>
              <w:spacing w:before="40" w:after="40" w:line="256" w:lineRule="auto"/>
              <w:jc w:val="right"/>
              <w:rPr>
                <w:rFonts w:cstheme="minorHAnsi"/>
                <w:b/>
                <w:bCs/>
                <w:sz w:val="20"/>
              </w:rPr>
            </w:pPr>
            <w:r w:rsidRPr="001D3D27">
              <w:rPr>
                <w:rFonts w:cstheme="minorHAnsi"/>
                <w:b/>
                <w:bCs/>
                <w:sz w:val="20"/>
              </w:rPr>
              <w:t>-</w:t>
            </w:r>
          </w:p>
        </w:tc>
      </w:tr>
      <w:tr w:rsidR="00286334" w:rsidRPr="005E4A1B" w14:paraId="47C4F611" w14:textId="77777777" w:rsidTr="5F4DCC5D">
        <w:trPr>
          <w:cantSplit/>
          <w:trHeight w:val="352"/>
        </w:trPr>
        <w:tc>
          <w:tcPr>
            <w:tcW w:w="5753" w:type="dxa"/>
            <w:gridSpan w:val="2"/>
            <w:tcBorders>
              <w:top w:val="single" w:sz="4" w:space="0" w:color="auto"/>
              <w:left w:val="nil"/>
              <w:bottom w:val="single" w:sz="4" w:space="0" w:color="auto"/>
              <w:right w:val="nil"/>
            </w:tcBorders>
            <w:tcMar>
              <w:top w:w="0" w:type="dxa"/>
              <w:left w:w="108" w:type="dxa"/>
              <w:bottom w:w="0" w:type="dxa"/>
              <w:right w:w="57" w:type="dxa"/>
            </w:tcMar>
            <w:vAlign w:val="bottom"/>
            <w:hideMark/>
          </w:tcPr>
          <w:p w14:paraId="1B3D5A61" w14:textId="77777777" w:rsidR="00286334" w:rsidRPr="001D3D27" w:rsidRDefault="00286334" w:rsidP="00286334">
            <w:pPr>
              <w:keepLines/>
              <w:spacing w:before="60" w:after="60" w:line="256" w:lineRule="auto"/>
              <w:rPr>
                <w:rFonts w:cstheme="minorHAnsi"/>
                <w:sz w:val="20"/>
              </w:rPr>
            </w:pPr>
            <w:r w:rsidRPr="001D3D27">
              <w:rPr>
                <w:b/>
                <w:bCs/>
                <w:sz w:val="20"/>
              </w:rPr>
              <w:t>South Australia</w:t>
            </w:r>
            <w:r w:rsidRPr="001D3D27">
              <w:rPr>
                <w:rFonts w:cstheme="minorHAnsi"/>
                <w:b/>
                <w:bCs/>
                <w:sz w:val="20"/>
              </w:rPr>
              <w:t xml:space="preserve"> total contribution</w:t>
            </w:r>
          </w:p>
        </w:tc>
        <w:tc>
          <w:tcPr>
            <w:tcW w:w="1029" w:type="dxa"/>
            <w:gridSpan w:val="2"/>
            <w:tcBorders>
              <w:top w:val="single" w:sz="4" w:space="0" w:color="auto"/>
              <w:left w:val="nil"/>
              <w:bottom w:val="single" w:sz="4" w:space="0" w:color="auto"/>
              <w:right w:val="nil"/>
            </w:tcBorders>
            <w:vAlign w:val="center"/>
          </w:tcPr>
          <w:p w14:paraId="1BC104F8" w14:textId="77777777" w:rsidR="00286334" w:rsidRPr="001D3D27" w:rsidRDefault="00286334" w:rsidP="00286334">
            <w:pPr>
              <w:keepLines/>
              <w:spacing w:before="40" w:after="40" w:line="256" w:lineRule="auto"/>
              <w:jc w:val="center"/>
              <w:rPr>
                <w:rFonts w:cstheme="minorHAnsi"/>
                <w:b/>
                <w:bCs/>
                <w:sz w:val="20"/>
              </w:rPr>
            </w:pPr>
            <w:r w:rsidRPr="001D3D27">
              <w:rPr>
                <w:rFonts w:cstheme="minorHAnsi"/>
                <w:b/>
                <w:bCs/>
                <w:sz w:val="20"/>
              </w:rPr>
              <w:t>2,900,000</w:t>
            </w:r>
          </w:p>
        </w:tc>
        <w:tc>
          <w:tcPr>
            <w:tcW w:w="1385" w:type="dxa"/>
            <w:gridSpan w:val="3"/>
            <w:tcBorders>
              <w:top w:val="single" w:sz="4" w:space="0" w:color="auto"/>
              <w:left w:val="nil"/>
              <w:bottom w:val="single" w:sz="4" w:space="0" w:color="auto"/>
              <w:right w:val="nil"/>
            </w:tcBorders>
            <w:vAlign w:val="center"/>
          </w:tcPr>
          <w:p w14:paraId="56E86DBE" w14:textId="77777777" w:rsidR="00286334" w:rsidRPr="001D3D27" w:rsidRDefault="00286334" w:rsidP="00286334">
            <w:pPr>
              <w:widowControl/>
              <w:spacing w:after="0"/>
              <w:jc w:val="right"/>
              <w:rPr>
                <w:rFonts w:ascii="Calibri" w:hAnsi="Calibri" w:cs="Calibri"/>
                <w:b/>
                <w:bCs/>
                <w:sz w:val="20"/>
              </w:rPr>
            </w:pPr>
            <w:r w:rsidRPr="001D3D27">
              <w:rPr>
                <w:rFonts w:ascii="Calibri" w:hAnsi="Calibri" w:cs="Calibri"/>
                <w:b/>
                <w:bCs/>
                <w:sz w:val="20"/>
              </w:rPr>
              <w:t>12,800,000</w:t>
            </w:r>
          </w:p>
        </w:tc>
        <w:tc>
          <w:tcPr>
            <w:tcW w:w="1386" w:type="dxa"/>
            <w:gridSpan w:val="3"/>
            <w:tcBorders>
              <w:top w:val="single" w:sz="4" w:space="0" w:color="auto"/>
              <w:left w:val="nil"/>
              <w:bottom w:val="single" w:sz="4" w:space="0" w:color="auto"/>
              <w:right w:val="nil"/>
            </w:tcBorders>
            <w:vAlign w:val="center"/>
          </w:tcPr>
          <w:p w14:paraId="2DC6EF16" w14:textId="77777777" w:rsidR="00286334" w:rsidRPr="001D3D27" w:rsidRDefault="00286334" w:rsidP="00286334">
            <w:pPr>
              <w:widowControl/>
              <w:spacing w:after="0"/>
              <w:jc w:val="right"/>
              <w:rPr>
                <w:rFonts w:ascii="Calibri" w:hAnsi="Calibri" w:cs="Calibri"/>
                <w:b/>
                <w:bCs/>
                <w:sz w:val="20"/>
              </w:rPr>
            </w:pPr>
            <w:r w:rsidRPr="001D3D27">
              <w:rPr>
                <w:rFonts w:ascii="Calibri" w:hAnsi="Calibri" w:cs="Calibri"/>
                <w:b/>
                <w:bCs/>
                <w:sz w:val="20"/>
              </w:rPr>
              <w:t>12,900,000</w:t>
            </w:r>
          </w:p>
        </w:tc>
        <w:tc>
          <w:tcPr>
            <w:tcW w:w="1386" w:type="dxa"/>
            <w:gridSpan w:val="3"/>
            <w:tcBorders>
              <w:top w:val="single" w:sz="4" w:space="0" w:color="auto"/>
              <w:left w:val="nil"/>
              <w:bottom w:val="single" w:sz="4" w:space="0" w:color="auto"/>
              <w:right w:val="nil"/>
            </w:tcBorders>
            <w:vAlign w:val="center"/>
          </w:tcPr>
          <w:p w14:paraId="43CEE965" w14:textId="77777777" w:rsidR="00286334" w:rsidRPr="001D3D27" w:rsidRDefault="00286334" w:rsidP="00286334">
            <w:pPr>
              <w:widowControl/>
              <w:spacing w:after="0"/>
              <w:jc w:val="right"/>
              <w:rPr>
                <w:rFonts w:ascii="Calibri" w:hAnsi="Calibri" w:cs="Calibri"/>
                <w:b/>
                <w:bCs/>
                <w:sz w:val="20"/>
              </w:rPr>
            </w:pPr>
            <w:r w:rsidRPr="001D3D27">
              <w:rPr>
                <w:rFonts w:ascii="Calibri" w:hAnsi="Calibri" w:cs="Calibri"/>
                <w:b/>
                <w:bCs/>
                <w:sz w:val="20"/>
              </w:rPr>
              <w:t>16,400,000</w:t>
            </w:r>
          </w:p>
        </w:tc>
        <w:tc>
          <w:tcPr>
            <w:tcW w:w="1480" w:type="dxa"/>
            <w:gridSpan w:val="3"/>
            <w:tcBorders>
              <w:top w:val="single" w:sz="4" w:space="0" w:color="auto"/>
              <w:left w:val="nil"/>
              <w:bottom w:val="single" w:sz="4" w:space="0" w:color="auto"/>
              <w:right w:val="nil"/>
            </w:tcBorders>
          </w:tcPr>
          <w:p w14:paraId="553F1CF1" w14:textId="77777777" w:rsidR="00286334" w:rsidRPr="001D3D27" w:rsidRDefault="00286334" w:rsidP="00286334">
            <w:pPr>
              <w:widowControl/>
              <w:spacing w:after="0"/>
              <w:jc w:val="right"/>
              <w:rPr>
                <w:rFonts w:ascii="Calibri" w:hAnsi="Calibri" w:cs="Calibri"/>
                <w:b/>
                <w:bCs/>
                <w:sz w:val="20"/>
              </w:rPr>
            </w:pPr>
          </w:p>
          <w:p w14:paraId="282528B8" w14:textId="53934EB3" w:rsidR="00286334" w:rsidRPr="001D3D27" w:rsidRDefault="00286334" w:rsidP="00286334">
            <w:pPr>
              <w:widowControl/>
              <w:spacing w:after="0"/>
              <w:jc w:val="right"/>
              <w:rPr>
                <w:rFonts w:ascii="Calibri" w:hAnsi="Calibri" w:cs="Calibri"/>
                <w:b/>
                <w:bCs/>
                <w:sz w:val="20"/>
              </w:rPr>
            </w:pPr>
            <w:r w:rsidRPr="001D3D27">
              <w:rPr>
                <w:rFonts w:ascii="Calibri" w:hAnsi="Calibri" w:cs="Calibri"/>
                <w:b/>
                <w:bCs/>
                <w:sz w:val="20"/>
              </w:rPr>
              <w:t>16,800,000</w:t>
            </w:r>
          </w:p>
          <w:p w14:paraId="66E8329A" w14:textId="77777777" w:rsidR="00286334" w:rsidRPr="001D3D27" w:rsidRDefault="00286334" w:rsidP="00286334">
            <w:pPr>
              <w:widowControl/>
              <w:spacing w:after="0"/>
              <w:jc w:val="right"/>
              <w:rPr>
                <w:rFonts w:ascii="Calibri" w:hAnsi="Calibri" w:cs="Calibri"/>
                <w:b/>
                <w:bCs/>
                <w:sz w:val="20"/>
              </w:rPr>
            </w:pPr>
          </w:p>
        </w:tc>
        <w:tc>
          <w:tcPr>
            <w:tcW w:w="1521" w:type="dxa"/>
            <w:gridSpan w:val="3"/>
            <w:tcBorders>
              <w:top w:val="single" w:sz="4" w:space="0" w:color="auto"/>
              <w:left w:val="nil"/>
              <w:bottom w:val="single" w:sz="4" w:space="0" w:color="auto"/>
              <w:right w:val="nil"/>
            </w:tcBorders>
            <w:vAlign w:val="center"/>
          </w:tcPr>
          <w:p w14:paraId="73DCAFB0" w14:textId="30D6840D" w:rsidR="00286334" w:rsidRPr="001D3D27" w:rsidRDefault="60650E2C" w:rsidP="5F4DCC5D">
            <w:pPr>
              <w:widowControl/>
              <w:spacing w:after="0"/>
              <w:jc w:val="right"/>
            </w:pPr>
            <w:r w:rsidRPr="5F4DCC5D">
              <w:rPr>
                <w:rFonts w:ascii="Calibri" w:hAnsi="Calibri" w:cs="Calibri"/>
                <w:b/>
                <w:bCs/>
                <w:sz w:val="20"/>
              </w:rPr>
              <w:t>18,374,720</w:t>
            </w:r>
          </w:p>
        </w:tc>
        <w:tc>
          <w:tcPr>
            <w:tcW w:w="1510" w:type="dxa"/>
            <w:gridSpan w:val="2"/>
            <w:tcBorders>
              <w:top w:val="single" w:sz="4" w:space="0" w:color="auto"/>
              <w:left w:val="nil"/>
              <w:bottom w:val="single" w:sz="4" w:space="0" w:color="auto"/>
              <w:right w:val="nil"/>
            </w:tcBorders>
            <w:vAlign w:val="center"/>
          </w:tcPr>
          <w:p w14:paraId="744CF7A2" w14:textId="2E0297A2" w:rsidR="00286334" w:rsidRPr="001D3D27" w:rsidRDefault="60650E2C" w:rsidP="5F4DCC5D">
            <w:pPr>
              <w:widowControl/>
              <w:spacing w:after="0"/>
              <w:jc w:val="right"/>
            </w:pPr>
            <w:r w:rsidRPr="5F4DCC5D">
              <w:rPr>
                <w:rFonts w:ascii="Calibri" w:hAnsi="Calibri" w:cs="Calibri"/>
                <w:b/>
                <w:bCs/>
                <w:color w:val="000000" w:themeColor="text1"/>
                <w:sz w:val="20"/>
              </w:rPr>
              <w:t>80,174,720</w:t>
            </w:r>
          </w:p>
        </w:tc>
      </w:tr>
    </w:tbl>
    <w:p w14:paraId="6A20B986" w14:textId="77777777" w:rsidR="007B77D0" w:rsidRPr="005E4A1B" w:rsidRDefault="003A1F0E" w:rsidP="00566471">
      <w:pPr>
        <w:spacing w:after="0"/>
        <w:rPr>
          <w:rFonts w:cstheme="minorHAnsi"/>
          <w:b/>
          <w:bCs/>
          <w:sz w:val="32"/>
          <w:szCs w:val="32"/>
        </w:rPr>
      </w:pPr>
      <w:bookmarkStart w:id="6" w:name="_Hlk86051586"/>
      <w:r w:rsidRPr="005E4A1B">
        <w:rPr>
          <w:rFonts w:cstheme="minorHAnsi"/>
          <w:b/>
          <w:bCs/>
          <w:sz w:val="32"/>
          <w:szCs w:val="32"/>
        </w:rPr>
        <w:br w:type="column"/>
      </w:r>
      <w:bookmarkEnd w:id="6"/>
    </w:p>
    <w:p w14:paraId="047A313C" w14:textId="77777777" w:rsidR="00464D4C" w:rsidRPr="005E4A1B" w:rsidRDefault="00464D4C" w:rsidP="00566471">
      <w:pPr>
        <w:spacing w:after="0"/>
        <w:rPr>
          <w:rFonts w:cstheme="minorHAnsi"/>
          <w:b/>
          <w:bCs/>
          <w:sz w:val="32"/>
          <w:szCs w:val="32"/>
        </w:rPr>
      </w:pPr>
      <w:r w:rsidRPr="005E4A1B">
        <w:rPr>
          <w:rFonts w:cstheme="minorHAnsi"/>
          <w:b/>
          <w:bCs/>
          <w:sz w:val="32"/>
          <w:szCs w:val="32"/>
        </w:rPr>
        <w:t>Annex B: Reporting requirements and payment summary</w:t>
      </w:r>
    </w:p>
    <w:p w14:paraId="5EBF7F52" w14:textId="77777777" w:rsidR="001E2F1B" w:rsidRPr="005E4A1B" w:rsidRDefault="001E2F1B" w:rsidP="001E2F1B">
      <w:pPr>
        <w:rPr>
          <w:rFonts w:cstheme="minorHAnsi"/>
          <w:b/>
          <w:sz w:val="24"/>
          <w:szCs w:val="24"/>
        </w:rPr>
      </w:pPr>
      <w:bookmarkStart w:id="7" w:name="_Hlk85704677"/>
      <w:r w:rsidRPr="005E4A1B">
        <w:rPr>
          <w:rFonts w:cstheme="minorHAnsi"/>
          <w:b/>
          <w:sz w:val="24"/>
          <w:szCs w:val="24"/>
        </w:rPr>
        <w:t>Table 3: Reporting requirements, due dates and payment summary</w:t>
      </w:r>
      <w:bookmarkEnd w:id="7"/>
    </w:p>
    <w:tbl>
      <w:tblPr>
        <w:tblW w:w="14591"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2117"/>
        <w:gridCol w:w="7938"/>
        <w:gridCol w:w="1701"/>
        <w:gridCol w:w="2835"/>
      </w:tblGrid>
      <w:tr w:rsidR="00BE23F0" w:rsidRPr="005E4A1B" w14:paraId="32D15664" w14:textId="77777777" w:rsidTr="581B167F">
        <w:trPr>
          <w:tblHeader/>
        </w:trPr>
        <w:tc>
          <w:tcPr>
            <w:tcW w:w="2117" w:type="dxa"/>
            <w:shd w:val="clear" w:color="auto" w:fill="F2F2F2" w:themeFill="background1" w:themeFillShade="F2"/>
          </w:tcPr>
          <w:p w14:paraId="7384534A" w14:textId="77777777" w:rsidR="0014348C" w:rsidRPr="005E4A1B" w:rsidRDefault="0014348C" w:rsidP="00135DAA">
            <w:pPr>
              <w:pStyle w:val="Tableformat"/>
              <w:rPr>
                <w:rFonts w:asciiTheme="minorHAnsi" w:hAnsiTheme="minorHAnsi" w:cstheme="minorHAnsi"/>
                <w:b w:val="0"/>
              </w:rPr>
            </w:pPr>
            <w:r w:rsidRPr="005E4A1B">
              <w:rPr>
                <w:rFonts w:asciiTheme="minorHAnsi" w:hAnsiTheme="minorHAnsi" w:cstheme="minorHAnsi"/>
              </w:rPr>
              <w:t xml:space="preserve">Report </w:t>
            </w:r>
            <w:r w:rsidRPr="005E4A1B">
              <w:rPr>
                <w:rFonts w:asciiTheme="minorHAnsi" w:hAnsiTheme="minorHAnsi" w:cstheme="minorHAnsi"/>
              </w:rPr>
              <w:br/>
            </w:r>
            <w:r w:rsidRPr="005E4A1B">
              <w:rPr>
                <w:rFonts w:asciiTheme="minorHAnsi" w:hAnsiTheme="minorHAnsi" w:cstheme="minorHAnsi"/>
                <w:sz w:val="18"/>
                <w:szCs w:val="18"/>
              </w:rPr>
              <w:t>(delete if the schedule has one output only)</w:t>
            </w:r>
          </w:p>
        </w:tc>
        <w:tc>
          <w:tcPr>
            <w:tcW w:w="7938" w:type="dxa"/>
            <w:shd w:val="clear" w:color="auto" w:fill="F2F2F2" w:themeFill="background1" w:themeFillShade="F2"/>
          </w:tcPr>
          <w:p w14:paraId="367C2A4E" w14:textId="77777777" w:rsidR="0014348C" w:rsidRPr="005E4A1B" w:rsidRDefault="0014348C" w:rsidP="00135DAA">
            <w:pPr>
              <w:pStyle w:val="Tableformat"/>
              <w:rPr>
                <w:rFonts w:asciiTheme="minorHAnsi" w:hAnsiTheme="minorHAnsi" w:cstheme="minorHAnsi"/>
                <w:b w:val="0"/>
              </w:rPr>
            </w:pPr>
            <w:r w:rsidRPr="005E4A1B">
              <w:rPr>
                <w:rFonts w:asciiTheme="minorHAnsi" w:hAnsiTheme="minorHAnsi" w:cstheme="minorHAnsi"/>
              </w:rPr>
              <w:t xml:space="preserve">Requirements </w:t>
            </w:r>
          </w:p>
        </w:tc>
        <w:tc>
          <w:tcPr>
            <w:tcW w:w="1701" w:type="dxa"/>
            <w:shd w:val="clear" w:color="auto" w:fill="F2F2F2" w:themeFill="background1" w:themeFillShade="F2"/>
          </w:tcPr>
          <w:p w14:paraId="546FC5E1" w14:textId="77777777" w:rsidR="0014348C" w:rsidRPr="005E4A1B" w:rsidRDefault="0014348C" w:rsidP="00135DAA">
            <w:pPr>
              <w:pStyle w:val="Tableformat"/>
              <w:rPr>
                <w:rFonts w:asciiTheme="minorHAnsi" w:hAnsiTheme="minorHAnsi" w:cstheme="minorHAnsi"/>
                <w:b w:val="0"/>
              </w:rPr>
            </w:pPr>
            <w:r w:rsidRPr="005E4A1B">
              <w:rPr>
                <w:rFonts w:asciiTheme="minorHAnsi" w:hAnsiTheme="minorHAnsi" w:cstheme="minorHAnsi"/>
              </w:rPr>
              <w:t>Report due</w:t>
            </w:r>
          </w:p>
        </w:tc>
        <w:tc>
          <w:tcPr>
            <w:tcW w:w="2835" w:type="dxa"/>
            <w:shd w:val="clear" w:color="auto" w:fill="F2F2F2" w:themeFill="background1" w:themeFillShade="F2"/>
          </w:tcPr>
          <w:p w14:paraId="5F0736E2" w14:textId="77777777" w:rsidR="0014348C" w:rsidRPr="005E4A1B" w:rsidRDefault="0014348C" w:rsidP="00135DAA">
            <w:pPr>
              <w:pStyle w:val="Tableformat"/>
              <w:rPr>
                <w:rFonts w:asciiTheme="minorHAnsi" w:hAnsiTheme="minorHAnsi" w:cstheme="minorHAnsi"/>
                <w:b w:val="0"/>
              </w:rPr>
            </w:pPr>
            <w:r w:rsidRPr="005E4A1B">
              <w:rPr>
                <w:rFonts w:asciiTheme="minorHAnsi" w:hAnsiTheme="minorHAnsi" w:cstheme="minorHAnsi"/>
              </w:rPr>
              <w:t>Payment</w:t>
            </w:r>
          </w:p>
        </w:tc>
      </w:tr>
      <w:tr w:rsidR="0014348C" w:rsidRPr="005E4A1B" w14:paraId="23AF253D" w14:textId="77777777" w:rsidTr="581B167F">
        <w:trPr>
          <w:trHeight w:val="514"/>
        </w:trPr>
        <w:tc>
          <w:tcPr>
            <w:tcW w:w="2117" w:type="dxa"/>
          </w:tcPr>
          <w:p w14:paraId="23EC0F73" w14:textId="77777777" w:rsidR="0014348C" w:rsidRPr="005E4A1B" w:rsidRDefault="0014348C" w:rsidP="00135DAA">
            <w:pPr>
              <w:pStyle w:val="Milestonetable"/>
              <w:rPr>
                <w:rFonts w:asciiTheme="minorHAnsi" w:hAnsiTheme="minorHAnsi" w:cstheme="minorHAnsi"/>
              </w:rPr>
            </w:pPr>
            <w:r w:rsidRPr="005E4A1B">
              <w:rPr>
                <w:rFonts w:asciiTheme="minorHAnsi" w:hAnsiTheme="minorHAnsi" w:cstheme="minorHAnsi"/>
              </w:rPr>
              <w:t>Joint Commonwealth-State Implementation plan</w:t>
            </w:r>
          </w:p>
        </w:tc>
        <w:tc>
          <w:tcPr>
            <w:tcW w:w="7938" w:type="dxa"/>
          </w:tcPr>
          <w:p w14:paraId="32196F71" w14:textId="77777777" w:rsidR="0014348C" w:rsidRPr="005E4A1B" w:rsidRDefault="0014348C" w:rsidP="00135DAA">
            <w:pPr>
              <w:pStyle w:val="Milestonetable"/>
              <w:rPr>
                <w:rFonts w:asciiTheme="minorHAnsi" w:hAnsiTheme="minorHAnsi" w:cstheme="minorHAnsi"/>
                <w:b w:val="0"/>
                <w:bCs w:val="0"/>
              </w:rPr>
            </w:pPr>
            <w:r w:rsidRPr="005E4A1B">
              <w:rPr>
                <w:rFonts w:asciiTheme="minorHAnsi" w:hAnsiTheme="minorHAnsi" w:cstheme="minorHAnsi"/>
                <w:b w:val="0"/>
                <w:bCs w:val="0"/>
              </w:rPr>
              <w:t xml:space="preserve">Joint Commonwealth-State Implementation plan including </w:t>
            </w:r>
            <w:r w:rsidR="001069A2" w:rsidRPr="005E4A1B">
              <w:rPr>
                <w:rFonts w:asciiTheme="minorHAnsi" w:hAnsiTheme="minorHAnsi" w:cstheme="minorHAnsi"/>
                <w:b w:val="0"/>
                <w:bCs w:val="0"/>
              </w:rPr>
              <w:t xml:space="preserve">key </w:t>
            </w:r>
            <w:r w:rsidRPr="005E4A1B">
              <w:rPr>
                <w:rFonts w:asciiTheme="minorHAnsi" w:hAnsiTheme="minorHAnsi" w:cstheme="minorHAnsi"/>
                <w:b w:val="0"/>
                <w:bCs w:val="0"/>
              </w:rPr>
              <w:t>deliverables, proposed service model</w:t>
            </w:r>
            <w:r w:rsidR="001069A2" w:rsidRPr="005E4A1B">
              <w:rPr>
                <w:rFonts w:asciiTheme="minorHAnsi" w:hAnsiTheme="minorHAnsi" w:cstheme="minorHAnsi"/>
                <w:b w:val="0"/>
                <w:bCs w:val="0"/>
              </w:rPr>
              <w:t>s</w:t>
            </w:r>
            <w:r w:rsidRPr="005E4A1B">
              <w:rPr>
                <w:rFonts w:asciiTheme="minorHAnsi" w:hAnsiTheme="minorHAnsi" w:cstheme="minorHAnsi"/>
                <w:b w:val="0"/>
                <w:bCs w:val="0"/>
              </w:rPr>
              <w:t xml:space="preserve"> and timeframes</w:t>
            </w:r>
            <w:r w:rsidR="001E2F1B" w:rsidRPr="005E4A1B">
              <w:t xml:space="preserve"> </w:t>
            </w:r>
            <w:r w:rsidR="001E2F1B" w:rsidRPr="005E4A1B">
              <w:rPr>
                <w:rFonts w:asciiTheme="minorHAnsi" w:hAnsiTheme="minorHAnsi" w:cstheme="minorHAnsi"/>
                <w:b w:val="0"/>
                <w:bCs w:val="0"/>
              </w:rPr>
              <w:t>that align with needs analysis, service and workforce mapping and planning in the joint regional plans</w:t>
            </w:r>
            <w:r w:rsidR="00464D4C" w:rsidRPr="005E4A1B">
              <w:rPr>
                <w:rFonts w:asciiTheme="minorHAnsi" w:hAnsiTheme="minorHAnsi" w:cstheme="minorHAnsi"/>
                <w:b w:val="0"/>
                <w:bCs w:val="0"/>
              </w:rPr>
              <w:t xml:space="preserve"> for the following initiatives</w:t>
            </w:r>
            <w:r w:rsidRPr="005E4A1B">
              <w:rPr>
                <w:rFonts w:asciiTheme="minorHAnsi" w:hAnsiTheme="minorHAnsi" w:cstheme="minorHAnsi"/>
                <w:b w:val="0"/>
                <w:bCs w:val="0"/>
              </w:rPr>
              <w:t xml:space="preserve">: </w:t>
            </w:r>
          </w:p>
          <w:p w14:paraId="14D51287" w14:textId="57F57D40" w:rsidR="00D4299D" w:rsidRPr="005E4A1B" w:rsidRDefault="1012AB79" w:rsidP="6245677E">
            <w:pPr>
              <w:pStyle w:val="Milestonetable"/>
              <w:numPr>
                <w:ilvl w:val="0"/>
                <w:numId w:val="3"/>
              </w:numPr>
              <w:rPr>
                <w:rFonts w:asciiTheme="minorHAnsi" w:hAnsiTheme="minorHAnsi" w:cstheme="minorBidi"/>
                <w:b w:val="0"/>
                <w:bCs w:val="0"/>
              </w:rPr>
            </w:pPr>
            <w:r w:rsidRPr="005E4A1B">
              <w:rPr>
                <w:rFonts w:asciiTheme="minorHAnsi" w:hAnsiTheme="minorHAnsi" w:cstheme="minorBidi"/>
                <w:b w:val="0"/>
                <w:bCs w:val="0"/>
              </w:rPr>
              <w:t>Medicare Mental</w:t>
            </w:r>
            <w:r w:rsidR="128EA08F" w:rsidRPr="005E4A1B">
              <w:rPr>
                <w:rFonts w:asciiTheme="minorHAnsi" w:hAnsiTheme="minorHAnsi" w:cstheme="minorBidi"/>
                <w:b w:val="0"/>
                <w:bCs w:val="0"/>
              </w:rPr>
              <w:t xml:space="preserve"> Centre and Satellite Network</w:t>
            </w:r>
            <w:r w:rsidR="4F8A6109" w:rsidRPr="005E4A1B">
              <w:rPr>
                <w:rFonts w:asciiTheme="minorHAnsi" w:hAnsiTheme="minorHAnsi" w:cstheme="minorBidi"/>
                <w:b w:val="0"/>
                <w:bCs w:val="0"/>
              </w:rPr>
              <w:t xml:space="preserve"> </w:t>
            </w:r>
            <w:r w:rsidR="0DFA94F4" w:rsidRPr="005E4A1B">
              <w:rPr>
                <w:rFonts w:asciiTheme="minorHAnsi" w:hAnsiTheme="minorHAnsi" w:cstheme="minorBidi"/>
                <w:b w:val="0"/>
                <w:bCs w:val="0"/>
              </w:rPr>
              <w:t>(Medicare Mental Health Centres)</w:t>
            </w:r>
          </w:p>
          <w:p w14:paraId="4D347BAA" w14:textId="77777777" w:rsidR="0014348C" w:rsidRPr="005E4A1B" w:rsidRDefault="00E71251" w:rsidP="006A1596">
            <w:pPr>
              <w:pStyle w:val="Milestonetable"/>
              <w:numPr>
                <w:ilvl w:val="0"/>
                <w:numId w:val="3"/>
              </w:numPr>
              <w:rPr>
                <w:rFonts w:asciiTheme="minorHAnsi" w:hAnsiTheme="minorHAnsi" w:cstheme="minorHAnsi"/>
                <w:b w:val="0"/>
                <w:bCs w:val="0"/>
              </w:rPr>
            </w:pPr>
            <w:r w:rsidRPr="005E4A1B">
              <w:rPr>
                <w:rFonts w:asciiTheme="minorHAnsi" w:hAnsiTheme="minorHAnsi" w:cstheme="minorHAnsi"/>
                <w:b w:val="0"/>
                <w:bCs w:val="0"/>
              </w:rPr>
              <w:t>Aboriginal Mental Health and Wellbeing Centre</w:t>
            </w:r>
          </w:p>
          <w:p w14:paraId="7179128E" w14:textId="30C0D536" w:rsidR="00644554" w:rsidRPr="005E4A1B" w:rsidRDefault="00856777" w:rsidP="006A1596">
            <w:pPr>
              <w:pStyle w:val="Milestonetable"/>
              <w:numPr>
                <w:ilvl w:val="0"/>
                <w:numId w:val="3"/>
              </w:numPr>
              <w:rPr>
                <w:rFonts w:asciiTheme="minorHAnsi" w:hAnsiTheme="minorHAnsi" w:cstheme="minorHAnsi"/>
                <w:b w:val="0"/>
                <w:bCs w:val="0"/>
              </w:rPr>
            </w:pPr>
            <w:r w:rsidRPr="005E4A1B">
              <w:rPr>
                <w:rFonts w:asciiTheme="minorHAnsi" w:hAnsiTheme="minorHAnsi" w:cstheme="minorHAnsi"/>
                <w:b w:val="0"/>
                <w:bCs w:val="0"/>
              </w:rPr>
              <w:t>Child mental health and wellbeing</w:t>
            </w:r>
          </w:p>
          <w:p w14:paraId="4CC9BDB5" w14:textId="1A53C4C5" w:rsidR="0014348C" w:rsidRPr="005E4A1B" w:rsidRDefault="0014348C" w:rsidP="006A1596">
            <w:pPr>
              <w:pStyle w:val="Milestonetable"/>
              <w:numPr>
                <w:ilvl w:val="0"/>
                <w:numId w:val="3"/>
              </w:numPr>
              <w:rPr>
                <w:rFonts w:asciiTheme="minorHAnsi" w:hAnsiTheme="minorHAnsi" w:cstheme="minorHAnsi"/>
                <w:b w:val="0"/>
                <w:bCs w:val="0"/>
              </w:rPr>
            </w:pPr>
            <w:r w:rsidRPr="005E4A1B">
              <w:rPr>
                <w:rFonts w:asciiTheme="minorHAnsi" w:hAnsiTheme="minorHAnsi" w:cstheme="minorHAnsi"/>
                <w:b w:val="0"/>
                <w:bCs w:val="0"/>
              </w:rPr>
              <w:t xml:space="preserve">Enhancement and </w:t>
            </w:r>
            <w:r w:rsidR="00F5335F" w:rsidRPr="005E4A1B">
              <w:rPr>
                <w:rFonts w:asciiTheme="minorHAnsi" w:hAnsiTheme="minorHAnsi" w:cstheme="minorHAnsi"/>
                <w:b w:val="0"/>
                <w:bCs w:val="0"/>
              </w:rPr>
              <w:t xml:space="preserve">integration </w:t>
            </w:r>
            <w:r w:rsidRPr="005E4A1B">
              <w:rPr>
                <w:rFonts w:asciiTheme="minorHAnsi" w:hAnsiTheme="minorHAnsi" w:cstheme="minorHAnsi"/>
                <w:b w:val="0"/>
                <w:bCs w:val="0"/>
              </w:rPr>
              <w:t xml:space="preserve">of </w:t>
            </w:r>
            <w:r w:rsidR="00BB7FD7" w:rsidRPr="005E4A1B">
              <w:rPr>
                <w:rFonts w:asciiTheme="minorHAnsi" w:hAnsiTheme="minorHAnsi" w:cstheme="minorHAnsi"/>
                <w:b w:val="0"/>
                <w:bCs w:val="0"/>
              </w:rPr>
              <w:t xml:space="preserve">youth mental health </w:t>
            </w:r>
            <w:r w:rsidRPr="005E4A1B">
              <w:rPr>
                <w:rFonts w:asciiTheme="minorHAnsi" w:hAnsiTheme="minorHAnsi" w:cstheme="minorHAnsi"/>
                <w:b w:val="0"/>
                <w:bCs w:val="0"/>
              </w:rPr>
              <w:t>services</w:t>
            </w:r>
          </w:p>
          <w:p w14:paraId="727FA6C9" w14:textId="77777777" w:rsidR="00EA54E0" w:rsidRPr="005E4A1B" w:rsidRDefault="00EA54E0" w:rsidP="00EA54E0">
            <w:pPr>
              <w:pStyle w:val="Milestonetable"/>
              <w:numPr>
                <w:ilvl w:val="0"/>
                <w:numId w:val="3"/>
              </w:numPr>
              <w:rPr>
                <w:rFonts w:asciiTheme="minorHAnsi" w:hAnsiTheme="minorHAnsi" w:cstheme="minorHAnsi"/>
                <w:b w:val="0"/>
                <w:bCs w:val="0"/>
              </w:rPr>
            </w:pPr>
            <w:r w:rsidRPr="005E4A1B">
              <w:rPr>
                <w:rFonts w:asciiTheme="minorHAnsi" w:hAnsiTheme="minorHAnsi" w:cstheme="minorHAnsi"/>
                <w:b w:val="0"/>
                <w:bCs w:val="0"/>
              </w:rPr>
              <w:t xml:space="preserve">Initial Assessment and Referral tool </w:t>
            </w:r>
          </w:p>
        </w:tc>
        <w:tc>
          <w:tcPr>
            <w:tcW w:w="1701" w:type="dxa"/>
          </w:tcPr>
          <w:p w14:paraId="262E6BA6" w14:textId="77777777" w:rsidR="0014348C" w:rsidRPr="005E4A1B" w:rsidRDefault="00CF3991" w:rsidP="00135DAA">
            <w:pPr>
              <w:pStyle w:val="Milestonetable"/>
              <w:rPr>
                <w:rFonts w:asciiTheme="minorHAnsi" w:hAnsiTheme="minorHAnsi" w:cstheme="minorHAnsi"/>
                <w:b w:val="0"/>
                <w:bCs w:val="0"/>
              </w:rPr>
            </w:pPr>
            <w:r w:rsidRPr="005E4A1B">
              <w:rPr>
                <w:rFonts w:asciiTheme="minorHAnsi" w:hAnsiTheme="minorHAnsi" w:cstheme="minorHAnsi"/>
                <w:b w:val="0"/>
                <w:bCs w:val="0"/>
              </w:rPr>
              <w:t>Four months from the date of execution of this schedule</w:t>
            </w:r>
          </w:p>
        </w:tc>
        <w:tc>
          <w:tcPr>
            <w:tcW w:w="2835" w:type="dxa"/>
          </w:tcPr>
          <w:p w14:paraId="5DE4983E" w14:textId="77777777" w:rsidR="0014348C" w:rsidRPr="005E4A1B" w:rsidRDefault="00CF3991" w:rsidP="00135DAA">
            <w:pPr>
              <w:pStyle w:val="Milestonetable"/>
              <w:jc w:val="right"/>
              <w:rPr>
                <w:rFonts w:asciiTheme="minorHAnsi" w:hAnsiTheme="minorHAnsi" w:cstheme="minorHAnsi"/>
                <w:b w:val="0"/>
                <w:bCs w:val="0"/>
                <w:lang w:eastAsia="en-US"/>
              </w:rPr>
            </w:pPr>
            <w:r w:rsidRPr="005E4A1B">
              <w:rPr>
                <w:rFonts w:asciiTheme="minorHAnsi" w:hAnsiTheme="minorHAnsi" w:cstheme="minorHAnsi"/>
                <w:b w:val="0"/>
                <w:bCs w:val="0"/>
                <w:lang w:eastAsia="en-US"/>
              </w:rPr>
              <w:t>Nil</w:t>
            </w:r>
          </w:p>
          <w:p w14:paraId="25B173AB" w14:textId="77777777" w:rsidR="006874CC" w:rsidRPr="005E4A1B" w:rsidRDefault="006874CC" w:rsidP="00135DAA">
            <w:pPr>
              <w:pStyle w:val="Milestonetable"/>
              <w:jc w:val="right"/>
              <w:rPr>
                <w:rFonts w:asciiTheme="minorHAnsi" w:hAnsiTheme="minorHAnsi" w:cstheme="minorHAnsi"/>
                <w:b w:val="0"/>
                <w:bCs w:val="0"/>
                <w:lang w:eastAsia="en-US"/>
              </w:rPr>
            </w:pPr>
          </w:p>
        </w:tc>
      </w:tr>
      <w:tr w:rsidR="00210EC9" w:rsidRPr="005E4A1B" w14:paraId="13B70D5E" w14:textId="77777777" w:rsidTr="581B167F">
        <w:trPr>
          <w:trHeight w:val="514"/>
        </w:trPr>
        <w:tc>
          <w:tcPr>
            <w:tcW w:w="2117" w:type="dxa"/>
          </w:tcPr>
          <w:p w14:paraId="11345EE5" w14:textId="77777777" w:rsidR="00210EC9" w:rsidRPr="005E4A1B" w:rsidRDefault="00210EC9" w:rsidP="00210EC9">
            <w:pPr>
              <w:pStyle w:val="Milestonetable"/>
              <w:rPr>
                <w:rFonts w:asciiTheme="minorHAnsi" w:hAnsiTheme="minorHAnsi" w:cstheme="minorHAnsi"/>
              </w:rPr>
            </w:pPr>
            <w:r w:rsidRPr="005E4A1B">
              <w:rPr>
                <w:rFonts w:asciiTheme="minorHAnsi" w:hAnsiTheme="minorHAnsi" w:cstheme="minorHAnsi"/>
              </w:rPr>
              <w:t>Agreed Minimum Data Specifications</w:t>
            </w:r>
          </w:p>
        </w:tc>
        <w:tc>
          <w:tcPr>
            <w:tcW w:w="7938" w:type="dxa"/>
          </w:tcPr>
          <w:p w14:paraId="2129207B" w14:textId="77777777" w:rsidR="00210EC9" w:rsidRPr="005E4A1B" w:rsidRDefault="00210EC9" w:rsidP="00210EC9">
            <w:pPr>
              <w:pStyle w:val="Milestonetable"/>
              <w:rPr>
                <w:rFonts w:asciiTheme="minorHAnsi" w:hAnsiTheme="minorHAnsi" w:cstheme="minorHAnsi"/>
                <w:b w:val="0"/>
                <w:bCs w:val="0"/>
              </w:rPr>
            </w:pPr>
            <w:r w:rsidRPr="005E4A1B">
              <w:rPr>
                <w:rFonts w:asciiTheme="minorHAnsi" w:hAnsiTheme="minorHAnsi" w:cstheme="minorHAnsi"/>
                <w:b w:val="0"/>
                <w:bCs w:val="0"/>
              </w:rPr>
              <w:t>For each initiative in this Schedule, South Australia and the Commonwealth will agree the minimum data specifications and reporting process to monitor service activity. Where appropriate, data collection will use the commissioning organisation’s existing data collection and reporting processes.</w:t>
            </w:r>
          </w:p>
        </w:tc>
        <w:tc>
          <w:tcPr>
            <w:tcW w:w="1701" w:type="dxa"/>
          </w:tcPr>
          <w:p w14:paraId="41CFC562" w14:textId="7DB00C87" w:rsidR="00210EC9" w:rsidRPr="005E4A1B" w:rsidRDefault="00386F73" w:rsidP="00210EC9">
            <w:pPr>
              <w:pStyle w:val="Milestonetable"/>
              <w:rPr>
                <w:rFonts w:asciiTheme="minorHAnsi" w:hAnsiTheme="minorHAnsi" w:cstheme="minorHAnsi"/>
                <w:b w:val="0"/>
                <w:bCs w:val="0"/>
              </w:rPr>
            </w:pPr>
            <w:r w:rsidRPr="005E4A1B">
              <w:rPr>
                <w:rFonts w:asciiTheme="minorHAnsi" w:hAnsiTheme="minorHAnsi" w:cstheme="minorHAnsi"/>
                <w:b w:val="0"/>
                <w:bCs w:val="0"/>
              </w:rPr>
              <w:t xml:space="preserve">Three months </w:t>
            </w:r>
            <w:r w:rsidR="004B70C5" w:rsidRPr="005E4A1B">
              <w:rPr>
                <w:rFonts w:asciiTheme="minorHAnsi" w:hAnsiTheme="minorHAnsi" w:cstheme="minorHAnsi"/>
                <w:b w:val="0"/>
                <w:bCs w:val="0"/>
              </w:rPr>
              <w:t xml:space="preserve">prior to </w:t>
            </w:r>
            <w:r w:rsidRPr="005E4A1B">
              <w:rPr>
                <w:rFonts w:asciiTheme="minorHAnsi" w:hAnsiTheme="minorHAnsi" w:cstheme="minorHAnsi"/>
                <w:b w:val="0"/>
                <w:bCs w:val="0"/>
              </w:rPr>
              <w:t xml:space="preserve">each service </w:t>
            </w:r>
            <w:r w:rsidR="004B70C5" w:rsidRPr="005E4A1B">
              <w:rPr>
                <w:rFonts w:asciiTheme="minorHAnsi" w:hAnsiTheme="minorHAnsi" w:cstheme="minorHAnsi"/>
                <w:b w:val="0"/>
                <w:bCs w:val="0"/>
              </w:rPr>
              <w:t xml:space="preserve">becoming </w:t>
            </w:r>
            <w:r w:rsidRPr="005E4A1B">
              <w:rPr>
                <w:rFonts w:asciiTheme="minorHAnsi" w:hAnsiTheme="minorHAnsi" w:cstheme="minorHAnsi"/>
                <w:b w:val="0"/>
                <w:bCs w:val="0"/>
              </w:rPr>
              <w:t>operational</w:t>
            </w:r>
          </w:p>
        </w:tc>
        <w:tc>
          <w:tcPr>
            <w:tcW w:w="2835" w:type="dxa"/>
          </w:tcPr>
          <w:p w14:paraId="5AD40B01" w14:textId="77777777" w:rsidR="00210EC9" w:rsidRPr="005E4A1B" w:rsidRDefault="004D400E" w:rsidP="00210EC9">
            <w:pPr>
              <w:pStyle w:val="Milestonetable"/>
              <w:jc w:val="right"/>
              <w:rPr>
                <w:rFonts w:asciiTheme="minorHAnsi" w:hAnsiTheme="minorHAnsi" w:cstheme="minorHAnsi"/>
                <w:b w:val="0"/>
                <w:bCs w:val="0"/>
                <w:lang w:eastAsia="en-US"/>
              </w:rPr>
            </w:pPr>
            <w:r w:rsidRPr="005E4A1B">
              <w:rPr>
                <w:rFonts w:asciiTheme="minorHAnsi" w:hAnsiTheme="minorHAnsi" w:cstheme="minorHAnsi"/>
                <w:b w:val="0"/>
                <w:bCs w:val="0"/>
                <w:lang w:eastAsia="en-US"/>
              </w:rPr>
              <w:t>Nil</w:t>
            </w:r>
          </w:p>
        </w:tc>
      </w:tr>
      <w:tr w:rsidR="001E2F1B" w:rsidRPr="005E4A1B" w14:paraId="7A94A13E" w14:textId="77777777" w:rsidTr="581B167F">
        <w:trPr>
          <w:trHeight w:val="514"/>
        </w:trPr>
        <w:tc>
          <w:tcPr>
            <w:tcW w:w="2117" w:type="dxa"/>
          </w:tcPr>
          <w:p w14:paraId="7088871E" w14:textId="77777777" w:rsidR="001E2F1B" w:rsidRPr="005E4A1B" w:rsidRDefault="001E2F1B" w:rsidP="001E2F1B">
            <w:pPr>
              <w:pStyle w:val="Milestonetable"/>
              <w:rPr>
                <w:rFonts w:asciiTheme="minorHAnsi" w:hAnsiTheme="minorHAnsi" w:cstheme="minorHAnsi"/>
              </w:rPr>
            </w:pPr>
            <w:r w:rsidRPr="005E4A1B">
              <w:rPr>
                <w:rFonts w:asciiTheme="minorHAnsi" w:hAnsiTheme="minorHAnsi" w:cstheme="minorHAnsi"/>
                <w:lang w:eastAsia="en-US"/>
              </w:rPr>
              <w:t>Joint Regional Plan</w:t>
            </w:r>
          </w:p>
        </w:tc>
        <w:tc>
          <w:tcPr>
            <w:tcW w:w="7938" w:type="dxa"/>
          </w:tcPr>
          <w:p w14:paraId="40B47E0A" w14:textId="77777777" w:rsidR="001E2F1B" w:rsidRPr="005E4A1B" w:rsidRDefault="001E2F1B" w:rsidP="001E2F1B">
            <w:pPr>
              <w:pStyle w:val="Milestonetable"/>
              <w:rPr>
                <w:b w:val="0"/>
                <w:bCs w:val="0"/>
              </w:rPr>
            </w:pPr>
            <w:r w:rsidRPr="005E4A1B">
              <w:rPr>
                <w:rFonts w:asciiTheme="minorHAnsi" w:hAnsiTheme="minorHAnsi" w:cstheme="minorHAnsi"/>
                <w:b w:val="0"/>
                <w:bCs w:val="0"/>
                <w:lang w:eastAsia="en-US"/>
              </w:rPr>
              <w:t>South Australia and the Commonwealth to develop a joint regional plan within the first 2 years of this schedule, with further details to be provided by the Commonwealth on planning and reporting requirements.</w:t>
            </w:r>
          </w:p>
        </w:tc>
        <w:tc>
          <w:tcPr>
            <w:tcW w:w="1701" w:type="dxa"/>
          </w:tcPr>
          <w:p w14:paraId="67540E16" w14:textId="77777777" w:rsidR="001E2F1B" w:rsidRPr="005E4A1B" w:rsidRDefault="001E2F1B" w:rsidP="001E2F1B">
            <w:pPr>
              <w:pStyle w:val="Milestonetable"/>
              <w:rPr>
                <w:rFonts w:asciiTheme="minorHAnsi" w:hAnsiTheme="minorHAnsi" w:cstheme="minorHAnsi"/>
                <w:b w:val="0"/>
                <w:bCs w:val="0"/>
              </w:rPr>
            </w:pPr>
            <w:r w:rsidRPr="005E4A1B">
              <w:rPr>
                <w:rFonts w:asciiTheme="minorHAnsi" w:hAnsiTheme="minorHAnsi" w:cstheme="minorHAnsi"/>
                <w:b w:val="0"/>
                <w:bCs w:val="0"/>
                <w:lang w:eastAsia="en-US"/>
              </w:rPr>
              <w:t>Within two years from the date of execution of this schedule</w:t>
            </w:r>
          </w:p>
        </w:tc>
        <w:tc>
          <w:tcPr>
            <w:tcW w:w="2835" w:type="dxa"/>
          </w:tcPr>
          <w:p w14:paraId="1EAD54A3" w14:textId="77777777" w:rsidR="001E2F1B" w:rsidRPr="005E4A1B" w:rsidRDefault="001E2F1B" w:rsidP="001E2F1B">
            <w:pPr>
              <w:pStyle w:val="Milestonetable"/>
              <w:jc w:val="right"/>
              <w:rPr>
                <w:rFonts w:asciiTheme="minorHAnsi" w:hAnsiTheme="minorHAnsi" w:cstheme="minorHAnsi"/>
                <w:b w:val="0"/>
                <w:bCs w:val="0"/>
                <w:lang w:eastAsia="en-US"/>
              </w:rPr>
            </w:pPr>
            <w:r w:rsidRPr="005E4A1B">
              <w:rPr>
                <w:rFonts w:asciiTheme="minorHAnsi" w:hAnsiTheme="minorHAnsi" w:cstheme="minorHAnsi"/>
                <w:b w:val="0"/>
                <w:bCs w:val="0"/>
                <w:lang w:eastAsia="en-US"/>
              </w:rPr>
              <w:t>Nil</w:t>
            </w:r>
          </w:p>
        </w:tc>
      </w:tr>
      <w:tr w:rsidR="00210EC9" w:rsidRPr="005E4A1B" w14:paraId="6861666C" w14:textId="77777777" w:rsidTr="581B167F">
        <w:trPr>
          <w:trHeight w:val="513"/>
        </w:trPr>
        <w:tc>
          <w:tcPr>
            <w:tcW w:w="2117" w:type="dxa"/>
          </w:tcPr>
          <w:p w14:paraId="32FAB1EC" w14:textId="77777777" w:rsidR="00210EC9" w:rsidRPr="005E4A1B" w:rsidRDefault="00210EC9" w:rsidP="00210EC9">
            <w:pPr>
              <w:pStyle w:val="Milestonetable"/>
              <w:rPr>
                <w:rFonts w:asciiTheme="minorHAnsi" w:hAnsiTheme="minorHAnsi" w:cstheme="minorHAnsi"/>
                <w:b w:val="0"/>
                <w:bCs w:val="0"/>
              </w:rPr>
            </w:pPr>
            <w:r w:rsidRPr="005E4A1B">
              <w:rPr>
                <w:rFonts w:asciiTheme="minorHAnsi" w:hAnsiTheme="minorHAnsi" w:cstheme="minorHAnsi"/>
              </w:rPr>
              <w:t xml:space="preserve">Annual performance report  </w:t>
            </w:r>
          </w:p>
        </w:tc>
        <w:tc>
          <w:tcPr>
            <w:tcW w:w="7938" w:type="dxa"/>
          </w:tcPr>
          <w:p w14:paraId="568881E0" w14:textId="77777777" w:rsidR="00210EC9" w:rsidRPr="005E4A1B" w:rsidRDefault="00210EC9" w:rsidP="00210EC9">
            <w:pPr>
              <w:pStyle w:val="Milestonetable"/>
              <w:rPr>
                <w:rFonts w:asciiTheme="minorHAnsi" w:hAnsiTheme="minorHAnsi" w:cstheme="minorHAnsi"/>
                <w:b w:val="0"/>
                <w:bCs w:val="0"/>
              </w:rPr>
            </w:pPr>
            <w:r w:rsidRPr="005E4A1B">
              <w:rPr>
                <w:rFonts w:asciiTheme="minorHAnsi" w:hAnsiTheme="minorHAnsi" w:cstheme="minorHAnsi"/>
                <w:b w:val="0"/>
                <w:bCs w:val="0"/>
              </w:rPr>
              <w:t>Performance report against the Joint Commonwealth-State Implementation Plan and key deliverables for the period from execution of this Schedule to 30/06/2022.</w:t>
            </w:r>
          </w:p>
          <w:p w14:paraId="4DEB51BB" w14:textId="77777777" w:rsidR="00210EC9" w:rsidRPr="005E4A1B" w:rsidRDefault="00210EC9" w:rsidP="00210EC9">
            <w:pPr>
              <w:pStyle w:val="Milestonetable"/>
              <w:rPr>
                <w:rFonts w:asciiTheme="minorHAnsi" w:hAnsiTheme="minorHAnsi" w:cstheme="minorHAnsi"/>
              </w:rPr>
            </w:pPr>
            <w:r w:rsidRPr="005E4A1B">
              <w:rPr>
                <w:rFonts w:asciiTheme="minorHAnsi" w:hAnsiTheme="minorHAnsi" w:cstheme="minorHAnsi"/>
                <w:b w:val="0"/>
                <w:bCs w:val="0"/>
              </w:rPr>
              <w:t>Refer to Table 4 for detail of the requirements.</w:t>
            </w:r>
          </w:p>
        </w:tc>
        <w:tc>
          <w:tcPr>
            <w:tcW w:w="1701" w:type="dxa"/>
          </w:tcPr>
          <w:p w14:paraId="57AB473A" w14:textId="77777777" w:rsidR="00210EC9" w:rsidRPr="005E4A1B" w:rsidRDefault="00210EC9" w:rsidP="00210EC9">
            <w:pPr>
              <w:pStyle w:val="Milestonetable"/>
              <w:rPr>
                <w:rFonts w:asciiTheme="minorHAnsi" w:hAnsiTheme="minorHAnsi" w:cstheme="minorHAnsi"/>
                <w:b w:val="0"/>
                <w:bCs w:val="0"/>
              </w:rPr>
            </w:pPr>
            <w:r w:rsidRPr="005E4A1B">
              <w:rPr>
                <w:rFonts w:asciiTheme="minorHAnsi" w:hAnsiTheme="minorHAnsi" w:cstheme="minorHAnsi"/>
                <w:b w:val="0"/>
                <w:bCs w:val="0"/>
              </w:rPr>
              <w:t>31/08/2022</w:t>
            </w:r>
          </w:p>
        </w:tc>
        <w:tc>
          <w:tcPr>
            <w:tcW w:w="2835" w:type="dxa"/>
          </w:tcPr>
          <w:p w14:paraId="60D8632C" w14:textId="77777777" w:rsidR="00210EC9" w:rsidRPr="005E4A1B" w:rsidRDefault="00F65A45" w:rsidP="00210EC9">
            <w:pPr>
              <w:pStyle w:val="Milestonetable"/>
              <w:jc w:val="right"/>
              <w:rPr>
                <w:rFonts w:asciiTheme="minorHAnsi" w:hAnsiTheme="minorHAnsi" w:cstheme="minorHAnsi"/>
                <w:b w:val="0"/>
                <w:bCs w:val="0"/>
              </w:rPr>
            </w:pPr>
            <w:r w:rsidRPr="005E4A1B">
              <w:rPr>
                <w:rFonts w:asciiTheme="minorHAnsi" w:hAnsiTheme="minorHAnsi" w:cstheme="minorHAnsi"/>
                <w:b w:val="0"/>
                <w:bCs w:val="0"/>
                <w:lang w:eastAsia="en-US"/>
              </w:rPr>
              <w:t>$400,000 (IAR tool and National Phone / Digital Intake Service implementation)</w:t>
            </w:r>
          </w:p>
        </w:tc>
      </w:tr>
      <w:tr w:rsidR="00BE23F0" w:rsidRPr="005E4A1B" w14:paraId="43670F52" w14:textId="77777777" w:rsidTr="581B167F">
        <w:trPr>
          <w:trHeight w:val="513"/>
        </w:trPr>
        <w:tc>
          <w:tcPr>
            <w:tcW w:w="2117" w:type="dxa"/>
          </w:tcPr>
          <w:p w14:paraId="7BA33C76" w14:textId="77777777" w:rsidR="00BE23F0" w:rsidRPr="005E4A1B" w:rsidRDefault="00BE23F0" w:rsidP="00BE23F0">
            <w:pPr>
              <w:pStyle w:val="Milestonetable"/>
              <w:rPr>
                <w:rFonts w:asciiTheme="minorHAnsi" w:hAnsiTheme="minorHAnsi" w:cstheme="minorHAnsi"/>
              </w:rPr>
            </w:pPr>
            <w:r w:rsidRPr="005E4A1B">
              <w:rPr>
                <w:rFonts w:asciiTheme="minorHAnsi" w:hAnsiTheme="minorHAnsi" w:cstheme="minorHAnsi"/>
              </w:rPr>
              <w:t>Revised Joint Commonwealth-State Implementation plan and Annual Performance report</w:t>
            </w:r>
          </w:p>
        </w:tc>
        <w:tc>
          <w:tcPr>
            <w:tcW w:w="7938" w:type="dxa"/>
          </w:tcPr>
          <w:p w14:paraId="4053650A" w14:textId="77777777" w:rsidR="00BE23F0" w:rsidRPr="005E4A1B" w:rsidRDefault="00BE23F0" w:rsidP="00BE23F0">
            <w:pPr>
              <w:pStyle w:val="Milestonetable"/>
              <w:rPr>
                <w:rFonts w:asciiTheme="minorHAnsi" w:hAnsiTheme="minorHAnsi" w:cstheme="minorHAnsi"/>
                <w:b w:val="0"/>
                <w:bCs w:val="0"/>
              </w:rPr>
            </w:pPr>
            <w:r w:rsidRPr="005E4A1B">
              <w:rPr>
                <w:rFonts w:asciiTheme="minorHAnsi" w:hAnsiTheme="minorHAnsi" w:cstheme="minorHAnsi"/>
                <w:b w:val="0"/>
                <w:bCs w:val="0"/>
              </w:rPr>
              <w:t>Joint Commonwealth-State Implementation plan including key deliverables, proposed service models and timeframes</w:t>
            </w:r>
            <w:r w:rsidRPr="005E4A1B">
              <w:t xml:space="preserve"> </w:t>
            </w:r>
            <w:r w:rsidRPr="005E4A1B">
              <w:rPr>
                <w:rFonts w:asciiTheme="minorHAnsi" w:hAnsiTheme="minorHAnsi" w:cstheme="minorHAnsi"/>
                <w:b w:val="0"/>
                <w:bCs w:val="0"/>
              </w:rPr>
              <w:t xml:space="preserve">that align with needs analysis, service and workforce mapping and planning in the joint regional plans for the following initiatives: </w:t>
            </w:r>
          </w:p>
          <w:p w14:paraId="5A58194E" w14:textId="56088168" w:rsidR="00BE23F0" w:rsidRPr="005E4A1B" w:rsidRDefault="122311FA" w:rsidP="6245677E">
            <w:pPr>
              <w:pStyle w:val="Milestonetable"/>
              <w:numPr>
                <w:ilvl w:val="0"/>
                <w:numId w:val="3"/>
              </w:numPr>
              <w:rPr>
                <w:rFonts w:asciiTheme="minorHAnsi" w:hAnsiTheme="minorHAnsi" w:cstheme="minorBidi"/>
                <w:b w:val="0"/>
                <w:bCs w:val="0"/>
              </w:rPr>
            </w:pPr>
            <w:r w:rsidRPr="005E4A1B">
              <w:rPr>
                <w:rFonts w:asciiTheme="minorHAnsi" w:hAnsiTheme="minorHAnsi" w:cstheme="minorBidi"/>
                <w:b w:val="0"/>
                <w:bCs w:val="0"/>
              </w:rPr>
              <w:t>Adult Mental Health Centre and Satellite Network(Medicare Mental Health Centres)</w:t>
            </w:r>
          </w:p>
          <w:p w14:paraId="00CFBC07" w14:textId="1F595DB5" w:rsidR="00BE23F0" w:rsidRPr="005E4A1B" w:rsidRDefault="00BE23F0" w:rsidP="00BE23F0">
            <w:pPr>
              <w:pStyle w:val="Milestonetable"/>
              <w:numPr>
                <w:ilvl w:val="0"/>
                <w:numId w:val="3"/>
              </w:numPr>
              <w:rPr>
                <w:rFonts w:asciiTheme="minorHAnsi" w:hAnsiTheme="minorHAnsi" w:cstheme="minorHAnsi"/>
                <w:b w:val="0"/>
                <w:bCs w:val="0"/>
              </w:rPr>
            </w:pPr>
            <w:r w:rsidRPr="005E4A1B">
              <w:rPr>
                <w:rFonts w:asciiTheme="minorHAnsi" w:hAnsiTheme="minorHAnsi" w:cstheme="minorHAnsi"/>
                <w:b w:val="0"/>
                <w:bCs w:val="0"/>
              </w:rPr>
              <w:t xml:space="preserve">Aboriginal </w:t>
            </w:r>
            <w:r w:rsidR="00635845" w:rsidRPr="005E4A1B">
              <w:rPr>
                <w:rFonts w:asciiTheme="minorHAnsi" w:hAnsiTheme="minorHAnsi" w:cstheme="minorHAnsi"/>
                <w:b w:val="0"/>
                <w:bCs w:val="0"/>
              </w:rPr>
              <w:t>Social and Emotional</w:t>
            </w:r>
            <w:r w:rsidRPr="005E4A1B">
              <w:rPr>
                <w:rFonts w:asciiTheme="minorHAnsi" w:hAnsiTheme="minorHAnsi" w:cstheme="minorHAnsi"/>
                <w:b w:val="0"/>
                <w:bCs w:val="0"/>
              </w:rPr>
              <w:t xml:space="preserve"> Wellbeing Centre</w:t>
            </w:r>
          </w:p>
          <w:p w14:paraId="3C6D013B" w14:textId="77777777" w:rsidR="00BE23F0" w:rsidRPr="005E4A1B" w:rsidRDefault="00BE23F0" w:rsidP="00BE23F0">
            <w:pPr>
              <w:pStyle w:val="Milestonetable"/>
              <w:numPr>
                <w:ilvl w:val="0"/>
                <w:numId w:val="3"/>
              </w:numPr>
              <w:rPr>
                <w:rFonts w:asciiTheme="minorHAnsi" w:hAnsiTheme="minorHAnsi" w:cstheme="minorHAnsi"/>
                <w:b w:val="0"/>
                <w:bCs w:val="0"/>
              </w:rPr>
            </w:pPr>
            <w:r w:rsidRPr="005E4A1B">
              <w:rPr>
                <w:rFonts w:asciiTheme="minorHAnsi" w:hAnsiTheme="minorHAnsi" w:cstheme="minorHAnsi"/>
                <w:b w:val="0"/>
                <w:bCs w:val="0"/>
              </w:rPr>
              <w:t>Child mental health and wellbeing</w:t>
            </w:r>
          </w:p>
          <w:p w14:paraId="3CD5001D" w14:textId="77777777" w:rsidR="00BE23F0" w:rsidRPr="005E4A1B" w:rsidRDefault="00BE23F0" w:rsidP="00BE23F0">
            <w:pPr>
              <w:pStyle w:val="Milestonetable"/>
              <w:numPr>
                <w:ilvl w:val="0"/>
                <w:numId w:val="3"/>
              </w:numPr>
              <w:rPr>
                <w:rFonts w:asciiTheme="minorHAnsi" w:hAnsiTheme="minorHAnsi" w:cstheme="minorHAnsi"/>
                <w:b w:val="0"/>
                <w:bCs w:val="0"/>
              </w:rPr>
            </w:pPr>
            <w:r w:rsidRPr="005E4A1B">
              <w:rPr>
                <w:rFonts w:asciiTheme="minorHAnsi" w:hAnsiTheme="minorHAnsi" w:cstheme="minorHAnsi"/>
                <w:b w:val="0"/>
                <w:bCs w:val="0"/>
              </w:rPr>
              <w:lastRenderedPageBreak/>
              <w:t>Enhancement and integration of youth mental health services</w:t>
            </w:r>
          </w:p>
          <w:p w14:paraId="52722902" w14:textId="77777777" w:rsidR="00BE23F0" w:rsidRPr="005E4A1B" w:rsidRDefault="00BE23F0" w:rsidP="00BE23F0">
            <w:pPr>
              <w:pStyle w:val="Milestonetable"/>
              <w:numPr>
                <w:ilvl w:val="0"/>
                <w:numId w:val="3"/>
              </w:numPr>
              <w:rPr>
                <w:rFonts w:asciiTheme="minorHAnsi" w:hAnsiTheme="minorHAnsi" w:cstheme="minorHAnsi"/>
                <w:b w:val="0"/>
                <w:bCs w:val="0"/>
              </w:rPr>
            </w:pPr>
            <w:r w:rsidRPr="005E4A1B">
              <w:rPr>
                <w:rFonts w:asciiTheme="minorHAnsi" w:hAnsiTheme="minorHAnsi" w:cstheme="minorHAnsi"/>
                <w:b w:val="0"/>
                <w:bCs w:val="0"/>
              </w:rPr>
              <w:t>Aftercare services</w:t>
            </w:r>
          </w:p>
          <w:p w14:paraId="009C0EB7" w14:textId="028E1483" w:rsidR="00BE23F0" w:rsidRPr="005E4A1B" w:rsidRDefault="00BE23F0" w:rsidP="00BE23F0">
            <w:pPr>
              <w:pStyle w:val="Milestonetable"/>
              <w:numPr>
                <w:ilvl w:val="0"/>
                <w:numId w:val="3"/>
              </w:numPr>
              <w:rPr>
                <w:rFonts w:asciiTheme="minorHAnsi" w:hAnsiTheme="minorHAnsi" w:cstheme="minorHAnsi"/>
                <w:b w:val="0"/>
                <w:bCs w:val="0"/>
              </w:rPr>
            </w:pPr>
            <w:r w:rsidRPr="005E4A1B">
              <w:rPr>
                <w:rFonts w:asciiTheme="minorHAnsi" w:hAnsiTheme="minorHAnsi" w:cstheme="minorHAnsi"/>
                <w:b w:val="0"/>
                <w:bCs w:val="0"/>
              </w:rPr>
              <w:t>Distress Brief Support Trial</w:t>
            </w:r>
          </w:p>
          <w:p w14:paraId="7DED45EA" w14:textId="77777777" w:rsidR="00BE23F0" w:rsidRPr="005E4A1B" w:rsidRDefault="00BE23F0" w:rsidP="00BE23F0">
            <w:pPr>
              <w:pStyle w:val="Milestonetable"/>
              <w:numPr>
                <w:ilvl w:val="0"/>
                <w:numId w:val="3"/>
              </w:numPr>
              <w:rPr>
                <w:rFonts w:asciiTheme="minorHAnsi" w:hAnsiTheme="minorHAnsi" w:cstheme="minorHAnsi"/>
                <w:b w:val="0"/>
                <w:bCs w:val="0"/>
              </w:rPr>
            </w:pPr>
            <w:r w:rsidRPr="005E4A1B">
              <w:rPr>
                <w:rFonts w:asciiTheme="minorHAnsi" w:hAnsiTheme="minorHAnsi" w:cstheme="minorHAnsi"/>
                <w:b w:val="0"/>
                <w:bCs w:val="0"/>
              </w:rPr>
              <w:t>Postvention support</w:t>
            </w:r>
          </w:p>
          <w:p w14:paraId="12A00E22" w14:textId="77777777" w:rsidR="00BE23F0" w:rsidRPr="005E4A1B" w:rsidRDefault="00BE23F0" w:rsidP="00BE23F0">
            <w:pPr>
              <w:pStyle w:val="Milestonetable"/>
              <w:numPr>
                <w:ilvl w:val="0"/>
                <w:numId w:val="3"/>
              </w:numPr>
              <w:rPr>
                <w:rFonts w:asciiTheme="minorHAnsi" w:hAnsiTheme="minorHAnsi" w:cstheme="minorHAnsi"/>
                <w:b w:val="0"/>
                <w:bCs w:val="0"/>
              </w:rPr>
            </w:pPr>
            <w:r w:rsidRPr="005E4A1B">
              <w:rPr>
                <w:rFonts w:asciiTheme="minorHAnsi" w:hAnsiTheme="minorHAnsi" w:cstheme="minorHAnsi"/>
                <w:b w:val="0"/>
                <w:bCs w:val="0"/>
              </w:rPr>
              <w:t>Initial Assessment and Referral tool</w:t>
            </w:r>
          </w:p>
          <w:p w14:paraId="214AF190" w14:textId="77777777" w:rsidR="00BE23F0" w:rsidRPr="005E4A1B" w:rsidRDefault="00BE23F0" w:rsidP="00BE23F0">
            <w:pPr>
              <w:pStyle w:val="Milestonetable"/>
              <w:rPr>
                <w:rFonts w:asciiTheme="minorHAnsi" w:hAnsiTheme="minorHAnsi" w:cstheme="minorHAnsi"/>
                <w:b w:val="0"/>
                <w:bCs w:val="0"/>
              </w:rPr>
            </w:pPr>
            <w:r w:rsidRPr="005E4A1B">
              <w:rPr>
                <w:rFonts w:asciiTheme="minorHAnsi" w:hAnsiTheme="minorHAnsi" w:cstheme="minorHAnsi"/>
                <w:b w:val="0"/>
                <w:bCs w:val="0"/>
              </w:rPr>
              <w:t>Performance report against the Joint Commonwealth-State Implementation Plan and key deliverables for the period from 01/07/2022 to 30/06/2023. Refer to Table 4 for detail of the requirements.</w:t>
            </w:r>
          </w:p>
        </w:tc>
        <w:tc>
          <w:tcPr>
            <w:tcW w:w="1701" w:type="dxa"/>
          </w:tcPr>
          <w:p w14:paraId="5321F887" w14:textId="2C25D220" w:rsidR="00BE23F0" w:rsidRPr="005E4A1B" w:rsidRDefault="00BE23F0" w:rsidP="00BE23F0">
            <w:pPr>
              <w:pStyle w:val="Milestonetable"/>
              <w:rPr>
                <w:rFonts w:asciiTheme="minorHAnsi" w:hAnsiTheme="minorHAnsi" w:cstheme="minorHAnsi"/>
                <w:b w:val="0"/>
                <w:bCs w:val="0"/>
              </w:rPr>
            </w:pPr>
            <w:r w:rsidRPr="005E4A1B">
              <w:rPr>
                <w:rFonts w:asciiTheme="minorHAnsi" w:hAnsiTheme="minorHAnsi"/>
                <w:b w:val="0"/>
              </w:rPr>
              <w:lastRenderedPageBreak/>
              <w:t>31/</w:t>
            </w:r>
            <w:r w:rsidR="00266B92" w:rsidRPr="005E4A1B">
              <w:rPr>
                <w:rFonts w:asciiTheme="minorHAnsi" w:hAnsiTheme="minorHAnsi"/>
                <w:b w:val="0"/>
              </w:rPr>
              <w:t>10</w:t>
            </w:r>
            <w:r w:rsidRPr="005E4A1B">
              <w:rPr>
                <w:rFonts w:asciiTheme="minorHAnsi" w:hAnsiTheme="minorHAnsi"/>
                <w:b w:val="0"/>
              </w:rPr>
              <w:t>/2023</w:t>
            </w:r>
          </w:p>
        </w:tc>
        <w:tc>
          <w:tcPr>
            <w:tcW w:w="2835" w:type="dxa"/>
          </w:tcPr>
          <w:p w14:paraId="59483D5D" w14:textId="426CA3F3" w:rsidR="00BE23F0" w:rsidRPr="005E4A1B" w:rsidRDefault="095C2E40" w:rsidP="6245677E">
            <w:pPr>
              <w:pStyle w:val="Milestonetable"/>
              <w:jc w:val="right"/>
              <w:rPr>
                <w:rFonts w:asciiTheme="minorHAnsi" w:hAnsiTheme="minorHAnsi" w:cstheme="minorBidi"/>
                <w:b w:val="0"/>
                <w:bCs w:val="0"/>
                <w:lang w:eastAsia="en-US"/>
              </w:rPr>
            </w:pPr>
            <w:r w:rsidRPr="005E4A1B">
              <w:rPr>
                <w:rFonts w:asciiTheme="minorHAnsi" w:hAnsiTheme="minorHAnsi" w:cstheme="minorBidi"/>
                <w:b w:val="0"/>
                <w:bCs w:val="0"/>
                <w:lang w:eastAsia="en-US"/>
              </w:rPr>
              <w:t xml:space="preserve">$7,437,000 (Aboriginal Mental Health and Wellbeing Centre, </w:t>
            </w:r>
            <w:r w:rsidR="46A58381" w:rsidRPr="005E4A1B">
              <w:rPr>
                <w:rFonts w:asciiTheme="minorHAnsi" w:hAnsiTheme="minorHAnsi" w:cstheme="minorBidi"/>
                <w:b w:val="0"/>
                <w:bCs w:val="0"/>
                <w:lang w:eastAsia="en-US"/>
              </w:rPr>
              <w:t xml:space="preserve"> Medicare Mental Health Kids Hubs</w:t>
            </w:r>
          </w:p>
        </w:tc>
      </w:tr>
      <w:tr w:rsidR="006874CC" w:rsidRPr="005E4A1B" w14:paraId="32FDEA88" w14:textId="77777777" w:rsidTr="581B167F">
        <w:trPr>
          <w:trHeight w:val="513"/>
        </w:trPr>
        <w:tc>
          <w:tcPr>
            <w:tcW w:w="2117" w:type="dxa"/>
          </w:tcPr>
          <w:p w14:paraId="61B4C805" w14:textId="77777777" w:rsidR="006874CC" w:rsidRPr="005E4A1B" w:rsidRDefault="006874CC" w:rsidP="006874CC">
            <w:pPr>
              <w:pStyle w:val="Milestonetable"/>
              <w:rPr>
                <w:rFonts w:asciiTheme="minorHAnsi" w:hAnsiTheme="minorHAnsi" w:cstheme="minorHAnsi"/>
              </w:rPr>
            </w:pPr>
            <w:r w:rsidRPr="005E4A1B">
              <w:rPr>
                <w:rFonts w:asciiTheme="minorHAnsi" w:hAnsiTheme="minorHAnsi" w:cstheme="minorHAnsi"/>
              </w:rPr>
              <w:t xml:space="preserve">Annual performance report  </w:t>
            </w:r>
          </w:p>
        </w:tc>
        <w:tc>
          <w:tcPr>
            <w:tcW w:w="7938" w:type="dxa"/>
          </w:tcPr>
          <w:p w14:paraId="6F6A659E" w14:textId="77777777" w:rsidR="006874CC" w:rsidRPr="005E4A1B" w:rsidRDefault="006874CC" w:rsidP="006874CC">
            <w:pPr>
              <w:pStyle w:val="Milestonetable"/>
              <w:rPr>
                <w:rFonts w:asciiTheme="minorHAnsi" w:hAnsiTheme="minorHAnsi" w:cstheme="minorHAnsi"/>
                <w:b w:val="0"/>
                <w:bCs w:val="0"/>
              </w:rPr>
            </w:pPr>
            <w:r w:rsidRPr="005E4A1B">
              <w:rPr>
                <w:rFonts w:asciiTheme="minorHAnsi" w:hAnsiTheme="minorHAnsi" w:cstheme="minorHAnsi"/>
                <w:b w:val="0"/>
                <w:bCs w:val="0"/>
              </w:rPr>
              <w:t>Performance report against the Joint Commonwealth-State Implementation Plan and key deliverables for the period from 01/07/2023 to 30/06/2024.</w:t>
            </w:r>
          </w:p>
          <w:p w14:paraId="5FC95DA0" w14:textId="77777777" w:rsidR="006874CC" w:rsidRPr="005E4A1B" w:rsidRDefault="006874CC" w:rsidP="006874CC">
            <w:pPr>
              <w:pStyle w:val="Milestonetable"/>
              <w:rPr>
                <w:rFonts w:asciiTheme="minorHAnsi" w:hAnsiTheme="minorHAnsi" w:cstheme="minorHAnsi"/>
                <w:b w:val="0"/>
                <w:bCs w:val="0"/>
              </w:rPr>
            </w:pPr>
            <w:r w:rsidRPr="005E4A1B">
              <w:rPr>
                <w:rFonts w:asciiTheme="minorHAnsi" w:hAnsiTheme="minorHAnsi" w:cstheme="minorHAnsi"/>
                <w:b w:val="0"/>
                <w:bCs w:val="0"/>
              </w:rPr>
              <w:t>Refer to Table 4 for detail of the requirements.</w:t>
            </w:r>
          </w:p>
        </w:tc>
        <w:tc>
          <w:tcPr>
            <w:tcW w:w="1701" w:type="dxa"/>
          </w:tcPr>
          <w:p w14:paraId="4B19AD73" w14:textId="77777777" w:rsidR="006874CC" w:rsidRPr="005E4A1B" w:rsidRDefault="006874CC" w:rsidP="006874CC">
            <w:pPr>
              <w:pStyle w:val="Milestonetable"/>
              <w:rPr>
                <w:rFonts w:asciiTheme="minorHAnsi" w:hAnsiTheme="minorHAnsi" w:cstheme="minorHAnsi"/>
                <w:b w:val="0"/>
                <w:bCs w:val="0"/>
              </w:rPr>
            </w:pPr>
            <w:r w:rsidRPr="005E4A1B">
              <w:rPr>
                <w:rFonts w:asciiTheme="minorHAnsi" w:hAnsiTheme="minorHAnsi" w:cstheme="minorHAnsi"/>
                <w:b w:val="0"/>
                <w:bCs w:val="0"/>
              </w:rPr>
              <w:t>31/08/2024</w:t>
            </w:r>
          </w:p>
        </w:tc>
        <w:tc>
          <w:tcPr>
            <w:tcW w:w="2835" w:type="dxa"/>
          </w:tcPr>
          <w:p w14:paraId="699F25C0" w14:textId="346AF8CD" w:rsidR="00DA4086" w:rsidRPr="005E4A1B" w:rsidRDefault="00470821" w:rsidP="00B51AE6">
            <w:pPr>
              <w:pStyle w:val="Milestonetable"/>
              <w:jc w:val="right"/>
              <w:rPr>
                <w:rFonts w:ascii="Calibri" w:hAnsi="Calibri" w:cs="Calibri"/>
                <w:lang w:val="en-AU"/>
              </w:rPr>
            </w:pPr>
            <w:r w:rsidRPr="005E4A1B">
              <w:rPr>
                <w:rFonts w:asciiTheme="minorHAnsi" w:hAnsiTheme="minorHAnsi" w:cstheme="minorHAnsi"/>
                <w:b w:val="0"/>
                <w:bCs w:val="0"/>
              </w:rPr>
              <w:t>$</w:t>
            </w:r>
            <w:r w:rsidR="00DA4086" w:rsidRPr="005E4A1B">
              <w:rPr>
                <w:rFonts w:ascii="Calibri" w:hAnsi="Calibri" w:cs="Calibri"/>
                <w:b w:val="0"/>
                <w:bCs w:val="0"/>
              </w:rPr>
              <w:t>9,174,415</w:t>
            </w:r>
          </w:p>
          <w:p w14:paraId="19783109" w14:textId="41CC60F0" w:rsidR="006874CC" w:rsidRPr="005E4A1B" w:rsidRDefault="00470821" w:rsidP="6245677E">
            <w:pPr>
              <w:pStyle w:val="Milestonetable"/>
              <w:jc w:val="right"/>
              <w:rPr>
                <w:rFonts w:asciiTheme="minorHAnsi" w:hAnsiTheme="minorHAnsi" w:cstheme="minorBidi"/>
                <w:b w:val="0"/>
                <w:bCs w:val="0"/>
              </w:rPr>
            </w:pPr>
            <w:r w:rsidRPr="005E4A1B">
              <w:rPr>
                <w:rFonts w:asciiTheme="minorHAnsi" w:hAnsiTheme="minorHAnsi" w:cstheme="minorBidi"/>
                <w:b w:val="0"/>
                <w:bCs w:val="0"/>
              </w:rPr>
              <w:t>(Existing adult mental health centre</w:t>
            </w:r>
            <w:r w:rsidR="29478806" w:rsidRPr="005E4A1B">
              <w:rPr>
                <w:rFonts w:asciiTheme="minorHAnsi" w:hAnsiTheme="minorHAnsi" w:cstheme="minorBidi"/>
                <w:b w:val="0"/>
                <w:bCs w:val="0"/>
              </w:rPr>
              <w:t xml:space="preserve">, Aboriginal Mental Health and Wellbeing Centre, </w:t>
            </w:r>
            <w:r w:rsidR="26555456" w:rsidRPr="005E4A1B">
              <w:rPr>
                <w:rFonts w:asciiTheme="minorHAnsi" w:hAnsiTheme="minorHAnsi" w:cstheme="minorBidi"/>
                <w:b w:val="0"/>
                <w:bCs w:val="0"/>
              </w:rPr>
              <w:t xml:space="preserve"> Medicare Mental Health Kids Hubs</w:t>
            </w:r>
          </w:p>
        </w:tc>
      </w:tr>
      <w:tr w:rsidR="006874CC" w:rsidRPr="005E4A1B" w14:paraId="58664089" w14:textId="77777777" w:rsidTr="581B167F">
        <w:trPr>
          <w:trHeight w:val="513"/>
        </w:trPr>
        <w:tc>
          <w:tcPr>
            <w:tcW w:w="2117" w:type="dxa"/>
          </w:tcPr>
          <w:p w14:paraId="521B2917" w14:textId="77777777" w:rsidR="006874CC" w:rsidRPr="005E4A1B" w:rsidRDefault="006874CC" w:rsidP="006874CC">
            <w:pPr>
              <w:pStyle w:val="Milestonetable"/>
              <w:rPr>
                <w:rFonts w:asciiTheme="minorHAnsi" w:hAnsiTheme="minorHAnsi" w:cstheme="minorHAnsi"/>
              </w:rPr>
            </w:pPr>
            <w:r w:rsidRPr="005E4A1B">
              <w:rPr>
                <w:rFonts w:asciiTheme="minorHAnsi" w:hAnsiTheme="minorHAnsi" w:cstheme="minorHAnsi"/>
              </w:rPr>
              <w:t xml:space="preserve">Annual performance report  </w:t>
            </w:r>
          </w:p>
        </w:tc>
        <w:tc>
          <w:tcPr>
            <w:tcW w:w="7938" w:type="dxa"/>
          </w:tcPr>
          <w:p w14:paraId="77042E58" w14:textId="77777777" w:rsidR="006874CC" w:rsidRPr="005E4A1B" w:rsidRDefault="006874CC" w:rsidP="006874CC">
            <w:pPr>
              <w:pStyle w:val="Milestonetable"/>
              <w:rPr>
                <w:rFonts w:asciiTheme="minorHAnsi" w:hAnsiTheme="minorHAnsi" w:cstheme="minorHAnsi"/>
                <w:b w:val="0"/>
                <w:bCs w:val="0"/>
              </w:rPr>
            </w:pPr>
            <w:r w:rsidRPr="005E4A1B">
              <w:rPr>
                <w:rFonts w:asciiTheme="minorHAnsi" w:hAnsiTheme="minorHAnsi" w:cstheme="minorHAnsi"/>
                <w:b w:val="0"/>
                <w:bCs w:val="0"/>
              </w:rPr>
              <w:t>Performance report against the Joint Commonwealth-State Implementation Plan and key deliverables for the period from 01/07/2024 to 30/06/2025.</w:t>
            </w:r>
          </w:p>
          <w:p w14:paraId="7672E1BF" w14:textId="77777777" w:rsidR="006874CC" w:rsidRPr="005E4A1B" w:rsidRDefault="006874CC" w:rsidP="006874CC">
            <w:pPr>
              <w:pStyle w:val="Milestonetable"/>
              <w:rPr>
                <w:rFonts w:asciiTheme="minorHAnsi" w:hAnsiTheme="minorHAnsi" w:cstheme="minorHAnsi"/>
                <w:b w:val="0"/>
                <w:bCs w:val="0"/>
              </w:rPr>
            </w:pPr>
            <w:r w:rsidRPr="005E4A1B">
              <w:rPr>
                <w:rFonts w:asciiTheme="minorHAnsi" w:hAnsiTheme="minorHAnsi" w:cstheme="minorHAnsi"/>
                <w:b w:val="0"/>
                <w:bCs w:val="0"/>
              </w:rPr>
              <w:t>Refer to Table 4 for detail of the requirements.</w:t>
            </w:r>
          </w:p>
        </w:tc>
        <w:tc>
          <w:tcPr>
            <w:tcW w:w="1701" w:type="dxa"/>
          </w:tcPr>
          <w:p w14:paraId="304B5F4A" w14:textId="77777777" w:rsidR="006874CC" w:rsidRPr="005E4A1B" w:rsidRDefault="006874CC" w:rsidP="006874CC">
            <w:pPr>
              <w:pStyle w:val="Milestonetable"/>
              <w:rPr>
                <w:rFonts w:asciiTheme="minorHAnsi" w:hAnsiTheme="minorHAnsi" w:cstheme="minorHAnsi"/>
                <w:b w:val="0"/>
                <w:bCs w:val="0"/>
              </w:rPr>
            </w:pPr>
            <w:r w:rsidRPr="005E4A1B">
              <w:rPr>
                <w:rFonts w:asciiTheme="minorHAnsi" w:hAnsiTheme="minorHAnsi" w:cstheme="minorHAnsi"/>
                <w:b w:val="0"/>
                <w:bCs w:val="0"/>
              </w:rPr>
              <w:t>31/08/2025</w:t>
            </w:r>
          </w:p>
        </w:tc>
        <w:tc>
          <w:tcPr>
            <w:tcW w:w="2835" w:type="dxa"/>
          </w:tcPr>
          <w:p w14:paraId="6DEE7E5D" w14:textId="29C547CD" w:rsidR="00DA4086" w:rsidRPr="005E4A1B" w:rsidRDefault="00470821" w:rsidP="00B51AE6">
            <w:pPr>
              <w:pStyle w:val="Milestonetable"/>
              <w:jc w:val="right"/>
              <w:rPr>
                <w:rFonts w:ascii="Calibri" w:hAnsi="Calibri" w:cs="Calibri"/>
                <w:color w:val="FF0000"/>
                <w:lang w:val="en-AU"/>
              </w:rPr>
            </w:pPr>
            <w:r w:rsidRPr="005E4A1B">
              <w:rPr>
                <w:rFonts w:asciiTheme="minorHAnsi" w:hAnsiTheme="minorHAnsi" w:cstheme="minorHAnsi"/>
                <w:b w:val="0"/>
                <w:bCs w:val="0"/>
              </w:rPr>
              <w:t>$</w:t>
            </w:r>
            <w:r w:rsidR="00DA4086" w:rsidRPr="005E4A1B">
              <w:rPr>
                <w:rFonts w:ascii="Calibri" w:hAnsi="Calibri" w:cs="Calibri"/>
                <w:b w:val="0"/>
                <w:bCs w:val="0"/>
              </w:rPr>
              <w:t>9,413,465</w:t>
            </w:r>
          </w:p>
          <w:p w14:paraId="7172B3BD" w14:textId="65723EDF" w:rsidR="006874CC" w:rsidRPr="005E4A1B" w:rsidRDefault="00470821" w:rsidP="6245677E">
            <w:pPr>
              <w:pStyle w:val="Milestonetable"/>
              <w:jc w:val="right"/>
              <w:rPr>
                <w:rFonts w:asciiTheme="minorHAnsi" w:hAnsiTheme="minorHAnsi" w:cstheme="minorBidi"/>
                <w:b w:val="0"/>
                <w:bCs w:val="0"/>
              </w:rPr>
            </w:pPr>
            <w:r w:rsidRPr="005E4A1B">
              <w:rPr>
                <w:rFonts w:asciiTheme="minorHAnsi" w:hAnsiTheme="minorHAnsi" w:cstheme="minorBidi"/>
                <w:b w:val="0"/>
                <w:bCs w:val="0"/>
              </w:rPr>
              <w:t>(Existing adult mental health centre</w:t>
            </w:r>
            <w:r w:rsidR="29478806" w:rsidRPr="005E4A1B">
              <w:rPr>
                <w:rFonts w:asciiTheme="minorHAnsi" w:hAnsiTheme="minorHAnsi" w:cstheme="minorBidi"/>
                <w:b w:val="0"/>
                <w:bCs w:val="0"/>
              </w:rPr>
              <w:t xml:space="preserve">, Aboriginal Mental Health and Wellbeing Centre, </w:t>
            </w:r>
            <w:r w:rsidR="2A0A8050" w:rsidRPr="005E4A1B">
              <w:rPr>
                <w:rFonts w:asciiTheme="minorHAnsi" w:hAnsiTheme="minorHAnsi" w:cstheme="minorBidi"/>
                <w:b w:val="0"/>
                <w:bCs w:val="0"/>
              </w:rPr>
              <w:t xml:space="preserve"> Medicare Mental Health Kids Hubs</w:t>
            </w:r>
          </w:p>
        </w:tc>
      </w:tr>
      <w:tr w:rsidR="006874CC" w:rsidRPr="005E4A1B" w14:paraId="09A6ED88" w14:textId="77777777" w:rsidTr="581B167F">
        <w:trPr>
          <w:trHeight w:val="513"/>
        </w:trPr>
        <w:tc>
          <w:tcPr>
            <w:tcW w:w="2117" w:type="dxa"/>
          </w:tcPr>
          <w:p w14:paraId="65C6B0BE" w14:textId="77777777" w:rsidR="006874CC" w:rsidRPr="005E4A1B" w:rsidRDefault="006874CC" w:rsidP="006874CC">
            <w:pPr>
              <w:pStyle w:val="Milestonetable"/>
              <w:rPr>
                <w:rFonts w:asciiTheme="minorHAnsi" w:hAnsiTheme="minorHAnsi" w:cstheme="minorHAnsi"/>
              </w:rPr>
            </w:pPr>
            <w:r w:rsidRPr="005E4A1B">
              <w:rPr>
                <w:rFonts w:asciiTheme="minorHAnsi" w:hAnsiTheme="minorHAnsi" w:cstheme="minorHAnsi"/>
              </w:rPr>
              <w:t xml:space="preserve">Annual performance report  </w:t>
            </w:r>
          </w:p>
        </w:tc>
        <w:tc>
          <w:tcPr>
            <w:tcW w:w="7938" w:type="dxa"/>
          </w:tcPr>
          <w:p w14:paraId="12775539" w14:textId="77777777" w:rsidR="006874CC" w:rsidRPr="005E4A1B" w:rsidRDefault="006874CC" w:rsidP="006874CC">
            <w:pPr>
              <w:pStyle w:val="Milestonetable"/>
              <w:rPr>
                <w:rFonts w:asciiTheme="minorHAnsi" w:hAnsiTheme="minorHAnsi" w:cstheme="minorHAnsi"/>
                <w:b w:val="0"/>
                <w:bCs w:val="0"/>
              </w:rPr>
            </w:pPr>
            <w:r w:rsidRPr="005E4A1B">
              <w:rPr>
                <w:rFonts w:asciiTheme="minorHAnsi" w:hAnsiTheme="minorHAnsi" w:cstheme="minorHAnsi"/>
                <w:b w:val="0"/>
                <w:bCs w:val="0"/>
              </w:rPr>
              <w:t>Performance report against the Joint Commonwealth-State Implementation Plan and key deliverables for the period from 01/07/2025 to 30/06/2026.</w:t>
            </w:r>
          </w:p>
          <w:p w14:paraId="070D2A47" w14:textId="77777777" w:rsidR="006874CC" w:rsidRPr="005E4A1B" w:rsidRDefault="006874CC" w:rsidP="006874CC">
            <w:pPr>
              <w:pStyle w:val="Milestonetable"/>
              <w:rPr>
                <w:rFonts w:asciiTheme="minorHAnsi" w:hAnsiTheme="minorHAnsi" w:cstheme="minorHAnsi"/>
                <w:b w:val="0"/>
                <w:bCs w:val="0"/>
              </w:rPr>
            </w:pPr>
            <w:r w:rsidRPr="005E4A1B">
              <w:rPr>
                <w:rFonts w:asciiTheme="minorHAnsi" w:hAnsiTheme="minorHAnsi" w:cstheme="minorHAnsi"/>
                <w:b w:val="0"/>
                <w:bCs w:val="0"/>
              </w:rPr>
              <w:t>Refer to Table 4 for detail of the requirements.</w:t>
            </w:r>
          </w:p>
        </w:tc>
        <w:tc>
          <w:tcPr>
            <w:tcW w:w="1701" w:type="dxa"/>
          </w:tcPr>
          <w:p w14:paraId="1F1B8C9C" w14:textId="77777777" w:rsidR="006874CC" w:rsidRPr="005E4A1B" w:rsidRDefault="006874CC" w:rsidP="006874CC">
            <w:pPr>
              <w:pStyle w:val="Milestonetable"/>
              <w:rPr>
                <w:rFonts w:cstheme="minorHAnsi"/>
                <w:b w:val="0"/>
                <w:bCs w:val="0"/>
              </w:rPr>
            </w:pPr>
            <w:r w:rsidRPr="005E4A1B">
              <w:rPr>
                <w:rFonts w:asciiTheme="minorHAnsi" w:hAnsiTheme="minorHAnsi" w:cstheme="minorHAnsi"/>
                <w:b w:val="0"/>
                <w:bCs w:val="0"/>
              </w:rPr>
              <w:t>31/08/2026</w:t>
            </w:r>
          </w:p>
        </w:tc>
        <w:tc>
          <w:tcPr>
            <w:tcW w:w="2835" w:type="dxa"/>
          </w:tcPr>
          <w:p w14:paraId="7EEDF397" w14:textId="14DDC654" w:rsidR="006874CC" w:rsidRPr="005E4A1B" w:rsidRDefault="597E700A" w:rsidP="4797BBE7">
            <w:pPr>
              <w:pStyle w:val="Milestonetable"/>
              <w:jc w:val="right"/>
              <w:rPr>
                <w:rFonts w:asciiTheme="minorHAnsi" w:hAnsiTheme="minorHAnsi" w:cstheme="minorBidi"/>
                <w:b w:val="0"/>
                <w:bCs w:val="0"/>
              </w:rPr>
            </w:pPr>
            <w:r w:rsidRPr="005E4A1B">
              <w:rPr>
                <w:rFonts w:asciiTheme="minorHAnsi" w:hAnsiTheme="minorHAnsi" w:cstheme="minorBidi"/>
              </w:rPr>
              <w:t xml:space="preserve"> </w:t>
            </w:r>
            <w:r w:rsidRPr="005E4A1B">
              <w:rPr>
                <w:rFonts w:asciiTheme="minorHAnsi" w:hAnsiTheme="minorHAnsi" w:cstheme="minorBidi"/>
                <w:b w:val="0"/>
                <w:bCs w:val="0"/>
              </w:rPr>
              <w:t>$</w:t>
            </w:r>
            <w:r w:rsidR="003A3216" w:rsidRPr="005E4A1B">
              <w:rPr>
                <w:rFonts w:asciiTheme="minorHAnsi" w:hAnsiTheme="minorHAnsi" w:cstheme="minorBidi"/>
                <w:b w:val="0"/>
                <w:bCs w:val="0"/>
              </w:rPr>
              <w:t>9,762,151</w:t>
            </w:r>
            <w:r w:rsidRPr="005E4A1B">
              <w:rPr>
                <w:rFonts w:asciiTheme="minorHAnsi" w:hAnsiTheme="minorHAnsi" w:cstheme="minorBidi"/>
                <w:b w:val="0"/>
                <w:bCs w:val="0"/>
              </w:rPr>
              <w:t xml:space="preserve"> (Commonwealth payment to South Australia for Aboriginal Social and Emotional Wellbeing Hubs and </w:t>
            </w:r>
            <w:r w:rsidR="59B16BCD" w:rsidRPr="005E4A1B">
              <w:rPr>
                <w:rFonts w:asciiTheme="minorHAnsi" w:hAnsiTheme="minorHAnsi" w:cstheme="minorBidi"/>
                <w:b w:val="0"/>
                <w:bCs w:val="0"/>
              </w:rPr>
              <w:t>Medicare Mental Health Centre)</w:t>
            </w:r>
            <w:r w:rsidRPr="005E4A1B">
              <w:rPr>
                <w:rFonts w:asciiTheme="minorHAnsi" w:hAnsiTheme="minorHAnsi" w:cstheme="minorBidi"/>
                <w:b w:val="0"/>
                <w:bCs w:val="0"/>
              </w:rPr>
              <w:t xml:space="preserve"> </w:t>
            </w:r>
          </w:p>
        </w:tc>
      </w:tr>
      <w:tr w:rsidR="00CD2A01" w:rsidRPr="005E4A1B" w14:paraId="4A07B097" w14:textId="77777777" w:rsidTr="581B167F">
        <w:trPr>
          <w:trHeight w:val="513"/>
        </w:trPr>
        <w:tc>
          <w:tcPr>
            <w:tcW w:w="2117" w:type="dxa"/>
          </w:tcPr>
          <w:p w14:paraId="592AA02A" w14:textId="796E3355" w:rsidR="00CD2A01" w:rsidRPr="005E4A1B" w:rsidRDefault="00CD2A01" w:rsidP="008B7467">
            <w:pPr>
              <w:pStyle w:val="Milestonetable"/>
              <w:rPr>
                <w:rFonts w:cstheme="minorBidi"/>
              </w:rPr>
            </w:pPr>
            <w:r w:rsidRPr="005E4A1B">
              <w:rPr>
                <w:rFonts w:asciiTheme="minorHAnsi" w:hAnsiTheme="minorHAnsi" w:cstheme="minorBidi"/>
              </w:rPr>
              <w:t xml:space="preserve">Annual performance report  </w:t>
            </w:r>
          </w:p>
        </w:tc>
        <w:tc>
          <w:tcPr>
            <w:tcW w:w="7938" w:type="dxa"/>
          </w:tcPr>
          <w:p w14:paraId="5BD7F5E9" w14:textId="00658796" w:rsidR="00CD2A01" w:rsidRPr="005E4A1B" w:rsidRDefault="00CD2A01" w:rsidP="00CD2A01">
            <w:pPr>
              <w:pStyle w:val="Milestonetable"/>
              <w:rPr>
                <w:rFonts w:asciiTheme="minorHAnsi" w:hAnsiTheme="minorHAnsi" w:cstheme="minorHAnsi"/>
                <w:b w:val="0"/>
                <w:bCs w:val="0"/>
              </w:rPr>
            </w:pPr>
            <w:r w:rsidRPr="005E4A1B">
              <w:rPr>
                <w:rFonts w:asciiTheme="minorHAnsi" w:hAnsiTheme="minorHAnsi" w:cstheme="minorHAnsi"/>
                <w:b w:val="0"/>
                <w:bCs w:val="0"/>
              </w:rPr>
              <w:t>Performance report against the Joint Commonwealth-State Implementation Plan and key deliverables for the period from 01/07/202</w:t>
            </w:r>
            <w:r w:rsidR="00577825" w:rsidRPr="005E4A1B">
              <w:rPr>
                <w:rFonts w:asciiTheme="minorHAnsi" w:hAnsiTheme="minorHAnsi" w:cstheme="minorHAnsi"/>
                <w:b w:val="0"/>
                <w:bCs w:val="0"/>
              </w:rPr>
              <w:t>6</w:t>
            </w:r>
            <w:r w:rsidRPr="005E4A1B">
              <w:rPr>
                <w:rFonts w:asciiTheme="minorHAnsi" w:hAnsiTheme="minorHAnsi" w:cstheme="minorHAnsi"/>
                <w:b w:val="0"/>
                <w:bCs w:val="0"/>
              </w:rPr>
              <w:t xml:space="preserve"> to 30/06/202</w:t>
            </w:r>
            <w:r w:rsidR="00577825" w:rsidRPr="005E4A1B">
              <w:rPr>
                <w:rFonts w:asciiTheme="minorHAnsi" w:hAnsiTheme="minorHAnsi" w:cstheme="minorHAnsi"/>
                <w:b w:val="0"/>
                <w:bCs w:val="0"/>
              </w:rPr>
              <w:t>7</w:t>
            </w:r>
            <w:r w:rsidRPr="005E4A1B">
              <w:rPr>
                <w:rFonts w:asciiTheme="minorHAnsi" w:hAnsiTheme="minorHAnsi" w:cstheme="minorHAnsi"/>
                <w:b w:val="0"/>
                <w:bCs w:val="0"/>
              </w:rPr>
              <w:t>.</w:t>
            </w:r>
          </w:p>
          <w:p w14:paraId="534F5821" w14:textId="0701E58F" w:rsidR="00CD2A01" w:rsidRPr="005E4A1B" w:rsidRDefault="00CD2A01" w:rsidP="00CD2A01">
            <w:pPr>
              <w:pStyle w:val="Milestonetable"/>
              <w:rPr>
                <w:rFonts w:asciiTheme="minorHAnsi" w:hAnsiTheme="minorHAnsi" w:cstheme="minorHAnsi"/>
                <w:b w:val="0"/>
                <w:bCs w:val="0"/>
              </w:rPr>
            </w:pPr>
            <w:r w:rsidRPr="005E4A1B">
              <w:rPr>
                <w:rFonts w:asciiTheme="minorHAnsi" w:hAnsiTheme="minorHAnsi" w:cstheme="minorHAnsi"/>
                <w:b w:val="0"/>
                <w:bCs w:val="0"/>
              </w:rPr>
              <w:t>Refer to Table 4 for detail of the requirements.</w:t>
            </w:r>
          </w:p>
        </w:tc>
        <w:tc>
          <w:tcPr>
            <w:tcW w:w="1701" w:type="dxa"/>
          </w:tcPr>
          <w:p w14:paraId="25F4C0E8" w14:textId="4E81EFF6" w:rsidR="00CD2A01" w:rsidRPr="005E4A1B" w:rsidRDefault="00CD2A01" w:rsidP="00CD2A01">
            <w:pPr>
              <w:pStyle w:val="Milestonetable"/>
              <w:rPr>
                <w:rFonts w:asciiTheme="minorHAnsi" w:hAnsiTheme="minorHAnsi" w:cstheme="minorHAnsi"/>
                <w:b w:val="0"/>
                <w:bCs w:val="0"/>
              </w:rPr>
            </w:pPr>
            <w:r w:rsidRPr="005E4A1B">
              <w:rPr>
                <w:rFonts w:asciiTheme="minorHAnsi" w:hAnsiTheme="minorHAnsi" w:cstheme="minorHAnsi"/>
                <w:b w:val="0"/>
                <w:bCs w:val="0"/>
              </w:rPr>
              <w:t>31/08/2027</w:t>
            </w:r>
          </w:p>
        </w:tc>
        <w:tc>
          <w:tcPr>
            <w:tcW w:w="2835" w:type="dxa"/>
          </w:tcPr>
          <w:p w14:paraId="399952BB" w14:textId="46423070" w:rsidR="00CD2A01" w:rsidRPr="005E4A1B" w:rsidRDefault="00CD2A01" w:rsidP="00CD2A01">
            <w:pPr>
              <w:pStyle w:val="Milestonetable"/>
              <w:jc w:val="right"/>
              <w:rPr>
                <w:rFonts w:asciiTheme="minorHAnsi" w:hAnsiTheme="minorHAnsi" w:cstheme="minorHAnsi"/>
                <w:b w:val="0"/>
                <w:bCs w:val="0"/>
              </w:rPr>
            </w:pPr>
            <w:r w:rsidRPr="005E4A1B">
              <w:rPr>
                <w:rFonts w:asciiTheme="minorHAnsi" w:hAnsiTheme="minorHAnsi" w:cstheme="minorHAnsi"/>
                <w:b w:val="0"/>
                <w:bCs w:val="0"/>
              </w:rPr>
              <w:t>Nil</w:t>
            </w:r>
          </w:p>
        </w:tc>
      </w:tr>
      <w:tr w:rsidR="006874CC" w:rsidRPr="005E4A1B" w14:paraId="73D091C4" w14:textId="77777777" w:rsidTr="581B167F">
        <w:trPr>
          <w:trHeight w:val="513"/>
        </w:trPr>
        <w:tc>
          <w:tcPr>
            <w:tcW w:w="2117" w:type="dxa"/>
          </w:tcPr>
          <w:p w14:paraId="63F32FAE" w14:textId="77777777" w:rsidR="006874CC" w:rsidRPr="005E4A1B" w:rsidRDefault="006874CC" w:rsidP="006874CC">
            <w:pPr>
              <w:pStyle w:val="Milestonetable"/>
              <w:rPr>
                <w:rFonts w:asciiTheme="minorHAnsi" w:hAnsiTheme="minorHAnsi" w:cstheme="minorHAnsi"/>
              </w:rPr>
            </w:pPr>
            <w:r w:rsidRPr="005E4A1B">
              <w:rPr>
                <w:rFonts w:asciiTheme="minorHAnsi" w:hAnsiTheme="minorHAnsi" w:cstheme="minorHAnsi"/>
              </w:rPr>
              <w:t xml:space="preserve">Final report </w:t>
            </w:r>
          </w:p>
        </w:tc>
        <w:tc>
          <w:tcPr>
            <w:tcW w:w="7938" w:type="dxa"/>
          </w:tcPr>
          <w:p w14:paraId="037905AC" w14:textId="77777777" w:rsidR="006874CC" w:rsidRPr="005E4A1B" w:rsidRDefault="006874CC" w:rsidP="006874CC">
            <w:pPr>
              <w:pStyle w:val="Milestonetable"/>
              <w:rPr>
                <w:rFonts w:asciiTheme="minorHAnsi" w:hAnsiTheme="minorHAnsi" w:cstheme="minorHAnsi"/>
                <w:b w:val="0"/>
                <w:bCs w:val="0"/>
              </w:rPr>
            </w:pPr>
            <w:r w:rsidRPr="005E4A1B">
              <w:rPr>
                <w:rFonts w:asciiTheme="minorHAnsi" w:hAnsiTheme="minorHAnsi" w:cstheme="minorHAnsi"/>
                <w:b w:val="0"/>
                <w:bCs w:val="0"/>
              </w:rPr>
              <w:t xml:space="preserve">Final report for the period from execution of this Schedule to 30/06/2026, for: </w:t>
            </w:r>
          </w:p>
          <w:p w14:paraId="2513492D" w14:textId="692C2FAB" w:rsidR="2C1F150E" w:rsidRPr="005E4A1B" w:rsidRDefault="64EDBF00" w:rsidP="6245677E">
            <w:pPr>
              <w:pStyle w:val="Milestonetable"/>
              <w:numPr>
                <w:ilvl w:val="0"/>
                <w:numId w:val="3"/>
              </w:numPr>
              <w:rPr>
                <w:rFonts w:ascii="Calibri" w:eastAsia="Calibri" w:hAnsi="Calibri" w:cs="Calibri"/>
                <w:b w:val="0"/>
                <w:bCs w:val="0"/>
              </w:rPr>
            </w:pPr>
            <w:r w:rsidRPr="005E4A1B">
              <w:rPr>
                <w:rFonts w:ascii="Calibri" w:eastAsia="Calibri" w:hAnsi="Calibri" w:cs="Calibri"/>
                <w:b w:val="0"/>
                <w:bCs w:val="0"/>
              </w:rPr>
              <w:lastRenderedPageBreak/>
              <w:t>Adult Mental Health Centre and Satellite Network (Medicare Mental Health Centres)</w:t>
            </w:r>
          </w:p>
          <w:p w14:paraId="7E3335E1" w14:textId="5F2D908E" w:rsidR="006874CC" w:rsidRPr="005E4A1B" w:rsidRDefault="00E71251" w:rsidP="006874CC">
            <w:pPr>
              <w:pStyle w:val="Milestonetable"/>
              <w:numPr>
                <w:ilvl w:val="0"/>
                <w:numId w:val="3"/>
              </w:numPr>
              <w:rPr>
                <w:rFonts w:asciiTheme="minorHAnsi" w:hAnsiTheme="minorHAnsi" w:cstheme="minorHAnsi"/>
                <w:b w:val="0"/>
                <w:bCs w:val="0"/>
              </w:rPr>
            </w:pPr>
            <w:r w:rsidRPr="005E4A1B">
              <w:rPr>
                <w:rFonts w:asciiTheme="minorHAnsi" w:hAnsiTheme="minorHAnsi" w:cstheme="minorHAnsi"/>
                <w:b w:val="0"/>
                <w:bCs w:val="0"/>
              </w:rPr>
              <w:t xml:space="preserve">Aboriginal </w:t>
            </w:r>
            <w:r w:rsidR="001F639B" w:rsidRPr="005E4A1B">
              <w:rPr>
                <w:rFonts w:asciiTheme="minorHAnsi" w:hAnsiTheme="minorHAnsi" w:cstheme="minorHAnsi"/>
                <w:b w:val="0"/>
                <w:bCs w:val="0"/>
              </w:rPr>
              <w:t>Social and Emotional</w:t>
            </w:r>
            <w:r w:rsidRPr="005E4A1B">
              <w:rPr>
                <w:rFonts w:asciiTheme="minorHAnsi" w:hAnsiTheme="minorHAnsi" w:cstheme="minorHAnsi"/>
                <w:b w:val="0"/>
                <w:bCs w:val="0"/>
              </w:rPr>
              <w:t xml:space="preserve"> Wellbeing Centre</w:t>
            </w:r>
          </w:p>
          <w:p w14:paraId="0DA6E311" w14:textId="064DC317" w:rsidR="00EA54E0" w:rsidRPr="005E4A1B" w:rsidRDefault="00EA54E0" w:rsidP="006874CC">
            <w:pPr>
              <w:pStyle w:val="Milestonetable"/>
              <w:numPr>
                <w:ilvl w:val="0"/>
                <w:numId w:val="3"/>
              </w:numPr>
              <w:rPr>
                <w:rFonts w:asciiTheme="minorHAnsi" w:hAnsiTheme="minorHAnsi" w:cstheme="minorHAnsi"/>
                <w:b w:val="0"/>
                <w:bCs w:val="0"/>
              </w:rPr>
            </w:pPr>
            <w:r w:rsidRPr="005E4A1B">
              <w:rPr>
                <w:rFonts w:asciiTheme="minorHAnsi" w:hAnsiTheme="minorHAnsi" w:cstheme="minorHAnsi"/>
                <w:b w:val="0"/>
                <w:bCs w:val="0"/>
              </w:rPr>
              <w:t>Child mental health and wellbeing</w:t>
            </w:r>
          </w:p>
          <w:p w14:paraId="5661AD0F" w14:textId="77777777" w:rsidR="006874CC" w:rsidRPr="005E4A1B" w:rsidRDefault="006874CC" w:rsidP="0052464D">
            <w:pPr>
              <w:pStyle w:val="Milestonetable"/>
              <w:numPr>
                <w:ilvl w:val="0"/>
                <w:numId w:val="3"/>
              </w:numPr>
              <w:rPr>
                <w:rFonts w:asciiTheme="minorHAnsi" w:hAnsiTheme="minorHAnsi" w:cstheme="minorHAnsi"/>
                <w:b w:val="0"/>
                <w:bCs w:val="0"/>
              </w:rPr>
            </w:pPr>
            <w:r w:rsidRPr="005E4A1B">
              <w:rPr>
                <w:rFonts w:asciiTheme="minorHAnsi" w:hAnsiTheme="minorHAnsi" w:cstheme="minorHAnsi"/>
                <w:b w:val="0"/>
                <w:bCs w:val="0"/>
              </w:rPr>
              <w:t xml:space="preserve">Enhancement and </w:t>
            </w:r>
            <w:r w:rsidR="00F5335F" w:rsidRPr="005E4A1B">
              <w:rPr>
                <w:rFonts w:asciiTheme="minorHAnsi" w:hAnsiTheme="minorHAnsi" w:cstheme="minorHAnsi"/>
                <w:b w:val="0"/>
                <w:bCs w:val="0"/>
              </w:rPr>
              <w:t>i</w:t>
            </w:r>
            <w:r w:rsidRPr="005E4A1B">
              <w:rPr>
                <w:rFonts w:asciiTheme="minorHAnsi" w:hAnsiTheme="minorHAnsi" w:cstheme="minorHAnsi"/>
                <w:b w:val="0"/>
                <w:bCs w:val="0"/>
              </w:rPr>
              <w:t>ntegration of youth mental health services</w:t>
            </w:r>
          </w:p>
          <w:p w14:paraId="7C3906E4" w14:textId="77777777" w:rsidR="0052464D" w:rsidRPr="005E4A1B" w:rsidRDefault="0052464D" w:rsidP="0052464D">
            <w:pPr>
              <w:pStyle w:val="Milestonetable"/>
              <w:numPr>
                <w:ilvl w:val="0"/>
                <w:numId w:val="3"/>
              </w:numPr>
              <w:rPr>
                <w:rFonts w:asciiTheme="minorHAnsi" w:hAnsiTheme="minorHAnsi" w:cstheme="minorHAnsi"/>
                <w:b w:val="0"/>
                <w:bCs w:val="0"/>
              </w:rPr>
            </w:pPr>
            <w:r w:rsidRPr="005E4A1B">
              <w:rPr>
                <w:rFonts w:asciiTheme="minorHAnsi" w:hAnsiTheme="minorHAnsi" w:cstheme="minorHAnsi"/>
                <w:b w:val="0"/>
                <w:bCs w:val="0"/>
              </w:rPr>
              <w:t xml:space="preserve">Aftercare services </w:t>
            </w:r>
          </w:p>
          <w:p w14:paraId="32CA4EFE" w14:textId="77777777" w:rsidR="0052464D" w:rsidRPr="005E4A1B" w:rsidRDefault="0052464D" w:rsidP="0052464D">
            <w:pPr>
              <w:pStyle w:val="Milestonetable"/>
              <w:numPr>
                <w:ilvl w:val="0"/>
                <w:numId w:val="3"/>
              </w:numPr>
              <w:rPr>
                <w:rFonts w:asciiTheme="minorHAnsi" w:hAnsiTheme="minorHAnsi" w:cstheme="minorHAnsi"/>
                <w:b w:val="0"/>
                <w:bCs w:val="0"/>
              </w:rPr>
            </w:pPr>
            <w:r w:rsidRPr="005E4A1B">
              <w:rPr>
                <w:rFonts w:asciiTheme="minorHAnsi" w:hAnsiTheme="minorHAnsi" w:cstheme="minorHAnsi"/>
                <w:b w:val="0"/>
                <w:bCs w:val="0"/>
              </w:rPr>
              <w:t>Distress Brief Support Trial</w:t>
            </w:r>
          </w:p>
          <w:p w14:paraId="16452AFC" w14:textId="77777777" w:rsidR="0052464D" w:rsidRPr="005E4A1B" w:rsidRDefault="0052464D" w:rsidP="0052464D">
            <w:pPr>
              <w:pStyle w:val="Milestonetable"/>
              <w:numPr>
                <w:ilvl w:val="0"/>
                <w:numId w:val="3"/>
              </w:numPr>
              <w:rPr>
                <w:rFonts w:asciiTheme="minorHAnsi" w:hAnsiTheme="minorHAnsi" w:cstheme="minorHAnsi"/>
                <w:b w:val="0"/>
                <w:bCs w:val="0"/>
              </w:rPr>
            </w:pPr>
            <w:r w:rsidRPr="005E4A1B">
              <w:rPr>
                <w:rFonts w:asciiTheme="minorHAnsi" w:hAnsiTheme="minorHAnsi" w:cstheme="minorHAnsi"/>
                <w:b w:val="0"/>
                <w:bCs w:val="0"/>
              </w:rPr>
              <w:t>Postvention support</w:t>
            </w:r>
          </w:p>
          <w:p w14:paraId="768ECEAD" w14:textId="77777777" w:rsidR="00F65A45" w:rsidRPr="005E4A1B" w:rsidRDefault="006874CC" w:rsidP="0052464D">
            <w:pPr>
              <w:pStyle w:val="Milestonetable"/>
              <w:numPr>
                <w:ilvl w:val="0"/>
                <w:numId w:val="3"/>
              </w:numPr>
              <w:rPr>
                <w:rFonts w:asciiTheme="minorHAnsi" w:hAnsiTheme="minorHAnsi" w:cstheme="minorHAnsi"/>
                <w:b w:val="0"/>
                <w:bCs w:val="0"/>
              </w:rPr>
            </w:pPr>
            <w:r w:rsidRPr="005E4A1B">
              <w:rPr>
                <w:rFonts w:asciiTheme="minorHAnsi" w:hAnsiTheme="minorHAnsi" w:cstheme="minorHAnsi"/>
                <w:b w:val="0"/>
                <w:bCs w:val="0"/>
              </w:rPr>
              <w:t xml:space="preserve">Initial Assessment and Referral tool </w:t>
            </w:r>
          </w:p>
          <w:p w14:paraId="5F9BA77A" w14:textId="77777777" w:rsidR="006874CC" w:rsidRPr="005E4A1B" w:rsidRDefault="006874CC" w:rsidP="006874CC">
            <w:pPr>
              <w:pStyle w:val="Milestonetable"/>
              <w:numPr>
                <w:ilvl w:val="0"/>
                <w:numId w:val="3"/>
              </w:numPr>
              <w:rPr>
                <w:rFonts w:asciiTheme="minorHAnsi" w:hAnsiTheme="minorHAnsi" w:cstheme="minorHAnsi"/>
                <w:b w:val="0"/>
                <w:bCs w:val="0"/>
              </w:rPr>
            </w:pPr>
            <w:r w:rsidRPr="005E4A1B">
              <w:rPr>
                <w:rFonts w:asciiTheme="minorHAnsi" w:hAnsiTheme="minorHAnsi" w:cstheme="minorHAnsi"/>
                <w:b w:val="0"/>
                <w:bCs w:val="0"/>
              </w:rPr>
              <w:t>Collaboration, implementation and governance in line with joint regional mental health and suicide prevention plan</w:t>
            </w:r>
          </w:p>
          <w:p w14:paraId="7174CB0F" w14:textId="77777777" w:rsidR="006874CC" w:rsidRPr="005E4A1B" w:rsidRDefault="006874CC" w:rsidP="006874CC">
            <w:pPr>
              <w:pStyle w:val="Milestonetable"/>
              <w:rPr>
                <w:rFonts w:asciiTheme="minorHAnsi" w:hAnsiTheme="minorHAnsi" w:cstheme="minorHAnsi"/>
                <w:b w:val="0"/>
                <w:bCs w:val="0"/>
              </w:rPr>
            </w:pPr>
            <w:r w:rsidRPr="005E4A1B">
              <w:rPr>
                <w:rFonts w:asciiTheme="minorHAnsi" w:hAnsiTheme="minorHAnsi" w:cstheme="minorHAnsi"/>
                <w:b w:val="0"/>
                <w:bCs w:val="0"/>
              </w:rPr>
              <w:t xml:space="preserve">Refer to Table 5 for detail of the requirements. </w:t>
            </w:r>
          </w:p>
        </w:tc>
        <w:tc>
          <w:tcPr>
            <w:tcW w:w="1701" w:type="dxa"/>
          </w:tcPr>
          <w:p w14:paraId="289EF330" w14:textId="720F84D4" w:rsidR="006874CC" w:rsidRPr="005E4A1B" w:rsidRDefault="006874CC" w:rsidP="006874CC">
            <w:pPr>
              <w:pStyle w:val="Milestonetable"/>
              <w:rPr>
                <w:rFonts w:asciiTheme="minorHAnsi" w:hAnsiTheme="minorHAnsi" w:cstheme="minorHAnsi"/>
                <w:b w:val="0"/>
                <w:bCs w:val="0"/>
              </w:rPr>
            </w:pPr>
            <w:r w:rsidRPr="005E4A1B">
              <w:rPr>
                <w:rFonts w:asciiTheme="minorHAnsi" w:hAnsiTheme="minorHAnsi" w:cstheme="minorHAnsi"/>
                <w:b w:val="0"/>
                <w:bCs w:val="0"/>
              </w:rPr>
              <w:lastRenderedPageBreak/>
              <w:t>31/08/202</w:t>
            </w:r>
            <w:r w:rsidR="00577825" w:rsidRPr="005E4A1B">
              <w:rPr>
                <w:rFonts w:asciiTheme="minorHAnsi" w:hAnsiTheme="minorHAnsi" w:cstheme="minorHAnsi"/>
                <w:b w:val="0"/>
                <w:bCs w:val="0"/>
              </w:rPr>
              <w:t>7</w:t>
            </w:r>
          </w:p>
          <w:p w14:paraId="74E45246" w14:textId="77777777" w:rsidR="006874CC" w:rsidRPr="005E4A1B" w:rsidRDefault="006874CC" w:rsidP="006874CC">
            <w:pPr>
              <w:pStyle w:val="Milestonetable"/>
              <w:rPr>
                <w:rFonts w:asciiTheme="minorHAnsi" w:hAnsiTheme="minorHAnsi" w:cstheme="minorHAnsi"/>
                <w:b w:val="0"/>
                <w:bCs w:val="0"/>
              </w:rPr>
            </w:pPr>
          </w:p>
        </w:tc>
        <w:tc>
          <w:tcPr>
            <w:tcW w:w="2835" w:type="dxa"/>
          </w:tcPr>
          <w:p w14:paraId="76353F76" w14:textId="77777777" w:rsidR="006874CC" w:rsidRPr="005E4A1B" w:rsidRDefault="006874CC" w:rsidP="006874CC">
            <w:pPr>
              <w:pStyle w:val="Milestonetable"/>
              <w:jc w:val="right"/>
              <w:rPr>
                <w:rFonts w:asciiTheme="minorHAnsi" w:hAnsiTheme="minorHAnsi" w:cstheme="minorHAnsi"/>
                <w:b w:val="0"/>
                <w:bCs w:val="0"/>
              </w:rPr>
            </w:pPr>
            <w:r w:rsidRPr="005E4A1B">
              <w:rPr>
                <w:rFonts w:asciiTheme="minorHAnsi" w:hAnsiTheme="minorHAnsi" w:cstheme="minorHAnsi"/>
                <w:b w:val="0"/>
                <w:bCs w:val="0"/>
              </w:rPr>
              <w:t>Nil</w:t>
            </w:r>
          </w:p>
        </w:tc>
      </w:tr>
    </w:tbl>
    <w:p w14:paraId="23750ECE" w14:textId="77777777" w:rsidR="00566471" w:rsidRPr="005E4A1B" w:rsidRDefault="00566471">
      <w:pPr>
        <w:rPr>
          <w:rFonts w:cstheme="minorHAnsi"/>
          <w:b/>
          <w:sz w:val="28"/>
          <w:szCs w:val="28"/>
        </w:rPr>
      </w:pPr>
      <w:r w:rsidRPr="005E4A1B">
        <w:rPr>
          <w:rFonts w:cstheme="minorHAnsi"/>
          <w:b/>
          <w:sz w:val="28"/>
          <w:szCs w:val="28"/>
        </w:rPr>
        <w:br/>
      </w:r>
    </w:p>
    <w:p w14:paraId="5CC5BF63" w14:textId="77777777" w:rsidR="00566471" w:rsidRPr="005E4A1B" w:rsidRDefault="00566471" w:rsidP="00566471">
      <w:pPr>
        <w:widowControl/>
        <w:spacing w:after="160" w:line="259" w:lineRule="auto"/>
        <w:rPr>
          <w:rFonts w:cstheme="minorHAnsi"/>
          <w:b/>
          <w:sz w:val="28"/>
          <w:szCs w:val="28"/>
        </w:rPr>
        <w:sectPr w:rsidR="00566471" w:rsidRPr="005E4A1B" w:rsidSect="00360BC9">
          <w:pgSz w:w="16838" w:h="11906" w:orient="landscape" w:code="9"/>
          <w:pgMar w:top="1134" w:right="1134" w:bottom="1134" w:left="1134" w:header="709" w:footer="411" w:gutter="0"/>
          <w:pgNumType w:chapStyle="9"/>
          <w:cols w:space="708"/>
          <w:titlePg/>
          <w:docGrid w:linePitch="360"/>
        </w:sectPr>
      </w:pPr>
      <w:r w:rsidRPr="005E4A1B">
        <w:rPr>
          <w:rFonts w:cstheme="minorHAnsi"/>
          <w:b/>
          <w:sz w:val="28"/>
          <w:szCs w:val="28"/>
        </w:rPr>
        <w:br w:type="page"/>
      </w:r>
    </w:p>
    <w:p w14:paraId="294C2EE7" w14:textId="77777777" w:rsidR="001069A2" w:rsidRPr="005E4A1B" w:rsidRDefault="001069A2">
      <w:pPr>
        <w:rPr>
          <w:b/>
          <w:iCs/>
          <w:sz w:val="28"/>
          <w:szCs w:val="28"/>
        </w:rPr>
      </w:pPr>
      <w:r w:rsidRPr="005E4A1B">
        <w:rPr>
          <w:rFonts w:cstheme="minorHAnsi"/>
          <w:b/>
          <w:sz w:val="28"/>
          <w:szCs w:val="28"/>
        </w:rPr>
        <w:lastRenderedPageBreak/>
        <w:t xml:space="preserve">Table </w:t>
      </w:r>
      <w:r w:rsidR="00210EC9" w:rsidRPr="005E4A1B">
        <w:rPr>
          <w:rFonts w:cstheme="minorHAnsi"/>
          <w:b/>
          <w:sz w:val="28"/>
          <w:szCs w:val="28"/>
        </w:rPr>
        <w:t>4</w:t>
      </w:r>
      <w:r w:rsidRPr="005E4A1B">
        <w:rPr>
          <w:rFonts w:cstheme="minorHAnsi"/>
          <w:b/>
          <w:sz w:val="28"/>
          <w:szCs w:val="28"/>
        </w:rPr>
        <w:t xml:space="preserve">: Performance reporting requirements  </w:t>
      </w:r>
    </w:p>
    <w:tbl>
      <w:tblPr>
        <w:tblW w:w="9771"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825"/>
        <w:gridCol w:w="6946"/>
      </w:tblGrid>
      <w:tr w:rsidR="001069A2" w:rsidRPr="005E4A1B" w14:paraId="0FEE05AA" w14:textId="77777777" w:rsidTr="6245677E">
        <w:trPr>
          <w:tblHeader/>
        </w:trPr>
        <w:tc>
          <w:tcPr>
            <w:tcW w:w="2825" w:type="dxa"/>
            <w:shd w:val="clear" w:color="auto" w:fill="F2F2F2" w:themeFill="background1" w:themeFillShade="F2"/>
          </w:tcPr>
          <w:p w14:paraId="6AB02A02" w14:textId="77777777" w:rsidR="001069A2" w:rsidRPr="005E4A1B" w:rsidRDefault="001069A2" w:rsidP="003D50D9">
            <w:pPr>
              <w:pStyle w:val="Tableformat"/>
              <w:rPr>
                <w:rFonts w:asciiTheme="minorHAnsi" w:hAnsiTheme="minorHAnsi" w:cstheme="minorHAnsi"/>
                <w:b w:val="0"/>
                <w:sz w:val="20"/>
                <w:szCs w:val="20"/>
              </w:rPr>
            </w:pPr>
            <w:r w:rsidRPr="005E4A1B">
              <w:rPr>
                <w:rFonts w:asciiTheme="minorHAnsi" w:hAnsiTheme="minorHAnsi" w:cstheme="minorHAnsi"/>
                <w:sz w:val="20"/>
                <w:szCs w:val="20"/>
              </w:rPr>
              <w:t xml:space="preserve">Initiative </w:t>
            </w:r>
          </w:p>
        </w:tc>
        <w:tc>
          <w:tcPr>
            <w:tcW w:w="6946" w:type="dxa"/>
            <w:shd w:val="clear" w:color="auto" w:fill="F2F2F2" w:themeFill="background1" w:themeFillShade="F2"/>
          </w:tcPr>
          <w:p w14:paraId="0348839E" w14:textId="77777777" w:rsidR="001069A2" w:rsidRPr="005E4A1B" w:rsidRDefault="001069A2" w:rsidP="003D50D9">
            <w:pPr>
              <w:pStyle w:val="Tableformat"/>
              <w:rPr>
                <w:rFonts w:asciiTheme="minorHAnsi" w:hAnsiTheme="minorHAnsi" w:cstheme="minorHAnsi"/>
                <w:b w:val="0"/>
                <w:sz w:val="20"/>
                <w:szCs w:val="20"/>
              </w:rPr>
            </w:pPr>
            <w:r w:rsidRPr="005E4A1B">
              <w:rPr>
                <w:rFonts w:asciiTheme="minorHAnsi" w:hAnsiTheme="minorHAnsi" w:cstheme="minorHAnsi"/>
                <w:sz w:val="20"/>
                <w:szCs w:val="20"/>
              </w:rPr>
              <w:t xml:space="preserve">Requirements </w:t>
            </w:r>
          </w:p>
        </w:tc>
      </w:tr>
      <w:tr w:rsidR="001069A2" w:rsidRPr="005E4A1B" w14:paraId="25604285" w14:textId="77777777" w:rsidTr="6245677E">
        <w:trPr>
          <w:trHeight w:val="514"/>
        </w:trPr>
        <w:tc>
          <w:tcPr>
            <w:tcW w:w="2825" w:type="dxa"/>
            <w:tcBorders>
              <w:top w:val="single" w:sz="8" w:space="0" w:color="4F81BD"/>
              <w:left w:val="single" w:sz="8" w:space="0" w:color="4F81BD"/>
              <w:right w:val="single" w:sz="8" w:space="0" w:color="4F81BD"/>
            </w:tcBorders>
          </w:tcPr>
          <w:p w14:paraId="395C0641" w14:textId="10269F1F" w:rsidR="001069A2" w:rsidRPr="005E4A1B" w:rsidRDefault="23672D9B" w:rsidP="6245677E">
            <w:pPr>
              <w:pStyle w:val="Milestonetable"/>
            </w:pPr>
            <w:r w:rsidRPr="005E4A1B">
              <w:rPr>
                <w:rFonts w:ascii="Calibri" w:eastAsia="Calibri" w:hAnsi="Calibri" w:cs="Calibri"/>
                <w:sz w:val="22"/>
                <w:szCs w:val="22"/>
              </w:rPr>
              <w:t>Adult Mental Health Centre and Satellite Network (Medicare Mental Health Centres</w:t>
            </w:r>
          </w:p>
        </w:tc>
        <w:tc>
          <w:tcPr>
            <w:tcW w:w="6946" w:type="dxa"/>
            <w:tcBorders>
              <w:top w:val="single" w:sz="8" w:space="0" w:color="4F81BD"/>
              <w:left w:val="single" w:sz="8" w:space="0" w:color="4F81BD"/>
              <w:bottom w:val="single" w:sz="8" w:space="0" w:color="4F81BD"/>
              <w:right w:val="single" w:sz="8" w:space="0" w:color="4F81BD"/>
            </w:tcBorders>
          </w:tcPr>
          <w:p w14:paraId="1A68BEA3" w14:textId="77777777" w:rsidR="001E2F1B" w:rsidRPr="005E4A1B" w:rsidRDefault="001069A2"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Performance report against key deliverables, proposed service models and timeframes as outlined in the Joint Commonwealth-State Implementation Plan</w:t>
            </w:r>
            <w:r w:rsidR="00604FD6" w:rsidRPr="005E4A1B">
              <w:rPr>
                <w:rFonts w:asciiTheme="minorHAnsi" w:hAnsiTheme="minorHAnsi" w:cstheme="minorHAnsi"/>
                <w:b w:val="0"/>
                <w:bCs w:val="0"/>
              </w:rPr>
              <w:t>.</w:t>
            </w:r>
            <w:r w:rsidR="001E2F1B" w:rsidRPr="005E4A1B">
              <w:rPr>
                <w:rFonts w:asciiTheme="minorHAnsi" w:hAnsiTheme="minorHAnsi" w:cstheme="minorHAnsi"/>
                <w:b w:val="0"/>
                <w:bCs w:val="0"/>
              </w:rPr>
              <w:t xml:space="preserve"> Performance reports against Key Performance Indicators developed through the National Agreement, and including:</w:t>
            </w:r>
          </w:p>
          <w:p w14:paraId="3F663095" w14:textId="77777777" w:rsidR="001E2F1B" w:rsidRPr="005E4A1B" w:rsidRDefault="001E2F1B" w:rsidP="00371518">
            <w:pPr>
              <w:pStyle w:val="Milestonetable"/>
              <w:numPr>
                <w:ilvl w:val="1"/>
                <w:numId w:val="7"/>
              </w:numPr>
              <w:ind w:left="1030"/>
              <w:rPr>
                <w:rFonts w:asciiTheme="minorHAnsi" w:hAnsiTheme="minorHAnsi" w:cstheme="minorHAnsi"/>
                <w:b w:val="0"/>
                <w:bCs w:val="0"/>
              </w:rPr>
            </w:pPr>
            <w:r w:rsidRPr="005E4A1B">
              <w:rPr>
                <w:rFonts w:asciiTheme="minorHAnsi" w:hAnsiTheme="minorHAnsi" w:cstheme="minorHAnsi"/>
                <w:b w:val="0"/>
                <w:bCs w:val="0"/>
              </w:rPr>
              <w:t xml:space="preserve">growth in service volume, </w:t>
            </w:r>
          </w:p>
          <w:p w14:paraId="4E6294E7" w14:textId="77777777" w:rsidR="001E2F1B" w:rsidRPr="005E4A1B" w:rsidRDefault="001E2F1B" w:rsidP="00371518">
            <w:pPr>
              <w:pStyle w:val="Milestonetable"/>
              <w:numPr>
                <w:ilvl w:val="1"/>
                <w:numId w:val="7"/>
              </w:numPr>
              <w:ind w:left="1030"/>
              <w:rPr>
                <w:rFonts w:asciiTheme="minorHAnsi" w:hAnsiTheme="minorHAnsi" w:cstheme="minorHAnsi"/>
                <w:b w:val="0"/>
                <w:bCs w:val="0"/>
              </w:rPr>
            </w:pPr>
            <w:r w:rsidRPr="005E4A1B">
              <w:rPr>
                <w:rFonts w:asciiTheme="minorHAnsi" w:hAnsiTheme="minorHAnsi" w:cstheme="minorHAnsi"/>
                <w:b w:val="0"/>
                <w:bCs w:val="0"/>
              </w:rPr>
              <w:t xml:space="preserve">100% of clients at risk of suicide followed up within 7 days, </w:t>
            </w:r>
          </w:p>
          <w:p w14:paraId="36F7346A" w14:textId="77777777" w:rsidR="001E2F1B" w:rsidRPr="005E4A1B" w:rsidRDefault="001E2F1B" w:rsidP="00371518">
            <w:pPr>
              <w:pStyle w:val="Milestonetable"/>
              <w:numPr>
                <w:ilvl w:val="1"/>
                <w:numId w:val="7"/>
              </w:numPr>
              <w:ind w:left="1030"/>
              <w:rPr>
                <w:rFonts w:asciiTheme="minorHAnsi" w:hAnsiTheme="minorHAnsi" w:cstheme="minorHAnsi"/>
                <w:b w:val="0"/>
                <w:bCs w:val="0"/>
              </w:rPr>
            </w:pPr>
            <w:r w:rsidRPr="005E4A1B">
              <w:rPr>
                <w:rFonts w:asciiTheme="minorHAnsi" w:hAnsiTheme="minorHAnsi" w:cstheme="minorHAnsi"/>
                <w:b w:val="0"/>
                <w:bCs w:val="0"/>
              </w:rPr>
              <w:t>proportion of services delivered to the Aboriginal and Torres Strait Islander population that were culturally appropriate; and</w:t>
            </w:r>
          </w:p>
          <w:p w14:paraId="44A29FD3" w14:textId="77777777" w:rsidR="001E2F1B" w:rsidRPr="005E4A1B" w:rsidRDefault="001E2F1B" w:rsidP="00371518">
            <w:pPr>
              <w:pStyle w:val="Milestonetable"/>
              <w:numPr>
                <w:ilvl w:val="1"/>
                <w:numId w:val="7"/>
              </w:numPr>
              <w:ind w:left="1030"/>
              <w:rPr>
                <w:rFonts w:asciiTheme="minorHAnsi" w:hAnsiTheme="minorHAnsi" w:cstheme="minorHAnsi"/>
                <w:b w:val="0"/>
                <w:bCs w:val="0"/>
              </w:rPr>
            </w:pPr>
            <w:r w:rsidRPr="005E4A1B">
              <w:rPr>
                <w:rFonts w:asciiTheme="minorHAnsi" w:hAnsiTheme="minorHAnsi" w:cstheme="minorHAnsi"/>
                <w:b w:val="0"/>
                <w:bCs w:val="0"/>
              </w:rPr>
              <w:t>70% of completed episodes of care have recorded valid outcome measures at Episode Start and Episode End.</w:t>
            </w:r>
          </w:p>
          <w:p w14:paraId="2DDA28E9" w14:textId="77777777" w:rsidR="001069A2" w:rsidRPr="005E4A1B" w:rsidRDefault="001E2F1B"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Progress against evaluation and all evaluation findings have been made available to the Commonwealth and South Australia within a month of the evaluation</w:t>
            </w:r>
            <w:r w:rsidR="00574513" w:rsidRPr="005E4A1B">
              <w:rPr>
                <w:rFonts w:asciiTheme="minorHAnsi" w:hAnsiTheme="minorHAnsi" w:cstheme="minorHAnsi"/>
                <w:b w:val="0"/>
                <w:bCs w:val="0"/>
              </w:rPr>
              <w:t>’</w:t>
            </w:r>
            <w:r w:rsidRPr="005E4A1B">
              <w:rPr>
                <w:rFonts w:asciiTheme="minorHAnsi" w:hAnsiTheme="minorHAnsi" w:cstheme="minorHAnsi"/>
                <w:b w:val="0"/>
                <w:bCs w:val="0"/>
              </w:rPr>
              <w:t>s completion.</w:t>
            </w:r>
          </w:p>
        </w:tc>
      </w:tr>
      <w:tr w:rsidR="00D4299D" w:rsidRPr="005E4A1B" w14:paraId="0AD7F132" w14:textId="77777777" w:rsidTr="6245677E">
        <w:trPr>
          <w:trHeight w:val="514"/>
        </w:trPr>
        <w:tc>
          <w:tcPr>
            <w:tcW w:w="2825" w:type="dxa"/>
            <w:tcBorders>
              <w:top w:val="single" w:sz="8" w:space="0" w:color="4F81BD"/>
              <w:left w:val="single" w:sz="8" w:space="0" w:color="4F81BD"/>
              <w:right w:val="single" w:sz="8" w:space="0" w:color="4F81BD"/>
            </w:tcBorders>
          </w:tcPr>
          <w:p w14:paraId="78E4B3EA" w14:textId="77777777" w:rsidR="00E577BA" w:rsidRPr="005E4A1B" w:rsidRDefault="00E577BA" w:rsidP="00E577BA">
            <w:pPr>
              <w:widowControl/>
              <w:spacing w:after="0"/>
              <w:rPr>
                <w:rFonts w:eastAsia="Times New Roman" w:cstheme="minorHAnsi"/>
                <w:b/>
                <w:bCs/>
                <w:iCs/>
                <w:sz w:val="20"/>
                <w:lang w:eastAsia="en-AU"/>
              </w:rPr>
            </w:pPr>
            <w:r w:rsidRPr="005E4A1B">
              <w:rPr>
                <w:rFonts w:eastAsia="Times New Roman" w:cstheme="minorHAnsi"/>
                <w:b/>
                <w:bCs/>
                <w:iCs/>
                <w:sz w:val="20"/>
                <w:lang w:eastAsia="en-AU"/>
              </w:rPr>
              <w:t xml:space="preserve">Aboriginal Mental Health and Wellbeing Centre </w:t>
            </w:r>
          </w:p>
          <w:p w14:paraId="78D722C6" w14:textId="77777777" w:rsidR="00D4299D" w:rsidRPr="005E4A1B" w:rsidRDefault="00D4299D" w:rsidP="003D50D9">
            <w:pPr>
              <w:pStyle w:val="Milestonetable"/>
              <w:rPr>
                <w:rFonts w:asciiTheme="minorHAnsi" w:hAnsiTheme="minorHAnsi" w:cstheme="minorHAnsi"/>
              </w:rPr>
            </w:pPr>
          </w:p>
        </w:tc>
        <w:tc>
          <w:tcPr>
            <w:tcW w:w="6946" w:type="dxa"/>
            <w:tcBorders>
              <w:top w:val="single" w:sz="8" w:space="0" w:color="4F81BD"/>
              <w:left w:val="single" w:sz="8" w:space="0" w:color="4F81BD"/>
              <w:bottom w:val="single" w:sz="8" w:space="0" w:color="4F81BD"/>
              <w:right w:val="single" w:sz="8" w:space="0" w:color="4F81BD"/>
            </w:tcBorders>
          </w:tcPr>
          <w:p w14:paraId="705DEF0D" w14:textId="77777777" w:rsidR="00D4299D" w:rsidRPr="005E4A1B" w:rsidRDefault="00255EEA"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Performance report against key deliverables, proposed service models and timeframes as outlined in the Joint Commonwealth-State Implementation Plan.</w:t>
            </w:r>
          </w:p>
          <w:p w14:paraId="5EA8BFEE" w14:textId="77777777" w:rsidR="0001283D" w:rsidRPr="005E4A1B" w:rsidRDefault="0001283D"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Evidence of improved mental health outcomes for consumers, and positive consumer and carer experiences.</w:t>
            </w:r>
          </w:p>
        </w:tc>
      </w:tr>
      <w:tr w:rsidR="001E2F1B" w:rsidRPr="005E4A1B" w14:paraId="37446C07" w14:textId="77777777" w:rsidTr="6245677E">
        <w:trPr>
          <w:trHeight w:val="514"/>
        </w:trPr>
        <w:tc>
          <w:tcPr>
            <w:tcW w:w="2825" w:type="dxa"/>
            <w:tcBorders>
              <w:top w:val="single" w:sz="8" w:space="0" w:color="4F81BD"/>
              <w:left w:val="single" w:sz="8" w:space="0" w:color="4F81BD"/>
              <w:right w:val="single" w:sz="8" w:space="0" w:color="4F81BD"/>
            </w:tcBorders>
          </w:tcPr>
          <w:p w14:paraId="194CB593" w14:textId="7041F376" w:rsidR="001E2F1B" w:rsidRPr="005E4A1B" w:rsidRDefault="001E2F1B" w:rsidP="001E2F1B">
            <w:pPr>
              <w:pStyle w:val="Heading2"/>
              <w:rPr>
                <w:rFonts w:eastAsia="Times New Roman" w:cstheme="minorHAnsi"/>
                <w:iCs/>
                <w:sz w:val="20"/>
                <w:szCs w:val="20"/>
                <w:lang w:eastAsia="en-AU"/>
              </w:rPr>
            </w:pPr>
            <w:r w:rsidRPr="005E4A1B">
              <w:rPr>
                <w:rFonts w:eastAsia="Times New Roman" w:cstheme="minorHAnsi"/>
                <w:iCs/>
                <w:sz w:val="20"/>
                <w:szCs w:val="20"/>
                <w:lang w:eastAsia="en-AU"/>
              </w:rPr>
              <w:t>Child Mental Health and Wellbeing</w:t>
            </w:r>
          </w:p>
          <w:p w14:paraId="2EDE9AE6" w14:textId="77777777" w:rsidR="001E2F1B" w:rsidRPr="005E4A1B" w:rsidRDefault="001E2F1B" w:rsidP="001E2F1B">
            <w:pPr>
              <w:pStyle w:val="Milestonetable"/>
              <w:rPr>
                <w:rFonts w:asciiTheme="minorHAnsi" w:hAnsiTheme="minorHAnsi" w:cstheme="minorHAnsi"/>
              </w:rPr>
            </w:pPr>
          </w:p>
        </w:tc>
        <w:tc>
          <w:tcPr>
            <w:tcW w:w="6946" w:type="dxa"/>
            <w:tcBorders>
              <w:top w:val="single" w:sz="8" w:space="0" w:color="4F81BD"/>
              <w:left w:val="single" w:sz="8" w:space="0" w:color="4F81BD"/>
              <w:bottom w:val="single" w:sz="8" w:space="0" w:color="4F81BD"/>
              <w:right w:val="single" w:sz="8" w:space="0" w:color="4F81BD"/>
            </w:tcBorders>
          </w:tcPr>
          <w:p w14:paraId="2CE942DF" w14:textId="77777777" w:rsidR="00574513" w:rsidRPr="005E4A1B" w:rsidRDefault="00574513" w:rsidP="00371518">
            <w:pPr>
              <w:pStyle w:val="Milestonetable"/>
              <w:numPr>
                <w:ilvl w:val="0"/>
                <w:numId w:val="7"/>
              </w:numPr>
              <w:ind w:left="463"/>
              <w:rPr>
                <w:rFonts w:asciiTheme="minorHAnsi" w:hAnsiTheme="minorHAnsi"/>
                <w:b w:val="0"/>
                <w:bCs w:val="0"/>
              </w:rPr>
            </w:pPr>
            <w:r w:rsidRPr="005E4A1B">
              <w:rPr>
                <w:rFonts w:asciiTheme="minorHAnsi" w:hAnsiTheme="minorHAnsi"/>
                <w:b w:val="0"/>
                <w:bCs w:val="0"/>
              </w:rPr>
              <w:t xml:space="preserve">Performance report against key deliverables, proposed service models and </w:t>
            </w:r>
            <w:r w:rsidRPr="00371518">
              <w:rPr>
                <w:rFonts w:asciiTheme="minorHAnsi" w:hAnsiTheme="minorHAnsi" w:cstheme="minorHAnsi"/>
                <w:b w:val="0"/>
                <w:bCs w:val="0"/>
              </w:rPr>
              <w:t>timeframes</w:t>
            </w:r>
            <w:r w:rsidRPr="005E4A1B">
              <w:rPr>
                <w:rFonts w:asciiTheme="minorHAnsi" w:hAnsiTheme="minorHAnsi"/>
                <w:b w:val="0"/>
                <w:bCs w:val="0"/>
              </w:rPr>
              <w:t xml:space="preserve"> as outlined in the Joint Commonwealth-South Australia Implementation Plan. Performance reports against Key Performance Indicators developed through the National Agreement, and including:</w:t>
            </w:r>
          </w:p>
          <w:p w14:paraId="0BB72C46" w14:textId="77777777" w:rsidR="00574513" w:rsidRPr="00371518" w:rsidRDefault="00574513" w:rsidP="00371518">
            <w:pPr>
              <w:pStyle w:val="Milestonetable"/>
              <w:numPr>
                <w:ilvl w:val="1"/>
                <w:numId w:val="7"/>
              </w:numPr>
              <w:ind w:left="1030"/>
              <w:rPr>
                <w:rFonts w:asciiTheme="minorHAnsi" w:hAnsiTheme="minorHAnsi" w:cstheme="minorHAnsi"/>
                <w:b w:val="0"/>
                <w:bCs w:val="0"/>
              </w:rPr>
            </w:pPr>
            <w:r w:rsidRPr="00371518">
              <w:rPr>
                <w:rFonts w:asciiTheme="minorHAnsi" w:hAnsiTheme="minorHAnsi" w:cstheme="minorHAnsi"/>
                <w:b w:val="0"/>
                <w:bCs w:val="0"/>
              </w:rPr>
              <w:t>growth in service volume,</w:t>
            </w:r>
          </w:p>
          <w:p w14:paraId="0D2A22F2" w14:textId="77777777" w:rsidR="00574513" w:rsidRPr="00371518" w:rsidRDefault="00574513" w:rsidP="00371518">
            <w:pPr>
              <w:pStyle w:val="Milestonetable"/>
              <w:numPr>
                <w:ilvl w:val="1"/>
                <w:numId w:val="7"/>
              </w:numPr>
              <w:ind w:left="1030"/>
              <w:rPr>
                <w:rFonts w:asciiTheme="minorHAnsi" w:hAnsiTheme="minorHAnsi" w:cstheme="minorHAnsi"/>
                <w:b w:val="0"/>
                <w:bCs w:val="0"/>
              </w:rPr>
            </w:pPr>
            <w:r w:rsidRPr="00371518">
              <w:rPr>
                <w:rFonts w:asciiTheme="minorHAnsi" w:hAnsiTheme="minorHAnsi" w:cstheme="minorHAnsi"/>
                <w:b w:val="0"/>
                <w:bCs w:val="0"/>
              </w:rPr>
              <w:t>100% of clients at risk of suicide followed up within 7 days,</w:t>
            </w:r>
          </w:p>
          <w:p w14:paraId="248B4328" w14:textId="77777777" w:rsidR="00574513" w:rsidRPr="00371518" w:rsidRDefault="00574513" w:rsidP="00371518">
            <w:pPr>
              <w:pStyle w:val="Milestonetable"/>
              <w:numPr>
                <w:ilvl w:val="1"/>
                <w:numId w:val="7"/>
              </w:numPr>
              <w:ind w:left="1030"/>
              <w:rPr>
                <w:rFonts w:asciiTheme="minorHAnsi" w:hAnsiTheme="minorHAnsi" w:cstheme="minorHAnsi"/>
                <w:b w:val="0"/>
                <w:bCs w:val="0"/>
              </w:rPr>
            </w:pPr>
            <w:r w:rsidRPr="00371518">
              <w:rPr>
                <w:rFonts w:asciiTheme="minorHAnsi" w:hAnsiTheme="minorHAnsi" w:cstheme="minorHAnsi"/>
                <w:b w:val="0"/>
                <w:bCs w:val="0"/>
              </w:rPr>
              <w:t>proportion of services delivered to the Aboriginal and Torres Strait Islander population that were culturally appropriate; and</w:t>
            </w:r>
          </w:p>
          <w:p w14:paraId="0D9C1393" w14:textId="77777777" w:rsidR="00574513" w:rsidRPr="005E4A1B" w:rsidRDefault="00574513" w:rsidP="00371518">
            <w:pPr>
              <w:pStyle w:val="Milestonetable"/>
              <w:numPr>
                <w:ilvl w:val="1"/>
                <w:numId w:val="7"/>
              </w:numPr>
              <w:ind w:left="1030"/>
              <w:rPr>
                <w:rFonts w:asciiTheme="minorHAnsi" w:hAnsiTheme="minorHAnsi"/>
                <w:b w:val="0"/>
                <w:bCs w:val="0"/>
              </w:rPr>
            </w:pPr>
            <w:r w:rsidRPr="00371518">
              <w:rPr>
                <w:rFonts w:asciiTheme="minorHAnsi" w:hAnsiTheme="minorHAnsi" w:cstheme="minorHAnsi"/>
                <w:b w:val="0"/>
                <w:bCs w:val="0"/>
              </w:rPr>
              <w:t>70% of completed episodes of care have recorded valid outcome measures at Episode Start and Episode End</w:t>
            </w:r>
            <w:r w:rsidRPr="005E4A1B">
              <w:rPr>
                <w:rFonts w:asciiTheme="minorHAnsi" w:hAnsiTheme="minorHAnsi"/>
                <w:b w:val="0"/>
                <w:bCs w:val="0"/>
              </w:rPr>
              <w:t>.</w:t>
            </w:r>
          </w:p>
          <w:p w14:paraId="37A7B12A" w14:textId="584C4A49" w:rsidR="001E2F1B" w:rsidRPr="005E4A1B" w:rsidRDefault="00574513"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b w:val="0"/>
                <w:bCs w:val="0"/>
              </w:rPr>
              <w:t xml:space="preserve">Progress against evaluation and all evaluation findings have been made available to the Commonwealth and South Australia within a month of the </w:t>
            </w:r>
            <w:r w:rsidRPr="00371518">
              <w:rPr>
                <w:rFonts w:asciiTheme="minorHAnsi" w:hAnsiTheme="minorHAnsi" w:cstheme="minorHAnsi"/>
                <w:b w:val="0"/>
                <w:bCs w:val="0"/>
              </w:rPr>
              <w:t>evaluation’s</w:t>
            </w:r>
            <w:r w:rsidRPr="005E4A1B">
              <w:rPr>
                <w:rFonts w:asciiTheme="minorHAnsi" w:hAnsiTheme="minorHAnsi"/>
                <w:b w:val="0"/>
                <w:bCs w:val="0"/>
              </w:rPr>
              <w:t xml:space="preserve"> completion.</w:t>
            </w:r>
          </w:p>
        </w:tc>
      </w:tr>
      <w:tr w:rsidR="001069A2" w:rsidRPr="005E4A1B" w14:paraId="5DE91A11" w14:textId="77777777" w:rsidTr="6245677E">
        <w:trPr>
          <w:trHeight w:val="514"/>
        </w:trPr>
        <w:tc>
          <w:tcPr>
            <w:tcW w:w="2825" w:type="dxa"/>
            <w:tcBorders>
              <w:top w:val="single" w:sz="8" w:space="0" w:color="4F81BD"/>
              <w:left w:val="single" w:sz="8" w:space="0" w:color="4F81BD"/>
              <w:right w:val="single" w:sz="8" w:space="0" w:color="4F81BD"/>
            </w:tcBorders>
          </w:tcPr>
          <w:p w14:paraId="56F1253A" w14:textId="77777777" w:rsidR="001069A2" w:rsidRPr="005E4A1B" w:rsidRDefault="001069A2" w:rsidP="00F5335F">
            <w:pPr>
              <w:pStyle w:val="Milestonetable"/>
              <w:rPr>
                <w:rFonts w:asciiTheme="minorHAnsi" w:hAnsiTheme="minorHAnsi" w:cstheme="minorHAnsi"/>
              </w:rPr>
            </w:pPr>
            <w:r w:rsidRPr="005E4A1B">
              <w:rPr>
                <w:rFonts w:asciiTheme="minorHAnsi" w:hAnsiTheme="minorHAnsi" w:cstheme="minorHAnsi"/>
              </w:rPr>
              <w:t xml:space="preserve">Enhancement and </w:t>
            </w:r>
            <w:r w:rsidR="00F5335F" w:rsidRPr="005E4A1B">
              <w:rPr>
                <w:rFonts w:asciiTheme="minorHAnsi" w:hAnsiTheme="minorHAnsi" w:cstheme="minorHAnsi"/>
              </w:rPr>
              <w:t xml:space="preserve">integration </w:t>
            </w:r>
            <w:r w:rsidRPr="005E4A1B">
              <w:rPr>
                <w:rFonts w:asciiTheme="minorHAnsi" w:hAnsiTheme="minorHAnsi" w:cstheme="minorHAnsi"/>
              </w:rPr>
              <w:t xml:space="preserve">of </w:t>
            </w:r>
            <w:r w:rsidR="00F5335F" w:rsidRPr="005E4A1B">
              <w:rPr>
                <w:rFonts w:asciiTheme="minorHAnsi" w:hAnsiTheme="minorHAnsi" w:cstheme="minorHAnsi"/>
              </w:rPr>
              <w:t xml:space="preserve">youth mental health </w:t>
            </w:r>
            <w:r w:rsidRPr="005E4A1B">
              <w:rPr>
                <w:rFonts w:asciiTheme="minorHAnsi" w:hAnsiTheme="minorHAnsi" w:cstheme="minorHAnsi"/>
              </w:rPr>
              <w:t>services</w:t>
            </w:r>
          </w:p>
        </w:tc>
        <w:tc>
          <w:tcPr>
            <w:tcW w:w="6946" w:type="dxa"/>
            <w:tcBorders>
              <w:top w:val="single" w:sz="8" w:space="0" w:color="4F81BD"/>
              <w:left w:val="single" w:sz="8" w:space="0" w:color="4F81BD"/>
              <w:bottom w:val="single" w:sz="8" w:space="0" w:color="4F81BD"/>
              <w:right w:val="single" w:sz="8" w:space="0" w:color="4F81BD"/>
            </w:tcBorders>
          </w:tcPr>
          <w:p w14:paraId="7C2E165B" w14:textId="77777777" w:rsidR="001069A2" w:rsidRPr="005E4A1B" w:rsidRDefault="001069A2"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Performance report against key deliverables, proposed service models and timeframes as outlined in the Joint Commonwealth-State Implementation Plan</w:t>
            </w:r>
            <w:r w:rsidR="00604FD6" w:rsidRPr="005E4A1B">
              <w:rPr>
                <w:rFonts w:asciiTheme="minorHAnsi" w:hAnsiTheme="minorHAnsi" w:cstheme="minorHAnsi"/>
                <w:b w:val="0"/>
                <w:bCs w:val="0"/>
              </w:rPr>
              <w:t>.</w:t>
            </w:r>
          </w:p>
          <w:p w14:paraId="0F1C9DAB" w14:textId="77777777" w:rsidR="00A16037" w:rsidRPr="005E4A1B" w:rsidRDefault="00A16037"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Quantification of financial and in-kind contributions</w:t>
            </w:r>
          </w:p>
          <w:p w14:paraId="57D95F4B" w14:textId="77777777" w:rsidR="00F72F40" w:rsidRPr="00371518" w:rsidRDefault="00F72F40" w:rsidP="00371518">
            <w:pPr>
              <w:pStyle w:val="Milestonetable"/>
              <w:numPr>
                <w:ilvl w:val="0"/>
                <w:numId w:val="7"/>
              </w:numPr>
              <w:ind w:left="463"/>
              <w:rPr>
                <w:rFonts w:asciiTheme="minorHAnsi" w:hAnsiTheme="minorHAnsi" w:cstheme="minorHAnsi"/>
                <w:b w:val="0"/>
                <w:bCs w:val="0"/>
              </w:rPr>
            </w:pPr>
            <w:r w:rsidRPr="00371518">
              <w:rPr>
                <w:rFonts w:asciiTheme="minorHAnsi" w:hAnsiTheme="minorHAnsi" w:cstheme="minorHAnsi"/>
                <w:b w:val="0"/>
                <w:bCs w:val="0"/>
              </w:rPr>
              <w:t>Report on regular engagement to monitor implementation</w:t>
            </w:r>
            <w:r w:rsidR="00604FD6" w:rsidRPr="00371518">
              <w:rPr>
                <w:rFonts w:asciiTheme="minorHAnsi" w:hAnsiTheme="minorHAnsi" w:cstheme="minorHAnsi"/>
                <w:b w:val="0"/>
                <w:bCs w:val="0"/>
              </w:rPr>
              <w:t>.</w:t>
            </w:r>
          </w:p>
          <w:p w14:paraId="4929A699" w14:textId="77777777" w:rsidR="001E2F1B" w:rsidRPr="00371518" w:rsidRDefault="001E2F1B" w:rsidP="00371518">
            <w:pPr>
              <w:pStyle w:val="Milestonetable"/>
              <w:numPr>
                <w:ilvl w:val="0"/>
                <w:numId w:val="7"/>
              </w:numPr>
              <w:ind w:left="463"/>
              <w:rPr>
                <w:rFonts w:asciiTheme="minorHAnsi" w:hAnsiTheme="minorHAnsi" w:cstheme="minorHAnsi"/>
                <w:b w:val="0"/>
                <w:bCs w:val="0"/>
              </w:rPr>
            </w:pPr>
            <w:r w:rsidRPr="00371518">
              <w:rPr>
                <w:rFonts w:asciiTheme="minorHAnsi" w:hAnsiTheme="minorHAnsi" w:cstheme="minorHAnsi"/>
                <w:b w:val="0"/>
                <w:bCs w:val="0"/>
              </w:rPr>
              <w:t>Progress against evaluation and all evaluation findings have been made available to the Commonwealth and South Australia within a month of the evaluation</w:t>
            </w:r>
            <w:r w:rsidR="00574513" w:rsidRPr="00371518">
              <w:rPr>
                <w:rFonts w:asciiTheme="minorHAnsi" w:hAnsiTheme="minorHAnsi" w:cstheme="minorHAnsi"/>
                <w:b w:val="0"/>
                <w:bCs w:val="0"/>
              </w:rPr>
              <w:t>’</w:t>
            </w:r>
            <w:r w:rsidRPr="00371518">
              <w:rPr>
                <w:rFonts w:asciiTheme="minorHAnsi" w:hAnsiTheme="minorHAnsi" w:cstheme="minorHAnsi"/>
                <w:b w:val="0"/>
                <w:bCs w:val="0"/>
              </w:rPr>
              <w:t>s completion.</w:t>
            </w:r>
          </w:p>
        </w:tc>
      </w:tr>
      <w:tr w:rsidR="00BE23F0" w:rsidRPr="005E4A1B" w14:paraId="7E120DED" w14:textId="77777777" w:rsidTr="6245677E">
        <w:trPr>
          <w:trHeight w:val="514"/>
        </w:trPr>
        <w:tc>
          <w:tcPr>
            <w:tcW w:w="2825" w:type="dxa"/>
            <w:tcBorders>
              <w:top w:val="single" w:sz="8" w:space="0" w:color="4F81BD"/>
              <w:left w:val="single" w:sz="8" w:space="0" w:color="4F81BD"/>
              <w:right w:val="single" w:sz="8" w:space="0" w:color="4F81BD"/>
            </w:tcBorders>
          </w:tcPr>
          <w:p w14:paraId="5299D9E3" w14:textId="77777777" w:rsidR="00BB7FD7" w:rsidRPr="005E4A1B" w:rsidRDefault="00BB7FD7" w:rsidP="00BB7FD7">
            <w:pPr>
              <w:pStyle w:val="Milestonetable"/>
            </w:pPr>
            <w:r w:rsidRPr="005E4A1B">
              <w:rPr>
                <w:rFonts w:asciiTheme="minorHAnsi" w:hAnsiTheme="minorHAnsi" w:cstheme="minorHAnsi"/>
              </w:rPr>
              <w:t>Aftercare services</w:t>
            </w:r>
            <w:r w:rsidRPr="005E4A1B">
              <w:t xml:space="preserve"> </w:t>
            </w:r>
          </w:p>
        </w:tc>
        <w:tc>
          <w:tcPr>
            <w:tcW w:w="6946" w:type="dxa"/>
            <w:tcBorders>
              <w:top w:val="single" w:sz="8" w:space="0" w:color="4F81BD"/>
              <w:left w:val="single" w:sz="8" w:space="0" w:color="4F81BD"/>
              <w:bottom w:val="single" w:sz="8" w:space="0" w:color="4F81BD"/>
              <w:right w:val="single" w:sz="8" w:space="0" w:color="4F81BD"/>
            </w:tcBorders>
          </w:tcPr>
          <w:p w14:paraId="7348BFE4" w14:textId="77777777" w:rsidR="00BB7FD7" w:rsidRPr="005E4A1B" w:rsidRDefault="00BB7FD7"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Performance report against key deliverables, proposed service models and timeframes as outlined in the Joint Commonwealth-</w:t>
            </w:r>
            <w:r w:rsidR="00574513" w:rsidRPr="005E4A1B">
              <w:rPr>
                <w:rFonts w:asciiTheme="minorHAnsi" w:hAnsiTheme="minorHAnsi" w:cstheme="minorHAnsi"/>
                <w:b w:val="0"/>
                <w:bCs w:val="0"/>
              </w:rPr>
              <w:t>South Australia</w:t>
            </w:r>
            <w:r w:rsidRPr="005E4A1B">
              <w:rPr>
                <w:rFonts w:asciiTheme="minorHAnsi" w:hAnsiTheme="minorHAnsi" w:cstheme="minorHAnsi"/>
                <w:b w:val="0"/>
                <w:bCs w:val="0"/>
              </w:rPr>
              <w:t xml:space="preserve"> Implementation Plan.</w:t>
            </w:r>
          </w:p>
          <w:p w14:paraId="48F67348" w14:textId="77777777" w:rsidR="00BB7FD7" w:rsidRPr="005E4A1B" w:rsidRDefault="00BB7FD7"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Evaluation plan.</w:t>
            </w:r>
          </w:p>
          <w:p w14:paraId="31B168E6" w14:textId="77777777" w:rsidR="00BB7FD7" w:rsidRPr="005E4A1B" w:rsidRDefault="00BB7FD7"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lastRenderedPageBreak/>
              <w:t>Progress against evaluation and all evaluation findings have been made available to the Commonwealth and South Australia within a month of the evaluation</w:t>
            </w:r>
            <w:r w:rsidR="00574513" w:rsidRPr="005E4A1B">
              <w:rPr>
                <w:rFonts w:asciiTheme="minorHAnsi" w:hAnsiTheme="minorHAnsi" w:cstheme="minorHAnsi"/>
                <w:b w:val="0"/>
                <w:bCs w:val="0"/>
              </w:rPr>
              <w:t>’</w:t>
            </w:r>
            <w:r w:rsidRPr="005E4A1B">
              <w:rPr>
                <w:rFonts w:asciiTheme="minorHAnsi" w:hAnsiTheme="minorHAnsi" w:cstheme="minorHAnsi"/>
                <w:b w:val="0"/>
                <w:bCs w:val="0"/>
              </w:rPr>
              <w:t>s completion.</w:t>
            </w:r>
          </w:p>
        </w:tc>
      </w:tr>
      <w:tr w:rsidR="00BE23F0" w:rsidRPr="005E4A1B" w14:paraId="12CA575E" w14:textId="77777777" w:rsidTr="6245677E">
        <w:trPr>
          <w:trHeight w:val="514"/>
        </w:trPr>
        <w:tc>
          <w:tcPr>
            <w:tcW w:w="2825" w:type="dxa"/>
            <w:tcBorders>
              <w:top w:val="single" w:sz="8" w:space="0" w:color="4F81BD"/>
              <w:left w:val="single" w:sz="8" w:space="0" w:color="4F81BD"/>
              <w:right w:val="single" w:sz="8" w:space="0" w:color="4F81BD"/>
            </w:tcBorders>
          </w:tcPr>
          <w:p w14:paraId="15AD3D27" w14:textId="77777777" w:rsidR="00BB7FD7" w:rsidRPr="005E4A1B" w:rsidRDefault="00BB7FD7" w:rsidP="00BB7FD7">
            <w:pPr>
              <w:pStyle w:val="Milestonetable"/>
            </w:pPr>
            <w:r w:rsidRPr="005E4A1B">
              <w:rPr>
                <w:rFonts w:asciiTheme="minorHAnsi" w:hAnsiTheme="minorHAnsi" w:cstheme="minorHAnsi"/>
              </w:rPr>
              <w:lastRenderedPageBreak/>
              <w:t>Distress Brief Support Trial</w:t>
            </w:r>
          </w:p>
        </w:tc>
        <w:tc>
          <w:tcPr>
            <w:tcW w:w="6946" w:type="dxa"/>
            <w:tcBorders>
              <w:top w:val="single" w:sz="8" w:space="0" w:color="4F81BD"/>
              <w:left w:val="single" w:sz="8" w:space="0" w:color="4F81BD"/>
              <w:bottom w:val="single" w:sz="8" w:space="0" w:color="4F81BD"/>
              <w:right w:val="single" w:sz="8" w:space="0" w:color="4F81BD"/>
            </w:tcBorders>
          </w:tcPr>
          <w:p w14:paraId="320FC4FB" w14:textId="77777777" w:rsidR="00574513" w:rsidRPr="005E4A1B" w:rsidRDefault="00574513"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Performance report against key deliverables, proposed service models and timeframes as outlined in the Joint Commonwealth-South Australia Implementation Plan.</w:t>
            </w:r>
          </w:p>
          <w:p w14:paraId="2204936C" w14:textId="77777777" w:rsidR="00BB7FD7" w:rsidRPr="005E4A1B" w:rsidRDefault="00574513"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Progress report against key program outcomes when available, including:</w:t>
            </w:r>
          </w:p>
          <w:p w14:paraId="24985F97" w14:textId="77777777" w:rsidR="00574513" w:rsidRPr="005E4A1B" w:rsidRDefault="00574513" w:rsidP="00371518">
            <w:pPr>
              <w:pStyle w:val="Milestonetable"/>
              <w:numPr>
                <w:ilvl w:val="1"/>
                <w:numId w:val="7"/>
              </w:numPr>
              <w:ind w:left="1030"/>
              <w:rPr>
                <w:rFonts w:asciiTheme="minorHAnsi" w:hAnsiTheme="minorHAnsi" w:cstheme="minorHAnsi"/>
                <w:b w:val="0"/>
                <w:bCs w:val="0"/>
              </w:rPr>
            </w:pPr>
            <w:r w:rsidRPr="005E4A1B">
              <w:rPr>
                <w:rFonts w:asciiTheme="minorHAnsi" w:hAnsiTheme="minorHAnsi" w:cstheme="minorHAnsi"/>
                <w:b w:val="0"/>
                <w:bCs w:val="0"/>
              </w:rPr>
              <w:t>Reduction of psychological distress in consumers</w:t>
            </w:r>
          </w:p>
          <w:p w14:paraId="0497F708" w14:textId="77777777" w:rsidR="00574513" w:rsidRPr="005E4A1B" w:rsidRDefault="00574513" w:rsidP="00371518">
            <w:pPr>
              <w:pStyle w:val="Milestonetable"/>
              <w:numPr>
                <w:ilvl w:val="1"/>
                <w:numId w:val="7"/>
              </w:numPr>
              <w:ind w:left="1030"/>
              <w:rPr>
                <w:rFonts w:asciiTheme="minorHAnsi" w:hAnsiTheme="minorHAnsi" w:cstheme="minorHAnsi"/>
                <w:b w:val="0"/>
                <w:bCs w:val="0"/>
              </w:rPr>
            </w:pPr>
            <w:r w:rsidRPr="005E4A1B">
              <w:rPr>
                <w:rFonts w:asciiTheme="minorHAnsi" w:hAnsiTheme="minorHAnsi" w:cstheme="minorHAnsi"/>
                <w:b w:val="0"/>
                <w:bCs w:val="0"/>
              </w:rPr>
              <w:t>Increased service system capability to identify and respond to distress when and where it presents.</w:t>
            </w:r>
          </w:p>
          <w:p w14:paraId="54EC92D8" w14:textId="77777777" w:rsidR="00574513" w:rsidRPr="005E4A1B" w:rsidRDefault="00574513"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Progress against evaluation and all evaluation findings have been made available to the Commonwealth and South Australia within a month of the evaluation’s completion.</w:t>
            </w:r>
          </w:p>
        </w:tc>
      </w:tr>
      <w:tr w:rsidR="00BE23F0" w:rsidRPr="005E4A1B" w14:paraId="781460B2" w14:textId="77777777" w:rsidTr="6245677E">
        <w:trPr>
          <w:trHeight w:val="514"/>
        </w:trPr>
        <w:tc>
          <w:tcPr>
            <w:tcW w:w="2825" w:type="dxa"/>
            <w:tcBorders>
              <w:top w:val="single" w:sz="8" w:space="0" w:color="4F81BD"/>
              <w:left w:val="single" w:sz="8" w:space="0" w:color="4F81BD"/>
              <w:right w:val="single" w:sz="8" w:space="0" w:color="4F81BD"/>
            </w:tcBorders>
          </w:tcPr>
          <w:p w14:paraId="77865E07" w14:textId="77777777" w:rsidR="00BB7FD7" w:rsidRPr="005E4A1B" w:rsidRDefault="00BB7FD7" w:rsidP="00BB7FD7">
            <w:pPr>
              <w:pStyle w:val="Milestonetable"/>
            </w:pPr>
            <w:r w:rsidRPr="005E4A1B">
              <w:rPr>
                <w:rFonts w:asciiTheme="minorHAnsi" w:hAnsiTheme="minorHAnsi" w:cstheme="minorHAnsi"/>
              </w:rPr>
              <w:t>Postvention</w:t>
            </w:r>
            <w:r w:rsidR="00574513" w:rsidRPr="005E4A1B">
              <w:rPr>
                <w:rFonts w:asciiTheme="minorHAnsi" w:hAnsiTheme="minorHAnsi" w:cstheme="minorHAnsi"/>
              </w:rPr>
              <w:t xml:space="preserve"> Support</w:t>
            </w:r>
          </w:p>
        </w:tc>
        <w:tc>
          <w:tcPr>
            <w:tcW w:w="6946" w:type="dxa"/>
            <w:tcBorders>
              <w:top w:val="single" w:sz="8" w:space="0" w:color="4F81BD"/>
              <w:left w:val="single" w:sz="8" w:space="0" w:color="4F81BD"/>
              <w:bottom w:val="single" w:sz="8" w:space="0" w:color="4F81BD"/>
              <w:right w:val="single" w:sz="8" w:space="0" w:color="4F81BD"/>
            </w:tcBorders>
          </w:tcPr>
          <w:p w14:paraId="78D22B2D" w14:textId="77777777" w:rsidR="00BB7FD7" w:rsidRPr="005E4A1B" w:rsidRDefault="00BB7FD7"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Performance report against key deliverables, proposed service models and timeframes as outlined in the Joint Commonwealth-</w:t>
            </w:r>
            <w:r w:rsidR="00574513" w:rsidRPr="005E4A1B">
              <w:rPr>
                <w:rFonts w:asciiTheme="minorHAnsi" w:hAnsiTheme="minorHAnsi" w:cstheme="minorHAnsi"/>
                <w:b w:val="0"/>
                <w:bCs w:val="0"/>
              </w:rPr>
              <w:t>South Australia</w:t>
            </w:r>
            <w:r w:rsidRPr="005E4A1B">
              <w:rPr>
                <w:rFonts w:asciiTheme="minorHAnsi" w:hAnsiTheme="minorHAnsi" w:cstheme="minorHAnsi"/>
                <w:b w:val="0"/>
                <w:bCs w:val="0"/>
              </w:rPr>
              <w:t xml:space="preserve"> Implementation Plan.</w:t>
            </w:r>
          </w:p>
          <w:p w14:paraId="31CF4846" w14:textId="77777777" w:rsidR="00BB7FD7" w:rsidRPr="005E4A1B" w:rsidRDefault="00BB7FD7"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Progress against evaluation and all evaluation findings have been made available to the Commonwealth and South Australia within a month of the evaluation</w:t>
            </w:r>
            <w:r w:rsidR="00574513" w:rsidRPr="005E4A1B">
              <w:rPr>
                <w:rFonts w:asciiTheme="minorHAnsi" w:hAnsiTheme="minorHAnsi" w:cstheme="minorHAnsi"/>
                <w:b w:val="0"/>
                <w:bCs w:val="0"/>
              </w:rPr>
              <w:t>’</w:t>
            </w:r>
            <w:r w:rsidRPr="005E4A1B">
              <w:rPr>
                <w:rFonts w:asciiTheme="minorHAnsi" w:hAnsiTheme="minorHAnsi" w:cstheme="minorHAnsi"/>
                <w:b w:val="0"/>
                <w:bCs w:val="0"/>
              </w:rPr>
              <w:t>s completion.</w:t>
            </w:r>
          </w:p>
        </w:tc>
      </w:tr>
      <w:tr w:rsidR="00210EC9" w:rsidRPr="005E4A1B" w14:paraId="12468CF7" w14:textId="77777777" w:rsidTr="6245677E">
        <w:trPr>
          <w:trHeight w:val="513"/>
        </w:trPr>
        <w:tc>
          <w:tcPr>
            <w:tcW w:w="2825" w:type="dxa"/>
            <w:tcBorders>
              <w:left w:val="single" w:sz="8" w:space="0" w:color="4F81BD"/>
              <w:right w:val="single" w:sz="8" w:space="0" w:color="4F81BD"/>
            </w:tcBorders>
          </w:tcPr>
          <w:p w14:paraId="40CE8081" w14:textId="77777777" w:rsidR="00210EC9" w:rsidRPr="005E4A1B" w:rsidRDefault="008F5BE2" w:rsidP="00210EC9">
            <w:pPr>
              <w:pStyle w:val="Milestonetable"/>
              <w:rPr>
                <w:rFonts w:asciiTheme="minorHAnsi" w:hAnsiTheme="minorHAnsi" w:cstheme="minorHAnsi"/>
              </w:rPr>
            </w:pPr>
            <w:r w:rsidRPr="005E4A1B">
              <w:rPr>
                <w:rFonts w:asciiTheme="minorHAnsi" w:hAnsiTheme="minorHAnsi" w:cstheme="minorHAnsi"/>
              </w:rPr>
              <w:t xml:space="preserve">Initial </w:t>
            </w:r>
            <w:r w:rsidR="00210EC9" w:rsidRPr="005E4A1B">
              <w:rPr>
                <w:rFonts w:asciiTheme="minorHAnsi" w:hAnsiTheme="minorHAnsi" w:cstheme="minorHAnsi"/>
              </w:rPr>
              <w:t>Assessment and Referral tool</w:t>
            </w:r>
          </w:p>
        </w:tc>
        <w:tc>
          <w:tcPr>
            <w:tcW w:w="6946" w:type="dxa"/>
            <w:tcBorders>
              <w:top w:val="single" w:sz="8" w:space="0" w:color="4F81BD"/>
              <w:left w:val="single" w:sz="8" w:space="0" w:color="4F81BD"/>
              <w:bottom w:val="single" w:sz="8" w:space="0" w:color="4F81BD"/>
              <w:right w:val="single" w:sz="8" w:space="0" w:color="4F81BD"/>
            </w:tcBorders>
          </w:tcPr>
          <w:p w14:paraId="4D24A7CF" w14:textId="77777777" w:rsidR="00210EC9" w:rsidRPr="00371518" w:rsidRDefault="00210EC9" w:rsidP="00371518">
            <w:pPr>
              <w:pStyle w:val="Milestonetable"/>
              <w:numPr>
                <w:ilvl w:val="0"/>
                <w:numId w:val="7"/>
              </w:numPr>
              <w:ind w:left="463"/>
              <w:rPr>
                <w:rFonts w:asciiTheme="minorHAnsi" w:hAnsiTheme="minorHAnsi" w:cstheme="minorHAnsi"/>
                <w:b w:val="0"/>
                <w:bCs w:val="0"/>
              </w:rPr>
            </w:pPr>
            <w:r w:rsidRPr="00371518">
              <w:rPr>
                <w:rFonts w:asciiTheme="minorHAnsi" w:hAnsiTheme="minorHAnsi" w:cstheme="minorHAnsi"/>
                <w:b w:val="0"/>
                <w:bCs w:val="0"/>
              </w:rPr>
              <w:t>Performance report against key deliverables and timeframes as outlined in the Joint Commonwealth State Implementation Plan.</w:t>
            </w:r>
          </w:p>
        </w:tc>
      </w:tr>
      <w:tr w:rsidR="00210EC9" w:rsidRPr="005E4A1B" w14:paraId="0C43F5B5" w14:textId="77777777" w:rsidTr="6245677E">
        <w:trPr>
          <w:trHeight w:val="513"/>
        </w:trPr>
        <w:tc>
          <w:tcPr>
            <w:tcW w:w="2825" w:type="dxa"/>
            <w:tcBorders>
              <w:left w:val="single" w:sz="8" w:space="0" w:color="4F81BD"/>
              <w:right w:val="single" w:sz="8" w:space="0" w:color="4F81BD"/>
            </w:tcBorders>
          </w:tcPr>
          <w:p w14:paraId="379A8E43" w14:textId="77777777" w:rsidR="00210EC9" w:rsidRPr="005E4A1B" w:rsidRDefault="00210EC9" w:rsidP="00210EC9">
            <w:pPr>
              <w:pStyle w:val="Milestonetable"/>
              <w:rPr>
                <w:rFonts w:asciiTheme="minorHAnsi" w:hAnsiTheme="minorHAnsi" w:cstheme="minorHAnsi"/>
              </w:rPr>
            </w:pPr>
            <w:r w:rsidRPr="005E4A1B">
              <w:rPr>
                <w:rFonts w:asciiTheme="minorHAnsi" w:hAnsiTheme="minorHAnsi" w:cstheme="minorHAnsi"/>
              </w:rPr>
              <w:t>Joint regional mental health and suicide prevention plan</w:t>
            </w:r>
          </w:p>
        </w:tc>
        <w:tc>
          <w:tcPr>
            <w:tcW w:w="6946" w:type="dxa"/>
            <w:tcBorders>
              <w:top w:val="single" w:sz="8" w:space="0" w:color="4F81BD"/>
              <w:left w:val="single" w:sz="8" w:space="0" w:color="4F81BD"/>
              <w:bottom w:val="single" w:sz="8" w:space="0" w:color="4F81BD"/>
              <w:right w:val="single" w:sz="8" w:space="0" w:color="4F81BD"/>
            </w:tcBorders>
          </w:tcPr>
          <w:p w14:paraId="3F507276" w14:textId="77777777" w:rsidR="00210EC9" w:rsidRPr="00371518" w:rsidRDefault="00210EC9" w:rsidP="00371518">
            <w:pPr>
              <w:pStyle w:val="Milestonetable"/>
              <w:numPr>
                <w:ilvl w:val="0"/>
                <w:numId w:val="7"/>
              </w:numPr>
              <w:ind w:left="463"/>
              <w:rPr>
                <w:rFonts w:asciiTheme="minorHAnsi" w:hAnsiTheme="minorHAnsi" w:cstheme="minorHAnsi"/>
                <w:b w:val="0"/>
                <w:bCs w:val="0"/>
              </w:rPr>
            </w:pPr>
            <w:r w:rsidRPr="00371518">
              <w:rPr>
                <w:rFonts w:asciiTheme="minorHAnsi" w:hAnsiTheme="minorHAnsi" w:cstheme="minorHAnsi"/>
                <w:b w:val="0"/>
                <w:bCs w:val="0"/>
              </w:rPr>
              <w:t xml:space="preserve">Performance report on support and engagement provided to the joint regional planning processes by </w:t>
            </w:r>
            <w:r w:rsidR="006623F4" w:rsidRPr="00371518">
              <w:rPr>
                <w:rFonts w:asciiTheme="minorHAnsi" w:hAnsiTheme="minorHAnsi" w:cstheme="minorHAnsi"/>
                <w:b w:val="0"/>
                <w:bCs w:val="0"/>
              </w:rPr>
              <w:t>South Australia</w:t>
            </w:r>
            <w:r w:rsidRPr="00371518">
              <w:rPr>
                <w:rFonts w:asciiTheme="minorHAnsi" w:hAnsiTheme="minorHAnsi" w:cstheme="minorHAnsi"/>
                <w:b w:val="0"/>
                <w:bCs w:val="0"/>
              </w:rPr>
              <w:t xml:space="preserve"> Health and </w:t>
            </w:r>
            <w:r w:rsidR="006623F4" w:rsidRPr="00371518">
              <w:rPr>
                <w:rFonts w:asciiTheme="minorHAnsi" w:hAnsiTheme="minorHAnsi" w:cstheme="minorHAnsi"/>
                <w:b w:val="0"/>
                <w:bCs w:val="0"/>
              </w:rPr>
              <w:t>South Australian</w:t>
            </w:r>
            <w:r w:rsidRPr="00371518">
              <w:rPr>
                <w:rFonts w:asciiTheme="minorHAnsi" w:hAnsiTheme="minorHAnsi" w:cstheme="minorHAnsi"/>
                <w:b w:val="0"/>
                <w:bCs w:val="0"/>
              </w:rPr>
              <w:t xml:space="preserve"> PHN</w:t>
            </w:r>
            <w:r w:rsidR="006623F4" w:rsidRPr="00371518">
              <w:rPr>
                <w:rFonts w:asciiTheme="minorHAnsi" w:hAnsiTheme="minorHAnsi" w:cstheme="minorHAnsi"/>
                <w:b w:val="0"/>
                <w:bCs w:val="0"/>
              </w:rPr>
              <w:t>s</w:t>
            </w:r>
            <w:r w:rsidRPr="00371518">
              <w:rPr>
                <w:rFonts w:asciiTheme="minorHAnsi" w:hAnsiTheme="minorHAnsi" w:cstheme="minorHAnsi"/>
                <w:b w:val="0"/>
                <w:bCs w:val="0"/>
              </w:rPr>
              <w:t xml:space="preserve">. </w:t>
            </w:r>
          </w:p>
        </w:tc>
      </w:tr>
    </w:tbl>
    <w:p w14:paraId="2635D641" w14:textId="77777777" w:rsidR="001069A2" w:rsidRPr="005E4A1B" w:rsidRDefault="001069A2">
      <w:pPr>
        <w:rPr>
          <w:b/>
          <w:bCs/>
          <w:iCs/>
        </w:rPr>
      </w:pPr>
    </w:p>
    <w:p w14:paraId="7A69499C" w14:textId="77777777" w:rsidR="00F72F40" w:rsidRPr="005E4A1B" w:rsidRDefault="00F72F40" w:rsidP="00F72F40">
      <w:pPr>
        <w:rPr>
          <w:b/>
          <w:iCs/>
          <w:sz w:val="28"/>
          <w:szCs w:val="28"/>
        </w:rPr>
      </w:pPr>
      <w:r w:rsidRPr="005E4A1B">
        <w:rPr>
          <w:rFonts w:cstheme="minorHAnsi"/>
          <w:b/>
          <w:sz w:val="28"/>
          <w:szCs w:val="28"/>
        </w:rPr>
        <w:t xml:space="preserve">Table </w:t>
      </w:r>
      <w:r w:rsidR="00210EC9" w:rsidRPr="005E4A1B">
        <w:rPr>
          <w:rFonts w:cstheme="minorHAnsi"/>
          <w:b/>
          <w:sz w:val="28"/>
          <w:szCs w:val="28"/>
        </w:rPr>
        <w:t>5</w:t>
      </w:r>
      <w:r w:rsidRPr="005E4A1B">
        <w:rPr>
          <w:rFonts w:cstheme="minorHAnsi"/>
          <w:b/>
          <w:sz w:val="28"/>
          <w:szCs w:val="28"/>
        </w:rPr>
        <w:t xml:space="preserve">: Final Report requirements  </w:t>
      </w:r>
    </w:p>
    <w:tbl>
      <w:tblPr>
        <w:tblW w:w="9771"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967"/>
        <w:gridCol w:w="6804"/>
      </w:tblGrid>
      <w:tr w:rsidR="00F72F40" w:rsidRPr="005E4A1B" w14:paraId="5A8106D4" w14:textId="77777777" w:rsidTr="6245677E">
        <w:trPr>
          <w:tblHeader/>
        </w:trPr>
        <w:tc>
          <w:tcPr>
            <w:tcW w:w="2967" w:type="dxa"/>
            <w:shd w:val="clear" w:color="auto" w:fill="F2F2F2" w:themeFill="background1" w:themeFillShade="F2"/>
          </w:tcPr>
          <w:p w14:paraId="3439E93F" w14:textId="77777777" w:rsidR="00F72F40" w:rsidRPr="005E4A1B" w:rsidRDefault="00F72F40" w:rsidP="003D50D9">
            <w:pPr>
              <w:pStyle w:val="Tableformat"/>
              <w:rPr>
                <w:rFonts w:asciiTheme="minorHAnsi" w:hAnsiTheme="minorHAnsi" w:cstheme="minorHAnsi"/>
                <w:b w:val="0"/>
                <w:sz w:val="20"/>
                <w:szCs w:val="20"/>
              </w:rPr>
            </w:pPr>
            <w:r w:rsidRPr="005E4A1B">
              <w:rPr>
                <w:rFonts w:asciiTheme="minorHAnsi" w:hAnsiTheme="minorHAnsi" w:cstheme="minorHAnsi"/>
                <w:sz w:val="20"/>
                <w:szCs w:val="20"/>
              </w:rPr>
              <w:t xml:space="preserve">Initiative </w:t>
            </w:r>
          </w:p>
        </w:tc>
        <w:tc>
          <w:tcPr>
            <w:tcW w:w="6804" w:type="dxa"/>
            <w:shd w:val="clear" w:color="auto" w:fill="F2F2F2" w:themeFill="background1" w:themeFillShade="F2"/>
          </w:tcPr>
          <w:p w14:paraId="2CB5EE3B" w14:textId="77777777" w:rsidR="00F72F40" w:rsidRPr="005E4A1B" w:rsidRDefault="00F72F40" w:rsidP="003D50D9">
            <w:pPr>
              <w:pStyle w:val="Tableformat"/>
              <w:rPr>
                <w:rFonts w:asciiTheme="minorHAnsi" w:hAnsiTheme="minorHAnsi" w:cstheme="minorHAnsi"/>
                <w:b w:val="0"/>
                <w:sz w:val="20"/>
                <w:szCs w:val="20"/>
              </w:rPr>
            </w:pPr>
            <w:r w:rsidRPr="005E4A1B">
              <w:rPr>
                <w:rFonts w:asciiTheme="minorHAnsi" w:hAnsiTheme="minorHAnsi" w:cstheme="minorHAnsi"/>
                <w:sz w:val="20"/>
                <w:szCs w:val="20"/>
              </w:rPr>
              <w:t xml:space="preserve">Requirements </w:t>
            </w:r>
          </w:p>
        </w:tc>
      </w:tr>
      <w:tr w:rsidR="00210EC9" w:rsidRPr="005E4A1B" w14:paraId="739DBB33" w14:textId="77777777" w:rsidTr="6245677E">
        <w:trPr>
          <w:trHeight w:val="514"/>
        </w:trPr>
        <w:tc>
          <w:tcPr>
            <w:tcW w:w="2967" w:type="dxa"/>
            <w:tcBorders>
              <w:top w:val="single" w:sz="8" w:space="0" w:color="4F81BD"/>
              <w:left w:val="single" w:sz="8" w:space="0" w:color="4F81BD"/>
              <w:right w:val="single" w:sz="8" w:space="0" w:color="4F81BD"/>
            </w:tcBorders>
          </w:tcPr>
          <w:p w14:paraId="22EFD21A" w14:textId="54CC03E2" w:rsidR="00210EC9" w:rsidRPr="005E4A1B" w:rsidRDefault="67836B6D" w:rsidP="6245677E">
            <w:pPr>
              <w:pStyle w:val="Milestonetable"/>
            </w:pPr>
            <w:r w:rsidRPr="005E4A1B">
              <w:rPr>
                <w:rFonts w:ascii="Calibri" w:eastAsia="Calibri" w:hAnsi="Calibri" w:cs="Calibri"/>
                <w:sz w:val="22"/>
                <w:szCs w:val="22"/>
              </w:rPr>
              <w:t xml:space="preserve"> Adult Mental Health Centre and Satellite Network (Medicare Mental Health Centres)</w:t>
            </w:r>
          </w:p>
        </w:tc>
        <w:tc>
          <w:tcPr>
            <w:tcW w:w="6804" w:type="dxa"/>
            <w:tcBorders>
              <w:top w:val="single" w:sz="8" w:space="0" w:color="4F81BD"/>
              <w:left w:val="single" w:sz="8" w:space="0" w:color="4F81BD"/>
              <w:bottom w:val="single" w:sz="8" w:space="0" w:color="4F81BD"/>
              <w:right w:val="single" w:sz="8" w:space="0" w:color="4F81BD"/>
            </w:tcBorders>
          </w:tcPr>
          <w:p w14:paraId="655BF62D" w14:textId="77777777" w:rsidR="00210EC9" w:rsidRPr="005E4A1B" w:rsidRDefault="00210EC9"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Confirmation of total expenditure</w:t>
            </w:r>
          </w:p>
          <w:p w14:paraId="1400082C" w14:textId="77777777" w:rsidR="00210EC9" w:rsidRPr="005E4A1B" w:rsidRDefault="00210EC9"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Assessment of integration approach, including referral in and out of Head to Health</w:t>
            </w:r>
          </w:p>
          <w:p w14:paraId="60464212" w14:textId="77777777" w:rsidR="00210EC9" w:rsidRPr="005E4A1B" w:rsidRDefault="00210EC9"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Assessment of outcomes at start and end of episode</w:t>
            </w:r>
          </w:p>
          <w:p w14:paraId="02618E53" w14:textId="2C48B893" w:rsidR="001B49D9" w:rsidRPr="005E4A1B" w:rsidRDefault="001B49D9"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 xml:space="preserve">Progress against evaluation and all evaluation findings have been made available to the Commonwealth and South Australia by the end of this </w:t>
            </w:r>
            <w:r w:rsidR="00A40517" w:rsidRPr="005E4A1B">
              <w:rPr>
                <w:rFonts w:asciiTheme="minorHAnsi" w:hAnsiTheme="minorHAnsi" w:cstheme="minorHAnsi"/>
                <w:b w:val="0"/>
                <w:bCs w:val="0"/>
              </w:rPr>
              <w:t>Schedule</w:t>
            </w:r>
          </w:p>
        </w:tc>
      </w:tr>
      <w:tr w:rsidR="00D4299D" w:rsidRPr="005E4A1B" w14:paraId="16948247" w14:textId="77777777" w:rsidTr="6245677E">
        <w:trPr>
          <w:trHeight w:val="514"/>
        </w:trPr>
        <w:tc>
          <w:tcPr>
            <w:tcW w:w="2967" w:type="dxa"/>
            <w:tcBorders>
              <w:top w:val="single" w:sz="8" w:space="0" w:color="4F81BD"/>
              <w:left w:val="single" w:sz="8" w:space="0" w:color="4F81BD"/>
              <w:right w:val="single" w:sz="8" w:space="0" w:color="4F81BD"/>
            </w:tcBorders>
          </w:tcPr>
          <w:p w14:paraId="05238473" w14:textId="77777777" w:rsidR="00D4299D" w:rsidRPr="005E4A1B" w:rsidRDefault="00D4299D" w:rsidP="00210EC9">
            <w:pPr>
              <w:pStyle w:val="Milestonetable"/>
              <w:rPr>
                <w:rFonts w:asciiTheme="minorHAnsi" w:hAnsiTheme="minorHAnsi" w:cstheme="minorHAnsi"/>
              </w:rPr>
            </w:pPr>
            <w:r w:rsidRPr="005E4A1B">
              <w:rPr>
                <w:rFonts w:asciiTheme="minorHAnsi" w:hAnsiTheme="minorHAnsi" w:cstheme="minorHAnsi"/>
              </w:rPr>
              <w:t>Aboriginal Mental Health and Wellbeing Centre</w:t>
            </w:r>
          </w:p>
        </w:tc>
        <w:tc>
          <w:tcPr>
            <w:tcW w:w="6804" w:type="dxa"/>
            <w:tcBorders>
              <w:top w:val="single" w:sz="8" w:space="0" w:color="4F81BD"/>
              <w:left w:val="single" w:sz="8" w:space="0" w:color="4F81BD"/>
              <w:bottom w:val="single" w:sz="8" w:space="0" w:color="4F81BD"/>
              <w:right w:val="single" w:sz="8" w:space="0" w:color="4F81BD"/>
            </w:tcBorders>
          </w:tcPr>
          <w:p w14:paraId="3E9CEFFE" w14:textId="77777777" w:rsidR="00E577BA" w:rsidRPr="005E4A1B" w:rsidRDefault="00E577BA"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Confirmation of total expenditure</w:t>
            </w:r>
          </w:p>
          <w:p w14:paraId="25AFB04D" w14:textId="77777777" w:rsidR="00E577BA" w:rsidRPr="005E4A1B" w:rsidRDefault="00E577BA"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Assessment of integration approach, including referral in and out of the Wellbeing Centre</w:t>
            </w:r>
          </w:p>
          <w:p w14:paraId="600B4952" w14:textId="77777777" w:rsidR="00E577BA" w:rsidRPr="005E4A1B" w:rsidRDefault="00E577BA"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 xml:space="preserve">Assessment of outcome improvement </w:t>
            </w:r>
          </w:p>
          <w:p w14:paraId="2C08B657" w14:textId="65C721C9" w:rsidR="00E577BA" w:rsidRPr="005E4A1B" w:rsidRDefault="00E577BA"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 xml:space="preserve">Progress against evaluation and all evaluation findings have been made available to the Commonwealth and South Australia by the end of this </w:t>
            </w:r>
            <w:r w:rsidR="00A40517" w:rsidRPr="005E4A1B">
              <w:rPr>
                <w:rFonts w:asciiTheme="minorHAnsi" w:hAnsiTheme="minorHAnsi" w:cstheme="minorHAnsi"/>
                <w:b w:val="0"/>
                <w:bCs w:val="0"/>
              </w:rPr>
              <w:t>Schedule</w:t>
            </w:r>
          </w:p>
          <w:p w14:paraId="6548027E" w14:textId="77777777" w:rsidR="00D4299D" w:rsidRPr="005E4A1B" w:rsidRDefault="00E577BA"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Report on any other agreed performance indicators</w:t>
            </w:r>
            <w:r w:rsidRPr="00371518">
              <w:rPr>
                <w:rFonts w:asciiTheme="minorHAnsi" w:hAnsiTheme="minorHAnsi" w:cstheme="minorHAnsi"/>
                <w:b w:val="0"/>
                <w:bCs w:val="0"/>
              </w:rPr>
              <w:t xml:space="preserve"> </w:t>
            </w:r>
          </w:p>
        </w:tc>
      </w:tr>
      <w:tr w:rsidR="001B49D9" w:rsidRPr="005E4A1B" w14:paraId="05426E4B" w14:textId="77777777" w:rsidTr="6245677E">
        <w:trPr>
          <w:trHeight w:val="514"/>
        </w:trPr>
        <w:tc>
          <w:tcPr>
            <w:tcW w:w="2967" w:type="dxa"/>
            <w:tcBorders>
              <w:top w:val="single" w:sz="8" w:space="0" w:color="4F81BD"/>
              <w:left w:val="single" w:sz="8" w:space="0" w:color="4F81BD"/>
              <w:right w:val="single" w:sz="8" w:space="0" w:color="4F81BD"/>
            </w:tcBorders>
          </w:tcPr>
          <w:p w14:paraId="5A56A3DA" w14:textId="01CAAC5D" w:rsidR="001B49D9" w:rsidRPr="005E4A1B" w:rsidRDefault="001B49D9" w:rsidP="001B49D9">
            <w:pPr>
              <w:pStyle w:val="Heading2"/>
              <w:rPr>
                <w:rFonts w:eastAsia="Times New Roman" w:cstheme="minorHAnsi"/>
                <w:iCs/>
                <w:sz w:val="20"/>
                <w:szCs w:val="20"/>
                <w:lang w:eastAsia="en-AU"/>
              </w:rPr>
            </w:pPr>
            <w:r w:rsidRPr="005E4A1B">
              <w:rPr>
                <w:rFonts w:eastAsia="Times New Roman" w:cstheme="minorHAnsi"/>
                <w:iCs/>
                <w:sz w:val="20"/>
                <w:szCs w:val="20"/>
                <w:lang w:eastAsia="en-AU"/>
              </w:rPr>
              <w:t>Child Mental Health and Wellbeing</w:t>
            </w:r>
          </w:p>
          <w:p w14:paraId="48D8B5AA" w14:textId="77777777" w:rsidR="001B49D9" w:rsidRPr="005E4A1B" w:rsidRDefault="001B49D9" w:rsidP="001B49D9">
            <w:pPr>
              <w:pStyle w:val="Milestonetable"/>
              <w:rPr>
                <w:rFonts w:asciiTheme="minorHAnsi" w:hAnsiTheme="minorHAnsi" w:cstheme="minorHAnsi"/>
              </w:rPr>
            </w:pPr>
          </w:p>
        </w:tc>
        <w:tc>
          <w:tcPr>
            <w:tcW w:w="6804" w:type="dxa"/>
            <w:tcBorders>
              <w:top w:val="single" w:sz="8" w:space="0" w:color="4F81BD"/>
              <w:left w:val="single" w:sz="8" w:space="0" w:color="4F81BD"/>
              <w:bottom w:val="single" w:sz="8" w:space="0" w:color="4F81BD"/>
              <w:right w:val="single" w:sz="8" w:space="0" w:color="4F81BD"/>
            </w:tcBorders>
          </w:tcPr>
          <w:p w14:paraId="3CBE21EF" w14:textId="77777777" w:rsidR="00574513" w:rsidRPr="00371518" w:rsidRDefault="00574513" w:rsidP="00371518">
            <w:pPr>
              <w:pStyle w:val="Milestonetable"/>
              <w:numPr>
                <w:ilvl w:val="0"/>
                <w:numId w:val="7"/>
              </w:numPr>
              <w:ind w:left="463"/>
              <w:rPr>
                <w:rFonts w:asciiTheme="minorHAnsi" w:hAnsiTheme="minorHAnsi" w:cstheme="minorHAnsi"/>
                <w:b w:val="0"/>
                <w:bCs w:val="0"/>
              </w:rPr>
            </w:pPr>
            <w:r w:rsidRPr="00371518">
              <w:rPr>
                <w:rFonts w:asciiTheme="minorHAnsi" w:hAnsiTheme="minorHAnsi" w:cstheme="minorHAnsi"/>
                <w:b w:val="0"/>
                <w:bCs w:val="0"/>
              </w:rPr>
              <w:t>Confirmation of total expenditure</w:t>
            </w:r>
          </w:p>
          <w:p w14:paraId="6528AC3B" w14:textId="31BDEB44" w:rsidR="00574513" w:rsidRPr="00371518" w:rsidRDefault="4A3A272A" w:rsidP="00371518">
            <w:pPr>
              <w:pStyle w:val="Milestonetable"/>
              <w:numPr>
                <w:ilvl w:val="0"/>
                <w:numId w:val="7"/>
              </w:numPr>
              <w:ind w:left="463"/>
              <w:rPr>
                <w:rFonts w:asciiTheme="minorHAnsi" w:hAnsiTheme="minorHAnsi" w:cstheme="minorHAnsi"/>
                <w:b w:val="0"/>
                <w:bCs w:val="0"/>
              </w:rPr>
            </w:pPr>
            <w:r w:rsidRPr="00371518">
              <w:rPr>
                <w:rFonts w:asciiTheme="minorHAnsi" w:hAnsiTheme="minorHAnsi" w:cstheme="minorHAnsi"/>
                <w:b w:val="0"/>
                <w:bCs w:val="0"/>
              </w:rPr>
              <w:t xml:space="preserve">Assessment of integration approach, including referral in and out of </w:t>
            </w:r>
            <w:r w:rsidR="741114FA" w:rsidRPr="00371518">
              <w:rPr>
                <w:rFonts w:asciiTheme="minorHAnsi" w:hAnsiTheme="minorHAnsi" w:cstheme="minorHAnsi"/>
                <w:b w:val="0"/>
                <w:bCs w:val="0"/>
              </w:rPr>
              <w:t>Medicare Mental Health Kids Hubs</w:t>
            </w:r>
          </w:p>
          <w:p w14:paraId="64644E8A" w14:textId="77777777" w:rsidR="00574513" w:rsidRPr="00371518" w:rsidRDefault="00574513" w:rsidP="00371518">
            <w:pPr>
              <w:pStyle w:val="Milestonetable"/>
              <w:numPr>
                <w:ilvl w:val="0"/>
                <w:numId w:val="7"/>
              </w:numPr>
              <w:ind w:left="463"/>
              <w:rPr>
                <w:rFonts w:asciiTheme="minorHAnsi" w:hAnsiTheme="minorHAnsi" w:cstheme="minorHAnsi"/>
                <w:b w:val="0"/>
                <w:bCs w:val="0"/>
              </w:rPr>
            </w:pPr>
            <w:r w:rsidRPr="00371518">
              <w:rPr>
                <w:rFonts w:asciiTheme="minorHAnsi" w:hAnsiTheme="minorHAnsi" w:cstheme="minorHAnsi"/>
                <w:b w:val="0"/>
                <w:bCs w:val="0"/>
              </w:rPr>
              <w:t>Assessment of outcomes at start and end of episode</w:t>
            </w:r>
          </w:p>
          <w:p w14:paraId="7725EEAE" w14:textId="7F16821A" w:rsidR="001B49D9" w:rsidRPr="005E4A1B" w:rsidRDefault="00574513" w:rsidP="00371518">
            <w:pPr>
              <w:pStyle w:val="Milestonetable"/>
              <w:numPr>
                <w:ilvl w:val="0"/>
                <w:numId w:val="7"/>
              </w:numPr>
              <w:ind w:left="463"/>
              <w:rPr>
                <w:rFonts w:asciiTheme="minorHAnsi" w:hAnsiTheme="minorHAnsi" w:cstheme="minorHAnsi"/>
                <w:b w:val="0"/>
                <w:bCs w:val="0"/>
              </w:rPr>
            </w:pPr>
            <w:r w:rsidRPr="00371518">
              <w:rPr>
                <w:rFonts w:asciiTheme="minorHAnsi" w:hAnsiTheme="minorHAnsi" w:cstheme="minorHAnsi"/>
                <w:b w:val="0"/>
                <w:bCs w:val="0"/>
              </w:rPr>
              <w:lastRenderedPageBreak/>
              <w:t>Progress against evaluation and all evaluation findings have been made available to the Commonwealth and South Australia by the end of this Schedule.</w:t>
            </w:r>
          </w:p>
        </w:tc>
      </w:tr>
      <w:tr w:rsidR="00210EC9" w:rsidRPr="005E4A1B" w14:paraId="54615A32" w14:textId="77777777" w:rsidTr="6245677E">
        <w:trPr>
          <w:trHeight w:val="514"/>
        </w:trPr>
        <w:tc>
          <w:tcPr>
            <w:tcW w:w="2967" w:type="dxa"/>
            <w:tcBorders>
              <w:top w:val="single" w:sz="8" w:space="0" w:color="4F81BD"/>
              <w:left w:val="single" w:sz="8" w:space="0" w:color="4F81BD"/>
              <w:right w:val="single" w:sz="8" w:space="0" w:color="4F81BD"/>
            </w:tcBorders>
          </w:tcPr>
          <w:p w14:paraId="608DE812" w14:textId="77777777" w:rsidR="00210EC9" w:rsidRPr="005E4A1B" w:rsidRDefault="00210EC9" w:rsidP="00210EC9">
            <w:pPr>
              <w:pStyle w:val="Milestonetable"/>
              <w:rPr>
                <w:rFonts w:asciiTheme="minorHAnsi" w:hAnsiTheme="minorHAnsi" w:cstheme="minorHAnsi"/>
              </w:rPr>
            </w:pPr>
            <w:r w:rsidRPr="005E4A1B">
              <w:rPr>
                <w:rFonts w:asciiTheme="minorHAnsi" w:hAnsiTheme="minorHAnsi" w:cstheme="minorHAnsi"/>
              </w:rPr>
              <w:lastRenderedPageBreak/>
              <w:t xml:space="preserve">Enhancement and integration </w:t>
            </w:r>
            <w:r w:rsidR="00F5335F" w:rsidRPr="005E4A1B">
              <w:rPr>
                <w:rFonts w:asciiTheme="minorHAnsi" w:hAnsiTheme="minorHAnsi" w:cstheme="minorHAnsi"/>
              </w:rPr>
              <w:t xml:space="preserve">of </w:t>
            </w:r>
            <w:r w:rsidRPr="005E4A1B">
              <w:rPr>
                <w:rFonts w:asciiTheme="minorHAnsi" w:hAnsiTheme="minorHAnsi" w:cstheme="minorHAnsi"/>
              </w:rPr>
              <w:t xml:space="preserve">youth mental health services </w:t>
            </w:r>
          </w:p>
        </w:tc>
        <w:tc>
          <w:tcPr>
            <w:tcW w:w="6804" w:type="dxa"/>
            <w:tcBorders>
              <w:top w:val="single" w:sz="8" w:space="0" w:color="4F81BD"/>
              <w:left w:val="single" w:sz="8" w:space="0" w:color="4F81BD"/>
              <w:bottom w:val="single" w:sz="8" w:space="0" w:color="4F81BD"/>
              <w:right w:val="single" w:sz="8" w:space="0" w:color="4F81BD"/>
            </w:tcBorders>
          </w:tcPr>
          <w:p w14:paraId="3F0CD68D" w14:textId="77777777" w:rsidR="00210EC9" w:rsidRPr="005E4A1B" w:rsidRDefault="00210EC9"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Progress of implementation against jointly developed plan.</w:t>
            </w:r>
          </w:p>
          <w:p w14:paraId="6A8FBB28" w14:textId="77777777" w:rsidR="00210EC9" w:rsidRPr="005E4A1B" w:rsidRDefault="00210EC9"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 xml:space="preserve">Assessment of initiative outcomes.  </w:t>
            </w:r>
          </w:p>
          <w:p w14:paraId="270BE8DD" w14:textId="77777777" w:rsidR="00210EC9" w:rsidRPr="005E4A1B" w:rsidRDefault="00210EC9"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 xml:space="preserve">Confirmation of total expenditure. </w:t>
            </w:r>
          </w:p>
          <w:p w14:paraId="0EF13F61" w14:textId="77777777" w:rsidR="00210EC9" w:rsidRPr="005E4A1B" w:rsidRDefault="00210EC9"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Assessment of integration approach</w:t>
            </w:r>
          </w:p>
          <w:p w14:paraId="58191E97" w14:textId="77777777" w:rsidR="00210EC9" w:rsidRPr="00371518" w:rsidRDefault="00210EC9"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Identification of ongoing activities to maintain integration of services</w:t>
            </w:r>
          </w:p>
          <w:p w14:paraId="56B76317" w14:textId="4592F4A3" w:rsidR="001B49D9" w:rsidRPr="00371518" w:rsidRDefault="001B49D9"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 xml:space="preserve">Progress against evaluation and all evaluation findings have been made available to the Commonwealth and South Australia by the end of this </w:t>
            </w:r>
            <w:r w:rsidR="00594378" w:rsidRPr="005E4A1B">
              <w:rPr>
                <w:rFonts w:asciiTheme="minorHAnsi" w:hAnsiTheme="minorHAnsi" w:cstheme="minorHAnsi"/>
                <w:b w:val="0"/>
                <w:bCs w:val="0"/>
              </w:rPr>
              <w:t>Schedule</w:t>
            </w:r>
            <w:r w:rsidRPr="005E4A1B">
              <w:rPr>
                <w:rFonts w:asciiTheme="minorHAnsi" w:hAnsiTheme="minorHAnsi" w:cstheme="minorHAnsi"/>
                <w:b w:val="0"/>
                <w:bCs w:val="0"/>
              </w:rPr>
              <w:t>.</w:t>
            </w:r>
          </w:p>
        </w:tc>
      </w:tr>
      <w:tr w:rsidR="00BE23F0" w:rsidRPr="005E4A1B" w14:paraId="4AC7A78C" w14:textId="77777777" w:rsidTr="6245677E">
        <w:trPr>
          <w:trHeight w:val="514"/>
        </w:trPr>
        <w:tc>
          <w:tcPr>
            <w:tcW w:w="2967" w:type="dxa"/>
            <w:tcBorders>
              <w:top w:val="single" w:sz="8" w:space="0" w:color="4F81BD"/>
              <w:left w:val="single" w:sz="8" w:space="0" w:color="4F81BD"/>
              <w:right w:val="single" w:sz="8" w:space="0" w:color="4F81BD"/>
            </w:tcBorders>
          </w:tcPr>
          <w:p w14:paraId="35CE1F22" w14:textId="77777777" w:rsidR="00574513" w:rsidRPr="005E4A1B" w:rsidRDefault="00574513" w:rsidP="00574513">
            <w:pPr>
              <w:pStyle w:val="Milestonetable"/>
              <w:rPr>
                <w:rFonts w:asciiTheme="minorHAnsi" w:hAnsiTheme="minorHAnsi" w:cstheme="minorHAnsi"/>
              </w:rPr>
            </w:pPr>
            <w:r w:rsidRPr="005E4A1B">
              <w:t xml:space="preserve">Aftercare services </w:t>
            </w:r>
          </w:p>
        </w:tc>
        <w:tc>
          <w:tcPr>
            <w:tcW w:w="6804" w:type="dxa"/>
            <w:tcBorders>
              <w:top w:val="single" w:sz="8" w:space="0" w:color="4F81BD"/>
              <w:left w:val="single" w:sz="8" w:space="0" w:color="4F81BD"/>
              <w:bottom w:val="single" w:sz="8" w:space="0" w:color="4F81BD"/>
              <w:right w:val="single" w:sz="8" w:space="0" w:color="4F81BD"/>
            </w:tcBorders>
          </w:tcPr>
          <w:p w14:paraId="3F8D3591" w14:textId="77777777" w:rsidR="00574513" w:rsidRPr="005E4A1B" w:rsidRDefault="00574513"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Progress of implementation against jointly developed plan.</w:t>
            </w:r>
          </w:p>
          <w:p w14:paraId="274CC9D4" w14:textId="77777777" w:rsidR="00574513" w:rsidRPr="005E4A1B" w:rsidRDefault="00574513"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Assessment of initiative outcomes.</w:t>
            </w:r>
          </w:p>
          <w:p w14:paraId="47E78ECD" w14:textId="77777777" w:rsidR="00574513" w:rsidRPr="005E4A1B" w:rsidRDefault="00574513"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Confirmation of total expenditure.</w:t>
            </w:r>
          </w:p>
          <w:p w14:paraId="195E1E93" w14:textId="66EF7871" w:rsidR="00574513" w:rsidRPr="005E4A1B" w:rsidRDefault="00574513"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 xml:space="preserve">Progress against evaluation and all evaluation findings have been made available to the Commonwealth and South Australia by the end of this </w:t>
            </w:r>
            <w:r w:rsidR="00594378" w:rsidRPr="005E4A1B">
              <w:rPr>
                <w:rFonts w:asciiTheme="minorHAnsi" w:hAnsiTheme="minorHAnsi" w:cstheme="minorHAnsi"/>
                <w:b w:val="0"/>
                <w:bCs w:val="0"/>
              </w:rPr>
              <w:t>Schedule</w:t>
            </w:r>
            <w:r w:rsidRPr="005E4A1B">
              <w:rPr>
                <w:rFonts w:asciiTheme="minorHAnsi" w:hAnsiTheme="minorHAnsi" w:cstheme="minorHAnsi"/>
                <w:b w:val="0"/>
                <w:bCs w:val="0"/>
              </w:rPr>
              <w:t>.</w:t>
            </w:r>
          </w:p>
        </w:tc>
      </w:tr>
      <w:tr w:rsidR="00BE23F0" w:rsidRPr="005E4A1B" w14:paraId="57245C0A" w14:textId="77777777" w:rsidTr="6245677E">
        <w:trPr>
          <w:trHeight w:val="514"/>
        </w:trPr>
        <w:tc>
          <w:tcPr>
            <w:tcW w:w="2967" w:type="dxa"/>
            <w:tcBorders>
              <w:top w:val="single" w:sz="8" w:space="0" w:color="4F81BD"/>
              <w:left w:val="single" w:sz="8" w:space="0" w:color="4F81BD"/>
              <w:right w:val="single" w:sz="8" w:space="0" w:color="4F81BD"/>
            </w:tcBorders>
          </w:tcPr>
          <w:p w14:paraId="68737DE6" w14:textId="7A90DE72" w:rsidR="00574513" w:rsidRPr="005E4A1B" w:rsidRDefault="00574513" w:rsidP="00574513">
            <w:pPr>
              <w:pStyle w:val="Milestonetable"/>
              <w:rPr>
                <w:rFonts w:asciiTheme="minorHAnsi" w:hAnsiTheme="minorHAnsi" w:cstheme="minorHAnsi"/>
              </w:rPr>
            </w:pPr>
            <w:r w:rsidRPr="005E4A1B">
              <w:rPr>
                <w:rFonts w:asciiTheme="minorHAnsi" w:hAnsiTheme="minorHAnsi" w:cstheme="minorHAnsi"/>
              </w:rPr>
              <w:t>Distress Brief Support Trial</w:t>
            </w:r>
          </w:p>
        </w:tc>
        <w:tc>
          <w:tcPr>
            <w:tcW w:w="6804" w:type="dxa"/>
            <w:tcBorders>
              <w:top w:val="single" w:sz="8" w:space="0" w:color="4F81BD"/>
              <w:left w:val="single" w:sz="8" w:space="0" w:color="4F81BD"/>
              <w:bottom w:val="single" w:sz="8" w:space="0" w:color="4F81BD"/>
              <w:right w:val="single" w:sz="8" w:space="0" w:color="4F81BD"/>
            </w:tcBorders>
          </w:tcPr>
          <w:p w14:paraId="31B1CACE" w14:textId="77777777" w:rsidR="00574513" w:rsidRPr="005E4A1B" w:rsidRDefault="00574513"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Progress of implementation against jointly developed plan.</w:t>
            </w:r>
          </w:p>
          <w:p w14:paraId="0CBE0A0B" w14:textId="77777777" w:rsidR="00574513" w:rsidRPr="005E4A1B" w:rsidRDefault="00574513"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Assessment of initiative outcomes.</w:t>
            </w:r>
          </w:p>
          <w:p w14:paraId="71940D3A" w14:textId="77777777" w:rsidR="00574513" w:rsidRPr="005E4A1B" w:rsidRDefault="00574513"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Confirmation of total expenditure.</w:t>
            </w:r>
          </w:p>
          <w:p w14:paraId="57CC63FA" w14:textId="67F93C14" w:rsidR="00574513" w:rsidRPr="005E4A1B" w:rsidRDefault="00574513"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 xml:space="preserve">Progress against evaluation and all evaluation findings have been made available to the Commonwealth and South Australia by the end of this </w:t>
            </w:r>
            <w:r w:rsidR="00594378" w:rsidRPr="005E4A1B">
              <w:rPr>
                <w:rFonts w:asciiTheme="minorHAnsi" w:hAnsiTheme="minorHAnsi" w:cstheme="minorHAnsi"/>
                <w:b w:val="0"/>
                <w:bCs w:val="0"/>
              </w:rPr>
              <w:t>Schedule</w:t>
            </w:r>
            <w:r w:rsidRPr="005E4A1B">
              <w:rPr>
                <w:rFonts w:asciiTheme="minorHAnsi" w:hAnsiTheme="minorHAnsi" w:cstheme="minorHAnsi"/>
                <w:b w:val="0"/>
                <w:bCs w:val="0"/>
              </w:rPr>
              <w:t>.</w:t>
            </w:r>
          </w:p>
        </w:tc>
      </w:tr>
      <w:tr w:rsidR="00BE23F0" w:rsidRPr="005E4A1B" w14:paraId="557081C3" w14:textId="77777777" w:rsidTr="6245677E">
        <w:trPr>
          <w:trHeight w:val="514"/>
        </w:trPr>
        <w:tc>
          <w:tcPr>
            <w:tcW w:w="2967" w:type="dxa"/>
            <w:tcBorders>
              <w:top w:val="single" w:sz="8" w:space="0" w:color="4F81BD"/>
              <w:left w:val="single" w:sz="8" w:space="0" w:color="4F81BD"/>
              <w:right w:val="single" w:sz="8" w:space="0" w:color="4F81BD"/>
            </w:tcBorders>
          </w:tcPr>
          <w:p w14:paraId="28EBCCE4" w14:textId="77777777" w:rsidR="00574513" w:rsidRPr="005E4A1B" w:rsidRDefault="00574513" w:rsidP="00574513">
            <w:pPr>
              <w:pStyle w:val="Milestonetable"/>
              <w:rPr>
                <w:rFonts w:asciiTheme="minorHAnsi" w:hAnsiTheme="minorHAnsi" w:cstheme="minorHAnsi"/>
              </w:rPr>
            </w:pPr>
            <w:r w:rsidRPr="005E4A1B">
              <w:rPr>
                <w:rFonts w:asciiTheme="minorHAnsi" w:hAnsiTheme="minorHAnsi" w:cstheme="minorHAnsi"/>
              </w:rPr>
              <w:t>Postvention Support</w:t>
            </w:r>
          </w:p>
        </w:tc>
        <w:tc>
          <w:tcPr>
            <w:tcW w:w="6804" w:type="dxa"/>
            <w:tcBorders>
              <w:top w:val="single" w:sz="8" w:space="0" w:color="4F81BD"/>
              <w:left w:val="single" w:sz="8" w:space="0" w:color="4F81BD"/>
              <w:bottom w:val="single" w:sz="8" w:space="0" w:color="4F81BD"/>
              <w:right w:val="single" w:sz="8" w:space="0" w:color="4F81BD"/>
            </w:tcBorders>
          </w:tcPr>
          <w:p w14:paraId="792017D3" w14:textId="77777777" w:rsidR="00574513" w:rsidRPr="005E4A1B" w:rsidRDefault="00574513"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Progress of implementation against jointly developed plan.</w:t>
            </w:r>
          </w:p>
          <w:p w14:paraId="5F3EE10D" w14:textId="77777777" w:rsidR="00574513" w:rsidRPr="005E4A1B" w:rsidRDefault="00574513"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Assessment of initiative outcomes.</w:t>
            </w:r>
          </w:p>
          <w:p w14:paraId="0A4CA30A" w14:textId="77777777" w:rsidR="00574513" w:rsidRPr="005E4A1B" w:rsidRDefault="00574513"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Confirmation of total expenditure.</w:t>
            </w:r>
          </w:p>
          <w:p w14:paraId="39177F04" w14:textId="65447223" w:rsidR="00574513" w:rsidRPr="005E4A1B" w:rsidRDefault="00574513"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 xml:space="preserve">Progress against evaluation and all evaluation findings have been made available to the Commonwealth and South Australia by the end of this </w:t>
            </w:r>
            <w:r w:rsidR="00594378" w:rsidRPr="005E4A1B">
              <w:rPr>
                <w:rFonts w:asciiTheme="minorHAnsi" w:hAnsiTheme="minorHAnsi" w:cstheme="minorHAnsi"/>
                <w:b w:val="0"/>
                <w:bCs w:val="0"/>
              </w:rPr>
              <w:t>Schedule</w:t>
            </w:r>
            <w:r w:rsidRPr="005E4A1B">
              <w:rPr>
                <w:rFonts w:asciiTheme="minorHAnsi" w:hAnsiTheme="minorHAnsi" w:cstheme="minorHAnsi"/>
                <w:b w:val="0"/>
                <w:bCs w:val="0"/>
              </w:rPr>
              <w:t>.</w:t>
            </w:r>
          </w:p>
        </w:tc>
      </w:tr>
      <w:tr w:rsidR="00210EC9" w:rsidRPr="005E4A1B" w14:paraId="52EDEB82" w14:textId="77777777" w:rsidTr="6245677E">
        <w:trPr>
          <w:trHeight w:val="513"/>
        </w:trPr>
        <w:tc>
          <w:tcPr>
            <w:tcW w:w="2967" w:type="dxa"/>
            <w:tcBorders>
              <w:left w:val="single" w:sz="8" w:space="0" w:color="4F81BD"/>
              <w:right w:val="single" w:sz="8" w:space="0" w:color="4F81BD"/>
            </w:tcBorders>
          </w:tcPr>
          <w:p w14:paraId="582EF05A" w14:textId="77777777" w:rsidR="00210EC9" w:rsidRPr="005E4A1B" w:rsidRDefault="008F5BE2" w:rsidP="00210EC9">
            <w:pPr>
              <w:pStyle w:val="Milestonetable"/>
              <w:rPr>
                <w:rFonts w:asciiTheme="minorHAnsi" w:hAnsiTheme="minorHAnsi" w:cstheme="minorHAnsi"/>
              </w:rPr>
            </w:pPr>
            <w:r w:rsidRPr="005E4A1B">
              <w:rPr>
                <w:rFonts w:asciiTheme="minorHAnsi" w:hAnsiTheme="minorHAnsi" w:cstheme="minorHAnsi"/>
              </w:rPr>
              <w:t xml:space="preserve">Initial </w:t>
            </w:r>
            <w:r w:rsidR="00210EC9" w:rsidRPr="005E4A1B">
              <w:rPr>
                <w:rFonts w:asciiTheme="minorHAnsi" w:hAnsiTheme="minorHAnsi" w:cstheme="minorHAnsi"/>
              </w:rPr>
              <w:t>Assessment and Referral tool</w:t>
            </w:r>
          </w:p>
        </w:tc>
        <w:tc>
          <w:tcPr>
            <w:tcW w:w="6804" w:type="dxa"/>
            <w:tcBorders>
              <w:top w:val="single" w:sz="8" w:space="0" w:color="4F81BD"/>
              <w:left w:val="single" w:sz="8" w:space="0" w:color="4F81BD"/>
              <w:bottom w:val="single" w:sz="8" w:space="0" w:color="4F81BD"/>
              <w:right w:val="single" w:sz="8" w:space="0" w:color="4F81BD"/>
            </w:tcBorders>
          </w:tcPr>
          <w:p w14:paraId="1BC796B9" w14:textId="77777777" w:rsidR="00210EC9" w:rsidRPr="005E4A1B" w:rsidRDefault="00210EC9"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Report on any remaining State-funded services and clinical services that ha</w:t>
            </w:r>
            <w:r w:rsidR="00F65A45" w:rsidRPr="005E4A1B">
              <w:rPr>
                <w:rFonts w:asciiTheme="minorHAnsi" w:hAnsiTheme="minorHAnsi" w:cstheme="minorHAnsi"/>
                <w:b w:val="0"/>
                <w:bCs w:val="0"/>
              </w:rPr>
              <w:t>ve</w:t>
            </w:r>
            <w:r w:rsidRPr="005E4A1B">
              <w:rPr>
                <w:rFonts w:asciiTheme="minorHAnsi" w:hAnsiTheme="minorHAnsi" w:cstheme="minorHAnsi"/>
                <w:b w:val="0"/>
                <w:bCs w:val="0"/>
              </w:rPr>
              <w:t xml:space="preserve"> not adopted the Initial Assessment and Referral tool. </w:t>
            </w:r>
          </w:p>
        </w:tc>
      </w:tr>
      <w:tr w:rsidR="00210EC9" w:rsidRPr="005E4A1B" w14:paraId="6C4691A0" w14:textId="77777777" w:rsidTr="6245677E">
        <w:trPr>
          <w:trHeight w:val="513"/>
        </w:trPr>
        <w:tc>
          <w:tcPr>
            <w:tcW w:w="2967" w:type="dxa"/>
            <w:tcBorders>
              <w:left w:val="single" w:sz="8" w:space="0" w:color="4F81BD"/>
              <w:right w:val="single" w:sz="8" w:space="0" w:color="4F81BD"/>
            </w:tcBorders>
          </w:tcPr>
          <w:p w14:paraId="0C70ABD4" w14:textId="77777777" w:rsidR="00210EC9" w:rsidRPr="005E4A1B" w:rsidRDefault="00210EC9" w:rsidP="00210EC9">
            <w:pPr>
              <w:pStyle w:val="Milestonetable"/>
              <w:rPr>
                <w:rFonts w:asciiTheme="minorHAnsi" w:hAnsiTheme="minorHAnsi" w:cstheme="minorHAnsi"/>
              </w:rPr>
            </w:pPr>
            <w:r w:rsidRPr="005E4A1B">
              <w:rPr>
                <w:rFonts w:asciiTheme="minorHAnsi" w:hAnsiTheme="minorHAnsi" w:cstheme="minorHAnsi"/>
              </w:rPr>
              <w:t>Joint regional mental health and suicide prevention plan</w:t>
            </w:r>
          </w:p>
        </w:tc>
        <w:tc>
          <w:tcPr>
            <w:tcW w:w="6804" w:type="dxa"/>
            <w:tcBorders>
              <w:top w:val="single" w:sz="8" w:space="0" w:color="4F81BD"/>
              <w:left w:val="single" w:sz="8" w:space="0" w:color="4F81BD"/>
              <w:bottom w:val="single" w:sz="8" w:space="0" w:color="4F81BD"/>
              <w:right w:val="single" w:sz="8" w:space="0" w:color="4F81BD"/>
            </w:tcBorders>
          </w:tcPr>
          <w:p w14:paraId="597C9012" w14:textId="77777777" w:rsidR="00210EC9" w:rsidRPr="005E4A1B" w:rsidRDefault="00210EC9"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Ongoing collaboration, implementation and governance in line with comprehensive joint regional mental health and suicide prevention plan, with identified priorities and actions.</w:t>
            </w:r>
          </w:p>
          <w:p w14:paraId="1AAFFB40" w14:textId="77777777" w:rsidR="00210EC9" w:rsidRPr="005E4A1B" w:rsidRDefault="00210EC9" w:rsidP="00371518">
            <w:pPr>
              <w:pStyle w:val="Milestonetable"/>
              <w:numPr>
                <w:ilvl w:val="0"/>
                <w:numId w:val="7"/>
              </w:numPr>
              <w:ind w:left="463"/>
              <w:rPr>
                <w:rFonts w:asciiTheme="minorHAnsi" w:hAnsiTheme="minorHAnsi" w:cstheme="minorHAnsi"/>
                <w:b w:val="0"/>
                <w:bCs w:val="0"/>
              </w:rPr>
            </w:pPr>
            <w:r w:rsidRPr="005E4A1B">
              <w:rPr>
                <w:rFonts w:asciiTheme="minorHAnsi" w:hAnsiTheme="minorHAnsi" w:cstheme="minorHAnsi"/>
                <w:b w:val="0"/>
                <w:bCs w:val="0"/>
              </w:rPr>
              <w:t>Identified priorities and actions should inform further reform and planning processes.</w:t>
            </w:r>
          </w:p>
        </w:tc>
      </w:tr>
    </w:tbl>
    <w:p w14:paraId="6A4D9CFC" w14:textId="77777777" w:rsidR="0071647B" w:rsidRPr="005E4A1B" w:rsidRDefault="0071647B" w:rsidP="00EA74D0">
      <w:pPr>
        <w:rPr>
          <w:lang w:val="en-GB"/>
        </w:rPr>
      </w:pPr>
    </w:p>
    <w:p w14:paraId="3E8C651C" w14:textId="77777777" w:rsidR="00B12DCA" w:rsidRPr="005E4A1B" w:rsidRDefault="00B12DCA">
      <w:pPr>
        <w:widowControl/>
        <w:spacing w:after="160" w:line="259" w:lineRule="auto"/>
        <w:rPr>
          <w:lang w:val="en-GB"/>
        </w:rPr>
      </w:pPr>
      <w:r w:rsidRPr="005E4A1B">
        <w:rPr>
          <w:lang w:val="en-GB"/>
        </w:rPr>
        <w:br w:type="page"/>
      </w:r>
    </w:p>
    <w:p w14:paraId="2B0FBCCA" w14:textId="77777777" w:rsidR="00804A66" w:rsidRPr="005E4A1B" w:rsidRDefault="00804A66" w:rsidP="00804A66">
      <w:pPr>
        <w:rPr>
          <w:rFonts w:cstheme="minorHAnsi"/>
          <w:b/>
          <w:sz w:val="24"/>
          <w:szCs w:val="24"/>
        </w:rPr>
      </w:pPr>
      <w:r w:rsidRPr="005E4A1B">
        <w:rPr>
          <w:rFonts w:cstheme="minorHAnsi"/>
          <w:b/>
          <w:sz w:val="24"/>
          <w:szCs w:val="24"/>
        </w:rPr>
        <w:lastRenderedPageBreak/>
        <w:t xml:space="preserve">Table 6: Number of proposed sites for initiatives </w:t>
      </w:r>
    </w:p>
    <w:tbl>
      <w:tblPr>
        <w:tblW w:w="10349" w:type="dxa"/>
        <w:tblInd w:w="-289"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4A0" w:firstRow="1" w:lastRow="0" w:firstColumn="1" w:lastColumn="0" w:noHBand="0" w:noVBand="1"/>
      </w:tblPr>
      <w:tblGrid>
        <w:gridCol w:w="1980"/>
        <w:gridCol w:w="1559"/>
        <w:gridCol w:w="1276"/>
        <w:gridCol w:w="922"/>
        <w:gridCol w:w="922"/>
        <w:gridCol w:w="923"/>
        <w:gridCol w:w="922"/>
        <w:gridCol w:w="922"/>
        <w:gridCol w:w="923"/>
      </w:tblGrid>
      <w:tr w:rsidR="008E0D61" w:rsidRPr="005E4A1B" w14:paraId="2B935C10" w14:textId="77777777" w:rsidTr="005E4A1B">
        <w:trPr>
          <w:trHeight w:val="288"/>
        </w:trPr>
        <w:tc>
          <w:tcPr>
            <w:tcW w:w="1980" w:type="dxa"/>
            <w:vMerge w:val="restart"/>
            <w:noWrap/>
            <w:hideMark/>
          </w:tcPr>
          <w:p w14:paraId="15CA4E27" w14:textId="77777777" w:rsidR="008E0D61" w:rsidRPr="005E4A1B" w:rsidRDefault="008E0D61" w:rsidP="0030595E">
            <w:pPr>
              <w:spacing w:after="0"/>
              <w:rPr>
                <w:rFonts w:eastAsia="Times New Roman" w:cstheme="minorHAnsi"/>
                <w:b/>
                <w:bCs/>
                <w:color w:val="000000"/>
                <w:sz w:val="20"/>
                <w:u w:val="single"/>
                <w:lang w:val="en-AU" w:eastAsia="en-AU"/>
              </w:rPr>
            </w:pPr>
            <w:r w:rsidRPr="005E4A1B">
              <w:rPr>
                <w:rFonts w:eastAsia="Times New Roman" w:cstheme="minorHAnsi"/>
                <w:b/>
                <w:bCs/>
                <w:color w:val="000000"/>
                <w:sz w:val="20"/>
                <w:u w:val="single"/>
                <w:lang w:val="en-AU" w:eastAsia="en-AU"/>
              </w:rPr>
              <w:t>Initiative</w:t>
            </w:r>
          </w:p>
        </w:tc>
        <w:tc>
          <w:tcPr>
            <w:tcW w:w="1559" w:type="dxa"/>
            <w:vMerge w:val="restart"/>
          </w:tcPr>
          <w:p w14:paraId="0D24ED90" w14:textId="77777777" w:rsidR="008E0D61" w:rsidRPr="005E4A1B" w:rsidRDefault="008E0D61" w:rsidP="0030595E">
            <w:pPr>
              <w:widowControl/>
              <w:spacing w:after="0"/>
              <w:rPr>
                <w:rFonts w:eastAsia="Times New Roman" w:cstheme="minorHAnsi"/>
                <w:b/>
                <w:bCs/>
                <w:color w:val="000000"/>
                <w:sz w:val="20"/>
                <w:u w:val="single"/>
                <w:lang w:val="en-AU" w:eastAsia="en-AU"/>
              </w:rPr>
            </w:pPr>
            <w:r w:rsidRPr="005E4A1B">
              <w:rPr>
                <w:rFonts w:eastAsia="Times New Roman" w:cstheme="minorHAnsi"/>
                <w:b/>
                <w:bCs/>
                <w:color w:val="000000"/>
                <w:sz w:val="20"/>
                <w:u w:val="single"/>
                <w:lang w:val="en-AU" w:eastAsia="en-AU"/>
              </w:rPr>
              <w:t>Funding</w:t>
            </w:r>
          </w:p>
        </w:tc>
        <w:tc>
          <w:tcPr>
            <w:tcW w:w="1276" w:type="dxa"/>
            <w:vMerge w:val="restart"/>
            <w:noWrap/>
            <w:hideMark/>
          </w:tcPr>
          <w:p w14:paraId="5CBA540D" w14:textId="77777777" w:rsidR="008E0D61" w:rsidRPr="005E4A1B" w:rsidRDefault="008E0D61" w:rsidP="0030595E">
            <w:pPr>
              <w:widowControl/>
              <w:spacing w:after="0"/>
              <w:rPr>
                <w:rFonts w:eastAsia="Times New Roman" w:cstheme="minorHAnsi"/>
                <w:b/>
                <w:bCs/>
                <w:color w:val="000000"/>
                <w:sz w:val="20"/>
                <w:u w:val="single"/>
                <w:lang w:val="en-AU" w:eastAsia="en-AU"/>
              </w:rPr>
            </w:pPr>
          </w:p>
        </w:tc>
        <w:tc>
          <w:tcPr>
            <w:tcW w:w="5534" w:type="dxa"/>
            <w:gridSpan w:val="6"/>
            <w:noWrap/>
          </w:tcPr>
          <w:p w14:paraId="73374D0A" w14:textId="77777777" w:rsidR="008E0D61" w:rsidRPr="005E4A1B" w:rsidRDefault="008E0D61" w:rsidP="0030595E">
            <w:pPr>
              <w:widowControl/>
              <w:spacing w:after="0"/>
              <w:rPr>
                <w:rFonts w:eastAsia="Times New Roman" w:cstheme="minorHAnsi"/>
                <w:b/>
                <w:bCs/>
                <w:color w:val="000000"/>
                <w:sz w:val="20"/>
                <w:u w:val="single"/>
                <w:lang w:val="en-AU" w:eastAsia="en-AU"/>
              </w:rPr>
            </w:pPr>
            <w:r w:rsidRPr="005E4A1B">
              <w:rPr>
                <w:rFonts w:eastAsia="Times New Roman" w:cstheme="minorHAnsi"/>
                <w:b/>
                <w:bCs/>
                <w:color w:val="000000"/>
                <w:sz w:val="20"/>
                <w:u w:val="single"/>
                <w:lang w:val="en-AU" w:eastAsia="en-AU"/>
              </w:rPr>
              <w:t>Number of sites</w:t>
            </w:r>
          </w:p>
        </w:tc>
      </w:tr>
      <w:tr w:rsidR="008E0D61" w:rsidRPr="005E4A1B" w14:paraId="3A9B8D02" w14:textId="77777777" w:rsidTr="005E4A1B">
        <w:trPr>
          <w:trHeight w:val="288"/>
        </w:trPr>
        <w:tc>
          <w:tcPr>
            <w:tcW w:w="1980" w:type="dxa"/>
            <w:vMerge/>
            <w:noWrap/>
          </w:tcPr>
          <w:p w14:paraId="4F3FAD26" w14:textId="77777777" w:rsidR="008E0D61" w:rsidRPr="005E4A1B" w:rsidRDefault="008E0D61" w:rsidP="0030595E">
            <w:pPr>
              <w:widowControl/>
              <w:spacing w:after="0"/>
              <w:rPr>
                <w:rFonts w:eastAsia="Times New Roman" w:cstheme="minorHAnsi"/>
                <w:b/>
                <w:bCs/>
                <w:color w:val="000000"/>
                <w:sz w:val="20"/>
                <w:u w:val="single"/>
                <w:lang w:val="en-AU" w:eastAsia="en-AU"/>
              </w:rPr>
            </w:pPr>
          </w:p>
        </w:tc>
        <w:tc>
          <w:tcPr>
            <w:tcW w:w="1559" w:type="dxa"/>
            <w:vMerge/>
          </w:tcPr>
          <w:p w14:paraId="58E274C1" w14:textId="77777777" w:rsidR="008E0D61" w:rsidRPr="005E4A1B" w:rsidRDefault="008E0D61" w:rsidP="0030595E">
            <w:pPr>
              <w:widowControl/>
              <w:spacing w:after="0"/>
              <w:rPr>
                <w:rFonts w:eastAsia="Times New Roman" w:cstheme="minorHAnsi"/>
                <w:b/>
                <w:bCs/>
                <w:color w:val="000000"/>
                <w:sz w:val="20"/>
                <w:u w:val="single"/>
                <w:lang w:val="en-AU" w:eastAsia="en-AU"/>
              </w:rPr>
            </w:pPr>
          </w:p>
        </w:tc>
        <w:tc>
          <w:tcPr>
            <w:tcW w:w="1276" w:type="dxa"/>
            <w:vMerge/>
            <w:noWrap/>
          </w:tcPr>
          <w:p w14:paraId="02A5E3D0" w14:textId="77777777" w:rsidR="008E0D61" w:rsidRPr="005E4A1B" w:rsidRDefault="008E0D61" w:rsidP="0030595E">
            <w:pPr>
              <w:widowControl/>
              <w:spacing w:after="0"/>
              <w:rPr>
                <w:rFonts w:eastAsia="Times New Roman" w:cstheme="minorHAnsi"/>
                <w:b/>
                <w:bCs/>
                <w:color w:val="000000"/>
                <w:sz w:val="20"/>
                <w:u w:val="single"/>
                <w:lang w:val="en-AU" w:eastAsia="en-AU"/>
              </w:rPr>
            </w:pPr>
          </w:p>
        </w:tc>
        <w:tc>
          <w:tcPr>
            <w:tcW w:w="922" w:type="dxa"/>
            <w:noWrap/>
          </w:tcPr>
          <w:p w14:paraId="312151EB" w14:textId="77777777" w:rsidR="008E0D61" w:rsidRPr="005E4A1B" w:rsidRDefault="008E0D61" w:rsidP="0030595E">
            <w:pPr>
              <w:widowControl/>
              <w:spacing w:after="0"/>
              <w:rPr>
                <w:rFonts w:eastAsia="Times New Roman" w:cstheme="minorHAnsi"/>
                <w:b/>
                <w:bCs/>
                <w:color w:val="000000"/>
                <w:sz w:val="20"/>
                <w:u w:val="single"/>
                <w:lang w:val="en-AU" w:eastAsia="en-AU"/>
              </w:rPr>
            </w:pPr>
            <w:r w:rsidRPr="005E4A1B">
              <w:rPr>
                <w:rFonts w:eastAsia="Times New Roman" w:cstheme="minorHAnsi"/>
                <w:b/>
                <w:bCs/>
                <w:color w:val="000000"/>
                <w:sz w:val="20"/>
                <w:u w:val="single"/>
                <w:lang w:val="en-AU" w:eastAsia="en-AU"/>
              </w:rPr>
              <w:t>2021-22</w:t>
            </w:r>
          </w:p>
        </w:tc>
        <w:tc>
          <w:tcPr>
            <w:tcW w:w="922" w:type="dxa"/>
            <w:noWrap/>
          </w:tcPr>
          <w:p w14:paraId="6650766B" w14:textId="77777777" w:rsidR="008E0D61" w:rsidRPr="005E4A1B" w:rsidRDefault="008E0D61" w:rsidP="0030595E">
            <w:pPr>
              <w:widowControl/>
              <w:spacing w:after="0"/>
              <w:rPr>
                <w:rFonts w:eastAsia="Times New Roman" w:cstheme="minorHAnsi"/>
                <w:b/>
                <w:bCs/>
                <w:color w:val="000000"/>
                <w:sz w:val="20"/>
                <w:u w:val="single"/>
                <w:lang w:val="en-AU" w:eastAsia="en-AU"/>
              </w:rPr>
            </w:pPr>
            <w:r w:rsidRPr="005E4A1B">
              <w:rPr>
                <w:rFonts w:eastAsia="Times New Roman" w:cstheme="minorHAnsi"/>
                <w:b/>
                <w:bCs/>
                <w:color w:val="000000"/>
                <w:sz w:val="20"/>
                <w:u w:val="single"/>
                <w:lang w:val="en-AU" w:eastAsia="en-AU"/>
              </w:rPr>
              <w:t>2022-23</w:t>
            </w:r>
          </w:p>
        </w:tc>
        <w:tc>
          <w:tcPr>
            <w:tcW w:w="923" w:type="dxa"/>
            <w:noWrap/>
          </w:tcPr>
          <w:p w14:paraId="37DBD3BE" w14:textId="77777777" w:rsidR="008E0D61" w:rsidRPr="005E4A1B" w:rsidRDefault="008E0D61" w:rsidP="0030595E">
            <w:pPr>
              <w:widowControl/>
              <w:spacing w:after="0"/>
              <w:rPr>
                <w:rFonts w:eastAsia="Times New Roman" w:cstheme="minorHAnsi"/>
                <w:b/>
                <w:bCs/>
                <w:color w:val="000000"/>
                <w:sz w:val="20"/>
                <w:u w:val="single"/>
                <w:lang w:val="en-AU" w:eastAsia="en-AU"/>
              </w:rPr>
            </w:pPr>
            <w:r w:rsidRPr="005E4A1B">
              <w:rPr>
                <w:rFonts w:eastAsia="Times New Roman" w:cstheme="minorHAnsi"/>
                <w:b/>
                <w:bCs/>
                <w:color w:val="000000"/>
                <w:sz w:val="20"/>
                <w:u w:val="single"/>
                <w:lang w:val="en-AU" w:eastAsia="en-AU"/>
              </w:rPr>
              <w:t>2023-24</w:t>
            </w:r>
          </w:p>
        </w:tc>
        <w:tc>
          <w:tcPr>
            <w:tcW w:w="922" w:type="dxa"/>
            <w:noWrap/>
          </w:tcPr>
          <w:p w14:paraId="0756F6F2" w14:textId="77777777" w:rsidR="008E0D61" w:rsidRPr="005E4A1B" w:rsidRDefault="008E0D61" w:rsidP="0030595E">
            <w:pPr>
              <w:widowControl/>
              <w:spacing w:after="0"/>
              <w:rPr>
                <w:rFonts w:eastAsia="Times New Roman" w:cstheme="minorHAnsi"/>
                <w:b/>
                <w:bCs/>
                <w:color w:val="000000"/>
                <w:sz w:val="20"/>
                <w:u w:val="single"/>
                <w:lang w:val="en-AU" w:eastAsia="en-AU"/>
              </w:rPr>
            </w:pPr>
            <w:r w:rsidRPr="005E4A1B">
              <w:rPr>
                <w:rFonts w:eastAsia="Times New Roman" w:cstheme="minorHAnsi"/>
                <w:b/>
                <w:bCs/>
                <w:color w:val="000000"/>
                <w:sz w:val="20"/>
                <w:u w:val="single"/>
                <w:lang w:val="en-AU" w:eastAsia="en-AU"/>
              </w:rPr>
              <w:t>2024-25</w:t>
            </w:r>
          </w:p>
        </w:tc>
        <w:tc>
          <w:tcPr>
            <w:tcW w:w="922" w:type="dxa"/>
            <w:noWrap/>
          </w:tcPr>
          <w:p w14:paraId="2E4C4A01" w14:textId="77777777" w:rsidR="008E0D61" w:rsidRPr="005E4A1B" w:rsidRDefault="008E0D61" w:rsidP="0030595E">
            <w:pPr>
              <w:widowControl/>
              <w:spacing w:after="0"/>
              <w:rPr>
                <w:rFonts w:eastAsia="Times New Roman" w:cstheme="minorHAnsi"/>
                <w:b/>
                <w:bCs/>
                <w:color w:val="000000"/>
                <w:sz w:val="20"/>
                <w:u w:val="single"/>
                <w:lang w:val="en-AU" w:eastAsia="en-AU"/>
              </w:rPr>
            </w:pPr>
            <w:r w:rsidRPr="005E4A1B">
              <w:rPr>
                <w:rFonts w:eastAsia="Times New Roman" w:cstheme="minorHAnsi"/>
                <w:b/>
                <w:bCs/>
                <w:color w:val="000000"/>
                <w:sz w:val="20"/>
                <w:u w:val="single"/>
                <w:lang w:val="en-AU" w:eastAsia="en-AU"/>
              </w:rPr>
              <w:t>2025-26</w:t>
            </w:r>
          </w:p>
        </w:tc>
        <w:tc>
          <w:tcPr>
            <w:tcW w:w="923" w:type="dxa"/>
            <w:noWrap/>
          </w:tcPr>
          <w:p w14:paraId="3FBFC2A8" w14:textId="77777777" w:rsidR="008E0D61" w:rsidRPr="005E4A1B" w:rsidRDefault="008E0D61" w:rsidP="0030595E">
            <w:pPr>
              <w:widowControl/>
              <w:spacing w:after="0"/>
              <w:rPr>
                <w:rFonts w:eastAsia="Times New Roman" w:cstheme="minorHAnsi"/>
                <w:b/>
                <w:bCs/>
                <w:color w:val="000000"/>
                <w:sz w:val="20"/>
                <w:u w:val="single"/>
                <w:lang w:val="en-AU" w:eastAsia="en-AU"/>
              </w:rPr>
            </w:pPr>
            <w:r w:rsidRPr="005E4A1B">
              <w:rPr>
                <w:rFonts w:eastAsia="Times New Roman" w:cstheme="minorHAnsi"/>
                <w:b/>
                <w:bCs/>
                <w:color w:val="000000"/>
                <w:sz w:val="20"/>
                <w:u w:val="single"/>
                <w:lang w:val="en-AU" w:eastAsia="en-AU"/>
              </w:rPr>
              <w:t xml:space="preserve">Total </w:t>
            </w:r>
          </w:p>
        </w:tc>
      </w:tr>
      <w:tr w:rsidR="008E0D61" w:rsidRPr="005E4A1B" w14:paraId="03C99361" w14:textId="77777777" w:rsidTr="005E4A1B">
        <w:trPr>
          <w:trHeight w:val="369"/>
        </w:trPr>
        <w:tc>
          <w:tcPr>
            <w:tcW w:w="1980" w:type="dxa"/>
            <w:vMerge w:val="restart"/>
            <w:hideMark/>
          </w:tcPr>
          <w:p w14:paraId="59289919" w14:textId="3D841710" w:rsidR="6245677E" w:rsidRPr="005E4A1B" w:rsidRDefault="6245677E" w:rsidP="005E4A1B">
            <w:pPr>
              <w:spacing w:after="0"/>
              <w:rPr>
                <w:rFonts w:ascii="Calibri" w:eastAsia="Calibri" w:hAnsi="Calibri" w:cs="Calibri"/>
                <w:b/>
                <w:bCs/>
                <w:color w:val="000000" w:themeColor="text1"/>
                <w:sz w:val="20"/>
              </w:rPr>
            </w:pPr>
            <w:r w:rsidRPr="005E4A1B">
              <w:rPr>
                <w:rFonts w:ascii="Calibri" w:eastAsia="Calibri" w:hAnsi="Calibri" w:cs="Calibri"/>
                <w:b/>
                <w:bCs/>
                <w:color w:val="000000" w:themeColor="text1"/>
                <w:sz w:val="20"/>
              </w:rPr>
              <w:t xml:space="preserve">Medicare Mental Health </w:t>
            </w:r>
            <w:r w:rsidRPr="005E4A1B">
              <w:br/>
            </w:r>
            <w:r w:rsidRPr="005E4A1B">
              <w:rPr>
                <w:rFonts w:ascii="Calibri" w:eastAsia="Calibri" w:hAnsi="Calibri" w:cs="Calibri"/>
                <w:b/>
                <w:bCs/>
                <w:color w:val="000000" w:themeColor="text1"/>
                <w:sz w:val="20"/>
              </w:rPr>
              <w:t>Centres</w:t>
            </w:r>
          </w:p>
        </w:tc>
        <w:tc>
          <w:tcPr>
            <w:tcW w:w="1559" w:type="dxa"/>
            <w:vMerge w:val="restart"/>
          </w:tcPr>
          <w:p w14:paraId="2433FD59" w14:textId="3D8B84A7" w:rsidR="6245677E" w:rsidRPr="005E4A1B" w:rsidRDefault="6245677E" w:rsidP="005E4A1B">
            <w:pPr>
              <w:spacing w:after="0"/>
              <w:rPr>
                <w:rFonts w:ascii="Calibri" w:eastAsia="Calibri" w:hAnsi="Calibri" w:cs="Calibri"/>
                <w:color w:val="000000" w:themeColor="text1"/>
                <w:sz w:val="20"/>
              </w:rPr>
            </w:pPr>
            <w:r w:rsidRPr="005E4A1B">
              <w:rPr>
                <w:rFonts w:ascii="Calibri" w:eastAsia="Calibri" w:hAnsi="Calibri" w:cs="Calibri"/>
                <w:color w:val="000000" w:themeColor="text1"/>
                <w:sz w:val="20"/>
              </w:rPr>
              <w:t>Full centres, Co-located, enhanced</w:t>
            </w:r>
          </w:p>
        </w:tc>
        <w:tc>
          <w:tcPr>
            <w:tcW w:w="1276" w:type="dxa"/>
            <w:noWrap/>
            <w:hideMark/>
          </w:tcPr>
          <w:p w14:paraId="55469DD5" w14:textId="5B6B5964" w:rsidR="6245677E" w:rsidRPr="005E4A1B" w:rsidRDefault="6245677E" w:rsidP="005E4A1B">
            <w:pPr>
              <w:spacing w:after="0"/>
              <w:rPr>
                <w:rFonts w:ascii="Calibri" w:eastAsia="Calibri" w:hAnsi="Calibri" w:cs="Calibri"/>
                <w:color w:val="000000" w:themeColor="text1"/>
                <w:sz w:val="20"/>
              </w:rPr>
            </w:pPr>
            <w:r w:rsidRPr="005E4A1B">
              <w:rPr>
                <w:rFonts w:ascii="Calibri" w:eastAsia="Calibri" w:hAnsi="Calibri" w:cs="Calibri"/>
                <w:color w:val="000000" w:themeColor="text1"/>
                <w:sz w:val="20"/>
              </w:rPr>
              <w:t xml:space="preserve">Established </w:t>
            </w:r>
          </w:p>
        </w:tc>
        <w:tc>
          <w:tcPr>
            <w:tcW w:w="922" w:type="dxa"/>
            <w:noWrap/>
          </w:tcPr>
          <w:p w14:paraId="7D9DD652" w14:textId="32DBFAE1" w:rsidR="6245677E" w:rsidRPr="005E4A1B" w:rsidRDefault="6245677E" w:rsidP="005E4A1B">
            <w:pPr>
              <w:spacing w:after="0"/>
              <w:jc w:val="center"/>
              <w:rPr>
                <w:rFonts w:ascii="Calibri" w:eastAsia="Calibri" w:hAnsi="Calibri" w:cs="Calibri"/>
                <w:color w:val="000000" w:themeColor="text1"/>
                <w:sz w:val="20"/>
              </w:rPr>
            </w:pPr>
            <w:r w:rsidRPr="005E4A1B">
              <w:rPr>
                <w:rFonts w:ascii="Calibri" w:eastAsia="Calibri" w:hAnsi="Calibri" w:cs="Calibri"/>
                <w:color w:val="000000" w:themeColor="text1"/>
                <w:sz w:val="20"/>
              </w:rPr>
              <w:t>0</w:t>
            </w:r>
          </w:p>
        </w:tc>
        <w:tc>
          <w:tcPr>
            <w:tcW w:w="922" w:type="dxa"/>
            <w:noWrap/>
          </w:tcPr>
          <w:p w14:paraId="19C44B2D" w14:textId="058A7895" w:rsidR="6245677E" w:rsidRPr="005E4A1B" w:rsidRDefault="6245677E" w:rsidP="005E4A1B">
            <w:pPr>
              <w:spacing w:after="0"/>
              <w:jc w:val="center"/>
              <w:rPr>
                <w:rFonts w:ascii="Calibri" w:eastAsia="Calibri" w:hAnsi="Calibri" w:cs="Calibri"/>
                <w:color w:val="000000" w:themeColor="text1"/>
                <w:sz w:val="20"/>
              </w:rPr>
            </w:pPr>
            <w:r w:rsidRPr="005E4A1B">
              <w:rPr>
                <w:rFonts w:ascii="Calibri" w:eastAsia="Calibri" w:hAnsi="Calibri" w:cs="Calibri"/>
                <w:color w:val="000000" w:themeColor="text1"/>
                <w:sz w:val="20"/>
              </w:rPr>
              <w:t>2</w:t>
            </w:r>
          </w:p>
        </w:tc>
        <w:tc>
          <w:tcPr>
            <w:tcW w:w="923" w:type="dxa"/>
            <w:noWrap/>
          </w:tcPr>
          <w:p w14:paraId="584D6C89" w14:textId="635533EF" w:rsidR="6245677E" w:rsidRPr="005E4A1B" w:rsidRDefault="6245677E" w:rsidP="005E4A1B">
            <w:pPr>
              <w:spacing w:after="0"/>
              <w:jc w:val="center"/>
              <w:rPr>
                <w:rFonts w:ascii="Calibri" w:eastAsia="Calibri" w:hAnsi="Calibri" w:cs="Calibri"/>
                <w:color w:val="000000" w:themeColor="text1"/>
                <w:sz w:val="20"/>
              </w:rPr>
            </w:pPr>
            <w:r w:rsidRPr="005E4A1B">
              <w:rPr>
                <w:rFonts w:ascii="Calibri" w:eastAsia="Calibri" w:hAnsi="Calibri" w:cs="Calibri"/>
                <w:color w:val="000000" w:themeColor="text1"/>
                <w:sz w:val="20"/>
              </w:rPr>
              <w:t>0</w:t>
            </w:r>
          </w:p>
        </w:tc>
        <w:tc>
          <w:tcPr>
            <w:tcW w:w="922" w:type="dxa"/>
            <w:noWrap/>
          </w:tcPr>
          <w:p w14:paraId="31C17EDA" w14:textId="518F71A9" w:rsidR="6245677E" w:rsidRPr="005E4A1B" w:rsidRDefault="6245677E" w:rsidP="005E4A1B">
            <w:pPr>
              <w:spacing w:after="0"/>
              <w:jc w:val="center"/>
              <w:rPr>
                <w:rFonts w:ascii="Calibri" w:eastAsia="Calibri" w:hAnsi="Calibri" w:cs="Calibri"/>
                <w:color w:val="000000" w:themeColor="text1"/>
                <w:sz w:val="20"/>
              </w:rPr>
            </w:pPr>
            <w:r w:rsidRPr="005E4A1B">
              <w:rPr>
                <w:rFonts w:ascii="Calibri" w:eastAsia="Calibri" w:hAnsi="Calibri" w:cs="Calibri"/>
                <w:color w:val="000000" w:themeColor="text1"/>
                <w:sz w:val="20"/>
              </w:rPr>
              <w:t>0</w:t>
            </w:r>
          </w:p>
        </w:tc>
        <w:tc>
          <w:tcPr>
            <w:tcW w:w="922" w:type="dxa"/>
            <w:noWrap/>
          </w:tcPr>
          <w:p w14:paraId="2FDF3A02" w14:textId="62C24C30" w:rsidR="6245677E" w:rsidRPr="005E4A1B" w:rsidRDefault="6245677E" w:rsidP="005E4A1B">
            <w:pPr>
              <w:spacing w:after="0"/>
              <w:jc w:val="center"/>
              <w:rPr>
                <w:rFonts w:ascii="Calibri" w:eastAsia="Calibri" w:hAnsi="Calibri" w:cs="Calibri"/>
                <w:color w:val="000000" w:themeColor="text1"/>
                <w:sz w:val="20"/>
              </w:rPr>
            </w:pPr>
            <w:r w:rsidRPr="005E4A1B">
              <w:rPr>
                <w:rFonts w:ascii="Calibri" w:eastAsia="Calibri" w:hAnsi="Calibri" w:cs="Calibri"/>
                <w:color w:val="000000" w:themeColor="text1"/>
                <w:sz w:val="20"/>
              </w:rPr>
              <w:t>0</w:t>
            </w:r>
          </w:p>
        </w:tc>
        <w:tc>
          <w:tcPr>
            <w:tcW w:w="923" w:type="dxa"/>
            <w:noWrap/>
          </w:tcPr>
          <w:p w14:paraId="1A8619B3" w14:textId="7EFE1767" w:rsidR="6245677E" w:rsidRPr="005E4A1B" w:rsidRDefault="6245677E" w:rsidP="005E4A1B">
            <w:pPr>
              <w:spacing w:after="0"/>
              <w:jc w:val="center"/>
              <w:rPr>
                <w:rFonts w:ascii="Calibri" w:eastAsia="Calibri" w:hAnsi="Calibri" w:cs="Calibri"/>
                <w:color w:val="000000" w:themeColor="text1"/>
                <w:sz w:val="20"/>
              </w:rPr>
            </w:pPr>
            <w:r w:rsidRPr="005E4A1B">
              <w:rPr>
                <w:rFonts w:ascii="Calibri" w:eastAsia="Calibri" w:hAnsi="Calibri" w:cs="Calibri"/>
                <w:color w:val="000000" w:themeColor="text1"/>
                <w:sz w:val="20"/>
              </w:rPr>
              <w:t>0</w:t>
            </w:r>
          </w:p>
        </w:tc>
      </w:tr>
      <w:tr w:rsidR="008E0D61" w:rsidRPr="005E4A1B" w14:paraId="00D87A42" w14:textId="77777777" w:rsidTr="005E4A1B">
        <w:trPr>
          <w:trHeight w:val="288"/>
        </w:trPr>
        <w:tc>
          <w:tcPr>
            <w:tcW w:w="1980" w:type="dxa"/>
            <w:vMerge/>
            <w:hideMark/>
          </w:tcPr>
          <w:p w14:paraId="672798C6" w14:textId="77777777" w:rsidR="008E0D61" w:rsidRPr="005E4A1B" w:rsidRDefault="008E0D61" w:rsidP="0030595E">
            <w:pPr>
              <w:widowControl/>
              <w:spacing w:after="0"/>
              <w:rPr>
                <w:rFonts w:eastAsia="Times New Roman" w:cstheme="minorHAnsi"/>
                <w:b/>
                <w:bCs/>
                <w:color w:val="000000"/>
                <w:sz w:val="20"/>
                <w:lang w:val="en-AU" w:eastAsia="en-AU"/>
              </w:rPr>
            </w:pPr>
          </w:p>
        </w:tc>
        <w:tc>
          <w:tcPr>
            <w:tcW w:w="1559" w:type="dxa"/>
            <w:vMerge/>
          </w:tcPr>
          <w:p w14:paraId="751CC808" w14:textId="77777777" w:rsidR="008E0D61" w:rsidRPr="005E4A1B" w:rsidRDefault="008E0D61" w:rsidP="0030595E">
            <w:pPr>
              <w:widowControl/>
              <w:spacing w:after="0"/>
              <w:rPr>
                <w:rFonts w:eastAsia="Times New Roman" w:cstheme="minorHAnsi"/>
                <w:color w:val="000000"/>
                <w:sz w:val="20"/>
                <w:lang w:val="en-AU" w:eastAsia="en-AU"/>
              </w:rPr>
            </w:pPr>
          </w:p>
        </w:tc>
        <w:tc>
          <w:tcPr>
            <w:tcW w:w="1276" w:type="dxa"/>
            <w:noWrap/>
            <w:hideMark/>
          </w:tcPr>
          <w:p w14:paraId="5ECA81B7" w14:textId="41C0D729" w:rsidR="6245677E" w:rsidRPr="005E4A1B" w:rsidRDefault="6245677E" w:rsidP="005E4A1B">
            <w:pPr>
              <w:spacing w:after="0"/>
              <w:rPr>
                <w:rFonts w:ascii="Calibri" w:eastAsia="Calibri" w:hAnsi="Calibri" w:cs="Calibri"/>
                <w:color w:val="000000" w:themeColor="text1"/>
                <w:sz w:val="20"/>
              </w:rPr>
            </w:pPr>
            <w:r w:rsidRPr="005E4A1B">
              <w:rPr>
                <w:rFonts w:ascii="Calibri" w:eastAsia="Calibri" w:hAnsi="Calibri" w:cs="Calibri"/>
                <w:color w:val="000000" w:themeColor="text1"/>
                <w:sz w:val="20"/>
              </w:rPr>
              <w:t xml:space="preserve">Operational </w:t>
            </w:r>
          </w:p>
        </w:tc>
        <w:tc>
          <w:tcPr>
            <w:tcW w:w="922" w:type="dxa"/>
            <w:noWrap/>
          </w:tcPr>
          <w:p w14:paraId="0261F89A" w14:textId="1FE1667E" w:rsidR="6245677E" w:rsidRPr="005E4A1B" w:rsidRDefault="6245677E" w:rsidP="005E4A1B">
            <w:pPr>
              <w:spacing w:after="0"/>
              <w:jc w:val="center"/>
              <w:rPr>
                <w:rFonts w:ascii="Calibri" w:eastAsia="Calibri" w:hAnsi="Calibri" w:cs="Calibri"/>
                <w:color w:val="000000" w:themeColor="text1"/>
                <w:sz w:val="20"/>
              </w:rPr>
            </w:pPr>
            <w:r w:rsidRPr="005E4A1B">
              <w:rPr>
                <w:rFonts w:ascii="Calibri" w:eastAsia="Calibri" w:hAnsi="Calibri" w:cs="Calibri"/>
                <w:color w:val="000000" w:themeColor="text1"/>
                <w:sz w:val="20"/>
              </w:rPr>
              <w:t>1^</w:t>
            </w:r>
          </w:p>
        </w:tc>
        <w:tc>
          <w:tcPr>
            <w:tcW w:w="922" w:type="dxa"/>
            <w:noWrap/>
          </w:tcPr>
          <w:p w14:paraId="7D0FD772" w14:textId="32294376" w:rsidR="6245677E" w:rsidRPr="005E4A1B" w:rsidRDefault="6245677E" w:rsidP="005E4A1B">
            <w:pPr>
              <w:spacing w:after="0"/>
              <w:jc w:val="center"/>
              <w:rPr>
                <w:rFonts w:ascii="Calibri" w:eastAsia="Calibri" w:hAnsi="Calibri" w:cs="Calibri"/>
                <w:color w:val="000000" w:themeColor="text1"/>
                <w:sz w:val="20"/>
              </w:rPr>
            </w:pPr>
            <w:r w:rsidRPr="005E4A1B">
              <w:rPr>
                <w:rFonts w:ascii="Calibri" w:eastAsia="Calibri" w:hAnsi="Calibri" w:cs="Calibri"/>
                <w:color w:val="000000" w:themeColor="text1"/>
                <w:sz w:val="20"/>
              </w:rPr>
              <w:t>1</w:t>
            </w:r>
          </w:p>
        </w:tc>
        <w:tc>
          <w:tcPr>
            <w:tcW w:w="923" w:type="dxa"/>
            <w:noWrap/>
          </w:tcPr>
          <w:p w14:paraId="331AC53A" w14:textId="5A3AF8E4" w:rsidR="6245677E" w:rsidRPr="005E4A1B" w:rsidRDefault="6245677E" w:rsidP="005E4A1B">
            <w:pPr>
              <w:spacing w:after="0"/>
              <w:jc w:val="center"/>
              <w:rPr>
                <w:rFonts w:ascii="Calibri" w:eastAsia="Calibri" w:hAnsi="Calibri" w:cs="Calibri"/>
                <w:color w:val="000000" w:themeColor="text1"/>
                <w:sz w:val="20"/>
              </w:rPr>
            </w:pPr>
            <w:r w:rsidRPr="005E4A1B">
              <w:rPr>
                <w:rFonts w:ascii="Calibri" w:eastAsia="Calibri" w:hAnsi="Calibri" w:cs="Calibri"/>
                <w:color w:val="000000" w:themeColor="text1"/>
                <w:sz w:val="20"/>
              </w:rPr>
              <w:t>3</w:t>
            </w:r>
          </w:p>
        </w:tc>
        <w:tc>
          <w:tcPr>
            <w:tcW w:w="922" w:type="dxa"/>
            <w:noWrap/>
          </w:tcPr>
          <w:p w14:paraId="7174D478" w14:textId="7FBAF4A4" w:rsidR="6245677E" w:rsidRPr="005E4A1B" w:rsidRDefault="6245677E" w:rsidP="005E4A1B">
            <w:pPr>
              <w:spacing w:after="0"/>
              <w:jc w:val="center"/>
              <w:rPr>
                <w:rFonts w:ascii="Calibri" w:eastAsia="Calibri" w:hAnsi="Calibri" w:cs="Calibri"/>
                <w:color w:val="000000" w:themeColor="text1"/>
                <w:sz w:val="20"/>
              </w:rPr>
            </w:pPr>
            <w:r w:rsidRPr="005E4A1B">
              <w:rPr>
                <w:rFonts w:ascii="Calibri" w:eastAsia="Calibri" w:hAnsi="Calibri" w:cs="Calibri"/>
                <w:color w:val="000000" w:themeColor="text1"/>
                <w:sz w:val="20"/>
              </w:rPr>
              <w:t>3</w:t>
            </w:r>
          </w:p>
        </w:tc>
        <w:tc>
          <w:tcPr>
            <w:tcW w:w="922" w:type="dxa"/>
            <w:noWrap/>
          </w:tcPr>
          <w:p w14:paraId="51CB8D9A" w14:textId="114A4C08" w:rsidR="6245677E" w:rsidRPr="005E4A1B" w:rsidRDefault="6245677E" w:rsidP="005E4A1B">
            <w:pPr>
              <w:spacing w:after="0"/>
              <w:jc w:val="center"/>
              <w:rPr>
                <w:rFonts w:ascii="Calibri" w:eastAsia="Calibri" w:hAnsi="Calibri" w:cs="Calibri"/>
                <w:color w:val="000000" w:themeColor="text1"/>
                <w:sz w:val="20"/>
              </w:rPr>
            </w:pPr>
            <w:r w:rsidRPr="005E4A1B">
              <w:rPr>
                <w:rFonts w:ascii="Calibri" w:eastAsia="Calibri" w:hAnsi="Calibri" w:cs="Calibri"/>
                <w:color w:val="000000" w:themeColor="text1"/>
                <w:sz w:val="20"/>
              </w:rPr>
              <w:t>3</w:t>
            </w:r>
          </w:p>
        </w:tc>
        <w:tc>
          <w:tcPr>
            <w:tcW w:w="923" w:type="dxa"/>
            <w:noWrap/>
          </w:tcPr>
          <w:p w14:paraId="210753E5" w14:textId="5E367368" w:rsidR="6245677E" w:rsidRPr="005E4A1B" w:rsidRDefault="6245677E" w:rsidP="005E4A1B">
            <w:pPr>
              <w:spacing w:after="0"/>
              <w:jc w:val="center"/>
              <w:rPr>
                <w:rFonts w:ascii="Calibri" w:eastAsia="Calibri" w:hAnsi="Calibri" w:cs="Calibri"/>
                <w:color w:val="000000" w:themeColor="text1"/>
                <w:sz w:val="20"/>
              </w:rPr>
            </w:pPr>
            <w:r w:rsidRPr="005E4A1B">
              <w:rPr>
                <w:rFonts w:ascii="Calibri" w:eastAsia="Calibri" w:hAnsi="Calibri" w:cs="Calibri"/>
                <w:color w:val="000000" w:themeColor="text1"/>
                <w:sz w:val="20"/>
              </w:rPr>
              <w:t>3</w:t>
            </w:r>
          </w:p>
        </w:tc>
      </w:tr>
      <w:tr w:rsidR="008E0D61" w:rsidRPr="005E4A1B" w14:paraId="3B527F5E" w14:textId="77777777" w:rsidTr="005E4A1B">
        <w:trPr>
          <w:trHeight w:val="288"/>
        </w:trPr>
        <w:tc>
          <w:tcPr>
            <w:tcW w:w="1980" w:type="dxa"/>
            <w:vMerge w:val="restart"/>
          </w:tcPr>
          <w:p w14:paraId="497279C0" w14:textId="34D307BA" w:rsidR="6245677E" w:rsidRPr="005E4A1B" w:rsidRDefault="6245677E" w:rsidP="005E4A1B">
            <w:pPr>
              <w:spacing w:after="0"/>
              <w:rPr>
                <w:rFonts w:ascii="Calibri" w:eastAsia="Calibri" w:hAnsi="Calibri" w:cs="Calibri"/>
                <w:b/>
                <w:bCs/>
                <w:color w:val="000000" w:themeColor="text1"/>
                <w:sz w:val="20"/>
              </w:rPr>
            </w:pPr>
            <w:r w:rsidRPr="005E4A1B">
              <w:rPr>
                <w:rFonts w:ascii="Calibri" w:eastAsia="Calibri" w:hAnsi="Calibri" w:cs="Calibri"/>
                <w:b/>
                <w:bCs/>
                <w:color w:val="000000" w:themeColor="text1"/>
                <w:sz w:val="20"/>
              </w:rPr>
              <w:t>Medicare Mental Health Centres</w:t>
            </w:r>
          </w:p>
        </w:tc>
        <w:tc>
          <w:tcPr>
            <w:tcW w:w="1559" w:type="dxa"/>
            <w:vMerge w:val="restart"/>
          </w:tcPr>
          <w:p w14:paraId="326CE5D4" w14:textId="69566AEE" w:rsidR="6245677E" w:rsidRPr="005E4A1B" w:rsidRDefault="6245677E" w:rsidP="005E4A1B">
            <w:pPr>
              <w:spacing w:after="0"/>
              <w:rPr>
                <w:rFonts w:ascii="Calibri" w:eastAsia="Calibri" w:hAnsi="Calibri" w:cs="Calibri"/>
                <w:color w:val="000000" w:themeColor="text1"/>
                <w:sz w:val="20"/>
              </w:rPr>
            </w:pPr>
            <w:r w:rsidRPr="005E4A1B">
              <w:rPr>
                <w:rFonts w:ascii="Calibri" w:eastAsia="Calibri" w:hAnsi="Calibri" w:cs="Calibri"/>
                <w:color w:val="000000" w:themeColor="text1"/>
                <w:sz w:val="20"/>
              </w:rPr>
              <w:t xml:space="preserve">Small centres, Commonwealth only funded </w:t>
            </w:r>
          </w:p>
        </w:tc>
        <w:tc>
          <w:tcPr>
            <w:tcW w:w="1276" w:type="dxa"/>
            <w:noWrap/>
          </w:tcPr>
          <w:p w14:paraId="24BDA6B8" w14:textId="77B6DCDF" w:rsidR="6245677E" w:rsidRPr="005E4A1B" w:rsidRDefault="6245677E" w:rsidP="005E4A1B">
            <w:pPr>
              <w:spacing w:after="0"/>
              <w:rPr>
                <w:rFonts w:ascii="Calibri" w:eastAsia="Calibri" w:hAnsi="Calibri" w:cs="Calibri"/>
                <w:color w:val="000000" w:themeColor="text1"/>
                <w:sz w:val="20"/>
              </w:rPr>
            </w:pPr>
            <w:r w:rsidRPr="005E4A1B">
              <w:rPr>
                <w:rFonts w:ascii="Calibri" w:eastAsia="Calibri" w:hAnsi="Calibri" w:cs="Calibri"/>
                <w:color w:val="000000" w:themeColor="text1"/>
                <w:sz w:val="20"/>
              </w:rPr>
              <w:t xml:space="preserve">Established </w:t>
            </w:r>
          </w:p>
        </w:tc>
        <w:tc>
          <w:tcPr>
            <w:tcW w:w="922" w:type="dxa"/>
            <w:noWrap/>
          </w:tcPr>
          <w:p w14:paraId="4E32EADD" w14:textId="671474AC" w:rsidR="6245677E" w:rsidRPr="005E4A1B" w:rsidRDefault="6245677E" w:rsidP="005E4A1B">
            <w:pPr>
              <w:spacing w:after="0"/>
              <w:jc w:val="center"/>
              <w:rPr>
                <w:rFonts w:ascii="Calibri" w:eastAsia="Calibri" w:hAnsi="Calibri" w:cs="Calibri"/>
                <w:color w:val="000000" w:themeColor="text1"/>
                <w:sz w:val="20"/>
              </w:rPr>
            </w:pPr>
            <w:r w:rsidRPr="005E4A1B">
              <w:rPr>
                <w:rFonts w:ascii="Calibri" w:eastAsia="Calibri" w:hAnsi="Calibri" w:cs="Calibri"/>
                <w:color w:val="000000" w:themeColor="text1"/>
                <w:sz w:val="20"/>
              </w:rPr>
              <w:t>1</w:t>
            </w:r>
          </w:p>
        </w:tc>
        <w:tc>
          <w:tcPr>
            <w:tcW w:w="922" w:type="dxa"/>
            <w:noWrap/>
          </w:tcPr>
          <w:p w14:paraId="0DB10040" w14:textId="2C027C0B" w:rsidR="6245677E" w:rsidRPr="005E4A1B" w:rsidRDefault="6245677E" w:rsidP="005E4A1B">
            <w:pPr>
              <w:spacing w:after="0"/>
              <w:jc w:val="center"/>
              <w:rPr>
                <w:rFonts w:ascii="Calibri" w:eastAsia="Calibri" w:hAnsi="Calibri" w:cs="Calibri"/>
                <w:color w:val="000000" w:themeColor="text1"/>
                <w:sz w:val="20"/>
              </w:rPr>
            </w:pPr>
            <w:r w:rsidRPr="005E4A1B">
              <w:rPr>
                <w:rFonts w:ascii="Calibri" w:eastAsia="Calibri" w:hAnsi="Calibri" w:cs="Calibri"/>
                <w:color w:val="000000" w:themeColor="text1"/>
                <w:sz w:val="20"/>
              </w:rPr>
              <w:t>1</w:t>
            </w:r>
          </w:p>
        </w:tc>
        <w:tc>
          <w:tcPr>
            <w:tcW w:w="923" w:type="dxa"/>
            <w:noWrap/>
          </w:tcPr>
          <w:p w14:paraId="5CAC5543" w14:textId="630D645C" w:rsidR="6245677E" w:rsidRPr="005E4A1B" w:rsidRDefault="6245677E" w:rsidP="005E4A1B">
            <w:pPr>
              <w:spacing w:after="0"/>
              <w:jc w:val="center"/>
              <w:rPr>
                <w:rFonts w:ascii="Calibri" w:eastAsia="Calibri" w:hAnsi="Calibri" w:cs="Calibri"/>
                <w:color w:val="000000" w:themeColor="text1"/>
                <w:sz w:val="20"/>
              </w:rPr>
            </w:pPr>
            <w:r w:rsidRPr="005E4A1B">
              <w:rPr>
                <w:rFonts w:ascii="Calibri" w:eastAsia="Calibri" w:hAnsi="Calibri" w:cs="Calibri"/>
                <w:color w:val="000000" w:themeColor="text1"/>
                <w:sz w:val="20"/>
              </w:rPr>
              <w:t>0</w:t>
            </w:r>
          </w:p>
        </w:tc>
        <w:tc>
          <w:tcPr>
            <w:tcW w:w="922" w:type="dxa"/>
            <w:noWrap/>
          </w:tcPr>
          <w:p w14:paraId="410B2BBA" w14:textId="0F35E2C3" w:rsidR="6245677E" w:rsidRPr="005E4A1B" w:rsidRDefault="6245677E" w:rsidP="005E4A1B">
            <w:pPr>
              <w:spacing w:after="0"/>
              <w:jc w:val="center"/>
              <w:rPr>
                <w:rFonts w:ascii="Calibri" w:eastAsia="Calibri" w:hAnsi="Calibri" w:cs="Calibri"/>
                <w:color w:val="000000" w:themeColor="text1"/>
                <w:sz w:val="20"/>
              </w:rPr>
            </w:pPr>
            <w:r w:rsidRPr="005E4A1B">
              <w:rPr>
                <w:rFonts w:ascii="Calibri" w:eastAsia="Calibri" w:hAnsi="Calibri" w:cs="Calibri"/>
                <w:color w:val="000000" w:themeColor="text1"/>
                <w:sz w:val="20"/>
              </w:rPr>
              <w:t>0</w:t>
            </w:r>
          </w:p>
        </w:tc>
        <w:tc>
          <w:tcPr>
            <w:tcW w:w="922" w:type="dxa"/>
            <w:noWrap/>
          </w:tcPr>
          <w:p w14:paraId="695A7536" w14:textId="49F13855" w:rsidR="6245677E" w:rsidRPr="005E4A1B" w:rsidRDefault="6245677E" w:rsidP="005E4A1B">
            <w:pPr>
              <w:spacing w:after="0"/>
              <w:jc w:val="center"/>
              <w:rPr>
                <w:rFonts w:ascii="Calibri" w:eastAsia="Calibri" w:hAnsi="Calibri" w:cs="Calibri"/>
                <w:color w:val="000000" w:themeColor="text1"/>
                <w:sz w:val="20"/>
              </w:rPr>
            </w:pPr>
            <w:r w:rsidRPr="005E4A1B">
              <w:rPr>
                <w:rFonts w:ascii="Calibri" w:eastAsia="Calibri" w:hAnsi="Calibri" w:cs="Calibri"/>
                <w:color w:val="000000" w:themeColor="text1"/>
                <w:sz w:val="20"/>
              </w:rPr>
              <w:t>0</w:t>
            </w:r>
          </w:p>
        </w:tc>
        <w:tc>
          <w:tcPr>
            <w:tcW w:w="923" w:type="dxa"/>
            <w:noWrap/>
          </w:tcPr>
          <w:p w14:paraId="6EE0D027" w14:textId="655D002D" w:rsidR="6245677E" w:rsidRPr="005E4A1B" w:rsidRDefault="6245677E" w:rsidP="005E4A1B">
            <w:pPr>
              <w:spacing w:after="0"/>
              <w:jc w:val="center"/>
              <w:rPr>
                <w:rFonts w:ascii="Calibri" w:eastAsia="Calibri" w:hAnsi="Calibri" w:cs="Calibri"/>
                <w:b/>
                <w:bCs/>
                <w:color w:val="000000" w:themeColor="text1"/>
                <w:sz w:val="20"/>
              </w:rPr>
            </w:pPr>
            <w:r w:rsidRPr="005E4A1B">
              <w:rPr>
                <w:rFonts w:ascii="Calibri" w:eastAsia="Calibri" w:hAnsi="Calibri" w:cs="Calibri"/>
                <w:b/>
                <w:bCs/>
                <w:color w:val="000000" w:themeColor="text1"/>
                <w:sz w:val="20"/>
              </w:rPr>
              <w:t>0</w:t>
            </w:r>
          </w:p>
        </w:tc>
      </w:tr>
      <w:tr w:rsidR="008E0D61" w:rsidRPr="005E4A1B" w14:paraId="266B5431" w14:textId="77777777" w:rsidTr="005E4A1B">
        <w:trPr>
          <w:trHeight w:val="288"/>
        </w:trPr>
        <w:tc>
          <w:tcPr>
            <w:tcW w:w="1980" w:type="dxa"/>
            <w:vMerge/>
          </w:tcPr>
          <w:p w14:paraId="66ED0E31" w14:textId="77777777" w:rsidR="008E0D61" w:rsidRPr="005E4A1B" w:rsidRDefault="008E0D61" w:rsidP="008E0D61">
            <w:pPr>
              <w:widowControl/>
              <w:spacing w:after="0"/>
              <w:rPr>
                <w:rFonts w:eastAsia="Times New Roman" w:cstheme="minorHAnsi"/>
                <w:b/>
                <w:bCs/>
                <w:color w:val="000000"/>
                <w:sz w:val="20"/>
                <w:lang w:val="en-AU" w:eastAsia="en-AU"/>
              </w:rPr>
            </w:pPr>
          </w:p>
        </w:tc>
        <w:tc>
          <w:tcPr>
            <w:tcW w:w="1559" w:type="dxa"/>
            <w:vMerge/>
          </w:tcPr>
          <w:p w14:paraId="2F464DDC" w14:textId="77777777" w:rsidR="008E0D61" w:rsidRPr="005E4A1B" w:rsidRDefault="008E0D61" w:rsidP="008E0D61">
            <w:pPr>
              <w:widowControl/>
              <w:spacing w:after="0"/>
              <w:rPr>
                <w:rFonts w:eastAsia="Times New Roman" w:cstheme="minorHAnsi"/>
                <w:color w:val="000000"/>
                <w:sz w:val="20"/>
                <w:lang w:val="en-AU" w:eastAsia="en-AU"/>
              </w:rPr>
            </w:pPr>
          </w:p>
        </w:tc>
        <w:tc>
          <w:tcPr>
            <w:tcW w:w="1276" w:type="dxa"/>
            <w:noWrap/>
          </w:tcPr>
          <w:p w14:paraId="3E796016" w14:textId="5307A17A" w:rsidR="6245677E" w:rsidRPr="005E4A1B" w:rsidRDefault="6245677E" w:rsidP="005E4A1B">
            <w:pPr>
              <w:spacing w:after="0"/>
              <w:rPr>
                <w:rFonts w:ascii="Calibri" w:eastAsia="Calibri" w:hAnsi="Calibri" w:cs="Calibri"/>
                <w:color w:val="000000" w:themeColor="text1"/>
                <w:sz w:val="20"/>
              </w:rPr>
            </w:pPr>
            <w:r w:rsidRPr="005E4A1B">
              <w:rPr>
                <w:rFonts w:ascii="Calibri" w:eastAsia="Calibri" w:hAnsi="Calibri" w:cs="Calibri"/>
                <w:color w:val="000000" w:themeColor="text1"/>
                <w:sz w:val="20"/>
              </w:rPr>
              <w:t>Operational</w:t>
            </w:r>
          </w:p>
        </w:tc>
        <w:tc>
          <w:tcPr>
            <w:tcW w:w="922" w:type="dxa"/>
            <w:noWrap/>
          </w:tcPr>
          <w:p w14:paraId="08BA9594" w14:textId="6CB8421C" w:rsidR="6245677E" w:rsidRPr="005E4A1B" w:rsidRDefault="6245677E" w:rsidP="005E4A1B">
            <w:pPr>
              <w:spacing w:after="0"/>
              <w:jc w:val="center"/>
              <w:rPr>
                <w:rFonts w:ascii="Calibri" w:eastAsia="Calibri" w:hAnsi="Calibri" w:cs="Calibri"/>
                <w:color w:val="000000" w:themeColor="text1"/>
                <w:sz w:val="20"/>
              </w:rPr>
            </w:pPr>
            <w:r w:rsidRPr="005E4A1B">
              <w:rPr>
                <w:rFonts w:ascii="Calibri" w:eastAsia="Calibri" w:hAnsi="Calibri" w:cs="Calibri"/>
                <w:color w:val="000000" w:themeColor="text1"/>
                <w:sz w:val="20"/>
              </w:rPr>
              <w:t>0</w:t>
            </w:r>
          </w:p>
        </w:tc>
        <w:tc>
          <w:tcPr>
            <w:tcW w:w="922" w:type="dxa"/>
            <w:noWrap/>
          </w:tcPr>
          <w:p w14:paraId="1AF18E61" w14:textId="5189009A" w:rsidR="6245677E" w:rsidRPr="005E4A1B" w:rsidRDefault="6245677E" w:rsidP="005E4A1B">
            <w:pPr>
              <w:spacing w:after="0"/>
              <w:jc w:val="center"/>
              <w:rPr>
                <w:rFonts w:ascii="Calibri" w:eastAsia="Calibri" w:hAnsi="Calibri" w:cs="Calibri"/>
                <w:color w:val="000000" w:themeColor="text1"/>
                <w:sz w:val="20"/>
              </w:rPr>
            </w:pPr>
            <w:r w:rsidRPr="005E4A1B">
              <w:rPr>
                <w:rFonts w:ascii="Calibri" w:eastAsia="Calibri" w:hAnsi="Calibri" w:cs="Calibri"/>
                <w:color w:val="000000" w:themeColor="text1"/>
                <w:sz w:val="20"/>
              </w:rPr>
              <w:t>1</w:t>
            </w:r>
          </w:p>
        </w:tc>
        <w:tc>
          <w:tcPr>
            <w:tcW w:w="923" w:type="dxa"/>
            <w:noWrap/>
          </w:tcPr>
          <w:p w14:paraId="1065FCE4" w14:textId="409C4650" w:rsidR="6245677E" w:rsidRPr="005E4A1B" w:rsidRDefault="6245677E" w:rsidP="005E4A1B">
            <w:pPr>
              <w:spacing w:after="0"/>
              <w:jc w:val="center"/>
              <w:rPr>
                <w:rFonts w:ascii="Calibri" w:eastAsia="Calibri" w:hAnsi="Calibri" w:cs="Calibri"/>
                <w:color w:val="000000" w:themeColor="text1"/>
                <w:sz w:val="20"/>
              </w:rPr>
            </w:pPr>
            <w:r w:rsidRPr="005E4A1B">
              <w:rPr>
                <w:rFonts w:ascii="Calibri" w:eastAsia="Calibri" w:hAnsi="Calibri" w:cs="Calibri"/>
                <w:color w:val="000000" w:themeColor="text1"/>
                <w:sz w:val="20"/>
              </w:rPr>
              <w:t>2</w:t>
            </w:r>
          </w:p>
        </w:tc>
        <w:tc>
          <w:tcPr>
            <w:tcW w:w="922" w:type="dxa"/>
            <w:noWrap/>
          </w:tcPr>
          <w:p w14:paraId="6378AD20" w14:textId="6921B38F" w:rsidR="6245677E" w:rsidRPr="005E4A1B" w:rsidRDefault="6245677E" w:rsidP="005E4A1B">
            <w:pPr>
              <w:spacing w:after="0"/>
              <w:jc w:val="center"/>
              <w:rPr>
                <w:rFonts w:ascii="Calibri" w:eastAsia="Calibri" w:hAnsi="Calibri" w:cs="Calibri"/>
                <w:color w:val="000000" w:themeColor="text1"/>
                <w:sz w:val="20"/>
              </w:rPr>
            </w:pPr>
            <w:r w:rsidRPr="005E4A1B">
              <w:rPr>
                <w:rFonts w:ascii="Calibri" w:eastAsia="Calibri" w:hAnsi="Calibri" w:cs="Calibri"/>
                <w:color w:val="000000" w:themeColor="text1"/>
                <w:sz w:val="20"/>
              </w:rPr>
              <w:t>2</w:t>
            </w:r>
          </w:p>
        </w:tc>
        <w:tc>
          <w:tcPr>
            <w:tcW w:w="922" w:type="dxa"/>
            <w:noWrap/>
          </w:tcPr>
          <w:p w14:paraId="6C12127D" w14:textId="02825470" w:rsidR="6245677E" w:rsidRPr="005E4A1B" w:rsidRDefault="6245677E" w:rsidP="005E4A1B">
            <w:pPr>
              <w:spacing w:after="0"/>
              <w:jc w:val="center"/>
              <w:rPr>
                <w:rFonts w:ascii="Calibri" w:eastAsia="Calibri" w:hAnsi="Calibri" w:cs="Calibri"/>
                <w:color w:val="000000" w:themeColor="text1"/>
                <w:sz w:val="20"/>
              </w:rPr>
            </w:pPr>
            <w:r w:rsidRPr="005E4A1B">
              <w:rPr>
                <w:rFonts w:ascii="Calibri" w:eastAsia="Calibri" w:hAnsi="Calibri" w:cs="Calibri"/>
                <w:color w:val="000000" w:themeColor="text1"/>
                <w:sz w:val="20"/>
              </w:rPr>
              <w:t>2</w:t>
            </w:r>
          </w:p>
        </w:tc>
        <w:tc>
          <w:tcPr>
            <w:tcW w:w="923" w:type="dxa"/>
            <w:noWrap/>
          </w:tcPr>
          <w:p w14:paraId="7683139F" w14:textId="01952813" w:rsidR="6245677E" w:rsidRPr="005E4A1B" w:rsidRDefault="6245677E" w:rsidP="005E4A1B">
            <w:pPr>
              <w:spacing w:after="0"/>
              <w:jc w:val="center"/>
              <w:rPr>
                <w:rFonts w:ascii="Calibri" w:eastAsia="Calibri" w:hAnsi="Calibri" w:cs="Calibri"/>
                <w:b/>
                <w:bCs/>
                <w:color w:val="000000" w:themeColor="text1"/>
                <w:sz w:val="20"/>
              </w:rPr>
            </w:pPr>
            <w:r w:rsidRPr="005E4A1B">
              <w:rPr>
                <w:rFonts w:ascii="Calibri" w:eastAsia="Calibri" w:hAnsi="Calibri" w:cs="Calibri"/>
                <w:b/>
                <w:bCs/>
                <w:color w:val="000000" w:themeColor="text1"/>
                <w:sz w:val="20"/>
              </w:rPr>
              <w:t>2</w:t>
            </w:r>
          </w:p>
        </w:tc>
      </w:tr>
      <w:tr w:rsidR="008E0D61" w:rsidRPr="005E4A1B" w14:paraId="571261B6" w14:textId="77777777" w:rsidTr="005E4A1B">
        <w:trPr>
          <w:trHeight w:val="288"/>
        </w:trPr>
        <w:tc>
          <w:tcPr>
            <w:tcW w:w="1980" w:type="dxa"/>
            <w:vMerge w:val="restart"/>
            <w:hideMark/>
          </w:tcPr>
          <w:p w14:paraId="7E89A9F3" w14:textId="45586CC2" w:rsidR="008E0D61" w:rsidRPr="005E4A1B" w:rsidRDefault="5270F210" w:rsidP="6245677E">
            <w:pPr>
              <w:widowControl/>
              <w:spacing w:after="0"/>
              <w:rPr>
                <w:rFonts w:eastAsia="Times New Roman" w:cstheme="minorBidi"/>
                <w:b/>
                <w:bCs/>
                <w:color w:val="000000"/>
                <w:sz w:val="20"/>
                <w:lang w:val="en-AU" w:eastAsia="en-AU"/>
              </w:rPr>
            </w:pPr>
            <w:r w:rsidRPr="005E4A1B">
              <w:rPr>
                <w:rFonts w:eastAsia="Times New Roman" w:cstheme="minorBidi"/>
                <w:b/>
                <w:bCs/>
                <w:color w:val="000000" w:themeColor="text1"/>
                <w:sz w:val="20"/>
                <w:lang w:val="en-AU" w:eastAsia="en-AU"/>
              </w:rPr>
              <w:t>Aboriginal Mental Health and Wellbeing Centre</w:t>
            </w:r>
          </w:p>
        </w:tc>
        <w:tc>
          <w:tcPr>
            <w:tcW w:w="1559" w:type="dxa"/>
            <w:vMerge w:val="restart"/>
          </w:tcPr>
          <w:p w14:paraId="0249BA6E" w14:textId="77777777" w:rsidR="008E0D61" w:rsidRPr="005E4A1B" w:rsidRDefault="008E0D61" w:rsidP="0030595E">
            <w:pPr>
              <w:widowControl/>
              <w:spacing w:after="0"/>
              <w:rPr>
                <w:rFonts w:eastAsia="Times New Roman" w:cstheme="minorHAnsi"/>
                <w:color w:val="000000"/>
                <w:sz w:val="20"/>
                <w:lang w:val="en-AU" w:eastAsia="en-AU"/>
              </w:rPr>
            </w:pPr>
            <w:r w:rsidRPr="005E4A1B">
              <w:rPr>
                <w:rFonts w:eastAsia="Times New Roman" w:cstheme="minorHAnsi"/>
                <w:color w:val="000000"/>
                <w:sz w:val="20"/>
                <w:lang w:val="en-AU" w:eastAsia="en-AU"/>
              </w:rPr>
              <w:t>Co-funded</w:t>
            </w:r>
          </w:p>
        </w:tc>
        <w:tc>
          <w:tcPr>
            <w:tcW w:w="1276" w:type="dxa"/>
            <w:noWrap/>
            <w:hideMark/>
          </w:tcPr>
          <w:p w14:paraId="6181B7D8" w14:textId="77777777" w:rsidR="008E0D61" w:rsidRPr="005E4A1B" w:rsidRDefault="008E0D61" w:rsidP="0030595E">
            <w:pPr>
              <w:widowControl/>
              <w:spacing w:after="0"/>
              <w:rPr>
                <w:rFonts w:eastAsia="Times New Roman" w:cstheme="minorHAnsi"/>
                <w:color w:val="000000"/>
                <w:sz w:val="20"/>
                <w:lang w:val="en-AU" w:eastAsia="en-AU"/>
              </w:rPr>
            </w:pPr>
            <w:r w:rsidRPr="005E4A1B">
              <w:rPr>
                <w:rFonts w:eastAsia="Times New Roman" w:cstheme="minorHAnsi"/>
                <w:color w:val="000000"/>
                <w:sz w:val="20"/>
                <w:lang w:val="en-AU" w:eastAsia="en-AU"/>
              </w:rPr>
              <w:t xml:space="preserve">Established </w:t>
            </w:r>
          </w:p>
        </w:tc>
        <w:tc>
          <w:tcPr>
            <w:tcW w:w="922" w:type="dxa"/>
            <w:noWrap/>
          </w:tcPr>
          <w:p w14:paraId="4876C7EA" w14:textId="77777777" w:rsidR="008E0D61" w:rsidRPr="005E4A1B" w:rsidRDefault="008E0D61" w:rsidP="0030595E">
            <w:pPr>
              <w:widowControl/>
              <w:spacing w:after="0"/>
              <w:jc w:val="center"/>
              <w:rPr>
                <w:rFonts w:eastAsia="Times New Roman" w:cstheme="minorHAnsi"/>
                <w:color w:val="000000"/>
                <w:sz w:val="20"/>
                <w:lang w:val="en-AU" w:eastAsia="en-AU"/>
              </w:rPr>
            </w:pPr>
            <w:r w:rsidRPr="005E4A1B">
              <w:rPr>
                <w:rFonts w:eastAsia="Times New Roman" w:cstheme="minorHAnsi"/>
                <w:color w:val="000000"/>
                <w:sz w:val="20"/>
                <w:lang w:val="en-AU" w:eastAsia="en-AU"/>
              </w:rPr>
              <w:t>0</w:t>
            </w:r>
          </w:p>
        </w:tc>
        <w:tc>
          <w:tcPr>
            <w:tcW w:w="922" w:type="dxa"/>
            <w:noWrap/>
          </w:tcPr>
          <w:p w14:paraId="0FE042D0" w14:textId="77777777" w:rsidR="008E0D61" w:rsidRPr="005E4A1B" w:rsidRDefault="008E0D61" w:rsidP="0030595E">
            <w:pPr>
              <w:widowControl/>
              <w:spacing w:after="0"/>
              <w:jc w:val="center"/>
              <w:rPr>
                <w:rFonts w:eastAsia="Times New Roman" w:cstheme="minorHAnsi"/>
                <w:color w:val="000000"/>
                <w:sz w:val="20"/>
                <w:lang w:val="en-AU" w:eastAsia="en-AU"/>
              </w:rPr>
            </w:pPr>
            <w:r w:rsidRPr="005E4A1B">
              <w:rPr>
                <w:rFonts w:eastAsia="Times New Roman" w:cstheme="minorHAnsi"/>
                <w:color w:val="000000"/>
                <w:sz w:val="20"/>
                <w:lang w:val="en-AU" w:eastAsia="en-AU"/>
              </w:rPr>
              <w:t>1</w:t>
            </w:r>
          </w:p>
        </w:tc>
        <w:tc>
          <w:tcPr>
            <w:tcW w:w="923" w:type="dxa"/>
            <w:noWrap/>
          </w:tcPr>
          <w:p w14:paraId="296FE122" w14:textId="77777777" w:rsidR="008E0D61" w:rsidRPr="005E4A1B" w:rsidRDefault="008E0D61" w:rsidP="0030595E">
            <w:pPr>
              <w:widowControl/>
              <w:spacing w:after="0"/>
              <w:jc w:val="center"/>
              <w:rPr>
                <w:rFonts w:eastAsia="Times New Roman" w:cstheme="minorHAnsi"/>
                <w:color w:val="000000"/>
                <w:sz w:val="20"/>
                <w:lang w:val="en-AU" w:eastAsia="en-AU"/>
              </w:rPr>
            </w:pPr>
            <w:r w:rsidRPr="005E4A1B">
              <w:rPr>
                <w:rFonts w:eastAsia="Times New Roman" w:cstheme="minorHAnsi"/>
                <w:color w:val="000000"/>
                <w:sz w:val="20"/>
                <w:lang w:val="en-AU" w:eastAsia="en-AU"/>
              </w:rPr>
              <w:t>0</w:t>
            </w:r>
          </w:p>
        </w:tc>
        <w:tc>
          <w:tcPr>
            <w:tcW w:w="922" w:type="dxa"/>
            <w:noWrap/>
          </w:tcPr>
          <w:p w14:paraId="441C9856" w14:textId="77777777" w:rsidR="008E0D61" w:rsidRPr="005E4A1B" w:rsidRDefault="008E0D61" w:rsidP="0030595E">
            <w:pPr>
              <w:widowControl/>
              <w:spacing w:after="0"/>
              <w:jc w:val="center"/>
              <w:rPr>
                <w:rFonts w:eastAsia="Times New Roman" w:cstheme="minorHAnsi"/>
                <w:color w:val="000000"/>
                <w:sz w:val="20"/>
                <w:lang w:val="en-AU" w:eastAsia="en-AU"/>
              </w:rPr>
            </w:pPr>
            <w:r w:rsidRPr="005E4A1B">
              <w:rPr>
                <w:rFonts w:eastAsia="Times New Roman" w:cstheme="minorHAnsi"/>
                <w:color w:val="000000"/>
                <w:sz w:val="20"/>
                <w:lang w:val="en-AU" w:eastAsia="en-AU"/>
              </w:rPr>
              <w:t>0</w:t>
            </w:r>
          </w:p>
        </w:tc>
        <w:tc>
          <w:tcPr>
            <w:tcW w:w="922" w:type="dxa"/>
            <w:noWrap/>
          </w:tcPr>
          <w:p w14:paraId="180D03EB" w14:textId="77777777" w:rsidR="008E0D61" w:rsidRPr="005E4A1B" w:rsidRDefault="008E0D61" w:rsidP="0030595E">
            <w:pPr>
              <w:widowControl/>
              <w:spacing w:after="0"/>
              <w:jc w:val="center"/>
              <w:rPr>
                <w:rFonts w:eastAsia="Times New Roman" w:cstheme="minorHAnsi"/>
                <w:color w:val="000000"/>
                <w:sz w:val="20"/>
                <w:lang w:val="en-AU" w:eastAsia="en-AU"/>
              </w:rPr>
            </w:pPr>
            <w:r w:rsidRPr="005E4A1B">
              <w:rPr>
                <w:rFonts w:eastAsia="Times New Roman" w:cstheme="minorHAnsi"/>
                <w:color w:val="000000"/>
                <w:sz w:val="20"/>
                <w:lang w:val="en-AU" w:eastAsia="en-AU"/>
              </w:rPr>
              <w:t>0</w:t>
            </w:r>
          </w:p>
        </w:tc>
        <w:tc>
          <w:tcPr>
            <w:tcW w:w="923" w:type="dxa"/>
            <w:noWrap/>
          </w:tcPr>
          <w:p w14:paraId="465C1EB2" w14:textId="77777777" w:rsidR="008E0D61" w:rsidRPr="005E4A1B" w:rsidRDefault="008E0D61" w:rsidP="0030595E">
            <w:pPr>
              <w:widowControl/>
              <w:spacing w:after="0"/>
              <w:jc w:val="center"/>
              <w:rPr>
                <w:rFonts w:eastAsia="Times New Roman" w:cstheme="minorHAnsi"/>
                <w:color w:val="000000"/>
                <w:sz w:val="20"/>
                <w:lang w:val="en-AU" w:eastAsia="en-AU"/>
              </w:rPr>
            </w:pPr>
            <w:r w:rsidRPr="005E4A1B">
              <w:rPr>
                <w:rFonts w:eastAsia="Times New Roman" w:cstheme="minorHAnsi"/>
                <w:color w:val="000000"/>
                <w:sz w:val="20"/>
                <w:lang w:val="en-AU" w:eastAsia="en-AU"/>
              </w:rPr>
              <w:t>1</w:t>
            </w:r>
          </w:p>
        </w:tc>
      </w:tr>
      <w:tr w:rsidR="008E0D61" w:rsidRPr="005E4A1B" w14:paraId="71F5DAC8" w14:textId="77777777" w:rsidTr="005E4A1B">
        <w:trPr>
          <w:trHeight w:val="288"/>
        </w:trPr>
        <w:tc>
          <w:tcPr>
            <w:tcW w:w="1980" w:type="dxa"/>
            <w:vMerge/>
            <w:hideMark/>
          </w:tcPr>
          <w:p w14:paraId="773B7528" w14:textId="77777777" w:rsidR="008E0D61" w:rsidRPr="005E4A1B" w:rsidRDefault="008E0D61" w:rsidP="0030595E">
            <w:pPr>
              <w:widowControl/>
              <w:spacing w:after="0"/>
              <w:rPr>
                <w:rFonts w:eastAsia="Times New Roman" w:cstheme="minorHAnsi"/>
                <w:b/>
                <w:bCs/>
                <w:color w:val="000000"/>
                <w:sz w:val="20"/>
                <w:lang w:val="en-AU" w:eastAsia="en-AU"/>
              </w:rPr>
            </w:pPr>
          </w:p>
        </w:tc>
        <w:tc>
          <w:tcPr>
            <w:tcW w:w="1559" w:type="dxa"/>
            <w:vMerge/>
          </w:tcPr>
          <w:p w14:paraId="3F0A6AE7" w14:textId="77777777" w:rsidR="008E0D61" w:rsidRPr="005E4A1B" w:rsidRDefault="008E0D61" w:rsidP="0030595E">
            <w:pPr>
              <w:widowControl/>
              <w:spacing w:after="0"/>
              <w:rPr>
                <w:rFonts w:eastAsia="Times New Roman" w:cstheme="minorHAnsi"/>
                <w:color w:val="000000"/>
                <w:sz w:val="20"/>
                <w:lang w:val="en-AU" w:eastAsia="en-AU"/>
              </w:rPr>
            </w:pPr>
          </w:p>
        </w:tc>
        <w:tc>
          <w:tcPr>
            <w:tcW w:w="1276" w:type="dxa"/>
            <w:noWrap/>
            <w:hideMark/>
          </w:tcPr>
          <w:p w14:paraId="0DB40500" w14:textId="77777777" w:rsidR="008E0D61" w:rsidRPr="005E4A1B" w:rsidRDefault="008E0D61" w:rsidP="0030595E">
            <w:pPr>
              <w:widowControl/>
              <w:spacing w:after="0"/>
              <w:rPr>
                <w:rFonts w:eastAsia="Times New Roman" w:cstheme="minorHAnsi"/>
                <w:color w:val="000000"/>
                <w:sz w:val="20"/>
                <w:lang w:val="en-AU" w:eastAsia="en-AU"/>
              </w:rPr>
            </w:pPr>
            <w:r w:rsidRPr="005E4A1B">
              <w:rPr>
                <w:rFonts w:eastAsia="Times New Roman" w:cstheme="minorHAnsi"/>
                <w:color w:val="000000"/>
                <w:sz w:val="20"/>
                <w:lang w:val="en-AU" w:eastAsia="en-AU"/>
              </w:rPr>
              <w:t xml:space="preserve">Operational </w:t>
            </w:r>
          </w:p>
        </w:tc>
        <w:tc>
          <w:tcPr>
            <w:tcW w:w="922" w:type="dxa"/>
            <w:noWrap/>
          </w:tcPr>
          <w:p w14:paraId="4E3085C0" w14:textId="77777777" w:rsidR="008E0D61" w:rsidRPr="005E4A1B" w:rsidRDefault="008E0D61" w:rsidP="0030595E">
            <w:pPr>
              <w:widowControl/>
              <w:spacing w:after="0"/>
              <w:jc w:val="center"/>
              <w:rPr>
                <w:rFonts w:eastAsia="Times New Roman" w:cstheme="minorHAnsi"/>
                <w:color w:val="000000"/>
                <w:sz w:val="20"/>
                <w:lang w:val="en-AU" w:eastAsia="en-AU"/>
              </w:rPr>
            </w:pPr>
            <w:r w:rsidRPr="005E4A1B">
              <w:rPr>
                <w:rFonts w:eastAsia="Times New Roman" w:cstheme="minorHAnsi"/>
                <w:color w:val="000000"/>
                <w:sz w:val="20"/>
                <w:lang w:val="en-AU" w:eastAsia="en-AU"/>
              </w:rPr>
              <w:t>0</w:t>
            </w:r>
          </w:p>
        </w:tc>
        <w:tc>
          <w:tcPr>
            <w:tcW w:w="922" w:type="dxa"/>
            <w:noWrap/>
          </w:tcPr>
          <w:p w14:paraId="3687EBCB" w14:textId="77777777" w:rsidR="008E0D61" w:rsidRPr="005E4A1B" w:rsidRDefault="008E0D61" w:rsidP="0030595E">
            <w:pPr>
              <w:widowControl/>
              <w:spacing w:after="0"/>
              <w:jc w:val="center"/>
              <w:rPr>
                <w:rFonts w:eastAsia="Times New Roman" w:cstheme="minorHAnsi"/>
                <w:color w:val="000000"/>
                <w:sz w:val="20"/>
                <w:lang w:val="en-AU" w:eastAsia="en-AU"/>
              </w:rPr>
            </w:pPr>
            <w:r w:rsidRPr="005E4A1B">
              <w:rPr>
                <w:rFonts w:eastAsia="Times New Roman" w:cstheme="minorHAnsi"/>
                <w:color w:val="000000"/>
                <w:sz w:val="20"/>
                <w:lang w:val="en-AU" w:eastAsia="en-AU"/>
              </w:rPr>
              <w:t>0</w:t>
            </w:r>
          </w:p>
        </w:tc>
        <w:tc>
          <w:tcPr>
            <w:tcW w:w="923" w:type="dxa"/>
            <w:noWrap/>
          </w:tcPr>
          <w:p w14:paraId="176DAACF" w14:textId="77777777" w:rsidR="008E0D61" w:rsidRPr="005E4A1B" w:rsidRDefault="008E0D61" w:rsidP="0030595E">
            <w:pPr>
              <w:widowControl/>
              <w:spacing w:after="0"/>
              <w:jc w:val="center"/>
              <w:rPr>
                <w:rFonts w:eastAsia="Times New Roman" w:cstheme="minorHAnsi"/>
                <w:color w:val="000000"/>
                <w:sz w:val="20"/>
                <w:lang w:val="en-AU" w:eastAsia="en-AU"/>
              </w:rPr>
            </w:pPr>
            <w:r w:rsidRPr="005E4A1B">
              <w:rPr>
                <w:rFonts w:eastAsia="Times New Roman" w:cstheme="minorHAnsi"/>
                <w:color w:val="000000"/>
                <w:sz w:val="20"/>
                <w:lang w:val="en-AU" w:eastAsia="en-AU"/>
              </w:rPr>
              <w:t>1</w:t>
            </w:r>
          </w:p>
        </w:tc>
        <w:tc>
          <w:tcPr>
            <w:tcW w:w="922" w:type="dxa"/>
            <w:noWrap/>
          </w:tcPr>
          <w:p w14:paraId="653E756E" w14:textId="77777777" w:rsidR="008E0D61" w:rsidRPr="005E4A1B" w:rsidRDefault="008E0D61" w:rsidP="0030595E">
            <w:pPr>
              <w:widowControl/>
              <w:spacing w:after="0"/>
              <w:jc w:val="center"/>
              <w:rPr>
                <w:rFonts w:eastAsia="Times New Roman" w:cstheme="minorHAnsi"/>
                <w:color w:val="000000"/>
                <w:sz w:val="20"/>
                <w:lang w:val="en-AU" w:eastAsia="en-AU"/>
              </w:rPr>
            </w:pPr>
            <w:r w:rsidRPr="005E4A1B">
              <w:rPr>
                <w:rFonts w:eastAsia="Times New Roman" w:cstheme="minorHAnsi"/>
                <w:color w:val="000000"/>
                <w:sz w:val="20"/>
                <w:lang w:val="en-AU" w:eastAsia="en-AU"/>
              </w:rPr>
              <w:t>1</w:t>
            </w:r>
          </w:p>
        </w:tc>
        <w:tc>
          <w:tcPr>
            <w:tcW w:w="922" w:type="dxa"/>
            <w:noWrap/>
          </w:tcPr>
          <w:p w14:paraId="282BD993" w14:textId="77777777" w:rsidR="008E0D61" w:rsidRPr="005E4A1B" w:rsidRDefault="008E0D61" w:rsidP="0030595E">
            <w:pPr>
              <w:widowControl/>
              <w:spacing w:after="0"/>
              <w:jc w:val="center"/>
              <w:rPr>
                <w:rFonts w:eastAsia="Times New Roman" w:cstheme="minorHAnsi"/>
                <w:color w:val="000000"/>
                <w:sz w:val="20"/>
                <w:lang w:val="en-AU" w:eastAsia="en-AU"/>
              </w:rPr>
            </w:pPr>
            <w:r w:rsidRPr="005E4A1B">
              <w:rPr>
                <w:rFonts w:eastAsia="Times New Roman" w:cstheme="minorHAnsi"/>
                <w:color w:val="000000"/>
                <w:sz w:val="20"/>
                <w:lang w:val="en-AU" w:eastAsia="en-AU"/>
              </w:rPr>
              <w:t>1</w:t>
            </w:r>
          </w:p>
        </w:tc>
        <w:tc>
          <w:tcPr>
            <w:tcW w:w="923" w:type="dxa"/>
            <w:noWrap/>
          </w:tcPr>
          <w:p w14:paraId="3546A35C" w14:textId="77777777" w:rsidR="008E0D61" w:rsidRPr="005E4A1B" w:rsidRDefault="008E0D61" w:rsidP="0030595E">
            <w:pPr>
              <w:widowControl/>
              <w:spacing w:after="0"/>
              <w:jc w:val="center"/>
              <w:rPr>
                <w:rFonts w:eastAsia="Times New Roman" w:cstheme="minorHAnsi"/>
                <w:color w:val="000000"/>
                <w:sz w:val="20"/>
                <w:lang w:val="en-AU" w:eastAsia="en-AU"/>
              </w:rPr>
            </w:pPr>
            <w:r w:rsidRPr="005E4A1B">
              <w:rPr>
                <w:rFonts w:eastAsia="Times New Roman" w:cstheme="minorHAnsi"/>
                <w:color w:val="000000"/>
                <w:sz w:val="20"/>
                <w:lang w:val="en-AU" w:eastAsia="en-AU"/>
              </w:rPr>
              <w:t>1</w:t>
            </w:r>
          </w:p>
        </w:tc>
      </w:tr>
      <w:tr w:rsidR="002F5ADE" w:rsidRPr="005E4A1B" w14:paraId="66582B3C" w14:textId="77777777" w:rsidTr="005E4A1B">
        <w:trPr>
          <w:trHeight w:val="288"/>
        </w:trPr>
        <w:tc>
          <w:tcPr>
            <w:tcW w:w="1980" w:type="dxa"/>
          </w:tcPr>
          <w:p w14:paraId="7FD72D1A" w14:textId="77777777" w:rsidR="002F5ADE" w:rsidRPr="005E4A1B" w:rsidRDefault="002F5ADE" w:rsidP="002F5ADE">
            <w:pPr>
              <w:widowControl/>
              <w:spacing w:after="0"/>
              <w:rPr>
                <w:rFonts w:eastAsia="Times New Roman" w:cstheme="minorHAnsi"/>
                <w:b/>
                <w:bCs/>
                <w:color w:val="000000"/>
                <w:sz w:val="20"/>
                <w:lang w:val="en-AU" w:eastAsia="en-AU"/>
              </w:rPr>
            </w:pPr>
            <w:r w:rsidRPr="005E4A1B">
              <w:rPr>
                <w:b/>
                <w:bCs/>
                <w:sz w:val="20"/>
                <w:lang w:eastAsia="en-AU"/>
              </w:rPr>
              <w:t>Enhancement and expansion of youth mental health services – service delivery costs at new site</w:t>
            </w:r>
          </w:p>
        </w:tc>
        <w:tc>
          <w:tcPr>
            <w:tcW w:w="1559" w:type="dxa"/>
          </w:tcPr>
          <w:p w14:paraId="7CEA47C9" w14:textId="77777777" w:rsidR="002F5ADE" w:rsidRPr="005E4A1B" w:rsidRDefault="002F5ADE" w:rsidP="002F5ADE">
            <w:pPr>
              <w:widowControl/>
              <w:spacing w:after="0"/>
              <w:rPr>
                <w:rFonts w:eastAsia="Times New Roman" w:cstheme="minorHAnsi"/>
                <w:color w:val="000000"/>
                <w:sz w:val="20"/>
                <w:lang w:val="en-AU" w:eastAsia="en-AU"/>
              </w:rPr>
            </w:pPr>
            <w:r w:rsidRPr="005E4A1B">
              <w:rPr>
                <w:rFonts w:eastAsia="Times New Roman" w:cstheme="minorHAnsi"/>
                <w:color w:val="000000"/>
                <w:sz w:val="20"/>
                <w:lang w:val="en-AU" w:eastAsia="en-AU"/>
              </w:rPr>
              <w:t>Commonwealth only funded</w:t>
            </w:r>
          </w:p>
        </w:tc>
        <w:tc>
          <w:tcPr>
            <w:tcW w:w="1276" w:type="dxa"/>
            <w:noWrap/>
          </w:tcPr>
          <w:p w14:paraId="42D0E846" w14:textId="77777777" w:rsidR="002F5ADE" w:rsidRPr="005E4A1B" w:rsidRDefault="002F5ADE" w:rsidP="002F5ADE">
            <w:pPr>
              <w:widowControl/>
              <w:spacing w:after="0"/>
              <w:rPr>
                <w:rFonts w:eastAsia="Times New Roman" w:cstheme="minorHAnsi"/>
                <w:color w:val="000000"/>
                <w:sz w:val="20"/>
                <w:lang w:val="en-AU" w:eastAsia="en-AU"/>
              </w:rPr>
            </w:pPr>
            <w:r w:rsidRPr="005E4A1B">
              <w:rPr>
                <w:rFonts w:eastAsia="Times New Roman" w:cstheme="minorHAnsi"/>
                <w:color w:val="000000"/>
                <w:sz w:val="20"/>
                <w:lang w:val="en-AU" w:eastAsia="en-AU"/>
              </w:rPr>
              <w:t>Established</w:t>
            </w:r>
          </w:p>
        </w:tc>
        <w:tc>
          <w:tcPr>
            <w:tcW w:w="922" w:type="dxa"/>
            <w:noWrap/>
          </w:tcPr>
          <w:p w14:paraId="636BA1D0" w14:textId="77777777" w:rsidR="002F5ADE" w:rsidRPr="005E4A1B" w:rsidRDefault="002F5ADE" w:rsidP="002F5ADE">
            <w:pPr>
              <w:widowControl/>
              <w:spacing w:after="0"/>
              <w:jc w:val="center"/>
              <w:rPr>
                <w:rFonts w:eastAsia="Times New Roman" w:cstheme="minorHAnsi"/>
                <w:color w:val="000000"/>
                <w:sz w:val="20"/>
                <w:lang w:val="en-AU" w:eastAsia="en-AU"/>
              </w:rPr>
            </w:pPr>
            <w:r w:rsidRPr="005E4A1B">
              <w:rPr>
                <w:rFonts w:eastAsia="Times New Roman" w:cstheme="minorHAnsi"/>
                <w:color w:val="000000"/>
                <w:sz w:val="20"/>
                <w:lang w:val="en-AU" w:eastAsia="en-AU"/>
              </w:rPr>
              <w:t>0</w:t>
            </w:r>
          </w:p>
        </w:tc>
        <w:tc>
          <w:tcPr>
            <w:tcW w:w="922" w:type="dxa"/>
            <w:noWrap/>
          </w:tcPr>
          <w:p w14:paraId="332BA758" w14:textId="77777777" w:rsidR="002F5ADE" w:rsidRPr="005E4A1B" w:rsidRDefault="002F5ADE" w:rsidP="002F5ADE">
            <w:pPr>
              <w:widowControl/>
              <w:spacing w:after="0"/>
              <w:jc w:val="center"/>
              <w:rPr>
                <w:rFonts w:eastAsia="Times New Roman" w:cstheme="minorHAnsi"/>
                <w:color w:val="000000"/>
                <w:sz w:val="20"/>
                <w:lang w:val="en-AU" w:eastAsia="en-AU"/>
              </w:rPr>
            </w:pPr>
            <w:r w:rsidRPr="005E4A1B">
              <w:rPr>
                <w:rFonts w:eastAsia="Times New Roman" w:cstheme="minorHAnsi"/>
                <w:color w:val="000000"/>
                <w:sz w:val="20"/>
                <w:lang w:val="en-AU" w:eastAsia="en-AU"/>
              </w:rPr>
              <w:t>0</w:t>
            </w:r>
          </w:p>
        </w:tc>
        <w:tc>
          <w:tcPr>
            <w:tcW w:w="923" w:type="dxa"/>
            <w:noWrap/>
          </w:tcPr>
          <w:p w14:paraId="2CBF9B55" w14:textId="77777777" w:rsidR="002F5ADE" w:rsidRPr="005E4A1B" w:rsidRDefault="002F5ADE" w:rsidP="002F5ADE">
            <w:pPr>
              <w:widowControl/>
              <w:spacing w:after="0"/>
              <w:jc w:val="center"/>
              <w:rPr>
                <w:rFonts w:eastAsia="Times New Roman" w:cstheme="minorHAnsi"/>
                <w:color w:val="000000"/>
                <w:sz w:val="20"/>
                <w:lang w:val="en-AU" w:eastAsia="en-AU"/>
              </w:rPr>
            </w:pPr>
            <w:r w:rsidRPr="005E4A1B">
              <w:rPr>
                <w:rFonts w:eastAsia="Times New Roman" w:cstheme="minorHAnsi"/>
                <w:color w:val="000000"/>
                <w:sz w:val="20"/>
                <w:lang w:val="en-AU" w:eastAsia="en-AU"/>
              </w:rPr>
              <w:t>0</w:t>
            </w:r>
          </w:p>
        </w:tc>
        <w:tc>
          <w:tcPr>
            <w:tcW w:w="922" w:type="dxa"/>
            <w:noWrap/>
          </w:tcPr>
          <w:p w14:paraId="4DB6E6D7" w14:textId="77777777" w:rsidR="002F5ADE" w:rsidRPr="005E4A1B" w:rsidRDefault="002F5ADE" w:rsidP="002F5ADE">
            <w:pPr>
              <w:widowControl/>
              <w:spacing w:after="0"/>
              <w:jc w:val="center"/>
              <w:rPr>
                <w:rFonts w:eastAsia="Times New Roman" w:cstheme="minorHAnsi"/>
                <w:color w:val="000000"/>
                <w:sz w:val="20"/>
                <w:lang w:val="en-AU" w:eastAsia="en-AU"/>
              </w:rPr>
            </w:pPr>
            <w:r w:rsidRPr="005E4A1B">
              <w:rPr>
                <w:rFonts w:eastAsia="Times New Roman" w:cstheme="minorHAnsi"/>
                <w:color w:val="000000"/>
                <w:sz w:val="20"/>
                <w:lang w:val="en-AU" w:eastAsia="en-AU"/>
              </w:rPr>
              <w:t>1</w:t>
            </w:r>
          </w:p>
        </w:tc>
        <w:tc>
          <w:tcPr>
            <w:tcW w:w="922" w:type="dxa"/>
            <w:noWrap/>
          </w:tcPr>
          <w:p w14:paraId="7CC2B393" w14:textId="77777777" w:rsidR="002F5ADE" w:rsidRPr="005E4A1B" w:rsidRDefault="002F5ADE" w:rsidP="002F5ADE">
            <w:pPr>
              <w:widowControl/>
              <w:spacing w:after="0"/>
              <w:jc w:val="center"/>
              <w:rPr>
                <w:rFonts w:eastAsia="Times New Roman" w:cstheme="minorHAnsi"/>
                <w:color w:val="000000"/>
                <w:sz w:val="20"/>
                <w:lang w:val="en-AU" w:eastAsia="en-AU"/>
              </w:rPr>
            </w:pPr>
            <w:r w:rsidRPr="005E4A1B">
              <w:rPr>
                <w:rFonts w:eastAsia="Times New Roman" w:cstheme="minorHAnsi"/>
                <w:color w:val="000000"/>
                <w:sz w:val="20"/>
                <w:lang w:val="en-AU" w:eastAsia="en-AU"/>
              </w:rPr>
              <w:t>0</w:t>
            </w:r>
          </w:p>
        </w:tc>
        <w:tc>
          <w:tcPr>
            <w:tcW w:w="923" w:type="dxa"/>
            <w:noWrap/>
          </w:tcPr>
          <w:p w14:paraId="546FF6B4" w14:textId="77777777" w:rsidR="002F5ADE" w:rsidRPr="005E4A1B" w:rsidRDefault="002F5ADE" w:rsidP="002F5ADE">
            <w:pPr>
              <w:widowControl/>
              <w:spacing w:after="0"/>
              <w:jc w:val="center"/>
              <w:rPr>
                <w:rFonts w:eastAsia="Times New Roman" w:cstheme="minorHAnsi"/>
                <w:color w:val="000000"/>
                <w:sz w:val="20"/>
                <w:lang w:val="en-AU" w:eastAsia="en-AU"/>
              </w:rPr>
            </w:pPr>
            <w:r w:rsidRPr="005E4A1B">
              <w:rPr>
                <w:rFonts w:eastAsia="Times New Roman" w:cstheme="minorHAnsi"/>
                <w:b/>
                <w:bCs/>
                <w:color w:val="000000"/>
                <w:sz w:val="20"/>
                <w:lang w:val="en-AU" w:eastAsia="en-AU"/>
              </w:rPr>
              <w:t>1</w:t>
            </w:r>
          </w:p>
        </w:tc>
      </w:tr>
      <w:tr w:rsidR="00F04708" w:rsidRPr="005E4A1B" w14:paraId="3586AC8C" w14:textId="77777777" w:rsidTr="005E4A1B">
        <w:trPr>
          <w:trHeight w:val="288"/>
        </w:trPr>
        <w:tc>
          <w:tcPr>
            <w:tcW w:w="1980" w:type="dxa"/>
            <w:vMerge w:val="restart"/>
          </w:tcPr>
          <w:p w14:paraId="5F7F8073" w14:textId="5DF75456" w:rsidR="00F04708" w:rsidRPr="005E4A1B" w:rsidRDefault="00F04708" w:rsidP="6245677E">
            <w:pPr>
              <w:widowControl/>
              <w:spacing w:after="0"/>
              <w:rPr>
                <w:b/>
                <w:bCs/>
                <w:sz w:val="20"/>
                <w:lang w:eastAsia="en-AU"/>
              </w:rPr>
            </w:pPr>
          </w:p>
        </w:tc>
        <w:tc>
          <w:tcPr>
            <w:tcW w:w="1559" w:type="dxa"/>
            <w:vMerge w:val="restart"/>
          </w:tcPr>
          <w:p w14:paraId="396FABF2" w14:textId="746B4FC4" w:rsidR="00F04708" w:rsidRPr="005E4A1B" w:rsidRDefault="00F04708" w:rsidP="6245677E">
            <w:pPr>
              <w:widowControl/>
              <w:spacing w:after="0"/>
              <w:rPr>
                <w:rFonts w:eastAsia="Times New Roman" w:cstheme="minorBidi"/>
                <w:color w:val="000000"/>
                <w:sz w:val="20"/>
                <w:lang w:val="en-AU" w:eastAsia="en-AU"/>
              </w:rPr>
            </w:pPr>
          </w:p>
        </w:tc>
        <w:tc>
          <w:tcPr>
            <w:tcW w:w="1276" w:type="dxa"/>
            <w:noWrap/>
          </w:tcPr>
          <w:p w14:paraId="0C243989" w14:textId="53DFFAF4" w:rsidR="00F04708" w:rsidRPr="005E4A1B" w:rsidRDefault="00F04708" w:rsidP="6245677E">
            <w:pPr>
              <w:widowControl/>
              <w:spacing w:after="0"/>
              <w:rPr>
                <w:rFonts w:eastAsia="Times New Roman" w:cstheme="minorBidi"/>
                <w:color w:val="000000"/>
                <w:sz w:val="20"/>
                <w:lang w:val="en-AU" w:eastAsia="en-AU"/>
              </w:rPr>
            </w:pPr>
          </w:p>
        </w:tc>
        <w:tc>
          <w:tcPr>
            <w:tcW w:w="922" w:type="dxa"/>
            <w:noWrap/>
          </w:tcPr>
          <w:p w14:paraId="64BFEF58" w14:textId="52AB3A15" w:rsidR="00F04708" w:rsidRPr="005E4A1B" w:rsidRDefault="00F04708" w:rsidP="6245677E">
            <w:pPr>
              <w:widowControl/>
              <w:spacing w:after="0"/>
              <w:jc w:val="center"/>
              <w:rPr>
                <w:rFonts w:eastAsia="Times New Roman" w:cstheme="minorBidi"/>
                <w:color w:val="000000"/>
                <w:sz w:val="20"/>
                <w:lang w:val="en-AU" w:eastAsia="en-AU"/>
              </w:rPr>
            </w:pPr>
          </w:p>
        </w:tc>
        <w:tc>
          <w:tcPr>
            <w:tcW w:w="922" w:type="dxa"/>
            <w:noWrap/>
          </w:tcPr>
          <w:p w14:paraId="324DF41D" w14:textId="0DE0107F" w:rsidR="00F04708" w:rsidRPr="005E4A1B" w:rsidRDefault="00F04708" w:rsidP="6245677E">
            <w:pPr>
              <w:widowControl/>
              <w:spacing w:after="0"/>
              <w:jc w:val="center"/>
              <w:rPr>
                <w:rFonts w:eastAsia="Times New Roman" w:cstheme="minorBidi"/>
                <w:color w:val="000000"/>
                <w:sz w:val="20"/>
                <w:lang w:val="en-AU" w:eastAsia="en-AU"/>
              </w:rPr>
            </w:pPr>
          </w:p>
        </w:tc>
        <w:tc>
          <w:tcPr>
            <w:tcW w:w="923" w:type="dxa"/>
            <w:noWrap/>
          </w:tcPr>
          <w:p w14:paraId="739ABAA6" w14:textId="67E59BF2" w:rsidR="00F04708" w:rsidRPr="005E4A1B" w:rsidRDefault="00F04708" w:rsidP="6245677E">
            <w:pPr>
              <w:widowControl/>
              <w:spacing w:after="0"/>
              <w:jc w:val="center"/>
              <w:rPr>
                <w:rFonts w:eastAsia="Times New Roman" w:cstheme="minorBidi"/>
                <w:color w:val="000000"/>
                <w:sz w:val="20"/>
                <w:lang w:val="en-AU" w:eastAsia="en-AU"/>
              </w:rPr>
            </w:pPr>
          </w:p>
        </w:tc>
        <w:tc>
          <w:tcPr>
            <w:tcW w:w="922" w:type="dxa"/>
            <w:noWrap/>
          </w:tcPr>
          <w:p w14:paraId="11F76267" w14:textId="6E9C7B83" w:rsidR="00F04708" w:rsidRPr="005E4A1B" w:rsidRDefault="00F04708" w:rsidP="6245677E">
            <w:pPr>
              <w:widowControl/>
              <w:spacing w:after="0"/>
              <w:jc w:val="center"/>
              <w:rPr>
                <w:rFonts w:eastAsia="Times New Roman" w:cstheme="minorBidi"/>
                <w:color w:val="000000"/>
                <w:sz w:val="20"/>
                <w:lang w:val="en-AU" w:eastAsia="en-AU"/>
              </w:rPr>
            </w:pPr>
          </w:p>
        </w:tc>
        <w:tc>
          <w:tcPr>
            <w:tcW w:w="922" w:type="dxa"/>
            <w:noWrap/>
          </w:tcPr>
          <w:p w14:paraId="5A86B2B4" w14:textId="043B4050" w:rsidR="00F04708" w:rsidRPr="005E4A1B" w:rsidRDefault="00F04708" w:rsidP="6245677E">
            <w:pPr>
              <w:widowControl/>
              <w:spacing w:after="0"/>
              <w:jc w:val="center"/>
              <w:rPr>
                <w:rFonts w:eastAsia="Times New Roman" w:cstheme="minorBidi"/>
                <w:color w:val="000000"/>
                <w:sz w:val="20"/>
                <w:lang w:val="en-AU" w:eastAsia="en-AU"/>
              </w:rPr>
            </w:pPr>
          </w:p>
        </w:tc>
        <w:tc>
          <w:tcPr>
            <w:tcW w:w="923" w:type="dxa"/>
            <w:noWrap/>
          </w:tcPr>
          <w:p w14:paraId="7C828073" w14:textId="701EE9F1" w:rsidR="00F04708" w:rsidRPr="005E4A1B" w:rsidRDefault="00F04708" w:rsidP="6245677E">
            <w:pPr>
              <w:widowControl/>
              <w:spacing w:after="0"/>
              <w:jc w:val="center"/>
              <w:rPr>
                <w:rFonts w:eastAsia="Times New Roman" w:cstheme="minorBidi"/>
                <w:b/>
                <w:bCs/>
                <w:color w:val="000000"/>
                <w:sz w:val="20"/>
                <w:lang w:val="en-AU" w:eastAsia="en-AU"/>
              </w:rPr>
            </w:pPr>
          </w:p>
        </w:tc>
      </w:tr>
      <w:tr w:rsidR="00F04708" w:rsidRPr="005E4A1B" w14:paraId="57E7D2FF" w14:textId="77777777" w:rsidTr="005E4A1B">
        <w:trPr>
          <w:trHeight w:val="288"/>
        </w:trPr>
        <w:tc>
          <w:tcPr>
            <w:tcW w:w="1980" w:type="dxa"/>
            <w:vMerge/>
          </w:tcPr>
          <w:p w14:paraId="0A963893" w14:textId="77777777" w:rsidR="00F04708" w:rsidRPr="005E4A1B" w:rsidRDefault="00F04708" w:rsidP="002F5ADE">
            <w:pPr>
              <w:widowControl/>
              <w:spacing w:after="0"/>
              <w:rPr>
                <w:b/>
                <w:bCs/>
                <w:sz w:val="20"/>
                <w:lang w:eastAsia="en-AU"/>
              </w:rPr>
            </w:pPr>
          </w:p>
        </w:tc>
        <w:tc>
          <w:tcPr>
            <w:tcW w:w="1559" w:type="dxa"/>
            <w:vMerge/>
          </w:tcPr>
          <w:p w14:paraId="40051E58" w14:textId="77777777" w:rsidR="00F04708" w:rsidRPr="005E4A1B" w:rsidRDefault="00F04708" w:rsidP="002F5ADE">
            <w:pPr>
              <w:widowControl/>
              <w:spacing w:after="0"/>
              <w:rPr>
                <w:rFonts w:eastAsia="Times New Roman" w:cstheme="minorHAnsi"/>
                <w:color w:val="000000"/>
                <w:sz w:val="20"/>
                <w:lang w:val="en-AU" w:eastAsia="en-AU"/>
              </w:rPr>
            </w:pPr>
          </w:p>
        </w:tc>
        <w:tc>
          <w:tcPr>
            <w:tcW w:w="1276" w:type="dxa"/>
            <w:noWrap/>
          </w:tcPr>
          <w:p w14:paraId="1F69DFA0" w14:textId="6D01BB2F" w:rsidR="00F04708" w:rsidRPr="005E4A1B" w:rsidRDefault="00F04708" w:rsidP="6245677E">
            <w:pPr>
              <w:widowControl/>
              <w:spacing w:after="0"/>
              <w:rPr>
                <w:rFonts w:eastAsia="Times New Roman" w:cstheme="minorBidi"/>
                <w:color w:val="000000"/>
                <w:sz w:val="20"/>
                <w:lang w:val="en-AU" w:eastAsia="en-AU"/>
              </w:rPr>
            </w:pPr>
          </w:p>
        </w:tc>
        <w:tc>
          <w:tcPr>
            <w:tcW w:w="922" w:type="dxa"/>
            <w:noWrap/>
          </w:tcPr>
          <w:p w14:paraId="3BB4C5CE" w14:textId="7676E4FE" w:rsidR="00F04708" w:rsidRPr="005E4A1B" w:rsidRDefault="00F04708" w:rsidP="6245677E">
            <w:pPr>
              <w:widowControl/>
              <w:spacing w:after="0"/>
              <w:jc w:val="center"/>
              <w:rPr>
                <w:rFonts w:eastAsia="Times New Roman" w:cstheme="minorBidi"/>
                <w:color w:val="000000"/>
                <w:sz w:val="20"/>
                <w:lang w:val="en-AU" w:eastAsia="en-AU"/>
              </w:rPr>
            </w:pPr>
          </w:p>
        </w:tc>
        <w:tc>
          <w:tcPr>
            <w:tcW w:w="922" w:type="dxa"/>
            <w:noWrap/>
          </w:tcPr>
          <w:p w14:paraId="21155105" w14:textId="4A3BEC45" w:rsidR="00F04708" w:rsidRPr="005E4A1B" w:rsidRDefault="00F04708" w:rsidP="6245677E">
            <w:pPr>
              <w:widowControl/>
              <w:spacing w:after="0"/>
              <w:jc w:val="center"/>
              <w:rPr>
                <w:rFonts w:eastAsia="Times New Roman" w:cstheme="minorBidi"/>
                <w:color w:val="000000"/>
                <w:sz w:val="20"/>
                <w:lang w:val="en-AU" w:eastAsia="en-AU"/>
              </w:rPr>
            </w:pPr>
          </w:p>
        </w:tc>
        <w:tc>
          <w:tcPr>
            <w:tcW w:w="923" w:type="dxa"/>
            <w:noWrap/>
          </w:tcPr>
          <w:p w14:paraId="49D1F6D8" w14:textId="77E3E09D" w:rsidR="00F04708" w:rsidRPr="005E4A1B" w:rsidRDefault="00F04708" w:rsidP="6245677E">
            <w:pPr>
              <w:widowControl/>
              <w:spacing w:after="0"/>
              <w:jc w:val="center"/>
              <w:rPr>
                <w:rFonts w:eastAsia="Times New Roman" w:cstheme="minorBidi"/>
                <w:color w:val="000000"/>
                <w:sz w:val="20"/>
                <w:lang w:val="en-AU" w:eastAsia="en-AU"/>
              </w:rPr>
            </w:pPr>
          </w:p>
        </w:tc>
        <w:tc>
          <w:tcPr>
            <w:tcW w:w="922" w:type="dxa"/>
            <w:noWrap/>
          </w:tcPr>
          <w:p w14:paraId="16F7A7FE" w14:textId="7C2CE729" w:rsidR="00F04708" w:rsidRPr="005E4A1B" w:rsidRDefault="00F04708" w:rsidP="6245677E">
            <w:pPr>
              <w:widowControl/>
              <w:spacing w:after="0"/>
              <w:jc w:val="center"/>
              <w:rPr>
                <w:rFonts w:eastAsia="Times New Roman" w:cstheme="minorBidi"/>
                <w:color w:val="000000"/>
                <w:sz w:val="20"/>
                <w:lang w:val="en-AU" w:eastAsia="en-AU"/>
              </w:rPr>
            </w:pPr>
          </w:p>
        </w:tc>
        <w:tc>
          <w:tcPr>
            <w:tcW w:w="922" w:type="dxa"/>
            <w:noWrap/>
          </w:tcPr>
          <w:p w14:paraId="35F487DA" w14:textId="61AD011C" w:rsidR="00F04708" w:rsidRPr="005E4A1B" w:rsidRDefault="00F04708" w:rsidP="6245677E">
            <w:pPr>
              <w:widowControl/>
              <w:spacing w:after="0"/>
              <w:jc w:val="center"/>
              <w:rPr>
                <w:rFonts w:eastAsia="Times New Roman" w:cstheme="minorBidi"/>
                <w:color w:val="000000"/>
                <w:sz w:val="20"/>
                <w:lang w:val="en-AU" w:eastAsia="en-AU"/>
              </w:rPr>
            </w:pPr>
          </w:p>
        </w:tc>
        <w:tc>
          <w:tcPr>
            <w:tcW w:w="923" w:type="dxa"/>
            <w:noWrap/>
          </w:tcPr>
          <w:p w14:paraId="010C821A" w14:textId="45107AB2" w:rsidR="00F04708" w:rsidRPr="005E4A1B" w:rsidRDefault="00F04708" w:rsidP="6245677E">
            <w:pPr>
              <w:widowControl/>
              <w:spacing w:after="0"/>
              <w:jc w:val="center"/>
              <w:rPr>
                <w:rFonts w:eastAsia="Times New Roman" w:cstheme="minorBidi"/>
                <w:b/>
                <w:bCs/>
                <w:color w:val="000000"/>
                <w:sz w:val="20"/>
                <w:lang w:val="en-AU" w:eastAsia="en-AU"/>
              </w:rPr>
            </w:pPr>
          </w:p>
        </w:tc>
      </w:tr>
      <w:tr w:rsidR="6245677E" w:rsidRPr="005E4A1B" w14:paraId="34996E45" w14:textId="77777777" w:rsidTr="005E4A1B">
        <w:trPr>
          <w:trHeight w:val="285"/>
        </w:trPr>
        <w:tc>
          <w:tcPr>
            <w:tcW w:w="1980" w:type="dxa"/>
            <w:vMerge w:val="restart"/>
            <w:tcBorders>
              <w:top w:val="single" w:sz="8" w:space="0" w:color="4472C4" w:themeColor="accent5"/>
              <w:left w:val="single" w:sz="8" w:space="0" w:color="4472C4" w:themeColor="accent5"/>
              <w:bottom w:val="single" w:sz="8" w:space="0" w:color="4472C4" w:themeColor="accent5"/>
              <w:right w:val="single" w:sz="8" w:space="0" w:color="4472C4" w:themeColor="accent5"/>
            </w:tcBorders>
            <w:tcMar>
              <w:left w:w="108" w:type="dxa"/>
              <w:right w:w="108" w:type="dxa"/>
            </w:tcMar>
          </w:tcPr>
          <w:p w14:paraId="4E4A1958" w14:textId="6274C8A7" w:rsidR="6245677E" w:rsidRPr="005E4A1B" w:rsidRDefault="6245677E" w:rsidP="005E4A1B">
            <w:pPr>
              <w:spacing w:after="0"/>
              <w:rPr>
                <w:rFonts w:ascii="Calibri" w:eastAsia="Calibri" w:hAnsi="Calibri" w:cs="Calibri"/>
                <w:b/>
                <w:bCs/>
                <w:color w:val="000000" w:themeColor="text1"/>
                <w:sz w:val="20"/>
              </w:rPr>
            </w:pPr>
            <w:r w:rsidRPr="005E4A1B">
              <w:rPr>
                <w:rFonts w:ascii="Calibri" w:eastAsia="Calibri" w:hAnsi="Calibri" w:cs="Calibri"/>
                <w:b/>
                <w:bCs/>
                <w:color w:val="000000" w:themeColor="text1"/>
                <w:sz w:val="20"/>
              </w:rPr>
              <w:t>Medicare Mental Health Kids Hubs</w:t>
            </w:r>
          </w:p>
        </w:tc>
        <w:tc>
          <w:tcPr>
            <w:tcW w:w="1559" w:type="dxa"/>
            <w:vMerge w:val="restart"/>
            <w:tcBorders>
              <w:top w:val="single" w:sz="8" w:space="0" w:color="4472C4" w:themeColor="accent5"/>
              <w:left w:val="single" w:sz="8" w:space="0" w:color="4472C4" w:themeColor="accent5"/>
              <w:bottom w:val="single" w:sz="8" w:space="0" w:color="4472C4" w:themeColor="accent5"/>
              <w:right w:val="single" w:sz="8" w:space="0" w:color="4472C4" w:themeColor="accent5"/>
            </w:tcBorders>
            <w:tcMar>
              <w:left w:w="108" w:type="dxa"/>
              <w:right w:w="108" w:type="dxa"/>
            </w:tcMar>
          </w:tcPr>
          <w:p w14:paraId="2CA51CC6" w14:textId="3C8AB1FF" w:rsidR="6245677E" w:rsidRPr="005E4A1B" w:rsidRDefault="6245677E" w:rsidP="005E4A1B">
            <w:pPr>
              <w:spacing w:after="0"/>
              <w:rPr>
                <w:rFonts w:ascii="Calibri" w:eastAsia="Calibri" w:hAnsi="Calibri" w:cs="Calibri"/>
                <w:color w:val="000000" w:themeColor="text1"/>
                <w:sz w:val="20"/>
              </w:rPr>
            </w:pPr>
            <w:r w:rsidRPr="005E4A1B">
              <w:rPr>
                <w:rFonts w:ascii="Calibri" w:eastAsia="Calibri" w:hAnsi="Calibri" w:cs="Calibri"/>
                <w:color w:val="000000" w:themeColor="text1"/>
                <w:sz w:val="20"/>
              </w:rPr>
              <w:t>Commonwealth only funded</w:t>
            </w:r>
          </w:p>
        </w:tc>
        <w:tc>
          <w:tcPr>
            <w:tcW w:w="1276"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noWrap/>
            <w:tcMar>
              <w:left w:w="108" w:type="dxa"/>
              <w:right w:w="108" w:type="dxa"/>
            </w:tcMar>
          </w:tcPr>
          <w:p w14:paraId="32AC1A96" w14:textId="1D159A20" w:rsidR="6245677E" w:rsidRPr="005E4A1B" w:rsidRDefault="6245677E" w:rsidP="005E4A1B">
            <w:pPr>
              <w:spacing w:after="0"/>
              <w:rPr>
                <w:rFonts w:ascii="Calibri" w:eastAsia="Calibri" w:hAnsi="Calibri" w:cs="Calibri"/>
                <w:color w:val="000000" w:themeColor="text1"/>
                <w:sz w:val="20"/>
              </w:rPr>
            </w:pPr>
            <w:r w:rsidRPr="005E4A1B">
              <w:rPr>
                <w:rFonts w:ascii="Calibri" w:eastAsia="Calibri" w:hAnsi="Calibri" w:cs="Calibri"/>
                <w:color w:val="000000" w:themeColor="text1"/>
                <w:sz w:val="20"/>
              </w:rPr>
              <w:t>Established</w:t>
            </w:r>
          </w:p>
        </w:tc>
        <w:tc>
          <w:tcPr>
            <w:tcW w:w="922"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noWrap/>
            <w:tcMar>
              <w:left w:w="108" w:type="dxa"/>
              <w:right w:w="108" w:type="dxa"/>
            </w:tcMar>
          </w:tcPr>
          <w:p w14:paraId="0909FCC1" w14:textId="235D5E81" w:rsidR="6245677E" w:rsidRPr="005E4A1B" w:rsidRDefault="6245677E" w:rsidP="005E4A1B">
            <w:pPr>
              <w:spacing w:after="0"/>
              <w:jc w:val="center"/>
              <w:rPr>
                <w:rFonts w:ascii="Calibri" w:eastAsia="Calibri" w:hAnsi="Calibri" w:cs="Calibri"/>
                <w:color w:val="000000" w:themeColor="text1"/>
                <w:sz w:val="20"/>
              </w:rPr>
            </w:pPr>
            <w:r w:rsidRPr="005E4A1B">
              <w:rPr>
                <w:rFonts w:ascii="Calibri" w:eastAsia="Calibri" w:hAnsi="Calibri" w:cs="Calibri"/>
                <w:color w:val="000000" w:themeColor="text1"/>
                <w:sz w:val="20"/>
              </w:rPr>
              <w:t>0</w:t>
            </w:r>
          </w:p>
        </w:tc>
        <w:tc>
          <w:tcPr>
            <w:tcW w:w="922"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noWrap/>
            <w:tcMar>
              <w:left w:w="108" w:type="dxa"/>
              <w:right w:w="108" w:type="dxa"/>
            </w:tcMar>
          </w:tcPr>
          <w:p w14:paraId="75DEBF11" w14:textId="28442EAF" w:rsidR="6245677E" w:rsidRPr="005E4A1B" w:rsidRDefault="6245677E" w:rsidP="005E4A1B">
            <w:pPr>
              <w:spacing w:after="0"/>
              <w:jc w:val="center"/>
              <w:rPr>
                <w:rFonts w:ascii="Calibri" w:eastAsia="Calibri" w:hAnsi="Calibri" w:cs="Calibri"/>
                <w:color w:val="000000" w:themeColor="text1"/>
                <w:sz w:val="20"/>
              </w:rPr>
            </w:pPr>
            <w:r w:rsidRPr="005E4A1B">
              <w:rPr>
                <w:rFonts w:ascii="Calibri" w:eastAsia="Calibri" w:hAnsi="Calibri" w:cs="Calibri"/>
                <w:color w:val="000000" w:themeColor="text1"/>
                <w:sz w:val="20"/>
              </w:rPr>
              <w:t>0</w:t>
            </w:r>
          </w:p>
        </w:tc>
        <w:tc>
          <w:tcPr>
            <w:tcW w:w="923"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noWrap/>
            <w:tcMar>
              <w:left w:w="108" w:type="dxa"/>
              <w:right w:w="108" w:type="dxa"/>
            </w:tcMar>
          </w:tcPr>
          <w:p w14:paraId="62C8064B" w14:textId="3C8CB47A" w:rsidR="6245677E" w:rsidRPr="005E4A1B" w:rsidRDefault="6245677E" w:rsidP="005E4A1B">
            <w:pPr>
              <w:spacing w:after="0"/>
              <w:jc w:val="center"/>
              <w:rPr>
                <w:rFonts w:ascii="Calibri" w:eastAsia="Calibri" w:hAnsi="Calibri" w:cs="Calibri"/>
                <w:color w:val="000000" w:themeColor="text1"/>
                <w:sz w:val="20"/>
              </w:rPr>
            </w:pPr>
            <w:r w:rsidRPr="005E4A1B">
              <w:rPr>
                <w:rFonts w:ascii="Calibri" w:eastAsia="Calibri" w:hAnsi="Calibri" w:cs="Calibri"/>
                <w:color w:val="000000" w:themeColor="text1"/>
                <w:sz w:val="20"/>
              </w:rPr>
              <w:t>1</w:t>
            </w:r>
          </w:p>
        </w:tc>
        <w:tc>
          <w:tcPr>
            <w:tcW w:w="922"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noWrap/>
            <w:tcMar>
              <w:left w:w="108" w:type="dxa"/>
              <w:right w:w="108" w:type="dxa"/>
            </w:tcMar>
          </w:tcPr>
          <w:p w14:paraId="78EAE30B" w14:textId="7F91780C" w:rsidR="6245677E" w:rsidRPr="005E4A1B" w:rsidRDefault="6245677E" w:rsidP="005E4A1B">
            <w:pPr>
              <w:spacing w:after="0"/>
              <w:jc w:val="center"/>
              <w:rPr>
                <w:rFonts w:ascii="Calibri" w:eastAsia="Calibri" w:hAnsi="Calibri" w:cs="Calibri"/>
                <w:color w:val="000000" w:themeColor="text1"/>
                <w:sz w:val="20"/>
              </w:rPr>
            </w:pPr>
            <w:r w:rsidRPr="005E4A1B">
              <w:rPr>
                <w:rFonts w:ascii="Calibri" w:eastAsia="Calibri" w:hAnsi="Calibri" w:cs="Calibri"/>
                <w:color w:val="000000" w:themeColor="text1"/>
                <w:sz w:val="20"/>
              </w:rPr>
              <w:t>0</w:t>
            </w:r>
          </w:p>
        </w:tc>
        <w:tc>
          <w:tcPr>
            <w:tcW w:w="922"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noWrap/>
            <w:tcMar>
              <w:left w:w="108" w:type="dxa"/>
              <w:right w:w="108" w:type="dxa"/>
            </w:tcMar>
          </w:tcPr>
          <w:p w14:paraId="20AF40D0" w14:textId="41362CC2" w:rsidR="6245677E" w:rsidRPr="005E4A1B" w:rsidRDefault="6245677E" w:rsidP="005E4A1B">
            <w:pPr>
              <w:spacing w:after="0"/>
              <w:jc w:val="center"/>
              <w:rPr>
                <w:rFonts w:ascii="Calibri" w:eastAsia="Calibri" w:hAnsi="Calibri" w:cs="Calibri"/>
                <w:color w:val="000000" w:themeColor="text1"/>
                <w:sz w:val="20"/>
              </w:rPr>
            </w:pPr>
            <w:r w:rsidRPr="005E4A1B">
              <w:rPr>
                <w:rFonts w:ascii="Calibri" w:eastAsia="Calibri" w:hAnsi="Calibri" w:cs="Calibri"/>
                <w:color w:val="000000" w:themeColor="text1"/>
                <w:sz w:val="20"/>
              </w:rPr>
              <w:t>0</w:t>
            </w:r>
          </w:p>
        </w:tc>
        <w:tc>
          <w:tcPr>
            <w:tcW w:w="923"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noWrap/>
            <w:tcMar>
              <w:left w:w="108" w:type="dxa"/>
              <w:right w:w="108" w:type="dxa"/>
            </w:tcMar>
          </w:tcPr>
          <w:p w14:paraId="04D552BC" w14:textId="0948B05B" w:rsidR="6245677E" w:rsidRPr="005E4A1B" w:rsidRDefault="6245677E" w:rsidP="005E4A1B">
            <w:pPr>
              <w:spacing w:after="0"/>
              <w:jc w:val="center"/>
              <w:rPr>
                <w:rFonts w:ascii="Calibri" w:eastAsia="Calibri" w:hAnsi="Calibri" w:cs="Calibri"/>
                <w:b/>
                <w:bCs/>
                <w:color w:val="000000" w:themeColor="text1"/>
                <w:sz w:val="20"/>
              </w:rPr>
            </w:pPr>
            <w:r w:rsidRPr="005E4A1B">
              <w:rPr>
                <w:rFonts w:ascii="Calibri" w:eastAsia="Calibri" w:hAnsi="Calibri" w:cs="Calibri"/>
                <w:b/>
                <w:bCs/>
                <w:color w:val="000000" w:themeColor="text1"/>
                <w:sz w:val="20"/>
              </w:rPr>
              <w:t>1</w:t>
            </w:r>
          </w:p>
        </w:tc>
      </w:tr>
      <w:tr w:rsidR="6245677E" w:rsidRPr="005E4A1B" w14:paraId="1CFC535B" w14:textId="77777777" w:rsidTr="005E4A1B">
        <w:trPr>
          <w:trHeight w:val="285"/>
        </w:trPr>
        <w:tc>
          <w:tcPr>
            <w:tcW w:w="1980" w:type="dxa"/>
            <w:vMerge/>
            <w:tcBorders>
              <w:top w:val="single" w:sz="0" w:space="0" w:color="4472C4" w:themeColor="accent5"/>
              <w:left w:val="single" w:sz="0" w:space="0" w:color="4472C4" w:themeColor="accent5"/>
              <w:bottom w:val="single" w:sz="0" w:space="0" w:color="4472C4" w:themeColor="accent5"/>
              <w:right w:val="single" w:sz="0" w:space="0" w:color="4472C4" w:themeColor="accent5"/>
            </w:tcBorders>
            <w:tcMar>
              <w:left w:w="108" w:type="dxa"/>
              <w:right w:w="108" w:type="dxa"/>
            </w:tcMar>
            <w:vAlign w:val="center"/>
          </w:tcPr>
          <w:p w14:paraId="3438CC77" w14:textId="77777777" w:rsidR="00D04E78" w:rsidRPr="005E4A1B" w:rsidRDefault="00D04E78"/>
        </w:tc>
        <w:tc>
          <w:tcPr>
            <w:tcW w:w="1559" w:type="dxa"/>
            <w:vMerge/>
            <w:tcBorders>
              <w:top w:val="single" w:sz="0" w:space="0" w:color="4472C4" w:themeColor="accent5"/>
              <w:left w:val="single" w:sz="0" w:space="0" w:color="4472C4" w:themeColor="accent5"/>
              <w:bottom w:val="single" w:sz="0" w:space="0" w:color="4472C4" w:themeColor="accent5"/>
              <w:right w:val="single" w:sz="0" w:space="0" w:color="4472C4" w:themeColor="accent5"/>
            </w:tcBorders>
            <w:tcMar>
              <w:left w:w="108" w:type="dxa"/>
              <w:right w:w="108" w:type="dxa"/>
            </w:tcMar>
            <w:vAlign w:val="center"/>
          </w:tcPr>
          <w:p w14:paraId="7E1BE03D" w14:textId="77777777" w:rsidR="00D04E78" w:rsidRPr="005E4A1B" w:rsidRDefault="00D04E78"/>
        </w:tc>
        <w:tc>
          <w:tcPr>
            <w:tcW w:w="1276" w:type="dxa"/>
            <w:tcBorders>
              <w:top w:val="single" w:sz="8" w:space="0" w:color="4472C4" w:themeColor="accent5"/>
              <w:left w:val="nil"/>
              <w:bottom w:val="single" w:sz="8" w:space="0" w:color="4472C4" w:themeColor="accent5"/>
              <w:right w:val="single" w:sz="8" w:space="0" w:color="4472C4" w:themeColor="accent5"/>
            </w:tcBorders>
            <w:noWrap/>
            <w:tcMar>
              <w:left w:w="108" w:type="dxa"/>
              <w:right w:w="108" w:type="dxa"/>
            </w:tcMar>
          </w:tcPr>
          <w:p w14:paraId="46299636" w14:textId="67EC6549" w:rsidR="6245677E" w:rsidRPr="005E4A1B" w:rsidRDefault="6245677E" w:rsidP="005E4A1B">
            <w:pPr>
              <w:spacing w:after="0"/>
              <w:rPr>
                <w:rFonts w:ascii="Calibri" w:eastAsia="Calibri" w:hAnsi="Calibri" w:cs="Calibri"/>
                <w:color w:val="000000" w:themeColor="text1"/>
                <w:sz w:val="20"/>
              </w:rPr>
            </w:pPr>
            <w:r w:rsidRPr="005E4A1B">
              <w:rPr>
                <w:rFonts w:ascii="Calibri" w:eastAsia="Calibri" w:hAnsi="Calibri" w:cs="Calibri"/>
                <w:color w:val="000000" w:themeColor="text1"/>
                <w:sz w:val="20"/>
              </w:rPr>
              <w:t>Operational</w:t>
            </w:r>
          </w:p>
        </w:tc>
        <w:tc>
          <w:tcPr>
            <w:tcW w:w="922"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noWrap/>
            <w:tcMar>
              <w:left w:w="108" w:type="dxa"/>
              <w:right w:w="108" w:type="dxa"/>
            </w:tcMar>
          </w:tcPr>
          <w:p w14:paraId="19654B57" w14:textId="7A6C9A96" w:rsidR="6245677E" w:rsidRPr="005E4A1B" w:rsidRDefault="6245677E" w:rsidP="005E4A1B">
            <w:pPr>
              <w:spacing w:after="0"/>
              <w:jc w:val="center"/>
              <w:rPr>
                <w:rFonts w:ascii="Calibri" w:eastAsia="Calibri" w:hAnsi="Calibri" w:cs="Calibri"/>
                <w:color w:val="000000" w:themeColor="text1"/>
                <w:sz w:val="20"/>
              </w:rPr>
            </w:pPr>
            <w:r w:rsidRPr="005E4A1B">
              <w:rPr>
                <w:rFonts w:ascii="Calibri" w:eastAsia="Calibri" w:hAnsi="Calibri" w:cs="Calibri"/>
                <w:color w:val="000000" w:themeColor="text1"/>
                <w:sz w:val="20"/>
              </w:rPr>
              <w:t>0</w:t>
            </w:r>
          </w:p>
        </w:tc>
        <w:tc>
          <w:tcPr>
            <w:tcW w:w="922"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noWrap/>
            <w:tcMar>
              <w:left w:w="108" w:type="dxa"/>
              <w:right w:w="108" w:type="dxa"/>
            </w:tcMar>
          </w:tcPr>
          <w:p w14:paraId="1B0F7374" w14:textId="43D97FCF" w:rsidR="6245677E" w:rsidRPr="005E4A1B" w:rsidRDefault="6245677E" w:rsidP="005E4A1B">
            <w:pPr>
              <w:spacing w:after="0"/>
              <w:jc w:val="center"/>
              <w:rPr>
                <w:rFonts w:ascii="Calibri" w:eastAsia="Calibri" w:hAnsi="Calibri" w:cs="Calibri"/>
                <w:color w:val="000000" w:themeColor="text1"/>
                <w:sz w:val="20"/>
              </w:rPr>
            </w:pPr>
            <w:r w:rsidRPr="005E4A1B">
              <w:rPr>
                <w:rFonts w:ascii="Calibri" w:eastAsia="Calibri" w:hAnsi="Calibri" w:cs="Calibri"/>
                <w:color w:val="000000" w:themeColor="text1"/>
                <w:sz w:val="20"/>
              </w:rPr>
              <w:t>0</w:t>
            </w:r>
          </w:p>
        </w:tc>
        <w:tc>
          <w:tcPr>
            <w:tcW w:w="923"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noWrap/>
            <w:tcMar>
              <w:left w:w="108" w:type="dxa"/>
              <w:right w:w="108" w:type="dxa"/>
            </w:tcMar>
          </w:tcPr>
          <w:p w14:paraId="6A8D09CA" w14:textId="21278815" w:rsidR="6245677E" w:rsidRPr="005E4A1B" w:rsidRDefault="6245677E" w:rsidP="005E4A1B">
            <w:pPr>
              <w:spacing w:after="0"/>
              <w:jc w:val="center"/>
              <w:rPr>
                <w:rFonts w:ascii="Calibri" w:eastAsia="Calibri" w:hAnsi="Calibri" w:cs="Calibri"/>
                <w:color w:val="000000" w:themeColor="text1"/>
                <w:sz w:val="20"/>
              </w:rPr>
            </w:pPr>
            <w:r w:rsidRPr="005E4A1B">
              <w:rPr>
                <w:rFonts w:ascii="Calibri" w:eastAsia="Calibri" w:hAnsi="Calibri" w:cs="Calibri"/>
                <w:color w:val="000000" w:themeColor="text1"/>
                <w:sz w:val="20"/>
              </w:rPr>
              <w:t>0</w:t>
            </w:r>
          </w:p>
        </w:tc>
        <w:tc>
          <w:tcPr>
            <w:tcW w:w="922"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noWrap/>
            <w:tcMar>
              <w:left w:w="108" w:type="dxa"/>
              <w:right w:w="108" w:type="dxa"/>
            </w:tcMar>
          </w:tcPr>
          <w:p w14:paraId="6A042A4B" w14:textId="7F2D777E" w:rsidR="6245677E" w:rsidRPr="005E4A1B" w:rsidRDefault="6245677E" w:rsidP="005E4A1B">
            <w:pPr>
              <w:spacing w:after="0"/>
              <w:jc w:val="center"/>
              <w:rPr>
                <w:rFonts w:ascii="Calibri" w:eastAsia="Calibri" w:hAnsi="Calibri" w:cs="Calibri"/>
                <w:color w:val="000000" w:themeColor="text1"/>
                <w:sz w:val="20"/>
              </w:rPr>
            </w:pPr>
            <w:r w:rsidRPr="005E4A1B">
              <w:rPr>
                <w:rFonts w:ascii="Calibri" w:eastAsia="Calibri" w:hAnsi="Calibri" w:cs="Calibri"/>
                <w:color w:val="000000" w:themeColor="text1"/>
                <w:sz w:val="20"/>
              </w:rPr>
              <w:t>0</w:t>
            </w:r>
          </w:p>
        </w:tc>
        <w:tc>
          <w:tcPr>
            <w:tcW w:w="922"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noWrap/>
            <w:tcMar>
              <w:left w:w="108" w:type="dxa"/>
              <w:right w:w="108" w:type="dxa"/>
            </w:tcMar>
          </w:tcPr>
          <w:p w14:paraId="6E38CE69" w14:textId="7D402BC1" w:rsidR="6245677E" w:rsidRPr="005E4A1B" w:rsidRDefault="6245677E" w:rsidP="005E4A1B">
            <w:pPr>
              <w:spacing w:after="0"/>
              <w:jc w:val="center"/>
              <w:rPr>
                <w:rFonts w:ascii="Calibri" w:eastAsia="Calibri" w:hAnsi="Calibri" w:cs="Calibri"/>
                <w:color w:val="000000" w:themeColor="text1"/>
                <w:sz w:val="20"/>
              </w:rPr>
            </w:pPr>
            <w:r w:rsidRPr="005E4A1B">
              <w:rPr>
                <w:rFonts w:ascii="Calibri" w:eastAsia="Calibri" w:hAnsi="Calibri" w:cs="Calibri"/>
                <w:color w:val="000000" w:themeColor="text1"/>
                <w:sz w:val="20"/>
              </w:rPr>
              <w:t>1</w:t>
            </w:r>
          </w:p>
        </w:tc>
        <w:tc>
          <w:tcPr>
            <w:tcW w:w="923"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noWrap/>
            <w:tcMar>
              <w:left w:w="108" w:type="dxa"/>
              <w:right w:w="108" w:type="dxa"/>
            </w:tcMar>
          </w:tcPr>
          <w:p w14:paraId="2FFB6C0A" w14:textId="3604F968" w:rsidR="6245677E" w:rsidRPr="005E4A1B" w:rsidRDefault="6245677E" w:rsidP="005E4A1B">
            <w:pPr>
              <w:spacing w:after="0"/>
              <w:jc w:val="center"/>
              <w:rPr>
                <w:rFonts w:ascii="Calibri" w:eastAsia="Calibri" w:hAnsi="Calibri" w:cs="Calibri"/>
                <w:b/>
                <w:bCs/>
                <w:color w:val="000000" w:themeColor="text1"/>
                <w:sz w:val="20"/>
              </w:rPr>
            </w:pPr>
            <w:r w:rsidRPr="005E4A1B">
              <w:rPr>
                <w:rFonts w:ascii="Calibri" w:eastAsia="Calibri" w:hAnsi="Calibri" w:cs="Calibri"/>
                <w:b/>
                <w:bCs/>
                <w:color w:val="000000" w:themeColor="text1"/>
                <w:sz w:val="20"/>
              </w:rPr>
              <w:t>1</w:t>
            </w:r>
          </w:p>
        </w:tc>
      </w:tr>
    </w:tbl>
    <w:p w14:paraId="1680318A" w14:textId="48240FD1" w:rsidR="00804A66" w:rsidRPr="005E4A1B" w:rsidRDefault="00804A66" w:rsidP="005E4A1B">
      <w:pPr>
        <w:widowControl/>
        <w:spacing w:after="0" w:line="259" w:lineRule="auto"/>
      </w:pPr>
    </w:p>
    <w:p w14:paraId="73965946" w14:textId="474EA5B8" w:rsidR="00804A66" w:rsidRPr="005E4A1B" w:rsidRDefault="00804A66" w:rsidP="00970024">
      <w:pPr>
        <w:widowControl/>
        <w:spacing w:after="160" w:line="259" w:lineRule="auto"/>
        <w:rPr>
          <w:sz w:val="18"/>
          <w:szCs w:val="18"/>
          <w:lang w:val="en-GB"/>
        </w:rPr>
        <w:sectPr w:rsidR="00804A66" w:rsidRPr="005E4A1B" w:rsidSect="00566471">
          <w:pgSz w:w="11906" w:h="16838" w:code="9"/>
          <w:pgMar w:top="1134" w:right="1134" w:bottom="1134" w:left="1134" w:header="709" w:footer="709" w:gutter="0"/>
          <w:pgNumType w:chapStyle="9"/>
          <w:cols w:space="708"/>
          <w:titlePg/>
          <w:docGrid w:linePitch="360"/>
        </w:sectPr>
      </w:pPr>
      <w:r w:rsidRPr="005E4A1B">
        <w:rPr>
          <w:sz w:val="18"/>
          <w:szCs w:val="18"/>
          <w:lang w:val="en-GB"/>
        </w:rPr>
        <w:t>^ Existing Head to Health Centre (Urgent Mental Health</w:t>
      </w:r>
      <w:r w:rsidR="001052D5" w:rsidRPr="005E4A1B">
        <w:rPr>
          <w:sz w:val="18"/>
          <w:szCs w:val="18"/>
          <w:lang w:val="en-GB"/>
        </w:rPr>
        <w:t xml:space="preserve"> Care</w:t>
      </w:r>
      <w:r w:rsidRPr="005E4A1B">
        <w:rPr>
          <w:sz w:val="18"/>
          <w:szCs w:val="18"/>
          <w:lang w:val="en-GB"/>
        </w:rPr>
        <w:t xml:space="preserve"> Centre) in Adelaid</w:t>
      </w:r>
      <w:r w:rsidR="00E4799A" w:rsidRPr="005E4A1B">
        <w:rPr>
          <w:sz w:val="18"/>
          <w:szCs w:val="18"/>
          <w:lang w:val="en-GB"/>
        </w:rPr>
        <w:t>e</w:t>
      </w:r>
      <w:r w:rsidR="001052D5" w:rsidRPr="005E4A1B">
        <w:rPr>
          <w:sz w:val="18"/>
          <w:szCs w:val="18"/>
          <w:lang w:val="en-GB"/>
        </w:rPr>
        <w:t xml:space="preserve"> (Grenfell Street).</w:t>
      </w:r>
    </w:p>
    <w:p w14:paraId="69EBD986" w14:textId="77777777" w:rsidR="00C91B5F" w:rsidRPr="005E4A1B" w:rsidRDefault="00C91B5F" w:rsidP="00EA74D0">
      <w:pPr>
        <w:rPr>
          <w:lang w:val="en-GB"/>
        </w:rPr>
      </w:pPr>
      <w:r w:rsidRPr="005E4A1B">
        <w:rPr>
          <w:lang w:val="en-GB"/>
        </w:rPr>
        <w:lastRenderedPageBreak/>
        <w:t xml:space="preserve">The </w:t>
      </w:r>
      <w:r w:rsidRPr="005E4A1B">
        <w:rPr>
          <w:sz w:val="24"/>
          <w:szCs w:val="24"/>
        </w:rPr>
        <w:t>Parties</w:t>
      </w:r>
      <w:r w:rsidRPr="005E4A1B">
        <w:rPr>
          <w:lang w:val="en-GB"/>
        </w:rPr>
        <w:t xml:space="preserve"> have confirmed their commitment to this schedule as follows:</w:t>
      </w:r>
    </w:p>
    <w:p w14:paraId="1804D6B4" w14:textId="77777777" w:rsidR="00C91B5F" w:rsidRPr="005E4A1B" w:rsidRDefault="00C91B5F" w:rsidP="00EA74D0">
      <w:pPr>
        <w:rPr>
          <w:lang w:val="en-GB"/>
        </w:rPr>
      </w:pPr>
    </w:p>
    <w:tbl>
      <w:tblPr>
        <w:tblW w:w="9356" w:type="dxa"/>
        <w:jc w:val="center"/>
        <w:tblLayout w:type="fixed"/>
        <w:tblLook w:val="01E0" w:firstRow="1" w:lastRow="1" w:firstColumn="1" w:lastColumn="1" w:noHBand="0" w:noVBand="0"/>
      </w:tblPr>
      <w:tblGrid>
        <w:gridCol w:w="4536"/>
        <w:gridCol w:w="709"/>
        <w:gridCol w:w="4111"/>
      </w:tblGrid>
      <w:tr w:rsidR="00C91B5F" w:rsidRPr="00045F7E" w14:paraId="245341DF" w14:textId="77777777" w:rsidTr="00C475BE">
        <w:trPr>
          <w:cantSplit/>
          <w:jc w:val="center"/>
        </w:trPr>
        <w:tc>
          <w:tcPr>
            <w:tcW w:w="4536" w:type="dxa"/>
          </w:tcPr>
          <w:p w14:paraId="0CAD75E2" w14:textId="77777777" w:rsidR="00C91B5F" w:rsidRPr="005E4A1B" w:rsidRDefault="00C91B5F" w:rsidP="00EA74D0">
            <w:pPr>
              <w:pStyle w:val="Signed"/>
            </w:pPr>
            <w:r w:rsidRPr="00371518">
              <w:rPr>
                <w:rStyle w:val="Bold"/>
                <w:rFonts w:asciiTheme="minorHAnsi" w:hAnsiTheme="minorHAnsi" w:cstheme="minorHAnsi"/>
                <w:bCs w:val="0"/>
                <w:i w:val="0"/>
                <w:iCs/>
                <w:sz w:val="24"/>
                <w:szCs w:val="22"/>
              </w:rPr>
              <w:t>Signed</w:t>
            </w:r>
            <w:r w:rsidRPr="005E4A1B">
              <w:t xml:space="preserve"> for and on behalf of the Commonwealth of Australia by</w:t>
            </w:r>
          </w:p>
          <w:p w14:paraId="7590254E" w14:textId="77777777" w:rsidR="00C91B5F" w:rsidRPr="005E4A1B" w:rsidRDefault="00C91B5F" w:rsidP="00EA74D0">
            <w:pPr>
              <w:pStyle w:val="LineForSignature"/>
            </w:pPr>
            <w:r w:rsidRPr="005E4A1B">
              <w:br/>
            </w:r>
            <w:r w:rsidRPr="005E4A1B">
              <w:tab/>
            </w:r>
          </w:p>
          <w:p w14:paraId="35F4291B" w14:textId="77777777" w:rsidR="00C91B5F" w:rsidRPr="00371518" w:rsidRDefault="00C91B5F" w:rsidP="00EA74D0">
            <w:pPr>
              <w:pStyle w:val="SingleParagraph"/>
              <w:rPr>
                <w:rStyle w:val="Bold"/>
                <w:rFonts w:asciiTheme="minorHAnsi" w:hAnsiTheme="minorHAnsi" w:cstheme="minorHAnsi"/>
                <w:sz w:val="24"/>
                <w:szCs w:val="22"/>
              </w:rPr>
            </w:pPr>
            <w:r w:rsidRPr="00371518">
              <w:rPr>
                <w:rStyle w:val="Bold"/>
                <w:rFonts w:asciiTheme="minorHAnsi" w:hAnsiTheme="minorHAnsi" w:cstheme="minorHAnsi"/>
                <w:sz w:val="24"/>
                <w:szCs w:val="22"/>
              </w:rPr>
              <w:t>The Honourable</w:t>
            </w:r>
            <w:r w:rsidR="002B1107" w:rsidRPr="00371518">
              <w:rPr>
                <w:rStyle w:val="Bold"/>
                <w:rFonts w:asciiTheme="minorHAnsi" w:hAnsiTheme="minorHAnsi" w:cstheme="minorHAnsi"/>
                <w:sz w:val="24"/>
                <w:szCs w:val="22"/>
              </w:rPr>
              <w:t xml:space="preserve"> </w:t>
            </w:r>
            <w:r w:rsidR="00E60BC9" w:rsidRPr="00371518">
              <w:rPr>
                <w:rStyle w:val="Bold"/>
                <w:rFonts w:asciiTheme="minorHAnsi" w:hAnsiTheme="minorHAnsi" w:cstheme="minorHAnsi"/>
                <w:sz w:val="24"/>
                <w:szCs w:val="22"/>
              </w:rPr>
              <w:t>Mark</w:t>
            </w:r>
            <w:r w:rsidR="004B70C5" w:rsidRPr="00371518">
              <w:rPr>
                <w:rStyle w:val="Bold"/>
                <w:rFonts w:asciiTheme="minorHAnsi" w:hAnsiTheme="minorHAnsi" w:cstheme="minorHAnsi"/>
                <w:sz w:val="24"/>
                <w:szCs w:val="22"/>
              </w:rPr>
              <w:t xml:space="preserve"> Butler </w:t>
            </w:r>
            <w:r w:rsidRPr="00371518">
              <w:rPr>
                <w:rStyle w:val="Bold"/>
                <w:rFonts w:asciiTheme="minorHAnsi" w:hAnsiTheme="minorHAnsi" w:cstheme="minorHAnsi"/>
                <w:sz w:val="24"/>
                <w:szCs w:val="22"/>
              </w:rPr>
              <w:t>MP</w:t>
            </w:r>
          </w:p>
          <w:p w14:paraId="72527516" w14:textId="77777777" w:rsidR="00371518" w:rsidRDefault="00C91B5F" w:rsidP="00371518">
            <w:pPr>
              <w:pStyle w:val="SingleParagraph"/>
              <w:rPr>
                <w:rFonts w:asciiTheme="minorHAnsi" w:hAnsiTheme="minorHAnsi" w:cstheme="minorHAnsi"/>
              </w:rPr>
            </w:pPr>
            <w:r w:rsidRPr="00371518">
              <w:rPr>
                <w:rFonts w:asciiTheme="minorHAnsi" w:hAnsiTheme="minorHAnsi" w:cstheme="minorHAnsi"/>
              </w:rPr>
              <w:t xml:space="preserve">Minister for </w:t>
            </w:r>
            <w:r w:rsidR="002B1107" w:rsidRPr="00371518">
              <w:rPr>
                <w:rFonts w:asciiTheme="minorHAnsi" w:hAnsiTheme="minorHAnsi" w:cstheme="minorHAnsi"/>
              </w:rPr>
              <w:t>Health</w:t>
            </w:r>
            <w:r w:rsidR="00B01C30" w:rsidRPr="00371518">
              <w:rPr>
                <w:rFonts w:asciiTheme="minorHAnsi" w:hAnsiTheme="minorHAnsi" w:cstheme="minorHAnsi"/>
              </w:rPr>
              <w:t xml:space="preserve">, Disability </w:t>
            </w:r>
            <w:r w:rsidR="00B11B15" w:rsidRPr="00371518">
              <w:rPr>
                <w:rFonts w:asciiTheme="minorHAnsi" w:hAnsiTheme="minorHAnsi" w:cstheme="minorHAnsi"/>
              </w:rPr>
              <w:t>and Ageing</w:t>
            </w:r>
          </w:p>
          <w:p w14:paraId="72D9CFBD" w14:textId="1C1D7591" w:rsidR="00C91B5F" w:rsidRPr="00371518" w:rsidRDefault="00371518" w:rsidP="00371518">
            <w:pPr>
              <w:pStyle w:val="SingleParagraph"/>
              <w:rPr>
                <w:rFonts w:asciiTheme="minorHAnsi" w:hAnsiTheme="minorHAnsi" w:cstheme="minorHAnsi"/>
              </w:rPr>
            </w:pPr>
            <w:r>
              <w:rPr>
                <w:rFonts w:asciiTheme="minorHAnsi" w:hAnsiTheme="minorHAnsi" w:cstheme="minorHAnsi"/>
              </w:rPr>
              <w:t>Minister for Disability and the National Disability Insurance Scheme</w:t>
            </w:r>
            <w:r w:rsidR="00C91B5F" w:rsidRPr="00371518">
              <w:rPr>
                <w:rFonts w:asciiTheme="minorHAnsi" w:hAnsiTheme="minorHAnsi" w:cstheme="minorHAnsi"/>
              </w:rPr>
              <w:t xml:space="preserve"> </w:t>
            </w:r>
          </w:p>
          <w:p w14:paraId="29038B2F" w14:textId="77777777" w:rsidR="00C91B5F" w:rsidRPr="005E4A1B" w:rsidRDefault="00C91B5F" w:rsidP="00EA74D0">
            <w:pPr>
              <w:pStyle w:val="SingleParagraph"/>
              <w:rPr>
                <w:b/>
              </w:rPr>
            </w:pPr>
            <w:r w:rsidRPr="00371518">
              <w:rPr>
                <w:rFonts w:asciiTheme="minorHAnsi" w:hAnsiTheme="minorHAnsi" w:cstheme="minorHAnsi"/>
              </w:rPr>
              <w:t>[Day]  [Month]  [Year]</w:t>
            </w:r>
          </w:p>
        </w:tc>
        <w:tc>
          <w:tcPr>
            <w:tcW w:w="709" w:type="dxa"/>
            <w:tcMar>
              <w:left w:w="0" w:type="dxa"/>
              <w:right w:w="0" w:type="dxa"/>
            </w:tcMar>
          </w:tcPr>
          <w:p w14:paraId="07FF57EE" w14:textId="77777777" w:rsidR="00C91B5F" w:rsidRPr="005E4A1B" w:rsidRDefault="00C91B5F" w:rsidP="00EA74D0">
            <w:pPr>
              <w:rPr>
                <w:lang w:val="en-GB"/>
              </w:rPr>
            </w:pPr>
          </w:p>
        </w:tc>
        <w:tc>
          <w:tcPr>
            <w:tcW w:w="4111" w:type="dxa"/>
          </w:tcPr>
          <w:p w14:paraId="69DCEE5F" w14:textId="77777777" w:rsidR="00C91B5F" w:rsidRPr="005E4A1B" w:rsidRDefault="00C91B5F" w:rsidP="00EA74D0">
            <w:pPr>
              <w:pStyle w:val="Signed"/>
            </w:pPr>
            <w:r w:rsidRPr="00371518">
              <w:rPr>
                <w:rStyle w:val="Bold"/>
                <w:rFonts w:asciiTheme="minorHAnsi" w:hAnsiTheme="minorHAnsi" w:cstheme="minorHAnsi"/>
                <w:bCs w:val="0"/>
                <w:i w:val="0"/>
                <w:sz w:val="24"/>
                <w:szCs w:val="22"/>
              </w:rPr>
              <w:t>Signed</w:t>
            </w:r>
            <w:r w:rsidRPr="005E4A1B">
              <w:t xml:space="preserve"> for and on behalf of </w:t>
            </w:r>
            <w:r w:rsidR="00955BB9" w:rsidRPr="005E4A1B">
              <w:t xml:space="preserve">South Australia </w:t>
            </w:r>
            <w:r w:rsidRPr="005E4A1B">
              <w:t>by</w:t>
            </w:r>
          </w:p>
          <w:p w14:paraId="5BB19318" w14:textId="77777777" w:rsidR="00C91B5F" w:rsidRPr="005E4A1B" w:rsidRDefault="00C91B5F" w:rsidP="00EA74D0">
            <w:pPr>
              <w:pStyle w:val="LineForSignature"/>
            </w:pPr>
            <w:r w:rsidRPr="005E4A1B">
              <w:br/>
            </w:r>
            <w:r w:rsidRPr="005E4A1B">
              <w:tab/>
            </w:r>
          </w:p>
          <w:p w14:paraId="4664DEBA" w14:textId="77777777" w:rsidR="00C91B5F" w:rsidRPr="00371518" w:rsidRDefault="00C91B5F" w:rsidP="00EA74D0">
            <w:pPr>
              <w:pStyle w:val="SingleParagraph"/>
              <w:rPr>
                <w:rStyle w:val="Bold"/>
                <w:rFonts w:asciiTheme="minorHAnsi" w:hAnsiTheme="minorHAnsi" w:cstheme="minorHAnsi"/>
                <w:sz w:val="24"/>
                <w:szCs w:val="22"/>
              </w:rPr>
            </w:pPr>
            <w:r w:rsidRPr="00371518">
              <w:rPr>
                <w:rStyle w:val="Bold"/>
                <w:rFonts w:asciiTheme="minorHAnsi" w:hAnsiTheme="minorHAnsi" w:cstheme="minorHAnsi"/>
                <w:sz w:val="24"/>
                <w:szCs w:val="22"/>
              </w:rPr>
              <w:t xml:space="preserve">The </w:t>
            </w:r>
            <w:r w:rsidR="00955BB9" w:rsidRPr="00371518">
              <w:rPr>
                <w:rStyle w:val="Bold"/>
                <w:rFonts w:asciiTheme="minorHAnsi" w:hAnsiTheme="minorHAnsi" w:cstheme="minorHAnsi"/>
                <w:sz w:val="24"/>
                <w:szCs w:val="22"/>
              </w:rPr>
              <w:t xml:space="preserve">Honourable </w:t>
            </w:r>
            <w:r w:rsidR="004B70C5" w:rsidRPr="00371518">
              <w:rPr>
                <w:rStyle w:val="Bold"/>
                <w:rFonts w:asciiTheme="minorHAnsi" w:hAnsiTheme="minorHAnsi" w:cstheme="minorHAnsi"/>
                <w:sz w:val="24"/>
                <w:szCs w:val="22"/>
              </w:rPr>
              <w:t>Chris Picton</w:t>
            </w:r>
            <w:r w:rsidR="00955BB9" w:rsidRPr="00371518">
              <w:rPr>
                <w:rStyle w:val="Bold"/>
                <w:rFonts w:asciiTheme="minorHAnsi" w:hAnsiTheme="minorHAnsi" w:cstheme="minorHAnsi"/>
                <w:sz w:val="24"/>
                <w:szCs w:val="22"/>
              </w:rPr>
              <w:t xml:space="preserve"> </w:t>
            </w:r>
            <w:r w:rsidR="004B70C5" w:rsidRPr="00371518">
              <w:rPr>
                <w:rStyle w:val="Bold"/>
                <w:rFonts w:asciiTheme="minorHAnsi" w:hAnsiTheme="minorHAnsi" w:cstheme="minorHAnsi"/>
                <w:sz w:val="24"/>
                <w:szCs w:val="22"/>
              </w:rPr>
              <w:t>MP</w:t>
            </w:r>
          </w:p>
          <w:p w14:paraId="26C16BB3" w14:textId="77777777" w:rsidR="00C37416" w:rsidRPr="00371518" w:rsidRDefault="00C37416" w:rsidP="00371518">
            <w:pPr>
              <w:pStyle w:val="SingleParagraph"/>
              <w:rPr>
                <w:rFonts w:asciiTheme="minorHAnsi" w:hAnsiTheme="minorHAnsi" w:cstheme="minorHAnsi"/>
              </w:rPr>
            </w:pPr>
            <w:r w:rsidRPr="00371518">
              <w:rPr>
                <w:rFonts w:asciiTheme="minorHAnsi" w:hAnsiTheme="minorHAnsi" w:cstheme="minorHAnsi"/>
              </w:rPr>
              <w:t>Minister for Health</w:t>
            </w:r>
            <w:r w:rsidR="00955BB9" w:rsidRPr="00371518">
              <w:rPr>
                <w:rFonts w:asciiTheme="minorHAnsi" w:hAnsiTheme="minorHAnsi" w:cstheme="minorHAnsi"/>
              </w:rPr>
              <w:t xml:space="preserve"> and Wellbeing</w:t>
            </w:r>
          </w:p>
          <w:p w14:paraId="654D7B9B" w14:textId="77777777" w:rsidR="00C91B5F" w:rsidRPr="00371518" w:rsidRDefault="00C91B5F" w:rsidP="00371518">
            <w:pPr>
              <w:pStyle w:val="SingleParagraph"/>
              <w:rPr>
                <w:rFonts w:asciiTheme="minorHAnsi" w:hAnsiTheme="minorHAnsi" w:cstheme="minorHAnsi"/>
              </w:rPr>
            </w:pPr>
            <w:r w:rsidRPr="00371518">
              <w:rPr>
                <w:rFonts w:asciiTheme="minorHAnsi" w:hAnsiTheme="minorHAnsi" w:cstheme="minorHAnsi"/>
              </w:rPr>
              <w:t>[Day]  [Month]  [Year]</w:t>
            </w:r>
          </w:p>
          <w:p w14:paraId="688BD162" w14:textId="77777777" w:rsidR="00A12523" w:rsidRDefault="00A12523" w:rsidP="00EA74D0">
            <w:pPr>
              <w:rPr>
                <w:lang w:val="en-GB"/>
              </w:rPr>
            </w:pPr>
          </w:p>
          <w:p w14:paraId="56EC81E7" w14:textId="77777777" w:rsidR="00A12523" w:rsidRDefault="00A12523" w:rsidP="00EA74D0">
            <w:pPr>
              <w:rPr>
                <w:lang w:val="en-GB"/>
              </w:rPr>
            </w:pPr>
          </w:p>
          <w:p w14:paraId="4A406AEF" w14:textId="77777777" w:rsidR="00A12523" w:rsidRPr="00045F7E" w:rsidRDefault="00A12523" w:rsidP="00EA74D0">
            <w:pPr>
              <w:rPr>
                <w:lang w:val="en-GB"/>
              </w:rPr>
            </w:pPr>
          </w:p>
        </w:tc>
      </w:tr>
    </w:tbl>
    <w:p w14:paraId="2912C2D5" w14:textId="77777777" w:rsidR="00884E8F" w:rsidRPr="00045F7E" w:rsidRDefault="00C91B5F" w:rsidP="00EA74D0">
      <w:r w:rsidRPr="00045F7E">
        <w:rPr>
          <w:lang w:val="en-GB"/>
        </w:rPr>
        <w:t xml:space="preserve"> </w:t>
      </w:r>
    </w:p>
    <w:sectPr w:rsidR="00884E8F" w:rsidRPr="00045F7E" w:rsidSect="005664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55F65" w14:textId="77777777" w:rsidR="006C080C" w:rsidRDefault="006C080C" w:rsidP="00EA74D0">
      <w:r>
        <w:separator/>
      </w:r>
    </w:p>
  </w:endnote>
  <w:endnote w:type="continuationSeparator" w:id="0">
    <w:p w14:paraId="6BA31E29" w14:textId="77777777" w:rsidR="006C080C" w:rsidRDefault="006C080C" w:rsidP="00EA74D0">
      <w:r>
        <w:continuationSeparator/>
      </w:r>
    </w:p>
  </w:endnote>
  <w:endnote w:type="continuationNotice" w:id="1">
    <w:p w14:paraId="159FAA9A" w14:textId="77777777" w:rsidR="006C080C" w:rsidRDefault="006C08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C885D" w14:textId="77777777" w:rsidR="00FF1029" w:rsidRDefault="00FF1029" w:rsidP="00386026">
    <w:pPr>
      <w:pStyle w:val="Footer"/>
      <w:pBdr>
        <w:top w:val="single" w:sz="8" w:space="1" w:color="808080" w:themeColor="background1" w:themeShade="80"/>
      </w:pBdr>
      <w:rPr>
        <w:sz w:val="16"/>
        <w:szCs w:val="16"/>
      </w:rPr>
    </w:pPr>
    <w:r>
      <w:rPr>
        <w:sz w:val="16"/>
        <w:szCs w:val="16"/>
      </w:rPr>
      <w:t>M</w:t>
    </w:r>
    <w:r w:rsidRPr="00386026">
      <w:rPr>
        <w:sz w:val="16"/>
        <w:szCs w:val="16"/>
      </w:rPr>
      <w:t xml:space="preserve">ental Health and Suicide Prevention Bilateral </w:t>
    </w:r>
    <w:r>
      <w:rPr>
        <w:sz w:val="16"/>
        <w:szCs w:val="16"/>
      </w:rPr>
      <w:t>Schedule</w:t>
    </w:r>
    <w:r w:rsidRPr="00386026">
      <w:rPr>
        <w:sz w:val="16"/>
        <w:szCs w:val="16"/>
      </w:rPr>
      <w:t xml:space="preserve"> with </w:t>
    </w:r>
    <w:r w:rsidRPr="00CB0417">
      <w:rPr>
        <w:sz w:val="16"/>
        <w:szCs w:val="16"/>
      </w:rPr>
      <w:t>South Australia</w:t>
    </w:r>
    <w:r w:rsidRPr="00386026">
      <w:rPr>
        <w:sz w:val="16"/>
        <w:szCs w:val="16"/>
      </w:rPr>
      <w:tab/>
      <w:t xml:space="preserve">Page </w:t>
    </w:r>
    <w:r w:rsidRPr="00386026">
      <w:rPr>
        <w:sz w:val="16"/>
        <w:szCs w:val="16"/>
      </w:rPr>
      <w:fldChar w:fldCharType="begin"/>
    </w:r>
    <w:r w:rsidRPr="00386026">
      <w:rPr>
        <w:sz w:val="16"/>
        <w:szCs w:val="16"/>
      </w:rPr>
      <w:instrText xml:space="preserve"> PAGE  \* Arabic  \* MERGEFORMAT </w:instrText>
    </w:r>
    <w:r w:rsidRPr="00386026">
      <w:rPr>
        <w:sz w:val="16"/>
        <w:szCs w:val="16"/>
      </w:rPr>
      <w:fldChar w:fldCharType="separate"/>
    </w:r>
    <w:r>
      <w:rPr>
        <w:noProof/>
        <w:sz w:val="16"/>
        <w:szCs w:val="16"/>
      </w:rPr>
      <w:t>18</w:t>
    </w:r>
    <w:r w:rsidRPr="00386026">
      <w:rPr>
        <w:sz w:val="16"/>
        <w:szCs w:val="16"/>
      </w:rPr>
      <w:fldChar w:fldCharType="end"/>
    </w:r>
    <w:r w:rsidRPr="00386026">
      <w:rPr>
        <w:sz w:val="16"/>
        <w:szCs w:val="16"/>
      </w:rPr>
      <w:t xml:space="preserve"> of </w:t>
    </w:r>
    <w:r w:rsidRPr="00386026">
      <w:rPr>
        <w:sz w:val="16"/>
        <w:szCs w:val="16"/>
      </w:rPr>
      <w:fldChar w:fldCharType="begin"/>
    </w:r>
    <w:r w:rsidRPr="00386026">
      <w:rPr>
        <w:sz w:val="16"/>
        <w:szCs w:val="16"/>
      </w:rPr>
      <w:instrText xml:space="preserve"> NUMPAGES  \* Arabic  \* MERGEFORMAT </w:instrText>
    </w:r>
    <w:r w:rsidRPr="00386026">
      <w:rPr>
        <w:sz w:val="16"/>
        <w:szCs w:val="16"/>
      </w:rPr>
      <w:fldChar w:fldCharType="separate"/>
    </w:r>
    <w:r>
      <w:rPr>
        <w:noProof/>
        <w:sz w:val="16"/>
        <w:szCs w:val="16"/>
      </w:rPr>
      <w:t>22</w:t>
    </w:r>
    <w:r w:rsidRPr="00386026">
      <w:rPr>
        <w:sz w:val="16"/>
        <w:szCs w:val="16"/>
      </w:rPr>
      <w:fldChar w:fldCharType="end"/>
    </w:r>
  </w:p>
  <w:p w14:paraId="47484F72" w14:textId="77777777" w:rsidR="00FF1029" w:rsidRPr="00386026" w:rsidRDefault="00FF1029" w:rsidP="00386026">
    <w:pPr>
      <w:pStyle w:val="Footer"/>
      <w:pBdr>
        <w:top w:val="single" w:sz="8" w:space="1" w:color="808080" w:themeColor="background1" w:themeShade="80"/>
      </w:pBdr>
      <w:jc w:val="center"/>
      <w:rPr>
        <w:color w:val="FF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45716" w14:textId="77777777" w:rsidR="006C080C" w:rsidRDefault="006C080C" w:rsidP="00EA74D0">
      <w:r>
        <w:separator/>
      </w:r>
    </w:p>
  </w:footnote>
  <w:footnote w:type="continuationSeparator" w:id="0">
    <w:p w14:paraId="21C0485D" w14:textId="77777777" w:rsidR="006C080C" w:rsidRDefault="006C080C" w:rsidP="00EA74D0">
      <w:r>
        <w:continuationSeparator/>
      </w:r>
    </w:p>
  </w:footnote>
  <w:footnote w:type="continuationNotice" w:id="1">
    <w:p w14:paraId="170DA462" w14:textId="77777777" w:rsidR="006C080C" w:rsidRDefault="006C08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D8A3" w14:textId="77777777" w:rsidR="00B4170A" w:rsidRDefault="00B4170A" w:rsidP="00386026">
    <w:pPr>
      <w:pStyle w:val="Header"/>
      <w:jc w:val="center"/>
      <w:rPr>
        <w:color w:val="FF0000"/>
      </w:rPr>
    </w:pPr>
  </w:p>
  <w:p w14:paraId="61BAA520" w14:textId="77777777" w:rsidR="00B4170A" w:rsidRPr="00386026" w:rsidRDefault="00B4170A" w:rsidP="00386026">
    <w:pPr>
      <w:pStyle w:val="Header"/>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814EA84"/>
    <w:lvl w:ilvl="0">
      <w:start w:val="1"/>
      <w:numFmt w:val="bullet"/>
      <w:pStyle w:val="Normalnumbered"/>
      <w:lvlText w:val=""/>
      <w:lvlJc w:val="left"/>
      <w:pPr>
        <w:tabs>
          <w:tab w:val="num" w:pos="360"/>
        </w:tabs>
        <w:ind w:left="360" w:hanging="360"/>
      </w:pPr>
      <w:rPr>
        <w:rFonts w:ascii="Symbol" w:hAnsi="Symbol" w:hint="default"/>
      </w:rPr>
    </w:lvl>
  </w:abstractNum>
  <w:abstractNum w:abstractNumId="1" w15:restartNumberingAfterBreak="0">
    <w:nsid w:val="00474BB5"/>
    <w:multiLevelType w:val="hybridMultilevel"/>
    <w:tmpl w:val="5D4ECEB4"/>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2" w15:restartNumberingAfterBreak="0">
    <w:nsid w:val="006266A1"/>
    <w:multiLevelType w:val="hybridMultilevel"/>
    <w:tmpl w:val="88B407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A1361D"/>
    <w:multiLevelType w:val="hybridMultilevel"/>
    <w:tmpl w:val="E824660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DD4CEF"/>
    <w:multiLevelType w:val="hybridMultilevel"/>
    <w:tmpl w:val="EF42713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330F92"/>
    <w:multiLevelType w:val="multilevel"/>
    <w:tmpl w:val="FCF6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26015C"/>
    <w:multiLevelType w:val="hybridMultilevel"/>
    <w:tmpl w:val="D1343B5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DB3AE7"/>
    <w:multiLevelType w:val="multilevel"/>
    <w:tmpl w:val="C42E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183D1B"/>
    <w:multiLevelType w:val="multilevel"/>
    <w:tmpl w:val="DF38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603976"/>
    <w:multiLevelType w:val="multilevel"/>
    <w:tmpl w:val="492A5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9C3FDF"/>
    <w:multiLevelType w:val="multilevel"/>
    <w:tmpl w:val="0AEE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3B4851"/>
    <w:multiLevelType w:val="hybridMultilevel"/>
    <w:tmpl w:val="EB5022B2"/>
    <w:lvl w:ilvl="0" w:tplc="FC76C6C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E40922"/>
    <w:multiLevelType w:val="multilevel"/>
    <w:tmpl w:val="1838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FE1CA6"/>
    <w:multiLevelType w:val="hybridMultilevel"/>
    <w:tmpl w:val="4210E098"/>
    <w:lvl w:ilvl="0" w:tplc="0C09000F">
      <w:start w:val="1"/>
      <w:numFmt w:val="decimal"/>
      <w:lvlText w:val="%1."/>
      <w:lvlJc w:val="left"/>
      <w:pPr>
        <w:ind w:left="720" w:hanging="360"/>
      </w:pPr>
      <w:rPr>
        <w:rFonts w:hint="default"/>
      </w:rPr>
    </w:lvl>
    <w:lvl w:ilvl="1" w:tplc="D6B6A13C">
      <w:start w:val="1"/>
      <w:numFmt w:val="lowerLetter"/>
      <w:lvlText w:val="%2."/>
      <w:lvlJc w:val="left"/>
      <w:pPr>
        <w:ind w:left="1353" w:hanging="360"/>
      </w:pPr>
      <w:rPr>
        <w:i w:val="0"/>
        <w:iCs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80E7D7D"/>
    <w:multiLevelType w:val="multilevel"/>
    <w:tmpl w:val="9E48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97133E"/>
    <w:multiLevelType w:val="hybridMultilevel"/>
    <w:tmpl w:val="BFDCF37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5AAD598F"/>
    <w:multiLevelType w:val="hybridMultilevel"/>
    <w:tmpl w:val="02FAA6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2A5136"/>
    <w:multiLevelType w:val="multilevel"/>
    <w:tmpl w:val="B780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4C7C9E"/>
    <w:multiLevelType w:val="multilevel"/>
    <w:tmpl w:val="2F2E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3B4AFD"/>
    <w:multiLevelType w:val="hybridMultilevel"/>
    <w:tmpl w:val="348C4934"/>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D46600"/>
    <w:multiLevelType w:val="multilevel"/>
    <w:tmpl w:val="A0C6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CB06B1"/>
    <w:multiLevelType w:val="multilevel"/>
    <w:tmpl w:val="E7EA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854AAC"/>
    <w:multiLevelType w:val="multilevel"/>
    <w:tmpl w:val="1750A43A"/>
    <w:lvl w:ilvl="0">
      <w:start w:val="1"/>
      <w:numFmt w:val="decimal"/>
      <w:pStyle w:val="Paragraphnumbering"/>
      <w:lvlText w:val="%1."/>
      <w:lvlJc w:val="left"/>
      <w:pPr>
        <w:tabs>
          <w:tab w:val="num" w:pos="567"/>
        </w:tabs>
        <w:ind w:left="567" w:hanging="567"/>
      </w:pPr>
      <w:rPr>
        <w:rFonts w:cs="Times New Roman" w:hint="default"/>
        <w:b w:val="0"/>
        <w:sz w:val="23"/>
        <w:szCs w:val="23"/>
      </w:rPr>
    </w:lvl>
    <w:lvl w:ilvl="1">
      <w:start w:val="1"/>
      <w:numFmt w:val="lowerLetter"/>
      <w:lvlText w:val="%2."/>
      <w:lvlJc w:val="left"/>
      <w:pPr>
        <w:tabs>
          <w:tab w:val="num" w:pos="924"/>
        </w:tabs>
        <w:ind w:left="924" w:hanging="357"/>
      </w:pPr>
      <w:rPr>
        <w:rFonts w:cs="Times New Roman" w:hint="default"/>
      </w:rPr>
    </w:lvl>
    <w:lvl w:ilvl="2">
      <w:start w:val="1"/>
      <w:numFmt w:val="lowerRoman"/>
      <w:lvlText w:val="%3."/>
      <w:lvlJc w:val="left"/>
      <w:pPr>
        <w:tabs>
          <w:tab w:val="num" w:pos="1281"/>
        </w:tabs>
        <w:ind w:left="1281" w:hanging="357"/>
      </w:pPr>
      <w:rPr>
        <w:rFonts w:cs="Times New Roman" w:hint="default"/>
      </w:rPr>
    </w:lvl>
    <w:lvl w:ilvl="3">
      <w:start w:val="1"/>
      <w:numFmt w:val="decimal"/>
      <w:lvlText w:val="(%4)"/>
      <w:lvlJc w:val="left"/>
      <w:pPr>
        <w:tabs>
          <w:tab w:val="num" w:pos="1639"/>
        </w:tabs>
        <w:ind w:left="1639" w:hanging="358"/>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16cid:durableId="1082723663">
    <w:abstractNumId w:val="22"/>
  </w:num>
  <w:num w:numId="2" w16cid:durableId="1625696746">
    <w:abstractNumId w:val="16"/>
  </w:num>
  <w:num w:numId="3" w16cid:durableId="1548568339">
    <w:abstractNumId w:val="19"/>
  </w:num>
  <w:num w:numId="4" w16cid:durableId="255483026">
    <w:abstractNumId w:val="0"/>
  </w:num>
  <w:num w:numId="5" w16cid:durableId="269749789">
    <w:abstractNumId w:val="13"/>
  </w:num>
  <w:num w:numId="6" w16cid:durableId="186601655">
    <w:abstractNumId w:val="6"/>
  </w:num>
  <w:num w:numId="7" w16cid:durableId="460150568">
    <w:abstractNumId w:val="2"/>
  </w:num>
  <w:num w:numId="8" w16cid:durableId="1680618331">
    <w:abstractNumId w:val="4"/>
  </w:num>
  <w:num w:numId="9" w16cid:durableId="531386425">
    <w:abstractNumId w:val="15"/>
  </w:num>
  <w:num w:numId="10" w16cid:durableId="1705709341">
    <w:abstractNumId w:val="2"/>
  </w:num>
  <w:num w:numId="11" w16cid:durableId="815074709">
    <w:abstractNumId w:val="3"/>
  </w:num>
  <w:num w:numId="12" w16cid:durableId="1233126381">
    <w:abstractNumId w:val="1"/>
  </w:num>
  <w:num w:numId="13" w16cid:durableId="1556769384">
    <w:abstractNumId w:val="11"/>
  </w:num>
  <w:num w:numId="14" w16cid:durableId="180512090">
    <w:abstractNumId w:val="5"/>
  </w:num>
  <w:num w:numId="15" w16cid:durableId="1203205133">
    <w:abstractNumId w:val="17"/>
  </w:num>
  <w:num w:numId="16" w16cid:durableId="1392773844">
    <w:abstractNumId w:val="18"/>
  </w:num>
  <w:num w:numId="17" w16cid:durableId="71783780">
    <w:abstractNumId w:val="10"/>
  </w:num>
  <w:num w:numId="18" w16cid:durableId="1552038765">
    <w:abstractNumId w:val="12"/>
  </w:num>
  <w:num w:numId="19" w16cid:durableId="107822200">
    <w:abstractNumId w:val="7"/>
  </w:num>
  <w:num w:numId="20" w16cid:durableId="1941528050">
    <w:abstractNumId w:val="8"/>
  </w:num>
  <w:num w:numId="21" w16cid:durableId="435907618">
    <w:abstractNumId w:val="20"/>
  </w:num>
  <w:num w:numId="22" w16cid:durableId="263540904">
    <w:abstractNumId w:val="21"/>
  </w:num>
  <w:num w:numId="23" w16cid:durableId="902176180">
    <w:abstractNumId w:val="9"/>
  </w:num>
  <w:num w:numId="24" w16cid:durableId="190802734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B5F"/>
    <w:rsid w:val="00000139"/>
    <w:rsid w:val="000019FC"/>
    <w:rsid w:val="000022A0"/>
    <w:rsid w:val="00002D6B"/>
    <w:rsid w:val="00004614"/>
    <w:rsid w:val="00004FBA"/>
    <w:rsid w:val="00006710"/>
    <w:rsid w:val="00006AEE"/>
    <w:rsid w:val="00006AF4"/>
    <w:rsid w:val="00006B0F"/>
    <w:rsid w:val="00006C78"/>
    <w:rsid w:val="0001283D"/>
    <w:rsid w:val="00013BD5"/>
    <w:rsid w:val="00014137"/>
    <w:rsid w:val="00015AB1"/>
    <w:rsid w:val="00015DAD"/>
    <w:rsid w:val="0001750B"/>
    <w:rsid w:val="000176C7"/>
    <w:rsid w:val="00020677"/>
    <w:rsid w:val="0003063A"/>
    <w:rsid w:val="000311F9"/>
    <w:rsid w:val="00032DB2"/>
    <w:rsid w:val="00033640"/>
    <w:rsid w:val="00035286"/>
    <w:rsid w:val="000371DE"/>
    <w:rsid w:val="000375C8"/>
    <w:rsid w:val="00040F5B"/>
    <w:rsid w:val="00041A33"/>
    <w:rsid w:val="00041E0F"/>
    <w:rsid w:val="00042CC6"/>
    <w:rsid w:val="000447A1"/>
    <w:rsid w:val="0004564A"/>
    <w:rsid w:val="00045F7E"/>
    <w:rsid w:val="00046313"/>
    <w:rsid w:val="000516AA"/>
    <w:rsid w:val="00055F52"/>
    <w:rsid w:val="00061469"/>
    <w:rsid w:val="000636B3"/>
    <w:rsid w:val="00070034"/>
    <w:rsid w:val="00071C54"/>
    <w:rsid w:val="00071FF4"/>
    <w:rsid w:val="00073126"/>
    <w:rsid w:val="00074C51"/>
    <w:rsid w:val="0007540E"/>
    <w:rsid w:val="00077198"/>
    <w:rsid w:val="00082432"/>
    <w:rsid w:val="00083BC0"/>
    <w:rsid w:val="00083F7C"/>
    <w:rsid w:val="00087631"/>
    <w:rsid w:val="00087878"/>
    <w:rsid w:val="000908D2"/>
    <w:rsid w:val="00090EAA"/>
    <w:rsid w:val="00092615"/>
    <w:rsid w:val="00095819"/>
    <w:rsid w:val="000A152F"/>
    <w:rsid w:val="000A332C"/>
    <w:rsid w:val="000A3F6A"/>
    <w:rsid w:val="000A49F1"/>
    <w:rsid w:val="000A61E4"/>
    <w:rsid w:val="000A6A10"/>
    <w:rsid w:val="000A6A8A"/>
    <w:rsid w:val="000A7E17"/>
    <w:rsid w:val="000B0431"/>
    <w:rsid w:val="000B163A"/>
    <w:rsid w:val="000B1679"/>
    <w:rsid w:val="000B4DB4"/>
    <w:rsid w:val="000B5F1F"/>
    <w:rsid w:val="000B756F"/>
    <w:rsid w:val="000B75AC"/>
    <w:rsid w:val="000B798C"/>
    <w:rsid w:val="000C1781"/>
    <w:rsid w:val="000C397D"/>
    <w:rsid w:val="000C5C40"/>
    <w:rsid w:val="000D2351"/>
    <w:rsid w:val="000D28E0"/>
    <w:rsid w:val="000D2A2A"/>
    <w:rsid w:val="000D4138"/>
    <w:rsid w:val="000D5665"/>
    <w:rsid w:val="000E1E4D"/>
    <w:rsid w:val="000E2F93"/>
    <w:rsid w:val="000E3708"/>
    <w:rsid w:val="000F2CBA"/>
    <w:rsid w:val="000F37D6"/>
    <w:rsid w:val="001001D5"/>
    <w:rsid w:val="001025BD"/>
    <w:rsid w:val="00104071"/>
    <w:rsid w:val="001047C1"/>
    <w:rsid w:val="00104D4E"/>
    <w:rsid w:val="00104FD5"/>
    <w:rsid w:val="001052D5"/>
    <w:rsid w:val="001069A2"/>
    <w:rsid w:val="0011105B"/>
    <w:rsid w:val="001117A5"/>
    <w:rsid w:val="00111E87"/>
    <w:rsid w:val="00113762"/>
    <w:rsid w:val="001138B5"/>
    <w:rsid w:val="00116076"/>
    <w:rsid w:val="001207D9"/>
    <w:rsid w:val="00122884"/>
    <w:rsid w:val="0012759B"/>
    <w:rsid w:val="00131F9B"/>
    <w:rsid w:val="00132123"/>
    <w:rsid w:val="00133AA3"/>
    <w:rsid w:val="00133BB2"/>
    <w:rsid w:val="00135DAA"/>
    <w:rsid w:val="00136BAB"/>
    <w:rsid w:val="0014186B"/>
    <w:rsid w:val="0014348C"/>
    <w:rsid w:val="001442C3"/>
    <w:rsid w:val="001445E1"/>
    <w:rsid w:val="0015023A"/>
    <w:rsid w:val="00151527"/>
    <w:rsid w:val="00151728"/>
    <w:rsid w:val="00153B27"/>
    <w:rsid w:val="00154AA2"/>
    <w:rsid w:val="00156CB1"/>
    <w:rsid w:val="00157449"/>
    <w:rsid w:val="0016325E"/>
    <w:rsid w:val="00163D64"/>
    <w:rsid w:val="00165283"/>
    <w:rsid w:val="00170516"/>
    <w:rsid w:val="00170811"/>
    <w:rsid w:val="00172020"/>
    <w:rsid w:val="0017274F"/>
    <w:rsid w:val="00176EC7"/>
    <w:rsid w:val="0017740A"/>
    <w:rsid w:val="00181828"/>
    <w:rsid w:val="00182BB0"/>
    <w:rsid w:val="001837CB"/>
    <w:rsid w:val="001914A3"/>
    <w:rsid w:val="00192B0A"/>
    <w:rsid w:val="00195EFB"/>
    <w:rsid w:val="00196155"/>
    <w:rsid w:val="001A20CF"/>
    <w:rsid w:val="001A40B1"/>
    <w:rsid w:val="001A4580"/>
    <w:rsid w:val="001A6156"/>
    <w:rsid w:val="001A7CD0"/>
    <w:rsid w:val="001B36E4"/>
    <w:rsid w:val="001B49D9"/>
    <w:rsid w:val="001B65A3"/>
    <w:rsid w:val="001C56BF"/>
    <w:rsid w:val="001C5ABE"/>
    <w:rsid w:val="001C7920"/>
    <w:rsid w:val="001D3D27"/>
    <w:rsid w:val="001E2F1B"/>
    <w:rsid w:val="001E2FDC"/>
    <w:rsid w:val="001E3472"/>
    <w:rsid w:val="001E6CEF"/>
    <w:rsid w:val="001E7B9A"/>
    <w:rsid w:val="001F17A4"/>
    <w:rsid w:val="001F19FE"/>
    <w:rsid w:val="001F4BE1"/>
    <w:rsid w:val="001F5112"/>
    <w:rsid w:val="001F639B"/>
    <w:rsid w:val="001F64FD"/>
    <w:rsid w:val="001F6B34"/>
    <w:rsid w:val="001F746D"/>
    <w:rsid w:val="001F7FCE"/>
    <w:rsid w:val="00200E8D"/>
    <w:rsid w:val="00207B31"/>
    <w:rsid w:val="00210136"/>
    <w:rsid w:val="00210EC9"/>
    <w:rsid w:val="00210F76"/>
    <w:rsid w:val="002131D3"/>
    <w:rsid w:val="00216D50"/>
    <w:rsid w:val="00221C45"/>
    <w:rsid w:val="00226726"/>
    <w:rsid w:val="00227BF1"/>
    <w:rsid w:val="00244D9D"/>
    <w:rsid w:val="00246A69"/>
    <w:rsid w:val="00250E93"/>
    <w:rsid w:val="00250EB6"/>
    <w:rsid w:val="00253BF2"/>
    <w:rsid w:val="00253EF2"/>
    <w:rsid w:val="00253F45"/>
    <w:rsid w:val="00255EEA"/>
    <w:rsid w:val="0026122A"/>
    <w:rsid w:val="00262227"/>
    <w:rsid w:val="00266431"/>
    <w:rsid w:val="00266581"/>
    <w:rsid w:val="00266B92"/>
    <w:rsid w:val="002705F1"/>
    <w:rsid w:val="00271A14"/>
    <w:rsid w:val="00272299"/>
    <w:rsid w:val="00272902"/>
    <w:rsid w:val="002729B9"/>
    <w:rsid w:val="0028500B"/>
    <w:rsid w:val="00285DEC"/>
    <w:rsid w:val="00286334"/>
    <w:rsid w:val="0028635A"/>
    <w:rsid w:val="00286AC8"/>
    <w:rsid w:val="002906C6"/>
    <w:rsid w:val="002912A5"/>
    <w:rsid w:val="0029313C"/>
    <w:rsid w:val="002932B6"/>
    <w:rsid w:val="002949ED"/>
    <w:rsid w:val="00295C49"/>
    <w:rsid w:val="002A2C68"/>
    <w:rsid w:val="002A56D2"/>
    <w:rsid w:val="002B1107"/>
    <w:rsid w:val="002B6DD1"/>
    <w:rsid w:val="002B7ED3"/>
    <w:rsid w:val="002C09D0"/>
    <w:rsid w:val="002C2284"/>
    <w:rsid w:val="002C2406"/>
    <w:rsid w:val="002C3828"/>
    <w:rsid w:val="002D16A9"/>
    <w:rsid w:val="002D35D2"/>
    <w:rsid w:val="002D76FA"/>
    <w:rsid w:val="002E0E98"/>
    <w:rsid w:val="002E1F98"/>
    <w:rsid w:val="002E2729"/>
    <w:rsid w:val="002E4D48"/>
    <w:rsid w:val="002E7957"/>
    <w:rsid w:val="002F06AE"/>
    <w:rsid w:val="002F5ADE"/>
    <w:rsid w:val="002F5B71"/>
    <w:rsid w:val="003002EF"/>
    <w:rsid w:val="00300B85"/>
    <w:rsid w:val="003011B8"/>
    <w:rsid w:val="003013CF"/>
    <w:rsid w:val="00301492"/>
    <w:rsid w:val="003024BA"/>
    <w:rsid w:val="0030256E"/>
    <w:rsid w:val="003036C9"/>
    <w:rsid w:val="003046F6"/>
    <w:rsid w:val="003056A9"/>
    <w:rsid w:val="0030595E"/>
    <w:rsid w:val="003060AF"/>
    <w:rsid w:val="00317FB3"/>
    <w:rsid w:val="003312FE"/>
    <w:rsid w:val="00333070"/>
    <w:rsid w:val="0033328F"/>
    <w:rsid w:val="00333636"/>
    <w:rsid w:val="00333DB6"/>
    <w:rsid w:val="003341C9"/>
    <w:rsid w:val="00334E58"/>
    <w:rsid w:val="00334F71"/>
    <w:rsid w:val="00335522"/>
    <w:rsid w:val="00336615"/>
    <w:rsid w:val="00336FFF"/>
    <w:rsid w:val="003439AB"/>
    <w:rsid w:val="00343C04"/>
    <w:rsid w:val="003446BB"/>
    <w:rsid w:val="00345816"/>
    <w:rsid w:val="00350151"/>
    <w:rsid w:val="00360BC9"/>
    <w:rsid w:val="0036329F"/>
    <w:rsid w:val="00364E4F"/>
    <w:rsid w:val="00366FA5"/>
    <w:rsid w:val="00367803"/>
    <w:rsid w:val="00371518"/>
    <w:rsid w:val="00371527"/>
    <w:rsid w:val="003722B2"/>
    <w:rsid w:val="00373353"/>
    <w:rsid w:val="00373A17"/>
    <w:rsid w:val="00374280"/>
    <w:rsid w:val="003753F4"/>
    <w:rsid w:val="00375CBE"/>
    <w:rsid w:val="00380E73"/>
    <w:rsid w:val="00382381"/>
    <w:rsid w:val="00383885"/>
    <w:rsid w:val="00386026"/>
    <w:rsid w:val="00386F73"/>
    <w:rsid w:val="00391390"/>
    <w:rsid w:val="00391851"/>
    <w:rsid w:val="003A0B9B"/>
    <w:rsid w:val="003A1F0E"/>
    <w:rsid w:val="003A232E"/>
    <w:rsid w:val="003A3216"/>
    <w:rsid w:val="003A5BD3"/>
    <w:rsid w:val="003B1ECF"/>
    <w:rsid w:val="003B6B6F"/>
    <w:rsid w:val="003B7568"/>
    <w:rsid w:val="003C0288"/>
    <w:rsid w:val="003C0F66"/>
    <w:rsid w:val="003C2400"/>
    <w:rsid w:val="003C7D9E"/>
    <w:rsid w:val="003D09D7"/>
    <w:rsid w:val="003D1177"/>
    <w:rsid w:val="003D18A7"/>
    <w:rsid w:val="003D2ED4"/>
    <w:rsid w:val="003D324E"/>
    <w:rsid w:val="003D3738"/>
    <w:rsid w:val="003D49F5"/>
    <w:rsid w:val="003D50D9"/>
    <w:rsid w:val="003D5F45"/>
    <w:rsid w:val="003F0BDB"/>
    <w:rsid w:val="003F3817"/>
    <w:rsid w:val="003F5120"/>
    <w:rsid w:val="003F5147"/>
    <w:rsid w:val="003F5612"/>
    <w:rsid w:val="003F5635"/>
    <w:rsid w:val="003F6F54"/>
    <w:rsid w:val="004011D9"/>
    <w:rsid w:val="00401510"/>
    <w:rsid w:val="00406270"/>
    <w:rsid w:val="00410428"/>
    <w:rsid w:val="0041199B"/>
    <w:rsid w:val="0041575E"/>
    <w:rsid w:val="00422E27"/>
    <w:rsid w:val="004259BD"/>
    <w:rsid w:val="00426099"/>
    <w:rsid w:val="00431470"/>
    <w:rsid w:val="00432830"/>
    <w:rsid w:val="00432E7E"/>
    <w:rsid w:val="0043419D"/>
    <w:rsid w:val="0043455D"/>
    <w:rsid w:val="00437310"/>
    <w:rsid w:val="00440196"/>
    <w:rsid w:val="00446812"/>
    <w:rsid w:val="00447E4B"/>
    <w:rsid w:val="00450B7C"/>
    <w:rsid w:val="00455D17"/>
    <w:rsid w:val="004617BB"/>
    <w:rsid w:val="00462440"/>
    <w:rsid w:val="0046347F"/>
    <w:rsid w:val="00464D4C"/>
    <w:rsid w:val="00465385"/>
    <w:rsid w:val="00466589"/>
    <w:rsid w:val="00470821"/>
    <w:rsid w:val="00470BFA"/>
    <w:rsid w:val="00473005"/>
    <w:rsid w:val="00474774"/>
    <w:rsid w:val="004806CC"/>
    <w:rsid w:val="00481030"/>
    <w:rsid w:val="0048113B"/>
    <w:rsid w:val="004830DB"/>
    <w:rsid w:val="00484A85"/>
    <w:rsid w:val="00486828"/>
    <w:rsid w:val="004870C2"/>
    <w:rsid w:val="00491122"/>
    <w:rsid w:val="004943A5"/>
    <w:rsid w:val="004A33BE"/>
    <w:rsid w:val="004A365A"/>
    <w:rsid w:val="004A41E0"/>
    <w:rsid w:val="004B012D"/>
    <w:rsid w:val="004B5EA2"/>
    <w:rsid w:val="004B70C5"/>
    <w:rsid w:val="004B7AF6"/>
    <w:rsid w:val="004C01DA"/>
    <w:rsid w:val="004C0FDC"/>
    <w:rsid w:val="004C424F"/>
    <w:rsid w:val="004C45AD"/>
    <w:rsid w:val="004C4E53"/>
    <w:rsid w:val="004C5DD2"/>
    <w:rsid w:val="004C7F0D"/>
    <w:rsid w:val="004D0836"/>
    <w:rsid w:val="004D1F04"/>
    <w:rsid w:val="004D3E10"/>
    <w:rsid w:val="004D400E"/>
    <w:rsid w:val="004E1DB1"/>
    <w:rsid w:val="004E2807"/>
    <w:rsid w:val="004E7035"/>
    <w:rsid w:val="004F3BC2"/>
    <w:rsid w:val="004F7CA7"/>
    <w:rsid w:val="0050175D"/>
    <w:rsid w:val="00502ABF"/>
    <w:rsid w:val="0050445F"/>
    <w:rsid w:val="00504DC8"/>
    <w:rsid w:val="00506209"/>
    <w:rsid w:val="00506C4B"/>
    <w:rsid w:val="005128D0"/>
    <w:rsid w:val="005170C2"/>
    <w:rsid w:val="00517631"/>
    <w:rsid w:val="00523602"/>
    <w:rsid w:val="0052464D"/>
    <w:rsid w:val="00525E84"/>
    <w:rsid w:val="00527833"/>
    <w:rsid w:val="00530A92"/>
    <w:rsid w:val="00533A31"/>
    <w:rsid w:val="005343C4"/>
    <w:rsid w:val="005420F3"/>
    <w:rsid w:val="005457F7"/>
    <w:rsid w:val="00546AD1"/>
    <w:rsid w:val="00547F55"/>
    <w:rsid w:val="00550162"/>
    <w:rsid w:val="005509DC"/>
    <w:rsid w:val="00550F61"/>
    <w:rsid w:val="005540D7"/>
    <w:rsid w:val="005543AA"/>
    <w:rsid w:val="0055495D"/>
    <w:rsid w:val="00554B31"/>
    <w:rsid w:val="005553F5"/>
    <w:rsid w:val="00561FB7"/>
    <w:rsid w:val="005631EA"/>
    <w:rsid w:val="00564FEF"/>
    <w:rsid w:val="0056539A"/>
    <w:rsid w:val="00565DE9"/>
    <w:rsid w:val="00566471"/>
    <w:rsid w:val="005674F9"/>
    <w:rsid w:val="00572F6E"/>
    <w:rsid w:val="00574513"/>
    <w:rsid w:val="0057482C"/>
    <w:rsid w:val="00575AA9"/>
    <w:rsid w:val="00575BC0"/>
    <w:rsid w:val="00576612"/>
    <w:rsid w:val="00576D11"/>
    <w:rsid w:val="00577825"/>
    <w:rsid w:val="0058037F"/>
    <w:rsid w:val="00583E53"/>
    <w:rsid w:val="0058571E"/>
    <w:rsid w:val="00594378"/>
    <w:rsid w:val="005950DD"/>
    <w:rsid w:val="005A23B1"/>
    <w:rsid w:val="005A3FA0"/>
    <w:rsid w:val="005A5846"/>
    <w:rsid w:val="005B1A4C"/>
    <w:rsid w:val="005B2C99"/>
    <w:rsid w:val="005B6326"/>
    <w:rsid w:val="005B6830"/>
    <w:rsid w:val="005B6D9D"/>
    <w:rsid w:val="005B7C34"/>
    <w:rsid w:val="005C35EF"/>
    <w:rsid w:val="005C4A3B"/>
    <w:rsid w:val="005C4A52"/>
    <w:rsid w:val="005C5675"/>
    <w:rsid w:val="005D32FA"/>
    <w:rsid w:val="005D6AD2"/>
    <w:rsid w:val="005E1DED"/>
    <w:rsid w:val="005E2DA6"/>
    <w:rsid w:val="005E35DC"/>
    <w:rsid w:val="005E4A1B"/>
    <w:rsid w:val="005E4CC4"/>
    <w:rsid w:val="005E684E"/>
    <w:rsid w:val="005F09ED"/>
    <w:rsid w:val="005F3E33"/>
    <w:rsid w:val="005F47E6"/>
    <w:rsid w:val="005F6234"/>
    <w:rsid w:val="005F7867"/>
    <w:rsid w:val="005F7F7A"/>
    <w:rsid w:val="00600596"/>
    <w:rsid w:val="00604FD6"/>
    <w:rsid w:val="006057F4"/>
    <w:rsid w:val="0061126C"/>
    <w:rsid w:val="00612083"/>
    <w:rsid w:val="00612E43"/>
    <w:rsid w:val="00614384"/>
    <w:rsid w:val="00617ADA"/>
    <w:rsid w:val="00622798"/>
    <w:rsid w:val="00622E9C"/>
    <w:rsid w:val="00631754"/>
    <w:rsid w:val="00635845"/>
    <w:rsid w:val="006420EB"/>
    <w:rsid w:val="00644554"/>
    <w:rsid w:val="00645959"/>
    <w:rsid w:val="00647448"/>
    <w:rsid w:val="0065092F"/>
    <w:rsid w:val="00650A40"/>
    <w:rsid w:val="006512F9"/>
    <w:rsid w:val="006516D5"/>
    <w:rsid w:val="00651B09"/>
    <w:rsid w:val="00654199"/>
    <w:rsid w:val="0065526D"/>
    <w:rsid w:val="00655774"/>
    <w:rsid w:val="00655935"/>
    <w:rsid w:val="0065682C"/>
    <w:rsid w:val="006614CF"/>
    <w:rsid w:val="0066160B"/>
    <w:rsid w:val="00662389"/>
    <w:rsid w:val="006623F4"/>
    <w:rsid w:val="006636AA"/>
    <w:rsid w:val="0066511F"/>
    <w:rsid w:val="006663D3"/>
    <w:rsid w:val="00666F0C"/>
    <w:rsid w:val="0067210E"/>
    <w:rsid w:val="00673477"/>
    <w:rsid w:val="00675B40"/>
    <w:rsid w:val="00677A8E"/>
    <w:rsid w:val="006812EF"/>
    <w:rsid w:val="0068433E"/>
    <w:rsid w:val="00686C7E"/>
    <w:rsid w:val="006874CC"/>
    <w:rsid w:val="00691AB9"/>
    <w:rsid w:val="00694AA9"/>
    <w:rsid w:val="006960D6"/>
    <w:rsid w:val="006A1596"/>
    <w:rsid w:val="006A2727"/>
    <w:rsid w:val="006A58E9"/>
    <w:rsid w:val="006A621B"/>
    <w:rsid w:val="006A7990"/>
    <w:rsid w:val="006B12D3"/>
    <w:rsid w:val="006B29B9"/>
    <w:rsid w:val="006B2F4A"/>
    <w:rsid w:val="006B59E6"/>
    <w:rsid w:val="006B6E73"/>
    <w:rsid w:val="006B7EBE"/>
    <w:rsid w:val="006B7F17"/>
    <w:rsid w:val="006C080C"/>
    <w:rsid w:val="006C1372"/>
    <w:rsid w:val="006C6365"/>
    <w:rsid w:val="006C64EE"/>
    <w:rsid w:val="006D00BD"/>
    <w:rsid w:val="006D2CE9"/>
    <w:rsid w:val="006D365A"/>
    <w:rsid w:val="006D5995"/>
    <w:rsid w:val="006E14B4"/>
    <w:rsid w:val="006E371F"/>
    <w:rsid w:val="006E6ACD"/>
    <w:rsid w:val="006F1D24"/>
    <w:rsid w:val="006F2CA1"/>
    <w:rsid w:val="006F5B4A"/>
    <w:rsid w:val="00701EF7"/>
    <w:rsid w:val="00710363"/>
    <w:rsid w:val="00711E5B"/>
    <w:rsid w:val="007121A2"/>
    <w:rsid w:val="00714336"/>
    <w:rsid w:val="00714F4D"/>
    <w:rsid w:val="00715289"/>
    <w:rsid w:val="0071647B"/>
    <w:rsid w:val="00716862"/>
    <w:rsid w:val="00716CE3"/>
    <w:rsid w:val="0072068A"/>
    <w:rsid w:val="00721662"/>
    <w:rsid w:val="00722430"/>
    <w:rsid w:val="007250E5"/>
    <w:rsid w:val="007260E7"/>
    <w:rsid w:val="0072659E"/>
    <w:rsid w:val="00726DB6"/>
    <w:rsid w:val="00732BE4"/>
    <w:rsid w:val="00734737"/>
    <w:rsid w:val="007447EA"/>
    <w:rsid w:val="00744E82"/>
    <w:rsid w:val="00750FB2"/>
    <w:rsid w:val="00764714"/>
    <w:rsid w:val="00765575"/>
    <w:rsid w:val="0076656D"/>
    <w:rsid w:val="00766E34"/>
    <w:rsid w:val="0078075E"/>
    <w:rsid w:val="00781786"/>
    <w:rsid w:val="007867A3"/>
    <w:rsid w:val="007932B0"/>
    <w:rsid w:val="00795236"/>
    <w:rsid w:val="00795936"/>
    <w:rsid w:val="00796258"/>
    <w:rsid w:val="007967DD"/>
    <w:rsid w:val="0079774A"/>
    <w:rsid w:val="00797803"/>
    <w:rsid w:val="00797F2F"/>
    <w:rsid w:val="007A26BE"/>
    <w:rsid w:val="007A5FAD"/>
    <w:rsid w:val="007A7E99"/>
    <w:rsid w:val="007B6DEB"/>
    <w:rsid w:val="007B77D0"/>
    <w:rsid w:val="007B7DE0"/>
    <w:rsid w:val="007C08AB"/>
    <w:rsid w:val="007C0C55"/>
    <w:rsid w:val="007C1CAA"/>
    <w:rsid w:val="007C2A5D"/>
    <w:rsid w:val="007D28D1"/>
    <w:rsid w:val="007D6209"/>
    <w:rsid w:val="007D69C5"/>
    <w:rsid w:val="007E16F1"/>
    <w:rsid w:val="007E2080"/>
    <w:rsid w:val="007E2CF5"/>
    <w:rsid w:val="007E3DC2"/>
    <w:rsid w:val="007E4B96"/>
    <w:rsid w:val="007F17B2"/>
    <w:rsid w:val="007F1A0E"/>
    <w:rsid w:val="007F2D35"/>
    <w:rsid w:val="007F48CE"/>
    <w:rsid w:val="007F69FC"/>
    <w:rsid w:val="007F772C"/>
    <w:rsid w:val="007F7D3F"/>
    <w:rsid w:val="007F7D42"/>
    <w:rsid w:val="0080067F"/>
    <w:rsid w:val="00801850"/>
    <w:rsid w:val="00804A66"/>
    <w:rsid w:val="00804E19"/>
    <w:rsid w:val="0080514B"/>
    <w:rsid w:val="008120A9"/>
    <w:rsid w:val="008146F6"/>
    <w:rsid w:val="0081666C"/>
    <w:rsid w:val="008168EF"/>
    <w:rsid w:val="00816E07"/>
    <w:rsid w:val="0081717F"/>
    <w:rsid w:val="008172AC"/>
    <w:rsid w:val="00820C68"/>
    <w:rsid w:val="008254CE"/>
    <w:rsid w:val="00825CEB"/>
    <w:rsid w:val="0083463E"/>
    <w:rsid w:val="00837BCE"/>
    <w:rsid w:val="00837FF3"/>
    <w:rsid w:val="00842AF6"/>
    <w:rsid w:val="00850942"/>
    <w:rsid w:val="00851077"/>
    <w:rsid w:val="0085121B"/>
    <w:rsid w:val="00851D0F"/>
    <w:rsid w:val="00852846"/>
    <w:rsid w:val="00856777"/>
    <w:rsid w:val="00860B6D"/>
    <w:rsid w:val="00866788"/>
    <w:rsid w:val="0086795E"/>
    <w:rsid w:val="00867C40"/>
    <w:rsid w:val="0087045A"/>
    <w:rsid w:val="00874640"/>
    <w:rsid w:val="008750F2"/>
    <w:rsid w:val="0087668F"/>
    <w:rsid w:val="008827CA"/>
    <w:rsid w:val="008834FF"/>
    <w:rsid w:val="008840F6"/>
    <w:rsid w:val="00884E8F"/>
    <w:rsid w:val="008853E7"/>
    <w:rsid w:val="0088755D"/>
    <w:rsid w:val="0089224D"/>
    <w:rsid w:val="0089352C"/>
    <w:rsid w:val="00893D72"/>
    <w:rsid w:val="00894969"/>
    <w:rsid w:val="0089736C"/>
    <w:rsid w:val="008A0535"/>
    <w:rsid w:val="008A16D7"/>
    <w:rsid w:val="008A338F"/>
    <w:rsid w:val="008A364B"/>
    <w:rsid w:val="008A44A2"/>
    <w:rsid w:val="008A523A"/>
    <w:rsid w:val="008A5DA0"/>
    <w:rsid w:val="008B019F"/>
    <w:rsid w:val="008B07C2"/>
    <w:rsid w:val="008B1EFB"/>
    <w:rsid w:val="008B2C48"/>
    <w:rsid w:val="008B2CF6"/>
    <w:rsid w:val="008B30CE"/>
    <w:rsid w:val="008B3C35"/>
    <w:rsid w:val="008B613A"/>
    <w:rsid w:val="008B7467"/>
    <w:rsid w:val="008C0B0F"/>
    <w:rsid w:val="008C0CDF"/>
    <w:rsid w:val="008D0F63"/>
    <w:rsid w:val="008D20C0"/>
    <w:rsid w:val="008D2435"/>
    <w:rsid w:val="008D352F"/>
    <w:rsid w:val="008D35DE"/>
    <w:rsid w:val="008D4698"/>
    <w:rsid w:val="008D5789"/>
    <w:rsid w:val="008D6D47"/>
    <w:rsid w:val="008E0D61"/>
    <w:rsid w:val="008E3BFB"/>
    <w:rsid w:val="008E6217"/>
    <w:rsid w:val="008E62E2"/>
    <w:rsid w:val="008E7095"/>
    <w:rsid w:val="008F2E3B"/>
    <w:rsid w:val="008F49F6"/>
    <w:rsid w:val="008F5BE2"/>
    <w:rsid w:val="008F6B42"/>
    <w:rsid w:val="009024F0"/>
    <w:rsid w:val="00903AE8"/>
    <w:rsid w:val="00911112"/>
    <w:rsid w:val="00913299"/>
    <w:rsid w:val="00913569"/>
    <w:rsid w:val="009165B0"/>
    <w:rsid w:val="00916B98"/>
    <w:rsid w:val="0092290A"/>
    <w:rsid w:val="009259A8"/>
    <w:rsid w:val="009273DB"/>
    <w:rsid w:val="00932D4E"/>
    <w:rsid w:val="00940525"/>
    <w:rsid w:val="00941130"/>
    <w:rsid w:val="00955130"/>
    <w:rsid w:val="00955BB9"/>
    <w:rsid w:val="009623CC"/>
    <w:rsid w:val="00963A2C"/>
    <w:rsid w:val="00970024"/>
    <w:rsid w:val="00970432"/>
    <w:rsid w:val="00977743"/>
    <w:rsid w:val="00977EE9"/>
    <w:rsid w:val="009850A3"/>
    <w:rsid w:val="00985783"/>
    <w:rsid w:val="00985F23"/>
    <w:rsid w:val="00991A49"/>
    <w:rsid w:val="00991ADC"/>
    <w:rsid w:val="00992292"/>
    <w:rsid w:val="0099559B"/>
    <w:rsid w:val="009963BE"/>
    <w:rsid w:val="00997694"/>
    <w:rsid w:val="009A1DBD"/>
    <w:rsid w:val="009A2C11"/>
    <w:rsid w:val="009A4090"/>
    <w:rsid w:val="009A5BAF"/>
    <w:rsid w:val="009A659B"/>
    <w:rsid w:val="009B07BE"/>
    <w:rsid w:val="009B0EB0"/>
    <w:rsid w:val="009B3DCA"/>
    <w:rsid w:val="009B71B3"/>
    <w:rsid w:val="009B792D"/>
    <w:rsid w:val="009C3443"/>
    <w:rsid w:val="009C5068"/>
    <w:rsid w:val="009C7EB0"/>
    <w:rsid w:val="009D1DFA"/>
    <w:rsid w:val="009D2D97"/>
    <w:rsid w:val="009D32F4"/>
    <w:rsid w:val="009D7AA4"/>
    <w:rsid w:val="009E368A"/>
    <w:rsid w:val="009E693D"/>
    <w:rsid w:val="009E709F"/>
    <w:rsid w:val="009E7C14"/>
    <w:rsid w:val="009E7E04"/>
    <w:rsid w:val="009F05B7"/>
    <w:rsid w:val="009F17ED"/>
    <w:rsid w:val="009F5D4D"/>
    <w:rsid w:val="009F6441"/>
    <w:rsid w:val="009F6C09"/>
    <w:rsid w:val="00A020B2"/>
    <w:rsid w:val="00A04AE5"/>
    <w:rsid w:val="00A050A4"/>
    <w:rsid w:val="00A0662E"/>
    <w:rsid w:val="00A116E6"/>
    <w:rsid w:val="00A1192F"/>
    <w:rsid w:val="00A12523"/>
    <w:rsid w:val="00A1385C"/>
    <w:rsid w:val="00A1418D"/>
    <w:rsid w:val="00A16037"/>
    <w:rsid w:val="00A168F2"/>
    <w:rsid w:val="00A20C61"/>
    <w:rsid w:val="00A22B38"/>
    <w:rsid w:val="00A24E43"/>
    <w:rsid w:val="00A2632B"/>
    <w:rsid w:val="00A26B04"/>
    <w:rsid w:val="00A3057C"/>
    <w:rsid w:val="00A3099F"/>
    <w:rsid w:val="00A35568"/>
    <w:rsid w:val="00A37AB7"/>
    <w:rsid w:val="00A40517"/>
    <w:rsid w:val="00A40B75"/>
    <w:rsid w:val="00A41ACF"/>
    <w:rsid w:val="00A42E3E"/>
    <w:rsid w:val="00A43725"/>
    <w:rsid w:val="00A44104"/>
    <w:rsid w:val="00A444F0"/>
    <w:rsid w:val="00A45974"/>
    <w:rsid w:val="00A47B58"/>
    <w:rsid w:val="00A51385"/>
    <w:rsid w:val="00A51DE6"/>
    <w:rsid w:val="00A524E7"/>
    <w:rsid w:val="00A54CEE"/>
    <w:rsid w:val="00A600A7"/>
    <w:rsid w:val="00A60912"/>
    <w:rsid w:val="00A62086"/>
    <w:rsid w:val="00A65844"/>
    <w:rsid w:val="00A67709"/>
    <w:rsid w:val="00A70C43"/>
    <w:rsid w:val="00A7101C"/>
    <w:rsid w:val="00A7169B"/>
    <w:rsid w:val="00A735E3"/>
    <w:rsid w:val="00A73648"/>
    <w:rsid w:val="00A769F8"/>
    <w:rsid w:val="00A83962"/>
    <w:rsid w:val="00A85791"/>
    <w:rsid w:val="00A8733C"/>
    <w:rsid w:val="00A87E8E"/>
    <w:rsid w:val="00A934D4"/>
    <w:rsid w:val="00A96A63"/>
    <w:rsid w:val="00A96FCA"/>
    <w:rsid w:val="00A97657"/>
    <w:rsid w:val="00AA3C21"/>
    <w:rsid w:val="00AA4395"/>
    <w:rsid w:val="00AA5FB2"/>
    <w:rsid w:val="00AA7D67"/>
    <w:rsid w:val="00AB2BD2"/>
    <w:rsid w:val="00AB3487"/>
    <w:rsid w:val="00AB56B2"/>
    <w:rsid w:val="00AC1DF7"/>
    <w:rsid w:val="00AC1DFC"/>
    <w:rsid w:val="00AC4888"/>
    <w:rsid w:val="00AC74FD"/>
    <w:rsid w:val="00AC7759"/>
    <w:rsid w:val="00AC7FB9"/>
    <w:rsid w:val="00AD1642"/>
    <w:rsid w:val="00AD4031"/>
    <w:rsid w:val="00AD5370"/>
    <w:rsid w:val="00AE114C"/>
    <w:rsid w:val="00AE2C10"/>
    <w:rsid w:val="00AE340E"/>
    <w:rsid w:val="00AF64AB"/>
    <w:rsid w:val="00AF69C2"/>
    <w:rsid w:val="00AF7F1F"/>
    <w:rsid w:val="00B0142C"/>
    <w:rsid w:val="00B01545"/>
    <w:rsid w:val="00B01C30"/>
    <w:rsid w:val="00B02823"/>
    <w:rsid w:val="00B072DA"/>
    <w:rsid w:val="00B104D5"/>
    <w:rsid w:val="00B108AD"/>
    <w:rsid w:val="00B11B15"/>
    <w:rsid w:val="00B12DCA"/>
    <w:rsid w:val="00B244CD"/>
    <w:rsid w:val="00B24836"/>
    <w:rsid w:val="00B252ED"/>
    <w:rsid w:val="00B27FEB"/>
    <w:rsid w:val="00B30839"/>
    <w:rsid w:val="00B30E3A"/>
    <w:rsid w:val="00B314AE"/>
    <w:rsid w:val="00B32A42"/>
    <w:rsid w:val="00B33EBC"/>
    <w:rsid w:val="00B34947"/>
    <w:rsid w:val="00B40170"/>
    <w:rsid w:val="00B4074D"/>
    <w:rsid w:val="00B407EB"/>
    <w:rsid w:val="00B40995"/>
    <w:rsid w:val="00B4170A"/>
    <w:rsid w:val="00B42803"/>
    <w:rsid w:val="00B45EEE"/>
    <w:rsid w:val="00B478D6"/>
    <w:rsid w:val="00B50856"/>
    <w:rsid w:val="00B51AE6"/>
    <w:rsid w:val="00B56E78"/>
    <w:rsid w:val="00B61825"/>
    <w:rsid w:val="00B62A39"/>
    <w:rsid w:val="00B70AAC"/>
    <w:rsid w:val="00B726F0"/>
    <w:rsid w:val="00B73FAE"/>
    <w:rsid w:val="00B762AC"/>
    <w:rsid w:val="00B81A01"/>
    <w:rsid w:val="00B82E0F"/>
    <w:rsid w:val="00B83D38"/>
    <w:rsid w:val="00B86582"/>
    <w:rsid w:val="00B9262D"/>
    <w:rsid w:val="00B95A9C"/>
    <w:rsid w:val="00BA144A"/>
    <w:rsid w:val="00BA4E61"/>
    <w:rsid w:val="00BA6D25"/>
    <w:rsid w:val="00BB031D"/>
    <w:rsid w:val="00BB179D"/>
    <w:rsid w:val="00BB3CE4"/>
    <w:rsid w:val="00BB4244"/>
    <w:rsid w:val="00BB5897"/>
    <w:rsid w:val="00BB79EB"/>
    <w:rsid w:val="00BB7FD7"/>
    <w:rsid w:val="00BC0E4B"/>
    <w:rsid w:val="00BC1913"/>
    <w:rsid w:val="00BC5E02"/>
    <w:rsid w:val="00BC7069"/>
    <w:rsid w:val="00BC774B"/>
    <w:rsid w:val="00BC7D69"/>
    <w:rsid w:val="00BD008C"/>
    <w:rsid w:val="00BD1AD3"/>
    <w:rsid w:val="00BD3BC9"/>
    <w:rsid w:val="00BD470C"/>
    <w:rsid w:val="00BD5F2D"/>
    <w:rsid w:val="00BD639E"/>
    <w:rsid w:val="00BD6E01"/>
    <w:rsid w:val="00BE0D82"/>
    <w:rsid w:val="00BE23F0"/>
    <w:rsid w:val="00BE48C8"/>
    <w:rsid w:val="00BE7937"/>
    <w:rsid w:val="00BF1D2E"/>
    <w:rsid w:val="00BF21FC"/>
    <w:rsid w:val="00BF249F"/>
    <w:rsid w:val="00BF362D"/>
    <w:rsid w:val="00BF5158"/>
    <w:rsid w:val="00BF5228"/>
    <w:rsid w:val="00BF672A"/>
    <w:rsid w:val="00BF6A8E"/>
    <w:rsid w:val="00C03CDE"/>
    <w:rsid w:val="00C0680C"/>
    <w:rsid w:val="00C115F7"/>
    <w:rsid w:val="00C121E9"/>
    <w:rsid w:val="00C14045"/>
    <w:rsid w:val="00C153E8"/>
    <w:rsid w:val="00C16552"/>
    <w:rsid w:val="00C17558"/>
    <w:rsid w:val="00C20366"/>
    <w:rsid w:val="00C21BBE"/>
    <w:rsid w:val="00C250ED"/>
    <w:rsid w:val="00C33686"/>
    <w:rsid w:val="00C37416"/>
    <w:rsid w:val="00C378F1"/>
    <w:rsid w:val="00C379BD"/>
    <w:rsid w:val="00C41A6E"/>
    <w:rsid w:val="00C4241E"/>
    <w:rsid w:val="00C45436"/>
    <w:rsid w:val="00C45D79"/>
    <w:rsid w:val="00C463B3"/>
    <w:rsid w:val="00C475BE"/>
    <w:rsid w:val="00C515BE"/>
    <w:rsid w:val="00C530C8"/>
    <w:rsid w:val="00C538C5"/>
    <w:rsid w:val="00C55C4D"/>
    <w:rsid w:val="00C60E9D"/>
    <w:rsid w:val="00C635AD"/>
    <w:rsid w:val="00C647FB"/>
    <w:rsid w:val="00C67CE6"/>
    <w:rsid w:val="00C72162"/>
    <w:rsid w:val="00C74240"/>
    <w:rsid w:val="00C815E0"/>
    <w:rsid w:val="00C81675"/>
    <w:rsid w:val="00C83004"/>
    <w:rsid w:val="00C84547"/>
    <w:rsid w:val="00C84DAF"/>
    <w:rsid w:val="00C850EC"/>
    <w:rsid w:val="00C85BBA"/>
    <w:rsid w:val="00C87253"/>
    <w:rsid w:val="00C91B5F"/>
    <w:rsid w:val="00C940BD"/>
    <w:rsid w:val="00C94264"/>
    <w:rsid w:val="00CA074C"/>
    <w:rsid w:val="00CA3312"/>
    <w:rsid w:val="00CA4EBF"/>
    <w:rsid w:val="00CA52F0"/>
    <w:rsid w:val="00CB0417"/>
    <w:rsid w:val="00CB08F6"/>
    <w:rsid w:val="00CB532F"/>
    <w:rsid w:val="00CB5A26"/>
    <w:rsid w:val="00CB6136"/>
    <w:rsid w:val="00CB799D"/>
    <w:rsid w:val="00CC0737"/>
    <w:rsid w:val="00CC1803"/>
    <w:rsid w:val="00CC359C"/>
    <w:rsid w:val="00CC45AC"/>
    <w:rsid w:val="00CC4EC2"/>
    <w:rsid w:val="00CC53B2"/>
    <w:rsid w:val="00CC54FF"/>
    <w:rsid w:val="00CC6AFF"/>
    <w:rsid w:val="00CC70E7"/>
    <w:rsid w:val="00CD2A01"/>
    <w:rsid w:val="00CD3ECB"/>
    <w:rsid w:val="00CD6D6D"/>
    <w:rsid w:val="00CD7B99"/>
    <w:rsid w:val="00CE30C2"/>
    <w:rsid w:val="00CE450F"/>
    <w:rsid w:val="00CF0B25"/>
    <w:rsid w:val="00CF1DB7"/>
    <w:rsid w:val="00CF3991"/>
    <w:rsid w:val="00CF5526"/>
    <w:rsid w:val="00CF6121"/>
    <w:rsid w:val="00D013AF"/>
    <w:rsid w:val="00D01527"/>
    <w:rsid w:val="00D01EA5"/>
    <w:rsid w:val="00D02908"/>
    <w:rsid w:val="00D03DD3"/>
    <w:rsid w:val="00D03FCD"/>
    <w:rsid w:val="00D04E78"/>
    <w:rsid w:val="00D06BD0"/>
    <w:rsid w:val="00D070DA"/>
    <w:rsid w:val="00D07DDA"/>
    <w:rsid w:val="00D07DE0"/>
    <w:rsid w:val="00D1126B"/>
    <w:rsid w:val="00D11DAF"/>
    <w:rsid w:val="00D1709D"/>
    <w:rsid w:val="00D173AB"/>
    <w:rsid w:val="00D20948"/>
    <w:rsid w:val="00D2127E"/>
    <w:rsid w:val="00D231B5"/>
    <w:rsid w:val="00D23283"/>
    <w:rsid w:val="00D23BD8"/>
    <w:rsid w:val="00D2515D"/>
    <w:rsid w:val="00D2584C"/>
    <w:rsid w:val="00D27674"/>
    <w:rsid w:val="00D27FE6"/>
    <w:rsid w:val="00D30EED"/>
    <w:rsid w:val="00D310CE"/>
    <w:rsid w:val="00D31737"/>
    <w:rsid w:val="00D36CAB"/>
    <w:rsid w:val="00D40D55"/>
    <w:rsid w:val="00D4299D"/>
    <w:rsid w:val="00D43867"/>
    <w:rsid w:val="00D43EAF"/>
    <w:rsid w:val="00D46E0C"/>
    <w:rsid w:val="00D47D3E"/>
    <w:rsid w:val="00D515EC"/>
    <w:rsid w:val="00D54783"/>
    <w:rsid w:val="00D55591"/>
    <w:rsid w:val="00D55A1B"/>
    <w:rsid w:val="00D5666D"/>
    <w:rsid w:val="00D56B14"/>
    <w:rsid w:val="00D56DB5"/>
    <w:rsid w:val="00D62F7F"/>
    <w:rsid w:val="00D6317A"/>
    <w:rsid w:val="00D6376C"/>
    <w:rsid w:val="00D63845"/>
    <w:rsid w:val="00D652C4"/>
    <w:rsid w:val="00D66AF4"/>
    <w:rsid w:val="00D7158F"/>
    <w:rsid w:val="00D71F38"/>
    <w:rsid w:val="00D72A49"/>
    <w:rsid w:val="00D72E11"/>
    <w:rsid w:val="00D7426C"/>
    <w:rsid w:val="00D757EC"/>
    <w:rsid w:val="00D76744"/>
    <w:rsid w:val="00D81351"/>
    <w:rsid w:val="00D829A1"/>
    <w:rsid w:val="00D83C67"/>
    <w:rsid w:val="00D851DF"/>
    <w:rsid w:val="00D906C3"/>
    <w:rsid w:val="00D92D25"/>
    <w:rsid w:val="00D93BCB"/>
    <w:rsid w:val="00DA4086"/>
    <w:rsid w:val="00DA769F"/>
    <w:rsid w:val="00DB0C6B"/>
    <w:rsid w:val="00DB4BEC"/>
    <w:rsid w:val="00DC1EC2"/>
    <w:rsid w:val="00DC213A"/>
    <w:rsid w:val="00DC364E"/>
    <w:rsid w:val="00DC39C7"/>
    <w:rsid w:val="00DC4374"/>
    <w:rsid w:val="00DC4596"/>
    <w:rsid w:val="00DC602E"/>
    <w:rsid w:val="00DC6BE3"/>
    <w:rsid w:val="00DD63F6"/>
    <w:rsid w:val="00DD704B"/>
    <w:rsid w:val="00DE1BA1"/>
    <w:rsid w:val="00DE2A63"/>
    <w:rsid w:val="00DF1E37"/>
    <w:rsid w:val="00DF33BD"/>
    <w:rsid w:val="00DF6A5B"/>
    <w:rsid w:val="00DF7536"/>
    <w:rsid w:val="00E04442"/>
    <w:rsid w:val="00E16190"/>
    <w:rsid w:val="00E22E23"/>
    <w:rsid w:val="00E2303B"/>
    <w:rsid w:val="00E25009"/>
    <w:rsid w:val="00E25597"/>
    <w:rsid w:val="00E2654E"/>
    <w:rsid w:val="00E31A45"/>
    <w:rsid w:val="00E33968"/>
    <w:rsid w:val="00E33CAC"/>
    <w:rsid w:val="00E422EE"/>
    <w:rsid w:val="00E44A1B"/>
    <w:rsid w:val="00E456B6"/>
    <w:rsid w:val="00E46CC2"/>
    <w:rsid w:val="00E4745E"/>
    <w:rsid w:val="00E4799A"/>
    <w:rsid w:val="00E52F86"/>
    <w:rsid w:val="00E54650"/>
    <w:rsid w:val="00E577BA"/>
    <w:rsid w:val="00E60BC9"/>
    <w:rsid w:val="00E62921"/>
    <w:rsid w:val="00E62EB5"/>
    <w:rsid w:val="00E649E8"/>
    <w:rsid w:val="00E66609"/>
    <w:rsid w:val="00E67552"/>
    <w:rsid w:val="00E70114"/>
    <w:rsid w:val="00E70CB2"/>
    <w:rsid w:val="00E71251"/>
    <w:rsid w:val="00E74C5A"/>
    <w:rsid w:val="00E75D0E"/>
    <w:rsid w:val="00E81B5B"/>
    <w:rsid w:val="00E82A71"/>
    <w:rsid w:val="00E85719"/>
    <w:rsid w:val="00E903F0"/>
    <w:rsid w:val="00E90A87"/>
    <w:rsid w:val="00E9249D"/>
    <w:rsid w:val="00E93D15"/>
    <w:rsid w:val="00E94B90"/>
    <w:rsid w:val="00E9688E"/>
    <w:rsid w:val="00E97563"/>
    <w:rsid w:val="00E97AC8"/>
    <w:rsid w:val="00E97D12"/>
    <w:rsid w:val="00EA4396"/>
    <w:rsid w:val="00EA54E0"/>
    <w:rsid w:val="00EA5AFF"/>
    <w:rsid w:val="00EA6CEF"/>
    <w:rsid w:val="00EA74D0"/>
    <w:rsid w:val="00EB3395"/>
    <w:rsid w:val="00EB3605"/>
    <w:rsid w:val="00EB3EE4"/>
    <w:rsid w:val="00EB5521"/>
    <w:rsid w:val="00EB58FD"/>
    <w:rsid w:val="00EB6A3C"/>
    <w:rsid w:val="00EB6FD1"/>
    <w:rsid w:val="00EC1F01"/>
    <w:rsid w:val="00EC30DF"/>
    <w:rsid w:val="00EC31E9"/>
    <w:rsid w:val="00EC7BED"/>
    <w:rsid w:val="00ED066D"/>
    <w:rsid w:val="00ED4155"/>
    <w:rsid w:val="00ED633F"/>
    <w:rsid w:val="00EE46F5"/>
    <w:rsid w:val="00EE4A60"/>
    <w:rsid w:val="00EE507A"/>
    <w:rsid w:val="00EF0474"/>
    <w:rsid w:val="00EF3C33"/>
    <w:rsid w:val="00EF5A0A"/>
    <w:rsid w:val="00EF5D77"/>
    <w:rsid w:val="00F04708"/>
    <w:rsid w:val="00F079D9"/>
    <w:rsid w:val="00F13B21"/>
    <w:rsid w:val="00F147E2"/>
    <w:rsid w:val="00F254E4"/>
    <w:rsid w:val="00F260DA"/>
    <w:rsid w:val="00F262C9"/>
    <w:rsid w:val="00F262D3"/>
    <w:rsid w:val="00F26329"/>
    <w:rsid w:val="00F266D1"/>
    <w:rsid w:val="00F27509"/>
    <w:rsid w:val="00F31657"/>
    <w:rsid w:val="00F354BB"/>
    <w:rsid w:val="00F36444"/>
    <w:rsid w:val="00F3748D"/>
    <w:rsid w:val="00F376A9"/>
    <w:rsid w:val="00F4282E"/>
    <w:rsid w:val="00F43E4C"/>
    <w:rsid w:val="00F4473B"/>
    <w:rsid w:val="00F4613A"/>
    <w:rsid w:val="00F5204B"/>
    <w:rsid w:val="00F5335F"/>
    <w:rsid w:val="00F55DA7"/>
    <w:rsid w:val="00F6118E"/>
    <w:rsid w:val="00F619F8"/>
    <w:rsid w:val="00F64BC7"/>
    <w:rsid w:val="00F65A45"/>
    <w:rsid w:val="00F66ABD"/>
    <w:rsid w:val="00F72F40"/>
    <w:rsid w:val="00F7530A"/>
    <w:rsid w:val="00F7601C"/>
    <w:rsid w:val="00F76486"/>
    <w:rsid w:val="00F77145"/>
    <w:rsid w:val="00F844C8"/>
    <w:rsid w:val="00F86730"/>
    <w:rsid w:val="00F86AA6"/>
    <w:rsid w:val="00F86E0E"/>
    <w:rsid w:val="00F870FB"/>
    <w:rsid w:val="00F879B5"/>
    <w:rsid w:val="00F87B07"/>
    <w:rsid w:val="00F90D9D"/>
    <w:rsid w:val="00F9663A"/>
    <w:rsid w:val="00F97FB7"/>
    <w:rsid w:val="00FA093C"/>
    <w:rsid w:val="00FA2B42"/>
    <w:rsid w:val="00FA5100"/>
    <w:rsid w:val="00FA5A9C"/>
    <w:rsid w:val="00FA69C4"/>
    <w:rsid w:val="00FA6CD0"/>
    <w:rsid w:val="00FAE6B7"/>
    <w:rsid w:val="00FB1630"/>
    <w:rsid w:val="00FB1CA7"/>
    <w:rsid w:val="00FB1CD3"/>
    <w:rsid w:val="00FB35E6"/>
    <w:rsid w:val="00FB622E"/>
    <w:rsid w:val="00FB6D4A"/>
    <w:rsid w:val="00FC3270"/>
    <w:rsid w:val="00FC3640"/>
    <w:rsid w:val="00FC3AF6"/>
    <w:rsid w:val="00FC4A6E"/>
    <w:rsid w:val="00FC7224"/>
    <w:rsid w:val="00FD0BEF"/>
    <w:rsid w:val="00FD18F9"/>
    <w:rsid w:val="00FD5580"/>
    <w:rsid w:val="00FD7689"/>
    <w:rsid w:val="00FE06B0"/>
    <w:rsid w:val="00FE6C9B"/>
    <w:rsid w:val="00FF079D"/>
    <w:rsid w:val="00FF0FA2"/>
    <w:rsid w:val="00FF1029"/>
    <w:rsid w:val="00FF4E6E"/>
    <w:rsid w:val="00FF5471"/>
    <w:rsid w:val="00FF592F"/>
    <w:rsid w:val="00FF6540"/>
    <w:rsid w:val="00FF669A"/>
    <w:rsid w:val="00FF776B"/>
    <w:rsid w:val="00FF7D4C"/>
    <w:rsid w:val="011D435F"/>
    <w:rsid w:val="01BACB4D"/>
    <w:rsid w:val="01F47B56"/>
    <w:rsid w:val="0273E6DB"/>
    <w:rsid w:val="04FB93DF"/>
    <w:rsid w:val="057670DC"/>
    <w:rsid w:val="068C1FC2"/>
    <w:rsid w:val="06E3C0CF"/>
    <w:rsid w:val="078D5BFA"/>
    <w:rsid w:val="07A1972B"/>
    <w:rsid w:val="0857B895"/>
    <w:rsid w:val="08DCCE0D"/>
    <w:rsid w:val="095C2E40"/>
    <w:rsid w:val="0961A1B2"/>
    <w:rsid w:val="09D52224"/>
    <w:rsid w:val="0C83308A"/>
    <w:rsid w:val="0CC2A586"/>
    <w:rsid w:val="0DFA94F4"/>
    <w:rsid w:val="0DFBB12A"/>
    <w:rsid w:val="0E66CA97"/>
    <w:rsid w:val="0EED2C00"/>
    <w:rsid w:val="1012AB79"/>
    <w:rsid w:val="10F2E37C"/>
    <w:rsid w:val="112EE2E9"/>
    <w:rsid w:val="11924266"/>
    <w:rsid w:val="11D59DEE"/>
    <w:rsid w:val="122311FA"/>
    <w:rsid w:val="128EA08F"/>
    <w:rsid w:val="138BA23C"/>
    <w:rsid w:val="16855E32"/>
    <w:rsid w:val="17B2B551"/>
    <w:rsid w:val="18C8F684"/>
    <w:rsid w:val="19476ADB"/>
    <w:rsid w:val="196446C4"/>
    <w:rsid w:val="19F6E6F9"/>
    <w:rsid w:val="1AEA1B3F"/>
    <w:rsid w:val="1B708B1E"/>
    <w:rsid w:val="1BE74FF0"/>
    <w:rsid w:val="1C2F3DE8"/>
    <w:rsid w:val="1CBE9BAF"/>
    <w:rsid w:val="1D18F129"/>
    <w:rsid w:val="1DA8C8A1"/>
    <w:rsid w:val="1DF12DA1"/>
    <w:rsid w:val="214A5846"/>
    <w:rsid w:val="222E4E11"/>
    <w:rsid w:val="22527FC1"/>
    <w:rsid w:val="225EE056"/>
    <w:rsid w:val="23672D9B"/>
    <w:rsid w:val="23DE6F7E"/>
    <w:rsid w:val="250A639D"/>
    <w:rsid w:val="2587C05F"/>
    <w:rsid w:val="25C4B1F1"/>
    <w:rsid w:val="26555456"/>
    <w:rsid w:val="2682EB5F"/>
    <w:rsid w:val="26FEED00"/>
    <w:rsid w:val="29478806"/>
    <w:rsid w:val="2A0A8050"/>
    <w:rsid w:val="2A5718C0"/>
    <w:rsid w:val="2BB02679"/>
    <w:rsid w:val="2C1F150E"/>
    <w:rsid w:val="2CC798F9"/>
    <w:rsid w:val="2E59D095"/>
    <w:rsid w:val="310C039B"/>
    <w:rsid w:val="31B9688F"/>
    <w:rsid w:val="32143730"/>
    <w:rsid w:val="329C80A8"/>
    <w:rsid w:val="33084E2C"/>
    <w:rsid w:val="3406CA7A"/>
    <w:rsid w:val="354935DD"/>
    <w:rsid w:val="35E2B99C"/>
    <w:rsid w:val="37131577"/>
    <w:rsid w:val="39044A07"/>
    <w:rsid w:val="3B4E2811"/>
    <w:rsid w:val="3B9FFEF7"/>
    <w:rsid w:val="3D9F02AB"/>
    <w:rsid w:val="3E246797"/>
    <w:rsid w:val="3E665895"/>
    <w:rsid w:val="3F17FE1E"/>
    <w:rsid w:val="3F18D41C"/>
    <w:rsid w:val="3FB60E84"/>
    <w:rsid w:val="40211484"/>
    <w:rsid w:val="40A3E6F7"/>
    <w:rsid w:val="41AF0E6D"/>
    <w:rsid w:val="41FAEDCD"/>
    <w:rsid w:val="4332830C"/>
    <w:rsid w:val="436B8B63"/>
    <w:rsid w:val="437F3B4F"/>
    <w:rsid w:val="43939F64"/>
    <w:rsid w:val="4467A01A"/>
    <w:rsid w:val="45036CF6"/>
    <w:rsid w:val="451C3480"/>
    <w:rsid w:val="458EA95F"/>
    <w:rsid w:val="461BD9E6"/>
    <w:rsid w:val="463589A1"/>
    <w:rsid w:val="46A58381"/>
    <w:rsid w:val="46AEB4D7"/>
    <w:rsid w:val="46D35736"/>
    <w:rsid w:val="473219AE"/>
    <w:rsid w:val="4797BBE7"/>
    <w:rsid w:val="49883974"/>
    <w:rsid w:val="4A3A272A"/>
    <w:rsid w:val="4A74E147"/>
    <w:rsid w:val="4AB48AE4"/>
    <w:rsid w:val="4CB0439A"/>
    <w:rsid w:val="4DC460D1"/>
    <w:rsid w:val="4E86E785"/>
    <w:rsid w:val="4F8A6109"/>
    <w:rsid w:val="4F9D5A4D"/>
    <w:rsid w:val="50827CBC"/>
    <w:rsid w:val="51640D95"/>
    <w:rsid w:val="5236516E"/>
    <w:rsid w:val="5270F210"/>
    <w:rsid w:val="52DFEB13"/>
    <w:rsid w:val="531E2CFC"/>
    <w:rsid w:val="5331A06B"/>
    <w:rsid w:val="5493B5F0"/>
    <w:rsid w:val="55F57D4A"/>
    <w:rsid w:val="560F6DC5"/>
    <w:rsid w:val="57776A3A"/>
    <w:rsid w:val="581B167F"/>
    <w:rsid w:val="587DDC11"/>
    <w:rsid w:val="588CB3A2"/>
    <w:rsid w:val="59267F59"/>
    <w:rsid w:val="597E700A"/>
    <w:rsid w:val="59B16BCD"/>
    <w:rsid w:val="59BFC5DD"/>
    <w:rsid w:val="5A32DA4E"/>
    <w:rsid w:val="5A561837"/>
    <w:rsid w:val="5B867374"/>
    <w:rsid w:val="5CC5E04A"/>
    <w:rsid w:val="5CE0D43C"/>
    <w:rsid w:val="5D1B74AC"/>
    <w:rsid w:val="5DE96E67"/>
    <w:rsid w:val="5F4DCC5D"/>
    <w:rsid w:val="5F7B3098"/>
    <w:rsid w:val="5F9B6E1F"/>
    <w:rsid w:val="60650E2C"/>
    <w:rsid w:val="60F58FEB"/>
    <w:rsid w:val="6110E725"/>
    <w:rsid w:val="61D69981"/>
    <w:rsid w:val="6245677E"/>
    <w:rsid w:val="643B7D72"/>
    <w:rsid w:val="64EDBF00"/>
    <w:rsid w:val="66CEEC2F"/>
    <w:rsid w:val="67649C1C"/>
    <w:rsid w:val="67836B6D"/>
    <w:rsid w:val="689D914E"/>
    <w:rsid w:val="68DAC1F1"/>
    <w:rsid w:val="6A0CBC1C"/>
    <w:rsid w:val="6A75501B"/>
    <w:rsid w:val="6B4075DA"/>
    <w:rsid w:val="6C0CCE46"/>
    <w:rsid w:val="6C9E825B"/>
    <w:rsid w:val="6DAAB61A"/>
    <w:rsid w:val="6E98097E"/>
    <w:rsid w:val="701EA2CA"/>
    <w:rsid w:val="704E6941"/>
    <w:rsid w:val="71318505"/>
    <w:rsid w:val="7159668B"/>
    <w:rsid w:val="718BAE96"/>
    <w:rsid w:val="7276D8AE"/>
    <w:rsid w:val="73B6853F"/>
    <w:rsid w:val="73E2DDB0"/>
    <w:rsid w:val="73F6DD08"/>
    <w:rsid w:val="741114FA"/>
    <w:rsid w:val="74577A82"/>
    <w:rsid w:val="745BEBE7"/>
    <w:rsid w:val="74CF95AB"/>
    <w:rsid w:val="74E46445"/>
    <w:rsid w:val="75126B0D"/>
    <w:rsid w:val="7745E51A"/>
    <w:rsid w:val="7753800B"/>
    <w:rsid w:val="77AF2FEF"/>
    <w:rsid w:val="77D4F632"/>
    <w:rsid w:val="77FBED8E"/>
    <w:rsid w:val="788EFDCD"/>
    <w:rsid w:val="7AB67313"/>
    <w:rsid w:val="7AF6F522"/>
    <w:rsid w:val="7B667E86"/>
    <w:rsid w:val="7C74F368"/>
    <w:rsid w:val="7CC16C4F"/>
    <w:rsid w:val="7CD0B03F"/>
    <w:rsid w:val="7D6874AF"/>
    <w:rsid w:val="7E9CE2D0"/>
    <w:rsid w:val="7F5A32AF"/>
    <w:rsid w:val="7F62407F"/>
    <w:rsid w:val="7F7ADD88"/>
    <w:rsid w:val="7F88E8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C77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83C67"/>
    <w:pPr>
      <w:widowControl w:val="0"/>
      <w:spacing w:after="120" w:line="240" w:lineRule="auto"/>
    </w:pPr>
    <w:rPr>
      <w:rFonts w:cs="Arial"/>
      <w:szCs w:val="20"/>
      <w:lang w:val="en-US"/>
    </w:rPr>
  </w:style>
  <w:style w:type="paragraph" w:styleId="Heading1">
    <w:name w:val="heading 1"/>
    <w:basedOn w:val="Normal"/>
    <w:next w:val="Normal"/>
    <w:link w:val="Heading1Char"/>
    <w:uiPriority w:val="9"/>
    <w:qFormat/>
    <w:rsid w:val="00A3099F"/>
    <w:pPr>
      <w:keepNext/>
      <w:keepLines/>
      <w:spacing w:before="240"/>
      <w:outlineLvl w:val="0"/>
    </w:pPr>
    <w:rPr>
      <w:rFonts w:ascii="Corbel" w:eastAsiaTheme="majorEastAsia" w:hAnsi="Corbel"/>
      <w:b/>
      <w:bCs/>
      <w:color w:val="1F4E79" w:themeColor="accent1" w:themeShade="80"/>
      <w:sz w:val="32"/>
      <w:szCs w:val="32"/>
    </w:rPr>
  </w:style>
  <w:style w:type="paragraph" w:styleId="Heading2">
    <w:name w:val="heading 2"/>
    <w:basedOn w:val="Normal"/>
    <w:next w:val="Normal"/>
    <w:link w:val="Heading2Char"/>
    <w:uiPriority w:val="9"/>
    <w:unhideWhenUsed/>
    <w:qFormat/>
    <w:rsid w:val="00A3099F"/>
    <w:pPr>
      <w:outlineLvl w:val="1"/>
    </w:pPr>
    <w:rPr>
      <w:b/>
      <w:bCs/>
      <w:sz w:val="24"/>
      <w:szCs w:val="24"/>
    </w:rPr>
  </w:style>
  <w:style w:type="paragraph" w:styleId="Heading9">
    <w:name w:val="heading 9"/>
    <w:basedOn w:val="Normal"/>
    <w:next w:val="Normal"/>
    <w:link w:val="Heading9Char"/>
    <w:uiPriority w:val="9"/>
    <w:unhideWhenUsed/>
    <w:qFormat/>
    <w:rsid w:val="00C91B5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C91B5F"/>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aliases w:val="Body text,Bullet Point,Bullet point,Bullet- First level,Bulletr List Paragraph,Content descriptions,Figure_name,List NUmber,List Paragraph1,List Paragraph11,List Paragraph2,Listenabsatz1,Numbered Indented Text,Recommendation,lp1,Bullets,L"/>
    <w:basedOn w:val="Normal"/>
    <w:link w:val="ListParagraphChar"/>
    <w:uiPriority w:val="34"/>
    <w:qFormat/>
    <w:rsid w:val="00C91B5F"/>
  </w:style>
  <w:style w:type="paragraph" w:styleId="Header">
    <w:name w:val="header"/>
    <w:basedOn w:val="Normal"/>
    <w:link w:val="HeaderChar"/>
    <w:uiPriority w:val="99"/>
    <w:unhideWhenUsed/>
    <w:rsid w:val="00C91B5F"/>
    <w:pPr>
      <w:tabs>
        <w:tab w:val="center" w:pos="4513"/>
        <w:tab w:val="right" w:pos="9026"/>
      </w:tabs>
    </w:pPr>
  </w:style>
  <w:style w:type="character" w:customStyle="1" w:styleId="HeaderChar">
    <w:name w:val="Header Char"/>
    <w:basedOn w:val="DefaultParagraphFont"/>
    <w:link w:val="Header"/>
    <w:uiPriority w:val="99"/>
    <w:rsid w:val="00C91B5F"/>
    <w:rPr>
      <w:lang w:val="en-US"/>
    </w:rPr>
  </w:style>
  <w:style w:type="paragraph" w:styleId="Footer">
    <w:name w:val="footer"/>
    <w:basedOn w:val="Normal"/>
    <w:link w:val="FooterChar"/>
    <w:uiPriority w:val="99"/>
    <w:unhideWhenUsed/>
    <w:rsid w:val="00C91B5F"/>
    <w:pPr>
      <w:tabs>
        <w:tab w:val="center" w:pos="4513"/>
        <w:tab w:val="right" w:pos="9026"/>
      </w:tabs>
    </w:pPr>
  </w:style>
  <w:style w:type="character" w:customStyle="1" w:styleId="FooterChar">
    <w:name w:val="Footer Char"/>
    <w:basedOn w:val="DefaultParagraphFont"/>
    <w:link w:val="Footer"/>
    <w:uiPriority w:val="99"/>
    <w:rsid w:val="00C91B5F"/>
    <w:rPr>
      <w:lang w:val="en-US"/>
    </w:rPr>
  </w:style>
  <w:style w:type="paragraph" w:customStyle="1" w:styleId="SingleParagraph">
    <w:name w:val="Single Paragraph"/>
    <w:basedOn w:val="Normal"/>
    <w:rsid w:val="00C91B5F"/>
    <w:pPr>
      <w:widowControl/>
      <w:spacing w:line="260" w:lineRule="exact"/>
      <w:jc w:val="both"/>
    </w:pPr>
    <w:rPr>
      <w:rFonts w:ascii="Corbel" w:eastAsia="Times New Roman" w:hAnsi="Corbel" w:cs="Times New Roman"/>
      <w:color w:val="000000"/>
      <w:sz w:val="23"/>
      <w:lang w:val="en-AU" w:eastAsia="en-AU"/>
    </w:rPr>
  </w:style>
  <w:style w:type="character" w:customStyle="1" w:styleId="Bold">
    <w:name w:val="Bold"/>
    <w:rsid w:val="00C91B5F"/>
    <w:rPr>
      <w:b/>
    </w:rPr>
  </w:style>
  <w:style w:type="paragraph" w:customStyle="1" w:styleId="FooterEven">
    <w:name w:val="Footer Even"/>
    <w:basedOn w:val="Footer"/>
    <w:rsid w:val="00C91B5F"/>
    <w:pPr>
      <w:widowControl/>
      <w:tabs>
        <w:tab w:val="clear" w:pos="4513"/>
        <w:tab w:val="clear" w:pos="9026"/>
      </w:tabs>
    </w:pPr>
    <w:rPr>
      <w:rFonts w:ascii="Corbel" w:eastAsia="Times New Roman" w:hAnsi="Corbel" w:cs="Times New Roman"/>
      <w:color w:val="3D4B67"/>
      <w:sz w:val="18"/>
      <w:lang w:val="en-AU" w:eastAsia="en-AU"/>
    </w:rPr>
  </w:style>
  <w:style w:type="paragraph" w:customStyle="1" w:styleId="HeaderOdd">
    <w:name w:val="Header Odd"/>
    <w:basedOn w:val="Header"/>
    <w:rsid w:val="00C91B5F"/>
    <w:pPr>
      <w:keepNext/>
      <w:widowControl/>
      <w:tabs>
        <w:tab w:val="clear" w:pos="4513"/>
        <w:tab w:val="clear" w:pos="9026"/>
      </w:tabs>
      <w:jc w:val="right"/>
    </w:pPr>
    <w:rPr>
      <w:rFonts w:ascii="Corbel" w:eastAsia="Times New Roman" w:hAnsi="Corbel" w:cs="Times New Roman"/>
      <w:color w:val="3D4B67"/>
      <w:sz w:val="18"/>
      <w:lang w:val="en-AU" w:eastAsia="en-AU"/>
    </w:rPr>
  </w:style>
  <w:style w:type="paragraph" w:styleId="Subtitle">
    <w:name w:val="Subtitle"/>
    <w:basedOn w:val="Normal"/>
    <w:link w:val="SubtitleChar"/>
    <w:uiPriority w:val="11"/>
    <w:qFormat/>
    <w:rsid w:val="00C91B5F"/>
    <w:pPr>
      <w:widowControl/>
      <w:spacing w:after="300"/>
    </w:pPr>
    <w:rPr>
      <w:rFonts w:ascii="Consolas" w:eastAsia="Times New Roman" w:hAnsi="Consolas" w:cs="Times New Roman"/>
      <w:b/>
      <w:caps/>
      <w:color w:val="C7823E"/>
      <w:spacing w:val="50"/>
      <w:sz w:val="24"/>
      <w:lang w:val="en-AU" w:eastAsia="ja-JP"/>
    </w:rPr>
  </w:style>
  <w:style w:type="character" w:customStyle="1" w:styleId="SubtitleChar">
    <w:name w:val="Subtitle Char"/>
    <w:basedOn w:val="DefaultParagraphFont"/>
    <w:link w:val="Subtitle"/>
    <w:uiPriority w:val="11"/>
    <w:rsid w:val="00C91B5F"/>
    <w:rPr>
      <w:rFonts w:ascii="Consolas" w:eastAsia="Times New Roman" w:hAnsi="Consolas" w:cs="Times New Roman"/>
      <w:b/>
      <w:caps/>
      <w:color w:val="C7823E"/>
      <w:spacing w:val="50"/>
      <w:sz w:val="24"/>
      <w:lang w:eastAsia="ja-JP"/>
    </w:rPr>
  </w:style>
  <w:style w:type="paragraph" w:styleId="Title">
    <w:name w:val="Title"/>
    <w:basedOn w:val="Normal"/>
    <w:next w:val="Subtitle"/>
    <w:link w:val="TitleChar"/>
    <w:uiPriority w:val="10"/>
    <w:qFormat/>
    <w:rsid w:val="00C91B5F"/>
    <w:pPr>
      <w:widowControl/>
    </w:pPr>
    <w:rPr>
      <w:rFonts w:ascii="Corbel" w:eastAsia="Times New Roman" w:hAnsi="Corbel" w:cs="Times New Roman"/>
      <w:color w:val="3D4B67"/>
      <w:sz w:val="40"/>
      <w:szCs w:val="40"/>
      <w:lang w:val="en-AU" w:eastAsia="ja-JP"/>
    </w:rPr>
  </w:style>
  <w:style w:type="character" w:customStyle="1" w:styleId="TitleChar">
    <w:name w:val="Title Char"/>
    <w:basedOn w:val="DefaultParagraphFont"/>
    <w:link w:val="Title"/>
    <w:uiPriority w:val="10"/>
    <w:rsid w:val="00C91B5F"/>
    <w:rPr>
      <w:rFonts w:ascii="Corbel" w:eastAsia="Times New Roman" w:hAnsi="Corbel" w:cs="Times New Roman"/>
      <w:color w:val="3D4B67"/>
      <w:sz w:val="40"/>
      <w:szCs w:val="40"/>
      <w:lang w:eastAsia="ja-JP"/>
    </w:rPr>
  </w:style>
  <w:style w:type="paragraph" w:customStyle="1" w:styleId="Signed">
    <w:name w:val="Signed"/>
    <w:basedOn w:val="Normal"/>
    <w:rsid w:val="00C91B5F"/>
    <w:pPr>
      <w:widowControl/>
      <w:jc w:val="both"/>
    </w:pPr>
    <w:rPr>
      <w:rFonts w:ascii="Book Antiqua" w:eastAsia="Times New Roman" w:hAnsi="Book Antiqua" w:cs="Times New Roman"/>
      <w:bCs/>
      <w:i/>
      <w:color w:val="000000"/>
      <w:lang w:val="en-AU" w:eastAsia="en-AU"/>
    </w:rPr>
  </w:style>
  <w:style w:type="paragraph" w:customStyle="1" w:styleId="Position">
    <w:name w:val="Position"/>
    <w:basedOn w:val="Normal"/>
    <w:rsid w:val="00C91B5F"/>
    <w:pPr>
      <w:widowControl/>
      <w:spacing w:line="260" w:lineRule="exact"/>
      <w:jc w:val="both"/>
    </w:pPr>
    <w:rPr>
      <w:rFonts w:ascii="Corbel" w:eastAsia="Times New Roman" w:hAnsi="Corbel" w:cs="Times New Roman"/>
      <w:bCs/>
      <w:color w:val="000000"/>
      <w:sz w:val="20"/>
      <w:lang w:val="en-AU" w:eastAsia="en-AU"/>
    </w:rPr>
  </w:style>
  <w:style w:type="character" w:customStyle="1" w:styleId="SignedBold">
    <w:name w:val="SignedBold"/>
    <w:rsid w:val="00C91B5F"/>
    <w:rPr>
      <w:b/>
      <w:i/>
    </w:rPr>
  </w:style>
  <w:style w:type="paragraph" w:customStyle="1" w:styleId="LineForSignature">
    <w:name w:val="LineForSignature"/>
    <w:basedOn w:val="Normal"/>
    <w:rsid w:val="00C91B5F"/>
    <w:pPr>
      <w:widowControl/>
      <w:tabs>
        <w:tab w:val="left" w:leader="underscore" w:pos="3686"/>
      </w:tabs>
      <w:spacing w:before="360" w:after="60" w:line="260" w:lineRule="exact"/>
      <w:jc w:val="both"/>
    </w:pPr>
    <w:rPr>
      <w:rFonts w:ascii="Book Antiqua" w:eastAsia="Times New Roman" w:hAnsi="Book Antiqua" w:cs="Times New Roman"/>
      <w:color w:val="C0C0C0"/>
      <w:sz w:val="23"/>
      <w:lang w:val="en-GB" w:eastAsia="en-AU"/>
    </w:rPr>
  </w:style>
  <w:style w:type="paragraph" w:customStyle="1" w:styleId="Paragraphnumbering">
    <w:name w:val="Paragraph numbering"/>
    <w:basedOn w:val="Normal"/>
    <w:link w:val="ParagraphnumberingChar"/>
    <w:qFormat/>
    <w:rsid w:val="00C91B5F"/>
    <w:pPr>
      <w:widowControl/>
      <w:numPr>
        <w:numId w:val="1"/>
      </w:numPr>
      <w:spacing w:after="240" w:line="260" w:lineRule="exact"/>
      <w:jc w:val="both"/>
    </w:pPr>
    <w:rPr>
      <w:rFonts w:ascii="Corbel" w:eastAsia="Times New Roman" w:hAnsi="Corbel" w:cs="Times New Roman"/>
      <w:color w:val="000000"/>
      <w:sz w:val="23"/>
      <w:lang w:val="en-AU" w:eastAsia="en-AU"/>
    </w:rPr>
  </w:style>
  <w:style w:type="character" w:customStyle="1" w:styleId="ParagraphnumberingChar">
    <w:name w:val="Paragraph numbering Char"/>
    <w:basedOn w:val="DefaultParagraphFont"/>
    <w:link w:val="Paragraphnumbering"/>
    <w:rsid w:val="00C91B5F"/>
    <w:rPr>
      <w:rFonts w:ascii="Corbel" w:eastAsia="Times New Roman" w:hAnsi="Corbel" w:cs="Times New Roman"/>
      <w:color w:val="000000"/>
      <w:sz w:val="23"/>
      <w:szCs w:val="20"/>
      <w:lang w:eastAsia="en-AU"/>
    </w:rPr>
  </w:style>
  <w:style w:type="paragraph" w:customStyle="1" w:styleId="Tableformat">
    <w:name w:val="Table format"/>
    <w:basedOn w:val="Heading2"/>
    <w:link w:val="TableformatChar"/>
    <w:qFormat/>
    <w:rsid w:val="00C91B5F"/>
    <w:pPr>
      <w:widowControl/>
      <w:spacing w:before="80" w:after="80"/>
    </w:pPr>
    <w:rPr>
      <w:rFonts w:ascii="Corbel" w:eastAsia="Times New Roman" w:hAnsi="Corbel"/>
      <w:iCs/>
      <w:lang w:eastAsia="en-AU"/>
    </w:rPr>
  </w:style>
  <w:style w:type="character" w:customStyle="1" w:styleId="TableformatChar">
    <w:name w:val="Table format Char"/>
    <w:basedOn w:val="Heading2Char"/>
    <w:link w:val="Tableformat"/>
    <w:rsid w:val="00C91B5F"/>
    <w:rPr>
      <w:rFonts w:ascii="Corbel" w:eastAsia="Times New Roman" w:hAnsi="Corbel" w:cs="Arial"/>
      <w:b/>
      <w:bCs/>
      <w:iCs/>
      <w:color w:val="2E74B5" w:themeColor="accent1" w:themeShade="BF"/>
      <w:sz w:val="26"/>
      <w:szCs w:val="26"/>
      <w:lang w:val="en-US" w:eastAsia="en-AU"/>
    </w:rPr>
  </w:style>
  <w:style w:type="paragraph" w:customStyle="1" w:styleId="Milestonetable">
    <w:name w:val="Milestone table"/>
    <w:basedOn w:val="Tableformat"/>
    <w:link w:val="MilestonetableChar"/>
    <w:qFormat/>
    <w:rsid w:val="00C91B5F"/>
    <w:pPr>
      <w:spacing w:before="60" w:after="60"/>
    </w:pPr>
    <w:rPr>
      <w:sz w:val="20"/>
      <w:szCs w:val="20"/>
    </w:rPr>
  </w:style>
  <w:style w:type="character" w:customStyle="1" w:styleId="MilestonetableChar">
    <w:name w:val="Milestone table Char"/>
    <w:basedOn w:val="TableformatChar"/>
    <w:link w:val="Milestonetable"/>
    <w:rsid w:val="00C91B5F"/>
    <w:rPr>
      <w:rFonts w:ascii="Corbel" w:eastAsia="Times New Roman" w:hAnsi="Corbel" w:cs="Arial"/>
      <w:b/>
      <w:bCs/>
      <w:iCs/>
      <w:color w:val="2E74B5" w:themeColor="accent1" w:themeShade="BF"/>
      <w:sz w:val="20"/>
      <w:szCs w:val="20"/>
      <w:lang w:val="en-US" w:eastAsia="en-AU"/>
    </w:rPr>
  </w:style>
  <w:style w:type="character" w:customStyle="1" w:styleId="Heading2Char">
    <w:name w:val="Heading 2 Char"/>
    <w:basedOn w:val="DefaultParagraphFont"/>
    <w:link w:val="Heading2"/>
    <w:uiPriority w:val="9"/>
    <w:rsid w:val="00A3099F"/>
    <w:rPr>
      <w:rFonts w:cs="Arial"/>
      <w:b/>
      <w:bCs/>
      <w:sz w:val="24"/>
      <w:szCs w:val="24"/>
      <w:lang w:val="en-US"/>
    </w:rPr>
  </w:style>
  <w:style w:type="paragraph" w:styleId="BalloonText">
    <w:name w:val="Balloon Text"/>
    <w:basedOn w:val="Normal"/>
    <w:link w:val="BalloonTextChar"/>
    <w:uiPriority w:val="99"/>
    <w:semiHidden/>
    <w:unhideWhenUsed/>
    <w:rsid w:val="00655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26D"/>
    <w:rPr>
      <w:rFonts w:ascii="Segoe UI" w:hAnsi="Segoe UI" w:cs="Segoe UI"/>
      <w:sz w:val="18"/>
      <w:szCs w:val="18"/>
      <w:lang w:val="en-US"/>
    </w:rPr>
  </w:style>
  <w:style w:type="character" w:styleId="CommentReference">
    <w:name w:val="annotation reference"/>
    <w:basedOn w:val="DefaultParagraphFont"/>
    <w:uiPriority w:val="99"/>
    <w:semiHidden/>
    <w:unhideWhenUsed/>
    <w:rsid w:val="009F6441"/>
    <w:rPr>
      <w:sz w:val="16"/>
      <w:szCs w:val="16"/>
    </w:rPr>
  </w:style>
  <w:style w:type="paragraph" w:styleId="CommentText">
    <w:name w:val="annotation text"/>
    <w:basedOn w:val="Normal"/>
    <w:link w:val="CommentTextChar"/>
    <w:uiPriority w:val="99"/>
    <w:unhideWhenUsed/>
    <w:rsid w:val="009F6441"/>
    <w:rPr>
      <w:sz w:val="20"/>
    </w:rPr>
  </w:style>
  <w:style w:type="character" w:customStyle="1" w:styleId="CommentTextChar">
    <w:name w:val="Comment Text Char"/>
    <w:basedOn w:val="DefaultParagraphFont"/>
    <w:link w:val="CommentText"/>
    <w:uiPriority w:val="99"/>
    <w:rsid w:val="009F6441"/>
    <w:rPr>
      <w:sz w:val="20"/>
      <w:szCs w:val="20"/>
      <w:lang w:val="en-US"/>
    </w:rPr>
  </w:style>
  <w:style w:type="paragraph" w:styleId="CommentSubject">
    <w:name w:val="annotation subject"/>
    <w:basedOn w:val="CommentText"/>
    <w:next w:val="CommentText"/>
    <w:link w:val="CommentSubjectChar"/>
    <w:uiPriority w:val="99"/>
    <w:semiHidden/>
    <w:unhideWhenUsed/>
    <w:rsid w:val="009F6441"/>
    <w:rPr>
      <w:b/>
      <w:bCs/>
    </w:rPr>
  </w:style>
  <w:style w:type="character" w:customStyle="1" w:styleId="CommentSubjectChar">
    <w:name w:val="Comment Subject Char"/>
    <w:basedOn w:val="CommentTextChar"/>
    <w:link w:val="CommentSubject"/>
    <w:uiPriority w:val="99"/>
    <w:semiHidden/>
    <w:rsid w:val="009F6441"/>
    <w:rPr>
      <w:b/>
      <w:bCs/>
      <w:sz w:val="20"/>
      <w:szCs w:val="20"/>
      <w:lang w:val="en-US"/>
    </w:rPr>
  </w:style>
  <w:style w:type="character" w:styleId="Hyperlink">
    <w:name w:val="Hyperlink"/>
    <w:basedOn w:val="DefaultParagraphFont"/>
    <w:uiPriority w:val="99"/>
    <w:unhideWhenUsed/>
    <w:rsid w:val="008E7095"/>
    <w:rPr>
      <w:color w:val="0563C1"/>
      <w:u w:val="single"/>
    </w:rPr>
  </w:style>
  <w:style w:type="character" w:customStyle="1" w:styleId="NormalnumberedChar">
    <w:name w:val="Normal numbered Char"/>
    <w:link w:val="Normalnumbered"/>
    <w:locked/>
    <w:rsid w:val="005F7F7A"/>
    <w:rPr>
      <w:rFonts w:ascii="Corbel" w:hAnsi="Corbel" w:cs="Arial"/>
      <w:color w:val="000000"/>
      <w:sz w:val="23"/>
      <w:szCs w:val="20"/>
    </w:rPr>
  </w:style>
  <w:style w:type="paragraph" w:customStyle="1" w:styleId="Normalnumbered">
    <w:name w:val="Normal numbered"/>
    <w:basedOn w:val="Normal"/>
    <w:link w:val="NormalnumberedChar"/>
    <w:rsid w:val="005F7F7A"/>
    <w:pPr>
      <w:widowControl/>
      <w:numPr>
        <w:numId w:val="4"/>
      </w:numPr>
      <w:spacing w:after="240" w:line="260" w:lineRule="exact"/>
      <w:jc w:val="both"/>
    </w:pPr>
    <w:rPr>
      <w:rFonts w:ascii="Corbel" w:hAnsi="Corbel"/>
      <w:color w:val="000000"/>
      <w:sz w:val="23"/>
      <w:lang w:val="en-AU"/>
    </w:rPr>
  </w:style>
  <w:style w:type="paragraph" w:customStyle="1" w:styleId="AlphaParagraph">
    <w:name w:val="Alpha Paragraph"/>
    <w:basedOn w:val="Normal"/>
    <w:link w:val="AlphaParagraphCharChar"/>
    <w:rsid w:val="006E6ACD"/>
    <w:pPr>
      <w:widowControl/>
      <w:tabs>
        <w:tab w:val="num" w:pos="0"/>
        <w:tab w:val="num" w:pos="283"/>
        <w:tab w:val="num" w:pos="567"/>
        <w:tab w:val="num" w:pos="1134"/>
        <w:tab w:val="num" w:pos="1418"/>
        <w:tab w:val="num" w:pos="1701"/>
      </w:tabs>
      <w:spacing w:after="240" w:line="260" w:lineRule="exact"/>
      <w:ind w:left="567" w:hanging="363"/>
      <w:jc w:val="both"/>
    </w:pPr>
    <w:rPr>
      <w:rFonts w:ascii="Corbel" w:eastAsia="Times New Roman" w:hAnsi="Corbel" w:cs="Times New Roman"/>
      <w:color w:val="000000"/>
      <w:sz w:val="23"/>
      <w:lang w:val="en-AU" w:eastAsia="en-AU"/>
    </w:rPr>
  </w:style>
  <w:style w:type="character" w:customStyle="1" w:styleId="AlphaParagraphCharChar">
    <w:name w:val="Alpha Paragraph Char Char"/>
    <w:link w:val="AlphaParagraph"/>
    <w:locked/>
    <w:rsid w:val="006E6ACD"/>
    <w:rPr>
      <w:rFonts w:ascii="Corbel" w:eastAsia="Times New Roman" w:hAnsi="Corbel" w:cs="Times New Roman"/>
      <w:color w:val="000000"/>
      <w:sz w:val="23"/>
      <w:szCs w:val="20"/>
      <w:lang w:eastAsia="en-AU"/>
    </w:rPr>
  </w:style>
  <w:style w:type="paragraph" w:styleId="Revision">
    <w:name w:val="Revision"/>
    <w:hidden/>
    <w:uiPriority w:val="99"/>
    <w:semiHidden/>
    <w:rsid w:val="0065682C"/>
    <w:pPr>
      <w:spacing w:after="0" w:line="240" w:lineRule="auto"/>
    </w:pPr>
    <w:rPr>
      <w:lang w:val="en-US"/>
    </w:rPr>
  </w:style>
  <w:style w:type="character" w:customStyle="1" w:styleId="ListParagraphChar">
    <w:name w:val="List Paragraph Char"/>
    <w:aliases w:val="Body text Char,Bullet Point Char,Bullet point Char,Bullet- First level Char,Bulletr List Paragraph Char,Content descriptions Char,Figure_name Char,List NUmber Char,List Paragraph1 Char,List Paragraph11 Char,List Paragraph2 Char"/>
    <w:link w:val="ListParagraph"/>
    <w:uiPriority w:val="34"/>
    <w:qFormat/>
    <w:locked/>
    <w:rsid w:val="0041575E"/>
    <w:rPr>
      <w:lang w:val="en-US"/>
    </w:rPr>
  </w:style>
  <w:style w:type="character" w:customStyle="1" w:styleId="Heading1Char">
    <w:name w:val="Heading 1 Char"/>
    <w:basedOn w:val="DefaultParagraphFont"/>
    <w:link w:val="Heading1"/>
    <w:uiPriority w:val="9"/>
    <w:rsid w:val="00A3099F"/>
    <w:rPr>
      <w:rFonts w:ascii="Corbel" w:eastAsiaTheme="majorEastAsia" w:hAnsi="Corbel" w:cs="Arial"/>
      <w:b/>
      <w:bCs/>
      <w:color w:val="1F4E79" w:themeColor="accent1" w:themeShade="80"/>
      <w:sz w:val="32"/>
      <w:szCs w:val="32"/>
      <w:lang w:val="en-US"/>
    </w:rPr>
  </w:style>
  <w:style w:type="paragraph" w:styleId="NormalWeb">
    <w:name w:val="Normal (Web)"/>
    <w:basedOn w:val="Normal"/>
    <w:uiPriority w:val="99"/>
    <w:unhideWhenUsed/>
    <w:rsid w:val="00EA74D0"/>
    <w:pPr>
      <w:widowControl/>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UnresolvedMention1">
    <w:name w:val="Unresolved Mention1"/>
    <w:basedOn w:val="DefaultParagraphFont"/>
    <w:uiPriority w:val="99"/>
    <w:semiHidden/>
    <w:unhideWhenUsed/>
    <w:rsid w:val="002B6DD1"/>
    <w:rPr>
      <w:color w:val="605E5C"/>
      <w:shd w:val="clear" w:color="auto" w:fill="E1DFDD"/>
    </w:rPr>
  </w:style>
  <w:style w:type="paragraph" w:customStyle="1" w:styleId="paragraph">
    <w:name w:val="paragraph"/>
    <w:basedOn w:val="Normal"/>
    <w:rsid w:val="00B01545"/>
    <w:pPr>
      <w:widowControl/>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B01545"/>
  </w:style>
  <w:style w:type="character" w:customStyle="1" w:styleId="normaltextrun">
    <w:name w:val="normaltextrun"/>
    <w:basedOn w:val="DefaultParagraphFont"/>
    <w:rsid w:val="00B01545"/>
  </w:style>
  <w:style w:type="character" w:customStyle="1" w:styleId="contentcontrolboundarysink">
    <w:name w:val="contentcontrolboundarysink"/>
    <w:basedOn w:val="DefaultParagraphFont"/>
    <w:rsid w:val="00B01545"/>
  </w:style>
  <w:style w:type="character" w:customStyle="1" w:styleId="scxw219120561">
    <w:name w:val="scxw219120561"/>
    <w:basedOn w:val="DefaultParagraphFont"/>
    <w:rsid w:val="00B01545"/>
  </w:style>
  <w:style w:type="character" w:customStyle="1" w:styleId="tabchar">
    <w:name w:val="tabchar"/>
    <w:basedOn w:val="DefaultParagraphFont"/>
    <w:rsid w:val="00B01545"/>
  </w:style>
  <w:style w:type="character" w:customStyle="1" w:styleId="wacimagecontainer">
    <w:name w:val="wacimagecontainer"/>
    <w:basedOn w:val="DefaultParagraphFont"/>
    <w:rsid w:val="002949ED"/>
  </w:style>
  <w:style w:type="character" w:styleId="UnresolvedMention">
    <w:name w:val="Unresolved Mention"/>
    <w:basedOn w:val="DefaultParagraphFont"/>
    <w:uiPriority w:val="99"/>
    <w:semiHidden/>
    <w:unhideWhenUsed/>
    <w:rsid w:val="00B41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0604">
      <w:bodyDiv w:val="1"/>
      <w:marLeft w:val="0"/>
      <w:marRight w:val="0"/>
      <w:marTop w:val="0"/>
      <w:marBottom w:val="0"/>
      <w:divBdr>
        <w:top w:val="none" w:sz="0" w:space="0" w:color="auto"/>
        <w:left w:val="none" w:sz="0" w:space="0" w:color="auto"/>
        <w:bottom w:val="none" w:sz="0" w:space="0" w:color="auto"/>
        <w:right w:val="none" w:sz="0" w:space="0" w:color="auto"/>
      </w:divBdr>
    </w:div>
    <w:div w:id="50543770">
      <w:bodyDiv w:val="1"/>
      <w:marLeft w:val="0"/>
      <w:marRight w:val="0"/>
      <w:marTop w:val="0"/>
      <w:marBottom w:val="0"/>
      <w:divBdr>
        <w:top w:val="none" w:sz="0" w:space="0" w:color="auto"/>
        <w:left w:val="none" w:sz="0" w:space="0" w:color="auto"/>
        <w:bottom w:val="none" w:sz="0" w:space="0" w:color="auto"/>
        <w:right w:val="none" w:sz="0" w:space="0" w:color="auto"/>
      </w:divBdr>
    </w:div>
    <w:div w:id="55902921">
      <w:bodyDiv w:val="1"/>
      <w:marLeft w:val="0"/>
      <w:marRight w:val="0"/>
      <w:marTop w:val="0"/>
      <w:marBottom w:val="0"/>
      <w:divBdr>
        <w:top w:val="none" w:sz="0" w:space="0" w:color="auto"/>
        <w:left w:val="none" w:sz="0" w:space="0" w:color="auto"/>
        <w:bottom w:val="none" w:sz="0" w:space="0" w:color="auto"/>
        <w:right w:val="none" w:sz="0" w:space="0" w:color="auto"/>
      </w:divBdr>
    </w:div>
    <w:div w:id="84617505">
      <w:bodyDiv w:val="1"/>
      <w:marLeft w:val="0"/>
      <w:marRight w:val="0"/>
      <w:marTop w:val="0"/>
      <w:marBottom w:val="0"/>
      <w:divBdr>
        <w:top w:val="none" w:sz="0" w:space="0" w:color="auto"/>
        <w:left w:val="none" w:sz="0" w:space="0" w:color="auto"/>
        <w:bottom w:val="none" w:sz="0" w:space="0" w:color="auto"/>
        <w:right w:val="none" w:sz="0" w:space="0" w:color="auto"/>
      </w:divBdr>
    </w:div>
    <w:div w:id="93913439">
      <w:bodyDiv w:val="1"/>
      <w:marLeft w:val="0"/>
      <w:marRight w:val="0"/>
      <w:marTop w:val="0"/>
      <w:marBottom w:val="0"/>
      <w:divBdr>
        <w:top w:val="none" w:sz="0" w:space="0" w:color="auto"/>
        <w:left w:val="none" w:sz="0" w:space="0" w:color="auto"/>
        <w:bottom w:val="none" w:sz="0" w:space="0" w:color="auto"/>
        <w:right w:val="none" w:sz="0" w:space="0" w:color="auto"/>
      </w:divBdr>
    </w:div>
    <w:div w:id="104693432">
      <w:bodyDiv w:val="1"/>
      <w:marLeft w:val="0"/>
      <w:marRight w:val="0"/>
      <w:marTop w:val="0"/>
      <w:marBottom w:val="0"/>
      <w:divBdr>
        <w:top w:val="none" w:sz="0" w:space="0" w:color="auto"/>
        <w:left w:val="none" w:sz="0" w:space="0" w:color="auto"/>
        <w:bottom w:val="none" w:sz="0" w:space="0" w:color="auto"/>
        <w:right w:val="none" w:sz="0" w:space="0" w:color="auto"/>
      </w:divBdr>
    </w:div>
    <w:div w:id="108359548">
      <w:bodyDiv w:val="1"/>
      <w:marLeft w:val="0"/>
      <w:marRight w:val="0"/>
      <w:marTop w:val="0"/>
      <w:marBottom w:val="0"/>
      <w:divBdr>
        <w:top w:val="none" w:sz="0" w:space="0" w:color="auto"/>
        <w:left w:val="none" w:sz="0" w:space="0" w:color="auto"/>
        <w:bottom w:val="none" w:sz="0" w:space="0" w:color="auto"/>
        <w:right w:val="none" w:sz="0" w:space="0" w:color="auto"/>
      </w:divBdr>
    </w:div>
    <w:div w:id="140581499">
      <w:bodyDiv w:val="1"/>
      <w:marLeft w:val="0"/>
      <w:marRight w:val="0"/>
      <w:marTop w:val="0"/>
      <w:marBottom w:val="0"/>
      <w:divBdr>
        <w:top w:val="none" w:sz="0" w:space="0" w:color="auto"/>
        <w:left w:val="none" w:sz="0" w:space="0" w:color="auto"/>
        <w:bottom w:val="none" w:sz="0" w:space="0" w:color="auto"/>
        <w:right w:val="none" w:sz="0" w:space="0" w:color="auto"/>
      </w:divBdr>
    </w:div>
    <w:div w:id="175582959">
      <w:bodyDiv w:val="1"/>
      <w:marLeft w:val="0"/>
      <w:marRight w:val="0"/>
      <w:marTop w:val="0"/>
      <w:marBottom w:val="0"/>
      <w:divBdr>
        <w:top w:val="none" w:sz="0" w:space="0" w:color="auto"/>
        <w:left w:val="none" w:sz="0" w:space="0" w:color="auto"/>
        <w:bottom w:val="none" w:sz="0" w:space="0" w:color="auto"/>
        <w:right w:val="none" w:sz="0" w:space="0" w:color="auto"/>
      </w:divBdr>
    </w:div>
    <w:div w:id="179856764">
      <w:bodyDiv w:val="1"/>
      <w:marLeft w:val="0"/>
      <w:marRight w:val="0"/>
      <w:marTop w:val="0"/>
      <w:marBottom w:val="0"/>
      <w:divBdr>
        <w:top w:val="none" w:sz="0" w:space="0" w:color="auto"/>
        <w:left w:val="none" w:sz="0" w:space="0" w:color="auto"/>
        <w:bottom w:val="none" w:sz="0" w:space="0" w:color="auto"/>
        <w:right w:val="none" w:sz="0" w:space="0" w:color="auto"/>
      </w:divBdr>
    </w:div>
    <w:div w:id="198665365">
      <w:bodyDiv w:val="1"/>
      <w:marLeft w:val="0"/>
      <w:marRight w:val="0"/>
      <w:marTop w:val="0"/>
      <w:marBottom w:val="0"/>
      <w:divBdr>
        <w:top w:val="none" w:sz="0" w:space="0" w:color="auto"/>
        <w:left w:val="none" w:sz="0" w:space="0" w:color="auto"/>
        <w:bottom w:val="none" w:sz="0" w:space="0" w:color="auto"/>
        <w:right w:val="none" w:sz="0" w:space="0" w:color="auto"/>
      </w:divBdr>
    </w:div>
    <w:div w:id="235172537">
      <w:bodyDiv w:val="1"/>
      <w:marLeft w:val="0"/>
      <w:marRight w:val="0"/>
      <w:marTop w:val="0"/>
      <w:marBottom w:val="0"/>
      <w:divBdr>
        <w:top w:val="none" w:sz="0" w:space="0" w:color="auto"/>
        <w:left w:val="none" w:sz="0" w:space="0" w:color="auto"/>
        <w:bottom w:val="none" w:sz="0" w:space="0" w:color="auto"/>
        <w:right w:val="none" w:sz="0" w:space="0" w:color="auto"/>
      </w:divBdr>
    </w:div>
    <w:div w:id="269315934">
      <w:bodyDiv w:val="1"/>
      <w:marLeft w:val="0"/>
      <w:marRight w:val="0"/>
      <w:marTop w:val="0"/>
      <w:marBottom w:val="0"/>
      <w:divBdr>
        <w:top w:val="none" w:sz="0" w:space="0" w:color="auto"/>
        <w:left w:val="none" w:sz="0" w:space="0" w:color="auto"/>
        <w:bottom w:val="none" w:sz="0" w:space="0" w:color="auto"/>
        <w:right w:val="none" w:sz="0" w:space="0" w:color="auto"/>
      </w:divBdr>
    </w:div>
    <w:div w:id="287783505">
      <w:bodyDiv w:val="1"/>
      <w:marLeft w:val="0"/>
      <w:marRight w:val="0"/>
      <w:marTop w:val="0"/>
      <w:marBottom w:val="0"/>
      <w:divBdr>
        <w:top w:val="none" w:sz="0" w:space="0" w:color="auto"/>
        <w:left w:val="none" w:sz="0" w:space="0" w:color="auto"/>
        <w:bottom w:val="none" w:sz="0" w:space="0" w:color="auto"/>
        <w:right w:val="none" w:sz="0" w:space="0" w:color="auto"/>
      </w:divBdr>
    </w:div>
    <w:div w:id="319309895">
      <w:bodyDiv w:val="1"/>
      <w:marLeft w:val="0"/>
      <w:marRight w:val="0"/>
      <w:marTop w:val="0"/>
      <w:marBottom w:val="0"/>
      <w:divBdr>
        <w:top w:val="none" w:sz="0" w:space="0" w:color="auto"/>
        <w:left w:val="none" w:sz="0" w:space="0" w:color="auto"/>
        <w:bottom w:val="none" w:sz="0" w:space="0" w:color="auto"/>
        <w:right w:val="none" w:sz="0" w:space="0" w:color="auto"/>
      </w:divBdr>
    </w:div>
    <w:div w:id="330258850">
      <w:bodyDiv w:val="1"/>
      <w:marLeft w:val="0"/>
      <w:marRight w:val="0"/>
      <w:marTop w:val="0"/>
      <w:marBottom w:val="0"/>
      <w:divBdr>
        <w:top w:val="none" w:sz="0" w:space="0" w:color="auto"/>
        <w:left w:val="none" w:sz="0" w:space="0" w:color="auto"/>
        <w:bottom w:val="none" w:sz="0" w:space="0" w:color="auto"/>
        <w:right w:val="none" w:sz="0" w:space="0" w:color="auto"/>
      </w:divBdr>
    </w:div>
    <w:div w:id="370768993">
      <w:bodyDiv w:val="1"/>
      <w:marLeft w:val="0"/>
      <w:marRight w:val="0"/>
      <w:marTop w:val="0"/>
      <w:marBottom w:val="0"/>
      <w:divBdr>
        <w:top w:val="none" w:sz="0" w:space="0" w:color="auto"/>
        <w:left w:val="none" w:sz="0" w:space="0" w:color="auto"/>
        <w:bottom w:val="none" w:sz="0" w:space="0" w:color="auto"/>
        <w:right w:val="none" w:sz="0" w:space="0" w:color="auto"/>
      </w:divBdr>
    </w:div>
    <w:div w:id="393747260">
      <w:bodyDiv w:val="1"/>
      <w:marLeft w:val="0"/>
      <w:marRight w:val="0"/>
      <w:marTop w:val="0"/>
      <w:marBottom w:val="0"/>
      <w:divBdr>
        <w:top w:val="none" w:sz="0" w:space="0" w:color="auto"/>
        <w:left w:val="none" w:sz="0" w:space="0" w:color="auto"/>
        <w:bottom w:val="none" w:sz="0" w:space="0" w:color="auto"/>
        <w:right w:val="none" w:sz="0" w:space="0" w:color="auto"/>
      </w:divBdr>
    </w:div>
    <w:div w:id="425032071">
      <w:bodyDiv w:val="1"/>
      <w:marLeft w:val="0"/>
      <w:marRight w:val="0"/>
      <w:marTop w:val="0"/>
      <w:marBottom w:val="0"/>
      <w:divBdr>
        <w:top w:val="none" w:sz="0" w:space="0" w:color="auto"/>
        <w:left w:val="none" w:sz="0" w:space="0" w:color="auto"/>
        <w:bottom w:val="none" w:sz="0" w:space="0" w:color="auto"/>
        <w:right w:val="none" w:sz="0" w:space="0" w:color="auto"/>
      </w:divBdr>
    </w:div>
    <w:div w:id="472210903">
      <w:bodyDiv w:val="1"/>
      <w:marLeft w:val="0"/>
      <w:marRight w:val="0"/>
      <w:marTop w:val="0"/>
      <w:marBottom w:val="0"/>
      <w:divBdr>
        <w:top w:val="none" w:sz="0" w:space="0" w:color="auto"/>
        <w:left w:val="none" w:sz="0" w:space="0" w:color="auto"/>
        <w:bottom w:val="none" w:sz="0" w:space="0" w:color="auto"/>
        <w:right w:val="none" w:sz="0" w:space="0" w:color="auto"/>
      </w:divBdr>
    </w:div>
    <w:div w:id="490684694">
      <w:bodyDiv w:val="1"/>
      <w:marLeft w:val="0"/>
      <w:marRight w:val="0"/>
      <w:marTop w:val="0"/>
      <w:marBottom w:val="0"/>
      <w:divBdr>
        <w:top w:val="none" w:sz="0" w:space="0" w:color="auto"/>
        <w:left w:val="none" w:sz="0" w:space="0" w:color="auto"/>
        <w:bottom w:val="none" w:sz="0" w:space="0" w:color="auto"/>
        <w:right w:val="none" w:sz="0" w:space="0" w:color="auto"/>
      </w:divBdr>
      <w:divsChild>
        <w:div w:id="1969123349">
          <w:marLeft w:val="0"/>
          <w:marRight w:val="0"/>
          <w:marTop w:val="0"/>
          <w:marBottom w:val="0"/>
          <w:divBdr>
            <w:top w:val="none" w:sz="0" w:space="0" w:color="auto"/>
            <w:left w:val="none" w:sz="0" w:space="0" w:color="auto"/>
            <w:bottom w:val="none" w:sz="0" w:space="0" w:color="auto"/>
            <w:right w:val="none" w:sz="0" w:space="0" w:color="auto"/>
          </w:divBdr>
        </w:div>
        <w:div w:id="1827277849">
          <w:marLeft w:val="0"/>
          <w:marRight w:val="0"/>
          <w:marTop w:val="0"/>
          <w:marBottom w:val="0"/>
          <w:divBdr>
            <w:top w:val="none" w:sz="0" w:space="0" w:color="auto"/>
            <w:left w:val="none" w:sz="0" w:space="0" w:color="auto"/>
            <w:bottom w:val="none" w:sz="0" w:space="0" w:color="auto"/>
            <w:right w:val="none" w:sz="0" w:space="0" w:color="auto"/>
          </w:divBdr>
        </w:div>
        <w:div w:id="490680266">
          <w:marLeft w:val="0"/>
          <w:marRight w:val="0"/>
          <w:marTop w:val="0"/>
          <w:marBottom w:val="0"/>
          <w:divBdr>
            <w:top w:val="none" w:sz="0" w:space="0" w:color="auto"/>
            <w:left w:val="none" w:sz="0" w:space="0" w:color="auto"/>
            <w:bottom w:val="none" w:sz="0" w:space="0" w:color="auto"/>
            <w:right w:val="none" w:sz="0" w:space="0" w:color="auto"/>
          </w:divBdr>
        </w:div>
        <w:div w:id="2078748546">
          <w:marLeft w:val="0"/>
          <w:marRight w:val="0"/>
          <w:marTop w:val="0"/>
          <w:marBottom w:val="0"/>
          <w:divBdr>
            <w:top w:val="none" w:sz="0" w:space="0" w:color="auto"/>
            <w:left w:val="none" w:sz="0" w:space="0" w:color="auto"/>
            <w:bottom w:val="none" w:sz="0" w:space="0" w:color="auto"/>
            <w:right w:val="none" w:sz="0" w:space="0" w:color="auto"/>
          </w:divBdr>
        </w:div>
      </w:divsChild>
    </w:div>
    <w:div w:id="496966345">
      <w:bodyDiv w:val="1"/>
      <w:marLeft w:val="0"/>
      <w:marRight w:val="0"/>
      <w:marTop w:val="0"/>
      <w:marBottom w:val="0"/>
      <w:divBdr>
        <w:top w:val="none" w:sz="0" w:space="0" w:color="auto"/>
        <w:left w:val="none" w:sz="0" w:space="0" w:color="auto"/>
        <w:bottom w:val="none" w:sz="0" w:space="0" w:color="auto"/>
        <w:right w:val="none" w:sz="0" w:space="0" w:color="auto"/>
      </w:divBdr>
      <w:divsChild>
        <w:div w:id="440297498">
          <w:marLeft w:val="0"/>
          <w:marRight w:val="0"/>
          <w:marTop w:val="0"/>
          <w:marBottom w:val="0"/>
          <w:divBdr>
            <w:top w:val="none" w:sz="0" w:space="0" w:color="auto"/>
            <w:left w:val="none" w:sz="0" w:space="0" w:color="auto"/>
            <w:bottom w:val="none" w:sz="0" w:space="0" w:color="auto"/>
            <w:right w:val="none" w:sz="0" w:space="0" w:color="auto"/>
          </w:divBdr>
        </w:div>
        <w:div w:id="1168866863">
          <w:marLeft w:val="0"/>
          <w:marRight w:val="0"/>
          <w:marTop w:val="0"/>
          <w:marBottom w:val="0"/>
          <w:divBdr>
            <w:top w:val="none" w:sz="0" w:space="0" w:color="auto"/>
            <w:left w:val="none" w:sz="0" w:space="0" w:color="auto"/>
            <w:bottom w:val="none" w:sz="0" w:space="0" w:color="auto"/>
            <w:right w:val="none" w:sz="0" w:space="0" w:color="auto"/>
          </w:divBdr>
        </w:div>
        <w:div w:id="218975990">
          <w:marLeft w:val="0"/>
          <w:marRight w:val="0"/>
          <w:marTop w:val="0"/>
          <w:marBottom w:val="0"/>
          <w:divBdr>
            <w:top w:val="none" w:sz="0" w:space="0" w:color="auto"/>
            <w:left w:val="none" w:sz="0" w:space="0" w:color="auto"/>
            <w:bottom w:val="none" w:sz="0" w:space="0" w:color="auto"/>
            <w:right w:val="none" w:sz="0" w:space="0" w:color="auto"/>
          </w:divBdr>
        </w:div>
        <w:div w:id="1608737139">
          <w:marLeft w:val="0"/>
          <w:marRight w:val="0"/>
          <w:marTop w:val="0"/>
          <w:marBottom w:val="0"/>
          <w:divBdr>
            <w:top w:val="none" w:sz="0" w:space="0" w:color="auto"/>
            <w:left w:val="none" w:sz="0" w:space="0" w:color="auto"/>
            <w:bottom w:val="none" w:sz="0" w:space="0" w:color="auto"/>
            <w:right w:val="none" w:sz="0" w:space="0" w:color="auto"/>
          </w:divBdr>
        </w:div>
      </w:divsChild>
    </w:div>
    <w:div w:id="513807752">
      <w:bodyDiv w:val="1"/>
      <w:marLeft w:val="0"/>
      <w:marRight w:val="0"/>
      <w:marTop w:val="0"/>
      <w:marBottom w:val="0"/>
      <w:divBdr>
        <w:top w:val="none" w:sz="0" w:space="0" w:color="auto"/>
        <w:left w:val="none" w:sz="0" w:space="0" w:color="auto"/>
        <w:bottom w:val="none" w:sz="0" w:space="0" w:color="auto"/>
        <w:right w:val="none" w:sz="0" w:space="0" w:color="auto"/>
      </w:divBdr>
    </w:div>
    <w:div w:id="551423440">
      <w:bodyDiv w:val="1"/>
      <w:marLeft w:val="0"/>
      <w:marRight w:val="0"/>
      <w:marTop w:val="0"/>
      <w:marBottom w:val="0"/>
      <w:divBdr>
        <w:top w:val="none" w:sz="0" w:space="0" w:color="auto"/>
        <w:left w:val="none" w:sz="0" w:space="0" w:color="auto"/>
        <w:bottom w:val="none" w:sz="0" w:space="0" w:color="auto"/>
        <w:right w:val="none" w:sz="0" w:space="0" w:color="auto"/>
      </w:divBdr>
      <w:divsChild>
        <w:div w:id="1362053246">
          <w:marLeft w:val="360"/>
          <w:marRight w:val="0"/>
          <w:marTop w:val="200"/>
          <w:marBottom w:val="0"/>
          <w:divBdr>
            <w:top w:val="none" w:sz="0" w:space="0" w:color="auto"/>
            <w:left w:val="none" w:sz="0" w:space="0" w:color="auto"/>
            <w:bottom w:val="none" w:sz="0" w:space="0" w:color="auto"/>
            <w:right w:val="none" w:sz="0" w:space="0" w:color="auto"/>
          </w:divBdr>
        </w:div>
      </w:divsChild>
    </w:div>
    <w:div w:id="576868619">
      <w:bodyDiv w:val="1"/>
      <w:marLeft w:val="0"/>
      <w:marRight w:val="0"/>
      <w:marTop w:val="0"/>
      <w:marBottom w:val="0"/>
      <w:divBdr>
        <w:top w:val="none" w:sz="0" w:space="0" w:color="auto"/>
        <w:left w:val="none" w:sz="0" w:space="0" w:color="auto"/>
        <w:bottom w:val="none" w:sz="0" w:space="0" w:color="auto"/>
        <w:right w:val="none" w:sz="0" w:space="0" w:color="auto"/>
      </w:divBdr>
    </w:div>
    <w:div w:id="792820678">
      <w:bodyDiv w:val="1"/>
      <w:marLeft w:val="0"/>
      <w:marRight w:val="0"/>
      <w:marTop w:val="0"/>
      <w:marBottom w:val="0"/>
      <w:divBdr>
        <w:top w:val="none" w:sz="0" w:space="0" w:color="auto"/>
        <w:left w:val="none" w:sz="0" w:space="0" w:color="auto"/>
        <w:bottom w:val="none" w:sz="0" w:space="0" w:color="auto"/>
        <w:right w:val="none" w:sz="0" w:space="0" w:color="auto"/>
      </w:divBdr>
      <w:divsChild>
        <w:div w:id="175776968">
          <w:marLeft w:val="0"/>
          <w:marRight w:val="0"/>
          <w:marTop w:val="0"/>
          <w:marBottom w:val="0"/>
          <w:divBdr>
            <w:top w:val="none" w:sz="0" w:space="0" w:color="auto"/>
            <w:left w:val="none" w:sz="0" w:space="0" w:color="auto"/>
            <w:bottom w:val="none" w:sz="0" w:space="0" w:color="auto"/>
            <w:right w:val="none" w:sz="0" w:space="0" w:color="auto"/>
          </w:divBdr>
          <w:divsChild>
            <w:div w:id="157208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5924">
      <w:bodyDiv w:val="1"/>
      <w:marLeft w:val="0"/>
      <w:marRight w:val="0"/>
      <w:marTop w:val="0"/>
      <w:marBottom w:val="0"/>
      <w:divBdr>
        <w:top w:val="none" w:sz="0" w:space="0" w:color="auto"/>
        <w:left w:val="none" w:sz="0" w:space="0" w:color="auto"/>
        <w:bottom w:val="none" w:sz="0" w:space="0" w:color="auto"/>
        <w:right w:val="none" w:sz="0" w:space="0" w:color="auto"/>
      </w:divBdr>
    </w:div>
    <w:div w:id="871722396">
      <w:bodyDiv w:val="1"/>
      <w:marLeft w:val="0"/>
      <w:marRight w:val="0"/>
      <w:marTop w:val="0"/>
      <w:marBottom w:val="0"/>
      <w:divBdr>
        <w:top w:val="none" w:sz="0" w:space="0" w:color="auto"/>
        <w:left w:val="none" w:sz="0" w:space="0" w:color="auto"/>
        <w:bottom w:val="none" w:sz="0" w:space="0" w:color="auto"/>
        <w:right w:val="none" w:sz="0" w:space="0" w:color="auto"/>
      </w:divBdr>
    </w:div>
    <w:div w:id="888227967">
      <w:bodyDiv w:val="1"/>
      <w:marLeft w:val="0"/>
      <w:marRight w:val="0"/>
      <w:marTop w:val="0"/>
      <w:marBottom w:val="0"/>
      <w:divBdr>
        <w:top w:val="none" w:sz="0" w:space="0" w:color="auto"/>
        <w:left w:val="none" w:sz="0" w:space="0" w:color="auto"/>
        <w:bottom w:val="none" w:sz="0" w:space="0" w:color="auto"/>
        <w:right w:val="none" w:sz="0" w:space="0" w:color="auto"/>
      </w:divBdr>
    </w:div>
    <w:div w:id="973755347">
      <w:bodyDiv w:val="1"/>
      <w:marLeft w:val="0"/>
      <w:marRight w:val="0"/>
      <w:marTop w:val="0"/>
      <w:marBottom w:val="0"/>
      <w:divBdr>
        <w:top w:val="none" w:sz="0" w:space="0" w:color="auto"/>
        <w:left w:val="none" w:sz="0" w:space="0" w:color="auto"/>
        <w:bottom w:val="none" w:sz="0" w:space="0" w:color="auto"/>
        <w:right w:val="none" w:sz="0" w:space="0" w:color="auto"/>
      </w:divBdr>
    </w:div>
    <w:div w:id="975840860">
      <w:bodyDiv w:val="1"/>
      <w:marLeft w:val="0"/>
      <w:marRight w:val="0"/>
      <w:marTop w:val="0"/>
      <w:marBottom w:val="0"/>
      <w:divBdr>
        <w:top w:val="none" w:sz="0" w:space="0" w:color="auto"/>
        <w:left w:val="none" w:sz="0" w:space="0" w:color="auto"/>
        <w:bottom w:val="none" w:sz="0" w:space="0" w:color="auto"/>
        <w:right w:val="none" w:sz="0" w:space="0" w:color="auto"/>
      </w:divBdr>
    </w:div>
    <w:div w:id="1068772284">
      <w:bodyDiv w:val="1"/>
      <w:marLeft w:val="0"/>
      <w:marRight w:val="0"/>
      <w:marTop w:val="0"/>
      <w:marBottom w:val="0"/>
      <w:divBdr>
        <w:top w:val="none" w:sz="0" w:space="0" w:color="auto"/>
        <w:left w:val="none" w:sz="0" w:space="0" w:color="auto"/>
        <w:bottom w:val="none" w:sz="0" w:space="0" w:color="auto"/>
        <w:right w:val="none" w:sz="0" w:space="0" w:color="auto"/>
      </w:divBdr>
    </w:div>
    <w:div w:id="1113285003">
      <w:bodyDiv w:val="1"/>
      <w:marLeft w:val="0"/>
      <w:marRight w:val="0"/>
      <w:marTop w:val="0"/>
      <w:marBottom w:val="0"/>
      <w:divBdr>
        <w:top w:val="none" w:sz="0" w:space="0" w:color="auto"/>
        <w:left w:val="none" w:sz="0" w:space="0" w:color="auto"/>
        <w:bottom w:val="none" w:sz="0" w:space="0" w:color="auto"/>
        <w:right w:val="none" w:sz="0" w:space="0" w:color="auto"/>
      </w:divBdr>
    </w:div>
    <w:div w:id="1176384817">
      <w:bodyDiv w:val="1"/>
      <w:marLeft w:val="0"/>
      <w:marRight w:val="0"/>
      <w:marTop w:val="0"/>
      <w:marBottom w:val="0"/>
      <w:divBdr>
        <w:top w:val="none" w:sz="0" w:space="0" w:color="auto"/>
        <w:left w:val="none" w:sz="0" w:space="0" w:color="auto"/>
        <w:bottom w:val="none" w:sz="0" w:space="0" w:color="auto"/>
        <w:right w:val="none" w:sz="0" w:space="0" w:color="auto"/>
      </w:divBdr>
    </w:div>
    <w:div w:id="1221096000">
      <w:bodyDiv w:val="1"/>
      <w:marLeft w:val="0"/>
      <w:marRight w:val="0"/>
      <w:marTop w:val="0"/>
      <w:marBottom w:val="0"/>
      <w:divBdr>
        <w:top w:val="none" w:sz="0" w:space="0" w:color="auto"/>
        <w:left w:val="none" w:sz="0" w:space="0" w:color="auto"/>
        <w:bottom w:val="none" w:sz="0" w:space="0" w:color="auto"/>
        <w:right w:val="none" w:sz="0" w:space="0" w:color="auto"/>
      </w:divBdr>
    </w:div>
    <w:div w:id="1256403055">
      <w:bodyDiv w:val="1"/>
      <w:marLeft w:val="0"/>
      <w:marRight w:val="0"/>
      <w:marTop w:val="0"/>
      <w:marBottom w:val="0"/>
      <w:divBdr>
        <w:top w:val="none" w:sz="0" w:space="0" w:color="auto"/>
        <w:left w:val="none" w:sz="0" w:space="0" w:color="auto"/>
        <w:bottom w:val="none" w:sz="0" w:space="0" w:color="auto"/>
        <w:right w:val="none" w:sz="0" w:space="0" w:color="auto"/>
      </w:divBdr>
    </w:div>
    <w:div w:id="1270895535">
      <w:bodyDiv w:val="1"/>
      <w:marLeft w:val="0"/>
      <w:marRight w:val="0"/>
      <w:marTop w:val="0"/>
      <w:marBottom w:val="0"/>
      <w:divBdr>
        <w:top w:val="none" w:sz="0" w:space="0" w:color="auto"/>
        <w:left w:val="none" w:sz="0" w:space="0" w:color="auto"/>
        <w:bottom w:val="none" w:sz="0" w:space="0" w:color="auto"/>
        <w:right w:val="none" w:sz="0" w:space="0" w:color="auto"/>
      </w:divBdr>
    </w:div>
    <w:div w:id="1289165375">
      <w:bodyDiv w:val="1"/>
      <w:marLeft w:val="0"/>
      <w:marRight w:val="0"/>
      <w:marTop w:val="0"/>
      <w:marBottom w:val="0"/>
      <w:divBdr>
        <w:top w:val="none" w:sz="0" w:space="0" w:color="auto"/>
        <w:left w:val="none" w:sz="0" w:space="0" w:color="auto"/>
        <w:bottom w:val="none" w:sz="0" w:space="0" w:color="auto"/>
        <w:right w:val="none" w:sz="0" w:space="0" w:color="auto"/>
      </w:divBdr>
    </w:div>
    <w:div w:id="1321032707">
      <w:bodyDiv w:val="1"/>
      <w:marLeft w:val="0"/>
      <w:marRight w:val="0"/>
      <w:marTop w:val="0"/>
      <w:marBottom w:val="0"/>
      <w:divBdr>
        <w:top w:val="none" w:sz="0" w:space="0" w:color="auto"/>
        <w:left w:val="none" w:sz="0" w:space="0" w:color="auto"/>
        <w:bottom w:val="none" w:sz="0" w:space="0" w:color="auto"/>
        <w:right w:val="none" w:sz="0" w:space="0" w:color="auto"/>
      </w:divBdr>
    </w:div>
    <w:div w:id="1385300000">
      <w:bodyDiv w:val="1"/>
      <w:marLeft w:val="0"/>
      <w:marRight w:val="0"/>
      <w:marTop w:val="0"/>
      <w:marBottom w:val="0"/>
      <w:divBdr>
        <w:top w:val="none" w:sz="0" w:space="0" w:color="auto"/>
        <w:left w:val="none" w:sz="0" w:space="0" w:color="auto"/>
        <w:bottom w:val="none" w:sz="0" w:space="0" w:color="auto"/>
        <w:right w:val="none" w:sz="0" w:space="0" w:color="auto"/>
      </w:divBdr>
    </w:div>
    <w:div w:id="1407143381">
      <w:bodyDiv w:val="1"/>
      <w:marLeft w:val="0"/>
      <w:marRight w:val="0"/>
      <w:marTop w:val="0"/>
      <w:marBottom w:val="0"/>
      <w:divBdr>
        <w:top w:val="none" w:sz="0" w:space="0" w:color="auto"/>
        <w:left w:val="none" w:sz="0" w:space="0" w:color="auto"/>
        <w:bottom w:val="none" w:sz="0" w:space="0" w:color="auto"/>
        <w:right w:val="none" w:sz="0" w:space="0" w:color="auto"/>
      </w:divBdr>
    </w:div>
    <w:div w:id="1409036034">
      <w:bodyDiv w:val="1"/>
      <w:marLeft w:val="0"/>
      <w:marRight w:val="0"/>
      <w:marTop w:val="0"/>
      <w:marBottom w:val="0"/>
      <w:divBdr>
        <w:top w:val="none" w:sz="0" w:space="0" w:color="auto"/>
        <w:left w:val="none" w:sz="0" w:space="0" w:color="auto"/>
        <w:bottom w:val="none" w:sz="0" w:space="0" w:color="auto"/>
        <w:right w:val="none" w:sz="0" w:space="0" w:color="auto"/>
      </w:divBdr>
    </w:div>
    <w:div w:id="1416171127">
      <w:bodyDiv w:val="1"/>
      <w:marLeft w:val="0"/>
      <w:marRight w:val="0"/>
      <w:marTop w:val="0"/>
      <w:marBottom w:val="0"/>
      <w:divBdr>
        <w:top w:val="none" w:sz="0" w:space="0" w:color="auto"/>
        <w:left w:val="none" w:sz="0" w:space="0" w:color="auto"/>
        <w:bottom w:val="none" w:sz="0" w:space="0" w:color="auto"/>
        <w:right w:val="none" w:sz="0" w:space="0" w:color="auto"/>
      </w:divBdr>
    </w:div>
    <w:div w:id="1440906922">
      <w:bodyDiv w:val="1"/>
      <w:marLeft w:val="0"/>
      <w:marRight w:val="0"/>
      <w:marTop w:val="0"/>
      <w:marBottom w:val="0"/>
      <w:divBdr>
        <w:top w:val="none" w:sz="0" w:space="0" w:color="auto"/>
        <w:left w:val="none" w:sz="0" w:space="0" w:color="auto"/>
        <w:bottom w:val="none" w:sz="0" w:space="0" w:color="auto"/>
        <w:right w:val="none" w:sz="0" w:space="0" w:color="auto"/>
      </w:divBdr>
    </w:div>
    <w:div w:id="1462186324">
      <w:bodyDiv w:val="1"/>
      <w:marLeft w:val="0"/>
      <w:marRight w:val="0"/>
      <w:marTop w:val="0"/>
      <w:marBottom w:val="0"/>
      <w:divBdr>
        <w:top w:val="none" w:sz="0" w:space="0" w:color="auto"/>
        <w:left w:val="none" w:sz="0" w:space="0" w:color="auto"/>
        <w:bottom w:val="none" w:sz="0" w:space="0" w:color="auto"/>
        <w:right w:val="none" w:sz="0" w:space="0" w:color="auto"/>
      </w:divBdr>
    </w:div>
    <w:div w:id="1478643235">
      <w:bodyDiv w:val="1"/>
      <w:marLeft w:val="0"/>
      <w:marRight w:val="0"/>
      <w:marTop w:val="0"/>
      <w:marBottom w:val="0"/>
      <w:divBdr>
        <w:top w:val="none" w:sz="0" w:space="0" w:color="auto"/>
        <w:left w:val="none" w:sz="0" w:space="0" w:color="auto"/>
        <w:bottom w:val="none" w:sz="0" w:space="0" w:color="auto"/>
        <w:right w:val="none" w:sz="0" w:space="0" w:color="auto"/>
      </w:divBdr>
    </w:div>
    <w:div w:id="1502352421">
      <w:bodyDiv w:val="1"/>
      <w:marLeft w:val="0"/>
      <w:marRight w:val="0"/>
      <w:marTop w:val="0"/>
      <w:marBottom w:val="0"/>
      <w:divBdr>
        <w:top w:val="none" w:sz="0" w:space="0" w:color="auto"/>
        <w:left w:val="none" w:sz="0" w:space="0" w:color="auto"/>
        <w:bottom w:val="none" w:sz="0" w:space="0" w:color="auto"/>
        <w:right w:val="none" w:sz="0" w:space="0" w:color="auto"/>
      </w:divBdr>
    </w:div>
    <w:div w:id="1509101760">
      <w:bodyDiv w:val="1"/>
      <w:marLeft w:val="0"/>
      <w:marRight w:val="0"/>
      <w:marTop w:val="0"/>
      <w:marBottom w:val="0"/>
      <w:divBdr>
        <w:top w:val="none" w:sz="0" w:space="0" w:color="auto"/>
        <w:left w:val="none" w:sz="0" w:space="0" w:color="auto"/>
        <w:bottom w:val="none" w:sz="0" w:space="0" w:color="auto"/>
        <w:right w:val="none" w:sz="0" w:space="0" w:color="auto"/>
      </w:divBdr>
    </w:div>
    <w:div w:id="1557814590">
      <w:bodyDiv w:val="1"/>
      <w:marLeft w:val="0"/>
      <w:marRight w:val="0"/>
      <w:marTop w:val="0"/>
      <w:marBottom w:val="0"/>
      <w:divBdr>
        <w:top w:val="none" w:sz="0" w:space="0" w:color="auto"/>
        <w:left w:val="none" w:sz="0" w:space="0" w:color="auto"/>
        <w:bottom w:val="none" w:sz="0" w:space="0" w:color="auto"/>
        <w:right w:val="none" w:sz="0" w:space="0" w:color="auto"/>
      </w:divBdr>
    </w:div>
    <w:div w:id="1575433048">
      <w:bodyDiv w:val="1"/>
      <w:marLeft w:val="0"/>
      <w:marRight w:val="0"/>
      <w:marTop w:val="0"/>
      <w:marBottom w:val="0"/>
      <w:divBdr>
        <w:top w:val="none" w:sz="0" w:space="0" w:color="auto"/>
        <w:left w:val="none" w:sz="0" w:space="0" w:color="auto"/>
        <w:bottom w:val="none" w:sz="0" w:space="0" w:color="auto"/>
        <w:right w:val="none" w:sz="0" w:space="0" w:color="auto"/>
      </w:divBdr>
    </w:div>
    <w:div w:id="1605922089">
      <w:bodyDiv w:val="1"/>
      <w:marLeft w:val="0"/>
      <w:marRight w:val="0"/>
      <w:marTop w:val="0"/>
      <w:marBottom w:val="0"/>
      <w:divBdr>
        <w:top w:val="none" w:sz="0" w:space="0" w:color="auto"/>
        <w:left w:val="none" w:sz="0" w:space="0" w:color="auto"/>
        <w:bottom w:val="none" w:sz="0" w:space="0" w:color="auto"/>
        <w:right w:val="none" w:sz="0" w:space="0" w:color="auto"/>
      </w:divBdr>
    </w:div>
    <w:div w:id="1612856265">
      <w:bodyDiv w:val="1"/>
      <w:marLeft w:val="0"/>
      <w:marRight w:val="0"/>
      <w:marTop w:val="0"/>
      <w:marBottom w:val="0"/>
      <w:divBdr>
        <w:top w:val="none" w:sz="0" w:space="0" w:color="auto"/>
        <w:left w:val="none" w:sz="0" w:space="0" w:color="auto"/>
        <w:bottom w:val="none" w:sz="0" w:space="0" w:color="auto"/>
        <w:right w:val="none" w:sz="0" w:space="0" w:color="auto"/>
      </w:divBdr>
    </w:div>
    <w:div w:id="1634285361">
      <w:bodyDiv w:val="1"/>
      <w:marLeft w:val="0"/>
      <w:marRight w:val="0"/>
      <w:marTop w:val="0"/>
      <w:marBottom w:val="0"/>
      <w:divBdr>
        <w:top w:val="none" w:sz="0" w:space="0" w:color="auto"/>
        <w:left w:val="none" w:sz="0" w:space="0" w:color="auto"/>
        <w:bottom w:val="none" w:sz="0" w:space="0" w:color="auto"/>
        <w:right w:val="none" w:sz="0" w:space="0" w:color="auto"/>
      </w:divBdr>
      <w:divsChild>
        <w:div w:id="774861053">
          <w:marLeft w:val="0"/>
          <w:marRight w:val="0"/>
          <w:marTop w:val="0"/>
          <w:marBottom w:val="0"/>
          <w:divBdr>
            <w:top w:val="none" w:sz="0" w:space="0" w:color="auto"/>
            <w:left w:val="none" w:sz="0" w:space="0" w:color="auto"/>
            <w:bottom w:val="none" w:sz="0" w:space="0" w:color="auto"/>
            <w:right w:val="none" w:sz="0" w:space="0" w:color="auto"/>
          </w:divBdr>
          <w:divsChild>
            <w:div w:id="499731520">
              <w:marLeft w:val="0"/>
              <w:marRight w:val="0"/>
              <w:marTop w:val="0"/>
              <w:marBottom w:val="0"/>
              <w:divBdr>
                <w:top w:val="none" w:sz="0" w:space="0" w:color="auto"/>
                <w:left w:val="none" w:sz="0" w:space="0" w:color="auto"/>
                <w:bottom w:val="none" w:sz="0" w:space="0" w:color="auto"/>
                <w:right w:val="none" w:sz="0" w:space="0" w:color="auto"/>
              </w:divBdr>
            </w:div>
            <w:div w:id="1558055368">
              <w:marLeft w:val="0"/>
              <w:marRight w:val="0"/>
              <w:marTop w:val="0"/>
              <w:marBottom w:val="0"/>
              <w:divBdr>
                <w:top w:val="none" w:sz="0" w:space="0" w:color="auto"/>
                <w:left w:val="none" w:sz="0" w:space="0" w:color="auto"/>
                <w:bottom w:val="none" w:sz="0" w:space="0" w:color="auto"/>
                <w:right w:val="none" w:sz="0" w:space="0" w:color="auto"/>
              </w:divBdr>
            </w:div>
            <w:div w:id="1461338013">
              <w:marLeft w:val="0"/>
              <w:marRight w:val="0"/>
              <w:marTop w:val="0"/>
              <w:marBottom w:val="0"/>
              <w:divBdr>
                <w:top w:val="none" w:sz="0" w:space="0" w:color="auto"/>
                <w:left w:val="none" w:sz="0" w:space="0" w:color="auto"/>
                <w:bottom w:val="none" w:sz="0" w:space="0" w:color="auto"/>
                <w:right w:val="none" w:sz="0" w:space="0" w:color="auto"/>
              </w:divBdr>
            </w:div>
            <w:div w:id="1909070498">
              <w:marLeft w:val="0"/>
              <w:marRight w:val="0"/>
              <w:marTop w:val="0"/>
              <w:marBottom w:val="0"/>
              <w:divBdr>
                <w:top w:val="none" w:sz="0" w:space="0" w:color="auto"/>
                <w:left w:val="none" w:sz="0" w:space="0" w:color="auto"/>
                <w:bottom w:val="none" w:sz="0" w:space="0" w:color="auto"/>
                <w:right w:val="none" w:sz="0" w:space="0" w:color="auto"/>
              </w:divBdr>
            </w:div>
            <w:div w:id="1324702618">
              <w:marLeft w:val="0"/>
              <w:marRight w:val="0"/>
              <w:marTop w:val="0"/>
              <w:marBottom w:val="0"/>
              <w:divBdr>
                <w:top w:val="none" w:sz="0" w:space="0" w:color="auto"/>
                <w:left w:val="none" w:sz="0" w:space="0" w:color="auto"/>
                <w:bottom w:val="none" w:sz="0" w:space="0" w:color="auto"/>
                <w:right w:val="none" w:sz="0" w:space="0" w:color="auto"/>
              </w:divBdr>
            </w:div>
            <w:div w:id="978220819">
              <w:marLeft w:val="0"/>
              <w:marRight w:val="0"/>
              <w:marTop w:val="0"/>
              <w:marBottom w:val="0"/>
              <w:divBdr>
                <w:top w:val="none" w:sz="0" w:space="0" w:color="auto"/>
                <w:left w:val="none" w:sz="0" w:space="0" w:color="auto"/>
                <w:bottom w:val="none" w:sz="0" w:space="0" w:color="auto"/>
                <w:right w:val="none" w:sz="0" w:space="0" w:color="auto"/>
              </w:divBdr>
            </w:div>
            <w:div w:id="1284996766">
              <w:marLeft w:val="0"/>
              <w:marRight w:val="0"/>
              <w:marTop w:val="0"/>
              <w:marBottom w:val="0"/>
              <w:divBdr>
                <w:top w:val="none" w:sz="0" w:space="0" w:color="auto"/>
                <w:left w:val="none" w:sz="0" w:space="0" w:color="auto"/>
                <w:bottom w:val="none" w:sz="0" w:space="0" w:color="auto"/>
                <w:right w:val="none" w:sz="0" w:space="0" w:color="auto"/>
              </w:divBdr>
            </w:div>
            <w:div w:id="721833673">
              <w:marLeft w:val="0"/>
              <w:marRight w:val="0"/>
              <w:marTop w:val="0"/>
              <w:marBottom w:val="0"/>
              <w:divBdr>
                <w:top w:val="none" w:sz="0" w:space="0" w:color="auto"/>
                <w:left w:val="none" w:sz="0" w:space="0" w:color="auto"/>
                <w:bottom w:val="none" w:sz="0" w:space="0" w:color="auto"/>
                <w:right w:val="none" w:sz="0" w:space="0" w:color="auto"/>
              </w:divBdr>
            </w:div>
            <w:div w:id="262030318">
              <w:marLeft w:val="0"/>
              <w:marRight w:val="0"/>
              <w:marTop w:val="0"/>
              <w:marBottom w:val="0"/>
              <w:divBdr>
                <w:top w:val="none" w:sz="0" w:space="0" w:color="auto"/>
                <w:left w:val="none" w:sz="0" w:space="0" w:color="auto"/>
                <w:bottom w:val="none" w:sz="0" w:space="0" w:color="auto"/>
                <w:right w:val="none" w:sz="0" w:space="0" w:color="auto"/>
              </w:divBdr>
            </w:div>
            <w:div w:id="524489398">
              <w:marLeft w:val="0"/>
              <w:marRight w:val="0"/>
              <w:marTop w:val="0"/>
              <w:marBottom w:val="0"/>
              <w:divBdr>
                <w:top w:val="none" w:sz="0" w:space="0" w:color="auto"/>
                <w:left w:val="none" w:sz="0" w:space="0" w:color="auto"/>
                <w:bottom w:val="none" w:sz="0" w:space="0" w:color="auto"/>
                <w:right w:val="none" w:sz="0" w:space="0" w:color="auto"/>
              </w:divBdr>
            </w:div>
            <w:div w:id="1787045518">
              <w:marLeft w:val="0"/>
              <w:marRight w:val="0"/>
              <w:marTop w:val="0"/>
              <w:marBottom w:val="0"/>
              <w:divBdr>
                <w:top w:val="none" w:sz="0" w:space="0" w:color="auto"/>
                <w:left w:val="none" w:sz="0" w:space="0" w:color="auto"/>
                <w:bottom w:val="none" w:sz="0" w:space="0" w:color="auto"/>
                <w:right w:val="none" w:sz="0" w:space="0" w:color="auto"/>
              </w:divBdr>
            </w:div>
            <w:div w:id="835191454">
              <w:marLeft w:val="0"/>
              <w:marRight w:val="0"/>
              <w:marTop w:val="0"/>
              <w:marBottom w:val="0"/>
              <w:divBdr>
                <w:top w:val="none" w:sz="0" w:space="0" w:color="auto"/>
                <w:left w:val="none" w:sz="0" w:space="0" w:color="auto"/>
                <w:bottom w:val="none" w:sz="0" w:space="0" w:color="auto"/>
                <w:right w:val="none" w:sz="0" w:space="0" w:color="auto"/>
              </w:divBdr>
            </w:div>
            <w:div w:id="1703019192">
              <w:marLeft w:val="0"/>
              <w:marRight w:val="0"/>
              <w:marTop w:val="0"/>
              <w:marBottom w:val="0"/>
              <w:divBdr>
                <w:top w:val="none" w:sz="0" w:space="0" w:color="auto"/>
                <w:left w:val="none" w:sz="0" w:space="0" w:color="auto"/>
                <w:bottom w:val="none" w:sz="0" w:space="0" w:color="auto"/>
                <w:right w:val="none" w:sz="0" w:space="0" w:color="auto"/>
              </w:divBdr>
            </w:div>
            <w:div w:id="1397390285">
              <w:marLeft w:val="0"/>
              <w:marRight w:val="0"/>
              <w:marTop w:val="0"/>
              <w:marBottom w:val="0"/>
              <w:divBdr>
                <w:top w:val="none" w:sz="0" w:space="0" w:color="auto"/>
                <w:left w:val="none" w:sz="0" w:space="0" w:color="auto"/>
                <w:bottom w:val="none" w:sz="0" w:space="0" w:color="auto"/>
                <w:right w:val="none" w:sz="0" w:space="0" w:color="auto"/>
              </w:divBdr>
            </w:div>
            <w:div w:id="1920871870">
              <w:marLeft w:val="0"/>
              <w:marRight w:val="0"/>
              <w:marTop w:val="0"/>
              <w:marBottom w:val="0"/>
              <w:divBdr>
                <w:top w:val="none" w:sz="0" w:space="0" w:color="auto"/>
                <w:left w:val="none" w:sz="0" w:space="0" w:color="auto"/>
                <w:bottom w:val="none" w:sz="0" w:space="0" w:color="auto"/>
                <w:right w:val="none" w:sz="0" w:space="0" w:color="auto"/>
              </w:divBdr>
            </w:div>
            <w:div w:id="1740397159">
              <w:marLeft w:val="0"/>
              <w:marRight w:val="0"/>
              <w:marTop w:val="0"/>
              <w:marBottom w:val="0"/>
              <w:divBdr>
                <w:top w:val="none" w:sz="0" w:space="0" w:color="auto"/>
                <w:left w:val="none" w:sz="0" w:space="0" w:color="auto"/>
                <w:bottom w:val="none" w:sz="0" w:space="0" w:color="auto"/>
                <w:right w:val="none" w:sz="0" w:space="0" w:color="auto"/>
              </w:divBdr>
            </w:div>
            <w:div w:id="1440298302">
              <w:marLeft w:val="0"/>
              <w:marRight w:val="0"/>
              <w:marTop w:val="0"/>
              <w:marBottom w:val="0"/>
              <w:divBdr>
                <w:top w:val="none" w:sz="0" w:space="0" w:color="auto"/>
                <w:left w:val="none" w:sz="0" w:space="0" w:color="auto"/>
                <w:bottom w:val="none" w:sz="0" w:space="0" w:color="auto"/>
                <w:right w:val="none" w:sz="0" w:space="0" w:color="auto"/>
              </w:divBdr>
            </w:div>
            <w:div w:id="866331990">
              <w:marLeft w:val="0"/>
              <w:marRight w:val="0"/>
              <w:marTop w:val="0"/>
              <w:marBottom w:val="0"/>
              <w:divBdr>
                <w:top w:val="none" w:sz="0" w:space="0" w:color="auto"/>
                <w:left w:val="none" w:sz="0" w:space="0" w:color="auto"/>
                <w:bottom w:val="none" w:sz="0" w:space="0" w:color="auto"/>
                <w:right w:val="none" w:sz="0" w:space="0" w:color="auto"/>
              </w:divBdr>
            </w:div>
            <w:div w:id="421073255">
              <w:marLeft w:val="0"/>
              <w:marRight w:val="0"/>
              <w:marTop w:val="0"/>
              <w:marBottom w:val="0"/>
              <w:divBdr>
                <w:top w:val="none" w:sz="0" w:space="0" w:color="auto"/>
                <w:left w:val="none" w:sz="0" w:space="0" w:color="auto"/>
                <w:bottom w:val="none" w:sz="0" w:space="0" w:color="auto"/>
                <w:right w:val="none" w:sz="0" w:space="0" w:color="auto"/>
              </w:divBdr>
            </w:div>
            <w:div w:id="456685648">
              <w:marLeft w:val="0"/>
              <w:marRight w:val="0"/>
              <w:marTop w:val="0"/>
              <w:marBottom w:val="0"/>
              <w:divBdr>
                <w:top w:val="none" w:sz="0" w:space="0" w:color="auto"/>
                <w:left w:val="none" w:sz="0" w:space="0" w:color="auto"/>
                <w:bottom w:val="none" w:sz="0" w:space="0" w:color="auto"/>
                <w:right w:val="none" w:sz="0" w:space="0" w:color="auto"/>
              </w:divBdr>
            </w:div>
          </w:divsChild>
        </w:div>
        <w:div w:id="267196429">
          <w:marLeft w:val="0"/>
          <w:marRight w:val="0"/>
          <w:marTop w:val="0"/>
          <w:marBottom w:val="0"/>
          <w:divBdr>
            <w:top w:val="none" w:sz="0" w:space="0" w:color="auto"/>
            <w:left w:val="none" w:sz="0" w:space="0" w:color="auto"/>
            <w:bottom w:val="none" w:sz="0" w:space="0" w:color="auto"/>
            <w:right w:val="none" w:sz="0" w:space="0" w:color="auto"/>
          </w:divBdr>
          <w:divsChild>
            <w:div w:id="2135756809">
              <w:marLeft w:val="0"/>
              <w:marRight w:val="0"/>
              <w:marTop w:val="0"/>
              <w:marBottom w:val="0"/>
              <w:divBdr>
                <w:top w:val="none" w:sz="0" w:space="0" w:color="auto"/>
                <w:left w:val="none" w:sz="0" w:space="0" w:color="auto"/>
                <w:bottom w:val="none" w:sz="0" w:space="0" w:color="auto"/>
                <w:right w:val="none" w:sz="0" w:space="0" w:color="auto"/>
              </w:divBdr>
            </w:div>
            <w:div w:id="423914388">
              <w:marLeft w:val="0"/>
              <w:marRight w:val="0"/>
              <w:marTop w:val="0"/>
              <w:marBottom w:val="0"/>
              <w:divBdr>
                <w:top w:val="none" w:sz="0" w:space="0" w:color="auto"/>
                <w:left w:val="none" w:sz="0" w:space="0" w:color="auto"/>
                <w:bottom w:val="none" w:sz="0" w:space="0" w:color="auto"/>
                <w:right w:val="none" w:sz="0" w:space="0" w:color="auto"/>
              </w:divBdr>
            </w:div>
            <w:div w:id="1617716240">
              <w:marLeft w:val="0"/>
              <w:marRight w:val="0"/>
              <w:marTop w:val="0"/>
              <w:marBottom w:val="0"/>
              <w:divBdr>
                <w:top w:val="none" w:sz="0" w:space="0" w:color="auto"/>
                <w:left w:val="none" w:sz="0" w:space="0" w:color="auto"/>
                <w:bottom w:val="none" w:sz="0" w:space="0" w:color="auto"/>
                <w:right w:val="none" w:sz="0" w:space="0" w:color="auto"/>
              </w:divBdr>
            </w:div>
            <w:div w:id="463542510">
              <w:marLeft w:val="0"/>
              <w:marRight w:val="0"/>
              <w:marTop w:val="0"/>
              <w:marBottom w:val="0"/>
              <w:divBdr>
                <w:top w:val="none" w:sz="0" w:space="0" w:color="auto"/>
                <w:left w:val="none" w:sz="0" w:space="0" w:color="auto"/>
                <w:bottom w:val="none" w:sz="0" w:space="0" w:color="auto"/>
                <w:right w:val="none" w:sz="0" w:space="0" w:color="auto"/>
              </w:divBdr>
            </w:div>
            <w:div w:id="157890201">
              <w:marLeft w:val="0"/>
              <w:marRight w:val="0"/>
              <w:marTop w:val="0"/>
              <w:marBottom w:val="0"/>
              <w:divBdr>
                <w:top w:val="none" w:sz="0" w:space="0" w:color="auto"/>
                <w:left w:val="none" w:sz="0" w:space="0" w:color="auto"/>
                <w:bottom w:val="none" w:sz="0" w:space="0" w:color="auto"/>
                <w:right w:val="none" w:sz="0" w:space="0" w:color="auto"/>
              </w:divBdr>
            </w:div>
            <w:div w:id="930043747">
              <w:marLeft w:val="0"/>
              <w:marRight w:val="0"/>
              <w:marTop w:val="0"/>
              <w:marBottom w:val="0"/>
              <w:divBdr>
                <w:top w:val="none" w:sz="0" w:space="0" w:color="auto"/>
                <w:left w:val="none" w:sz="0" w:space="0" w:color="auto"/>
                <w:bottom w:val="none" w:sz="0" w:space="0" w:color="auto"/>
                <w:right w:val="none" w:sz="0" w:space="0" w:color="auto"/>
              </w:divBdr>
            </w:div>
            <w:div w:id="326909055">
              <w:marLeft w:val="0"/>
              <w:marRight w:val="0"/>
              <w:marTop w:val="0"/>
              <w:marBottom w:val="0"/>
              <w:divBdr>
                <w:top w:val="none" w:sz="0" w:space="0" w:color="auto"/>
                <w:left w:val="none" w:sz="0" w:space="0" w:color="auto"/>
                <w:bottom w:val="none" w:sz="0" w:space="0" w:color="auto"/>
                <w:right w:val="none" w:sz="0" w:space="0" w:color="auto"/>
              </w:divBdr>
            </w:div>
            <w:div w:id="2075930538">
              <w:marLeft w:val="0"/>
              <w:marRight w:val="0"/>
              <w:marTop w:val="0"/>
              <w:marBottom w:val="0"/>
              <w:divBdr>
                <w:top w:val="none" w:sz="0" w:space="0" w:color="auto"/>
                <w:left w:val="none" w:sz="0" w:space="0" w:color="auto"/>
                <w:bottom w:val="none" w:sz="0" w:space="0" w:color="auto"/>
                <w:right w:val="none" w:sz="0" w:space="0" w:color="auto"/>
              </w:divBdr>
            </w:div>
            <w:div w:id="273488897">
              <w:marLeft w:val="0"/>
              <w:marRight w:val="0"/>
              <w:marTop w:val="0"/>
              <w:marBottom w:val="0"/>
              <w:divBdr>
                <w:top w:val="none" w:sz="0" w:space="0" w:color="auto"/>
                <w:left w:val="none" w:sz="0" w:space="0" w:color="auto"/>
                <w:bottom w:val="none" w:sz="0" w:space="0" w:color="auto"/>
                <w:right w:val="none" w:sz="0" w:space="0" w:color="auto"/>
              </w:divBdr>
            </w:div>
            <w:div w:id="1770545886">
              <w:marLeft w:val="0"/>
              <w:marRight w:val="0"/>
              <w:marTop w:val="0"/>
              <w:marBottom w:val="0"/>
              <w:divBdr>
                <w:top w:val="none" w:sz="0" w:space="0" w:color="auto"/>
                <w:left w:val="none" w:sz="0" w:space="0" w:color="auto"/>
                <w:bottom w:val="none" w:sz="0" w:space="0" w:color="auto"/>
                <w:right w:val="none" w:sz="0" w:space="0" w:color="auto"/>
              </w:divBdr>
            </w:div>
            <w:div w:id="2079933561">
              <w:marLeft w:val="0"/>
              <w:marRight w:val="0"/>
              <w:marTop w:val="0"/>
              <w:marBottom w:val="0"/>
              <w:divBdr>
                <w:top w:val="none" w:sz="0" w:space="0" w:color="auto"/>
                <w:left w:val="none" w:sz="0" w:space="0" w:color="auto"/>
                <w:bottom w:val="none" w:sz="0" w:space="0" w:color="auto"/>
                <w:right w:val="none" w:sz="0" w:space="0" w:color="auto"/>
              </w:divBdr>
            </w:div>
            <w:div w:id="1700005106">
              <w:marLeft w:val="0"/>
              <w:marRight w:val="0"/>
              <w:marTop w:val="0"/>
              <w:marBottom w:val="0"/>
              <w:divBdr>
                <w:top w:val="none" w:sz="0" w:space="0" w:color="auto"/>
                <w:left w:val="none" w:sz="0" w:space="0" w:color="auto"/>
                <w:bottom w:val="none" w:sz="0" w:space="0" w:color="auto"/>
                <w:right w:val="none" w:sz="0" w:space="0" w:color="auto"/>
              </w:divBdr>
            </w:div>
            <w:div w:id="1258099101">
              <w:marLeft w:val="0"/>
              <w:marRight w:val="0"/>
              <w:marTop w:val="0"/>
              <w:marBottom w:val="0"/>
              <w:divBdr>
                <w:top w:val="none" w:sz="0" w:space="0" w:color="auto"/>
                <w:left w:val="none" w:sz="0" w:space="0" w:color="auto"/>
                <w:bottom w:val="none" w:sz="0" w:space="0" w:color="auto"/>
                <w:right w:val="none" w:sz="0" w:space="0" w:color="auto"/>
              </w:divBdr>
            </w:div>
            <w:div w:id="1279410258">
              <w:marLeft w:val="0"/>
              <w:marRight w:val="0"/>
              <w:marTop w:val="0"/>
              <w:marBottom w:val="0"/>
              <w:divBdr>
                <w:top w:val="none" w:sz="0" w:space="0" w:color="auto"/>
                <w:left w:val="none" w:sz="0" w:space="0" w:color="auto"/>
                <w:bottom w:val="none" w:sz="0" w:space="0" w:color="auto"/>
                <w:right w:val="none" w:sz="0" w:space="0" w:color="auto"/>
              </w:divBdr>
            </w:div>
            <w:div w:id="653872938">
              <w:marLeft w:val="0"/>
              <w:marRight w:val="0"/>
              <w:marTop w:val="0"/>
              <w:marBottom w:val="0"/>
              <w:divBdr>
                <w:top w:val="none" w:sz="0" w:space="0" w:color="auto"/>
                <w:left w:val="none" w:sz="0" w:space="0" w:color="auto"/>
                <w:bottom w:val="none" w:sz="0" w:space="0" w:color="auto"/>
                <w:right w:val="none" w:sz="0" w:space="0" w:color="auto"/>
              </w:divBdr>
            </w:div>
            <w:div w:id="743183900">
              <w:marLeft w:val="0"/>
              <w:marRight w:val="0"/>
              <w:marTop w:val="0"/>
              <w:marBottom w:val="0"/>
              <w:divBdr>
                <w:top w:val="none" w:sz="0" w:space="0" w:color="auto"/>
                <w:left w:val="none" w:sz="0" w:space="0" w:color="auto"/>
                <w:bottom w:val="none" w:sz="0" w:space="0" w:color="auto"/>
                <w:right w:val="none" w:sz="0" w:space="0" w:color="auto"/>
              </w:divBdr>
            </w:div>
            <w:div w:id="821001353">
              <w:marLeft w:val="0"/>
              <w:marRight w:val="0"/>
              <w:marTop w:val="0"/>
              <w:marBottom w:val="0"/>
              <w:divBdr>
                <w:top w:val="none" w:sz="0" w:space="0" w:color="auto"/>
                <w:left w:val="none" w:sz="0" w:space="0" w:color="auto"/>
                <w:bottom w:val="none" w:sz="0" w:space="0" w:color="auto"/>
                <w:right w:val="none" w:sz="0" w:space="0" w:color="auto"/>
              </w:divBdr>
            </w:div>
            <w:div w:id="1327249744">
              <w:marLeft w:val="0"/>
              <w:marRight w:val="0"/>
              <w:marTop w:val="0"/>
              <w:marBottom w:val="0"/>
              <w:divBdr>
                <w:top w:val="none" w:sz="0" w:space="0" w:color="auto"/>
                <w:left w:val="none" w:sz="0" w:space="0" w:color="auto"/>
                <w:bottom w:val="none" w:sz="0" w:space="0" w:color="auto"/>
                <w:right w:val="none" w:sz="0" w:space="0" w:color="auto"/>
              </w:divBdr>
            </w:div>
            <w:div w:id="950939869">
              <w:marLeft w:val="0"/>
              <w:marRight w:val="0"/>
              <w:marTop w:val="0"/>
              <w:marBottom w:val="0"/>
              <w:divBdr>
                <w:top w:val="none" w:sz="0" w:space="0" w:color="auto"/>
                <w:left w:val="none" w:sz="0" w:space="0" w:color="auto"/>
                <w:bottom w:val="none" w:sz="0" w:space="0" w:color="auto"/>
                <w:right w:val="none" w:sz="0" w:space="0" w:color="auto"/>
              </w:divBdr>
            </w:div>
            <w:div w:id="695230925">
              <w:marLeft w:val="0"/>
              <w:marRight w:val="0"/>
              <w:marTop w:val="0"/>
              <w:marBottom w:val="0"/>
              <w:divBdr>
                <w:top w:val="none" w:sz="0" w:space="0" w:color="auto"/>
                <w:left w:val="none" w:sz="0" w:space="0" w:color="auto"/>
                <w:bottom w:val="none" w:sz="0" w:space="0" w:color="auto"/>
                <w:right w:val="none" w:sz="0" w:space="0" w:color="auto"/>
              </w:divBdr>
            </w:div>
          </w:divsChild>
        </w:div>
        <w:div w:id="880746638">
          <w:marLeft w:val="0"/>
          <w:marRight w:val="0"/>
          <w:marTop w:val="0"/>
          <w:marBottom w:val="0"/>
          <w:divBdr>
            <w:top w:val="none" w:sz="0" w:space="0" w:color="auto"/>
            <w:left w:val="none" w:sz="0" w:space="0" w:color="auto"/>
            <w:bottom w:val="none" w:sz="0" w:space="0" w:color="auto"/>
            <w:right w:val="none" w:sz="0" w:space="0" w:color="auto"/>
          </w:divBdr>
        </w:div>
        <w:div w:id="1820919024">
          <w:marLeft w:val="0"/>
          <w:marRight w:val="0"/>
          <w:marTop w:val="0"/>
          <w:marBottom w:val="0"/>
          <w:divBdr>
            <w:top w:val="none" w:sz="0" w:space="0" w:color="auto"/>
            <w:left w:val="none" w:sz="0" w:space="0" w:color="auto"/>
            <w:bottom w:val="none" w:sz="0" w:space="0" w:color="auto"/>
            <w:right w:val="none" w:sz="0" w:space="0" w:color="auto"/>
          </w:divBdr>
        </w:div>
        <w:div w:id="1740132718">
          <w:marLeft w:val="0"/>
          <w:marRight w:val="0"/>
          <w:marTop w:val="0"/>
          <w:marBottom w:val="0"/>
          <w:divBdr>
            <w:top w:val="none" w:sz="0" w:space="0" w:color="auto"/>
            <w:left w:val="none" w:sz="0" w:space="0" w:color="auto"/>
            <w:bottom w:val="none" w:sz="0" w:space="0" w:color="auto"/>
            <w:right w:val="none" w:sz="0" w:space="0" w:color="auto"/>
          </w:divBdr>
        </w:div>
        <w:div w:id="402408329">
          <w:marLeft w:val="0"/>
          <w:marRight w:val="0"/>
          <w:marTop w:val="0"/>
          <w:marBottom w:val="0"/>
          <w:divBdr>
            <w:top w:val="none" w:sz="0" w:space="0" w:color="auto"/>
            <w:left w:val="none" w:sz="0" w:space="0" w:color="auto"/>
            <w:bottom w:val="none" w:sz="0" w:space="0" w:color="auto"/>
            <w:right w:val="none" w:sz="0" w:space="0" w:color="auto"/>
          </w:divBdr>
        </w:div>
        <w:div w:id="2141410128">
          <w:marLeft w:val="0"/>
          <w:marRight w:val="0"/>
          <w:marTop w:val="0"/>
          <w:marBottom w:val="0"/>
          <w:divBdr>
            <w:top w:val="none" w:sz="0" w:space="0" w:color="auto"/>
            <w:left w:val="none" w:sz="0" w:space="0" w:color="auto"/>
            <w:bottom w:val="none" w:sz="0" w:space="0" w:color="auto"/>
            <w:right w:val="none" w:sz="0" w:space="0" w:color="auto"/>
          </w:divBdr>
        </w:div>
        <w:div w:id="1415395865">
          <w:marLeft w:val="0"/>
          <w:marRight w:val="0"/>
          <w:marTop w:val="0"/>
          <w:marBottom w:val="0"/>
          <w:divBdr>
            <w:top w:val="none" w:sz="0" w:space="0" w:color="auto"/>
            <w:left w:val="none" w:sz="0" w:space="0" w:color="auto"/>
            <w:bottom w:val="none" w:sz="0" w:space="0" w:color="auto"/>
            <w:right w:val="none" w:sz="0" w:space="0" w:color="auto"/>
          </w:divBdr>
        </w:div>
        <w:div w:id="1654489063">
          <w:marLeft w:val="0"/>
          <w:marRight w:val="0"/>
          <w:marTop w:val="0"/>
          <w:marBottom w:val="0"/>
          <w:divBdr>
            <w:top w:val="none" w:sz="0" w:space="0" w:color="auto"/>
            <w:left w:val="none" w:sz="0" w:space="0" w:color="auto"/>
            <w:bottom w:val="none" w:sz="0" w:space="0" w:color="auto"/>
            <w:right w:val="none" w:sz="0" w:space="0" w:color="auto"/>
          </w:divBdr>
        </w:div>
        <w:div w:id="1583028450">
          <w:marLeft w:val="0"/>
          <w:marRight w:val="0"/>
          <w:marTop w:val="0"/>
          <w:marBottom w:val="0"/>
          <w:divBdr>
            <w:top w:val="none" w:sz="0" w:space="0" w:color="auto"/>
            <w:left w:val="none" w:sz="0" w:space="0" w:color="auto"/>
            <w:bottom w:val="none" w:sz="0" w:space="0" w:color="auto"/>
            <w:right w:val="none" w:sz="0" w:space="0" w:color="auto"/>
          </w:divBdr>
        </w:div>
        <w:div w:id="603072907">
          <w:marLeft w:val="0"/>
          <w:marRight w:val="0"/>
          <w:marTop w:val="0"/>
          <w:marBottom w:val="0"/>
          <w:divBdr>
            <w:top w:val="none" w:sz="0" w:space="0" w:color="auto"/>
            <w:left w:val="none" w:sz="0" w:space="0" w:color="auto"/>
            <w:bottom w:val="none" w:sz="0" w:space="0" w:color="auto"/>
            <w:right w:val="none" w:sz="0" w:space="0" w:color="auto"/>
          </w:divBdr>
        </w:div>
        <w:div w:id="1062679281">
          <w:marLeft w:val="0"/>
          <w:marRight w:val="0"/>
          <w:marTop w:val="0"/>
          <w:marBottom w:val="0"/>
          <w:divBdr>
            <w:top w:val="none" w:sz="0" w:space="0" w:color="auto"/>
            <w:left w:val="none" w:sz="0" w:space="0" w:color="auto"/>
            <w:bottom w:val="none" w:sz="0" w:space="0" w:color="auto"/>
            <w:right w:val="none" w:sz="0" w:space="0" w:color="auto"/>
          </w:divBdr>
        </w:div>
      </w:divsChild>
    </w:div>
    <w:div w:id="1653172431">
      <w:bodyDiv w:val="1"/>
      <w:marLeft w:val="0"/>
      <w:marRight w:val="0"/>
      <w:marTop w:val="0"/>
      <w:marBottom w:val="0"/>
      <w:divBdr>
        <w:top w:val="none" w:sz="0" w:space="0" w:color="auto"/>
        <w:left w:val="none" w:sz="0" w:space="0" w:color="auto"/>
        <w:bottom w:val="none" w:sz="0" w:space="0" w:color="auto"/>
        <w:right w:val="none" w:sz="0" w:space="0" w:color="auto"/>
      </w:divBdr>
    </w:div>
    <w:div w:id="1735616479">
      <w:bodyDiv w:val="1"/>
      <w:marLeft w:val="0"/>
      <w:marRight w:val="0"/>
      <w:marTop w:val="0"/>
      <w:marBottom w:val="0"/>
      <w:divBdr>
        <w:top w:val="none" w:sz="0" w:space="0" w:color="auto"/>
        <w:left w:val="none" w:sz="0" w:space="0" w:color="auto"/>
        <w:bottom w:val="none" w:sz="0" w:space="0" w:color="auto"/>
        <w:right w:val="none" w:sz="0" w:space="0" w:color="auto"/>
      </w:divBdr>
    </w:div>
    <w:div w:id="1781026514">
      <w:bodyDiv w:val="1"/>
      <w:marLeft w:val="0"/>
      <w:marRight w:val="0"/>
      <w:marTop w:val="0"/>
      <w:marBottom w:val="0"/>
      <w:divBdr>
        <w:top w:val="none" w:sz="0" w:space="0" w:color="auto"/>
        <w:left w:val="none" w:sz="0" w:space="0" w:color="auto"/>
        <w:bottom w:val="none" w:sz="0" w:space="0" w:color="auto"/>
        <w:right w:val="none" w:sz="0" w:space="0" w:color="auto"/>
      </w:divBdr>
    </w:div>
    <w:div w:id="1834560560">
      <w:bodyDiv w:val="1"/>
      <w:marLeft w:val="0"/>
      <w:marRight w:val="0"/>
      <w:marTop w:val="0"/>
      <w:marBottom w:val="0"/>
      <w:divBdr>
        <w:top w:val="none" w:sz="0" w:space="0" w:color="auto"/>
        <w:left w:val="none" w:sz="0" w:space="0" w:color="auto"/>
        <w:bottom w:val="none" w:sz="0" w:space="0" w:color="auto"/>
        <w:right w:val="none" w:sz="0" w:space="0" w:color="auto"/>
      </w:divBdr>
    </w:div>
    <w:div w:id="1866669706">
      <w:bodyDiv w:val="1"/>
      <w:marLeft w:val="0"/>
      <w:marRight w:val="0"/>
      <w:marTop w:val="0"/>
      <w:marBottom w:val="0"/>
      <w:divBdr>
        <w:top w:val="none" w:sz="0" w:space="0" w:color="auto"/>
        <w:left w:val="none" w:sz="0" w:space="0" w:color="auto"/>
        <w:bottom w:val="none" w:sz="0" w:space="0" w:color="auto"/>
        <w:right w:val="none" w:sz="0" w:space="0" w:color="auto"/>
      </w:divBdr>
    </w:div>
    <w:div w:id="1887251542">
      <w:bodyDiv w:val="1"/>
      <w:marLeft w:val="0"/>
      <w:marRight w:val="0"/>
      <w:marTop w:val="0"/>
      <w:marBottom w:val="0"/>
      <w:divBdr>
        <w:top w:val="none" w:sz="0" w:space="0" w:color="auto"/>
        <w:left w:val="none" w:sz="0" w:space="0" w:color="auto"/>
        <w:bottom w:val="none" w:sz="0" w:space="0" w:color="auto"/>
        <w:right w:val="none" w:sz="0" w:space="0" w:color="auto"/>
      </w:divBdr>
    </w:div>
    <w:div w:id="2013146245">
      <w:bodyDiv w:val="1"/>
      <w:marLeft w:val="0"/>
      <w:marRight w:val="0"/>
      <w:marTop w:val="0"/>
      <w:marBottom w:val="0"/>
      <w:divBdr>
        <w:top w:val="none" w:sz="0" w:space="0" w:color="auto"/>
        <w:left w:val="none" w:sz="0" w:space="0" w:color="auto"/>
        <w:bottom w:val="none" w:sz="0" w:space="0" w:color="auto"/>
        <w:right w:val="none" w:sz="0" w:space="0" w:color="auto"/>
      </w:divBdr>
    </w:div>
    <w:div w:id="2057270542">
      <w:bodyDiv w:val="1"/>
      <w:marLeft w:val="0"/>
      <w:marRight w:val="0"/>
      <w:marTop w:val="0"/>
      <w:marBottom w:val="0"/>
      <w:divBdr>
        <w:top w:val="none" w:sz="0" w:space="0" w:color="auto"/>
        <w:left w:val="none" w:sz="0" w:space="0" w:color="auto"/>
        <w:bottom w:val="none" w:sz="0" w:space="0" w:color="auto"/>
        <w:right w:val="none" w:sz="0" w:space="0" w:color="auto"/>
      </w:divBdr>
    </w:div>
    <w:div w:id="2133672426">
      <w:bodyDiv w:val="1"/>
      <w:marLeft w:val="0"/>
      <w:marRight w:val="0"/>
      <w:marTop w:val="0"/>
      <w:marBottom w:val="0"/>
      <w:divBdr>
        <w:top w:val="none" w:sz="0" w:space="0" w:color="auto"/>
        <w:left w:val="none" w:sz="0" w:space="0" w:color="auto"/>
        <w:bottom w:val="none" w:sz="0" w:space="0" w:color="auto"/>
        <w:right w:val="none" w:sz="0" w:space="0" w:color="auto"/>
      </w:divBdr>
      <w:divsChild>
        <w:div w:id="611205702">
          <w:marLeft w:val="0"/>
          <w:marRight w:val="0"/>
          <w:marTop w:val="0"/>
          <w:marBottom w:val="0"/>
          <w:divBdr>
            <w:top w:val="none" w:sz="0" w:space="0" w:color="auto"/>
            <w:left w:val="none" w:sz="0" w:space="0" w:color="auto"/>
            <w:bottom w:val="none" w:sz="0" w:space="0" w:color="auto"/>
            <w:right w:val="none" w:sz="0" w:space="0" w:color="auto"/>
          </w:divBdr>
        </w:div>
        <w:div w:id="101387171">
          <w:marLeft w:val="0"/>
          <w:marRight w:val="0"/>
          <w:marTop w:val="0"/>
          <w:marBottom w:val="0"/>
          <w:divBdr>
            <w:top w:val="none" w:sz="0" w:space="0" w:color="auto"/>
            <w:left w:val="none" w:sz="0" w:space="0" w:color="auto"/>
            <w:bottom w:val="none" w:sz="0" w:space="0" w:color="auto"/>
            <w:right w:val="none" w:sz="0" w:space="0" w:color="auto"/>
          </w:divBdr>
        </w:div>
        <w:div w:id="54746448">
          <w:marLeft w:val="0"/>
          <w:marRight w:val="0"/>
          <w:marTop w:val="0"/>
          <w:marBottom w:val="0"/>
          <w:divBdr>
            <w:top w:val="none" w:sz="0" w:space="0" w:color="auto"/>
            <w:left w:val="none" w:sz="0" w:space="0" w:color="auto"/>
            <w:bottom w:val="none" w:sz="0" w:space="0" w:color="auto"/>
            <w:right w:val="none" w:sz="0" w:space="0" w:color="auto"/>
          </w:divBdr>
        </w:div>
        <w:div w:id="1646545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40210-6741-41DB-BDDA-46F10AE90147}">
  <ds:schemaRefs>
    <ds:schemaRef ds:uri="http://schemas.openxmlformats.org/officeDocument/2006/bibliography"/>
  </ds:schemaRefs>
</ds:datastoreItem>
</file>

<file path=docMetadata/LabelInfo.xml><?xml version="1.0" encoding="utf-8"?>
<clbl:labelList xmlns:clbl="http://schemas.microsoft.com/office/2020/mipLabelMetadata">
  <clbl:label id="{96b289ea-b729-4a61-8be4-4c9b5998d087}" enabled="1" method="Privileged" siteId="{bda528f7-fca9-432f-bc98-bd7e90d40906}" removed="0"/>
  <clbl:label id="{b6388990-a08e-44f4-a5b0-f44eab36c88f}"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6736</Words>
  <Characters>41363</Characters>
  <Application>Microsoft Office Word</Application>
  <DocSecurity>0</DocSecurity>
  <Lines>1292</Lines>
  <Paragraphs>763</Paragraphs>
  <ScaleCrop>false</ScaleCrop>
  <HeadingPairs>
    <vt:vector size="2" baseType="variant">
      <vt:variant>
        <vt:lpstr>Title</vt:lpstr>
      </vt:variant>
      <vt:variant>
        <vt:i4>1</vt:i4>
      </vt:variant>
    </vt:vector>
  </HeadingPairs>
  <TitlesOfParts>
    <vt:vector size="1" baseType="lpstr">
      <vt:lpstr>Bilateral schedule on mental health and suicide prevention: South Australia</vt:lpstr>
    </vt:vector>
  </TitlesOfParts>
  <Company/>
  <LinksUpToDate>false</LinksUpToDate>
  <CharactersWithSpaces>47336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Bilateral schedule on mental health and suicide prevention: South Australia</dc:title>
  <dc:subject/>
  <dc:creator>Australian Government</dc:creator>
  <cp:keywords/>
  <dc:description/>
  <cp:lastModifiedBy/>
  <cp:revision>1</cp:revision>
  <dcterms:created xsi:type="dcterms:W3CDTF">2026-05-14T05:16:00Z</dcterms:created>
  <dcterms:modified xsi:type="dcterms:W3CDTF">2026-05-14T05:17:00Z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2026-05-14T05:17:41Z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192f676d-508f-481d-ae10-b598fb49fe50</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