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2B52" w14:textId="77777777" w:rsidR="00B75561" w:rsidRDefault="00B75561"/>
    <w:p w14:paraId="42823FB6" w14:textId="77777777" w:rsidR="005C1024" w:rsidRDefault="005C1024" w:rsidP="00C91B5F">
      <w:pPr>
        <w:pStyle w:val="Heading9"/>
        <w:jc w:val="right"/>
        <w:rPr>
          <w:i w:val="0"/>
          <w:color w:val="FF0000"/>
        </w:rPr>
      </w:pPr>
    </w:p>
    <w:p w14:paraId="7D0562AE" w14:textId="5A6DD49C" w:rsidR="00C91B5F" w:rsidRPr="00F1227F" w:rsidRDefault="00317FB3" w:rsidP="00C91B5F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>
        <w:rPr>
          <w:i w:val="0"/>
          <w:sz w:val="28"/>
          <w:szCs w:val="28"/>
        </w:rPr>
        <w:t>Schedule</w:t>
      </w:r>
    </w:p>
    <w:p w14:paraId="7F55DBD6" w14:textId="4F95F9A4" w:rsidR="00F3279D" w:rsidRPr="00F0776C" w:rsidRDefault="00F3279D" w:rsidP="00C91B5F">
      <w:pPr>
        <w:pStyle w:val="Subtitle"/>
        <w:rPr>
          <w:rFonts w:ascii="Corbel" w:hAnsi="Corbel"/>
          <w:b w:val="0"/>
          <w:caps w:val="0"/>
          <w:color w:val="3D4B67"/>
          <w:spacing w:val="0"/>
          <w:sz w:val="40"/>
          <w:szCs w:val="40"/>
        </w:rPr>
      </w:pPr>
      <w:r w:rsidRPr="00F0776C">
        <w:rPr>
          <w:rFonts w:ascii="Corbel" w:hAnsi="Corbel"/>
          <w:b w:val="0"/>
          <w:caps w:val="0"/>
          <w:color w:val="3D4B67"/>
          <w:spacing w:val="0"/>
          <w:sz w:val="40"/>
          <w:szCs w:val="40"/>
        </w:rPr>
        <w:t>Expansion of the Joint Compliance and Monitoring Program (JCMP)</w:t>
      </w:r>
    </w:p>
    <w:p w14:paraId="028FB178" w14:textId="45088B39" w:rsidR="00C91B5F" w:rsidRPr="00BE249A" w:rsidRDefault="00D54783" w:rsidP="00C91B5F">
      <w:pPr>
        <w:pStyle w:val="Subtitle"/>
      </w:pPr>
      <w:r>
        <w:t xml:space="preserve">FEDERATION FUNDING AGREEMENT – </w:t>
      </w:r>
      <w:r w:rsidR="009424C5">
        <w:t>EDUCATION AND SKILLS</w:t>
      </w:r>
    </w:p>
    <w:tbl>
      <w:tblPr>
        <w:tblW w:w="10774" w:type="dxa"/>
        <w:tblInd w:w="-71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789"/>
      </w:tblGrid>
      <w:tr w:rsidR="00C91B5F" w:rsidRPr="00F00A18" w14:paraId="2C1B1FCA" w14:textId="77777777" w:rsidTr="0030658F">
        <w:tc>
          <w:tcPr>
            <w:tcW w:w="10774" w:type="dxa"/>
            <w:gridSpan w:val="2"/>
            <w:shd w:val="clear" w:color="auto" w:fill="DEEAF6" w:themeFill="accent1" w:themeFillTint="33"/>
          </w:tcPr>
          <w:p w14:paraId="5D980595" w14:textId="77777777" w:rsidR="00C91B5F" w:rsidRPr="00F00A18" w:rsidRDefault="00C91B5F" w:rsidP="00953AB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1: Formalities and operation of schedule</w:t>
            </w:r>
          </w:p>
        </w:tc>
      </w:tr>
      <w:tr w:rsidR="00C91B5F" w:rsidRPr="00F00A18" w14:paraId="65A8E909" w14:textId="77777777" w:rsidTr="0030658F">
        <w:trPr>
          <w:trHeight w:val="3000"/>
        </w:trPr>
        <w:tc>
          <w:tcPr>
            <w:tcW w:w="1985" w:type="dxa"/>
          </w:tcPr>
          <w:p w14:paraId="279F6020" w14:textId="77777777" w:rsidR="00C91B5F" w:rsidRPr="00F00A18" w:rsidRDefault="00C91B5F" w:rsidP="00953AB3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Parties</w:t>
            </w:r>
          </w:p>
        </w:tc>
        <w:tc>
          <w:tcPr>
            <w:tcW w:w="8789" w:type="dxa"/>
          </w:tcPr>
          <w:p w14:paraId="28377A00" w14:textId="555244FE" w:rsidR="00C91B5F" w:rsidRPr="0091614A" w:rsidRDefault="00C91B5F" w:rsidP="00953AB3">
            <w:pPr>
              <w:pStyle w:val="Tableformat"/>
              <w:rPr>
                <w:color w:val="auto"/>
                <w:sz w:val="22"/>
                <w:szCs w:val="22"/>
              </w:rPr>
            </w:pPr>
            <w:r w:rsidRPr="0091614A">
              <w:rPr>
                <w:color w:val="auto"/>
                <w:sz w:val="22"/>
                <w:szCs w:val="22"/>
              </w:rPr>
              <w:t>Commonwealth</w:t>
            </w:r>
            <w:r w:rsidR="0091614A" w:rsidRPr="0091614A">
              <w:rPr>
                <w:color w:val="auto"/>
                <w:sz w:val="22"/>
                <w:szCs w:val="22"/>
              </w:rPr>
              <w:t xml:space="preserve"> </w:t>
            </w:r>
          </w:p>
          <w:p w14:paraId="6413FA6B" w14:textId="1D3AC7F6" w:rsidR="0091614A" w:rsidRPr="0091614A" w:rsidRDefault="0091614A" w:rsidP="00F0776C">
            <w:pPr>
              <w:pStyle w:val="Tableformat"/>
              <w:rPr>
                <w:color w:val="auto"/>
                <w:sz w:val="22"/>
                <w:szCs w:val="22"/>
              </w:rPr>
            </w:pPr>
            <w:r w:rsidRPr="7D907735">
              <w:rPr>
                <w:color w:val="auto"/>
                <w:sz w:val="22"/>
                <w:szCs w:val="22"/>
              </w:rPr>
              <w:t xml:space="preserve">New South Wales </w:t>
            </w:r>
            <w:r w:rsidR="4BA5EE31" w:rsidRPr="7D907735" w:rsidDel="00492E93">
              <w:rPr>
                <w:color w:val="auto"/>
                <w:sz w:val="22"/>
                <w:szCs w:val="22"/>
              </w:rPr>
              <w:t>(NSW)</w:t>
            </w:r>
          </w:p>
          <w:p w14:paraId="58A1C31E" w14:textId="2E52CA43" w:rsidR="0091614A" w:rsidRPr="0091614A" w:rsidRDefault="0091614A" w:rsidP="00F0776C">
            <w:pPr>
              <w:pStyle w:val="Tableformat"/>
              <w:rPr>
                <w:color w:val="auto"/>
                <w:sz w:val="22"/>
                <w:szCs w:val="22"/>
              </w:rPr>
            </w:pPr>
            <w:r w:rsidRPr="696F6DF4">
              <w:rPr>
                <w:color w:val="auto"/>
                <w:sz w:val="22"/>
                <w:szCs w:val="22"/>
              </w:rPr>
              <w:t xml:space="preserve">Victoria </w:t>
            </w:r>
            <w:r w:rsidR="05604D80" w:rsidRPr="696F6DF4" w:rsidDel="00492E93">
              <w:rPr>
                <w:color w:val="auto"/>
                <w:sz w:val="22"/>
                <w:szCs w:val="22"/>
              </w:rPr>
              <w:t>(VIC)</w:t>
            </w:r>
          </w:p>
          <w:p w14:paraId="3977B9FF" w14:textId="2FEE07D2" w:rsidR="0091614A" w:rsidRPr="0091614A" w:rsidRDefault="0091614A" w:rsidP="00F0776C">
            <w:pPr>
              <w:pStyle w:val="Tableformat"/>
              <w:rPr>
                <w:color w:val="auto"/>
                <w:sz w:val="22"/>
                <w:szCs w:val="22"/>
              </w:rPr>
            </w:pPr>
            <w:r w:rsidRPr="696F6DF4">
              <w:rPr>
                <w:color w:val="auto"/>
                <w:sz w:val="22"/>
                <w:szCs w:val="22"/>
              </w:rPr>
              <w:t>Queensland</w:t>
            </w:r>
            <w:r w:rsidRPr="696F6DF4" w:rsidDel="00492E93">
              <w:rPr>
                <w:color w:val="auto"/>
                <w:sz w:val="22"/>
                <w:szCs w:val="22"/>
              </w:rPr>
              <w:t xml:space="preserve"> </w:t>
            </w:r>
            <w:r w:rsidR="3EBAA45A" w:rsidRPr="696F6DF4" w:rsidDel="00492E93">
              <w:rPr>
                <w:color w:val="auto"/>
                <w:sz w:val="22"/>
                <w:szCs w:val="22"/>
              </w:rPr>
              <w:t>(QLD</w:t>
            </w:r>
            <w:r w:rsidR="3EBAA45A" w:rsidRPr="696F6DF4">
              <w:rPr>
                <w:color w:val="auto"/>
                <w:sz w:val="22"/>
                <w:szCs w:val="22"/>
              </w:rPr>
              <w:t>)</w:t>
            </w:r>
          </w:p>
          <w:p w14:paraId="406EB665" w14:textId="605D5AD8" w:rsidR="0091614A" w:rsidRPr="0091614A" w:rsidRDefault="0091614A" w:rsidP="00F0776C">
            <w:pPr>
              <w:pStyle w:val="Tableformat"/>
              <w:rPr>
                <w:color w:val="auto"/>
                <w:sz w:val="22"/>
                <w:szCs w:val="22"/>
              </w:rPr>
            </w:pPr>
            <w:r w:rsidRPr="696F6DF4">
              <w:rPr>
                <w:color w:val="auto"/>
                <w:sz w:val="22"/>
                <w:szCs w:val="22"/>
              </w:rPr>
              <w:t xml:space="preserve">Western Australia </w:t>
            </w:r>
            <w:r w:rsidR="3DB2BAE4" w:rsidRPr="696F6DF4" w:rsidDel="00492E93">
              <w:rPr>
                <w:color w:val="auto"/>
                <w:sz w:val="22"/>
                <w:szCs w:val="22"/>
              </w:rPr>
              <w:t>(WA)</w:t>
            </w:r>
          </w:p>
          <w:p w14:paraId="60469C4F" w14:textId="5A560AF4" w:rsidR="0091614A" w:rsidRPr="00157698" w:rsidRDefault="0091614A" w:rsidP="00F0776C">
            <w:pPr>
              <w:pStyle w:val="Tableformat"/>
              <w:rPr>
                <w:color w:val="auto"/>
                <w:sz w:val="22"/>
                <w:szCs w:val="22"/>
                <w:lang w:val="it-IT"/>
              </w:rPr>
            </w:pPr>
            <w:r w:rsidRPr="00157698">
              <w:rPr>
                <w:color w:val="auto"/>
                <w:sz w:val="22"/>
                <w:szCs w:val="22"/>
                <w:lang w:val="it-IT"/>
              </w:rPr>
              <w:t xml:space="preserve">South Australia </w:t>
            </w:r>
            <w:r w:rsidR="5CF4F218" w:rsidRPr="00157698" w:rsidDel="00492E93">
              <w:rPr>
                <w:color w:val="auto"/>
                <w:sz w:val="22"/>
                <w:szCs w:val="22"/>
                <w:lang w:val="it-IT"/>
              </w:rPr>
              <w:t>(SA)</w:t>
            </w:r>
          </w:p>
          <w:p w14:paraId="6D5FF5E8" w14:textId="77F042CB" w:rsidR="0091614A" w:rsidRPr="00157698" w:rsidRDefault="0091614A" w:rsidP="00F0776C">
            <w:pPr>
              <w:pStyle w:val="Tableformat"/>
              <w:rPr>
                <w:color w:val="auto"/>
                <w:sz w:val="22"/>
                <w:szCs w:val="22"/>
                <w:lang w:val="it-IT"/>
              </w:rPr>
            </w:pPr>
            <w:r w:rsidRPr="00157698">
              <w:rPr>
                <w:color w:val="auto"/>
                <w:sz w:val="22"/>
                <w:szCs w:val="22"/>
                <w:lang w:val="it-IT"/>
              </w:rPr>
              <w:t xml:space="preserve">Tasmania </w:t>
            </w:r>
            <w:r w:rsidR="2F37033F" w:rsidRPr="00157698" w:rsidDel="00492E93">
              <w:rPr>
                <w:color w:val="auto"/>
                <w:sz w:val="22"/>
                <w:szCs w:val="22"/>
                <w:lang w:val="it-IT"/>
              </w:rPr>
              <w:t>(TAS)</w:t>
            </w:r>
          </w:p>
          <w:p w14:paraId="0EC05C03" w14:textId="29E17F13" w:rsidR="0091614A" w:rsidRPr="0091614A" w:rsidRDefault="00A23345" w:rsidP="00F0776C">
            <w:pPr>
              <w:pStyle w:val="Tableforma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</w:t>
            </w:r>
            <w:r w:rsidR="0091614A" w:rsidRPr="696F6DF4">
              <w:rPr>
                <w:color w:val="auto"/>
                <w:sz w:val="22"/>
                <w:szCs w:val="22"/>
              </w:rPr>
              <w:t xml:space="preserve">he Australian Capital Territory </w:t>
            </w:r>
            <w:r w:rsidR="49600D02" w:rsidRPr="696F6DF4" w:rsidDel="00492E93">
              <w:rPr>
                <w:color w:val="auto"/>
                <w:sz w:val="22"/>
                <w:szCs w:val="22"/>
              </w:rPr>
              <w:t>(ACT)</w:t>
            </w:r>
          </w:p>
          <w:p w14:paraId="73502BB0" w14:textId="3AECBD0D" w:rsidR="00C91B5F" w:rsidRPr="00F00A18" w:rsidRDefault="00A23345" w:rsidP="00F0776C">
            <w:pPr>
              <w:pStyle w:val="Tableformat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T</w:t>
            </w:r>
            <w:r w:rsidR="0091614A" w:rsidRPr="696F6DF4">
              <w:rPr>
                <w:color w:val="auto"/>
                <w:sz w:val="22"/>
                <w:szCs w:val="22"/>
              </w:rPr>
              <w:t>he Northern Territory</w:t>
            </w:r>
            <w:r w:rsidR="27A02A78" w:rsidRPr="696F6DF4">
              <w:rPr>
                <w:color w:val="auto"/>
                <w:sz w:val="22"/>
                <w:szCs w:val="22"/>
              </w:rPr>
              <w:t xml:space="preserve"> </w:t>
            </w:r>
            <w:r w:rsidR="27A02A78" w:rsidRPr="696F6DF4" w:rsidDel="00492E93">
              <w:rPr>
                <w:color w:val="auto"/>
                <w:sz w:val="22"/>
                <w:szCs w:val="22"/>
              </w:rPr>
              <w:t>(NT)</w:t>
            </w:r>
          </w:p>
        </w:tc>
      </w:tr>
      <w:tr w:rsidR="00C91B5F" w:rsidRPr="00F00A18" w14:paraId="0789EB7E" w14:textId="77777777" w:rsidTr="0030658F">
        <w:tc>
          <w:tcPr>
            <w:tcW w:w="1985" w:type="dxa"/>
          </w:tcPr>
          <w:p w14:paraId="1C00DFE7" w14:textId="77777777" w:rsidR="00C91B5F" w:rsidRPr="00F00A18" w:rsidRDefault="00C91B5F" w:rsidP="00953AB3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Duration</w:t>
            </w:r>
          </w:p>
        </w:tc>
        <w:tc>
          <w:tcPr>
            <w:tcW w:w="8789" w:type="dxa"/>
          </w:tcPr>
          <w:p w14:paraId="689A6E64" w14:textId="167D1624" w:rsidR="00C91B5F" w:rsidRPr="009B7543" w:rsidRDefault="00C91B5F" w:rsidP="00953AB3">
            <w:pPr>
              <w:pStyle w:val="Tableformat"/>
              <w:rPr>
                <w:color w:val="auto"/>
                <w:sz w:val="22"/>
                <w:szCs w:val="22"/>
              </w:rPr>
            </w:pPr>
            <w:r w:rsidRPr="009B7543">
              <w:rPr>
                <w:color w:val="auto"/>
                <w:sz w:val="22"/>
                <w:szCs w:val="22"/>
              </w:rPr>
              <w:t xml:space="preserve">This Schedule is expected to expire on </w:t>
            </w:r>
            <w:r w:rsidR="00C45FDA" w:rsidRPr="009B7543">
              <w:rPr>
                <w:color w:val="auto"/>
                <w:sz w:val="22"/>
                <w:szCs w:val="22"/>
              </w:rPr>
              <w:t>30 June 2029</w:t>
            </w:r>
            <w:r w:rsidR="00831FE0">
              <w:rPr>
                <w:color w:val="auto"/>
                <w:sz w:val="22"/>
                <w:szCs w:val="22"/>
              </w:rPr>
              <w:t xml:space="preserve"> </w:t>
            </w:r>
            <w:r w:rsidR="00831FE0" w:rsidRPr="007C3F59">
              <w:rPr>
                <w:color w:val="auto"/>
                <w:sz w:val="22"/>
                <w:szCs w:val="22"/>
              </w:rPr>
              <w:t>or on completion of the initiatives, including final performance reporting and processing of final payments against milestones</w:t>
            </w:r>
            <w:r w:rsidR="0042072F">
              <w:rPr>
                <w:color w:val="auto"/>
                <w:sz w:val="22"/>
                <w:szCs w:val="22"/>
              </w:rPr>
              <w:t>.</w:t>
            </w:r>
          </w:p>
        </w:tc>
      </w:tr>
      <w:tr w:rsidR="00C91B5F" w:rsidRPr="00F00A18" w14:paraId="516BC532" w14:textId="77777777" w:rsidTr="0030658F">
        <w:tc>
          <w:tcPr>
            <w:tcW w:w="1985" w:type="dxa"/>
          </w:tcPr>
          <w:p w14:paraId="511BE93C" w14:textId="77777777" w:rsidR="00C91B5F" w:rsidRPr="00F00A18" w:rsidRDefault="00C91B5F" w:rsidP="00953AB3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Purpose</w:t>
            </w:r>
          </w:p>
        </w:tc>
        <w:tc>
          <w:tcPr>
            <w:tcW w:w="8789" w:type="dxa"/>
          </w:tcPr>
          <w:p w14:paraId="78D3D00A" w14:textId="7F095159" w:rsidR="00804EBD" w:rsidRDefault="00804EBD" w:rsidP="00804EBD">
            <w:pPr>
              <w:pStyle w:val="Heading5"/>
              <w:rPr>
                <w:rFonts w:ascii="Corbel" w:hAnsi="Corbel"/>
                <w:color w:val="000000" w:themeColor="text1"/>
                <w:lang w:val="en-AU"/>
              </w:rPr>
            </w:pPr>
            <w:r w:rsidRPr="11F3AD19">
              <w:rPr>
                <w:rFonts w:ascii="Corbel" w:hAnsi="Corbel"/>
                <w:color w:val="000000" w:themeColor="text1"/>
                <w:lang w:val="en-AU"/>
              </w:rPr>
              <w:t xml:space="preserve">The Australian Government is </w:t>
            </w:r>
            <w:r w:rsidR="008E08CB">
              <w:rPr>
                <w:rFonts w:ascii="Corbel" w:hAnsi="Corbel"/>
                <w:color w:val="000000" w:themeColor="text1"/>
                <w:lang w:val="en-AU"/>
              </w:rPr>
              <w:t>expanding</w:t>
            </w:r>
            <w:r w:rsidR="008E08CB" w:rsidRPr="11F3AD19">
              <w:rPr>
                <w:rFonts w:ascii="Corbel" w:hAnsi="Corbel"/>
                <w:color w:val="000000" w:themeColor="text1"/>
                <w:lang w:val="en-AU"/>
              </w:rPr>
              <w:t xml:space="preserve"> </w:t>
            </w:r>
            <w:r w:rsidRPr="11F3AD19">
              <w:rPr>
                <w:rFonts w:ascii="Corbel" w:hAnsi="Corbel"/>
                <w:color w:val="000000" w:themeColor="text1"/>
                <w:lang w:val="en-AU"/>
              </w:rPr>
              <w:t xml:space="preserve">the </w:t>
            </w:r>
            <w:r w:rsidRPr="11F3AD19">
              <w:rPr>
                <w:rFonts w:ascii="Corbel" w:hAnsi="Corbel"/>
                <w:b/>
                <w:bCs/>
                <w:color w:val="000000" w:themeColor="text1"/>
                <w:lang w:val="en-AU"/>
              </w:rPr>
              <w:t>Child Care Subsidy Reform – Additional Integrity Measure</w:t>
            </w:r>
            <w:r w:rsidRPr="11F3AD19">
              <w:rPr>
                <w:rFonts w:ascii="Corbel" w:hAnsi="Corbel"/>
                <w:color w:val="000000" w:themeColor="text1"/>
                <w:lang w:val="en-AU"/>
              </w:rPr>
              <w:t xml:space="preserve"> </w:t>
            </w:r>
            <w:r w:rsidR="003310E8" w:rsidRPr="11F3AD19">
              <w:rPr>
                <w:rFonts w:ascii="Corbel" w:hAnsi="Corbel"/>
                <w:color w:val="000000" w:themeColor="text1"/>
                <w:lang w:val="en-AU"/>
              </w:rPr>
              <w:t xml:space="preserve">- </w:t>
            </w:r>
            <w:r w:rsidR="00065D01" w:rsidRPr="11F3AD19">
              <w:rPr>
                <w:rFonts w:ascii="Corbel" w:hAnsi="Corbel"/>
                <w:color w:val="000000" w:themeColor="text1"/>
                <w:lang w:val="en-AU"/>
              </w:rPr>
              <w:t>Leveraging the Child Care Subsidy to Uplift ECEC Safety and Quality</w:t>
            </w:r>
            <w:r w:rsidR="00065D01" w:rsidRPr="11F3AD19">
              <w:rPr>
                <w:color w:val="auto"/>
              </w:rPr>
              <w:t xml:space="preserve"> </w:t>
            </w:r>
            <w:r w:rsidR="00065D01">
              <w:t xml:space="preserve">- </w:t>
            </w:r>
            <w:r w:rsidRPr="11F3AD19">
              <w:rPr>
                <w:rFonts w:ascii="Corbel" w:hAnsi="Corbel"/>
                <w:color w:val="000000" w:themeColor="text1"/>
                <w:lang w:val="en-AU"/>
              </w:rPr>
              <w:t xml:space="preserve">to protect the integrity of the </w:t>
            </w:r>
            <w:r w:rsidRPr="11F3AD19">
              <w:rPr>
                <w:rFonts w:ascii="Corbel" w:hAnsi="Corbel"/>
                <w:b/>
                <w:bCs/>
                <w:color w:val="000000" w:themeColor="text1"/>
                <w:lang w:val="en-AU"/>
              </w:rPr>
              <w:t>Cheaper Child Care Budget initiative</w:t>
            </w:r>
            <w:r w:rsidRPr="11F3AD19">
              <w:rPr>
                <w:rFonts w:ascii="Corbel" w:hAnsi="Corbel"/>
                <w:color w:val="000000" w:themeColor="text1"/>
                <w:lang w:val="en-AU"/>
              </w:rPr>
              <w:t xml:space="preserve"> by addressing fraud and non-compliance risks. A central component of this</w:t>
            </w:r>
            <w:r w:rsidR="002B3BDF">
              <w:rPr>
                <w:rFonts w:ascii="Corbel" w:hAnsi="Corbel"/>
                <w:color w:val="000000" w:themeColor="text1"/>
                <w:lang w:val="en-AU"/>
              </w:rPr>
              <w:t xml:space="preserve"> is the</w:t>
            </w:r>
            <w:r w:rsidRPr="11F3AD19">
              <w:rPr>
                <w:rFonts w:ascii="Corbel" w:hAnsi="Corbel"/>
                <w:color w:val="000000" w:themeColor="text1"/>
                <w:lang w:val="en-AU"/>
              </w:rPr>
              <w:t xml:space="preserve"> </w:t>
            </w:r>
            <w:r w:rsidR="008E08CB">
              <w:rPr>
                <w:rFonts w:ascii="Corbel" w:hAnsi="Corbel"/>
                <w:color w:val="000000" w:themeColor="text1"/>
                <w:lang w:val="en-AU"/>
              </w:rPr>
              <w:t>ex</w:t>
            </w:r>
            <w:r w:rsidR="002346F9">
              <w:rPr>
                <w:rFonts w:ascii="Corbel" w:hAnsi="Corbel"/>
                <w:color w:val="000000" w:themeColor="text1"/>
                <w:lang w:val="en-AU"/>
              </w:rPr>
              <w:t>pansion</w:t>
            </w:r>
            <w:r w:rsidR="008E08CB" w:rsidRPr="11F3AD19">
              <w:rPr>
                <w:rFonts w:ascii="Corbel" w:hAnsi="Corbel"/>
                <w:color w:val="000000" w:themeColor="text1"/>
                <w:lang w:val="en-AU"/>
              </w:rPr>
              <w:t xml:space="preserve"> </w:t>
            </w:r>
            <w:r w:rsidRPr="11F3AD19">
              <w:rPr>
                <w:rFonts w:ascii="Corbel" w:hAnsi="Corbel"/>
                <w:color w:val="000000" w:themeColor="text1"/>
                <w:lang w:val="en-AU"/>
              </w:rPr>
              <w:t xml:space="preserve">is the </w:t>
            </w:r>
            <w:r w:rsidRPr="11F3AD19">
              <w:rPr>
                <w:rFonts w:ascii="Corbel" w:hAnsi="Corbel"/>
                <w:b/>
                <w:bCs/>
                <w:color w:val="000000" w:themeColor="text1"/>
                <w:lang w:val="en-AU"/>
              </w:rPr>
              <w:t>Joint Compliance Monitoring Program (JCMP)</w:t>
            </w:r>
            <w:r w:rsidRPr="11F3AD19">
              <w:rPr>
                <w:rFonts w:ascii="Corbel" w:hAnsi="Corbel"/>
                <w:color w:val="000000" w:themeColor="text1"/>
                <w:lang w:val="en-AU"/>
              </w:rPr>
              <w:t xml:space="preserve">—a collaborative initiative between the Commonwealth and </w:t>
            </w:r>
            <w:r w:rsidR="002346F9" w:rsidRPr="00F0776C">
              <w:rPr>
                <w:rFonts w:ascii="Corbel" w:hAnsi="Corbel"/>
                <w:b/>
                <w:bCs/>
                <w:color w:val="000000" w:themeColor="text1"/>
                <w:lang w:val="en-AU"/>
              </w:rPr>
              <w:t xml:space="preserve">ALL </w:t>
            </w:r>
            <w:r w:rsidRPr="11F3AD19">
              <w:rPr>
                <w:rFonts w:ascii="Corbel" w:hAnsi="Corbel"/>
                <w:color w:val="000000" w:themeColor="text1"/>
                <w:lang w:val="en-AU"/>
              </w:rPr>
              <w:t>State and Territory Regulatory Authorities (S</w:t>
            </w:r>
            <w:r w:rsidR="00D94C42" w:rsidRPr="11F3AD19">
              <w:rPr>
                <w:rFonts w:ascii="Corbel" w:hAnsi="Corbel"/>
                <w:color w:val="000000" w:themeColor="text1"/>
                <w:lang w:val="en-AU"/>
              </w:rPr>
              <w:t>T</w:t>
            </w:r>
            <w:r w:rsidRPr="11F3AD19">
              <w:rPr>
                <w:rFonts w:ascii="Corbel" w:hAnsi="Corbel"/>
                <w:color w:val="000000" w:themeColor="text1"/>
                <w:lang w:val="en-AU"/>
              </w:rPr>
              <w:t>RAs)</w:t>
            </w:r>
            <w:r w:rsidR="00E028E1">
              <w:rPr>
                <w:rFonts w:ascii="Corbel" w:hAnsi="Corbel"/>
                <w:color w:val="000000" w:themeColor="text1"/>
                <w:lang w:val="en-AU"/>
              </w:rPr>
              <w:t xml:space="preserve"> and independent state-based regulators</w:t>
            </w:r>
            <w:r w:rsidRPr="11F3AD19">
              <w:rPr>
                <w:rFonts w:ascii="Corbel" w:hAnsi="Corbel"/>
                <w:color w:val="000000" w:themeColor="text1"/>
                <w:lang w:val="en-AU"/>
              </w:rPr>
              <w:t xml:space="preserve"> to strengthen regulatory oversight and streamline compliance processes across jurisdictions.</w:t>
            </w:r>
          </w:p>
          <w:p w14:paraId="13EE9929" w14:textId="77777777" w:rsidR="004A1975" w:rsidRPr="00F0776C" w:rsidRDefault="004A1975" w:rsidP="00F0776C">
            <w:pPr>
              <w:rPr>
                <w:lang w:val="en-AU"/>
              </w:rPr>
            </w:pPr>
          </w:p>
          <w:p w14:paraId="38707EE6" w14:textId="77777777" w:rsidR="00AC5ECD" w:rsidRPr="001F3FA0" w:rsidRDefault="00AC5ECD" w:rsidP="00AC5ECD">
            <w:pPr>
              <w:pStyle w:val="CCSTableSum"/>
              <w:jc w:val="left"/>
              <w:rPr>
                <w:rFonts w:ascii="Corbel" w:hAnsi="Corbel"/>
                <w:b w:val="0"/>
              </w:rPr>
            </w:pPr>
            <w:r w:rsidRPr="001F3FA0">
              <w:rPr>
                <w:rFonts w:ascii="Corbel" w:hAnsi="Corbel"/>
                <w:b w:val="0"/>
              </w:rPr>
              <w:t>JCMP is a joint activity; the Commonwealth does not pay States or Territories to deliver a service. Instead, funding supports shared compliance operations and capacity building to safeguard the integrity of the Cheaper Child Care Budget initiative.</w:t>
            </w:r>
          </w:p>
          <w:p w14:paraId="5BB01031" w14:textId="77777777" w:rsidR="00AC5ECD" w:rsidRDefault="00AC5ECD" w:rsidP="00F0776C">
            <w:pPr>
              <w:rPr>
                <w:rFonts w:ascii="Corbel" w:hAnsi="Corbel"/>
                <w:lang w:val="en-AU"/>
              </w:rPr>
            </w:pPr>
          </w:p>
          <w:p w14:paraId="13AF589D" w14:textId="72AFC1F0" w:rsidR="004A1975" w:rsidRDefault="004A1975" w:rsidP="00F0776C">
            <w:pPr>
              <w:rPr>
                <w:rFonts w:ascii="Corbel" w:hAnsi="Corbel"/>
                <w:lang w:val="en-AU"/>
              </w:rPr>
            </w:pPr>
            <w:r w:rsidRPr="00F0776C">
              <w:rPr>
                <w:rFonts w:ascii="Corbel" w:hAnsi="Corbel"/>
                <w:lang w:val="en-AU"/>
              </w:rPr>
              <w:t>This schedule will ensure transparency and accountability in funding and align with broader reform objectives under the Cheaper Child Care initiative.</w:t>
            </w:r>
          </w:p>
          <w:p w14:paraId="1444A057" w14:textId="42A80889" w:rsidR="00C47412" w:rsidRDefault="00C47412" w:rsidP="00F0776C">
            <w:pPr>
              <w:rPr>
                <w:rFonts w:ascii="Corbel" w:hAnsi="Corbel"/>
                <w:lang w:val="en-AU"/>
              </w:rPr>
            </w:pPr>
          </w:p>
          <w:p w14:paraId="480DA9E6" w14:textId="38690AD3" w:rsidR="00B970FC" w:rsidRDefault="00B970FC" w:rsidP="00B970FC">
            <w:pPr>
              <w:pStyle w:val="Heading5"/>
              <w:rPr>
                <w:rFonts w:ascii="Corbel" w:hAnsi="Corbel"/>
                <w:color w:val="000000" w:themeColor="text1"/>
                <w:lang w:val="en-AU"/>
              </w:rPr>
            </w:pPr>
            <w:r>
              <w:rPr>
                <w:rFonts w:ascii="Corbel" w:hAnsi="Corbel"/>
                <w:color w:val="000000" w:themeColor="text1"/>
                <w:lang w:val="en-AU"/>
              </w:rPr>
              <w:t xml:space="preserve">JCMP allows all STRAs </w:t>
            </w:r>
            <w:r w:rsidR="004B050F">
              <w:rPr>
                <w:rFonts w:ascii="Corbel" w:hAnsi="Corbel"/>
                <w:color w:val="000000" w:themeColor="text1"/>
                <w:lang w:val="en-AU"/>
              </w:rPr>
              <w:t xml:space="preserve">and independent </w:t>
            </w:r>
            <w:r w:rsidR="00F06E8D">
              <w:rPr>
                <w:rFonts w:ascii="Corbel" w:hAnsi="Corbel"/>
                <w:color w:val="000000" w:themeColor="text1"/>
                <w:lang w:val="en-AU"/>
              </w:rPr>
              <w:t xml:space="preserve">state-based regulators </w:t>
            </w:r>
            <w:r>
              <w:rPr>
                <w:rFonts w:ascii="Corbel" w:hAnsi="Corbel"/>
                <w:color w:val="000000" w:themeColor="text1"/>
                <w:lang w:val="en-AU"/>
              </w:rPr>
              <w:t xml:space="preserve">to </w:t>
            </w:r>
            <w:r w:rsidRPr="00804EBD">
              <w:rPr>
                <w:rFonts w:ascii="Corbel" w:hAnsi="Corbel"/>
                <w:color w:val="000000" w:themeColor="text1"/>
                <w:lang w:val="en-AU"/>
              </w:rPr>
              <w:t>contribute to joint compliance investigations and activities that aim to deliver significant savings and improve quality, safety, and payment integrity across the ECEC sector.</w:t>
            </w:r>
            <w:r>
              <w:rPr>
                <w:rFonts w:ascii="Corbel" w:hAnsi="Corbel"/>
                <w:color w:val="000000" w:themeColor="text1"/>
                <w:lang w:val="en-AU"/>
              </w:rPr>
              <w:t xml:space="preserve"> Under previous funding arrangements, </w:t>
            </w:r>
            <w:r w:rsidR="00D65DA3">
              <w:rPr>
                <w:rFonts w:ascii="Corbel" w:hAnsi="Corbel"/>
                <w:color w:val="000000" w:themeColor="text1"/>
                <w:lang w:val="en-AU"/>
              </w:rPr>
              <w:t xml:space="preserve">not </w:t>
            </w:r>
            <w:r>
              <w:rPr>
                <w:rFonts w:ascii="Corbel" w:hAnsi="Corbel"/>
                <w:color w:val="000000" w:themeColor="text1"/>
                <w:lang w:val="en-AU"/>
              </w:rPr>
              <w:t xml:space="preserve">all STRAs were scheduled to participate in JCMP until 2028. This new funding arrangement </w:t>
            </w:r>
            <w:r w:rsidR="00CC57DF">
              <w:rPr>
                <w:rFonts w:ascii="Corbel" w:hAnsi="Corbel"/>
                <w:color w:val="000000" w:themeColor="text1"/>
                <w:lang w:val="en-AU"/>
              </w:rPr>
              <w:t xml:space="preserve">allows for the immediate expansion to ALL STRAs </w:t>
            </w:r>
            <w:r w:rsidR="00D65DA3">
              <w:rPr>
                <w:rFonts w:ascii="Corbel" w:hAnsi="Corbel"/>
                <w:color w:val="000000" w:themeColor="text1"/>
                <w:lang w:val="en-AU"/>
              </w:rPr>
              <w:t xml:space="preserve">and independent state-based regulators </w:t>
            </w:r>
            <w:r w:rsidR="00CC57DF">
              <w:rPr>
                <w:rFonts w:ascii="Corbel" w:hAnsi="Corbel"/>
                <w:color w:val="000000" w:themeColor="text1"/>
                <w:lang w:val="en-AU"/>
              </w:rPr>
              <w:t xml:space="preserve">within the 2025/26 year. </w:t>
            </w:r>
          </w:p>
          <w:p w14:paraId="1A4889F8" w14:textId="77777777" w:rsidR="00B970FC" w:rsidRDefault="00B970FC" w:rsidP="00F0776C">
            <w:pPr>
              <w:rPr>
                <w:rFonts w:ascii="Corbel" w:hAnsi="Corbel"/>
                <w:lang w:val="en-AU"/>
              </w:rPr>
            </w:pPr>
          </w:p>
          <w:p w14:paraId="460FA6FD" w14:textId="79011A4F" w:rsidR="00C47412" w:rsidRPr="0096427A" w:rsidRDefault="00C47412" w:rsidP="00C47412">
            <w:pPr>
              <w:pStyle w:val="Tableformat"/>
              <w:rPr>
                <w:color w:val="000000" w:themeColor="text1"/>
                <w:sz w:val="22"/>
                <w:szCs w:val="22"/>
                <w:lang w:val="en-AU"/>
              </w:rPr>
            </w:pPr>
            <w:r w:rsidRPr="178B1910">
              <w:rPr>
                <w:color w:val="000000" w:themeColor="text1"/>
                <w:sz w:val="22"/>
                <w:szCs w:val="22"/>
                <w:lang w:val="en-AU"/>
              </w:rPr>
              <w:lastRenderedPageBreak/>
              <w:t>This expansion includes the allocation of increased funding to each STRA</w:t>
            </w:r>
            <w:r w:rsidR="002F48C6">
              <w:rPr>
                <w:color w:val="000000" w:themeColor="text1"/>
                <w:sz w:val="22"/>
                <w:szCs w:val="22"/>
                <w:lang w:val="en-AU"/>
              </w:rPr>
              <w:t xml:space="preserve"> and independent state</w:t>
            </w:r>
            <w:r w:rsidR="00B8013B">
              <w:rPr>
                <w:color w:val="000000" w:themeColor="text1"/>
                <w:sz w:val="22"/>
                <w:szCs w:val="22"/>
                <w:lang w:val="en-AU"/>
              </w:rPr>
              <w:t>-</w:t>
            </w:r>
            <w:r w:rsidR="002F48C6">
              <w:rPr>
                <w:color w:val="000000" w:themeColor="text1"/>
                <w:sz w:val="22"/>
                <w:szCs w:val="22"/>
                <w:lang w:val="en-AU"/>
              </w:rPr>
              <w:t>based regulator</w:t>
            </w:r>
            <w:r w:rsidRPr="178B1910">
              <w:rPr>
                <w:color w:val="000000" w:themeColor="text1"/>
                <w:sz w:val="22"/>
                <w:szCs w:val="22"/>
                <w:lang w:val="en-AU"/>
              </w:rPr>
              <w:t>, in recognition of their proactive engagement and commitment to a coordinated compliance approach.</w:t>
            </w:r>
          </w:p>
          <w:p w14:paraId="6185FF2A" w14:textId="77777777" w:rsidR="00C47412" w:rsidRPr="0096427A" w:rsidRDefault="00C47412" w:rsidP="00C47412">
            <w:pPr>
              <w:pStyle w:val="Tableformat"/>
              <w:rPr>
                <w:color w:val="000000" w:themeColor="text1"/>
                <w:sz w:val="22"/>
                <w:szCs w:val="22"/>
                <w:lang w:val="en-AU"/>
              </w:rPr>
            </w:pPr>
            <w:r w:rsidRPr="0096427A">
              <w:rPr>
                <w:color w:val="000000" w:themeColor="text1"/>
                <w:sz w:val="22"/>
                <w:szCs w:val="22"/>
                <w:lang w:val="en-AU"/>
              </w:rPr>
              <w:t>The expansion supports a unified and scalable compliance model, underpinned by a growing pipeline of investigations aligned with the JCMP framework.</w:t>
            </w:r>
          </w:p>
          <w:p w14:paraId="36CF7FEF" w14:textId="35AEDE28" w:rsidR="00C91B5F" w:rsidRPr="00804EBD" w:rsidRDefault="00C91B5F" w:rsidP="007F68F1">
            <w:pPr>
              <w:pStyle w:val="Heading5"/>
              <w:rPr>
                <w:color w:val="000000" w:themeColor="text1"/>
              </w:rPr>
            </w:pPr>
          </w:p>
        </w:tc>
      </w:tr>
      <w:tr w:rsidR="00C91B5F" w:rsidRPr="00F00A18" w14:paraId="2C63A902" w14:textId="77777777" w:rsidTr="0030658F">
        <w:trPr>
          <w:trHeight w:val="5538"/>
        </w:trPr>
        <w:tc>
          <w:tcPr>
            <w:tcW w:w="1985" w:type="dxa"/>
          </w:tcPr>
          <w:p w14:paraId="2E78F30B" w14:textId="77777777" w:rsidR="00C91B5F" w:rsidRPr="00F00A18" w:rsidRDefault="00C91B5F" w:rsidP="00953AB3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lastRenderedPageBreak/>
              <w:t>Estimated financial contributions</w:t>
            </w:r>
          </w:p>
        </w:tc>
        <w:tc>
          <w:tcPr>
            <w:tcW w:w="8789" w:type="dxa"/>
          </w:tcPr>
          <w:p w14:paraId="7E68817D" w14:textId="361CE415" w:rsidR="00AA171B" w:rsidRDefault="00150888" w:rsidP="00953AB3">
            <w:pPr>
              <w:pStyle w:val="Tableformat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The </w:t>
            </w:r>
            <w:r w:rsidR="00F92A0A">
              <w:rPr>
                <w:color w:val="000000" w:themeColor="text1"/>
                <w:sz w:val="22"/>
                <w:szCs w:val="22"/>
                <w:lang w:val="en-AU"/>
              </w:rPr>
              <w:t>C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ommonwealth will provide an estimated total financial contribution to the States of $22.3</w:t>
            </w:r>
            <w:r w:rsidR="0030658F">
              <w:rPr>
                <w:color w:val="000000" w:themeColor="text1"/>
                <w:sz w:val="22"/>
                <w:szCs w:val="22"/>
                <w:lang w:val="en-AU"/>
              </w:rPr>
              <w:t>2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million in respect of this Schedule</w:t>
            </w:r>
            <w:r w:rsidR="0096427A" w:rsidRPr="0096427A">
              <w:rPr>
                <w:color w:val="000000" w:themeColor="text1"/>
                <w:sz w:val="22"/>
                <w:szCs w:val="22"/>
                <w:lang w:val="en-AU"/>
              </w:rPr>
              <w:t>.</w:t>
            </w:r>
          </w:p>
          <w:p w14:paraId="0C151F16" w14:textId="1960BC4C" w:rsidR="00CC3733" w:rsidRDefault="00CC3733" w:rsidP="00953AB3">
            <w:pPr>
              <w:pStyle w:val="Tableformat"/>
              <w:rPr>
                <w:color w:val="000000" w:themeColor="text1"/>
                <w:sz w:val="22"/>
                <w:szCs w:val="22"/>
                <w:lang w:val="en-AU"/>
              </w:rPr>
            </w:pPr>
            <w:r w:rsidRPr="00F00A18">
              <w:rPr>
                <w:noProof/>
                <w:color w:val="auto"/>
                <w:lang w:val="en-AU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F246F73" wp14:editId="776B0A4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261620</wp:posOffset>
                      </wp:positionV>
                      <wp:extent cx="5133340" cy="4162425"/>
                      <wp:effectExtent l="0" t="0" r="0" b="9525"/>
                      <wp:wrapSquare wrapText="bothSides"/>
                      <wp:docPr id="4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340" cy="416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127"/>
                                    <w:gridCol w:w="942"/>
                                    <w:gridCol w:w="943"/>
                                    <w:gridCol w:w="942"/>
                                    <w:gridCol w:w="943"/>
                                    <w:gridCol w:w="943"/>
                                  </w:tblGrid>
                                  <w:tr w:rsidR="00CC3733" w:rsidRPr="00101AB3" w14:paraId="39F62EF4" w14:textId="77777777" w:rsidTr="00B8013B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127" w:type="dxa"/>
                                        <w:tcBorders>
                                          <w:top w:val="single" w:sz="4" w:space="0" w:color="000080"/>
                                          <w:bottom w:val="single" w:sz="4" w:space="0" w:color="000080"/>
                                        </w:tcBorders>
                                      </w:tcPr>
                                      <w:p w14:paraId="09B84EBE" w14:textId="77777777" w:rsidR="00CC3733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ind w:left="-111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Table 1</w:t>
                                        </w:r>
                                      </w:p>
                                      <w:p w14:paraId="7EB19620" w14:textId="77777777" w:rsidR="00CC3733" w:rsidRPr="005D39DD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ind w:left="-111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5D39DD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($ million)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  <w:tcBorders>
                                          <w:top w:val="single" w:sz="4" w:space="0" w:color="000080"/>
                                          <w:bottom w:val="single" w:sz="4" w:space="0" w:color="000080"/>
                                        </w:tcBorders>
                                      </w:tcPr>
                                      <w:p w14:paraId="7DD95849" w14:textId="77777777" w:rsidR="00CC3733" w:rsidRPr="00EC6AC6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161CE2BB" w14:textId="3D5B612E" w:rsidR="00CC3733" w:rsidRPr="00EC6AC6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0577B4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2025</w:t>
                                        </w:r>
                                        <w:r w:rsidR="003E0E6C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  <w:r w:rsidRPr="000577B4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  <w:tcBorders>
                                          <w:top w:val="single" w:sz="4" w:space="0" w:color="000080"/>
                                          <w:bottom w:val="single" w:sz="4" w:space="0" w:color="000080"/>
                                        </w:tcBorders>
                                      </w:tcPr>
                                      <w:p w14:paraId="6D32DD4C" w14:textId="77777777" w:rsidR="00CC3733" w:rsidRPr="00EC6AC6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5360A3BF" w14:textId="4C00E37A" w:rsidR="00CC3733" w:rsidRPr="00EC6AC6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0577B4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2026</w:t>
                                        </w:r>
                                        <w:r w:rsidR="003E0E6C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  <w:r w:rsidRPr="00D242AD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  <w:tcBorders>
                                          <w:top w:val="single" w:sz="4" w:space="0" w:color="000080"/>
                                          <w:bottom w:val="single" w:sz="4" w:space="0" w:color="000080"/>
                                        </w:tcBorders>
                                      </w:tcPr>
                                      <w:p w14:paraId="3D76A908" w14:textId="77777777" w:rsidR="00CC3733" w:rsidRPr="00EC6AC6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0C3F7F29" w14:textId="442DF10A" w:rsidR="00CC3733" w:rsidRPr="00EC6AC6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0577B4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2027</w:t>
                                        </w:r>
                                        <w:r w:rsidR="003E0E6C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  <w:r w:rsidRPr="000577B4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  <w:tcBorders>
                                          <w:top w:val="single" w:sz="4" w:space="0" w:color="000080"/>
                                          <w:bottom w:val="single" w:sz="4" w:space="0" w:color="000080"/>
                                        </w:tcBorders>
                                      </w:tcPr>
                                      <w:p w14:paraId="7AFE06E8" w14:textId="77777777" w:rsidR="00CC3733" w:rsidRPr="00EC6AC6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7E5BE944" w14:textId="6175C38A" w:rsidR="00CC3733" w:rsidRPr="00EC6AC6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EC6AC6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2028</w:t>
                                        </w:r>
                                        <w:r w:rsidR="003E0E6C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  <w:r w:rsidRPr="00EC6AC6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  <w:tcBorders>
                                          <w:top w:val="single" w:sz="4" w:space="0" w:color="000080"/>
                                          <w:bottom w:val="single" w:sz="4" w:space="0" w:color="000080"/>
                                        </w:tcBorders>
                                      </w:tcPr>
                                      <w:p w14:paraId="2710C0A1" w14:textId="77777777" w:rsidR="00CC3733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48BA9BC2" w14:textId="77777777" w:rsidR="00CC3733" w:rsidRPr="005D39DD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5D39DD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Total</w:t>
                                        </w:r>
                                      </w:p>
                                    </w:tc>
                                  </w:tr>
                                  <w:tr w:rsidR="00CC3733" w:rsidRPr="00101AB3" w14:paraId="57D695BD" w14:textId="77777777" w:rsidTr="00B8013B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127" w:type="dxa"/>
                                        <w:tcBorders>
                                          <w:top w:val="single" w:sz="4" w:space="0" w:color="000080"/>
                                        </w:tcBorders>
                                      </w:tcPr>
                                      <w:p w14:paraId="34741970" w14:textId="77777777" w:rsidR="00CC3733" w:rsidRPr="005D39DD" w:rsidRDefault="00CC3733" w:rsidP="007E44E6">
                                        <w:pPr>
                                          <w:keepNext/>
                                          <w:keepLines/>
                                          <w:spacing w:before="60" w:after="60"/>
                                          <w:ind w:left="-111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5D39DD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Estimated total budget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  <w:tcBorders>
                                          <w:top w:val="single" w:sz="4" w:space="0" w:color="000080"/>
                                        </w:tcBorders>
                                      </w:tcPr>
                                      <w:p w14:paraId="6500AC83" w14:textId="77777777" w:rsidR="00CC3733" w:rsidRPr="005D39DD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4.98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  <w:tcBorders>
                                          <w:top w:val="single" w:sz="4" w:space="0" w:color="000080"/>
                                        </w:tcBorders>
                                      </w:tcPr>
                                      <w:p w14:paraId="65E6FAB9" w14:textId="77777777" w:rsidR="00CC3733" w:rsidRPr="005D39DD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5.78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  <w:tcBorders>
                                          <w:top w:val="single" w:sz="4" w:space="0" w:color="000080"/>
                                        </w:tcBorders>
                                      </w:tcPr>
                                      <w:p w14:paraId="692D82F1" w14:textId="77777777" w:rsidR="00CC3733" w:rsidRPr="005D39DD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5.78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  <w:tcBorders>
                                          <w:top w:val="single" w:sz="4" w:space="0" w:color="000080"/>
                                        </w:tcBorders>
                                      </w:tcPr>
                                      <w:p w14:paraId="12053B6F" w14:textId="77777777" w:rsidR="00CC3733" w:rsidRPr="005D39DD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5.78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  <w:tcBorders>
                                          <w:top w:val="single" w:sz="4" w:space="0" w:color="000080"/>
                                        </w:tcBorders>
                                      </w:tcPr>
                                      <w:p w14:paraId="6DC5C9AB" w14:textId="77777777" w:rsidR="00CC3733" w:rsidRPr="005D39DD" w:rsidRDefault="00CC3733" w:rsidP="007E44E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22.32</w:t>
                                        </w:r>
                                      </w:p>
                                    </w:tc>
                                  </w:tr>
                                  <w:tr w:rsidR="00D54A24" w:rsidRPr="00101AB3" w14:paraId="3E6B7A4F" w14:textId="77777777" w:rsidTr="00B8013B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127" w:type="dxa"/>
                                      </w:tcPr>
                                      <w:p w14:paraId="5E3B4DCC" w14:textId="77777777" w:rsidR="00D54A24" w:rsidRPr="0064121C" w:rsidRDefault="00D54A24" w:rsidP="00D54A24">
                                        <w:pPr>
                                          <w:keepNext/>
                                          <w:keepLines/>
                                          <w:spacing w:before="60" w:after="60"/>
                                          <w:ind w:left="-111"/>
                                          <w:rPr>
                                            <w:i/>
                                            <w:iCs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64121C">
                                          <w:rPr>
                                            <w:i/>
                                            <w:iCs/>
                                            <w:sz w:val="21"/>
                                            <w:szCs w:val="21"/>
                                          </w:rPr>
                                          <w:t xml:space="preserve">Less estimated National Partnership Payments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242478A8" w14:textId="7F7B92A0" w:rsidR="00D54A24" w:rsidRPr="005D39DD" w:rsidRDefault="00D54A24" w:rsidP="00D54A2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4.98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26358DF0" w14:textId="33FB4D21" w:rsidR="00D54A24" w:rsidRPr="005D39DD" w:rsidRDefault="00D54A24" w:rsidP="00D54A2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5.78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6F92FFE9" w14:textId="6046E6AD" w:rsidR="00D54A24" w:rsidRPr="005D39DD" w:rsidRDefault="00D54A24" w:rsidP="00D54A2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5.78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757071AC" w14:textId="1B0C6DF1" w:rsidR="00D54A24" w:rsidRPr="005D39DD" w:rsidRDefault="00D54A24" w:rsidP="00D54A2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5.78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75C5C034" w14:textId="770A6036" w:rsidR="00D54A24" w:rsidRPr="005D39DD" w:rsidRDefault="00D54A24" w:rsidP="00D54A2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22.32</w:t>
                                        </w:r>
                                      </w:p>
                                    </w:tc>
                                  </w:tr>
                                  <w:tr w:rsidR="00CC3733" w:rsidRPr="00101AB3" w14:paraId="5D58C008" w14:textId="77777777" w:rsidTr="00B8013B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127" w:type="dxa"/>
                                      </w:tcPr>
                                      <w:p w14:paraId="3C40066F" w14:textId="77777777" w:rsidR="00CC3733" w:rsidRPr="008C6B79" w:rsidRDefault="00CC3733" w:rsidP="00C704D2">
                                        <w:pPr>
                                          <w:pStyle w:val="ListParagraph"/>
                                          <w:keepNext/>
                                          <w:keepLines/>
                                          <w:widowControl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before="60" w:after="60"/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  <w:t>NSW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7F43B313" w14:textId="77777777" w:rsidR="00CC3733" w:rsidRPr="005D39DD" w:rsidRDefault="00CC3733" w:rsidP="00C704D2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6339EF8A" w14:textId="77777777" w:rsidR="00CC3733" w:rsidRPr="005D39DD" w:rsidRDefault="00CC3733" w:rsidP="00C704D2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40A762EA" w14:textId="77777777" w:rsidR="00CC3733" w:rsidRPr="005D39DD" w:rsidRDefault="00CC3733" w:rsidP="005E072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708A866B" w14:textId="77777777" w:rsidR="00CC3733" w:rsidRPr="005D39DD" w:rsidRDefault="00CC3733" w:rsidP="00C704D2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0D53A7CB" w14:textId="6061CDA3" w:rsidR="00CC3733" w:rsidRPr="005D39DD" w:rsidRDefault="00CC3733" w:rsidP="00C704D2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3.4</w:t>
                                        </w:r>
                                        <w:r w:rsidR="00385891">
                                          <w:rPr>
                                            <w:sz w:val="21"/>
                                            <w:szCs w:val="21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</w:tr>
                                  <w:tr w:rsidR="00CC3733" w:rsidRPr="00101AB3" w14:paraId="45CC7D9D" w14:textId="77777777" w:rsidTr="00B8013B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127" w:type="dxa"/>
                                      </w:tcPr>
                                      <w:p w14:paraId="30CBCFF8" w14:textId="77777777" w:rsidR="00CC3733" w:rsidRDefault="00CC3733" w:rsidP="005E0724">
                                        <w:pPr>
                                          <w:pStyle w:val="ListParagraph"/>
                                          <w:keepNext/>
                                          <w:keepLines/>
                                          <w:widowControl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before="60" w:after="60"/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  <w:t>VIC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15F62780" w14:textId="77777777" w:rsidR="00CC3733" w:rsidRDefault="00CC3733" w:rsidP="005E072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1F561B24" w14:textId="77777777" w:rsidR="00CC3733" w:rsidRDefault="00CC3733" w:rsidP="005E072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455BEC0D" w14:textId="77777777" w:rsidR="00CC3733" w:rsidRDefault="00CC3733" w:rsidP="005E072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727B7C7F" w14:textId="77777777" w:rsidR="00CC3733" w:rsidRDefault="00CC3733" w:rsidP="005E072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066402CF" w14:textId="2FA06822" w:rsidR="00CC3733" w:rsidRDefault="00CC3733" w:rsidP="005E072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3.4</w:t>
                                        </w:r>
                                        <w:r w:rsidR="00385891">
                                          <w:rPr>
                                            <w:sz w:val="21"/>
                                            <w:szCs w:val="21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</w:tr>
                                  <w:tr w:rsidR="00814044" w:rsidRPr="00101AB3" w14:paraId="75D8FDF6" w14:textId="77777777" w:rsidTr="00B8013B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127" w:type="dxa"/>
                                      </w:tcPr>
                                      <w:p w14:paraId="78A3576D" w14:textId="77777777" w:rsidR="00814044" w:rsidRDefault="00814044" w:rsidP="00814044">
                                        <w:pPr>
                                          <w:pStyle w:val="ListParagraph"/>
                                          <w:keepNext/>
                                          <w:keepLines/>
                                          <w:widowControl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before="60" w:after="60"/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  <w:t>QLD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2D5DE470" w14:textId="77777777" w:rsidR="00814044" w:rsidRDefault="00814044" w:rsidP="0081404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06116FA3" w14:textId="77777777" w:rsidR="00814044" w:rsidRDefault="00814044" w:rsidP="0081404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65F4769C" w14:textId="77777777" w:rsidR="00814044" w:rsidRDefault="00814044" w:rsidP="0081404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6E7739ED" w14:textId="77777777" w:rsidR="00814044" w:rsidRDefault="00814044" w:rsidP="0081404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6EF63194" w14:textId="77777777" w:rsidR="00814044" w:rsidRDefault="00814044" w:rsidP="0081404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2.66</w:t>
                                        </w:r>
                                      </w:p>
                                    </w:tc>
                                  </w:tr>
                                  <w:tr w:rsidR="003F0F08" w:rsidRPr="00101AB3" w14:paraId="07AF907B" w14:textId="77777777" w:rsidTr="00B8013B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127" w:type="dxa"/>
                                      </w:tcPr>
                                      <w:p w14:paraId="7681E1FD" w14:textId="3B123612" w:rsidR="003F0F08" w:rsidRDefault="003F0F08" w:rsidP="003F0F08">
                                        <w:pPr>
                                          <w:pStyle w:val="ListParagraph"/>
                                          <w:keepNext/>
                                          <w:keepLines/>
                                          <w:widowControl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before="60" w:after="60"/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  <w:t>WA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6FC798F3" w14:textId="44B121E9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57438DCC" w14:textId="5A6ECB86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55A3BE20" w14:textId="6782B263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05C1A480" w14:textId="1C027096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70D071ED" w14:textId="24A5DE32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2.44</w:t>
                                        </w:r>
                                      </w:p>
                                    </w:tc>
                                  </w:tr>
                                  <w:tr w:rsidR="003F0F08" w:rsidRPr="00101AB3" w14:paraId="72DE89D5" w14:textId="77777777" w:rsidTr="00B8013B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127" w:type="dxa"/>
                                      </w:tcPr>
                                      <w:p w14:paraId="0DF393E6" w14:textId="7E9D7FBB" w:rsidR="003F0F08" w:rsidRDefault="003F0F08" w:rsidP="003F0F08">
                                        <w:pPr>
                                          <w:pStyle w:val="ListParagraph"/>
                                          <w:keepNext/>
                                          <w:keepLines/>
                                          <w:widowControl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before="60" w:after="60"/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  <w:t>SA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547DA0B7" w14:textId="7B3A272F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728B753A" w14:textId="00FE38D4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6B1D2FB9" w14:textId="33D6CF25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59BCBD93" w14:textId="52D585C6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38C18380" w14:textId="6479DF45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2.66</w:t>
                                        </w:r>
                                      </w:p>
                                    </w:tc>
                                  </w:tr>
                                  <w:tr w:rsidR="003F0F08" w:rsidRPr="00101AB3" w14:paraId="09887E5F" w14:textId="77777777" w:rsidTr="00B8013B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127" w:type="dxa"/>
                                      </w:tcPr>
                                      <w:p w14:paraId="5D3F5066" w14:textId="547453EF" w:rsidR="003F0F08" w:rsidRDefault="003F0F08" w:rsidP="003F0F08">
                                        <w:pPr>
                                          <w:pStyle w:val="ListParagraph"/>
                                          <w:keepNext/>
                                          <w:keepLines/>
                                          <w:widowControl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before="60" w:after="60"/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  <w:t>TAS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60FC4506" w14:textId="5ED490B6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48F0ED91" w14:textId="1BC07E32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5DD6AD37" w14:textId="42B6031B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0FBFF325" w14:textId="5BA1EC76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51DF95F3" w14:textId="6DF959E9" w:rsidR="003F0F08" w:rsidRDefault="003F0F08" w:rsidP="003F0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2.66</w:t>
                                        </w:r>
                                      </w:p>
                                    </w:tc>
                                  </w:tr>
                                  <w:tr w:rsidR="00BB4439" w:rsidRPr="00101AB3" w14:paraId="73D00142" w14:textId="77777777" w:rsidTr="00B8013B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127" w:type="dxa"/>
                                      </w:tcPr>
                                      <w:p w14:paraId="50FBD5A3" w14:textId="0642355F" w:rsidR="00BB4439" w:rsidRDefault="00BB4439" w:rsidP="00BB4439">
                                        <w:pPr>
                                          <w:pStyle w:val="ListParagraph"/>
                                          <w:keepNext/>
                                          <w:keepLines/>
                                          <w:widowControl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before="60" w:after="60"/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  <w:t>ACT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683FB3BE" w14:textId="35063629" w:rsidR="00BB4439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6EDF5E95" w14:textId="4A5882A9" w:rsidR="00BB4439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0A3C5CD0" w14:textId="409956F9" w:rsidR="00BB4439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48C15394" w14:textId="55AA7688" w:rsidR="00BB4439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3BB04190" w14:textId="079224B7" w:rsidR="00BB4439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2.44</w:t>
                                        </w:r>
                                      </w:p>
                                    </w:tc>
                                  </w:tr>
                                  <w:tr w:rsidR="00BB4439" w14:paraId="591EFB5B" w14:textId="77777777" w:rsidTr="00556412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127" w:type="dxa"/>
                                      </w:tcPr>
                                      <w:p w14:paraId="3E53A6FD" w14:textId="674C9E4C" w:rsidR="00BB4439" w:rsidRDefault="00BB4439" w:rsidP="00BB4439">
                                        <w:pPr>
                                          <w:pStyle w:val="ListParagraph"/>
                                          <w:keepNext/>
                                          <w:keepLines/>
                                          <w:widowControl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before="60" w:after="60"/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  <w:t>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2A3A0876" w14:textId="0161AC38" w:rsidR="00BB4439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0F635476" w14:textId="1B189552" w:rsidR="00BB4439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70ABF22E" w14:textId="19252E61" w:rsidR="00BB4439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0F76BB36" w14:textId="4270F812" w:rsidR="00BB4439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</w:tcPr>
                                      <w:p w14:paraId="58F8BAB1" w14:textId="02E9AEE9" w:rsidR="00BB4439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2.66</w:t>
                                        </w:r>
                                      </w:p>
                                    </w:tc>
                                  </w:tr>
                                  <w:tr w:rsidR="00BB4439" w:rsidRPr="00101AB3" w14:paraId="012ED0CD" w14:textId="77777777" w:rsidTr="00B8013B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127" w:type="dxa"/>
                                        <w:tcBorders>
                                          <w:bottom w:val="single" w:sz="4" w:space="0" w:color="000080"/>
                                        </w:tcBorders>
                                      </w:tcPr>
                                      <w:p w14:paraId="52E6623C" w14:textId="77777777" w:rsidR="00BB4439" w:rsidRPr="008C6B79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ind w:left="-111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C6B79">
                                          <w:rPr>
                                            <w:sz w:val="21"/>
                                            <w:szCs w:val="21"/>
                                          </w:rPr>
                                          <w:t>Balance of non-Commonwealth contributions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  <w:tcBorders>
                                          <w:bottom w:val="single" w:sz="4" w:space="0" w:color="000080"/>
                                        </w:tcBorders>
                                      </w:tcPr>
                                      <w:p w14:paraId="20665EC8" w14:textId="77777777" w:rsidR="00D17162" w:rsidRDefault="00D17162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6B5378E7" w14:textId="305AA485" w:rsidR="00BB4439" w:rsidRPr="005D39DD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  <w:tcBorders>
                                          <w:bottom w:val="single" w:sz="4" w:space="0" w:color="000080"/>
                                        </w:tcBorders>
                                      </w:tcPr>
                                      <w:p w14:paraId="5B370932" w14:textId="77777777" w:rsidR="00D17162" w:rsidRDefault="00D17162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7C521F57" w14:textId="03973774" w:rsidR="00BB4439" w:rsidRPr="005D39DD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  <w:tcBorders>
                                          <w:bottom w:val="single" w:sz="4" w:space="0" w:color="000080"/>
                                        </w:tcBorders>
                                      </w:tcPr>
                                      <w:p w14:paraId="5E24F901" w14:textId="77777777" w:rsidR="00D17162" w:rsidRDefault="00D17162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75893C52" w14:textId="31F34EDB" w:rsidR="00BB4439" w:rsidRPr="005D39DD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  <w:tcBorders>
                                          <w:bottom w:val="single" w:sz="4" w:space="0" w:color="000080"/>
                                        </w:tcBorders>
                                      </w:tcPr>
                                      <w:p w14:paraId="3A203165" w14:textId="77777777" w:rsidR="00D17162" w:rsidRDefault="00D17162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2CDC0F66" w14:textId="4F137FF1" w:rsidR="00BB4439" w:rsidRPr="005D39DD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3" w:type="dxa"/>
                                        <w:tcBorders>
                                          <w:bottom w:val="single" w:sz="4" w:space="0" w:color="000080"/>
                                        </w:tcBorders>
                                      </w:tcPr>
                                      <w:p w14:paraId="2872791C" w14:textId="77777777" w:rsidR="00D17162" w:rsidRDefault="00D17162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11478E67" w14:textId="081F00E8" w:rsidR="00BB4439" w:rsidRPr="005D39DD" w:rsidRDefault="00BB4439" w:rsidP="00BB44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0.0</w:t>
                                        </w:r>
                                      </w:p>
                                    </w:tc>
                                  </w:tr>
                                </w:tbl>
                                <w:p w14:paraId="7C0CF19B" w14:textId="6419F75E" w:rsidR="00CC3733" w:rsidRPr="00101AB3" w:rsidRDefault="00CC3733" w:rsidP="00280F2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246F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95pt;margin-top:20.6pt;width:404.2pt;height:32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" stroked="f">
                      <v:textbo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7"/>
                              <w:gridCol w:w="942"/>
                              <w:gridCol w:w="943"/>
                              <w:gridCol w:w="942"/>
                              <w:gridCol w:w="943"/>
                              <w:gridCol w:w="943"/>
                            </w:tblGrid>
                            <w:tr w:rsidR="00CC3733" w:rsidRPr="00101AB3" w14:paraId="39F62EF4" w14:textId="77777777" w:rsidTr="00B8013B">
                              <w:trPr>
                                <w:cantSplit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80"/>
                                    <w:bottom w:val="single" w:sz="4" w:space="0" w:color="000080"/>
                                  </w:tcBorders>
                                </w:tcPr>
                                <w:p w14:paraId="09B84EBE" w14:textId="77777777" w:rsidR="00CC3733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ind w:left="-11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Table 1</w:t>
                                  </w:r>
                                </w:p>
                                <w:p w14:paraId="7EB19620" w14:textId="77777777" w:rsidR="00CC3733" w:rsidRPr="005D39DD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ind w:left="-11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D39D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($ million)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tcBorders>
                                    <w:top w:val="single" w:sz="4" w:space="0" w:color="000080"/>
                                    <w:bottom w:val="single" w:sz="4" w:space="0" w:color="000080"/>
                                  </w:tcBorders>
                                </w:tcPr>
                                <w:p w14:paraId="7DD95849" w14:textId="77777777" w:rsidR="00CC3733" w:rsidRPr="00EC6AC6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61CE2BB" w14:textId="3D5B612E" w:rsidR="00CC3733" w:rsidRPr="00EC6AC6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577B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2025</w:t>
                                  </w:r>
                                  <w:r w:rsidR="003E0E6C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Pr="000577B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80"/>
                                    <w:bottom w:val="single" w:sz="4" w:space="0" w:color="000080"/>
                                  </w:tcBorders>
                                </w:tcPr>
                                <w:p w14:paraId="6D32DD4C" w14:textId="77777777" w:rsidR="00CC3733" w:rsidRPr="00EC6AC6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360A3BF" w14:textId="4C00E37A" w:rsidR="00CC3733" w:rsidRPr="00EC6AC6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577B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2026</w:t>
                                  </w:r>
                                  <w:r w:rsidR="003E0E6C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Pr="00D242A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tcBorders>
                                    <w:top w:val="single" w:sz="4" w:space="0" w:color="000080"/>
                                    <w:bottom w:val="single" w:sz="4" w:space="0" w:color="000080"/>
                                  </w:tcBorders>
                                </w:tcPr>
                                <w:p w14:paraId="3D76A908" w14:textId="77777777" w:rsidR="00CC3733" w:rsidRPr="00EC6AC6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C3F7F29" w14:textId="442DF10A" w:rsidR="00CC3733" w:rsidRPr="00EC6AC6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577B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2027</w:t>
                                  </w:r>
                                  <w:r w:rsidR="003E0E6C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Pr="000577B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80"/>
                                    <w:bottom w:val="single" w:sz="4" w:space="0" w:color="000080"/>
                                  </w:tcBorders>
                                </w:tcPr>
                                <w:p w14:paraId="7AFE06E8" w14:textId="77777777" w:rsidR="00CC3733" w:rsidRPr="00EC6AC6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E5BE944" w14:textId="6175C38A" w:rsidR="00CC3733" w:rsidRPr="00EC6AC6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EC6AC6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2028</w:t>
                                  </w:r>
                                  <w:r w:rsidR="003E0E6C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Pr="00EC6AC6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80"/>
                                    <w:bottom w:val="single" w:sz="4" w:space="0" w:color="000080"/>
                                  </w:tcBorders>
                                </w:tcPr>
                                <w:p w14:paraId="2710C0A1" w14:textId="77777777" w:rsidR="00CC3733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8BA9BC2" w14:textId="77777777" w:rsidR="00CC3733" w:rsidRPr="005D39DD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D39D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CC3733" w:rsidRPr="00101AB3" w14:paraId="57D695BD" w14:textId="77777777" w:rsidTr="00B8013B">
                              <w:trPr>
                                <w:cantSplit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80"/>
                                  </w:tcBorders>
                                </w:tcPr>
                                <w:p w14:paraId="34741970" w14:textId="77777777" w:rsidR="00CC3733" w:rsidRPr="005D39DD" w:rsidRDefault="00CC3733" w:rsidP="007E44E6">
                                  <w:pPr>
                                    <w:keepNext/>
                                    <w:keepLines/>
                                    <w:spacing w:before="60" w:after="60"/>
                                    <w:ind w:left="-11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D39D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Estimated total budget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tcBorders>
                                    <w:top w:val="single" w:sz="4" w:space="0" w:color="000080"/>
                                  </w:tcBorders>
                                </w:tcPr>
                                <w:p w14:paraId="6500AC83" w14:textId="77777777" w:rsidR="00CC3733" w:rsidRPr="005D39DD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80"/>
                                  </w:tcBorders>
                                </w:tcPr>
                                <w:p w14:paraId="65E6FAB9" w14:textId="77777777" w:rsidR="00CC3733" w:rsidRPr="005D39DD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tcBorders>
                                    <w:top w:val="single" w:sz="4" w:space="0" w:color="000080"/>
                                  </w:tcBorders>
                                </w:tcPr>
                                <w:p w14:paraId="692D82F1" w14:textId="77777777" w:rsidR="00CC3733" w:rsidRPr="005D39DD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80"/>
                                  </w:tcBorders>
                                </w:tcPr>
                                <w:p w14:paraId="12053B6F" w14:textId="77777777" w:rsidR="00CC3733" w:rsidRPr="005D39DD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80"/>
                                  </w:tcBorders>
                                </w:tcPr>
                                <w:p w14:paraId="6DC5C9AB" w14:textId="77777777" w:rsidR="00CC3733" w:rsidRPr="005D39DD" w:rsidRDefault="00CC3733" w:rsidP="007E44E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22.32</w:t>
                                  </w:r>
                                </w:p>
                              </w:tc>
                            </w:tr>
                            <w:tr w:rsidR="00D54A24" w:rsidRPr="00101AB3" w14:paraId="3E6B7A4F" w14:textId="77777777" w:rsidTr="00B8013B">
                              <w:trPr>
                                <w:cantSplit/>
                              </w:trPr>
                              <w:tc>
                                <w:tcPr>
                                  <w:tcW w:w="2127" w:type="dxa"/>
                                </w:tcPr>
                                <w:p w14:paraId="5E3B4DCC" w14:textId="77777777" w:rsidR="00D54A24" w:rsidRPr="0064121C" w:rsidRDefault="00D54A24" w:rsidP="00D54A24">
                                  <w:pPr>
                                    <w:keepNext/>
                                    <w:keepLines/>
                                    <w:spacing w:before="60" w:after="60"/>
                                    <w:ind w:left="-111"/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</w:pPr>
                                  <w:r w:rsidRPr="0064121C"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  <w:t xml:space="preserve">Less estimated National Partnership Payments 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242478A8" w14:textId="7F7B92A0" w:rsidR="00D54A24" w:rsidRPr="005D39DD" w:rsidRDefault="00D54A24" w:rsidP="00D54A2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26358DF0" w14:textId="33FB4D21" w:rsidR="00D54A24" w:rsidRPr="005D39DD" w:rsidRDefault="00D54A24" w:rsidP="00D54A2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6F92FFE9" w14:textId="6046E6AD" w:rsidR="00D54A24" w:rsidRPr="005D39DD" w:rsidRDefault="00D54A24" w:rsidP="00D54A2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757071AC" w14:textId="1B0C6DF1" w:rsidR="00D54A24" w:rsidRPr="005D39DD" w:rsidRDefault="00D54A24" w:rsidP="00D54A2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75C5C034" w14:textId="770A6036" w:rsidR="00D54A24" w:rsidRPr="005D39DD" w:rsidRDefault="00D54A24" w:rsidP="00D54A2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22.32</w:t>
                                  </w:r>
                                </w:p>
                              </w:tc>
                            </w:tr>
                            <w:tr w:rsidR="00CC3733" w:rsidRPr="00101AB3" w14:paraId="5D58C008" w14:textId="77777777" w:rsidTr="00B8013B">
                              <w:trPr>
                                <w:cantSplit/>
                              </w:trPr>
                              <w:tc>
                                <w:tcPr>
                                  <w:tcW w:w="2127" w:type="dxa"/>
                                </w:tcPr>
                                <w:p w14:paraId="3C40066F" w14:textId="77777777" w:rsidR="00CC3733" w:rsidRPr="008C6B79" w:rsidRDefault="00CC3733" w:rsidP="00C704D2">
                                  <w:pPr>
                                    <w:pStyle w:val="ListParagraph"/>
                                    <w:keepNext/>
                                    <w:keepLines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pacing w:before="60" w:after="60"/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  <w:t>NSW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7F43B313" w14:textId="77777777" w:rsidR="00CC3733" w:rsidRPr="005D39DD" w:rsidRDefault="00CC3733" w:rsidP="00C704D2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6339EF8A" w14:textId="77777777" w:rsidR="00CC3733" w:rsidRPr="005D39DD" w:rsidRDefault="00CC3733" w:rsidP="00C704D2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40A762EA" w14:textId="77777777" w:rsidR="00CC3733" w:rsidRPr="005D39DD" w:rsidRDefault="00CC3733" w:rsidP="005E072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708A866B" w14:textId="77777777" w:rsidR="00CC3733" w:rsidRPr="005D39DD" w:rsidRDefault="00CC3733" w:rsidP="00C704D2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0D53A7CB" w14:textId="6061CDA3" w:rsidR="00CC3733" w:rsidRPr="005D39DD" w:rsidRDefault="00CC3733" w:rsidP="00C704D2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3.4</w:t>
                                  </w:r>
                                  <w:r w:rsidR="00385891">
                                    <w:rPr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C3733" w:rsidRPr="00101AB3" w14:paraId="45CC7D9D" w14:textId="77777777" w:rsidTr="00B8013B">
                              <w:trPr>
                                <w:cantSplit/>
                              </w:trPr>
                              <w:tc>
                                <w:tcPr>
                                  <w:tcW w:w="2127" w:type="dxa"/>
                                </w:tcPr>
                                <w:p w14:paraId="30CBCFF8" w14:textId="77777777" w:rsidR="00CC3733" w:rsidRDefault="00CC3733" w:rsidP="005E0724">
                                  <w:pPr>
                                    <w:pStyle w:val="ListParagraph"/>
                                    <w:keepNext/>
                                    <w:keepLines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pacing w:before="60" w:after="60"/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  <w:t>VIC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15F62780" w14:textId="77777777" w:rsidR="00CC3733" w:rsidRDefault="00CC3733" w:rsidP="005E072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F561B24" w14:textId="77777777" w:rsidR="00CC3733" w:rsidRDefault="00CC3733" w:rsidP="005E072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455BEC0D" w14:textId="77777777" w:rsidR="00CC3733" w:rsidRDefault="00CC3733" w:rsidP="005E072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727B7C7F" w14:textId="77777777" w:rsidR="00CC3733" w:rsidRDefault="00CC3733" w:rsidP="005E072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066402CF" w14:textId="2FA06822" w:rsidR="00CC3733" w:rsidRDefault="00CC3733" w:rsidP="005E072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3.4</w:t>
                                  </w:r>
                                  <w:r w:rsidR="00385891">
                                    <w:rPr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14044" w:rsidRPr="00101AB3" w14:paraId="75D8FDF6" w14:textId="77777777" w:rsidTr="00B8013B">
                              <w:trPr>
                                <w:cantSplit/>
                              </w:trPr>
                              <w:tc>
                                <w:tcPr>
                                  <w:tcW w:w="2127" w:type="dxa"/>
                                </w:tcPr>
                                <w:p w14:paraId="78A3576D" w14:textId="77777777" w:rsidR="00814044" w:rsidRDefault="00814044" w:rsidP="00814044">
                                  <w:pPr>
                                    <w:pStyle w:val="ListParagraph"/>
                                    <w:keepNext/>
                                    <w:keepLines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pacing w:before="60" w:after="60"/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  <w:t>QLD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2D5DE470" w14:textId="77777777" w:rsidR="00814044" w:rsidRDefault="00814044" w:rsidP="0081404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06116FA3" w14:textId="77777777" w:rsidR="00814044" w:rsidRDefault="00814044" w:rsidP="0081404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65F4769C" w14:textId="77777777" w:rsidR="00814044" w:rsidRDefault="00814044" w:rsidP="0081404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6E7739ED" w14:textId="77777777" w:rsidR="00814044" w:rsidRDefault="00814044" w:rsidP="0081404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6EF63194" w14:textId="77777777" w:rsidR="00814044" w:rsidRDefault="00814044" w:rsidP="0081404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2.66</w:t>
                                  </w:r>
                                </w:p>
                              </w:tc>
                            </w:tr>
                            <w:tr w:rsidR="003F0F08" w:rsidRPr="00101AB3" w14:paraId="07AF907B" w14:textId="77777777" w:rsidTr="00B8013B">
                              <w:trPr>
                                <w:cantSplit/>
                              </w:trPr>
                              <w:tc>
                                <w:tcPr>
                                  <w:tcW w:w="2127" w:type="dxa"/>
                                </w:tcPr>
                                <w:p w14:paraId="7681E1FD" w14:textId="3B123612" w:rsidR="003F0F08" w:rsidRDefault="003F0F08" w:rsidP="003F0F08">
                                  <w:pPr>
                                    <w:pStyle w:val="ListParagraph"/>
                                    <w:keepNext/>
                                    <w:keepLines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pacing w:before="60" w:after="60"/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6FC798F3" w14:textId="44B121E9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0.40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57438DCC" w14:textId="5A6ECB86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55A3BE20" w14:textId="6782B263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05C1A480" w14:textId="1C027096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70D071ED" w14:textId="24A5DE32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2.44</w:t>
                                  </w:r>
                                </w:p>
                              </w:tc>
                            </w:tr>
                            <w:tr w:rsidR="003F0F08" w:rsidRPr="00101AB3" w14:paraId="72DE89D5" w14:textId="77777777" w:rsidTr="00B8013B">
                              <w:trPr>
                                <w:cantSplit/>
                              </w:trPr>
                              <w:tc>
                                <w:tcPr>
                                  <w:tcW w:w="2127" w:type="dxa"/>
                                </w:tcPr>
                                <w:p w14:paraId="0DF393E6" w14:textId="7E9D7FBB" w:rsidR="003F0F08" w:rsidRDefault="003F0F08" w:rsidP="003F0F08">
                                  <w:pPr>
                                    <w:pStyle w:val="ListParagraph"/>
                                    <w:keepNext/>
                                    <w:keepLines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pacing w:before="60" w:after="60"/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547DA0B7" w14:textId="7B3A272F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728B753A" w14:textId="00FE38D4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6B1D2FB9" w14:textId="33D6CF25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59BCBD93" w14:textId="52D585C6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38C18380" w14:textId="6479DF45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2.66</w:t>
                                  </w:r>
                                </w:p>
                              </w:tc>
                            </w:tr>
                            <w:tr w:rsidR="003F0F08" w:rsidRPr="00101AB3" w14:paraId="09887E5F" w14:textId="77777777" w:rsidTr="00B8013B">
                              <w:trPr>
                                <w:cantSplit/>
                              </w:trPr>
                              <w:tc>
                                <w:tcPr>
                                  <w:tcW w:w="2127" w:type="dxa"/>
                                </w:tcPr>
                                <w:p w14:paraId="5D3F5066" w14:textId="547453EF" w:rsidR="003F0F08" w:rsidRDefault="003F0F08" w:rsidP="003F0F08">
                                  <w:pPr>
                                    <w:pStyle w:val="ListParagraph"/>
                                    <w:keepNext/>
                                    <w:keepLines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pacing w:before="60" w:after="60"/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  <w:t>TAS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60FC4506" w14:textId="5ED490B6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48F0ED91" w14:textId="1BC07E32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5DD6AD37" w14:textId="42B6031B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0FBFF325" w14:textId="5BA1EC76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51DF95F3" w14:textId="6DF959E9" w:rsidR="003F0F08" w:rsidRDefault="003F0F08" w:rsidP="003F0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2.66</w:t>
                                  </w:r>
                                </w:p>
                              </w:tc>
                            </w:tr>
                            <w:tr w:rsidR="00BB4439" w:rsidRPr="00101AB3" w14:paraId="73D00142" w14:textId="77777777" w:rsidTr="00B8013B">
                              <w:trPr>
                                <w:cantSplit/>
                              </w:trPr>
                              <w:tc>
                                <w:tcPr>
                                  <w:tcW w:w="2127" w:type="dxa"/>
                                </w:tcPr>
                                <w:p w14:paraId="50FBD5A3" w14:textId="0642355F" w:rsidR="00BB4439" w:rsidRDefault="00BB4439" w:rsidP="00BB4439">
                                  <w:pPr>
                                    <w:pStyle w:val="ListParagraph"/>
                                    <w:keepNext/>
                                    <w:keepLines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pacing w:before="60" w:after="60"/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  <w:t>ACT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683FB3BE" w14:textId="35063629" w:rsidR="00BB4439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0.40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6EDF5E95" w14:textId="4A5882A9" w:rsidR="00BB4439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0A3C5CD0" w14:textId="409956F9" w:rsidR="00BB4439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48C15394" w14:textId="55AA7688" w:rsidR="00BB4439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3BB04190" w14:textId="079224B7" w:rsidR="00BB4439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2.44</w:t>
                                  </w:r>
                                </w:p>
                              </w:tc>
                            </w:tr>
                            <w:tr w:rsidR="00BB4439" w14:paraId="591EFB5B" w14:textId="77777777" w:rsidTr="00556412">
                              <w:trPr>
                                <w:cantSplit/>
                              </w:trPr>
                              <w:tc>
                                <w:tcPr>
                                  <w:tcW w:w="2127" w:type="dxa"/>
                                </w:tcPr>
                                <w:p w14:paraId="3E53A6FD" w14:textId="674C9E4C" w:rsidR="00BB4439" w:rsidRDefault="00BB4439" w:rsidP="00BB4439">
                                  <w:pPr>
                                    <w:pStyle w:val="ListParagraph"/>
                                    <w:keepNext/>
                                    <w:keepLines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pacing w:before="60" w:after="60"/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2A3A0876" w14:textId="0161AC38" w:rsidR="00BB4439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0F635476" w14:textId="1B189552" w:rsidR="00BB4439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70ABF22E" w14:textId="19252E61" w:rsidR="00BB4439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0F76BB36" w14:textId="4270F812" w:rsidR="00BB4439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58F8BAB1" w14:textId="02E9AEE9" w:rsidR="00BB4439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2.66</w:t>
                                  </w:r>
                                </w:p>
                              </w:tc>
                            </w:tr>
                            <w:tr w:rsidR="00BB4439" w:rsidRPr="00101AB3" w14:paraId="012ED0CD" w14:textId="77777777" w:rsidTr="00B8013B">
                              <w:trPr>
                                <w:cantSplit/>
                              </w:trPr>
                              <w:tc>
                                <w:tcPr>
                                  <w:tcW w:w="2127" w:type="dxa"/>
                                  <w:tcBorders>
                                    <w:bottom w:val="single" w:sz="4" w:space="0" w:color="000080"/>
                                  </w:tcBorders>
                                </w:tcPr>
                                <w:p w14:paraId="52E6623C" w14:textId="77777777" w:rsidR="00BB4439" w:rsidRPr="008C6B79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ind w:left="-111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C6B79">
                                    <w:rPr>
                                      <w:sz w:val="21"/>
                                      <w:szCs w:val="21"/>
                                    </w:rPr>
                                    <w:t>Balance of non-Commonwealth contributions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tcBorders>
                                    <w:bottom w:val="single" w:sz="4" w:space="0" w:color="000080"/>
                                  </w:tcBorders>
                                </w:tcPr>
                                <w:p w14:paraId="20665EC8" w14:textId="77777777" w:rsidR="00D17162" w:rsidRDefault="00D17162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B5378E7" w14:textId="305AA485" w:rsidR="00BB4439" w:rsidRPr="005D39DD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bottom w:val="single" w:sz="4" w:space="0" w:color="000080"/>
                                  </w:tcBorders>
                                </w:tcPr>
                                <w:p w14:paraId="5B370932" w14:textId="77777777" w:rsidR="00D17162" w:rsidRDefault="00D17162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C521F57" w14:textId="03973774" w:rsidR="00BB4439" w:rsidRPr="005D39DD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tcBorders>
                                    <w:bottom w:val="single" w:sz="4" w:space="0" w:color="000080"/>
                                  </w:tcBorders>
                                </w:tcPr>
                                <w:p w14:paraId="5E24F901" w14:textId="77777777" w:rsidR="00D17162" w:rsidRDefault="00D17162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5893C52" w14:textId="31F34EDB" w:rsidR="00BB4439" w:rsidRPr="005D39DD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bottom w:val="single" w:sz="4" w:space="0" w:color="000080"/>
                                  </w:tcBorders>
                                </w:tcPr>
                                <w:p w14:paraId="3A203165" w14:textId="77777777" w:rsidR="00D17162" w:rsidRDefault="00D17162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CDC0F66" w14:textId="4F137FF1" w:rsidR="00BB4439" w:rsidRPr="005D39DD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bottom w:val="single" w:sz="4" w:space="0" w:color="000080"/>
                                  </w:tcBorders>
                                </w:tcPr>
                                <w:p w14:paraId="2872791C" w14:textId="77777777" w:rsidR="00D17162" w:rsidRDefault="00D17162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1478E67" w14:textId="081F00E8" w:rsidR="00BB4439" w:rsidRPr="005D39DD" w:rsidRDefault="00BB4439" w:rsidP="00BB44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</w:tbl>
                          <w:p w14:paraId="7C0CF19B" w14:textId="6419F75E" w:rsidR="00CC3733" w:rsidRPr="00101AB3" w:rsidRDefault="00CC3733" w:rsidP="00280F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110CBB4" w14:textId="6D67053F" w:rsidR="007B30CB" w:rsidRPr="00C45FDA" w:rsidRDefault="007B30CB" w:rsidP="00D242AD">
            <w:pPr>
              <w:rPr>
                <w:rFonts w:ascii="Corbel" w:hAnsi="Corbel"/>
              </w:rPr>
            </w:pPr>
          </w:p>
        </w:tc>
      </w:tr>
      <w:tr w:rsidR="00C91B5F" w:rsidRPr="00F00A18" w14:paraId="21E3D649" w14:textId="77777777" w:rsidTr="0030658F">
        <w:tc>
          <w:tcPr>
            <w:tcW w:w="1985" w:type="dxa"/>
          </w:tcPr>
          <w:p w14:paraId="06578BDF" w14:textId="44D10437" w:rsidR="00C91B5F" w:rsidRPr="00F00A18" w:rsidRDefault="00C91B5F" w:rsidP="00953AB3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Additional terms </w:t>
            </w:r>
          </w:p>
        </w:tc>
        <w:tc>
          <w:tcPr>
            <w:tcW w:w="8789" w:type="dxa"/>
          </w:tcPr>
          <w:p w14:paraId="39D23ECA" w14:textId="77777777" w:rsidR="00F0776C" w:rsidRDefault="00F0776C" w:rsidP="00F0776C">
            <w:pPr>
              <w:pStyle w:val="Heading5"/>
              <w:rPr>
                <w:rFonts w:ascii="Corbel" w:hAnsi="Corbel"/>
                <w:color w:val="000000" w:themeColor="text1"/>
                <w:lang w:val="en-AU"/>
              </w:rPr>
            </w:pPr>
            <w:r w:rsidRPr="00804EBD">
              <w:rPr>
                <w:rFonts w:ascii="Corbel" w:hAnsi="Corbel"/>
                <w:color w:val="000000" w:themeColor="text1"/>
                <w:lang w:val="en-AU"/>
              </w:rPr>
              <w:t>Under JCMP, all parties will contribute to joint compliance investigations and activities that aim to deliver significant savings and improve quality, safety, and payment integrity across the ECEC sector.</w:t>
            </w:r>
          </w:p>
          <w:p w14:paraId="010B79D4" w14:textId="77777777" w:rsidR="00F50C11" w:rsidRDefault="00F50C11" w:rsidP="00E001D7">
            <w:pPr>
              <w:rPr>
                <w:b/>
                <w:bCs/>
                <w:lang w:val="en-AU"/>
              </w:rPr>
            </w:pPr>
          </w:p>
          <w:p w14:paraId="6261CCB2" w14:textId="77777777" w:rsidR="0062668B" w:rsidRDefault="0062668B" w:rsidP="0062668B">
            <w:pPr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Ro</w:t>
            </w:r>
            <w:r w:rsidR="00041F42" w:rsidRPr="00CC4D2C">
              <w:rPr>
                <w:b/>
                <w:bCs/>
                <w:lang w:val="en-AU"/>
              </w:rPr>
              <w:t xml:space="preserve">le of the </w:t>
            </w:r>
            <w:r w:rsidR="00D95E4D" w:rsidRPr="00CC4D2C">
              <w:rPr>
                <w:b/>
                <w:bCs/>
                <w:lang w:val="en-AU"/>
              </w:rPr>
              <w:t>Parties</w:t>
            </w:r>
          </w:p>
          <w:p w14:paraId="3B92CC11" w14:textId="77777777" w:rsidR="0062668B" w:rsidRDefault="0062668B" w:rsidP="0062668B">
            <w:pPr>
              <w:rPr>
                <w:b/>
                <w:bCs/>
                <w:lang w:val="en-AU"/>
              </w:rPr>
            </w:pPr>
          </w:p>
          <w:p w14:paraId="07F38BB7" w14:textId="6887C4B9" w:rsidR="0062668B" w:rsidRDefault="00F0776C" w:rsidP="0062668B">
            <w:pPr>
              <w:rPr>
                <w:rFonts w:ascii="Corbel" w:hAnsi="Corbel"/>
                <w:color w:val="000000" w:themeColor="text1"/>
                <w:lang w:val="en-AU"/>
              </w:rPr>
            </w:pPr>
            <w:r w:rsidRPr="00804EBD">
              <w:rPr>
                <w:rFonts w:ascii="Corbel" w:hAnsi="Corbel"/>
                <w:color w:val="000000" w:themeColor="text1"/>
                <w:lang w:val="en-AU"/>
              </w:rPr>
              <w:t xml:space="preserve">The </w:t>
            </w:r>
            <w:r w:rsidR="00AD0C65">
              <w:rPr>
                <w:rFonts w:ascii="Corbel" w:hAnsi="Corbel"/>
                <w:color w:val="000000" w:themeColor="text1"/>
                <w:lang w:val="en-AU"/>
              </w:rPr>
              <w:t>D</w:t>
            </w:r>
            <w:r w:rsidRPr="00804EBD">
              <w:rPr>
                <w:rFonts w:ascii="Corbel" w:hAnsi="Corbel"/>
                <w:color w:val="000000" w:themeColor="text1"/>
                <w:lang w:val="en-AU"/>
              </w:rPr>
              <w:t xml:space="preserve">epartment </w:t>
            </w:r>
            <w:r w:rsidR="00AD0C65">
              <w:rPr>
                <w:rFonts w:ascii="Corbel" w:hAnsi="Corbel"/>
                <w:color w:val="000000" w:themeColor="text1"/>
                <w:lang w:val="en-AU"/>
              </w:rPr>
              <w:t>of Education</w:t>
            </w:r>
            <w:r w:rsidRPr="00804EBD">
              <w:rPr>
                <w:rFonts w:ascii="Corbel" w:hAnsi="Corbel"/>
                <w:color w:val="000000" w:themeColor="text1"/>
                <w:lang w:val="en-AU"/>
              </w:rPr>
              <w:t xml:space="preserve"> will engage the expertise and services of S</w:t>
            </w:r>
            <w:r>
              <w:rPr>
                <w:rFonts w:ascii="Corbel" w:hAnsi="Corbel"/>
                <w:color w:val="000000" w:themeColor="text1"/>
                <w:lang w:val="en-AU"/>
              </w:rPr>
              <w:t>T</w:t>
            </w:r>
            <w:r w:rsidRPr="00804EBD">
              <w:rPr>
                <w:rFonts w:ascii="Corbel" w:hAnsi="Corbel"/>
                <w:color w:val="000000" w:themeColor="text1"/>
                <w:lang w:val="en-AU"/>
              </w:rPr>
              <w:t xml:space="preserve">RAs </w:t>
            </w:r>
            <w:r w:rsidR="00304976">
              <w:rPr>
                <w:rFonts w:ascii="Corbel" w:hAnsi="Corbel"/>
                <w:color w:val="000000" w:themeColor="text1"/>
                <w:lang w:val="en-AU"/>
              </w:rPr>
              <w:t>and independent state-based regulators</w:t>
            </w:r>
            <w:r w:rsidR="00304976" w:rsidRPr="00804EBD">
              <w:rPr>
                <w:rFonts w:ascii="Corbel" w:hAnsi="Corbel"/>
                <w:color w:val="000000" w:themeColor="text1"/>
                <w:lang w:val="en-AU"/>
              </w:rPr>
              <w:t xml:space="preserve"> </w:t>
            </w:r>
            <w:r w:rsidRPr="00804EBD">
              <w:rPr>
                <w:rFonts w:ascii="Corbel" w:hAnsi="Corbel"/>
                <w:color w:val="000000" w:themeColor="text1"/>
                <w:lang w:val="en-AU"/>
              </w:rPr>
              <w:t xml:space="preserve">to co-deliver JCMP. </w:t>
            </w:r>
          </w:p>
          <w:p w14:paraId="1EE810CB" w14:textId="77777777" w:rsidR="0062668B" w:rsidRDefault="0062668B" w:rsidP="00F0776C">
            <w:pPr>
              <w:pStyle w:val="Heading5"/>
              <w:rPr>
                <w:rFonts w:ascii="Corbel" w:hAnsi="Corbel"/>
                <w:color w:val="000000" w:themeColor="text1"/>
                <w:lang w:val="en-AU"/>
              </w:rPr>
            </w:pPr>
          </w:p>
          <w:p w14:paraId="3DF08760" w14:textId="2243D250" w:rsidR="00F0776C" w:rsidRPr="00804EBD" w:rsidRDefault="00F0776C" w:rsidP="00F0776C">
            <w:pPr>
              <w:pStyle w:val="Heading5"/>
              <w:rPr>
                <w:rFonts w:ascii="Corbel" w:hAnsi="Corbel"/>
                <w:color w:val="000000" w:themeColor="text1"/>
                <w:lang w:val="en-AU"/>
              </w:rPr>
            </w:pPr>
            <w:r w:rsidRPr="00804EBD">
              <w:rPr>
                <w:rFonts w:ascii="Corbel" w:hAnsi="Corbel"/>
                <w:color w:val="000000" w:themeColor="text1"/>
                <w:lang w:val="en-AU"/>
              </w:rPr>
              <w:t>S</w:t>
            </w:r>
            <w:r>
              <w:rPr>
                <w:rFonts w:ascii="Corbel" w:hAnsi="Corbel"/>
                <w:color w:val="000000" w:themeColor="text1"/>
                <w:lang w:val="en-AU"/>
              </w:rPr>
              <w:t>T</w:t>
            </w:r>
            <w:r w:rsidRPr="00804EBD">
              <w:rPr>
                <w:rFonts w:ascii="Corbel" w:hAnsi="Corbel"/>
                <w:color w:val="000000" w:themeColor="text1"/>
                <w:lang w:val="en-AU"/>
              </w:rPr>
              <w:t xml:space="preserve">RAs </w:t>
            </w:r>
            <w:r w:rsidR="00304976">
              <w:rPr>
                <w:rFonts w:ascii="Corbel" w:hAnsi="Corbel"/>
                <w:color w:val="000000" w:themeColor="text1"/>
                <w:lang w:val="en-AU"/>
              </w:rPr>
              <w:t>and independent state-based regulators</w:t>
            </w:r>
            <w:r w:rsidR="00304976" w:rsidRPr="00804EBD">
              <w:rPr>
                <w:rFonts w:ascii="Corbel" w:hAnsi="Corbel"/>
                <w:color w:val="000000" w:themeColor="text1"/>
                <w:lang w:val="en-AU"/>
              </w:rPr>
              <w:t xml:space="preserve"> </w:t>
            </w:r>
            <w:r w:rsidRPr="00804EBD">
              <w:rPr>
                <w:rFonts w:ascii="Corbel" w:hAnsi="Corbel"/>
                <w:color w:val="000000" w:themeColor="text1"/>
                <w:lang w:val="en-AU"/>
              </w:rPr>
              <w:t xml:space="preserve">are expected to participate in and contribute to the following key </w:t>
            </w:r>
            <w:r w:rsidR="00A55E9C">
              <w:rPr>
                <w:rFonts w:ascii="Corbel" w:hAnsi="Corbel"/>
                <w:color w:val="000000" w:themeColor="text1"/>
                <w:lang w:val="en-AU"/>
              </w:rPr>
              <w:t>deliverables</w:t>
            </w:r>
            <w:r w:rsidRPr="00804EBD">
              <w:rPr>
                <w:rFonts w:ascii="Corbel" w:hAnsi="Corbel"/>
                <w:color w:val="000000" w:themeColor="text1"/>
                <w:lang w:val="en-AU"/>
              </w:rPr>
              <w:t>:</w:t>
            </w:r>
          </w:p>
          <w:p w14:paraId="4F86379B" w14:textId="77777777" w:rsidR="00F0776C" w:rsidRPr="00A55E9C" w:rsidRDefault="00F0776C" w:rsidP="00606663">
            <w:pPr>
              <w:pStyle w:val="Heading5"/>
              <w:numPr>
                <w:ilvl w:val="0"/>
                <w:numId w:val="22"/>
              </w:numPr>
              <w:rPr>
                <w:rFonts w:ascii="Corbel" w:hAnsi="Corbel"/>
                <w:color w:val="000000" w:themeColor="text1"/>
                <w:lang w:val="en-AU"/>
              </w:rPr>
            </w:pPr>
            <w:r w:rsidRPr="00A55E9C">
              <w:rPr>
                <w:rFonts w:ascii="Corbel" w:hAnsi="Corbel"/>
                <w:color w:val="000000" w:themeColor="text1"/>
                <w:lang w:val="en-AU"/>
              </w:rPr>
              <w:t>Joint operational compliance activities to enhance efficiency, reduce duplication, and apply appropriate regulatory responses to high-risk providers.</w:t>
            </w:r>
          </w:p>
          <w:p w14:paraId="6B1004F4" w14:textId="77777777" w:rsidR="00F0776C" w:rsidRPr="00A55E9C" w:rsidRDefault="00F0776C" w:rsidP="00606663">
            <w:pPr>
              <w:pStyle w:val="Heading5"/>
              <w:numPr>
                <w:ilvl w:val="0"/>
                <w:numId w:val="22"/>
              </w:numPr>
              <w:rPr>
                <w:rFonts w:ascii="Corbel" w:hAnsi="Corbel"/>
                <w:color w:val="000000" w:themeColor="text1"/>
                <w:lang w:val="en-AU"/>
              </w:rPr>
            </w:pPr>
            <w:r w:rsidRPr="00A55E9C">
              <w:rPr>
                <w:rFonts w:ascii="Corbel" w:hAnsi="Corbel"/>
                <w:color w:val="000000" w:themeColor="text1"/>
                <w:lang w:val="en-AU"/>
              </w:rPr>
              <w:t>Expanded data sharing and intelligence capabilities to detect fraud and non-compliance, improve targeting, and support joint investigations.</w:t>
            </w:r>
          </w:p>
          <w:p w14:paraId="609B0810" w14:textId="70FEABC2" w:rsidR="00F0776C" w:rsidRPr="00A55E9C" w:rsidRDefault="00F0776C" w:rsidP="00606663">
            <w:pPr>
              <w:pStyle w:val="Heading5"/>
              <w:numPr>
                <w:ilvl w:val="0"/>
                <w:numId w:val="22"/>
              </w:numPr>
              <w:rPr>
                <w:rFonts w:ascii="Corbel" w:hAnsi="Corbel"/>
                <w:color w:val="000000" w:themeColor="text1"/>
                <w:lang w:val="en-AU"/>
              </w:rPr>
            </w:pPr>
            <w:r w:rsidRPr="00A55E9C">
              <w:rPr>
                <w:rFonts w:ascii="Corbel" w:hAnsi="Corbel"/>
                <w:color w:val="000000" w:themeColor="text1"/>
                <w:lang w:val="en-AU"/>
              </w:rPr>
              <w:t>Provision of information and resources to the Department</w:t>
            </w:r>
            <w:r w:rsidR="00AA73FB">
              <w:rPr>
                <w:rFonts w:ascii="Corbel" w:hAnsi="Corbel"/>
                <w:color w:val="000000" w:themeColor="text1"/>
                <w:lang w:val="en-AU"/>
              </w:rPr>
              <w:t xml:space="preserve"> of Education</w:t>
            </w:r>
            <w:r w:rsidRPr="00A55E9C">
              <w:rPr>
                <w:rFonts w:ascii="Corbel" w:hAnsi="Corbel"/>
                <w:color w:val="000000" w:themeColor="text1"/>
                <w:lang w:val="en-AU"/>
              </w:rPr>
              <w:t>, including but not limited to:</w:t>
            </w:r>
          </w:p>
          <w:p w14:paraId="36913EBB" w14:textId="77777777" w:rsidR="00F0776C" w:rsidRPr="00A55E9C" w:rsidRDefault="00F0776C" w:rsidP="00AF029F">
            <w:pPr>
              <w:pStyle w:val="Heading5"/>
              <w:numPr>
                <w:ilvl w:val="2"/>
                <w:numId w:val="35"/>
              </w:numPr>
              <w:rPr>
                <w:rFonts w:ascii="Corbel" w:hAnsi="Corbel"/>
                <w:color w:val="000000" w:themeColor="text1"/>
                <w:lang w:val="en-AU"/>
              </w:rPr>
            </w:pPr>
            <w:r w:rsidRPr="00A55E9C">
              <w:rPr>
                <w:rFonts w:ascii="Corbel" w:hAnsi="Corbel"/>
                <w:color w:val="000000" w:themeColor="text1"/>
                <w:lang w:val="en-AU"/>
              </w:rPr>
              <w:t>Lists of high-risk providers and services</w:t>
            </w:r>
          </w:p>
          <w:p w14:paraId="7D205B81" w14:textId="77777777" w:rsidR="00F0776C" w:rsidRPr="00A55E9C" w:rsidRDefault="00F0776C" w:rsidP="00AF029F">
            <w:pPr>
              <w:pStyle w:val="Heading5"/>
              <w:numPr>
                <w:ilvl w:val="2"/>
                <w:numId w:val="35"/>
              </w:numPr>
              <w:rPr>
                <w:rFonts w:ascii="Corbel" w:hAnsi="Corbel"/>
                <w:color w:val="000000" w:themeColor="text1"/>
                <w:lang w:val="en-AU"/>
              </w:rPr>
            </w:pPr>
            <w:r w:rsidRPr="00A55E9C">
              <w:rPr>
                <w:rFonts w:ascii="Corbel" w:hAnsi="Corbel"/>
                <w:color w:val="000000" w:themeColor="text1"/>
                <w:lang w:val="en-AU"/>
              </w:rPr>
              <w:t>Compliance history and data</w:t>
            </w:r>
          </w:p>
          <w:p w14:paraId="5D636051" w14:textId="77777777" w:rsidR="00F0776C" w:rsidRPr="00A55E9C" w:rsidRDefault="00F0776C" w:rsidP="00AF029F">
            <w:pPr>
              <w:pStyle w:val="Heading5"/>
              <w:numPr>
                <w:ilvl w:val="2"/>
                <w:numId w:val="35"/>
              </w:numPr>
              <w:rPr>
                <w:rFonts w:ascii="Corbel" w:hAnsi="Corbel"/>
                <w:color w:val="000000" w:themeColor="text1"/>
                <w:lang w:val="en-AU"/>
              </w:rPr>
            </w:pPr>
            <w:r w:rsidRPr="00A55E9C">
              <w:rPr>
                <w:rFonts w:ascii="Corbel" w:hAnsi="Corbel"/>
                <w:color w:val="000000" w:themeColor="text1"/>
                <w:lang w:val="en-AU"/>
              </w:rPr>
              <w:t>Risk profiles and assessments</w:t>
            </w:r>
          </w:p>
          <w:p w14:paraId="4872F863" w14:textId="77777777" w:rsidR="00F0776C" w:rsidRPr="00A55E9C" w:rsidRDefault="00F0776C" w:rsidP="00AF029F">
            <w:pPr>
              <w:pStyle w:val="Heading5"/>
              <w:numPr>
                <w:ilvl w:val="2"/>
                <w:numId w:val="35"/>
              </w:numPr>
              <w:rPr>
                <w:rFonts w:ascii="Corbel" w:hAnsi="Corbel"/>
                <w:color w:val="000000" w:themeColor="text1"/>
                <w:lang w:val="en-AU"/>
              </w:rPr>
            </w:pPr>
            <w:r w:rsidRPr="00A55E9C">
              <w:rPr>
                <w:rFonts w:ascii="Corbel" w:hAnsi="Corbel"/>
                <w:color w:val="000000" w:themeColor="text1"/>
                <w:lang w:val="en-AU"/>
              </w:rPr>
              <w:t>Intelligence assessments and analysis</w:t>
            </w:r>
          </w:p>
          <w:p w14:paraId="7DAFDC8E" w14:textId="77777777" w:rsidR="00F0776C" w:rsidRPr="00A55E9C" w:rsidRDefault="00F0776C" w:rsidP="00AF029F">
            <w:pPr>
              <w:pStyle w:val="Heading5"/>
              <w:numPr>
                <w:ilvl w:val="2"/>
                <w:numId w:val="35"/>
              </w:numPr>
              <w:rPr>
                <w:rFonts w:ascii="Corbel" w:hAnsi="Corbel"/>
                <w:color w:val="000000" w:themeColor="text1"/>
                <w:lang w:val="en-AU"/>
              </w:rPr>
            </w:pPr>
            <w:r w:rsidRPr="00A55E9C">
              <w:rPr>
                <w:rFonts w:ascii="Corbel" w:hAnsi="Corbel"/>
                <w:color w:val="000000" w:themeColor="text1"/>
                <w:lang w:val="en-AU"/>
              </w:rPr>
              <w:t>Session data and educator information</w:t>
            </w:r>
          </w:p>
          <w:p w14:paraId="5EAD37AF" w14:textId="77777777" w:rsidR="00F0776C" w:rsidRPr="00A55E9C" w:rsidRDefault="00F0776C" w:rsidP="00AF029F">
            <w:pPr>
              <w:pStyle w:val="Heading5"/>
              <w:numPr>
                <w:ilvl w:val="2"/>
                <w:numId w:val="35"/>
              </w:numPr>
              <w:rPr>
                <w:rFonts w:ascii="Corbel" w:hAnsi="Corbel"/>
                <w:color w:val="000000" w:themeColor="text1"/>
                <w:lang w:val="en-AU"/>
              </w:rPr>
            </w:pPr>
            <w:r w:rsidRPr="00A55E9C">
              <w:rPr>
                <w:rFonts w:ascii="Corbel" w:hAnsi="Corbel"/>
                <w:color w:val="000000" w:themeColor="text1"/>
                <w:lang w:val="en-AU"/>
              </w:rPr>
              <w:t>Compliance correspondence</w:t>
            </w:r>
          </w:p>
          <w:p w14:paraId="0714BAAA" w14:textId="77777777" w:rsidR="00F0776C" w:rsidRPr="00A55E9C" w:rsidRDefault="00F0776C" w:rsidP="00606663">
            <w:pPr>
              <w:pStyle w:val="Heading5"/>
              <w:numPr>
                <w:ilvl w:val="0"/>
                <w:numId w:val="22"/>
              </w:numPr>
              <w:rPr>
                <w:rFonts w:ascii="Corbel" w:hAnsi="Corbel"/>
                <w:color w:val="000000" w:themeColor="text1"/>
                <w:lang w:val="en-AU"/>
              </w:rPr>
            </w:pPr>
            <w:r w:rsidRPr="00A55E9C">
              <w:rPr>
                <w:rFonts w:ascii="Corbel" w:hAnsi="Corbel"/>
                <w:color w:val="000000" w:themeColor="text1"/>
                <w:lang w:val="en-AU"/>
              </w:rPr>
              <w:t>Identification of opportunities for legislative or regulatory streamlining or harmonisation.</w:t>
            </w:r>
          </w:p>
          <w:p w14:paraId="4149C2FB" w14:textId="77777777" w:rsidR="00F0776C" w:rsidRPr="00A55E9C" w:rsidRDefault="00F0776C" w:rsidP="00606663">
            <w:pPr>
              <w:pStyle w:val="Heading5"/>
              <w:numPr>
                <w:ilvl w:val="0"/>
                <w:numId w:val="22"/>
              </w:numPr>
              <w:rPr>
                <w:rFonts w:ascii="Corbel" w:hAnsi="Corbel"/>
                <w:color w:val="000000" w:themeColor="text1"/>
                <w:lang w:val="en-AU"/>
              </w:rPr>
            </w:pPr>
            <w:r w:rsidRPr="00A55E9C">
              <w:rPr>
                <w:rFonts w:ascii="Corbel" w:hAnsi="Corbel"/>
                <w:color w:val="000000" w:themeColor="text1"/>
                <w:lang w:val="en-AU"/>
              </w:rPr>
              <w:t>Participation in formal evaluation of JCMP outcomes and benefits, including engagement with third-party evaluators and provision of relevant documentation.</w:t>
            </w:r>
          </w:p>
          <w:p w14:paraId="45C9EC01" w14:textId="77777777" w:rsidR="00F0776C" w:rsidRDefault="00F0776C" w:rsidP="00606663">
            <w:pPr>
              <w:pStyle w:val="Heading5"/>
              <w:numPr>
                <w:ilvl w:val="0"/>
                <w:numId w:val="22"/>
              </w:numPr>
              <w:rPr>
                <w:rFonts w:ascii="Corbel" w:hAnsi="Corbel"/>
                <w:color w:val="000000" w:themeColor="text1"/>
                <w:lang w:val="en-AU"/>
              </w:rPr>
            </w:pPr>
            <w:r w:rsidRPr="00A55E9C">
              <w:rPr>
                <w:rFonts w:ascii="Corbel" w:hAnsi="Corbel"/>
                <w:color w:val="000000" w:themeColor="text1"/>
                <w:lang w:val="en-AU"/>
              </w:rPr>
              <w:t>Contribution to the co-design of the joint operating model, leveraging JCMP activities to inform future approaches.</w:t>
            </w:r>
          </w:p>
          <w:p w14:paraId="7F3A7559" w14:textId="4AE288CD" w:rsidR="00A55E9C" w:rsidRDefault="00A55E9C" w:rsidP="00606663">
            <w:pPr>
              <w:pStyle w:val="CCSTableSum"/>
              <w:numPr>
                <w:ilvl w:val="0"/>
                <w:numId w:val="22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63450B">
              <w:rPr>
                <w:rFonts w:ascii="Corbel" w:hAnsi="Corbel" w:cstheme="minorBidi"/>
                <w:b w:val="0"/>
                <w:lang w:eastAsia="en-US" w:bidi="ar-SA"/>
              </w:rPr>
              <w:t>Take appropriate and proportionate regulatory action where non-compliance is observed, including sanctions such as cancellation/suspension.</w:t>
            </w:r>
          </w:p>
          <w:p w14:paraId="1E6782B4" w14:textId="77777777" w:rsidR="00A55E9C" w:rsidRPr="0063450B" w:rsidRDefault="00A55E9C" w:rsidP="00606663">
            <w:pPr>
              <w:pStyle w:val="CCSTableSum"/>
              <w:numPr>
                <w:ilvl w:val="0"/>
                <w:numId w:val="22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63450B">
              <w:rPr>
                <w:rFonts w:ascii="Corbel" w:hAnsi="Corbel" w:cstheme="minorBidi"/>
                <w:b w:val="0"/>
                <w:lang w:eastAsia="en-US" w:bidi="ar-SA"/>
              </w:rPr>
              <w:t>Identify providers and services of joint risk:</w:t>
            </w:r>
          </w:p>
          <w:p w14:paraId="040DF315" w14:textId="59D5084D" w:rsidR="00A55E9C" w:rsidRPr="0063450B" w:rsidRDefault="00A55E9C" w:rsidP="00606663">
            <w:pPr>
              <w:pStyle w:val="CCSTableSum"/>
              <w:numPr>
                <w:ilvl w:val="2"/>
                <w:numId w:val="22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63450B">
              <w:rPr>
                <w:rFonts w:ascii="Corbel" w:hAnsi="Corbel" w:cstheme="minorBidi"/>
                <w:b w:val="0"/>
                <w:lang w:eastAsia="en-US" w:bidi="ar-SA"/>
              </w:rPr>
              <w:t xml:space="preserve">Provide lists of high-risk providers or services at the JCMP Subcommittee </w:t>
            </w:r>
            <w:proofErr w:type="gramStart"/>
            <w:r w:rsidRPr="0063450B">
              <w:rPr>
                <w:rFonts w:ascii="Corbel" w:hAnsi="Corbel" w:cstheme="minorBidi"/>
                <w:b w:val="0"/>
                <w:lang w:eastAsia="en-US" w:bidi="ar-SA"/>
              </w:rPr>
              <w:t>meeting</w:t>
            </w:r>
            <w:r w:rsidR="006F28FA">
              <w:rPr>
                <w:rFonts w:ascii="Corbel" w:hAnsi="Corbel" w:cstheme="minorBidi"/>
                <w:b w:val="0"/>
                <w:lang w:eastAsia="en-US" w:bidi="ar-SA"/>
              </w:rPr>
              <w:t>s</w:t>
            </w:r>
            <w:r w:rsidRPr="0063450B">
              <w:rPr>
                <w:rFonts w:ascii="Corbel" w:hAnsi="Corbel" w:cstheme="minorBidi"/>
                <w:b w:val="0"/>
                <w:lang w:eastAsia="en-US" w:bidi="ar-SA"/>
              </w:rPr>
              <w:t>;</w:t>
            </w:r>
            <w:proofErr w:type="gramEnd"/>
            <w:r w:rsidRPr="0063450B">
              <w:rPr>
                <w:rFonts w:ascii="Corbel" w:hAnsi="Corbel" w:cstheme="minorBidi"/>
                <w:b w:val="0"/>
                <w:lang w:eastAsia="en-US" w:bidi="ar-SA"/>
              </w:rPr>
              <w:t xml:space="preserve">  </w:t>
            </w:r>
          </w:p>
          <w:p w14:paraId="26332F3E" w14:textId="77777777" w:rsidR="00A55E9C" w:rsidRDefault="00A55E9C" w:rsidP="00606663">
            <w:pPr>
              <w:pStyle w:val="CCSTableSum"/>
              <w:numPr>
                <w:ilvl w:val="2"/>
                <w:numId w:val="22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63450B">
              <w:rPr>
                <w:rFonts w:ascii="Corbel" w:hAnsi="Corbel" w:cstheme="minorBidi"/>
                <w:b w:val="0"/>
                <w:lang w:eastAsia="en-US" w:bidi="ar-SA"/>
              </w:rPr>
              <w:t>Analyse lists of high-risk providers or services identified by the Department of Education.</w:t>
            </w:r>
          </w:p>
          <w:p w14:paraId="72D15EAD" w14:textId="77777777" w:rsidR="00A55E9C" w:rsidRDefault="00A55E9C" w:rsidP="00606663">
            <w:pPr>
              <w:pStyle w:val="CCSTableSum"/>
              <w:numPr>
                <w:ilvl w:val="0"/>
                <w:numId w:val="22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63450B">
              <w:rPr>
                <w:rFonts w:ascii="Corbel" w:hAnsi="Corbel" w:cstheme="minorBidi"/>
                <w:b w:val="0"/>
                <w:lang w:eastAsia="en-US" w:bidi="ar-SA"/>
              </w:rPr>
              <w:t>Conduct jointly with Department of Education compliance investigation/activity for providers or services who have been identified as sharing high risk indicators.</w:t>
            </w:r>
          </w:p>
          <w:p w14:paraId="6FE638F4" w14:textId="77777777" w:rsidR="00AA0041" w:rsidRPr="00CC4D2C" w:rsidRDefault="00AA0041" w:rsidP="00E001D7">
            <w:pPr>
              <w:pStyle w:val="CCSTableSum"/>
              <w:ind w:left="360"/>
              <w:jc w:val="left"/>
              <w:rPr>
                <w:rFonts w:ascii="Corbel" w:hAnsi="Corbel" w:cstheme="minorBidi"/>
                <w:bCs/>
                <w:lang w:eastAsia="en-US" w:bidi="ar-SA"/>
              </w:rPr>
            </w:pPr>
            <w:r w:rsidRPr="00CC4D2C">
              <w:rPr>
                <w:rFonts w:ascii="Corbel" w:hAnsi="Corbel" w:cstheme="minorBidi"/>
                <w:bCs/>
                <w:lang w:eastAsia="en-US" w:bidi="ar-SA"/>
              </w:rPr>
              <w:t>Sub-committee meetings</w:t>
            </w:r>
          </w:p>
          <w:p w14:paraId="39F71768" w14:textId="58302461" w:rsidR="00A20185" w:rsidRDefault="00A20185" w:rsidP="00606663">
            <w:pPr>
              <w:pStyle w:val="CCSTableSum"/>
              <w:numPr>
                <w:ilvl w:val="0"/>
                <w:numId w:val="22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A20185">
              <w:rPr>
                <w:rFonts w:ascii="Corbel" w:hAnsi="Corbel" w:cstheme="minorBidi"/>
                <w:b w:val="0"/>
                <w:lang w:val="en-US" w:eastAsia="en-US" w:bidi="ar-SA"/>
              </w:rPr>
              <w:t xml:space="preserve">States will be required to attend regular meetings (monthly, ad hoc or as agreed) </w:t>
            </w:r>
            <w:r w:rsidR="00955860">
              <w:rPr>
                <w:rFonts w:ascii="Corbel" w:hAnsi="Corbel" w:cstheme="minorBidi"/>
                <w:b w:val="0"/>
                <w:lang w:val="en-US" w:eastAsia="en-US" w:bidi="ar-SA"/>
              </w:rPr>
              <w:t xml:space="preserve">and </w:t>
            </w:r>
            <w:r w:rsidRPr="00A20185">
              <w:rPr>
                <w:rFonts w:ascii="Corbel" w:hAnsi="Corbel" w:cstheme="minorBidi"/>
                <w:b w:val="0"/>
                <w:lang w:val="en-US" w:eastAsia="en-US" w:bidi="ar-SA"/>
              </w:rPr>
              <w:t>discuss performance, risks, and strategic alignment</w:t>
            </w:r>
            <w:r w:rsidR="00534E1F">
              <w:rPr>
                <w:rFonts w:ascii="Corbel" w:hAnsi="Corbel" w:cstheme="minorBidi"/>
                <w:b w:val="0"/>
                <w:lang w:val="en-US" w:eastAsia="en-US" w:bidi="ar-SA"/>
              </w:rPr>
              <w:t xml:space="preserve"> as well as high-risk providers.</w:t>
            </w:r>
          </w:p>
          <w:p w14:paraId="0DE23580" w14:textId="06EF0408" w:rsidR="000C4980" w:rsidRDefault="000C4980" w:rsidP="00A155E9">
            <w:pPr>
              <w:pStyle w:val="CCSTableSum"/>
              <w:ind w:left="360"/>
              <w:jc w:val="left"/>
              <w:rPr>
                <w:rFonts w:ascii="Corbel" w:hAnsi="Corbel" w:cstheme="minorBidi"/>
                <w:bCs/>
                <w:lang w:eastAsia="en-US" w:bidi="ar-SA"/>
              </w:rPr>
            </w:pPr>
            <w:r w:rsidRPr="00F50C11">
              <w:rPr>
                <w:rFonts w:ascii="Corbel" w:hAnsi="Corbel" w:cstheme="minorBidi"/>
                <w:bCs/>
                <w:lang w:eastAsia="en-US" w:bidi="ar-SA"/>
              </w:rPr>
              <w:t>Reporting</w:t>
            </w:r>
          </w:p>
          <w:p w14:paraId="12E75052" w14:textId="77777777" w:rsidR="00AD5CAF" w:rsidRPr="0098483F" w:rsidRDefault="00AD5CAF" w:rsidP="00086D1C">
            <w:pPr>
              <w:pStyle w:val="CCSTableSum"/>
              <w:ind w:left="360"/>
              <w:jc w:val="left"/>
              <w:rPr>
                <w:rFonts w:ascii="Corbel" w:hAnsi="Corbel" w:cstheme="minorBidi"/>
                <w:bCs/>
                <w:lang w:val="en-US" w:eastAsia="en-US" w:bidi="ar-SA"/>
              </w:rPr>
            </w:pPr>
            <w:r w:rsidRPr="0098483F">
              <w:rPr>
                <w:rFonts w:ascii="Corbel" w:hAnsi="Corbel" w:cstheme="minorBidi"/>
                <w:bCs/>
                <w:lang w:val="en-US" w:eastAsia="en-US" w:bidi="ar-SA"/>
              </w:rPr>
              <w:t>Milestone 1</w:t>
            </w:r>
          </w:p>
          <w:p w14:paraId="120F7EC8" w14:textId="2F9B5A3A" w:rsidR="000A655C" w:rsidRDefault="00C86626" w:rsidP="00F75798">
            <w:pPr>
              <w:widowControl/>
              <w:spacing w:line="276" w:lineRule="auto"/>
              <w:ind w:left="360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>E</w:t>
            </w:r>
            <w:r w:rsidR="00243B2E">
              <w:rPr>
                <w:color w:val="000000" w:themeColor="text1"/>
                <w:lang w:val="en-AU"/>
              </w:rPr>
              <w:t xml:space="preserve">ndorsement of the Joint Committee Monitoring Program Terms of Reference </w:t>
            </w:r>
            <w:r w:rsidR="00EF38E3">
              <w:rPr>
                <w:color w:val="000000" w:themeColor="text1"/>
                <w:lang w:val="en-AU"/>
              </w:rPr>
              <w:t>will be provided by each State and Territory</w:t>
            </w:r>
            <w:r w:rsidR="00E15BFD">
              <w:rPr>
                <w:color w:val="000000" w:themeColor="text1"/>
                <w:lang w:val="en-AU"/>
              </w:rPr>
              <w:t>.</w:t>
            </w:r>
            <w:r w:rsidR="00F75798">
              <w:rPr>
                <w:color w:val="000000" w:themeColor="text1"/>
                <w:lang w:val="en-AU"/>
              </w:rPr>
              <w:t xml:space="preserve"> Endorsement </w:t>
            </w:r>
            <w:r w:rsidR="006B35A2">
              <w:rPr>
                <w:color w:val="000000" w:themeColor="text1"/>
                <w:lang w:val="en-AU"/>
              </w:rPr>
              <w:t xml:space="preserve">by each Regulatory Authority </w:t>
            </w:r>
            <w:r w:rsidR="000A655C">
              <w:rPr>
                <w:color w:val="000000" w:themeColor="text1"/>
                <w:lang w:val="en-AU"/>
              </w:rPr>
              <w:t>means agreeing the purpose of the Committee is to:</w:t>
            </w:r>
          </w:p>
          <w:p w14:paraId="12860A1C" w14:textId="565C9989" w:rsidR="00E15BFD" w:rsidRPr="000A655C" w:rsidRDefault="00E15BFD" w:rsidP="000A655C">
            <w:pPr>
              <w:pStyle w:val="ListParagraph"/>
              <w:widowControl/>
              <w:numPr>
                <w:ilvl w:val="0"/>
                <w:numId w:val="22"/>
              </w:numPr>
              <w:spacing w:line="276" w:lineRule="auto"/>
              <w:rPr>
                <w:rFonts w:cs="Calibri"/>
              </w:rPr>
            </w:pPr>
            <w:r w:rsidRPr="000A655C">
              <w:rPr>
                <w:rFonts w:cs="Calibri"/>
              </w:rPr>
              <w:t>Facilitate national collaboration on regulatory priorities and compliance activities.</w:t>
            </w:r>
          </w:p>
          <w:p w14:paraId="3B3E89F9" w14:textId="77777777" w:rsidR="00E15BFD" w:rsidRPr="004C5EE2" w:rsidRDefault="00E15BFD" w:rsidP="00E15BFD">
            <w:pPr>
              <w:widowControl/>
              <w:numPr>
                <w:ilvl w:val="0"/>
                <w:numId w:val="34"/>
              </w:numPr>
              <w:spacing w:line="276" w:lineRule="auto"/>
              <w:rPr>
                <w:rFonts w:cs="Calibri"/>
              </w:rPr>
            </w:pPr>
            <w:r w:rsidRPr="004C5EE2">
              <w:rPr>
                <w:rFonts w:cs="Calibri"/>
              </w:rPr>
              <w:t>Enable intelligence sharing and alignment of compliance responses across jurisdictions.</w:t>
            </w:r>
          </w:p>
          <w:p w14:paraId="693FD8F7" w14:textId="77777777" w:rsidR="00E15BFD" w:rsidRPr="004C5EE2" w:rsidRDefault="00E15BFD" w:rsidP="00E15BFD">
            <w:pPr>
              <w:widowControl/>
              <w:numPr>
                <w:ilvl w:val="0"/>
                <w:numId w:val="34"/>
              </w:numPr>
              <w:spacing w:line="276" w:lineRule="auto"/>
              <w:rPr>
                <w:rFonts w:cs="Calibri"/>
              </w:rPr>
            </w:pPr>
            <w:r w:rsidRPr="004C5EE2">
              <w:rPr>
                <w:rFonts w:cs="Calibri"/>
              </w:rPr>
              <w:t>Strengthen system</w:t>
            </w:r>
            <w:r w:rsidRPr="004C5EE2">
              <w:rPr>
                <w:rFonts w:cs="Calibri"/>
              </w:rPr>
              <w:noBreakHyphen/>
              <w:t>wide integrity, safety, and risk</w:t>
            </w:r>
            <w:r w:rsidRPr="004C5EE2">
              <w:rPr>
                <w:rFonts w:cs="Calibri"/>
              </w:rPr>
              <w:noBreakHyphen/>
              <w:t>management approaches.</w:t>
            </w:r>
          </w:p>
          <w:p w14:paraId="51736ED2" w14:textId="77777777" w:rsidR="00E15BFD" w:rsidRPr="004C5EE2" w:rsidRDefault="00E15BFD" w:rsidP="00E15BFD">
            <w:pPr>
              <w:widowControl/>
              <w:numPr>
                <w:ilvl w:val="0"/>
                <w:numId w:val="34"/>
              </w:numPr>
              <w:spacing w:line="276" w:lineRule="auto"/>
              <w:rPr>
                <w:rFonts w:cs="Calibri"/>
              </w:rPr>
            </w:pPr>
            <w:r w:rsidRPr="004C5EE2">
              <w:rPr>
                <w:rFonts w:cs="Calibri"/>
              </w:rPr>
              <w:t>Support collective regulatory action on high</w:t>
            </w:r>
            <w:r w:rsidRPr="004C5EE2">
              <w:rPr>
                <w:rFonts w:cs="Calibri"/>
              </w:rPr>
              <w:noBreakHyphen/>
              <w:t>risk and multi</w:t>
            </w:r>
            <w:r w:rsidRPr="004C5EE2">
              <w:rPr>
                <w:rFonts w:cs="Calibri"/>
              </w:rPr>
              <w:noBreakHyphen/>
              <w:t>state providers.</w:t>
            </w:r>
          </w:p>
          <w:p w14:paraId="546F4821" w14:textId="77777777" w:rsidR="00E15BFD" w:rsidRPr="000F32B3" w:rsidRDefault="00E15BFD" w:rsidP="00E15BFD">
            <w:pPr>
              <w:widowControl/>
              <w:numPr>
                <w:ilvl w:val="0"/>
                <w:numId w:val="34"/>
              </w:numPr>
              <w:spacing w:line="276" w:lineRule="auto"/>
              <w:rPr>
                <w:rFonts w:cs="Calibri"/>
              </w:rPr>
            </w:pPr>
            <w:r w:rsidRPr="004C5EE2">
              <w:rPr>
                <w:rFonts w:cs="Calibri"/>
              </w:rPr>
              <w:t>Consolidate and guide joint compliance work occurring across states and territories.</w:t>
            </w:r>
          </w:p>
          <w:p w14:paraId="4181358C" w14:textId="4C2EEBA9" w:rsidR="00243B2E" w:rsidRDefault="00243B2E" w:rsidP="00EE7923">
            <w:pPr>
              <w:pStyle w:val="Milestonetable"/>
              <w:ind w:left="360"/>
              <w:rPr>
                <w:color w:val="000000" w:themeColor="text1"/>
                <w:sz w:val="22"/>
                <w:szCs w:val="22"/>
                <w:lang w:val="en-AU"/>
              </w:rPr>
            </w:pPr>
          </w:p>
          <w:p w14:paraId="17E6A27F" w14:textId="28518FA2" w:rsidR="00086D1C" w:rsidRPr="005A5D8E" w:rsidRDefault="00E21A6C" w:rsidP="00086D1C">
            <w:pPr>
              <w:pStyle w:val="CCSTableSum"/>
              <w:ind w:left="360"/>
              <w:jc w:val="left"/>
              <w:rPr>
                <w:rFonts w:ascii="Corbel" w:hAnsi="Corbel" w:cstheme="minorBidi"/>
                <w:b w:val="0"/>
                <w:lang w:val="en-US" w:eastAsia="en-US" w:bidi="ar-SA"/>
              </w:rPr>
            </w:pPr>
            <w:r>
              <w:rPr>
                <w:rFonts w:ascii="Corbel" w:hAnsi="Corbel" w:cstheme="minorBidi"/>
                <w:b w:val="0"/>
                <w:lang w:val="en-US" w:eastAsia="en-US" w:bidi="ar-SA"/>
              </w:rPr>
              <w:t>Reporting</w:t>
            </w:r>
            <w:r w:rsidR="00086D1C" w:rsidRPr="005A5D8E">
              <w:rPr>
                <w:rFonts w:ascii="Corbel" w:hAnsi="Corbel" w:cstheme="minorBidi"/>
                <w:b w:val="0"/>
                <w:lang w:val="en-US" w:eastAsia="en-US" w:bidi="ar-SA"/>
              </w:rPr>
              <w:t xml:space="preserve"> period ends </w:t>
            </w:r>
            <w:r w:rsidR="00EE7923">
              <w:rPr>
                <w:rFonts w:ascii="Corbel" w:hAnsi="Corbel" w:cstheme="minorBidi"/>
                <w:b w:val="0"/>
                <w:lang w:val="en-US" w:eastAsia="en-US" w:bidi="ar-SA"/>
              </w:rPr>
              <w:t xml:space="preserve">as </w:t>
            </w:r>
            <w:proofErr w:type="gramStart"/>
            <w:r w:rsidR="00086D1C" w:rsidRPr="005A5D8E">
              <w:rPr>
                <w:rFonts w:ascii="Corbel" w:hAnsi="Corbel" w:cstheme="minorBidi"/>
                <w:b w:val="0"/>
                <w:lang w:val="en-US" w:eastAsia="en-US" w:bidi="ar-SA"/>
              </w:rPr>
              <w:t>at</w:t>
            </w:r>
            <w:proofErr w:type="gramEnd"/>
            <w:r w:rsidR="00086D1C" w:rsidRPr="005A5D8E">
              <w:rPr>
                <w:rFonts w:ascii="Corbel" w:hAnsi="Corbel" w:cstheme="minorBidi"/>
                <w:b w:val="0"/>
                <w:lang w:val="en-US" w:eastAsia="en-US" w:bidi="ar-SA"/>
              </w:rPr>
              <w:t xml:space="preserve"> 31 March</w:t>
            </w:r>
            <w:r w:rsidR="00086D1C">
              <w:rPr>
                <w:rFonts w:ascii="Corbel" w:hAnsi="Corbel" w:cstheme="minorBidi"/>
                <w:b w:val="0"/>
                <w:lang w:val="en-US" w:eastAsia="en-US" w:bidi="ar-SA"/>
              </w:rPr>
              <w:t xml:space="preserve"> each year</w:t>
            </w:r>
            <w:r w:rsidR="00086D1C" w:rsidRPr="005A5D8E">
              <w:rPr>
                <w:rFonts w:ascii="Corbel" w:hAnsi="Corbel" w:cstheme="minorBidi"/>
                <w:b w:val="0"/>
                <w:lang w:val="en-US" w:eastAsia="en-US" w:bidi="ar-SA"/>
              </w:rPr>
              <w:t xml:space="preserve"> to allow for reports to be prepared, finalised and sent to the department by 30 April each year.  </w:t>
            </w:r>
          </w:p>
          <w:p w14:paraId="05F49A09" w14:textId="77777777" w:rsidR="00086D1C" w:rsidRDefault="00086D1C" w:rsidP="00086D1C">
            <w:pPr>
              <w:pStyle w:val="CCSTableSum"/>
              <w:ind w:left="360"/>
              <w:jc w:val="left"/>
              <w:rPr>
                <w:rFonts w:ascii="Corbel" w:hAnsi="Corbel" w:cstheme="minorBidi"/>
                <w:b w:val="0"/>
                <w:lang w:val="en-US" w:eastAsia="en-US" w:bidi="ar-SA"/>
              </w:rPr>
            </w:pPr>
            <w:r w:rsidRPr="005A5D8E">
              <w:rPr>
                <w:rFonts w:ascii="Corbel" w:hAnsi="Corbel" w:cstheme="minorBidi"/>
                <w:b w:val="0"/>
                <w:lang w:val="en-US" w:eastAsia="en-US" w:bidi="ar-SA"/>
              </w:rPr>
              <w:t>Reports will be due in accordance with the following schedule:</w:t>
            </w:r>
          </w:p>
          <w:p w14:paraId="13C61214" w14:textId="77777777" w:rsidR="00086D1C" w:rsidRPr="0098483F" w:rsidRDefault="00086D1C" w:rsidP="00086D1C">
            <w:pPr>
              <w:pStyle w:val="CCSTableSum"/>
              <w:ind w:left="360"/>
              <w:jc w:val="left"/>
              <w:rPr>
                <w:rFonts w:ascii="Corbel" w:hAnsi="Corbel" w:cstheme="minorBidi"/>
                <w:bCs/>
                <w:lang w:val="en-US" w:eastAsia="en-US" w:bidi="ar-SA"/>
              </w:rPr>
            </w:pPr>
            <w:r w:rsidRPr="0098483F">
              <w:rPr>
                <w:rFonts w:ascii="Corbel" w:hAnsi="Corbel" w:cstheme="minorBidi"/>
                <w:bCs/>
                <w:lang w:val="en-US" w:eastAsia="en-US" w:bidi="ar-SA"/>
              </w:rPr>
              <w:t>Milestone 2</w:t>
            </w:r>
          </w:p>
          <w:p w14:paraId="30B055B2" w14:textId="57F3D663" w:rsidR="00086D1C" w:rsidRDefault="00086D1C" w:rsidP="00606663">
            <w:pPr>
              <w:pStyle w:val="ListParagraph"/>
              <w:numPr>
                <w:ilvl w:val="0"/>
                <w:numId w:val="22"/>
              </w:numPr>
              <w:rPr>
                <w:rFonts w:ascii="Corbel" w:hAnsi="Corbel"/>
              </w:rPr>
            </w:pPr>
            <w:r w:rsidRPr="005A5D8E">
              <w:rPr>
                <w:rFonts w:ascii="Corbel" w:hAnsi="Corbel"/>
              </w:rPr>
              <w:t xml:space="preserve">Report 1 due on or before 30 April 2027 </w:t>
            </w:r>
            <w:r>
              <w:rPr>
                <w:rFonts w:ascii="Corbel" w:hAnsi="Corbel"/>
              </w:rPr>
              <w:t xml:space="preserve">covering the </w:t>
            </w:r>
            <w:r w:rsidRPr="005A5D8E">
              <w:rPr>
                <w:rFonts w:ascii="Corbel" w:hAnsi="Corbel"/>
              </w:rPr>
              <w:t xml:space="preserve">period from date </w:t>
            </w:r>
            <w:r>
              <w:rPr>
                <w:rFonts w:ascii="Corbel" w:hAnsi="Corbel"/>
              </w:rPr>
              <w:t xml:space="preserve">this </w:t>
            </w:r>
            <w:r w:rsidRPr="005A5D8E">
              <w:rPr>
                <w:rFonts w:ascii="Corbel" w:hAnsi="Corbel"/>
              </w:rPr>
              <w:t xml:space="preserve">Schedule is </w:t>
            </w:r>
            <w:r w:rsidR="00224E88">
              <w:rPr>
                <w:rFonts w:ascii="Corbel" w:hAnsi="Corbel"/>
              </w:rPr>
              <w:t>executed</w:t>
            </w:r>
            <w:r w:rsidRPr="005A5D8E">
              <w:rPr>
                <w:rFonts w:ascii="Corbel" w:hAnsi="Corbel"/>
              </w:rPr>
              <w:t xml:space="preserve"> to 3</w:t>
            </w:r>
            <w:r>
              <w:rPr>
                <w:rFonts w:ascii="Corbel" w:hAnsi="Corbel"/>
              </w:rPr>
              <w:t>1</w:t>
            </w:r>
            <w:r w:rsidRPr="005A5D8E">
              <w:rPr>
                <w:rFonts w:ascii="Corbel" w:hAnsi="Corbel"/>
              </w:rPr>
              <w:t xml:space="preserve"> March 2027</w:t>
            </w:r>
            <w:r>
              <w:rPr>
                <w:rFonts w:ascii="Corbel" w:hAnsi="Corbel"/>
              </w:rPr>
              <w:t>.</w:t>
            </w:r>
          </w:p>
          <w:p w14:paraId="77D44BA0" w14:textId="77777777" w:rsidR="00086D1C" w:rsidRPr="0098483F" w:rsidRDefault="00086D1C" w:rsidP="00086D1C">
            <w:pPr>
              <w:ind w:left="360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br/>
            </w:r>
            <w:r w:rsidRPr="0098483F">
              <w:rPr>
                <w:rFonts w:ascii="Corbel" w:hAnsi="Corbel"/>
                <w:b/>
                <w:bCs/>
              </w:rPr>
              <w:t>Milestone 3</w:t>
            </w:r>
          </w:p>
          <w:p w14:paraId="266641A5" w14:textId="77777777" w:rsidR="00086D1C" w:rsidRDefault="00086D1C" w:rsidP="00606663">
            <w:pPr>
              <w:pStyle w:val="ListParagraph"/>
              <w:numPr>
                <w:ilvl w:val="0"/>
                <w:numId w:val="22"/>
              </w:numPr>
              <w:rPr>
                <w:rFonts w:ascii="Corbel" w:hAnsi="Corbel"/>
              </w:rPr>
            </w:pPr>
            <w:r w:rsidRPr="005A5D8E">
              <w:rPr>
                <w:rFonts w:ascii="Corbel" w:hAnsi="Corbel"/>
              </w:rPr>
              <w:t>Report 2 due on or before 30 April 2028 covering period 1 April 2027 to 3</w:t>
            </w:r>
            <w:r>
              <w:rPr>
                <w:rFonts w:ascii="Corbel" w:hAnsi="Corbel"/>
              </w:rPr>
              <w:t>1</w:t>
            </w:r>
            <w:r w:rsidRPr="005A5D8E">
              <w:rPr>
                <w:rFonts w:ascii="Corbel" w:hAnsi="Corbel"/>
              </w:rPr>
              <w:t xml:space="preserve"> March 2028</w:t>
            </w:r>
            <w:r>
              <w:rPr>
                <w:rFonts w:ascii="Corbel" w:hAnsi="Corbel"/>
              </w:rPr>
              <w:t>.</w:t>
            </w:r>
            <w:r>
              <w:rPr>
                <w:rFonts w:ascii="Corbel" w:hAnsi="Corbel"/>
              </w:rPr>
              <w:br/>
            </w:r>
          </w:p>
          <w:p w14:paraId="3BF12EFC" w14:textId="77777777" w:rsidR="00086D1C" w:rsidRPr="00AB7D0A" w:rsidRDefault="00086D1C" w:rsidP="00086D1C">
            <w:pPr>
              <w:ind w:left="360"/>
              <w:rPr>
                <w:rFonts w:ascii="Corbel" w:hAnsi="Corbel"/>
              </w:rPr>
            </w:pPr>
            <w:r>
              <w:rPr>
                <w:rFonts w:ascii="Corbel" w:hAnsi="Corbel"/>
              </w:rPr>
              <w:t>Milestone 4</w:t>
            </w:r>
          </w:p>
          <w:p w14:paraId="2EA43D6F" w14:textId="77777777" w:rsidR="00086D1C" w:rsidRPr="005A5D8E" w:rsidRDefault="00086D1C" w:rsidP="00606663">
            <w:pPr>
              <w:pStyle w:val="ListParagraph"/>
              <w:numPr>
                <w:ilvl w:val="0"/>
                <w:numId w:val="22"/>
              </w:numPr>
              <w:rPr>
                <w:rFonts w:ascii="Corbel" w:hAnsi="Corbel"/>
              </w:rPr>
            </w:pPr>
            <w:r w:rsidRPr="005A5D8E">
              <w:rPr>
                <w:rFonts w:ascii="Corbel" w:hAnsi="Corbel"/>
              </w:rPr>
              <w:t>Report 3 due on or before 30 April 2029 covering period 1 April 2028 to 3</w:t>
            </w:r>
            <w:r>
              <w:rPr>
                <w:rFonts w:ascii="Corbel" w:hAnsi="Corbel"/>
              </w:rPr>
              <w:t>1</w:t>
            </w:r>
            <w:r w:rsidRPr="005A5D8E">
              <w:rPr>
                <w:rFonts w:ascii="Corbel" w:hAnsi="Corbel"/>
              </w:rPr>
              <w:t xml:space="preserve"> March 2029</w:t>
            </w:r>
          </w:p>
          <w:p w14:paraId="098361C6" w14:textId="77777777" w:rsidR="00C91B5F" w:rsidRDefault="00C91B5F" w:rsidP="00490BC5">
            <w:pPr>
              <w:rPr>
                <w:i/>
              </w:rPr>
            </w:pPr>
          </w:p>
          <w:p w14:paraId="70AD5F3B" w14:textId="68535CF1" w:rsidR="00BA1310" w:rsidRDefault="000C4980" w:rsidP="00143C70">
            <w:pPr>
              <w:pStyle w:val="CCSTableSum"/>
              <w:ind w:left="360"/>
              <w:jc w:val="left"/>
              <w:rPr>
                <w:rFonts w:ascii="Corbel" w:hAnsi="Corbel" w:cstheme="minorBidi"/>
                <w:bCs/>
                <w:lang w:eastAsia="en-US" w:bidi="ar-SA"/>
              </w:rPr>
            </w:pPr>
            <w:r w:rsidRPr="00143C70">
              <w:rPr>
                <w:rFonts w:ascii="Corbel" w:hAnsi="Corbel" w:cstheme="minorBidi"/>
                <w:bCs/>
                <w:lang w:eastAsia="en-US" w:bidi="ar-SA"/>
              </w:rPr>
              <w:t>Agreed Metrics</w:t>
            </w:r>
          </w:p>
          <w:p w14:paraId="4B19DBE0" w14:textId="77777777" w:rsidR="00A7126F" w:rsidRDefault="00A7126F" w:rsidP="00A7126F">
            <w:pPr>
              <w:pStyle w:val="CCSTableSum"/>
              <w:ind w:left="360"/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</w:p>
          <w:p w14:paraId="2A37A20D" w14:textId="394FF294" w:rsidR="00A7126F" w:rsidRPr="008C0946" w:rsidRDefault="00A7126F" w:rsidP="00A7126F">
            <w:pPr>
              <w:pStyle w:val="CCSTableSum"/>
              <w:ind w:left="360"/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8C0946">
              <w:rPr>
                <w:rFonts w:ascii="Corbel" w:hAnsi="Corbel" w:cstheme="minorBidi"/>
                <w:b w:val="0"/>
                <w:lang w:eastAsia="en-US" w:bidi="ar-SA"/>
              </w:rPr>
              <w:t>For Milestones 2, 3 and 4</w:t>
            </w:r>
          </w:p>
          <w:p w14:paraId="5D9D8EF0" w14:textId="64B3390F" w:rsidR="00A7126F" w:rsidRPr="00C227DF" w:rsidRDefault="00A7126F" w:rsidP="00EE7923">
            <w:pPr>
              <w:pStyle w:val="Milestonetable"/>
              <w:ind w:left="360"/>
              <w:rPr>
                <w:i/>
                <w:iCs w:val="0"/>
                <w:color w:val="000000" w:themeColor="text1"/>
                <w:sz w:val="22"/>
                <w:szCs w:val="22"/>
                <w:lang w:val="en-AU"/>
              </w:rPr>
            </w:pPr>
            <w:r w:rsidRPr="00C227DF">
              <w:rPr>
                <w:i/>
                <w:iCs w:val="0"/>
                <w:color w:val="000000" w:themeColor="text1"/>
                <w:sz w:val="22"/>
                <w:szCs w:val="22"/>
                <w:lang w:val="en-AU"/>
              </w:rPr>
              <w:t xml:space="preserve">These </w:t>
            </w:r>
            <w:r w:rsidR="00840794" w:rsidRPr="00C227DF">
              <w:rPr>
                <w:i/>
                <w:iCs w:val="0"/>
                <w:color w:val="000000" w:themeColor="text1"/>
                <w:sz w:val="22"/>
                <w:szCs w:val="22"/>
                <w:lang w:val="en-AU"/>
              </w:rPr>
              <w:t xml:space="preserve">following </w:t>
            </w:r>
            <w:r w:rsidRPr="00C227DF">
              <w:rPr>
                <w:i/>
                <w:iCs w:val="0"/>
                <w:color w:val="000000" w:themeColor="text1"/>
                <w:sz w:val="22"/>
                <w:szCs w:val="22"/>
                <w:lang w:val="en-AU"/>
              </w:rPr>
              <w:t xml:space="preserve">metrics will be circulated for agreement by the Committee on or before 30 </w:t>
            </w:r>
            <w:r w:rsidR="006F1880">
              <w:rPr>
                <w:i/>
                <w:iCs w:val="0"/>
                <w:color w:val="000000" w:themeColor="text1"/>
                <w:sz w:val="22"/>
                <w:szCs w:val="22"/>
                <w:lang w:val="en-AU"/>
              </w:rPr>
              <w:t>April</w:t>
            </w:r>
            <w:r w:rsidR="006F1880" w:rsidRPr="00C227DF">
              <w:rPr>
                <w:i/>
                <w:iCs w:val="0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C227DF">
              <w:rPr>
                <w:i/>
                <w:iCs w:val="0"/>
                <w:color w:val="000000" w:themeColor="text1"/>
                <w:sz w:val="22"/>
                <w:szCs w:val="22"/>
                <w:lang w:val="en-AU"/>
              </w:rPr>
              <w:t xml:space="preserve">2026. </w:t>
            </w:r>
          </w:p>
          <w:p w14:paraId="1274C912" w14:textId="77777777" w:rsidR="00071CC0" w:rsidRPr="008C0946" w:rsidRDefault="00071CC0" w:rsidP="00143C70">
            <w:pPr>
              <w:pStyle w:val="CCSTableSum"/>
              <w:ind w:left="360"/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</w:p>
          <w:p w14:paraId="63FC4F1E" w14:textId="11E94C5C" w:rsidR="00A46572" w:rsidRPr="008C0946" w:rsidRDefault="0003591E" w:rsidP="00143C70">
            <w:pPr>
              <w:pStyle w:val="CCSTableSum"/>
              <w:ind w:left="360"/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To </w:t>
            </w:r>
            <w:r w:rsidR="004E648B">
              <w:rPr>
                <w:rFonts w:ascii="Corbel" w:hAnsi="Corbel" w:cstheme="minorBidi"/>
                <w:b w:val="0"/>
                <w:lang w:eastAsia="en-US" w:bidi="ar-SA"/>
              </w:rPr>
              <w:t>measure</w:t>
            </w:r>
            <w:r w:rsidR="001A4A67"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 timeliness, </w:t>
            </w:r>
            <w:r w:rsidR="0069754B" w:rsidRPr="008C0946">
              <w:rPr>
                <w:rFonts w:ascii="Corbel" w:hAnsi="Corbel" w:cstheme="minorBidi"/>
                <w:b w:val="0"/>
                <w:lang w:eastAsia="en-US" w:bidi="ar-SA"/>
              </w:rPr>
              <w:t>demonstrate the</w:t>
            </w:r>
            <w:r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 efficiency </w:t>
            </w:r>
            <w:r w:rsidR="008C0B69"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of </w:t>
            </w:r>
            <w:r w:rsidR="00C55D58"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triage </w:t>
            </w:r>
            <w:r w:rsidR="00C67D41" w:rsidRPr="008C0946">
              <w:rPr>
                <w:rFonts w:ascii="Corbel" w:hAnsi="Corbel" w:cstheme="minorBidi"/>
                <w:b w:val="0"/>
                <w:lang w:eastAsia="en-US" w:bidi="ar-SA"/>
              </w:rPr>
              <w:t>processes</w:t>
            </w:r>
            <w:r w:rsidR="009051DD">
              <w:rPr>
                <w:rFonts w:ascii="Corbel" w:hAnsi="Corbel" w:cstheme="minorBidi"/>
                <w:b w:val="0"/>
                <w:lang w:eastAsia="en-US" w:bidi="ar-SA"/>
              </w:rPr>
              <w:t xml:space="preserve"> and decision making</w:t>
            </w:r>
            <w:r w:rsidR="00A46572"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 </w:t>
            </w:r>
          </w:p>
          <w:p w14:paraId="75320E47" w14:textId="019C4B2B" w:rsidR="00DE4BF2" w:rsidRPr="008C0946" w:rsidRDefault="00C55D58" w:rsidP="00C7629F">
            <w:pPr>
              <w:pStyle w:val="CCSTableSum"/>
              <w:numPr>
                <w:ilvl w:val="0"/>
                <w:numId w:val="32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8C0946">
              <w:rPr>
                <w:rFonts w:ascii="Corbel" w:hAnsi="Corbel" w:cstheme="minorBidi"/>
                <w:b w:val="0"/>
                <w:lang w:eastAsia="en-US" w:bidi="ar-SA"/>
              </w:rPr>
              <w:t>outline the t</w:t>
            </w:r>
            <w:r w:rsidR="00DE4BF2" w:rsidRPr="008C0946">
              <w:rPr>
                <w:rFonts w:ascii="Corbel" w:hAnsi="Corbel" w:cstheme="minorBidi"/>
                <w:b w:val="0"/>
                <w:lang w:eastAsia="en-US" w:bidi="ar-SA"/>
              </w:rPr>
              <w:t>ime of case identification to committee endorsement.</w:t>
            </w:r>
          </w:p>
          <w:p w14:paraId="401E406D" w14:textId="3324C457" w:rsidR="00F002D3" w:rsidRDefault="00DD4B91" w:rsidP="003F23DE">
            <w:pPr>
              <w:pStyle w:val="CCSTableSum"/>
              <w:numPr>
                <w:ilvl w:val="0"/>
                <w:numId w:val="32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>
              <w:rPr>
                <w:rFonts w:ascii="Corbel" w:hAnsi="Corbel" w:cstheme="minorBidi"/>
                <w:b w:val="0"/>
                <w:lang w:eastAsia="en-US" w:bidi="ar-SA"/>
              </w:rPr>
              <w:t xml:space="preserve">providing </w:t>
            </w:r>
            <w:r w:rsidR="00A46572" w:rsidRPr="008C0946">
              <w:rPr>
                <w:rFonts w:ascii="Corbel" w:hAnsi="Corbel" w:cstheme="minorBidi"/>
                <w:b w:val="0"/>
                <w:lang w:eastAsia="en-US" w:bidi="ar-SA"/>
              </w:rPr>
              <w:t>n</w:t>
            </w:r>
            <w:r w:rsidR="002F4582"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umber of working days between STRA/Commonwealth </w:t>
            </w:r>
            <w:r w:rsidR="00A46572" w:rsidRPr="008C0946">
              <w:rPr>
                <w:rFonts w:ascii="Corbel" w:hAnsi="Corbel" w:cstheme="minorBidi"/>
                <w:b w:val="0"/>
                <w:lang w:eastAsia="en-US" w:bidi="ar-SA"/>
              </w:rPr>
              <w:t>i</w:t>
            </w:r>
            <w:r w:rsidR="002F4582" w:rsidRPr="008C0946">
              <w:rPr>
                <w:rFonts w:ascii="Corbel" w:hAnsi="Corbel" w:cstheme="minorBidi"/>
                <w:b w:val="0"/>
                <w:lang w:eastAsia="en-US" w:bidi="ar-SA"/>
              </w:rPr>
              <w:t>dentifying a risk and the C</w:t>
            </w:r>
            <w:r w:rsidR="00A30D8F" w:rsidRPr="008C0946">
              <w:rPr>
                <w:rFonts w:ascii="Corbel" w:hAnsi="Corbel" w:cstheme="minorBidi"/>
                <w:b w:val="0"/>
                <w:lang w:eastAsia="en-US" w:bidi="ar-SA"/>
              </w:rPr>
              <w:t>ommittee endorsing a joint activit</w:t>
            </w:r>
            <w:r w:rsidR="003F23DE">
              <w:rPr>
                <w:rFonts w:ascii="Corbel" w:hAnsi="Corbel" w:cstheme="minorBidi"/>
                <w:b w:val="0"/>
                <w:lang w:eastAsia="en-US" w:bidi="ar-SA"/>
              </w:rPr>
              <w:t>y</w:t>
            </w:r>
            <w:r w:rsidR="0003591E" w:rsidRPr="003F23DE">
              <w:rPr>
                <w:rFonts w:ascii="Corbel" w:hAnsi="Corbel" w:cstheme="minorBidi"/>
                <w:b w:val="0"/>
                <w:lang w:eastAsia="en-US" w:bidi="ar-SA"/>
              </w:rPr>
              <w:t>.</w:t>
            </w:r>
            <w:r w:rsidR="00C94E2D" w:rsidRPr="003F23DE">
              <w:rPr>
                <w:rFonts w:ascii="Corbel" w:hAnsi="Corbel" w:cstheme="minorBidi"/>
                <w:b w:val="0"/>
                <w:lang w:eastAsia="en-US" w:bidi="ar-SA"/>
              </w:rPr>
              <w:t xml:space="preserve"> </w:t>
            </w:r>
          </w:p>
          <w:p w14:paraId="60299899" w14:textId="71BA593C" w:rsidR="003C1EC2" w:rsidRPr="003F23DE" w:rsidRDefault="00DD4B91" w:rsidP="003F23DE">
            <w:pPr>
              <w:pStyle w:val="CCSTableSum"/>
              <w:numPr>
                <w:ilvl w:val="0"/>
                <w:numId w:val="32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>
              <w:rPr>
                <w:rFonts w:ascii="Corbel" w:hAnsi="Corbel" w:cstheme="minorBidi"/>
                <w:b w:val="0"/>
                <w:lang w:eastAsia="en-US" w:bidi="ar-SA"/>
              </w:rPr>
              <w:t xml:space="preserve">providing </w:t>
            </w:r>
            <w:r w:rsidR="003C1EC2">
              <w:rPr>
                <w:rFonts w:ascii="Corbel" w:hAnsi="Corbel" w:cstheme="minorBidi"/>
                <w:b w:val="0"/>
                <w:lang w:eastAsia="en-US" w:bidi="ar-SA"/>
              </w:rPr>
              <w:t xml:space="preserve">number of </w:t>
            </w:r>
            <w:r w:rsidR="001A58F1">
              <w:rPr>
                <w:rFonts w:ascii="Corbel" w:hAnsi="Corbel" w:cstheme="minorBidi"/>
                <w:b w:val="0"/>
                <w:lang w:eastAsia="en-US" w:bidi="ar-SA"/>
              </w:rPr>
              <w:t>intel requests that led to joint investigations.</w:t>
            </w:r>
          </w:p>
          <w:p w14:paraId="6CFC1A53" w14:textId="77777777" w:rsidR="00C94E2D" w:rsidRPr="008C0946" w:rsidRDefault="00C94E2D" w:rsidP="00143C70">
            <w:pPr>
              <w:pStyle w:val="CCSTableSum"/>
              <w:ind w:left="360"/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</w:p>
          <w:p w14:paraId="47807FED" w14:textId="77777777" w:rsidR="005626EE" w:rsidRPr="008C0946" w:rsidRDefault="00A8314B" w:rsidP="00143C70">
            <w:pPr>
              <w:pStyle w:val="CCSTableSum"/>
              <w:ind w:left="360"/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8C0946">
              <w:rPr>
                <w:rFonts w:ascii="Corbel" w:hAnsi="Corbel" w:cstheme="minorBidi"/>
                <w:b w:val="0"/>
                <w:lang w:eastAsia="en-US" w:bidi="ar-SA"/>
              </w:rPr>
              <w:t>To measure c</w:t>
            </w:r>
            <w:r w:rsidR="003C2B63"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ompliance </w:t>
            </w:r>
            <w:r w:rsidRPr="008C0946">
              <w:rPr>
                <w:rFonts w:ascii="Corbel" w:hAnsi="Corbel" w:cstheme="minorBidi"/>
                <w:b w:val="0"/>
                <w:lang w:eastAsia="en-US" w:bidi="ar-SA"/>
              </w:rPr>
              <w:t>a</w:t>
            </w:r>
            <w:r w:rsidR="003C2B63" w:rsidRPr="008C0946">
              <w:rPr>
                <w:rFonts w:ascii="Corbel" w:hAnsi="Corbel" w:cstheme="minorBidi"/>
                <w:b w:val="0"/>
                <w:lang w:eastAsia="en-US" w:bidi="ar-SA"/>
              </w:rPr>
              <w:t>ction</w:t>
            </w:r>
            <w:r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, </w:t>
            </w:r>
            <w:r w:rsidR="00A06486" w:rsidRPr="008C0946">
              <w:rPr>
                <w:rFonts w:ascii="Corbel" w:hAnsi="Corbel" w:cstheme="minorBidi"/>
                <w:b w:val="0"/>
                <w:lang w:eastAsia="en-US" w:bidi="ar-SA"/>
              </w:rPr>
              <w:t>demonstrate workload and collaboration</w:t>
            </w:r>
            <w:r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 by</w:t>
            </w:r>
          </w:p>
          <w:p w14:paraId="7D66AEBC" w14:textId="36442B48" w:rsidR="005626EE" w:rsidRPr="008C0946" w:rsidRDefault="00A06486" w:rsidP="005626EE">
            <w:pPr>
              <w:pStyle w:val="CCSTableSum"/>
              <w:numPr>
                <w:ilvl w:val="0"/>
                <w:numId w:val="33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8C0946">
              <w:rPr>
                <w:rFonts w:ascii="Corbel" w:hAnsi="Corbel" w:cstheme="minorBidi"/>
                <w:b w:val="0"/>
                <w:lang w:eastAsia="en-US" w:bidi="ar-SA"/>
              </w:rPr>
              <w:t>provid</w:t>
            </w:r>
            <w:r w:rsidR="005626EE" w:rsidRPr="008C0946">
              <w:rPr>
                <w:rFonts w:ascii="Corbel" w:hAnsi="Corbel" w:cstheme="minorBidi"/>
                <w:b w:val="0"/>
                <w:lang w:eastAsia="en-US" w:bidi="ar-SA"/>
              </w:rPr>
              <w:t>ing</w:t>
            </w:r>
            <w:r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 number of joint investigations </w:t>
            </w:r>
            <w:r w:rsidR="00703317">
              <w:rPr>
                <w:rFonts w:ascii="Corbel" w:hAnsi="Corbel" w:cstheme="minorBidi"/>
                <w:b w:val="0"/>
                <w:lang w:eastAsia="en-US" w:bidi="ar-SA"/>
              </w:rPr>
              <w:t xml:space="preserve">endorsed </w:t>
            </w:r>
            <w:r w:rsidR="00A05584" w:rsidRPr="008C0946">
              <w:rPr>
                <w:rFonts w:ascii="Corbel" w:hAnsi="Corbel" w:cstheme="minorBidi"/>
                <w:b w:val="0"/>
                <w:lang w:eastAsia="en-US" w:bidi="ar-SA"/>
              </w:rPr>
              <w:t>each quarter.</w:t>
            </w:r>
          </w:p>
          <w:p w14:paraId="4106CF1A" w14:textId="5B5F7FDD" w:rsidR="00322635" w:rsidRDefault="005626EE" w:rsidP="00C7629F">
            <w:pPr>
              <w:pStyle w:val="CCSTableSum"/>
              <w:numPr>
                <w:ilvl w:val="0"/>
                <w:numId w:val="33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8C0946">
              <w:rPr>
                <w:rFonts w:ascii="Corbel" w:hAnsi="Corbel" w:cstheme="minorBidi"/>
                <w:b w:val="0"/>
                <w:lang w:eastAsia="en-US" w:bidi="ar-SA"/>
              </w:rPr>
              <w:t>providing</w:t>
            </w:r>
            <w:r w:rsidR="00754B25"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 number of </w:t>
            </w:r>
            <w:r w:rsidR="003246A6" w:rsidRPr="008C0946">
              <w:rPr>
                <w:rFonts w:ascii="Corbel" w:hAnsi="Corbel" w:cstheme="minorBidi"/>
                <w:b w:val="0"/>
                <w:lang w:eastAsia="en-US" w:bidi="ar-SA"/>
              </w:rPr>
              <w:t>joint compliance actions completed</w:t>
            </w:r>
            <w:r w:rsidR="00322635">
              <w:rPr>
                <w:rFonts w:ascii="Corbel" w:hAnsi="Corbel" w:cstheme="minorBidi"/>
                <w:b w:val="0"/>
                <w:lang w:eastAsia="en-US" w:bidi="ar-SA"/>
              </w:rPr>
              <w:t xml:space="preserve"> each quarter</w:t>
            </w:r>
          </w:p>
          <w:p w14:paraId="1BFD943C" w14:textId="09CB0BB7" w:rsidR="00A05584" w:rsidRDefault="00322635" w:rsidP="00C7629F">
            <w:pPr>
              <w:pStyle w:val="CCSTableSum"/>
              <w:numPr>
                <w:ilvl w:val="0"/>
                <w:numId w:val="33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>
              <w:rPr>
                <w:rFonts w:ascii="Corbel" w:hAnsi="Corbel" w:cstheme="minorBidi"/>
                <w:b w:val="0"/>
                <w:lang w:eastAsia="en-US" w:bidi="ar-SA"/>
              </w:rPr>
              <w:t>providing number of</w:t>
            </w:r>
            <w:r w:rsidR="003246A6"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 notices, conditions, sanctions, rectifications, site visits</w:t>
            </w:r>
            <w:r w:rsidR="00F67602">
              <w:rPr>
                <w:rFonts w:ascii="Corbel" w:hAnsi="Corbel" w:cstheme="minorBidi"/>
                <w:b w:val="0"/>
                <w:lang w:eastAsia="en-US" w:bidi="ar-SA"/>
              </w:rPr>
              <w:t xml:space="preserve"> each quarter.</w:t>
            </w:r>
          </w:p>
          <w:p w14:paraId="463CAEB8" w14:textId="66AC3C7E" w:rsidR="002B1EA3" w:rsidRPr="008C0946" w:rsidRDefault="00533E0C" w:rsidP="00C7629F">
            <w:pPr>
              <w:pStyle w:val="CCSTableSum"/>
              <w:numPr>
                <w:ilvl w:val="0"/>
                <w:numId w:val="33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>
              <w:rPr>
                <w:rFonts w:ascii="Corbel" w:hAnsi="Corbel" w:cstheme="minorBidi"/>
                <w:b w:val="0"/>
                <w:lang w:eastAsia="en-US" w:bidi="ar-SA"/>
              </w:rPr>
              <w:t>p</w:t>
            </w:r>
            <w:r w:rsidR="002B1EA3">
              <w:rPr>
                <w:rFonts w:ascii="Corbel" w:hAnsi="Corbel" w:cstheme="minorBidi"/>
                <w:b w:val="0"/>
                <w:lang w:eastAsia="en-US" w:bidi="ar-SA"/>
              </w:rPr>
              <w:t>roviding number of requests for information made by either the AG or S</w:t>
            </w:r>
            <w:r w:rsidR="007E104C">
              <w:rPr>
                <w:rFonts w:ascii="Corbel" w:hAnsi="Corbel" w:cstheme="minorBidi"/>
                <w:b w:val="0"/>
                <w:lang w:eastAsia="en-US" w:bidi="ar-SA"/>
              </w:rPr>
              <w:t>T</w:t>
            </w:r>
            <w:r w:rsidR="002B1EA3">
              <w:rPr>
                <w:rFonts w:ascii="Corbel" w:hAnsi="Corbel" w:cstheme="minorBidi"/>
                <w:b w:val="0"/>
                <w:lang w:eastAsia="en-US" w:bidi="ar-SA"/>
              </w:rPr>
              <w:t xml:space="preserve">RAs relating to joint activities. </w:t>
            </w:r>
          </w:p>
          <w:p w14:paraId="5FADC850" w14:textId="24CB7363" w:rsidR="00880BC6" w:rsidRDefault="00880BC6" w:rsidP="00143C70">
            <w:pPr>
              <w:pStyle w:val="CCSTableSum"/>
              <w:ind w:left="360"/>
              <w:jc w:val="left"/>
              <w:rPr>
                <w:rFonts w:ascii="Corbel" w:hAnsi="Corbel" w:cstheme="minorBidi"/>
                <w:bCs/>
                <w:lang w:eastAsia="en-US" w:bidi="ar-SA"/>
              </w:rPr>
            </w:pPr>
          </w:p>
          <w:p w14:paraId="739FD6D2" w14:textId="3CB564BC" w:rsidR="006448BE" w:rsidRPr="008C0946" w:rsidRDefault="000557D9" w:rsidP="00143C70">
            <w:pPr>
              <w:pStyle w:val="CCSTableSum"/>
              <w:ind w:left="360"/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To </w:t>
            </w:r>
            <w:r w:rsidR="00893081">
              <w:rPr>
                <w:rFonts w:ascii="Corbel" w:hAnsi="Corbel" w:cstheme="minorBidi"/>
                <w:b w:val="0"/>
                <w:lang w:eastAsia="en-US" w:bidi="ar-SA"/>
              </w:rPr>
              <w:t>measure</w:t>
            </w:r>
            <w:r w:rsidR="00F67602">
              <w:rPr>
                <w:rFonts w:ascii="Corbel" w:hAnsi="Corbel" w:cstheme="minorBidi"/>
                <w:b w:val="0"/>
                <w:lang w:eastAsia="en-US" w:bidi="ar-SA"/>
              </w:rPr>
              <w:t xml:space="preserve"> resolution</w:t>
            </w:r>
            <w:r w:rsidR="00893081">
              <w:rPr>
                <w:rFonts w:ascii="Corbel" w:hAnsi="Corbel" w:cstheme="minorBidi"/>
                <w:b w:val="0"/>
                <w:lang w:eastAsia="en-US" w:bidi="ar-SA"/>
              </w:rPr>
              <w:t xml:space="preserve"> of joint activities </w:t>
            </w:r>
          </w:p>
          <w:p w14:paraId="2024CAAB" w14:textId="46B76312" w:rsidR="00880BC6" w:rsidRDefault="004202C1" w:rsidP="006448BE">
            <w:pPr>
              <w:pStyle w:val="CCSTableSum"/>
              <w:numPr>
                <w:ilvl w:val="0"/>
                <w:numId w:val="29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>
              <w:rPr>
                <w:rFonts w:ascii="Corbel" w:hAnsi="Corbel" w:cstheme="minorBidi"/>
                <w:b w:val="0"/>
                <w:lang w:eastAsia="en-US" w:bidi="ar-SA"/>
              </w:rPr>
              <w:t xml:space="preserve">provide </w:t>
            </w:r>
            <w:r w:rsidR="000557D9" w:rsidRPr="008C0946">
              <w:rPr>
                <w:rFonts w:ascii="Corbel" w:hAnsi="Corbel" w:cstheme="minorBidi"/>
                <w:b w:val="0"/>
                <w:lang w:eastAsia="en-US" w:bidi="ar-SA"/>
              </w:rPr>
              <w:t>percentage of joint cases closed in the quarter</w:t>
            </w:r>
          </w:p>
          <w:p w14:paraId="195FED9F" w14:textId="1522442B" w:rsidR="00271F0A" w:rsidRPr="008C0946" w:rsidRDefault="00CE385C" w:rsidP="006448BE">
            <w:pPr>
              <w:pStyle w:val="CCSTableSum"/>
              <w:numPr>
                <w:ilvl w:val="0"/>
                <w:numId w:val="29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>
              <w:rPr>
                <w:rFonts w:ascii="Corbel" w:hAnsi="Corbel" w:cstheme="minorBidi"/>
                <w:b w:val="0"/>
                <w:lang w:eastAsia="en-US" w:bidi="ar-SA"/>
              </w:rPr>
              <w:t>provide total number of joint cases processed</w:t>
            </w:r>
            <w:r w:rsidR="005F35E0">
              <w:rPr>
                <w:rFonts w:ascii="Corbel" w:hAnsi="Corbel" w:cstheme="minorBidi"/>
                <w:b w:val="0"/>
                <w:lang w:eastAsia="en-US" w:bidi="ar-SA"/>
              </w:rPr>
              <w:t xml:space="preserve"> (closed and ongoing) in the quarter.</w:t>
            </w:r>
          </w:p>
          <w:p w14:paraId="1806DC43" w14:textId="77777777" w:rsidR="0065251A" w:rsidRPr="008C0946" w:rsidRDefault="0065251A" w:rsidP="00450CB2">
            <w:pPr>
              <w:pStyle w:val="CCSTableSum"/>
              <w:ind w:left="360"/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</w:p>
          <w:p w14:paraId="1D046A33" w14:textId="39177BBF" w:rsidR="00450CB2" w:rsidRPr="008C0946" w:rsidRDefault="004E648B" w:rsidP="00450CB2">
            <w:pPr>
              <w:pStyle w:val="CCSTableSum"/>
              <w:ind w:left="360"/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>
              <w:rPr>
                <w:rFonts w:ascii="Corbel" w:hAnsi="Corbel" w:cstheme="minorBidi"/>
                <w:b w:val="0"/>
                <w:lang w:eastAsia="en-US" w:bidi="ar-SA"/>
              </w:rPr>
              <w:t xml:space="preserve">To measure </w:t>
            </w:r>
            <w:r w:rsidR="008466A1"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effectiveness </w:t>
            </w:r>
            <w:r>
              <w:rPr>
                <w:rFonts w:ascii="Corbel" w:hAnsi="Corbel" w:cstheme="minorBidi"/>
                <w:b w:val="0"/>
                <w:lang w:eastAsia="en-US" w:bidi="ar-SA"/>
              </w:rPr>
              <w:t>of</w:t>
            </w:r>
            <w:r w:rsidR="008466A1"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 compliance outcome</w:t>
            </w:r>
            <w:r w:rsidR="00FA7C73" w:rsidRPr="008C0946">
              <w:rPr>
                <w:rFonts w:ascii="Corbel" w:hAnsi="Corbel" w:cstheme="minorBidi"/>
                <w:b w:val="0"/>
                <w:lang w:eastAsia="en-US" w:bidi="ar-SA"/>
              </w:rPr>
              <w:t>s, show</w:t>
            </w:r>
          </w:p>
          <w:p w14:paraId="1CC62590" w14:textId="77777777" w:rsidR="00FE17EF" w:rsidRDefault="00FA7C73" w:rsidP="00ED3762">
            <w:pPr>
              <w:pStyle w:val="CCSTableSum"/>
              <w:numPr>
                <w:ilvl w:val="0"/>
                <w:numId w:val="31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ED3762">
              <w:rPr>
                <w:rFonts w:ascii="Corbel" w:hAnsi="Corbel" w:cstheme="minorBidi"/>
                <w:b w:val="0"/>
                <w:lang w:eastAsia="en-US" w:bidi="ar-SA"/>
              </w:rPr>
              <w:lastRenderedPageBreak/>
              <w:t>percentage of cases</w:t>
            </w:r>
            <w:r w:rsidR="00063F53" w:rsidRPr="00ED3762">
              <w:rPr>
                <w:rFonts w:ascii="Corbel" w:hAnsi="Corbel" w:cstheme="minorBidi"/>
                <w:b w:val="0"/>
                <w:lang w:eastAsia="en-US" w:bidi="ar-SA"/>
              </w:rPr>
              <w:t xml:space="preserve"> identifying non-compliance that required further action</w:t>
            </w:r>
            <w:r w:rsidR="00FE17EF">
              <w:rPr>
                <w:rFonts w:ascii="Corbel" w:hAnsi="Corbel" w:cstheme="minorBidi"/>
                <w:b w:val="0"/>
                <w:lang w:eastAsia="en-US" w:bidi="ar-SA"/>
              </w:rPr>
              <w:t>.</w:t>
            </w:r>
          </w:p>
          <w:p w14:paraId="58523C3E" w14:textId="0B6BD0E2" w:rsidR="00450E7A" w:rsidRPr="00ED3762" w:rsidRDefault="00B37D89" w:rsidP="00ED3762">
            <w:pPr>
              <w:pStyle w:val="CCSTableSum"/>
              <w:numPr>
                <w:ilvl w:val="0"/>
                <w:numId w:val="31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ED3762">
              <w:rPr>
                <w:rFonts w:ascii="Corbel" w:hAnsi="Corbel" w:cstheme="minorBidi"/>
                <w:b w:val="0"/>
                <w:lang w:eastAsia="en-US" w:bidi="ar-SA"/>
              </w:rPr>
              <w:t xml:space="preserve">percentage of </w:t>
            </w:r>
            <w:r w:rsidR="00031D16" w:rsidRPr="00ED3762">
              <w:rPr>
                <w:rFonts w:ascii="Corbel" w:hAnsi="Corbel" w:cstheme="minorBidi"/>
                <w:b w:val="0"/>
                <w:lang w:eastAsia="en-US" w:bidi="ar-SA"/>
              </w:rPr>
              <w:t xml:space="preserve">required rectifications completed </w:t>
            </w:r>
            <w:r w:rsidR="001B4CC8">
              <w:rPr>
                <w:rFonts w:ascii="Corbel" w:hAnsi="Corbel" w:cstheme="minorBidi"/>
                <w:b w:val="0"/>
                <w:lang w:eastAsia="en-US" w:bidi="ar-SA"/>
              </w:rPr>
              <w:t xml:space="preserve">within mandated time. </w:t>
            </w:r>
          </w:p>
          <w:p w14:paraId="73DD5C85" w14:textId="4F759C00" w:rsidR="00031D16" w:rsidRPr="008C0946" w:rsidRDefault="00031D16" w:rsidP="00B37D89">
            <w:pPr>
              <w:pStyle w:val="CCSTableSum"/>
              <w:numPr>
                <w:ilvl w:val="0"/>
                <w:numId w:val="31"/>
              </w:numPr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  <w:r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Percentage of </w:t>
            </w:r>
            <w:r w:rsidR="00510AFD" w:rsidRPr="008C0946">
              <w:rPr>
                <w:rFonts w:ascii="Corbel" w:hAnsi="Corbel" w:cstheme="minorBidi"/>
                <w:b w:val="0"/>
                <w:lang w:eastAsia="en-US" w:bidi="ar-SA"/>
              </w:rPr>
              <w:t>providers</w:t>
            </w:r>
            <w:r w:rsidR="006B33F2">
              <w:rPr>
                <w:rFonts w:ascii="Corbel" w:hAnsi="Corbel" w:cstheme="minorBidi"/>
                <w:b w:val="0"/>
                <w:lang w:eastAsia="en-US" w:bidi="ar-SA"/>
              </w:rPr>
              <w:t xml:space="preserve"> who have fewer repeated</w:t>
            </w:r>
            <w:r w:rsidR="001B1C38">
              <w:rPr>
                <w:rFonts w:ascii="Corbel" w:hAnsi="Corbel" w:cstheme="minorBidi"/>
                <w:b w:val="0"/>
                <w:lang w:eastAsia="en-US" w:bidi="ar-SA"/>
              </w:rPr>
              <w:t xml:space="preserve"> offences recorded within 12 months (at the same service)</w:t>
            </w:r>
            <w:r w:rsidR="00510AFD" w:rsidRPr="008C0946">
              <w:rPr>
                <w:rFonts w:ascii="Corbel" w:hAnsi="Corbel" w:cstheme="minorBidi"/>
                <w:b w:val="0"/>
                <w:lang w:eastAsia="en-US" w:bidi="ar-SA"/>
              </w:rPr>
              <w:t xml:space="preserve"> </w:t>
            </w:r>
          </w:p>
          <w:p w14:paraId="54C7D98D" w14:textId="269216F0" w:rsidR="00510AFD" w:rsidRPr="008C0946" w:rsidRDefault="00510AFD" w:rsidP="00863B61">
            <w:pPr>
              <w:pStyle w:val="CCSTableSum"/>
              <w:ind w:left="1080"/>
              <w:jc w:val="left"/>
              <w:rPr>
                <w:rFonts w:ascii="Corbel" w:hAnsi="Corbel" w:cstheme="minorBidi"/>
                <w:b w:val="0"/>
                <w:lang w:eastAsia="en-US" w:bidi="ar-SA"/>
              </w:rPr>
            </w:pPr>
          </w:p>
          <w:p w14:paraId="681A6827" w14:textId="61217885" w:rsidR="005B6F09" w:rsidRPr="00B8013B" w:rsidRDefault="005B6F09" w:rsidP="00143C70">
            <w:pPr>
              <w:pStyle w:val="CCSTableSum"/>
              <w:ind w:left="360"/>
              <w:jc w:val="left"/>
              <w:rPr>
                <w:rFonts w:ascii="Corbel" w:hAnsi="Corbel" w:cstheme="minorBidi"/>
                <w:bCs/>
                <w:lang w:eastAsia="en-US" w:bidi="ar-SA"/>
              </w:rPr>
            </w:pPr>
          </w:p>
          <w:p w14:paraId="679D8AD4" w14:textId="1C7FBCE4" w:rsidR="00BA1310" w:rsidRPr="00F00A18" w:rsidRDefault="00BA1310" w:rsidP="00C7629F">
            <w:pPr>
              <w:pStyle w:val="CCSTableSum"/>
              <w:ind w:left="360"/>
              <w:jc w:val="left"/>
              <w:rPr>
                <w:i/>
              </w:rPr>
            </w:pPr>
          </w:p>
        </w:tc>
      </w:tr>
      <w:tr w:rsidR="00534E1F" w:rsidRPr="00F00A18" w14:paraId="0B1CB9A2" w14:textId="77777777" w:rsidTr="0030658F">
        <w:tc>
          <w:tcPr>
            <w:tcW w:w="1985" w:type="dxa"/>
          </w:tcPr>
          <w:p w14:paraId="6506ABAC" w14:textId="77777777" w:rsidR="00534E1F" w:rsidRPr="00F00A18" w:rsidRDefault="00534E1F" w:rsidP="00953AB3">
            <w:pPr>
              <w:pStyle w:val="Tableformat"/>
              <w:rPr>
                <w:color w:val="auto"/>
              </w:rPr>
            </w:pPr>
          </w:p>
        </w:tc>
        <w:tc>
          <w:tcPr>
            <w:tcW w:w="8789" w:type="dxa"/>
          </w:tcPr>
          <w:p w14:paraId="4BF4D859" w14:textId="77777777" w:rsidR="00534E1F" w:rsidRDefault="00534E1F" w:rsidP="00F0776C">
            <w:pPr>
              <w:pStyle w:val="Heading5"/>
              <w:rPr>
                <w:rFonts w:ascii="Corbel" w:hAnsi="Corbel"/>
                <w:color w:val="000000" w:themeColor="text1"/>
                <w:lang w:val="en-AU"/>
              </w:rPr>
            </w:pPr>
          </w:p>
        </w:tc>
      </w:tr>
    </w:tbl>
    <w:p w14:paraId="3CA07E3E" w14:textId="77777777" w:rsidR="00C91B5F" w:rsidRPr="00F00A18" w:rsidRDefault="00C91B5F" w:rsidP="00C91B5F"/>
    <w:p w14:paraId="7417F48D" w14:textId="77777777" w:rsidR="00C91B5F" w:rsidRPr="00F00A18" w:rsidRDefault="00C91B5F" w:rsidP="00C91B5F">
      <w:pPr>
        <w:sectPr w:rsidR="00C91B5F" w:rsidRPr="00F00A18" w:rsidSect="00E05EF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440" w:bottom="1440" w:left="1440" w:header="709" w:footer="709" w:gutter="0"/>
          <w:pgNumType w:chapStyle="9"/>
          <w:cols w:space="708"/>
          <w:titlePg/>
          <w:docGrid w:linePitch="360"/>
        </w:sectPr>
      </w:pPr>
    </w:p>
    <w:p w14:paraId="3CA5FCAF" w14:textId="77777777" w:rsidR="00C91B5F" w:rsidRDefault="00C91B5F" w:rsidP="00C91B5F"/>
    <w:tbl>
      <w:tblPr>
        <w:tblW w:w="5306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7939"/>
        <w:gridCol w:w="2551"/>
        <w:gridCol w:w="2834"/>
      </w:tblGrid>
      <w:tr w:rsidR="00105BDC" w:rsidRPr="00F00A18" w14:paraId="6153B855" w14:textId="0832E5B0" w:rsidTr="007631B1">
        <w:tc>
          <w:tcPr>
            <w:tcW w:w="15440" w:type="dxa"/>
            <w:gridSpan w:val="4"/>
            <w:shd w:val="clear" w:color="auto" w:fill="DEEAF6" w:themeFill="accent1" w:themeFillTint="33"/>
          </w:tcPr>
          <w:p w14:paraId="23A24A09" w14:textId="6D9C8B91" w:rsidR="00105BDC" w:rsidRPr="00F00A18" w:rsidRDefault="00105BDC" w:rsidP="00273CF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2</w:t>
            </w:r>
            <w:r w:rsidR="005B4451">
              <w:rPr>
                <w:b/>
                <w:color w:val="auto"/>
              </w:rPr>
              <w:t>A</w:t>
            </w:r>
            <w:r w:rsidRPr="00F00A18">
              <w:rPr>
                <w:b/>
                <w:color w:val="auto"/>
              </w:rPr>
              <w:t>:</w:t>
            </w:r>
            <w:r w:rsidR="00C3210E">
              <w:rPr>
                <w:b/>
                <w:color w:val="auto"/>
              </w:rPr>
              <w:t xml:space="preserve"> </w:t>
            </w:r>
            <w:r w:rsidR="00BD6D77" w:rsidDel="0005716E">
              <w:rPr>
                <w:b/>
                <w:color w:val="auto"/>
              </w:rPr>
              <w:t>New South Wales</w:t>
            </w:r>
            <w:r w:rsidR="0046090A" w:rsidDel="0005716E">
              <w:rPr>
                <w:b/>
                <w:color w:val="auto"/>
              </w:rPr>
              <w:t xml:space="preserve"> (NSW)</w:t>
            </w:r>
            <w:r w:rsidR="00BD6D77">
              <w:rPr>
                <w:b/>
                <w:color w:val="auto"/>
              </w:rPr>
              <w:t xml:space="preserve"> </w:t>
            </w:r>
            <w:r w:rsidRPr="00F00A18">
              <w:rPr>
                <w:b/>
                <w:color w:val="auto"/>
              </w:rPr>
              <w:t>Performance requirements, reporting and payment summary</w:t>
            </w:r>
          </w:p>
        </w:tc>
      </w:tr>
      <w:tr w:rsidR="0083677F" w:rsidRPr="00F00A18" w14:paraId="0EDB6059" w14:textId="2084E0E1" w:rsidTr="007631B1">
        <w:tc>
          <w:tcPr>
            <w:tcW w:w="2116" w:type="dxa"/>
            <w:shd w:val="clear" w:color="auto" w:fill="F2F2F2" w:themeFill="background1" w:themeFillShade="F2"/>
          </w:tcPr>
          <w:p w14:paraId="63D372D6" w14:textId="26D17048" w:rsidR="00A467B9" w:rsidRPr="00F00A18" w:rsidRDefault="00A467B9" w:rsidP="00A467B9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Output</w:t>
            </w:r>
          </w:p>
        </w:tc>
        <w:tc>
          <w:tcPr>
            <w:tcW w:w="7939" w:type="dxa"/>
            <w:shd w:val="clear" w:color="auto" w:fill="F2F2F2" w:themeFill="background1" w:themeFillShade="F2"/>
          </w:tcPr>
          <w:p w14:paraId="41E97367" w14:textId="4BCD3952" w:rsidR="00A467B9" w:rsidRPr="00F00A18" w:rsidRDefault="00A467B9" w:rsidP="00A467B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3FD1355" w14:textId="517731A6" w:rsidR="00A467B9" w:rsidRPr="00F00A18" w:rsidRDefault="00446F8B" w:rsidP="00A467B9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</w:t>
            </w:r>
            <w:r w:rsidR="00A467B9" w:rsidRPr="00F00A18">
              <w:rPr>
                <w:b/>
                <w:color w:val="auto"/>
              </w:rPr>
              <w:t>ue</w:t>
            </w:r>
          </w:p>
        </w:tc>
        <w:tc>
          <w:tcPr>
            <w:tcW w:w="2834" w:type="dxa"/>
            <w:shd w:val="clear" w:color="auto" w:fill="F2F2F2" w:themeFill="background1" w:themeFillShade="F2"/>
          </w:tcPr>
          <w:p w14:paraId="24B3E7EA" w14:textId="10C1FF02" w:rsidR="00A467B9" w:rsidRPr="00F00A18" w:rsidRDefault="00A467B9" w:rsidP="00A467B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8A183F" w:rsidRPr="005D48A5" w14:paraId="23FA6E45" w14:textId="77777777" w:rsidTr="007631B1">
        <w:trPr>
          <w:trHeight w:val="589"/>
        </w:trPr>
        <w:tc>
          <w:tcPr>
            <w:tcW w:w="211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64AFA2DA" w14:textId="77777777" w:rsidR="00EB2404" w:rsidRDefault="00EB2404" w:rsidP="0083677F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</w:p>
          <w:p w14:paraId="52B6F363" w14:textId="0299E33F" w:rsidR="008A183F" w:rsidRPr="005D48A5" w:rsidRDefault="008A183F" w:rsidP="0083677F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5D7AD3">
              <w:rPr>
                <w:color w:val="000000" w:themeColor="text1"/>
                <w:sz w:val="22"/>
                <w:szCs w:val="22"/>
              </w:rPr>
              <w:t>erms of Reference</w:t>
            </w:r>
          </w:p>
        </w:tc>
        <w:tc>
          <w:tcPr>
            <w:tcW w:w="793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3339B449" w14:textId="77777777" w:rsidR="008A183F" w:rsidRPr="00AD2FFD" w:rsidRDefault="008A183F" w:rsidP="008A183F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 1</w:t>
            </w:r>
          </w:p>
          <w:p w14:paraId="4FA402DE" w14:textId="748A212A" w:rsidR="008A183F" w:rsidRDefault="008A183F" w:rsidP="007631B1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Endorsement by NSW of the Joint Committee Monitoring Program Terms of Reference outlining the functions of the Committee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20ED9AF" w14:textId="64B88771" w:rsidR="008A183F" w:rsidRDefault="00446F8B" w:rsidP="00B54123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</w:t>
            </w:r>
            <w:r w:rsidR="008A183F">
              <w:rPr>
                <w:color w:val="auto"/>
                <w:sz w:val="22"/>
                <w:szCs w:val="22"/>
              </w:rPr>
              <w:t xml:space="preserve"> 2026</w:t>
            </w:r>
          </w:p>
        </w:tc>
        <w:tc>
          <w:tcPr>
            <w:tcW w:w="2834" w:type="dxa"/>
            <w:vAlign w:val="center"/>
          </w:tcPr>
          <w:p w14:paraId="44F16F37" w14:textId="77777777" w:rsidR="00B915DD" w:rsidRDefault="00B915DD" w:rsidP="00B915DD">
            <w:pPr>
              <w:jc w:val="center"/>
              <w:rPr>
                <w:rFonts w:ascii="Corbel" w:eastAsia="Times New Roman" w:hAnsi="Corbel" w:cs="Arial"/>
                <w:iCs/>
                <w:lang w:eastAsia="en-AU"/>
              </w:rPr>
            </w:pPr>
          </w:p>
          <w:p w14:paraId="15533420" w14:textId="7D230E88" w:rsidR="008A183F" w:rsidRPr="009A086F" w:rsidRDefault="008A183F" w:rsidP="00B915DD">
            <w:pPr>
              <w:jc w:val="center"/>
              <w:rPr>
                <w:rFonts w:ascii="Corbel" w:eastAsia="Times New Roman" w:hAnsi="Corbel" w:cs="Arial"/>
                <w:iCs/>
                <w:lang w:eastAsia="en-AU"/>
              </w:rPr>
            </w:pPr>
            <w:r w:rsidRPr="009A086F">
              <w:rPr>
                <w:rFonts w:ascii="Corbel" w:eastAsia="Times New Roman" w:hAnsi="Corbel" w:cs="Arial"/>
                <w:iCs/>
                <w:lang w:eastAsia="en-AU"/>
              </w:rPr>
              <w:t>$850,000</w:t>
            </w:r>
          </w:p>
          <w:p w14:paraId="6EC20303" w14:textId="77777777" w:rsidR="008A183F" w:rsidRPr="009A086F" w:rsidRDefault="008A183F" w:rsidP="00B915DD">
            <w:pPr>
              <w:jc w:val="center"/>
              <w:rPr>
                <w:rFonts w:ascii="Corbel" w:eastAsia="Times New Roman" w:hAnsi="Corbel" w:cs="Arial"/>
                <w:iCs/>
                <w:lang w:eastAsia="en-AU"/>
              </w:rPr>
            </w:pPr>
          </w:p>
        </w:tc>
      </w:tr>
      <w:tr w:rsidR="00671105" w:rsidRPr="005D48A5" w14:paraId="3DD13145" w14:textId="05F42956" w:rsidTr="007631B1">
        <w:trPr>
          <w:trHeight w:val="4093"/>
        </w:trPr>
        <w:tc>
          <w:tcPr>
            <w:tcW w:w="211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110C0037" w14:textId="06AB7528" w:rsidR="00671105" w:rsidRPr="00AC6841" w:rsidRDefault="00671105" w:rsidP="0083677F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 w:rsidRPr="005D48A5">
              <w:rPr>
                <w:color w:val="000000" w:themeColor="text1"/>
                <w:sz w:val="22"/>
                <w:szCs w:val="22"/>
              </w:rPr>
              <w:t>Report</w:t>
            </w:r>
            <w:r>
              <w:rPr>
                <w:color w:val="000000" w:themeColor="text1"/>
                <w:sz w:val="22"/>
                <w:szCs w:val="22"/>
              </w:rPr>
              <w:t xml:space="preserve"> on information sharing.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793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0D8FAAAE" w14:textId="5A9C86AC" w:rsidR="00671105" w:rsidRPr="00AD2FFD" w:rsidRDefault="00671105" w:rsidP="002E19CE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Milestones 2, 3 and 4</w:t>
            </w:r>
          </w:p>
          <w:p w14:paraId="210BFACC" w14:textId="4EC5991C" w:rsidR="00671105" w:rsidRPr="003D286C" w:rsidRDefault="00671105" w:rsidP="002E19CE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Commonwealth acceptance that NSW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produce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d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a 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yearly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JCMP Report covering: </w:t>
            </w:r>
          </w:p>
          <w:p w14:paraId="63A11A6E" w14:textId="77777777" w:rsidR="00671105" w:rsidRPr="003D286C" w:rsidRDefault="00671105" w:rsidP="0083677F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JCMP case activity: number of cases initiated, progress status, and outcomes.</w:t>
            </w:r>
          </w:p>
          <w:p w14:paraId="66DD8000" w14:textId="624C887A" w:rsidR="00671105" w:rsidRDefault="00671105" w:rsidP="0083677F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Performance against agreed metrics: timeliness, compliance actions, and resolution rates.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367FE240" w14:textId="379AA001" w:rsidR="00671105" w:rsidRPr="00DC2E35" w:rsidRDefault="00671105" w:rsidP="0058378C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Timeliness can be shown by</w:t>
            </w:r>
            <w:r w:rsidRPr="00DE5A83">
              <w:rPr>
                <w:color w:val="000000" w:themeColor="text1"/>
                <w:sz w:val="22"/>
                <w:szCs w:val="22"/>
                <w:lang w:val="en-AU"/>
              </w:rPr>
              <w:t xml:space="preserve"> demonstrating the efficiency of the triage process and the efficiency in decision making.</w:t>
            </w:r>
          </w:p>
          <w:p w14:paraId="7ECC5D88" w14:textId="4AAC2FD9" w:rsidR="00671105" w:rsidRDefault="00671105" w:rsidP="0058378C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Compliance action can be demonstrated by measuring number of cases and the impact of their outcomes.</w:t>
            </w:r>
          </w:p>
          <w:p w14:paraId="082A2276" w14:textId="379CFA48" w:rsidR="00671105" w:rsidRPr="008F2ABD" w:rsidRDefault="00671105" w:rsidP="00DC2E35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Resolution can be demonstrated by measuring productivity, outcomes and changes in behaviour. </w:t>
            </w:r>
          </w:p>
          <w:p w14:paraId="1470F535" w14:textId="3F190B96" w:rsidR="00671105" w:rsidRPr="002E19CE" w:rsidRDefault="00671105" w:rsidP="002E19CE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Incident and deviation reporting: any breaches, delays, or systemic issues identified.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772CA145" w14:textId="267D4522" w:rsidR="00671105" w:rsidRDefault="00671105" w:rsidP="0067110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2027</w:t>
            </w:r>
          </w:p>
          <w:p w14:paraId="31674EC1" w14:textId="77777777" w:rsidR="00033190" w:rsidRDefault="00033190" w:rsidP="00B54123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697BA006" w14:textId="6A20F182" w:rsidR="00671105" w:rsidDel="004F280E" w:rsidRDefault="00671105" w:rsidP="00033190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2028</w:t>
            </w:r>
          </w:p>
          <w:p w14:paraId="6529566A" w14:textId="77777777" w:rsidR="00033190" w:rsidRDefault="00033190" w:rsidP="00B54123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4C7BA0B6" w14:textId="04EA7C6D" w:rsidR="00671105" w:rsidRPr="005D48A5" w:rsidRDefault="00671105" w:rsidP="00B54123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2029</w:t>
            </w:r>
          </w:p>
        </w:tc>
        <w:tc>
          <w:tcPr>
            <w:tcW w:w="2834" w:type="dxa"/>
          </w:tcPr>
          <w:p w14:paraId="31F77E73" w14:textId="08399CE4" w:rsidR="00671105" w:rsidRPr="00DD3F82" w:rsidRDefault="0021198E" w:rsidP="00DD3F8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 w:rsidRPr="00DD3F82">
              <w:rPr>
                <w:color w:val="auto"/>
                <w:sz w:val="22"/>
                <w:szCs w:val="22"/>
              </w:rPr>
              <w:t>$</w:t>
            </w:r>
            <w:r w:rsidR="00671105" w:rsidRPr="00DD3F82">
              <w:rPr>
                <w:color w:val="auto"/>
                <w:sz w:val="22"/>
                <w:szCs w:val="22"/>
              </w:rPr>
              <w:t>850,000</w:t>
            </w:r>
          </w:p>
          <w:p w14:paraId="08AE37F8" w14:textId="77777777" w:rsidR="00033190" w:rsidRPr="00DD3F82" w:rsidRDefault="00033190" w:rsidP="00DD3F8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7EBABE51" w14:textId="77777777" w:rsidR="00671105" w:rsidRPr="00DD3F82" w:rsidRDefault="00671105" w:rsidP="00DD3F8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 w:rsidRPr="00DD3F82">
              <w:rPr>
                <w:color w:val="auto"/>
                <w:sz w:val="22"/>
                <w:szCs w:val="22"/>
              </w:rPr>
              <w:t>$850,000</w:t>
            </w:r>
          </w:p>
          <w:p w14:paraId="63328150" w14:textId="77777777" w:rsidR="00033190" w:rsidRPr="00DD3F82" w:rsidRDefault="00033190" w:rsidP="00DD3F8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02E28DEE" w14:textId="506F9EFE" w:rsidR="00671105" w:rsidRPr="005D48A5" w:rsidRDefault="00671105" w:rsidP="00DD3F82">
            <w:pPr>
              <w:pStyle w:val="Milestonetable"/>
              <w:jc w:val="center"/>
            </w:pPr>
            <w:r w:rsidRPr="00DD3F82">
              <w:rPr>
                <w:color w:val="auto"/>
                <w:sz w:val="22"/>
                <w:szCs w:val="22"/>
              </w:rPr>
              <w:t>$850,000</w:t>
            </w:r>
          </w:p>
        </w:tc>
      </w:tr>
    </w:tbl>
    <w:p w14:paraId="711C4EEC" w14:textId="77777777" w:rsidR="0046090A" w:rsidRDefault="00884E8F" w:rsidP="0046090A">
      <w:r w:rsidRPr="00F00A18">
        <w:tab/>
      </w:r>
    </w:p>
    <w:p w14:paraId="3F074EDB" w14:textId="4FE01784" w:rsidR="00D52C79" w:rsidRDefault="00287106" w:rsidP="00C12527">
      <w:pPr>
        <w:widowControl/>
        <w:spacing w:after="160" w:line="259" w:lineRule="auto"/>
        <w:rPr>
          <w:lang w:val="en-GB"/>
        </w:rPr>
      </w:pPr>
      <w:r>
        <w:rPr>
          <w:sz w:val="24"/>
          <w:szCs w:val="24"/>
        </w:rPr>
        <w:t>T</w:t>
      </w:r>
      <w:r w:rsidR="00D52C79">
        <w:rPr>
          <w:sz w:val="24"/>
          <w:szCs w:val="24"/>
        </w:rPr>
        <w:t>he Par</w:t>
      </w:r>
      <w:r w:rsidR="00D52C79" w:rsidRPr="00F00A18">
        <w:rPr>
          <w:sz w:val="24"/>
          <w:szCs w:val="24"/>
        </w:rPr>
        <w:t>ties</w:t>
      </w:r>
      <w:r w:rsidR="00D52C79" w:rsidRPr="00F00A18">
        <w:rPr>
          <w:lang w:val="en-GB"/>
        </w:rPr>
        <w:t xml:space="preserve"> have confirmed their commitment to this schedule as follows:</w:t>
      </w:r>
    </w:p>
    <w:tbl>
      <w:tblPr>
        <w:tblW w:w="15451" w:type="dxa"/>
        <w:jc w:val="center"/>
        <w:tblLayout w:type="fixed"/>
        <w:tblLook w:val="01E0" w:firstRow="1" w:lastRow="1" w:firstColumn="1" w:lastColumn="1" w:noHBand="0" w:noVBand="0"/>
      </w:tblPr>
      <w:tblGrid>
        <w:gridCol w:w="8052"/>
        <w:gridCol w:w="436"/>
        <w:gridCol w:w="6963"/>
      </w:tblGrid>
      <w:tr w:rsidR="00D52C79" w:rsidRPr="00F00A18" w14:paraId="1AF623DE" w14:textId="77777777" w:rsidTr="00764A79">
        <w:trPr>
          <w:cantSplit/>
          <w:jc w:val="center"/>
        </w:trPr>
        <w:tc>
          <w:tcPr>
            <w:tcW w:w="5245" w:type="dxa"/>
          </w:tcPr>
          <w:p w14:paraId="55A6B4E1" w14:textId="77777777" w:rsidR="00D52C79" w:rsidRPr="00F00A18" w:rsidRDefault="00D52C79" w:rsidP="00597BF2">
            <w:pPr>
              <w:pStyle w:val="Signed"/>
              <w:jc w:val="left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Australia by</w:t>
            </w:r>
          </w:p>
          <w:p w14:paraId="77760D8D" w14:textId="77777777" w:rsidR="00D52C79" w:rsidRPr="00F00A18" w:rsidRDefault="00D52C79" w:rsidP="00597BF2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06F2D70F" w14:textId="77777777" w:rsidR="00D52C79" w:rsidRPr="00F00A18" w:rsidRDefault="00D52C79" w:rsidP="00597BF2">
            <w:pPr>
              <w:pStyle w:val="SingleParagraph"/>
              <w:jc w:val="left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Jason Clare</w:t>
            </w:r>
            <w:r w:rsidRPr="00F00A18">
              <w:rPr>
                <w:rStyle w:val="Bold"/>
                <w:color w:val="auto"/>
              </w:rPr>
              <w:t xml:space="preserve"> MP</w:t>
            </w:r>
          </w:p>
          <w:p w14:paraId="2D30FF3E" w14:textId="7E72C0AA" w:rsidR="00D52C79" w:rsidRPr="00F00A18" w:rsidRDefault="00D52C79" w:rsidP="00597BF2">
            <w:pPr>
              <w:pStyle w:val="Position"/>
              <w:jc w:val="left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</w:t>
            </w:r>
            <w:r w:rsidR="006053CF">
              <w:rPr>
                <w:color w:val="auto"/>
                <w:lang w:val="en-GB"/>
              </w:rPr>
              <w:t>Education</w:t>
            </w:r>
            <w:r w:rsidRPr="00F00A18">
              <w:rPr>
                <w:color w:val="auto"/>
                <w:lang w:val="en-GB"/>
              </w:rPr>
              <w:t xml:space="preserve"> </w:t>
            </w:r>
          </w:p>
          <w:p w14:paraId="4BBCA81E" w14:textId="6F1958CA" w:rsidR="00D52C79" w:rsidRPr="00F00A18" w:rsidRDefault="00F83F44" w:rsidP="00597BF2">
            <w:pPr>
              <w:pStyle w:val="SingleParagraph"/>
              <w:tabs>
                <w:tab w:val="num" w:pos="1134"/>
              </w:tabs>
              <w:spacing w:after="240"/>
              <w:jc w:val="left"/>
              <w:rPr>
                <w:b/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 xml:space="preserve">    March</w:t>
            </w:r>
            <w:r w:rsidR="00D52C79" w:rsidRPr="00F00A18">
              <w:rPr>
                <w:color w:val="auto"/>
                <w:lang w:val="en-GB"/>
              </w:rPr>
              <w:t xml:space="preserve"> </w:t>
            </w:r>
            <w:r w:rsidR="003B2E53">
              <w:rPr>
                <w:color w:val="auto"/>
                <w:lang w:val="en-GB"/>
              </w:rPr>
              <w:t>2026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F8A6263" w14:textId="77777777" w:rsidR="00D52C79" w:rsidRPr="00F00A18" w:rsidRDefault="00D52C79" w:rsidP="00273CF3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EEC1E21" w14:textId="77777777" w:rsidR="006053CF" w:rsidRPr="00F00A18" w:rsidRDefault="006053CF" w:rsidP="00597BF2">
            <w:pPr>
              <w:pStyle w:val="Signed"/>
              <w:jc w:val="left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F00A18">
                  <w:rPr>
                    <w:color w:val="auto"/>
                  </w:rPr>
                  <w:t>New South Wales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134C8818" w14:textId="77777777" w:rsidR="006053CF" w:rsidRPr="00F00A18" w:rsidRDefault="006053CF" w:rsidP="00597BF2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7A0DCBB8" w14:textId="240D0823" w:rsidR="006053CF" w:rsidRPr="00F00A18" w:rsidRDefault="006053CF" w:rsidP="00597BF2">
            <w:pPr>
              <w:pStyle w:val="SingleParagraph"/>
              <w:jc w:val="left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 w:rsidR="00CF6CD0">
              <w:rPr>
                <w:rStyle w:val="Bold"/>
                <w:color w:val="auto"/>
              </w:rPr>
              <w:t>Prue Car</w:t>
            </w:r>
            <w:r>
              <w:rPr>
                <w:rStyle w:val="Bold"/>
                <w:color w:val="auto"/>
              </w:rPr>
              <w:t xml:space="preserve"> </w:t>
            </w:r>
            <w:r w:rsidR="00CF6CD0" w:rsidRPr="00F00A18">
              <w:rPr>
                <w:rStyle w:val="Bold"/>
                <w:color w:val="auto"/>
              </w:rPr>
              <w:t>M</w:t>
            </w:r>
            <w:r w:rsidR="00CF6CD0">
              <w:rPr>
                <w:rStyle w:val="Bold"/>
                <w:color w:val="auto"/>
              </w:rPr>
              <w:t>P</w:t>
            </w:r>
          </w:p>
          <w:p w14:paraId="7E4D4B39" w14:textId="012F49E3" w:rsidR="006053CF" w:rsidRPr="00F00A18" w:rsidRDefault="006053CF" w:rsidP="00597BF2">
            <w:pPr>
              <w:pStyle w:val="Position"/>
              <w:jc w:val="left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</w:t>
            </w:r>
            <w:r>
              <w:rPr>
                <w:color w:val="auto"/>
                <w:lang w:val="en-GB"/>
              </w:rPr>
              <w:t>Education</w:t>
            </w:r>
            <w:r w:rsidR="00CF6CD0">
              <w:rPr>
                <w:color w:val="auto"/>
                <w:lang w:val="en-GB"/>
              </w:rPr>
              <w:t xml:space="preserve"> </w:t>
            </w:r>
            <w:r w:rsidR="00CF6CD0" w:rsidRPr="00CF6CD0">
              <w:rPr>
                <w:color w:val="auto"/>
                <w:lang w:val="en-US"/>
              </w:rPr>
              <w:t>and Early Learning</w:t>
            </w:r>
          </w:p>
          <w:p w14:paraId="1AED417D" w14:textId="4169B5A6" w:rsidR="00D52C79" w:rsidRPr="00F00A18" w:rsidRDefault="006053CF" w:rsidP="00597BF2">
            <w:pPr>
              <w:rPr>
                <w:rFonts w:ascii="Book Antiqua" w:hAnsi="Book Antiqua"/>
                <w:lang w:val="en-GB"/>
              </w:rPr>
            </w:pPr>
            <w:r w:rsidRPr="00F00A18" w:rsidDel="00542A8C">
              <w:rPr>
                <w:bCs/>
                <w:lang w:val="en-GB"/>
              </w:rPr>
              <w:t xml:space="preserve"> </w:t>
            </w:r>
            <w:r w:rsidR="00F83F44">
              <w:rPr>
                <w:lang w:val="en-GB"/>
              </w:rPr>
              <w:t xml:space="preserve">                        </w:t>
            </w:r>
            <w:r w:rsidRPr="00F00A18">
              <w:rPr>
                <w:lang w:val="en-GB"/>
              </w:rPr>
              <w:t xml:space="preserve">  </w:t>
            </w:r>
            <w:r w:rsidR="003B2E53">
              <w:rPr>
                <w:lang w:val="en-GB"/>
              </w:rPr>
              <w:t>2026</w:t>
            </w:r>
          </w:p>
        </w:tc>
      </w:tr>
    </w:tbl>
    <w:tbl>
      <w:tblPr>
        <w:tblpPr w:leftFromText="180" w:rightFromText="180" w:vertAnchor="text" w:horzAnchor="margin" w:tblpY="-142"/>
        <w:tblW w:w="1544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8363"/>
        <w:gridCol w:w="2551"/>
        <w:gridCol w:w="2410"/>
      </w:tblGrid>
      <w:tr w:rsidR="00764A79" w:rsidRPr="00F00A18" w14:paraId="4706A5B2" w14:textId="77777777" w:rsidTr="00764A79">
        <w:trPr>
          <w:trHeight w:val="381"/>
        </w:trPr>
        <w:tc>
          <w:tcPr>
            <w:tcW w:w="15442" w:type="dxa"/>
            <w:gridSpan w:val="4"/>
            <w:shd w:val="clear" w:color="auto" w:fill="DEEAF6" w:themeFill="accent1" w:themeFillTint="33"/>
          </w:tcPr>
          <w:p w14:paraId="2544448D" w14:textId="1905BE50" w:rsidR="00764A79" w:rsidRPr="00F00A18" w:rsidRDefault="00764A79" w:rsidP="00764A7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</w:t>
            </w:r>
            <w:r>
              <w:rPr>
                <w:b/>
                <w:color w:val="auto"/>
              </w:rPr>
              <w:t>B</w:t>
            </w:r>
            <w:r w:rsidRPr="00F00A18">
              <w:rPr>
                <w:b/>
                <w:color w:val="auto"/>
              </w:rPr>
              <w:t xml:space="preserve">: </w:t>
            </w:r>
            <w:r>
              <w:rPr>
                <w:b/>
                <w:color w:val="auto"/>
              </w:rPr>
              <w:t xml:space="preserve">Victoria </w:t>
            </w:r>
            <w:r w:rsidR="002D57D4">
              <w:rPr>
                <w:b/>
                <w:color w:val="auto"/>
              </w:rPr>
              <w:t>(V</w:t>
            </w:r>
            <w:r w:rsidR="007C2328">
              <w:rPr>
                <w:b/>
                <w:color w:val="auto"/>
              </w:rPr>
              <w:t>IC</w:t>
            </w:r>
            <w:r w:rsidR="002D57D4">
              <w:rPr>
                <w:b/>
                <w:color w:val="auto"/>
              </w:rPr>
              <w:t xml:space="preserve">) </w:t>
            </w:r>
            <w:r w:rsidRPr="00F00A18">
              <w:rPr>
                <w:b/>
                <w:color w:val="auto"/>
              </w:rPr>
              <w:t>Performance requirements, reporting and payment summary</w:t>
            </w:r>
          </w:p>
        </w:tc>
      </w:tr>
      <w:tr w:rsidR="00764A79" w:rsidRPr="00F00A18" w14:paraId="3A0D1B83" w14:textId="77777777" w:rsidTr="00764A79">
        <w:trPr>
          <w:trHeight w:val="381"/>
        </w:trPr>
        <w:tc>
          <w:tcPr>
            <w:tcW w:w="2118" w:type="dxa"/>
            <w:shd w:val="clear" w:color="auto" w:fill="F2F2F2" w:themeFill="background1" w:themeFillShade="F2"/>
          </w:tcPr>
          <w:p w14:paraId="650F7AA6" w14:textId="77777777" w:rsidR="00764A79" w:rsidRPr="00F00A18" w:rsidRDefault="00764A79" w:rsidP="00764A79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Output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14:paraId="1DE11C1B" w14:textId="77777777" w:rsidR="00764A79" w:rsidRPr="00F00A18" w:rsidRDefault="00764A79" w:rsidP="00764A7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FFFFD91" w14:textId="0E324B7B" w:rsidR="00764A79" w:rsidRPr="00F00A18" w:rsidRDefault="00446F8B" w:rsidP="00764A79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</w:t>
            </w:r>
            <w:r w:rsidR="00764A79" w:rsidRPr="00F00A18">
              <w:rPr>
                <w:b/>
                <w:color w:val="auto"/>
              </w:rPr>
              <w:t>ue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AAF81A2" w14:textId="77777777" w:rsidR="00764A79" w:rsidRPr="00F00A18" w:rsidRDefault="00764A79" w:rsidP="00764A7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764A79" w:rsidRPr="005D48A5" w14:paraId="3E944819" w14:textId="77777777" w:rsidTr="00F6514F">
        <w:trPr>
          <w:trHeight w:val="1117"/>
        </w:trPr>
        <w:tc>
          <w:tcPr>
            <w:tcW w:w="2118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23E54D94" w14:textId="77777777" w:rsidR="00764A79" w:rsidRDefault="00764A79" w:rsidP="00764A79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</w:rPr>
              <w:t>Terms of Reference</w:t>
            </w:r>
          </w:p>
        </w:tc>
        <w:tc>
          <w:tcPr>
            <w:tcW w:w="8363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2EDDEA34" w14:textId="77777777" w:rsidR="00764A79" w:rsidRPr="00E25022" w:rsidRDefault="00764A79" w:rsidP="00764A79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E25022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 1</w:t>
            </w:r>
          </w:p>
          <w:p w14:paraId="126E92A7" w14:textId="593DCD17" w:rsidR="00764A79" w:rsidRDefault="00764A79" w:rsidP="00764A79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Endorsement by V</w:t>
            </w:r>
            <w:r w:rsidR="007C2328">
              <w:rPr>
                <w:color w:val="000000" w:themeColor="text1"/>
                <w:sz w:val="22"/>
                <w:szCs w:val="22"/>
                <w:lang w:val="en-AU"/>
              </w:rPr>
              <w:t>IC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of the Joint Committee Monitoring Program Terms of Reference outlining the functions of the Committee</w:t>
            </w:r>
          </w:p>
          <w:p w14:paraId="36FCC844" w14:textId="77777777" w:rsidR="00764A79" w:rsidRDefault="00764A79" w:rsidP="00764A79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9BAA01" w14:textId="77777777" w:rsidR="00764A79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60D59EE9" w14:textId="3A866223" w:rsidR="00764A79" w:rsidRDefault="00446F8B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</w:t>
            </w:r>
            <w:r w:rsidR="00764A79">
              <w:rPr>
                <w:color w:val="auto"/>
                <w:sz w:val="22"/>
                <w:szCs w:val="22"/>
              </w:rPr>
              <w:t xml:space="preserve"> 2026</w:t>
            </w:r>
          </w:p>
        </w:tc>
        <w:tc>
          <w:tcPr>
            <w:tcW w:w="2410" w:type="dxa"/>
          </w:tcPr>
          <w:p w14:paraId="7E3E3379" w14:textId="77777777" w:rsidR="00764A79" w:rsidRDefault="00764A79" w:rsidP="00764A79">
            <w:pPr>
              <w:jc w:val="center"/>
              <w:rPr>
                <w:rFonts w:ascii="Corbel" w:eastAsia="Times New Roman" w:hAnsi="Corbel" w:cs="Arial"/>
                <w:iCs/>
                <w:lang w:eastAsia="en-AU"/>
              </w:rPr>
            </w:pPr>
          </w:p>
          <w:p w14:paraId="33499933" w14:textId="77777777" w:rsidR="00764A79" w:rsidRPr="009A086F" w:rsidRDefault="00764A79" w:rsidP="00764A79">
            <w:pPr>
              <w:jc w:val="center"/>
              <w:rPr>
                <w:rFonts w:ascii="Corbel" w:eastAsia="Times New Roman" w:hAnsi="Corbel" w:cs="Arial"/>
                <w:iCs/>
                <w:lang w:eastAsia="en-AU"/>
              </w:rPr>
            </w:pPr>
            <w:r w:rsidRPr="009A086F">
              <w:rPr>
                <w:rFonts w:ascii="Corbel" w:eastAsia="Times New Roman" w:hAnsi="Corbel" w:cs="Arial"/>
                <w:iCs/>
                <w:lang w:eastAsia="en-AU"/>
              </w:rPr>
              <w:t>$850,000</w:t>
            </w:r>
          </w:p>
          <w:p w14:paraId="29871744" w14:textId="77777777" w:rsidR="00764A79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64A79" w:rsidRPr="005D48A5" w14:paraId="28C67B32" w14:textId="77777777" w:rsidTr="00764A79">
        <w:trPr>
          <w:trHeight w:val="4300"/>
        </w:trPr>
        <w:tc>
          <w:tcPr>
            <w:tcW w:w="2118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599EA9FE" w14:textId="77777777" w:rsidR="00764A79" w:rsidRDefault="00764A79" w:rsidP="00764A79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</w:p>
          <w:p w14:paraId="36EC56FB" w14:textId="77777777" w:rsidR="00764A79" w:rsidRDefault="00764A79" w:rsidP="00764A79">
            <w:pPr>
              <w:pStyle w:val="Milestonetable"/>
              <w:rPr>
                <w:color w:val="auto"/>
                <w:sz w:val="22"/>
                <w:szCs w:val="22"/>
              </w:rPr>
            </w:pPr>
            <w:r w:rsidRPr="005D48A5">
              <w:rPr>
                <w:color w:val="000000" w:themeColor="text1"/>
                <w:sz w:val="22"/>
                <w:szCs w:val="22"/>
              </w:rPr>
              <w:t>Report</w:t>
            </w:r>
            <w:r>
              <w:rPr>
                <w:color w:val="000000" w:themeColor="text1"/>
                <w:sz w:val="22"/>
                <w:szCs w:val="22"/>
              </w:rPr>
              <w:t xml:space="preserve"> on information sharing.</w:t>
            </w:r>
          </w:p>
        </w:tc>
        <w:tc>
          <w:tcPr>
            <w:tcW w:w="8363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23D1AFA1" w14:textId="77777777" w:rsidR="00764A79" w:rsidRPr="00AD2FFD" w:rsidRDefault="00764A79" w:rsidP="00764A79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Milestones 2, 3 and 4</w:t>
            </w:r>
          </w:p>
          <w:p w14:paraId="3E4B822A" w14:textId="64C76BB4" w:rsidR="00764A79" w:rsidRPr="003D286C" w:rsidRDefault="00764A79" w:rsidP="00764A79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Commonwealth acceptance that V</w:t>
            </w:r>
            <w:r w:rsidR="007C2328">
              <w:rPr>
                <w:color w:val="000000" w:themeColor="text1"/>
                <w:sz w:val="22"/>
                <w:szCs w:val="22"/>
                <w:lang w:val="en-AU"/>
              </w:rPr>
              <w:t>IC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produce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d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a 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yearly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JCMP Report covering: </w:t>
            </w:r>
          </w:p>
          <w:p w14:paraId="71CD5474" w14:textId="77777777" w:rsidR="00764A79" w:rsidRPr="003D286C" w:rsidRDefault="00764A79" w:rsidP="00764A79">
            <w:pPr>
              <w:pStyle w:val="Milestonetable"/>
              <w:numPr>
                <w:ilvl w:val="1"/>
                <w:numId w:val="26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JCMP case activity: number of cases initiated, progress status, and outcomes.</w:t>
            </w:r>
          </w:p>
          <w:p w14:paraId="6D2DE61E" w14:textId="77777777" w:rsidR="00764A79" w:rsidRDefault="00764A79" w:rsidP="00764A79">
            <w:pPr>
              <w:pStyle w:val="Milestonetable"/>
              <w:numPr>
                <w:ilvl w:val="1"/>
                <w:numId w:val="26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Performance against agreed metrics: timeliness, compliance actions, and resolution rates.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14E1F008" w14:textId="77777777" w:rsidR="00764A79" w:rsidRPr="00DC2E35" w:rsidRDefault="00764A79" w:rsidP="00764A79">
            <w:pPr>
              <w:pStyle w:val="Milestonetable"/>
              <w:numPr>
                <w:ilvl w:val="2"/>
                <w:numId w:val="26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Timeliness can be shown by</w:t>
            </w:r>
            <w:r w:rsidRPr="00DE5A83">
              <w:rPr>
                <w:color w:val="000000" w:themeColor="text1"/>
                <w:sz w:val="22"/>
                <w:szCs w:val="22"/>
                <w:lang w:val="en-AU"/>
              </w:rPr>
              <w:t xml:space="preserve"> demonstrating the efficiency of the triage process and the efficiency in decision making.</w:t>
            </w:r>
          </w:p>
          <w:p w14:paraId="3AC2225F" w14:textId="77777777" w:rsidR="00764A79" w:rsidRDefault="00764A79" w:rsidP="00764A79">
            <w:pPr>
              <w:pStyle w:val="Milestonetable"/>
              <w:numPr>
                <w:ilvl w:val="2"/>
                <w:numId w:val="26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Compliance action can be demonstrated by measuring number of cases and the impact of their outcomes.</w:t>
            </w:r>
          </w:p>
          <w:p w14:paraId="44AD6A95" w14:textId="77777777" w:rsidR="00764A79" w:rsidRPr="008F2ABD" w:rsidRDefault="00764A79" w:rsidP="00764A79">
            <w:pPr>
              <w:pStyle w:val="Milestonetable"/>
              <w:numPr>
                <w:ilvl w:val="2"/>
                <w:numId w:val="26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Resolution can be demonstrated by measuring productivity, outcomes and changes in behaviour. </w:t>
            </w:r>
          </w:p>
          <w:p w14:paraId="4BDEA853" w14:textId="77777777" w:rsidR="00764A79" w:rsidRPr="004259E9" w:rsidRDefault="00764A79" w:rsidP="00764A79">
            <w:pPr>
              <w:pStyle w:val="Milestonetable"/>
              <w:numPr>
                <w:ilvl w:val="0"/>
                <w:numId w:val="26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Incident and deviation reporting: any breaches, delays, or systemic issues identified.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37EC5BF5" w14:textId="0365722F" w:rsidR="00764A79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br/>
              <w:t>30 April 2027</w:t>
            </w:r>
          </w:p>
          <w:p w14:paraId="240076C4" w14:textId="77777777" w:rsidR="00764A79" w:rsidRPr="005D48A5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40D8F088" w14:textId="77777777" w:rsidR="00764A79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2028</w:t>
            </w:r>
          </w:p>
          <w:p w14:paraId="5D9060A4" w14:textId="77777777" w:rsidR="00764A79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367A4CE0" w14:textId="77777777" w:rsidR="00764A79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2029</w:t>
            </w:r>
          </w:p>
          <w:p w14:paraId="0CE40233" w14:textId="77777777" w:rsidR="00764A79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22350352" w14:textId="77777777" w:rsidR="00764A79" w:rsidRPr="005D48A5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CD1B62" w14:textId="77777777" w:rsidR="00764A79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65A05A16" w14:textId="68DC49CD" w:rsidR="00764A79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$850,000</w:t>
            </w:r>
          </w:p>
          <w:p w14:paraId="2D618431" w14:textId="77777777" w:rsidR="00764A79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br/>
              <w:t>$850,000</w:t>
            </w:r>
          </w:p>
          <w:p w14:paraId="11192245" w14:textId="77777777" w:rsidR="00764A79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3A58918F" w14:textId="77777777" w:rsidR="00764A79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$850,00</w:t>
            </w:r>
          </w:p>
          <w:p w14:paraId="72D4FEAD" w14:textId="77777777" w:rsidR="00764A79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703B29FB" w14:textId="77777777" w:rsidR="00764A79" w:rsidRPr="005D48A5" w:rsidRDefault="00764A79" w:rsidP="00764A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2718CDC7" w14:textId="055ED958" w:rsidR="006C43F8" w:rsidRDefault="006C43F8"/>
    <w:p w14:paraId="13D58652" w14:textId="1AE9454F" w:rsidR="009D012D" w:rsidRPr="00F00A18" w:rsidRDefault="00D52C79" w:rsidP="00D52C79">
      <w:pPr>
        <w:rPr>
          <w:lang w:val="en-GB"/>
        </w:rPr>
      </w:pPr>
      <w:r>
        <w:rPr>
          <w:sz w:val="24"/>
          <w:szCs w:val="24"/>
        </w:rPr>
        <w:t>The Par</w:t>
      </w:r>
      <w:r w:rsidRPr="00F00A18">
        <w:rPr>
          <w:sz w:val="24"/>
          <w:szCs w:val="24"/>
        </w:rPr>
        <w:t>ties</w:t>
      </w:r>
      <w:r w:rsidRPr="00F00A18">
        <w:rPr>
          <w:lang w:val="en-GB"/>
        </w:rPr>
        <w:t xml:space="preserve"> have confirmed their commitment to this schedule as follows:</w:t>
      </w:r>
    </w:p>
    <w:tbl>
      <w:tblPr>
        <w:tblW w:w="11340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1135"/>
        <w:gridCol w:w="5102"/>
      </w:tblGrid>
      <w:tr w:rsidR="00B86E8E" w:rsidRPr="00F00A18" w14:paraId="17682A63" w14:textId="77777777" w:rsidTr="007B485D">
        <w:trPr>
          <w:cantSplit/>
          <w:jc w:val="center"/>
        </w:trPr>
        <w:tc>
          <w:tcPr>
            <w:tcW w:w="5103" w:type="dxa"/>
          </w:tcPr>
          <w:p w14:paraId="016DB040" w14:textId="77777777" w:rsidR="00D52C79" w:rsidRPr="00F00A18" w:rsidRDefault="00D52C79" w:rsidP="00597BF2">
            <w:pPr>
              <w:pStyle w:val="Signed"/>
              <w:jc w:val="left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Australia by</w:t>
            </w:r>
          </w:p>
          <w:p w14:paraId="680F41C4" w14:textId="534F9709" w:rsidR="00D52C79" w:rsidRPr="00F00A18" w:rsidRDefault="00D52C79" w:rsidP="00597BF2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2C5AF717" w14:textId="143F35AF" w:rsidR="00D52C79" w:rsidRPr="00F00A18" w:rsidRDefault="00D52C79" w:rsidP="00597BF2">
            <w:pPr>
              <w:pStyle w:val="SingleParagraph"/>
              <w:jc w:val="left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Jason Clare</w:t>
            </w:r>
            <w:r w:rsidRPr="00F00A18">
              <w:rPr>
                <w:rStyle w:val="Bold"/>
                <w:color w:val="auto"/>
              </w:rPr>
              <w:t xml:space="preserve"> MP</w:t>
            </w:r>
          </w:p>
          <w:p w14:paraId="38C5E81A" w14:textId="4B1DF254" w:rsidR="00D52C79" w:rsidRPr="00F00A18" w:rsidRDefault="00D52C79" w:rsidP="00597BF2">
            <w:pPr>
              <w:pStyle w:val="Position"/>
              <w:jc w:val="left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</w:t>
            </w:r>
            <w:r w:rsidR="006053CF">
              <w:rPr>
                <w:color w:val="auto"/>
                <w:lang w:val="en-GB"/>
              </w:rPr>
              <w:t>Education</w:t>
            </w:r>
            <w:r w:rsidRPr="00F00A18">
              <w:rPr>
                <w:color w:val="auto"/>
                <w:lang w:val="en-GB"/>
              </w:rPr>
              <w:t xml:space="preserve"> </w:t>
            </w:r>
          </w:p>
          <w:p w14:paraId="1B65F082" w14:textId="24D708E4" w:rsidR="00D52C79" w:rsidRPr="00F00A18" w:rsidRDefault="00764A79" w:rsidP="00597BF2">
            <w:pPr>
              <w:pStyle w:val="SingleParagraph"/>
              <w:tabs>
                <w:tab w:val="num" w:pos="1134"/>
              </w:tabs>
              <w:spacing w:after="240"/>
              <w:jc w:val="left"/>
              <w:rPr>
                <w:b/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 xml:space="preserve">          </w:t>
            </w:r>
            <w:r w:rsidR="00111B96">
              <w:rPr>
                <w:color w:val="auto"/>
                <w:lang w:val="en-GB"/>
              </w:rPr>
              <w:t xml:space="preserve">                          </w:t>
            </w:r>
            <w:r>
              <w:rPr>
                <w:color w:val="auto"/>
                <w:lang w:val="en-GB"/>
              </w:rPr>
              <w:t xml:space="preserve"> </w:t>
            </w:r>
            <w:r w:rsidR="003B2E53">
              <w:rPr>
                <w:color w:val="auto"/>
                <w:lang w:val="en-GB"/>
              </w:rPr>
              <w:t>2026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</w:tcPr>
          <w:p w14:paraId="30C87482" w14:textId="77777777" w:rsidR="00D52C79" w:rsidRPr="00F00A18" w:rsidRDefault="00D52C79" w:rsidP="00273CF3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5102" w:type="dxa"/>
          </w:tcPr>
          <w:p w14:paraId="1388B2E9" w14:textId="66585171" w:rsidR="00D52C79" w:rsidRDefault="00D52C79" w:rsidP="00597BF2">
            <w:pPr>
              <w:pStyle w:val="Signed"/>
              <w:jc w:val="left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</w:t>
            </w:r>
            <w:r w:rsidRPr="00F00A18">
              <w:rPr>
                <w:color w:val="auto"/>
              </w:rPr>
              <w:br/>
              <w:t>State of Victoria b</w:t>
            </w:r>
            <w:r w:rsidR="006053CF">
              <w:rPr>
                <w:color w:val="auto"/>
              </w:rPr>
              <w:t>y</w:t>
            </w:r>
          </w:p>
          <w:p w14:paraId="448E088D" w14:textId="77777777" w:rsidR="006053CF" w:rsidRPr="00F00A18" w:rsidRDefault="006053CF" w:rsidP="00597BF2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2D52D8C4" w14:textId="69CFFB61" w:rsidR="00D52C79" w:rsidRPr="00F00A18" w:rsidRDefault="00D52C79" w:rsidP="00597BF2">
            <w:pPr>
              <w:pStyle w:val="SingleParagraph"/>
              <w:jc w:val="left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 w:rsidR="00AF2D90">
              <w:rPr>
                <w:rStyle w:val="Bold"/>
                <w:color w:val="auto"/>
              </w:rPr>
              <w:t xml:space="preserve">Lizzie </w:t>
            </w:r>
            <w:proofErr w:type="spellStart"/>
            <w:r w:rsidR="00AF2D90">
              <w:rPr>
                <w:rStyle w:val="Bold"/>
                <w:color w:val="auto"/>
              </w:rPr>
              <w:t>Blandthorn</w:t>
            </w:r>
            <w:proofErr w:type="spellEnd"/>
            <w:r w:rsidR="002A66C3">
              <w:rPr>
                <w:rStyle w:val="Bold"/>
                <w:color w:val="auto"/>
              </w:rPr>
              <w:t xml:space="preserve"> MP</w:t>
            </w:r>
          </w:p>
          <w:p w14:paraId="5E52A580" w14:textId="5EF5403A" w:rsidR="00D52C79" w:rsidRPr="00F00A18" w:rsidRDefault="00D52C79" w:rsidP="00597BF2">
            <w:pPr>
              <w:pStyle w:val="Position"/>
              <w:jc w:val="left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</w:t>
            </w:r>
            <w:r w:rsidR="002A66C3">
              <w:rPr>
                <w:color w:val="auto"/>
                <w:lang w:val="en-GB"/>
              </w:rPr>
              <w:t>Children</w:t>
            </w:r>
            <w:r w:rsidRPr="00F00A18">
              <w:rPr>
                <w:color w:val="auto"/>
                <w:lang w:val="en-GB"/>
              </w:rPr>
              <w:t xml:space="preserve"> </w:t>
            </w:r>
          </w:p>
          <w:p w14:paraId="152A6B6E" w14:textId="4F69CBA0" w:rsidR="00D52C79" w:rsidRPr="00F00A18" w:rsidRDefault="00764A79" w:rsidP="00597BF2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 xml:space="preserve">                                   </w:t>
            </w:r>
            <w:r w:rsidR="00D52C79" w:rsidRPr="00F00A18">
              <w:rPr>
                <w:lang w:val="en-GB"/>
              </w:rPr>
              <w:t xml:space="preserve">  </w:t>
            </w:r>
            <w:r w:rsidR="003B2E53">
              <w:rPr>
                <w:lang w:val="en-GB"/>
              </w:rPr>
              <w:t>2026</w:t>
            </w:r>
          </w:p>
        </w:tc>
      </w:tr>
    </w:tbl>
    <w:p w14:paraId="01F62405" w14:textId="0D58EFC8" w:rsidR="009D012D" w:rsidRDefault="009D012D"/>
    <w:tbl>
      <w:tblPr>
        <w:tblW w:w="1529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8646"/>
        <w:gridCol w:w="2552"/>
        <w:gridCol w:w="1984"/>
      </w:tblGrid>
      <w:tr w:rsidR="0046090A" w:rsidRPr="00F00A18" w14:paraId="02D211D0" w14:textId="77777777" w:rsidTr="00535943">
        <w:tc>
          <w:tcPr>
            <w:tcW w:w="15299" w:type="dxa"/>
            <w:gridSpan w:val="4"/>
            <w:shd w:val="clear" w:color="auto" w:fill="DEEAF6" w:themeFill="accent1" w:themeFillTint="33"/>
          </w:tcPr>
          <w:p w14:paraId="7AED6214" w14:textId="09E0600A" w:rsidR="0046090A" w:rsidRPr="00F00A18" w:rsidRDefault="0046090A" w:rsidP="00273CF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2</w:t>
            </w:r>
            <w:r>
              <w:rPr>
                <w:b/>
                <w:color w:val="auto"/>
              </w:rPr>
              <w:t>C</w:t>
            </w:r>
            <w:r w:rsidRPr="00F00A18">
              <w:rPr>
                <w:b/>
                <w:color w:val="auto"/>
              </w:rPr>
              <w:t xml:space="preserve">: </w:t>
            </w:r>
            <w:r>
              <w:rPr>
                <w:b/>
                <w:color w:val="auto"/>
              </w:rPr>
              <w:t xml:space="preserve">Queensland (QLD) </w:t>
            </w:r>
            <w:r w:rsidRPr="00F00A18">
              <w:rPr>
                <w:b/>
                <w:color w:val="auto"/>
              </w:rPr>
              <w:t>Performance requirements, reporting and payment summary</w:t>
            </w:r>
          </w:p>
        </w:tc>
      </w:tr>
      <w:tr w:rsidR="0046090A" w:rsidRPr="00F00A18" w14:paraId="7F4B45BA" w14:textId="77777777" w:rsidTr="00535943">
        <w:tc>
          <w:tcPr>
            <w:tcW w:w="2117" w:type="dxa"/>
            <w:shd w:val="clear" w:color="auto" w:fill="F2F2F2" w:themeFill="background1" w:themeFillShade="F2"/>
          </w:tcPr>
          <w:p w14:paraId="350E308D" w14:textId="77777777" w:rsidR="0046090A" w:rsidRPr="00F00A18" w:rsidRDefault="0046090A" w:rsidP="00273CF3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Output</w:t>
            </w:r>
          </w:p>
        </w:tc>
        <w:tc>
          <w:tcPr>
            <w:tcW w:w="8646" w:type="dxa"/>
            <w:shd w:val="clear" w:color="auto" w:fill="F2F2F2" w:themeFill="background1" w:themeFillShade="F2"/>
          </w:tcPr>
          <w:p w14:paraId="7C694F2F" w14:textId="77777777" w:rsidR="0046090A" w:rsidRPr="00F00A18" w:rsidRDefault="0046090A" w:rsidP="00273CF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F0FC697" w14:textId="506F9D63" w:rsidR="0046090A" w:rsidRPr="00F00A18" w:rsidRDefault="00446F8B" w:rsidP="00273CF3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Due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428D42" w14:textId="77777777" w:rsidR="0046090A" w:rsidRPr="00F00A18" w:rsidRDefault="0046090A" w:rsidP="00273CF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111B96" w:rsidRPr="005D48A5" w14:paraId="5EF7360C" w14:textId="77777777" w:rsidTr="00DC7B64">
        <w:trPr>
          <w:trHeight w:val="1130"/>
        </w:trPr>
        <w:tc>
          <w:tcPr>
            <w:tcW w:w="211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355775C3" w14:textId="77777777" w:rsidR="00111B96" w:rsidRDefault="00111B96" w:rsidP="00111B96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</w:p>
          <w:p w14:paraId="658507E2" w14:textId="774D7F5F" w:rsidR="00111B96" w:rsidRPr="005D48A5" w:rsidRDefault="00111B96" w:rsidP="00111B96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Terms of Reference</w:t>
            </w:r>
          </w:p>
        </w:tc>
        <w:tc>
          <w:tcPr>
            <w:tcW w:w="864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731C4EED" w14:textId="77777777" w:rsidR="00111B96" w:rsidRPr="00AD2FFD" w:rsidRDefault="00111B96" w:rsidP="00111B96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 1</w:t>
            </w:r>
          </w:p>
          <w:p w14:paraId="3B8C61E3" w14:textId="4E8E08F0" w:rsidR="00111B96" w:rsidRDefault="00111B96" w:rsidP="00111B96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Endorsement by </w:t>
            </w:r>
            <w:r w:rsidR="002D57D4">
              <w:rPr>
                <w:color w:val="000000" w:themeColor="text1"/>
                <w:sz w:val="22"/>
                <w:szCs w:val="22"/>
                <w:lang w:val="en-AU"/>
              </w:rPr>
              <w:t>Q</w:t>
            </w:r>
            <w:r w:rsidR="00B62D75">
              <w:rPr>
                <w:color w:val="000000" w:themeColor="text1"/>
                <w:sz w:val="22"/>
                <w:szCs w:val="22"/>
                <w:lang w:val="en-AU"/>
              </w:rPr>
              <w:t>LD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of the Joint Committee Monitoring Program Terms of Reference outlining the functions of the Committee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39413D0" w14:textId="64F5B7D4" w:rsidR="00111B96" w:rsidRDefault="00446F8B" w:rsidP="00111B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</w:t>
            </w:r>
            <w:r w:rsidR="00111B96">
              <w:rPr>
                <w:color w:val="auto"/>
                <w:sz w:val="22"/>
                <w:szCs w:val="22"/>
              </w:rPr>
              <w:t xml:space="preserve"> 2026</w:t>
            </w:r>
          </w:p>
        </w:tc>
        <w:tc>
          <w:tcPr>
            <w:tcW w:w="1984" w:type="dxa"/>
            <w:vAlign w:val="center"/>
          </w:tcPr>
          <w:p w14:paraId="32C8DDF1" w14:textId="5F363D93" w:rsidR="00111B96" w:rsidRDefault="00111B96" w:rsidP="00111B96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$620,000</w:t>
            </w:r>
          </w:p>
        </w:tc>
      </w:tr>
      <w:tr w:rsidR="00111B96" w:rsidRPr="005D48A5" w14:paraId="3B010CB5" w14:textId="77777777" w:rsidTr="00535943">
        <w:trPr>
          <w:trHeight w:val="3975"/>
        </w:trPr>
        <w:tc>
          <w:tcPr>
            <w:tcW w:w="211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414EE525" w14:textId="37BC568F" w:rsidR="00111B96" w:rsidRPr="00AC6841" w:rsidRDefault="00111B96" w:rsidP="00111B96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 w:rsidRPr="005D48A5">
              <w:rPr>
                <w:color w:val="000000" w:themeColor="text1"/>
                <w:sz w:val="22"/>
                <w:szCs w:val="22"/>
              </w:rPr>
              <w:t>Report</w:t>
            </w:r>
            <w:r>
              <w:rPr>
                <w:color w:val="000000" w:themeColor="text1"/>
                <w:sz w:val="22"/>
                <w:szCs w:val="22"/>
              </w:rPr>
              <w:t xml:space="preserve"> on information sharing</w:t>
            </w:r>
          </w:p>
        </w:tc>
        <w:tc>
          <w:tcPr>
            <w:tcW w:w="864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035CDC44" w14:textId="77777777" w:rsidR="00111B96" w:rsidRPr="00AD2FFD" w:rsidRDefault="00111B96" w:rsidP="00111B96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Milestones 2, 3 and 4</w:t>
            </w:r>
          </w:p>
          <w:p w14:paraId="1C7ABD00" w14:textId="7FA31A58" w:rsidR="00111B96" w:rsidRPr="003D286C" w:rsidRDefault="00111B96" w:rsidP="00111B96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Commonwealth acceptance that </w:t>
            </w:r>
            <w:r w:rsidR="001E0D46">
              <w:rPr>
                <w:color w:val="000000" w:themeColor="text1"/>
                <w:sz w:val="22"/>
                <w:szCs w:val="22"/>
                <w:lang w:val="en-AU"/>
              </w:rPr>
              <w:t>Q</w:t>
            </w:r>
            <w:r w:rsidR="00B62D75">
              <w:rPr>
                <w:color w:val="000000" w:themeColor="text1"/>
                <w:sz w:val="22"/>
                <w:szCs w:val="22"/>
                <w:lang w:val="en-AU"/>
              </w:rPr>
              <w:t>LD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produce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d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a 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yearly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JCMP Report covering: </w:t>
            </w:r>
          </w:p>
          <w:p w14:paraId="2BB1677E" w14:textId="77777777" w:rsidR="00111B96" w:rsidRPr="003D286C" w:rsidRDefault="00111B96" w:rsidP="00111B96">
            <w:pPr>
              <w:pStyle w:val="Milestonetable"/>
              <w:numPr>
                <w:ilvl w:val="1"/>
                <w:numId w:val="25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JCMP case activity: number of cases initiated, progress status, and outcomes.</w:t>
            </w:r>
          </w:p>
          <w:p w14:paraId="4FDC12FB" w14:textId="77777777" w:rsidR="00111B96" w:rsidRDefault="00111B96" w:rsidP="00111B96">
            <w:pPr>
              <w:pStyle w:val="Milestonetable"/>
              <w:numPr>
                <w:ilvl w:val="1"/>
                <w:numId w:val="25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Performance against agreed metrics: timeliness, compliance actions, and resolution rates.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48D10897" w14:textId="77777777" w:rsidR="00111B96" w:rsidRPr="00DC2E35" w:rsidRDefault="00111B96" w:rsidP="00111B96">
            <w:pPr>
              <w:pStyle w:val="Milestonetable"/>
              <w:numPr>
                <w:ilvl w:val="2"/>
                <w:numId w:val="25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Timeliness can be shown by</w:t>
            </w:r>
            <w:r w:rsidRPr="00DE5A83">
              <w:rPr>
                <w:color w:val="000000" w:themeColor="text1"/>
                <w:sz w:val="22"/>
                <w:szCs w:val="22"/>
                <w:lang w:val="en-AU"/>
              </w:rPr>
              <w:t xml:space="preserve"> demonstrating the efficiency of the triage process and the efficiency in decision making.</w:t>
            </w:r>
          </w:p>
          <w:p w14:paraId="164367CB" w14:textId="77777777" w:rsidR="00111B96" w:rsidRDefault="00111B96" w:rsidP="00111B96">
            <w:pPr>
              <w:pStyle w:val="Milestonetable"/>
              <w:numPr>
                <w:ilvl w:val="2"/>
                <w:numId w:val="25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Compliance action can be demonstrated by measuring number of cases and the impact of their outcomes.</w:t>
            </w:r>
          </w:p>
          <w:p w14:paraId="32F18F8B" w14:textId="77777777" w:rsidR="00111B96" w:rsidRPr="008F2ABD" w:rsidRDefault="00111B96" w:rsidP="00111B96">
            <w:pPr>
              <w:pStyle w:val="Milestonetable"/>
              <w:numPr>
                <w:ilvl w:val="2"/>
                <w:numId w:val="25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Resolution can be demonstrated by measuring productivity, outcomes and changes in behaviour. </w:t>
            </w:r>
          </w:p>
          <w:p w14:paraId="7B2C86A1" w14:textId="781C9532" w:rsidR="00111B96" w:rsidRPr="00432C80" w:rsidRDefault="00111B96" w:rsidP="00111B96">
            <w:pPr>
              <w:pStyle w:val="Milestonetable"/>
              <w:numPr>
                <w:ilvl w:val="0"/>
                <w:numId w:val="25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Incident and deviation reporting: any breaches, delays, or systemic issues identified.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14AE7C33" w14:textId="77777777" w:rsidR="00111B96" w:rsidRDefault="00111B96" w:rsidP="00111B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07898438" w14:textId="77777777" w:rsidR="00111B96" w:rsidRDefault="00111B96" w:rsidP="00111B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2027</w:t>
            </w:r>
          </w:p>
          <w:p w14:paraId="7E61E357" w14:textId="77777777" w:rsidR="00111B96" w:rsidRPr="005D48A5" w:rsidRDefault="00111B96" w:rsidP="00111B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0C5B7D11" w14:textId="77777777" w:rsidR="00111B96" w:rsidRDefault="00111B96" w:rsidP="00111B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2028</w:t>
            </w:r>
          </w:p>
          <w:p w14:paraId="3378B3BD" w14:textId="77777777" w:rsidR="00111B96" w:rsidRPr="731A86F9" w:rsidRDefault="00111B96" w:rsidP="00111B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38943765" w14:textId="77777777" w:rsidR="00111B96" w:rsidRDefault="00111B96" w:rsidP="00111B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2029</w:t>
            </w:r>
          </w:p>
          <w:p w14:paraId="7635D163" w14:textId="63E0356C" w:rsidR="00111B96" w:rsidRPr="005D48A5" w:rsidRDefault="00111B96" w:rsidP="00111B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FBEF0C" w14:textId="77777777" w:rsidR="001E0D46" w:rsidRDefault="001E0D46" w:rsidP="00111B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4E51C866" w14:textId="427C0C98" w:rsidR="00111B96" w:rsidRDefault="00111B96" w:rsidP="00111B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  <w:p w14:paraId="4F2423CA" w14:textId="77777777" w:rsidR="001E0D46" w:rsidRDefault="001E0D46" w:rsidP="00111B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5B365E2D" w14:textId="5194A8FF" w:rsidR="00111B96" w:rsidRDefault="00111B96" w:rsidP="00111B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  <w:p w14:paraId="563904C5" w14:textId="77777777" w:rsidR="001E0D46" w:rsidRDefault="001E0D46" w:rsidP="00111B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28A4F2CE" w14:textId="653FA8BB" w:rsidR="00111B96" w:rsidRPr="004E5B80" w:rsidRDefault="00111B96" w:rsidP="00111B96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</w:tc>
      </w:tr>
    </w:tbl>
    <w:p w14:paraId="7DFDAF72" w14:textId="7B2A0163" w:rsidR="00BF58EA" w:rsidRDefault="00BF58EA" w:rsidP="002274B4">
      <w:pPr>
        <w:widowControl/>
        <w:spacing w:after="160" w:line="259" w:lineRule="auto"/>
        <w:rPr>
          <w:lang w:val="en-GB"/>
        </w:rPr>
      </w:pPr>
      <w:r>
        <w:rPr>
          <w:sz w:val="24"/>
          <w:szCs w:val="24"/>
        </w:rPr>
        <w:t>The Par</w:t>
      </w:r>
      <w:r w:rsidRPr="00F00A18">
        <w:rPr>
          <w:sz w:val="24"/>
          <w:szCs w:val="24"/>
        </w:rPr>
        <w:t>ties</w:t>
      </w:r>
      <w:r w:rsidRPr="00F00A18">
        <w:rPr>
          <w:lang w:val="en-GB"/>
        </w:rPr>
        <w:t xml:space="preserve"> have confirmed their commitment to this schedule as follows:</w:t>
      </w:r>
    </w:p>
    <w:tbl>
      <w:tblPr>
        <w:tblW w:w="13750" w:type="dxa"/>
        <w:jc w:val="center"/>
        <w:tblLayout w:type="fixed"/>
        <w:tblLook w:val="01E0" w:firstRow="1" w:lastRow="1" w:firstColumn="1" w:lastColumn="1" w:noHBand="0" w:noVBand="0"/>
      </w:tblPr>
      <w:tblGrid>
        <w:gridCol w:w="5387"/>
        <w:gridCol w:w="1701"/>
        <w:gridCol w:w="6662"/>
      </w:tblGrid>
      <w:tr w:rsidR="00BF58EA" w:rsidRPr="00F00A18" w14:paraId="64EC2445" w14:textId="77777777" w:rsidTr="00D242AD">
        <w:trPr>
          <w:cantSplit/>
          <w:jc w:val="center"/>
        </w:trPr>
        <w:tc>
          <w:tcPr>
            <w:tcW w:w="5387" w:type="dxa"/>
          </w:tcPr>
          <w:p w14:paraId="30EE0577" w14:textId="77777777" w:rsidR="00BF58EA" w:rsidRPr="00F00A18" w:rsidRDefault="00BF58EA" w:rsidP="00A53E57">
            <w:pPr>
              <w:pStyle w:val="Signed"/>
              <w:jc w:val="left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Australia by</w:t>
            </w:r>
          </w:p>
          <w:p w14:paraId="365462A0" w14:textId="7FA94C19" w:rsidR="00BF58EA" w:rsidRPr="00F00A18" w:rsidRDefault="00BF58EA" w:rsidP="00A53E57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5E585709" w14:textId="77777777" w:rsidR="00BF58EA" w:rsidRPr="00F00A18" w:rsidRDefault="00BF58EA" w:rsidP="00A53E57">
            <w:pPr>
              <w:pStyle w:val="SingleParagraph"/>
              <w:jc w:val="left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Jason Clare</w:t>
            </w:r>
            <w:r w:rsidRPr="00F00A18">
              <w:rPr>
                <w:rStyle w:val="Bold"/>
                <w:color w:val="auto"/>
              </w:rPr>
              <w:t xml:space="preserve"> MP</w:t>
            </w:r>
          </w:p>
          <w:p w14:paraId="7E0FD5F9" w14:textId="77777777" w:rsidR="00BF58EA" w:rsidRPr="00F00A18" w:rsidRDefault="00BF58EA" w:rsidP="00A53E57">
            <w:pPr>
              <w:pStyle w:val="Position"/>
              <w:jc w:val="left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</w:t>
            </w:r>
            <w:r>
              <w:rPr>
                <w:color w:val="auto"/>
                <w:lang w:val="en-GB"/>
              </w:rPr>
              <w:t>Education</w:t>
            </w:r>
            <w:r w:rsidRPr="00F00A18">
              <w:rPr>
                <w:color w:val="auto"/>
                <w:lang w:val="en-GB"/>
              </w:rPr>
              <w:t xml:space="preserve"> </w:t>
            </w:r>
          </w:p>
          <w:p w14:paraId="4090AC44" w14:textId="445CBD18" w:rsidR="00BF58EA" w:rsidRPr="00F00A18" w:rsidRDefault="00DC7B64" w:rsidP="00A53E57">
            <w:pPr>
              <w:pStyle w:val="SingleParagraph"/>
              <w:tabs>
                <w:tab w:val="num" w:pos="1134"/>
              </w:tabs>
              <w:spacing w:after="240"/>
              <w:jc w:val="left"/>
              <w:rPr>
                <w:b/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 xml:space="preserve">              </w:t>
            </w:r>
            <w:r w:rsidR="00B62D75">
              <w:rPr>
                <w:color w:val="auto"/>
                <w:lang w:val="en-GB"/>
              </w:rPr>
              <w:t xml:space="preserve">      </w:t>
            </w:r>
            <w:r w:rsidR="003B2E53">
              <w:rPr>
                <w:color w:val="auto"/>
                <w:lang w:val="en-GB"/>
              </w:rPr>
              <w:t>2026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92D7B75" w14:textId="77777777" w:rsidR="00BF58EA" w:rsidRPr="00F00A18" w:rsidRDefault="00BF58EA" w:rsidP="00273CF3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6662" w:type="dxa"/>
          </w:tcPr>
          <w:p w14:paraId="70C3857D" w14:textId="77777777" w:rsidR="00BF58EA" w:rsidRPr="004A0AE7" w:rsidRDefault="00BF58EA" w:rsidP="00A53E57">
            <w:pPr>
              <w:pStyle w:val="Signed"/>
              <w:jc w:val="left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>State of Queensland by</w:t>
            </w:r>
          </w:p>
          <w:p w14:paraId="530ADB7A" w14:textId="77777777" w:rsidR="00BF58EA" w:rsidRPr="00F00A18" w:rsidRDefault="00BF58EA" w:rsidP="00A53E57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48AEB9F4" w14:textId="77777777" w:rsidR="00BF58EA" w:rsidRDefault="00BF58EA" w:rsidP="00A53E57">
            <w:pPr>
              <w:pStyle w:val="SingleParagraph"/>
              <w:jc w:val="left"/>
              <w:rPr>
                <w:b/>
              </w:rPr>
            </w:pPr>
            <w:r>
              <w:rPr>
                <w:b/>
              </w:rPr>
              <w:t xml:space="preserve">The Honourable </w:t>
            </w:r>
            <w:r>
              <w:rPr>
                <w:rStyle w:val="Bold"/>
              </w:rPr>
              <w:t xml:space="preserve">John-Paul Langbroek </w:t>
            </w:r>
            <w:r>
              <w:rPr>
                <w:b/>
              </w:rPr>
              <w:t>MP</w:t>
            </w:r>
          </w:p>
          <w:p w14:paraId="7220B163" w14:textId="77777777" w:rsidR="00BF58EA" w:rsidRDefault="00BF58EA" w:rsidP="00A53E57">
            <w:pPr>
              <w:pStyle w:val="Position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Minister for Education </w:t>
            </w:r>
          </w:p>
          <w:p w14:paraId="2DAAE989" w14:textId="04203C56" w:rsidR="00BF58EA" w:rsidRPr="00F00A18" w:rsidRDefault="00B62D75" w:rsidP="00A53E57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 xml:space="preserve">                      </w:t>
            </w:r>
            <w:r w:rsidR="00BF58EA">
              <w:rPr>
                <w:lang w:val="en-GB"/>
              </w:rPr>
              <w:t xml:space="preserve">  </w:t>
            </w:r>
            <w:r w:rsidR="003B2E53">
              <w:rPr>
                <w:lang w:val="en-GB"/>
              </w:rPr>
              <w:t>2026</w:t>
            </w:r>
          </w:p>
        </w:tc>
      </w:tr>
    </w:tbl>
    <w:p w14:paraId="05083908" w14:textId="77777777" w:rsidR="009F7C24" w:rsidRDefault="009F7C24" w:rsidP="009F7C24"/>
    <w:tbl>
      <w:tblPr>
        <w:tblW w:w="5257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8649"/>
        <w:gridCol w:w="2552"/>
        <w:gridCol w:w="1983"/>
      </w:tblGrid>
      <w:tr w:rsidR="009F7C24" w:rsidRPr="00F00A18" w14:paraId="0A2F434A" w14:textId="77777777" w:rsidTr="00D31B3D">
        <w:tc>
          <w:tcPr>
            <w:tcW w:w="15298" w:type="dxa"/>
            <w:gridSpan w:val="4"/>
            <w:shd w:val="clear" w:color="auto" w:fill="DEEAF6" w:themeFill="accent1" w:themeFillTint="33"/>
          </w:tcPr>
          <w:p w14:paraId="2780905F" w14:textId="3181ADD8" w:rsidR="009F7C24" w:rsidRPr="00F00A18" w:rsidRDefault="009F7C24" w:rsidP="00556412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</w:t>
            </w:r>
            <w:r w:rsidR="008D1464">
              <w:rPr>
                <w:b/>
                <w:color w:val="auto"/>
              </w:rPr>
              <w:t>D</w:t>
            </w:r>
            <w:r w:rsidRPr="00F00A18">
              <w:rPr>
                <w:b/>
                <w:color w:val="auto"/>
              </w:rPr>
              <w:t xml:space="preserve">: </w:t>
            </w:r>
            <w:r>
              <w:rPr>
                <w:b/>
                <w:color w:val="auto"/>
              </w:rPr>
              <w:t xml:space="preserve">Western Australia (WA) </w:t>
            </w:r>
            <w:r w:rsidRPr="00F00A18">
              <w:rPr>
                <w:b/>
                <w:color w:val="auto"/>
              </w:rPr>
              <w:t>Performance requirements, reporting and payment summary</w:t>
            </w:r>
          </w:p>
        </w:tc>
      </w:tr>
      <w:tr w:rsidR="009F7C24" w:rsidRPr="00F00A18" w14:paraId="2AA17E1D" w14:textId="77777777" w:rsidTr="00D31B3D">
        <w:tc>
          <w:tcPr>
            <w:tcW w:w="2114" w:type="dxa"/>
            <w:shd w:val="clear" w:color="auto" w:fill="F2F2F2" w:themeFill="background1" w:themeFillShade="F2"/>
          </w:tcPr>
          <w:p w14:paraId="523518E4" w14:textId="77777777" w:rsidR="009F7C24" w:rsidRPr="00F00A18" w:rsidRDefault="009F7C24" w:rsidP="00556412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Output</w:t>
            </w:r>
          </w:p>
        </w:tc>
        <w:tc>
          <w:tcPr>
            <w:tcW w:w="8649" w:type="dxa"/>
            <w:shd w:val="clear" w:color="auto" w:fill="F2F2F2" w:themeFill="background1" w:themeFillShade="F2"/>
          </w:tcPr>
          <w:p w14:paraId="5A08C6B5" w14:textId="77777777" w:rsidR="009F7C24" w:rsidRPr="00F00A18" w:rsidRDefault="009F7C24" w:rsidP="00556412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DBBEC77" w14:textId="419A2A30" w:rsidR="009F7C24" w:rsidRPr="00F00A18" w:rsidRDefault="00446F8B" w:rsidP="00556412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Due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4D6B5B7C" w14:textId="77777777" w:rsidR="009F7C24" w:rsidRPr="00F00A18" w:rsidRDefault="009F7C24" w:rsidP="00556412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D31B3D" w:rsidRPr="005D48A5" w14:paraId="26CB6AF5" w14:textId="77777777" w:rsidTr="00D31B3D">
        <w:trPr>
          <w:trHeight w:val="1130"/>
        </w:trPr>
        <w:tc>
          <w:tcPr>
            <w:tcW w:w="2114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5EBCB63E" w14:textId="77777777" w:rsidR="00D31B3D" w:rsidRDefault="00D31B3D" w:rsidP="009D50E5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</w:p>
          <w:p w14:paraId="08A84DC1" w14:textId="77777777" w:rsidR="00D31B3D" w:rsidRPr="005D48A5" w:rsidRDefault="00D31B3D" w:rsidP="009D50E5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Terms of Reference</w:t>
            </w:r>
          </w:p>
        </w:tc>
        <w:tc>
          <w:tcPr>
            <w:tcW w:w="864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3BBBA7CD" w14:textId="77777777" w:rsidR="00D31B3D" w:rsidRPr="00AD2FFD" w:rsidRDefault="00D31B3D" w:rsidP="009D50E5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 1</w:t>
            </w:r>
          </w:p>
          <w:p w14:paraId="29213047" w14:textId="7A68DDF9" w:rsidR="00D31B3D" w:rsidRDefault="00D31B3D" w:rsidP="009D50E5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Endorsement by </w:t>
            </w:r>
            <w:r w:rsidR="00621E08">
              <w:rPr>
                <w:color w:val="000000" w:themeColor="text1"/>
                <w:sz w:val="22"/>
                <w:szCs w:val="22"/>
                <w:lang w:val="en-AU"/>
              </w:rPr>
              <w:t>WA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of the Joint Committee Monitoring Program Terms of Reference outlining the functions of the Committee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945CE3C" w14:textId="52515C09" w:rsidR="00D31B3D" w:rsidRDefault="00446F8B" w:rsidP="009D50E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</w:t>
            </w:r>
            <w:r w:rsidR="00D31B3D">
              <w:rPr>
                <w:color w:val="auto"/>
                <w:sz w:val="22"/>
                <w:szCs w:val="22"/>
              </w:rPr>
              <w:t xml:space="preserve"> 2026</w:t>
            </w:r>
          </w:p>
        </w:tc>
        <w:tc>
          <w:tcPr>
            <w:tcW w:w="1983" w:type="dxa"/>
            <w:vAlign w:val="center"/>
          </w:tcPr>
          <w:p w14:paraId="5A218856" w14:textId="3C97B40F" w:rsidR="00621E08" w:rsidRDefault="00621E08" w:rsidP="00621E08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>$400,000</w:t>
            </w:r>
          </w:p>
          <w:p w14:paraId="0605C7B7" w14:textId="53782A40" w:rsidR="00D31B3D" w:rsidRDefault="00D31B3D" w:rsidP="009D50E5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21E70" w:rsidRPr="005D48A5" w14:paraId="21ECA3CF" w14:textId="77777777" w:rsidTr="007F6CD9">
        <w:trPr>
          <w:trHeight w:val="3921"/>
        </w:trPr>
        <w:tc>
          <w:tcPr>
            <w:tcW w:w="2114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106FDEC0" w14:textId="77777777" w:rsidR="00D21E70" w:rsidRPr="00AC6841" w:rsidRDefault="00D21E70" w:rsidP="00556412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 w:rsidRPr="005D48A5">
              <w:rPr>
                <w:color w:val="000000" w:themeColor="text1"/>
                <w:sz w:val="22"/>
                <w:szCs w:val="22"/>
              </w:rPr>
              <w:t>Report</w:t>
            </w:r>
            <w:r>
              <w:rPr>
                <w:color w:val="000000" w:themeColor="text1"/>
                <w:sz w:val="22"/>
                <w:szCs w:val="22"/>
              </w:rPr>
              <w:t xml:space="preserve"> on information sharing.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864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45BEAA18" w14:textId="77777777" w:rsidR="00D21E70" w:rsidRPr="00AD2FFD" w:rsidRDefault="00D21E70" w:rsidP="00621E08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Milestones 2, 3 and 4</w:t>
            </w:r>
          </w:p>
          <w:p w14:paraId="3E902379" w14:textId="215BD02F" w:rsidR="00D21E70" w:rsidRPr="003D286C" w:rsidRDefault="00D21E70" w:rsidP="00621E08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Commonwealth acceptance that WA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produce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d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a 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yearly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JCMP Report covering: </w:t>
            </w:r>
          </w:p>
          <w:p w14:paraId="3AADC11C" w14:textId="77777777" w:rsidR="00D21E70" w:rsidRPr="003D286C" w:rsidRDefault="00D21E70" w:rsidP="00621E08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JCMP case activity: number of cases initiated, progress status, and outcomes.</w:t>
            </w:r>
          </w:p>
          <w:p w14:paraId="36D61515" w14:textId="77777777" w:rsidR="00D21E70" w:rsidRDefault="00D21E70" w:rsidP="00621E08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Performance against agreed metrics: timeliness, compliance actions, and resolution rates.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4DF38C29" w14:textId="77777777" w:rsidR="00D21E70" w:rsidRPr="00DC2E35" w:rsidRDefault="00D21E70" w:rsidP="00621E08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Timeliness can be shown by</w:t>
            </w:r>
            <w:r w:rsidRPr="00DE5A83">
              <w:rPr>
                <w:color w:val="000000" w:themeColor="text1"/>
                <w:sz w:val="22"/>
                <w:szCs w:val="22"/>
                <w:lang w:val="en-AU"/>
              </w:rPr>
              <w:t xml:space="preserve"> demonstrating the efficiency of the triage process and the efficiency in decision making.</w:t>
            </w:r>
          </w:p>
          <w:p w14:paraId="1354F051" w14:textId="77777777" w:rsidR="00D21E70" w:rsidRDefault="00D21E70" w:rsidP="00621E08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Compliance action can be demonstrated by measuring number of cases and the impact of their outcomes.</w:t>
            </w:r>
          </w:p>
          <w:p w14:paraId="3C940AB9" w14:textId="77777777" w:rsidR="00D21E70" w:rsidRPr="008F2ABD" w:rsidRDefault="00D21E70" w:rsidP="00621E08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Resolution can be demonstrated by measuring productivity, outcomes and changes in behaviour. </w:t>
            </w:r>
          </w:p>
          <w:p w14:paraId="79CCFCE0" w14:textId="166C36FF" w:rsidR="00D21E70" w:rsidRPr="002E19CE" w:rsidRDefault="00D21E70" w:rsidP="00621E08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Incident and deviation reporting: any breaches, delays, or systemic issues identified.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480E03F4" w14:textId="77777777" w:rsidR="00D21E70" w:rsidRDefault="00D21E70" w:rsidP="0055641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7EBE6F80" w14:textId="77777777" w:rsidR="00D21E70" w:rsidRDefault="00D21E70" w:rsidP="00D21E70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2027</w:t>
            </w:r>
          </w:p>
          <w:p w14:paraId="2AD0F4CB" w14:textId="77777777" w:rsidR="00D21E70" w:rsidRPr="005D48A5" w:rsidRDefault="00D21E70" w:rsidP="00D21E70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2D4BE8FD" w14:textId="77777777" w:rsidR="00D21E70" w:rsidRDefault="00D21E70" w:rsidP="00D21E70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2028</w:t>
            </w:r>
          </w:p>
          <w:p w14:paraId="34996286" w14:textId="77777777" w:rsidR="00D21E70" w:rsidRPr="731A86F9" w:rsidRDefault="00D21E70" w:rsidP="00D21E70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7B6579E8" w14:textId="77777777" w:rsidR="00D21E70" w:rsidRDefault="00D21E70" w:rsidP="00D21E70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2029</w:t>
            </w:r>
          </w:p>
          <w:p w14:paraId="781D7356" w14:textId="694DFB85" w:rsidR="00D21E70" w:rsidRPr="005D48A5" w:rsidRDefault="00D21E70" w:rsidP="0055641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br/>
            </w:r>
          </w:p>
        </w:tc>
        <w:tc>
          <w:tcPr>
            <w:tcW w:w="1983" w:type="dxa"/>
          </w:tcPr>
          <w:p w14:paraId="26AD989C" w14:textId="77777777" w:rsidR="00D21E70" w:rsidRDefault="00D21E70" w:rsidP="00556412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CC45C41" w14:textId="327038E4" w:rsidR="00D21E70" w:rsidRDefault="00D21E70" w:rsidP="00556412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  <w:p w14:paraId="2B1F5284" w14:textId="77777777" w:rsidR="00D21E70" w:rsidRDefault="00D21E70" w:rsidP="0055641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1A34A7E3" w14:textId="1A2F7EC7" w:rsidR="00D21E70" w:rsidRPr="731A86F9" w:rsidRDefault="00D21E70" w:rsidP="0055641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  <w:p w14:paraId="0A20D79B" w14:textId="77777777" w:rsidR="00D21E70" w:rsidRDefault="00D21E70" w:rsidP="0055641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53A95347" w14:textId="57198C1B" w:rsidR="00D21E70" w:rsidRPr="005D48A5" w:rsidRDefault="00D21E70" w:rsidP="0055641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</w:tc>
      </w:tr>
    </w:tbl>
    <w:p w14:paraId="2E41F2B5" w14:textId="77777777" w:rsidR="007F6CD9" w:rsidRDefault="007F6CD9" w:rsidP="009F7C24">
      <w:pPr>
        <w:tabs>
          <w:tab w:val="left" w:pos="3865"/>
        </w:tabs>
        <w:rPr>
          <w:sz w:val="24"/>
          <w:szCs w:val="24"/>
        </w:rPr>
      </w:pPr>
    </w:p>
    <w:p w14:paraId="7E87ACB5" w14:textId="772A5669" w:rsidR="009F7C24" w:rsidRPr="002844E6" w:rsidRDefault="009F7C24" w:rsidP="009F7C24">
      <w:pPr>
        <w:tabs>
          <w:tab w:val="left" w:pos="3865"/>
        </w:tabs>
      </w:pPr>
      <w:r>
        <w:rPr>
          <w:sz w:val="24"/>
          <w:szCs w:val="24"/>
        </w:rPr>
        <w:t>The Par</w:t>
      </w:r>
      <w:r w:rsidRPr="00F00A18">
        <w:rPr>
          <w:sz w:val="24"/>
          <w:szCs w:val="24"/>
        </w:rPr>
        <w:t>ties</w:t>
      </w:r>
      <w:r w:rsidRPr="00F00A18">
        <w:rPr>
          <w:lang w:val="en-GB"/>
        </w:rPr>
        <w:t xml:space="preserve"> have confirmed their commitment to this schedule as follows:</w:t>
      </w:r>
    </w:p>
    <w:tbl>
      <w:tblPr>
        <w:tblW w:w="1233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1985"/>
        <w:gridCol w:w="5245"/>
      </w:tblGrid>
      <w:tr w:rsidR="009F7C24" w:rsidRPr="00F00A18" w14:paraId="3DE3A7A5" w14:textId="77777777" w:rsidTr="00556412">
        <w:trPr>
          <w:cantSplit/>
          <w:jc w:val="center"/>
        </w:trPr>
        <w:tc>
          <w:tcPr>
            <w:tcW w:w="5103" w:type="dxa"/>
          </w:tcPr>
          <w:p w14:paraId="44E38C1D" w14:textId="77777777" w:rsidR="009F7C24" w:rsidRPr="00F00A18" w:rsidRDefault="009F7C24" w:rsidP="00556412">
            <w:pPr>
              <w:pStyle w:val="Signed"/>
              <w:jc w:val="left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Australia by</w:t>
            </w:r>
          </w:p>
          <w:p w14:paraId="6882FB44" w14:textId="77777777" w:rsidR="009F7C24" w:rsidRPr="00F00A18" w:rsidRDefault="009F7C24" w:rsidP="00556412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03EE4B87" w14:textId="77777777" w:rsidR="009F7C24" w:rsidRPr="00F00A18" w:rsidRDefault="009F7C24" w:rsidP="00556412">
            <w:pPr>
              <w:pStyle w:val="SingleParagraph"/>
              <w:jc w:val="left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Jason Clare</w:t>
            </w:r>
            <w:r w:rsidRPr="00F00A18">
              <w:rPr>
                <w:rStyle w:val="Bold"/>
                <w:color w:val="auto"/>
              </w:rPr>
              <w:t xml:space="preserve"> MP</w:t>
            </w:r>
          </w:p>
          <w:p w14:paraId="67D43C21" w14:textId="77777777" w:rsidR="009F7C24" w:rsidRPr="00F00A18" w:rsidRDefault="009F7C24" w:rsidP="00556412">
            <w:pPr>
              <w:pStyle w:val="Position"/>
              <w:jc w:val="left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</w:t>
            </w:r>
            <w:r>
              <w:rPr>
                <w:color w:val="auto"/>
                <w:lang w:val="en-GB"/>
              </w:rPr>
              <w:t>Education</w:t>
            </w:r>
            <w:r w:rsidRPr="00F00A18">
              <w:rPr>
                <w:color w:val="auto"/>
                <w:lang w:val="en-GB"/>
              </w:rPr>
              <w:t xml:space="preserve"> </w:t>
            </w:r>
          </w:p>
          <w:p w14:paraId="54139FC5" w14:textId="2C6A79CF" w:rsidR="009F7C24" w:rsidRPr="00F00A18" w:rsidRDefault="00D21E70" w:rsidP="00556412">
            <w:pPr>
              <w:pStyle w:val="SingleParagraph"/>
              <w:tabs>
                <w:tab w:val="num" w:pos="1134"/>
              </w:tabs>
              <w:spacing w:after="240"/>
              <w:jc w:val="left"/>
              <w:rPr>
                <w:b/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 xml:space="preserve">                                 </w:t>
            </w:r>
            <w:r w:rsidR="009F7C24" w:rsidRPr="00F00A18">
              <w:rPr>
                <w:color w:val="auto"/>
                <w:lang w:val="en-GB"/>
              </w:rPr>
              <w:t xml:space="preserve">  </w:t>
            </w:r>
            <w:r w:rsidR="009F7C24">
              <w:rPr>
                <w:lang w:val="en-GB"/>
              </w:rPr>
              <w:t>2026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14:paraId="0FE523FB" w14:textId="77777777" w:rsidR="009F7C24" w:rsidRPr="00F00A18" w:rsidRDefault="009F7C24" w:rsidP="00556412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5245" w:type="dxa"/>
          </w:tcPr>
          <w:p w14:paraId="64A21EBC" w14:textId="77777777" w:rsidR="009F7C24" w:rsidRPr="004A0AE7" w:rsidRDefault="009F7C24" w:rsidP="00556412">
            <w:pPr>
              <w:pStyle w:val="Signed"/>
              <w:jc w:val="left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Western Australia</w:t>
                </w:r>
              </w:smartTag>
            </w:smartTag>
            <w:r w:rsidRPr="004A0AE7">
              <w:t xml:space="preserve"> by</w:t>
            </w:r>
          </w:p>
          <w:p w14:paraId="3A82083C" w14:textId="77777777" w:rsidR="009F7C24" w:rsidRPr="00F00A18" w:rsidRDefault="009F7C24" w:rsidP="00556412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2982BBE4" w14:textId="77777777" w:rsidR="009F7C24" w:rsidRDefault="009F7C24" w:rsidP="00556412">
            <w:pPr>
              <w:pStyle w:val="SingleParagraph"/>
              <w:jc w:val="left"/>
              <w:rPr>
                <w:rStyle w:val="Bold"/>
              </w:rPr>
            </w:pPr>
            <w:r>
              <w:rPr>
                <w:rStyle w:val="Bold"/>
              </w:rPr>
              <w:t>Ms Sabine Winton MLA</w:t>
            </w:r>
          </w:p>
          <w:p w14:paraId="176EE85B" w14:textId="77777777" w:rsidR="009F7C24" w:rsidRDefault="009F7C24" w:rsidP="00556412">
            <w:pPr>
              <w:pStyle w:val="Position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Minister for Education </w:t>
            </w:r>
          </w:p>
          <w:p w14:paraId="14D4AC53" w14:textId="7386E5A2" w:rsidR="009F7C24" w:rsidRPr="00F00A18" w:rsidRDefault="00D21E70" w:rsidP="00556412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 xml:space="preserve">                      </w:t>
            </w:r>
            <w:r w:rsidR="009F7C24">
              <w:rPr>
                <w:lang w:val="en-GB"/>
              </w:rPr>
              <w:t xml:space="preserve">  2026</w:t>
            </w:r>
          </w:p>
        </w:tc>
      </w:tr>
    </w:tbl>
    <w:p w14:paraId="5FE68D2D" w14:textId="4345E332" w:rsidR="001C1479" w:rsidRDefault="001C1479" w:rsidP="00EB0273"/>
    <w:p w14:paraId="3F197DF9" w14:textId="77777777" w:rsidR="001C1479" w:rsidRDefault="001C1479" w:rsidP="001C1479"/>
    <w:tbl>
      <w:tblPr>
        <w:tblW w:w="5257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8647"/>
        <w:gridCol w:w="2128"/>
        <w:gridCol w:w="2408"/>
      </w:tblGrid>
      <w:tr w:rsidR="001C1479" w:rsidRPr="00F00A18" w14:paraId="0EA892F9" w14:textId="77777777" w:rsidTr="0090378B">
        <w:tc>
          <w:tcPr>
            <w:tcW w:w="15298" w:type="dxa"/>
            <w:gridSpan w:val="4"/>
            <w:shd w:val="clear" w:color="auto" w:fill="DEEAF6" w:themeFill="accent1" w:themeFillTint="33"/>
          </w:tcPr>
          <w:p w14:paraId="500298B1" w14:textId="6003ADFF" w:rsidR="001C1479" w:rsidRPr="00F00A18" w:rsidRDefault="001C1479" w:rsidP="00556412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</w:t>
            </w:r>
            <w:r w:rsidR="008D1464">
              <w:rPr>
                <w:b/>
                <w:color w:val="auto"/>
              </w:rPr>
              <w:t>E</w:t>
            </w:r>
            <w:r w:rsidRPr="00F00A18">
              <w:rPr>
                <w:b/>
                <w:color w:val="auto"/>
              </w:rPr>
              <w:t xml:space="preserve">: </w:t>
            </w:r>
            <w:r>
              <w:rPr>
                <w:b/>
                <w:color w:val="auto"/>
              </w:rPr>
              <w:t xml:space="preserve">South Australia (SA) </w:t>
            </w:r>
            <w:r w:rsidRPr="00F00A18">
              <w:rPr>
                <w:b/>
                <w:color w:val="auto"/>
              </w:rPr>
              <w:t>Performance requirements, reporting and payment summary</w:t>
            </w:r>
          </w:p>
        </w:tc>
      </w:tr>
      <w:tr w:rsidR="001C1479" w:rsidRPr="00F00A18" w14:paraId="481335CA" w14:textId="77777777" w:rsidTr="00A66B79">
        <w:tc>
          <w:tcPr>
            <w:tcW w:w="2115" w:type="dxa"/>
            <w:shd w:val="clear" w:color="auto" w:fill="F2F2F2" w:themeFill="background1" w:themeFillShade="F2"/>
          </w:tcPr>
          <w:p w14:paraId="741B17AC" w14:textId="77777777" w:rsidR="001C1479" w:rsidRPr="00F00A18" w:rsidRDefault="001C1479" w:rsidP="00556412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Output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4E680AAF" w14:textId="77777777" w:rsidR="001C1479" w:rsidRPr="00F00A18" w:rsidRDefault="001C1479" w:rsidP="00556412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086EB651" w14:textId="1644B4FE" w:rsidR="001C1479" w:rsidRPr="00F00A18" w:rsidRDefault="00446F8B" w:rsidP="00556412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</w:t>
            </w:r>
            <w:r w:rsidR="001C1479" w:rsidRPr="00F00A18">
              <w:rPr>
                <w:b/>
                <w:color w:val="auto"/>
              </w:rPr>
              <w:t>ue</w:t>
            </w:r>
          </w:p>
        </w:tc>
        <w:tc>
          <w:tcPr>
            <w:tcW w:w="2408" w:type="dxa"/>
            <w:shd w:val="clear" w:color="auto" w:fill="F2F2F2" w:themeFill="background1" w:themeFillShade="F2"/>
          </w:tcPr>
          <w:p w14:paraId="1A54F3A1" w14:textId="77777777" w:rsidR="001C1479" w:rsidRPr="00F00A18" w:rsidRDefault="001C1479" w:rsidP="00556412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90378B" w:rsidRPr="005D48A5" w14:paraId="792A276F" w14:textId="77777777" w:rsidTr="0090378B">
        <w:trPr>
          <w:trHeight w:val="1130"/>
        </w:trPr>
        <w:tc>
          <w:tcPr>
            <w:tcW w:w="2115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465224C2" w14:textId="77777777" w:rsidR="0090378B" w:rsidRDefault="0090378B" w:rsidP="009D50E5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</w:p>
          <w:p w14:paraId="58590795" w14:textId="77777777" w:rsidR="0090378B" w:rsidRPr="005D48A5" w:rsidRDefault="0090378B" w:rsidP="009D50E5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Terms of Reference</w:t>
            </w:r>
          </w:p>
        </w:tc>
        <w:tc>
          <w:tcPr>
            <w:tcW w:w="864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6A84C88D" w14:textId="77777777" w:rsidR="0090378B" w:rsidRPr="00AD2FFD" w:rsidRDefault="0090378B" w:rsidP="009D50E5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 1</w:t>
            </w:r>
          </w:p>
          <w:p w14:paraId="030EB8DF" w14:textId="3EBE50A0" w:rsidR="0090378B" w:rsidRDefault="0090378B" w:rsidP="009D50E5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Endorsement by </w:t>
            </w:r>
            <w:r w:rsidR="00A66B79">
              <w:rPr>
                <w:color w:val="000000" w:themeColor="text1"/>
                <w:sz w:val="22"/>
                <w:szCs w:val="22"/>
                <w:lang w:val="en-AU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A of the Joint Committee Monitoring Program Terms of Reference outlining the functions of the Committee</w:t>
            </w:r>
          </w:p>
        </w:tc>
        <w:tc>
          <w:tcPr>
            <w:tcW w:w="21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6D6E8D9" w14:textId="64E02114" w:rsidR="0090378B" w:rsidRDefault="00446F8B" w:rsidP="009D50E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30 April </w:t>
            </w:r>
            <w:r w:rsidR="0090378B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2408" w:type="dxa"/>
            <w:vAlign w:val="center"/>
          </w:tcPr>
          <w:p w14:paraId="4FF46526" w14:textId="6A69D08A" w:rsidR="00BF7E08" w:rsidRDefault="0090378B" w:rsidP="00BF7E08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</w:r>
            <w:r w:rsidR="00BF7E08">
              <w:rPr>
                <w:color w:val="000000" w:themeColor="text1"/>
                <w:sz w:val="22"/>
                <w:szCs w:val="22"/>
              </w:rPr>
              <w:t>$620,000</w:t>
            </w:r>
          </w:p>
          <w:p w14:paraId="3ACA2CEC" w14:textId="77777777" w:rsidR="0090378B" w:rsidRDefault="0090378B" w:rsidP="009D50E5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A7820" w:rsidRPr="005D48A5" w14:paraId="2B25D5A2" w14:textId="77777777" w:rsidTr="00871997">
        <w:trPr>
          <w:trHeight w:val="3514"/>
        </w:trPr>
        <w:tc>
          <w:tcPr>
            <w:tcW w:w="2115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2403591B" w14:textId="77777777" w:rsidR="003A7820" w:rsidRPr="00AC6841" w:rsidRDefault="003A7820" w:rsidP="00556412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 w:rsidRPr="005D48A5">
              <w:rPr>
                <w:color w:val="000000" w:themeColor="text1"/>
                <w:sz w:val="22"/>
                <w:szCs w:val="22"/>
              </w:rPr>
              <w:t>Report</w:t>
            </w:r>
            <w:r>
              <w:rPr>
                <w:color w:val="000000" w:themeColor="text1"/>
                <w:sz w:val="22"/>
                <w:szCs w:val="22"/>
              </w:rPr>
              <w:t xml:space="preserve"> on information sharing.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864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4037740B" w14:textId="77777777" w:rsidR="00293B37" w:rsidRPr="00AD2FFD" w:rsidRDefault="00293B37" w:rsidP="00293B37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Milestones 2, 3 and 4</w:t>
            </w:r>
          </w:p>
          <w:p w14:paraId="2E66C5D2" w14:textId="54B3F58A" w:rsidR="003A7820" w:rsidRPr="003D286C" w:rsidRDefault="003A7820" w:rsidP="00A66B79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Commonwealth acceptance that SA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produce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d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a 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yearly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JCMP Report covering: </w:t>
            </w:r>
          </w:p>
          <w:p w14:paraId="37BFDF62" w14:textId="77777777" w:rsidR="003A7820" w:rsidRPr="003D286C" w:rsidRDefault="003A7820" w:rsidP="00A66B79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JCMP case activity: number of cases initiated, progress status, and outcomes.</w:t>
            </w:r>
          </w:p>
          <w:p w14:paraId="56E98120" w14:textId="77777777" w:rsidR="003A7820" w:rsidRDefault="003A7820" w:rsidP="00A66B79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Performance against agreed metrics: timeliness, compliance actions, and resolution rates.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570B9040" w14:textId="77777777" w:rsidR="003A7820" w:rsidRPr="00DC2E35" w:rsidRDefault="003A7820" w:rsidP="00A66B79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Timeliness can be shown by</w:t>
            </w:r>
            <w:r w:rsidRPr="00DE5A83">
              <w:rPr>
                <w:color w:val="000000" w:themeColor="text1"/>
                <w:sz w:val="22"/>
                <w:szCs w:val="22"/>
                <w:lang w:val="en-AU"/>
              </w:rPr>
              <w:t xml:space="preserve"> demonstrating the efficiency of the triage process and the efficiency in decision making.</w:t>
            </w:r>
          </w:p>
          <w:p w14:paraId="71A9C91B" w14:textId="77777777" w:rsidR="003A7820" w:rsidRDefault="003A7820" w:rsidP="00A66B79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Compliance action can be demonstrated by measuring number of cases and the impact of their outcomes.</w:t>
            </w:r>
          </w:p>
          <w:p w14:paraId="1994F331" w14:textId="77777777" w:rsidR="003A7820" w:rsidRPr="008F2ABD" w:rsidRDefault="003A7820" w:rsidP="00A66B79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Resolution can be demonstrated by measuring productivity, outcomes and changes in behaviour. </w:t>
            </w:r>
          </w:p>
          <w:p w14:paraId="68BCE02D" w14:textId="02426550" w:rsidR="003A7820" w:rsidRPr="002E19CE" w:rsidRDefault="003A7820" w:rsidP="00A66B79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Incident and deviation reporting: any breaches, delays, or systemic issues identified.</w:t>
            </w:r>
          </w:p>
        </w:tc>
        <w:tc>
          <w:tcPr>
            <w:tcW w:w="2128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103F5DDB" w14:textId="77777777" w:rsidR="003D7012" w:rsidRDefault="003D7012" w:rsidP="00A66B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4BA64912" w14:textId="3832CF16" w:rsidR="003A7820" w:rsidRDefault="003A7820" w:rsidP="00A66B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2027</w:t>
            </w:r>
          </w:p>
          <w:p w14:paraId="454E20D0" w14:textId="77777777" w:rsidR="003A7820" w:rsidRDefault="003A7820" w:rsidP="00A66B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7BFD0482" w14:textId="77777777" w:rsidR="003A7820" w:rsidRDefault="003A7820" w:rsidP="00A66B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2028</w:t>
            </w:r>
          </w:p>
          <w:p w14:paraId="34A2E444" w14:textId="77777777" w:rsidR="003A7820" w:rsidRDefault="003A7820" w:rsidP="00A66B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0EA2DE47" w14:textId="77777777" w:rsidR="003A7820" w:rsidRDefault="003A7820" w:rsidP="00A66B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2029</w:t>
            </w:r>
          </w:p>
          <w:p w14:paraId="2B3F6F24" w14:textId="1935FE52" w:rsidR="003A7820" w:rsidRPr="005D48A5" w:rsidRDefault="003A7820" w:rsidP="00A66B79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br/>
            </w:r>
          </w:p>
        </w:tc>
        <w:tc>
          <w:tcPr>
            <w:tcW w:w="2408" w:type="dxa"/>
          </w:tcPr>
          <w:p w14:paraId="2C436800" w14:textId="77777777" w:rsidR="003D7012" w:rsidRDefault="003D7012" w:rsidP="00556412">
            <w:pPr>
              <w:jc w:val="center"/>
            </w:pPr>
          </w:p>
          <w:p w14:paraId="3DB2197B" w14:textId="4D8B287E" w:rsidR="003A7820" w:rsidRPr="007A4896" w:rsidRDefault="003A7820" w:rsidP="007A4896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  <w:p w14:paraId="232005B4" w14:textId="77777777" w:rsidR="00871997" w:rsidRDefault="00871997" w:rsidP="00556412">
            <w:pPr>
              <w:jc w:val="center"/>
            </w:pPr>
          </w:p>
          <w:p w14:paraId="525C17F2" w14:textId="3CB26C96" w:rsidR="003A7820" w:rsidRDefault="003A7820" w:rsidP="0055641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  <w:p w14:paraId="3FD402A7" w14:textId="77777777" w:rsidR="00871997" w:rsidRDefault="00871997" w:rsidP="0055641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74884757" w14:textId="61787C63" w:rsidR="003A7820" w:rsidRPr="005D48A5" w:rsidRDefault="003A7820" w:rsidP="0055641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</w:tc>
      </w:tr>
    </w:tbl>
    <w:p w14:paraId="0DFECBDF" w14:textId="77777777" w:rsidR="001C1479" w:rsidRDefault="001C1479" w:rsidP="001C1479">
      <w:pPr>
        <w:tabs>
          <w:tab w:val="left" w:pos="3865"/>
        </w:tabs>
      </w:pPr>
    </w:p>
    <w:p w14:paraId="02DFE296" w14:textId="77777777" w:rsidR="001C1479" w:rsidRDefault="001C1479" w:rsidP="001C1479">
      <w:pPr>
        <w:rPr>
          <w:lang w:val="en-GB"/>
        </w:rPr>
      </w:pPr>
      <w:r>
        <w:rPr>
          <w:sz w:val="24"/>
          <w:szCs w:val="24"/>
        </w:rPr>
        <w:t>The Par</w:t>
      </w:r>
      <w:r w:rsidRPr="00F00A18">
        <w:rPr>
          <w:sz w:val="24"/>
          <w:szCs w:val="24"/>
        </w:rPr>
        <w:t>ties</w:t>
      </w:r>
      <w:r w:rsidRPr="00F00A18">
        <w:rPr>
          <w:lang w:val="en-GB"/>
        </w:rPr>
        <w:t xml:space="preserve"> have confirmed their commitment to this schedule as follows:</w:t>
      </w:r>
    </w:p>
    <w:p w14:paraId="62044D49" w14:textId="77777777" w:rsidR="001C1479" w:rsidRPr="00F00A18" w:rsidRDefault="001C1479" w:rsidP="001C1479">
      <w:pPr>
        <w:rPr>
          <w:lang w:val="en-GB"/>
        </w:rPr>
      </w:pPr>
    </w:p>
    <w:tbl>
      <w:tblPr>
        <w:tblW w:w="13041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1985"/>
        <w:gridCol w:w="5953"/>
      </w:tblGrid>
      <w:tr w:rsidR="001C1479" w:rsidRPr="00F00A18" w14:paraId="0F0ADAE9" w14:textId="77777777" w:rsidTr="00556412">
        <w:trPr>
          <w:cantSplit/>
          <w:jc w:val="center"/>
        </w:trPr>
        <w:tc>
          <w:tcPr>
            <w:tcW w:w="5103" w:type="dxa"/>
          </w:tcPr>
          <w:p w14:paraId="5A15DD96" w14:textId="77777777" w:rsidR="001C1479" w:rsidRPr="00F00A18" w:rsidRDefault="001C1479" w:rsidP="00556412">
            <w:pPr>
              <w:pStyle w:val="Signed"/>
              <w:jc w:val="left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13E29BD6" w14:textId="77777777" w:rsidR="001C1479" w:rsidRPr="00F00A18" w:rsidRDefault="001C1479" w:rsidP="00556412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77811A22" w14:textId="77777777" w:rsidR="001C1479" w:rsidRPr="00F00A18" w:rsidRDefault="001C1479" w:rsidP="00556412">
            <w:pPr>
              <w:pStyle w:val="SingleParagraph"/>
              <w:jc w:val="left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Jason Clare</w:t>
            </w:r>
            <w:r w:rsidRPr="00F00A18">
              <w:rPr>
                <w:rStyle w:val="Bold"/>
                <w:color w:val="auto"/>
              </w:rPr>
              <w:t xml:space="preserve"> MP</w:t>
            </w:r>
          </w:p>
          <w:p w14:paraId="2ED48FCD" w14:textId="77777777" w:rsidR="001C1479" w:rsidRPr="00F00A18" w:rsidRDefault="001C1479" w:rsidP="00556412">
            <w:pPr>
              <w:pStyle w:val="Position"/>
              <w:jc w:val="left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</w:t>
            </w:r>
            <w:r>
              <w:rPr>
                <w:color w:val="auto"/>
                <w:lang w:val="en-GB"/>
              </w:rPr>
              <w:t>Education</w:t>
            </w:r>
            <w:r w:rsidRPr="00F00A18">
              <w:rPr>
                <w:color w:val="auto"/>
                <w:lang w:val="en-GB"/>
              </w:rPr>
              <w:t xml:space="preserve"> </w:t>
            </w:r>
          </w:p>
          <w:p w14:paraId="2B9D7248" w14:textId="54B4634A" w:rsidR="001C1479" w:rsidRPr="00F00A18" w:rsidRDefault="00871997" w:rsidP="00556412">
            <w:pPr>
              <w:pStyle w:val="SingleParagraph"/>
              <w:tabs>
                <w:tab w:val="num" w:pos="1134"/>
              </w:tabs>
              <w:spacing w:after="240"/>
              <w:jc w:val="left"/>
              <w:rPr>
                <w:b/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 xml:space="preserve">                                    </w:t>
            </w:r>
            <w:r w:rsidR="001C1479" w:rsidRPr="00F00A18">
              <w:rPr>
                <w:color w:val="auto"/>
                <w:lang w:val="en-GB"/>
              </w:rPr>
              <w:t xml:space="preserve">  </w:t>
            </w:r>
            <w:r w:rsidR="001C1479">
              <w:rPr>
                <w:lang w:val="en-GB"/>
              </w:rPr>
              <w:t>2026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14:paraId="52360095" w14:textId="77777777" w:rsidR="001C1479" w:rsidRPr="00F00A18" w:rsidRDefault="001C1479" w:rsidP="00556412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5953" w:type="dxa"/>
          </w:tcPr>
          <w:p w14:paraId="7CC13874" w14:textId="77777777" w:rsidR="001C1479" w:rsidRPr="004A0AE7" w:rsidRDefault="001C1479" w:rsidP="00556412">
            <w:pPr>
              <w:pStyle w:val="Signed"/>
              <w:jc w:val="left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South Australia</w:t>
                </w:r>
              </w:smartTag>
            </w:smartTag>
            <w:r w:rsidRPr="004A0AE7">
              <w:t xml:space="preserve"> by</w:t>
            </w:r>
          </w:p>
          <w:p w14:paraId="1B9FC2AA" w14:textId="77777777" w:rsidR="001C1479" w:rsidRPr="00D242AD" w:rsidRDefault="001C1479" w:rsidP="00556412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5AFBA56F" w14:textId="0561EDF0" w:rsidR="001C1479" w:rsidRDefault="001C1479" w:rsidP="00556412">
            <w:pPr>
              <w:pStyle w:val="SingleParagraph"/>
              <w:jc w:val="left"/>
              <w:rPr>
                <w:rStyle w:val="Bold"/>
              </w:rPr>
            </w:pPr>
            <w:r>
              <w:rPr>
                <w:rStyle w:val="Bold"/>
              </w:rPr>
              <w:t xml:space="preserve">The Honourable </w:t>
            </w:r>
            <w:r w:rsidR="00BC2BD3">
              <w:rPr>
                <w:rStyle w:val="Bold"/>
              </w:rPr>
              <w:t>Lucy Hood</w:t>
            </w:r>
            <w:r>
              <w:rPr>
                <w:rStyle w:val="Bold"/>
              </w:rPr>
              <w:t xml:space="preserve"> MP</w:t>
            </w:r>
          </w:p>
          <w:p w14:paraId="03067D94" w14:textId="77777777" w:rsidR="001C1479" w:rsidRDefault="001C1479" w:rsidP="00556412">
            <w:pPr>
              <w:pStyle w:val="Position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Minister for Education, Training and Skills </w:t>
            </w:r>
          </w:p>
          <w:p w14:paraId="2B0C399C" w14:textId="5F69369A" w:rsidR="001C1479" w:rsidRPr="00F00A18" w:rsidRDefault="00871997" w:rsidP="00556412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 xml:space="preserve">                         </w:t>
            </w:r>
            <w:r w:rsidR="001C1479">
              <w:rPr>
                <w:lang w:val="en-GB"/>
              </w:rPr>
              <w:t xml:space="preserve">  2026</w:t>
            </w:r>
          </w:p>
        </w:tc>
      </w:tr>
    </w:tbl>
    <w:p w14:paraId="2E7CE0D5" w14:textId="77777777" w:rsidR="001C1479" w:rsidRPr="00F00A18" w:rsidRDefault="001C1479" w:rsidP="001C1479">
      <w:pPr>
        <w:tabs>
          <w:tab w:val="left" w:pos="3865"/>
        </w:tabs>
        <w:sectPr w:rsidR="001C1479" w:rsidRPr="00F00A18" w:rsidSect="001C147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tbl>
      <w:tblPr>
        <w:tblW w:w="5234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8023"/>
        <w:gridCol w:w="2126"/>
        <w:gridCol w:w="2409"/>
      </w:tblGrid>
      <w:tr w:rsidR="001C1479" w:rsidRPr="00F00A18" w14:paraId="554BAB28" w14:textId="77777777" w:rsidTr="00C04FF8">
        <w:tc>
          <w:tcPr>
            <w:tcW w:w="14590" w:type="dxa"/>
            <w:gridSpan w:val="4"/>
            <w:shd w:val="clear" w:color="auto" w:fill="DEEAF6" w:themeFill="accent1" w:themeFillTint="33"/>
          </w:tcPr>
          <w:p w14:paraId="5CC6E4FD" w14:textId="42A125B3" w:rsidR="001C1479" w:rsidRPr="00F00A18" w:rsidRDefault="001C1479" w:rsidP="00556412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</w:t>
            </w:r>
            <w:r w:rsidR="008D1464">
              <w:rPr>
                <w:b/>
                <w:color w:val="auto"/>
              </w:rPr>
              <w:t>F</w:t>
            </w:r>
            <w:r w:rsidRPr="00F00A18">
              <w:rPr>
                <w:b/>
                <w:color w:val="auto"/>
              </w:rPr>
              <w:t xml:space="preserve">: </w:t>
            </w:r>
            <w:r>
              <w:rPr>
                <w:b/>
                <w:color w:val="auto"/>
              </w:rPr>
              <w:t xml:space="preserve">Tasmania (TAS) </w:t>
            </w:r>
            <w:r w:rsidRPr="00F00A18">
              <w:rPr>
                <w:b/>
                <w:color w:val="auto"/>
              </w:rPr>
              <w:t>Performance requirements, reporting and payment summary</w:t>
            </w:r>
          </w:p>
        </w:tc>
      </w:tr>
      <w:tr w:rsidR="001C1479" w:rsidRPr="00F00A18" w14:paraId="7BBE22AB" w14:textId="77777777" w:rsidTr="00C04FF8">
        <w:tc>
          <w:tcPr>
            <w:tcW w:w="2032" w:type="dxa"/>
            <w:shd w:val="clear" w:color="auto" w:fill="F2F2F2" w:themeFill="background1" w:themeFillShade="F2"/>
          </w:tcPr>
          <w:p w14:paraId="52F1F0ED" w14:textId="77777777" w:rsidR="001C1479" w:rsidRPr="00F00A18" w:rsidRDefault="001C1479" w:rsidP="00556412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Output</w:t>
            </w:r>
          </w:p>
        </w:tc>
        <w:tc>
          <w:tcPr>
            <w:tcW w:w="8023" w:type="dxa"/>
            <w:shd w:val="clear" w:color="auto" w:fill="F2F2F2" w:themeFill="background1" w:themeFillShade="F2"/>
          </w:tcPr>
          <w:p w14:paraId="26B4944F" w14:textId="77777777" w:rsidR="001C1479" w:rsidRPr="00F00A18" w:rsidRDefault="001C1479" w:rsidP="00556412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8AA56DD" w14:textId="18F1B25C" w:rsidR="001C1479" w:rsidRPr="00F00A18" w:rsidRDefault="00446F8B" w:rsidP="00556412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Due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9D35705" w14:textId="77777777" w:rsidR="001C1479" w:rsidRPr="00F00A18" w:rsidRDefault="001C1479" w:rsidP="00556412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D27B14" w:rsidRPr="005D48A5" w14:paraId="3AFB0215" w14:textId="77777777" w:rsidTr="00E71AF8">
        <w:trPr>
          <w:trHeight w:val="990"/>
        </w:trPr>
        <w:tc>
          <w:tcPr>
            <w:tcW w:w="2032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24B8D285" w14:textId="77777777" w:rsidR="00D27B14" w:rsidRDefault="00D27B14" w:rsidP="00D27B14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</w:p>
          <w:p w14:paraId="0C61321D" w14:textId="617102CC" w:rsidR="00D27B14" w:rsidRPr="005D48A5" w:rsidRDefault="00D27B14" w:rsidP="00D27B14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Terms of Reference</w:t>
            </w:r>
          </w:p>
        </w:tc>
        <w:tc>
          <w:tcPr>
            <w:tcW w:w="8023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47852BB8" w14:textId="77777777" w:rsidR="00D27B14" w:rsidRPr="00AD2FFD" w:rsidRDefault="00D27B14" w:rsidP="00D27B14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 1</w:t>
            </w:r>
          </w:p>
          <w:p w14:paraId="07CC3C15" w14:textId="4A1F1C4D" w:rsidR="00D27B14" w:rsidRDefault="00D27B14" w:rsidP="00D27B14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Endorsement by</w:t>
            </w:r>
            <w:r w:rsidR="005E0100">
              <w:rPr>
                <w:color w:val="000000" w:themeColor="text1"/>
                <w:sz w:val="22"/>
                <w:szCs w:val="22"/>
                <w:lang w:val="en-AU"/>
              </w:rPr>
              <w:t xml:space="preserve"> TAS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of the Joint Committee Monitoring Program Terms of Reference outlining the functions of the Committee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129B849" w14:textId="0B54204F" w:rsidR="00D27B14" w:rsidRDefault="00446F8B" w:rsidP="0000415E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</w:t>
            </w:r>
            <w:r w:rsidR="00D27B14">
              <w:rPr>
                <w:color w:val="auto"/>
                <w:sz w:val="22"/>
                <w:szCs w:val="22"/>
              </w:rPr>
              <w:t xml:space="preserve"> 2026</w:t>
            </w:r>
          </w:p>
        </w:tc>
        <w:tc>
          <w:tcPr>
            <w:tcW w:w="2409" w:type="dxa"/>
            <w:vAlign w:val="center"/>
          </w:tcPr>
          <w:p w14:paraId="6AA9F0F5" w14:textId="77777777" w:rsidR="00D27B14" w:rsidRDefault="00D27B14" w:rsidP="00D27B14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>$620,000</w:t>
            </w:r>
          </w:p>
          <w:p w14:paraId="788FAD5F" w14:textId="77777777" w:rsidR="00D27B14" w:rsidRDefault="00D27B14" w:rsidP="00D27B14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27B14" w:rsidRPr="005D48A5" w14:paraId="75F8B5DD" w14:textId="77777777" w:rsidTr="00FC046C">
        <w:trPr>
          <w:trHeight w:val="3797"/>
        </w:trPr>
        <w:tc>
          <w:tcPr>
            <w:tcW w:w="2032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484501BE" w14:textId="77777777" w:rsidR="00D27B14" w:rsidRPr="00AC6841" w:rsidRDefault="00D27B14" w:rsidP="00D27B14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 w:rsidRPr="005D48A5">
              <w:rPr>
                <w:color w:val="000000" w:themeColor="text1"/>
                <w:sz w:val="22"/>
                <w:szCs w:val="22"/>
              </w:rPr>
              <w:t>Report</w:t>
            </w:r>
            <w:r>
              <w:rPr>
                <w:color w:val="000000" w:themeColor="text1"/>
                <w:sz w:val="22"/>
                <w:szCs w:val="22"/>
              </w:rPr>
              <w:t xml:space="preserve"> on information sharing.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8023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41B97F4F" w14:textId="77777777" w:rsidR="00293B37" w:rsidRPr="00AD2FFD" w:rsidRDefault="00293B37" w:rsidP="00293B37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Milestones 2, 3 and 4</w:t>
            </w:r>
          </w:p>
          <w:p w14:paraId="683D51E6" w14:textId="3A2E379E" w:rsidR="00C04FF8" w:rsidRPr="003D286C" w:rsidRDefault="00C04FF8" w:rsidP="00C04FF8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Commonwealth acceptance that TAS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produce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d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a 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yearly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JCMP Report covering: </w:t>
            </w:r>
          </w:p>
          <w:p w14:paraId="137BC032" w14:textId="77777777" w:rsidR="00C04FF8" w:rsidRPr="003D286C" w:rsidRDefault="00C04FF8" w:rsidP="00C04FF8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JCMP case activity: number of cases initiated, progress status, and outcomes.</w:t>
            </w:r>
          </w:p>
          <w:p w14:paraId="0D88F743" w14:textId="77777777" w:rsidR="00C04FF8" w:rsidRDefault="00C04FF8" w:rsidP="00C04FF8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Performance against agreed metrics: timeliness, compliance actions, and resolution rates.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5A82888D" w14:textId="77777777" w:rsidR="00C04FF8" w:rsidRPr="00DC2E35" w:rsidRDefault="00C04FF8" w:rsidP="00C04FF8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Timeliness can be shown by</w:t>
            </w:r>
            <w:r w:rsidRPr="00DE5A83">
              <w:rPr>
                <w:color w:val="000000" w:themeColor="text1"/>
                <w:sz w:val="22"/>
                <w:szCs w:val="22"/>
                <w:lang w:val="en-AU"/>
              </w:rPr>
              <w:t xml:space="preserve"> demonstrating the efficiency of the triage process and the efficiency in decision making.</w:t>
            </w:r>
          </w:p>
          <w:p w14:paraId="5CBD6070" w14:textId="77777777" w:rsidR="00C04FF8" w:rsidRDefault="00C04FF8" w:rsidP="00C04FF8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Compliance action can be demonstrated by measuring number of cases and the impact of their outcomes.</w:t>
            </w:r>
          </w:p>
          <w:p w14:paraId="68299302" w14:textId="77777777" w:rsidR="00C04FF8" w:rsidRPr="008F2ABD" w:rsidRDefault="00C04FF8" w:rsidP="00C04FF8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Resolution can be demonstrated by measuring productivity, outcomes and changes in behaviour. </w:t>
            </w:r>
          </w:p>
          <w:p w14:paraId="3407FB66" w14:textId="1DF9AA44" w:rsidR="00D27B14" w:rsidRPr="002E19CE" w:rsidRDefault="00C04FF8" w:rsidP="00C04FF8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Incident and deviation reporting: any breaches, delays, or systemic issues identified.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5375736D" w14:textId="77777777" w:rsidR="00D27B14" w:rsidRDefault="00D27B14" w:rsidP="00D27B14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2027</w:t>
            </w:r>
          </w:p>
          <w:p w14:paraId="5BDA0B91" w14:textId="77777777" w:rsidR="00D27B14" w:rsidRDefault="00D27B14" w:rsidP="00D27B14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56FA93E3" w14:textId="77777777" w:rsidR="00D27B14" w:rsidRDefault="00D27B14" w:rsidP="00D27B14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2028</w:t>
            </w:r>
          </w:p>
          <w:p w14:paraId="66085FFA" w14:textId="77777777" w:rsidR="00D27B14" w:rsidRDefault="00D27B14" w:rsidP="00D27B14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6A56E4F7" w14:textId="77777777" w:rsidR="00D27B14" w:rsidRDefault="00D27B14" w:rsidP="00D27B14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2029</w:t>
            </w:r>
          </w:p>
          <w:p w14:paraId="31443652" w14:textId="77777777" w:rsidR="00D27B14" w:rsidRDefault="00D27B14" w:rsidP="00D27B14">
            <w:pPr>
              <w:pStyle w:val="Milestonetable"/>
              <w:rPr>
                <w:color w:val="auto"/>
                <w:sz w:val="22"/>
                <w:szCs w:val="22"/>
              </w:rPr>
            </w:pPr>
          </w:p>
          <w:p w14:paraId="20E4BF75" w14:textId="77777777" w:rsidR="00D27B14" w:rsidRDefault="00D27B14" w:rsidP="00D27B14">
            <w:pPr>
              <w:pStyle w:val="Milestonetable"/>
              <w:rPr>
                <w:color w:val="auto"/>
                <w:sz w:val="22"/>
                <w:szCs w:val="22"/>
              </w:rPr>
            </w:pPr>
          </w:p>
          <w:p w14:paraId="0291B2EA" w14:textId="41D2D9D4" w:rsidR="00D27B14" w:rsidRPr="005D48A5" w:rsidRDefault="00D27B14" w:rsidP="00D27B14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0E2ECA" w14:textId="77777777" w:rsidR="00D27B14" w:rsidRPr="009D48F1" w:rsidRDefault="00D27B14" w:rsidP="00D27B14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  <w:p w14:paraId="7ED4D84A" w14:textId="77777777" w:rsidR="00D27B14" w:rsidRDefault="00D27B14" w:rsidP="00D27B14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2B25D526" w14:textId="08173EE7" w:rsidR="00D27B14" w:rsidRPr="731A86F9" w:rsidRDefault="00D27B14" w:rsidP="00D27B14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  <w:p w14:paraId="11F8B75E" w14:textId="77777777" w:rsidR="00D27B14" w:rsidRDefault="00D27B14" w:rsidP="00D27B14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2A897275" w14:textId="0474DAC0" w:rsidR="00D27B14" w:rsidRPr="009D48F1" w:rsidRDefault="00D27B14" w:rsidP="00D27B14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</w:tc>
      </w:tr>
    </w:tbl>
    <w:p w14:paraId="49943E03" w14:textId="77777777" w:rsidR="001C1479" w:rsidRDefault="001C1479" w:rsidP="001C1479">
      <w:pPr>
        <w:tabs>
          <w:tab w:val="left" w:pos="3865"/>
        </w:tabs>
        <w:rPr>
          <w:lang w:val="en-GB"/>
        </w:rPr>
      </w:pPr>
      <w:r>
        <w:rPr>
          <w:sz w:val="24"/>
          <w:szCs w:val="24"/>
        </w:rPr>
        <w:t>The Par</w:t>
      </w:r>
      <w:r w:rsidRPr="00F00A18">
        <w:rPr>
          <w:sz w:val="24"/>
          <w:szCs w:val="24"/>
        </w:rPr>
        <w:t>ties</w:t>
      </w:r>
      <w:r w:rsidRPr="00F00A18">
        <w:rPr>
          <w:lang w:val="en-GB"/>
        </w:rPr>
        <w:t xml:space="preserve"> have confirmed their commitment to this schedule as follows:</w:t>
      </w:r>
    </w:p>
    <w:p w14:paraId="571BD04E" w14:textId="77777777" w:rsidR="001C1479" w:rsidRPr="00F00A18" w:rsidRDefault="001C1479" w:rsidP="001C1479">
      <w:pPr>
        <w:rPr>
          <w:lang w:val="en-GB"/>
        </w:rPr>
      </w:pPr>
    </w:p>
    <w:tbl>
      <w:tblPr>
        <w:tblW w:w="14174" w:type="dxa"/>
        <w:jc w:val="center"/>
        <w:tblLayout w:type="fixed"/>
        <w:tblLook w:val="01E0" w:firstRow="1" w:lastRow="1" w:firstColumn="1" w:lastColumn="1" w:noHBand="0" w:noVBand="0"/>
      </w:tblPr>
      <w:tblGrid>
        <w:gridCol w:w="10"/>
        <w:gridCol w:w="2031"/>
        <w:gridCol w:w="3062"/>
        <w:gridCol w:w="1985"/>
        <w:gridCol w:w="2693"/>
        <w:gridCol w:w="1985"/>
        <w:gridCol w:w="1275"/>
        <w:gridCol w:w="1133"/>
      </w:tblGrid>
      <w:tr w:rsidR="001C1479" w:rsidRPr="00F00A18" w14:paraId="33B17CF4" w14:textId="77777777" w:rsidTr="00E65A74">
        <w:trPr>
          <w:gridAfter w:val="1"/>
          <w:wAfter w:w="1133" w:type="dxa"/>
          <w:cantSplit/>
          <w:jc w:val="center"/>
        </w:trPr>
        <w:tc>
          <w:tcPr>
            <w:tcW w:w="5103" w:type="dxa"/>
            <w:gridSpan w:val="3"/>
          </w:tcPr>
          <w:p w14:paraId="61132AA8" w14:textId="77777777" w:rsidR="001C1479" w:rsidRPr="00F00A18" w:rsidRDefault="001C1479" w:rsidP="00556412">
            <w:pPr>
              <w:pStyle w:val="Signed"/>
              <w:jc w:val="left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37586592" w14:textId="77777777" w:rsidR="001C1479" w:rsidRPr="00F00A18" w:rsidRDefault="001C1479" w:rsidP="00556412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553D5327" w14:textId="77777777" w:rsidR="001C1479" w:rsidRPr="00F00A18" w:rsidRDefault="001C1479" w:rsidP="00556412">
            <w:pPr>
              <w:pStyle w:val="SingleParagraph"/>
              <w:jc w:val="left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Jason Clare</w:t>
            </w:r>
            <w:r w:rsidRPr="00F00A18">
              <w:rPr>
                <w:rStyle w:val="Bold"/>
                <w:color w:val="auto"/>
              </w:rPr>
              <w:t xml:space="preserve"> MP</w:t>
            </w:r>
          </w:p>
          <w:p w14:paraId="2CABD317" w14:textId="77777777" w:rsidR="001C1479" w:rsidRPr="00F00A18" w:rsidRDefault="001C1479" w:rsidP="00556412">
            <w:pPr>
              <w:pStyle w:val="Position"/>
              <w:jc w:val="left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</w:t>
            </w:r>
            <w:r>
              <w:rPr>
                <w:color w:val="auto"/>
                <w:lang w:val="en-GB"/>
              </w:rPr>
              <w:t>Education</w:t>
            </w:r>
            <w:r w:rsidRPr="00F00A18">
              <w:rPr>
                <w:color w:val="auto"/>
                <w:lang w:val="en-GB"/>
              </w:rPr>
              <w:t xml:space="preserve"> </w:t>
            </w:r>
          </w:p>
          <w:p w14:paraId="56CDDD9D" w14:textId="0F82407F" w:rsidR="001C1479" w:rsidRPr="00F00A18" w:rsidRDefault="00E71AF8" w:rsidP="00556412">
            <w:pPr>
              <w:pStyle w:val="SingleParagraph"/>
              <w:tabs>
                <w:tab w:val="num" w:pos="1134"/>
              </w:tabs>
              <w:spacing w:after="240"/>
              <w:jc w:val="left"/>
              <w:rPr>
                <w:b/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 xml:space="preserve">                                 </w:t>
            </w:r>
            <w:r w:rsidR="001C1479" w:rsidRPr="00F00A18">
              <w:rPr>
                <w:color w:val="auto"/>
                <w:lang w:val="en-GB"/>
              </w:rPr>
              <w:t xml:space="preserve">  </w:t>
            </w:r>
            <w:r w:rsidR="001C1479">
              <w:rPr>
                <w:lang w:val="en-GB"/>
              </w:rPr>
              <w:t>2026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14:paraId="32BBBC15" w14:textId="77777777" w:rsidR="001C1479" w:rsidRPr="00F00A18" w:rsidRDefault="001C1479" w:rsidP="00556412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5953" w:type="dxa"/>
            <w:gridSpan w:val="3"/>
          </w:tcPr>
          <w:p w14:paraId="672B489E" w14:textId="77777777" w:rsidR="001C1479" w:rsidRPr="004A0AE7" w:rsidRDefault="001C1479" w:rsidP="00556412">
            <w:pPr>
              <w:pStyle w:val="Signed"/>
              <w:jc w:val="left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Tasmania</w:t>
                </w:r>
              </w:smartTag>
            </w:smartTag>
            <w:r w:rsidRPr="004A0AE7">
              <w:t xml:space="preserve"> by</w:t>
            </w:r>
          </w:p>
          <w:p w14:paraId="028DD12F" w14:textId="77777777" w:rsidR="001C1479" w:rsidRPr="00D242AD" w:rsidRDefault="001C1479" w:rsidP="00556412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159EAE40" w14:textId="77777777" w:rsidR="001C1479" w:rsidRDefault="001C1479" w:rsidP="00556412">
            <w:pPr>
              <w:pStyle w:val="SingleParagraph"/>
              <w:jc w:val="left"/>
              <w:rPr>
                <w:rStyle w:val="Bold"/>
              </w:rPr>
            </w:pPr>
            <w:r>
              <w:rPr>
                <w:rStyle w:val="Bold"/>
              </w:rPr>
              <w:t>The Honourable Jo Palmer MLC</w:t>
            </w:r>
          </w:p>
          <w:p w14:paraId="038F8D3F" w14:textId="77777777" w:rsidR="001C1479" w:rsidRDefault="001C1479" w:rsidP="00556412">
            <w:pPr>
              <w:pStyle w:val="Position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Minister for Education </w:t>
            </w:r>
          </w:p>
          <w:p w14:paraId="352A52A6" w14:textId="45BE4AA6" w:rsidR="001C1479" w:rsidRPr="00F00A18" w:rsidRDefault="00E71AF8" w:rsidP="00556412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 xml:space="preserve">                       </w:t>
            </w:r>
            <w:r w:rsidR="001C1479">
              <w:rPr>
                <w:lang w:val="en-GB"/>
              </w:rPr>
              <w:t xml:space="preserve">  2026</w:t>
            </w:r>
          </w:p>
        </w:tc>
      </w:tr>
      <w:tr w:rsidR="002844E6" w:rsidRPr="00F00A18" w14:paraId="70A77B2B" w14:textId="77777777" w:rsidTr="00E65A74">
        <w:tblPrEx>
          <w:jc w:val="left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14164" w:type="dxa"/>
            <w:gridSpan w:val="7"/>
            <w:shd w:val="clear" w:color="auto" w:fill="DEEAF6" w:themeFill="accent1" w:themeFillTint="33"/>
          </w:tcPr>
          <w:p w14:paraId="453DD880" w14:textId="0BE30122" w:rsidR="002844E6" w:rsidRPr="00F00A18" w:rsidRDefault="002844E6" w:rsidP="00DA7DD4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</w:t>
            </w:r>
            <w:r w:rsidR="00627C36">
              <w:rPr>
                <w:b/>
                <w:color w:val="auto"/>
              </w:rPr>
              <w:t>G</w:t>
            </w:r>
            <w:r w:rsidRPr="00F00A18">
              <w:rPr>
                <w:b/>
                <w:color w:val="auto"/>
              </w:rPr>
              <w:t xml:space="preserve">: </w:t>
            </w:r>
            <w:r>
              <w:rPr>
                <w:b/>
                <w:color w:val="auto"/>
              </w:rPr>
              <w:t xml:space="preserve">Australian Capital Territory (ACT) </w:t>
            </w:r>
            <w:r w:rsidRPr="00F00A18">
              <w:rPr>
                <w:b/>
                <w:color w:val="auto"/>
              </w:rPr>
              <w:t>Performance requirements, reporting and payment summary</w:t>
            </w:r>
          </w:p>
        </w:tc>
      </w:tr>
      <w:tr w:rsidR="002844E6" w:rsidRPr="00F00A18" w14:paraId="7C8BF134" w14:textId="77777777" w:rsidTr="00E65A74">
        <w:tblPrEx>
          <w:jc w:val="left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2031" w:type="dxa"/>
            <w:shd w:val="clear" w:color="auto" w:fill="F2F2F2" w:themeFill="background1" w:themeFillShade="F2"/>
          </w:tcPr>
          <w:p w14:paraId="642D0433" w14:textId="77777777" w:rsidR="002844E6" w:rsidRPr="00F00A18" w:rsidRDefault="002844E6" w:rsidP="00DA7DD4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Output</w:t>
            </w:r>
          </w:p>
        </w:tc>
        <w:tc>
          <w:tcPr>
            <w:tcW w:w="7740" w:type="dxa"/>
            <w:gridSpan w:val="3"/>
            <w:shd w:val="clear" w:color="auto" w:fill="F2F2F2" w:themeFill="background1" w:themeFillShade="F2"/>
          </w:tcPr>
          <w:p w14:paraId="2E0701CE" w14:textId="77777777" w:rsidR="002844E6" w:rsidRPr="00F00A18" w:rsidRDefault="002844E6" w:rsidP="00DA7DD4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DDCF72D" w14:textId="3568229C" w:rsidR="002844E6" w:rsidRPr="00F00A18" w:rsidRDefault="00446F8B" w:rsidP="00DA7DD4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Due</w:t>
            </w:r>
          </w:p>
        </w:tc>
        <w:tc>
          <w:tcPr>
            <w:tcW w:w="2408" w:type="dxa"/>
            <w:gridSpan w:val="2"/>
            <w:shd w:val="clear" w:color="auto" w:fill="F2F2F2" w:themeFill="background1" w:themeFillShade="F2"/>
          </w:tcPr>
          <w:p w14:paraId="01037429" w14:textId="77777777" w:rsidR="002844E6" w:rsidRPr="00F00A18" w:rsidRDefault="002844E6" w:rsidP="00DA7DD4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BA74E1" w:rsidRPr="005D48A5" w14:paraId="6BF3E16A" w14:textId="77777777" w:rsidTr="00E65A74">
        <w:tblPrEx>
          <w:jc w:val="left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  <w:trHeight w:val="990"/>
        </w:trPr>
        <w:tc>
          <w:tcPr>
            <w:tcW w:w="2031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09DBE089" w14:textId="77777777" w:rsidR="00BA74E1" w:rsidRDefault="00BA74E1" w:rsidP="00BA74E1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</w:p>
          <w:p w14:paraId="7FC24D7E" w14:textId="5341A97B" w:rsidR="00BA74E1" w:rsidRPr="005D48A5" w:rsidRDefault="00BA74E1" w:rsidP="00BA74E1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Terms of Reference</w:t>
            </w:r>
          </w:p>
        </w:tc>
        <w:tc>
          <w:tcPr>
            <w:tcW w:w="7740" w:type="dxa"/>
            <w:gridSpan w:val="3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190FB8FD" w14:textId="77777777" w:rsidR="00BA74E1" w:rsidRPr="00AD2FFD" w:rsidRDefault="00BA74E1" w:rsidP="00BA74E1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 1</w:t>
            </w:r>
          </w:p>
          <w:p w14:paraId="5C23DF18" w14:textId="6052DD5E" w:rsidR="00BA74E1" w:rsidRDefault="00BA74E1" w:rsidP="00BA74E1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Endorsement by </w:t>
            </w:r>
            <w:r w:rsidR="005E0100">
              <w:rPr>
                <w:color w:val="000000" w:themeColor="text1"/>
                <w:sz w:val="22"/>
                <w:szCs w:val="22"/>
                <w:lang w:val="en-AU"/>
              </w:rPr>
              <w:t>ACT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of the Joint Committee Monitoring Program Terms of Reference outlining the functions of the Committee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7329387" w14:textId="54249200" w:rsidR="00BA74E1" w:rsidRDefault="00446F8B" w:rsidP="00BA74E1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</w:t>
            </w:r>
            <w:r w:rsidR="00BA74E1">
              <w:rPr>
                <w:color w:val="auto"/>
                <w:sz w:val="22"/>
                <w:szCs w:val="22"/>
              </w:rPr>
              <w:t xml:space="preserve"> 2026</w:t>
            </w:r>
          </w:p>
        </w:tc>
        <w:tc>
          <w:tcPr>
            <w:tcW w:w="2408" w:type="dxa"/>
            <w:gridSpan w:val="2"/>
            <w:vAlign w:val="center"/>
          </w:tcPr>
          <w:p w14:paraId="1A528CE5" w14:textId="7C91C532" w:rsidR="00BA74E1" w:rsidRDefault="00764C50" w:rsidP="00764C50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$</w:t>
            </w:r>
            <w:r w:rsidR="00BA74E1">
              <w:rPr>
                <w:color w:val="000000" w:themeColor="text1"/>
                <w:sz w:val="22"/>
                <w:szCs w:val="22"/>
              </w:rPr>
              <w:t>400,000</w:t>
            </w:r>
          </w:p>
        </w:tc>
      </w:tr>
      <w:tr w:rsidR="00FC046C" w:rsidRPr="005D48A5" w14:paraId="7CD6200F" w14:textId="77777777" w:rsidTr="00E65A74">
        <w:tblPrEx>
          <w:jc w:val="left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  <w:trHeight w:val="3940"/>
        </w:trPr>
        <w:tc>
          <w:tcPr>
            <w:tcW w:w="2031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1FB14D75" w14:textId="77777777" w:rsidR="00FC046C" w:rsidRPr="00AC6841" w:rsidRDefault="00FC046C" w:rsidP="00BA74E1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 w:rsidRPr="005D48A5">
              <w:rPr>
                <w:color w:val="000000" w:themeColor="text1"/>
                <w:sz w:val="22"/>
                <w:szCs w:val="22"/>
              </w:rPr>
              <w:t>Report</w:t>
            </w:r>
            <w:r>
              <w:rPr>
                <w:color w:val="000000" w:themeColor="text1"/>
                <w:sz w:val="22"/>
                <w:szCs w:val="22"/>
              </w:rPr>
              <w:t xml:space="preserve"> on information sharing.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5C38ED68" w14:textId="77777777" w:rsidR="00FC046C" w:rsidRPr="00AD2FFD" w:rsidRDefault="00FC046C" w:rsidP="00293B37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Milestones 2, 3 and 4</w:t>
            </w:r>
          </w:p>
          <w:p w14:paraId="26251C6C" w14:textId="6D459E46" w:rsidR="00FC046C" w:rsidRPr="003D286C" w:rsidRDefault="00FC046C" w:rsidP="00764C50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Commonwealth acceptance that </w:t>
            </w:r>
            <w:r w:rsidR="005E0100">
              <w:rPr>
                <w:color w:val="000000" w:themeColor="text1"/>
                <w:sz w:val="22"/>
                <w:szCs w:val="22"/>
                <w:lang w:val="en-AU"/>
              </w:rPr>
              <w:t>ACT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produce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d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a 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yearly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JCMP Report covering: </w:t>
            </w:r>
          </w:p>
          <w:p w14:paraId="78C01E84" w14:textId="77777777" w:rsidR="00FC046C" w:rsidRPr="003D286C" w:rsidRDefault="00FC046C" w:rsidP="00764C50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JCMP case activity: number of cases initiated, progress status, and outcomes.</w:t>
            </w:r>
          </w:p>
          <w:p w14:paraId="7D5FB27F" w14:textId="77777777" w:rsidR="00FC046C" w:rsidRDefault="00FC046C" w:rsidP="00764C50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Performance against agreed metrics: timeliness, compliance actions, and resolution rates.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5B4FBEC7" w14:textId="77777777" w:rsidR="00FC046C" w:rsidRPr="00DC2E35" w:rsidRDefault="00FC046C" w:rsidP="00764C50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Timeliness can be shown by</w:t>
            </w:r>
            <w:r w:rsidRPr="00DE5A83">
              <w:rPr>
                <w:color w:val="000000" w:themeColor="text1"/>
                <w:sz w:val="22"/>
                <w:szCs w:val="22"/>
                <w:lang w:val="en-AU"/>
              </w:rPr>
              <w:t xml:space="preserve"> demonstrating the efficiency of the triage process and the efficiency in decision making.</w:t>
            </w:r>
          </w:p>
          <w:p w14:paraId="1D56AFE3" w14:textId="77777777" w:rsidR="00FC046C" w:rsidRDefault="00FC046C" w:rsidP="00764C50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Compliance action can be demonstrated by measuring number of cases and the impact of their outcomes.</w:t>
            </w:r>
          </w:p>
          <w:p w14:paraId="21A657E8" w14:textId="77777777" w:rsidR="00FC046C" w:rsidRPr="008F2ABD" w:rsidRDefault="00FC046C" w:rsidP="00764C50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Resolution can be demonstrated by measuring productivity, outcomes and changes in behaviour. </w:t>
            </w:r>
          </w:p>
          <w:p w14:paraId="2A353217" w14:textId="77777777" w:rsidR="00FC046C" w:rsidRDefault="00FC046C" w:rsidP="00764C50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Incident and deviation reporting: any breaches, delays, or systemic issues identified.</w:t>
            </w:r>
          </w:p>
          <w:p w14:paraId="7B91BB10" w14:textId="05871ADA" w:rsidR="00E65A74" w:rsidRPr="002E19CE" w:rsidRDefault="00E65A74" w:rsidP="00E65A74">
            <w:pPr>
              <w:pStyle w:val="Milestonetable"/>
              <w:ind w:left="360"/>
              <w:rPr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2AF7D8DE" w14:textId="77777777" w:rsidR="00FC046C" w:rsidRDefault="00FC046C" w:rsidP="00FC046C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2027</w:t>
            </w:r>
          </w:p>
          <w:p w14:paraId="01478269" w14:textId="77777777" w:rsidR="00FC046C" w:rsidRDefault="00FC046C" w:rsidP="00FC046C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2F62ADBE" w14:textId="77777777" w:rsidR="00FC046C" w:rsidRDefault="00FC046C" w:rsidP="00FC046C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2028</w:t>
            </w:r>
          </w:p>
          <w:p w14:paraId="77B02352" w14:textId="77777777" w:rsidR="00FC046C" w:rsidRDefault="00FC046C" w:rsidP="00FC046C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3B47E934" w14:textId="77777777" w:rsidR="00FC046C" w:rsidRDefault="00FC046C" w:rsidP="00FC046C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2029</w:t>
            </w:r>
          </w:p>
          <w:p w14:paraId="50CA3B0B" w14:textId="77777777" w:rsidR="00FC046C" w:rsidRDefault="00FC046C" w:rsidP="00FC046C">
            <w:pPr>
              <w:pStyle w:val="Milestonetable"/>
              <w:rPr>
                <w:color w:val="auto"/>
                <w:sz w:val="22"/>
                <w:szCs w:val="22"/>
              </w:rPr>
            </w:pPr>
          </w:p>
          <w:p w14:paraId="20C2407D" w14:textId="77777777" w:rsidR="00FC046C" w:rsidRDefault="00FC046C" w:rsidP="00BA74E1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5730AFA2" w14:textId="0D2D996D" w:rsidR="00FC046C" w:rsidRPr="005D48A5" w:rsidRDefault="00FC046C" w:rsidP="00BA74E1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2"/>
          </w:tcPr>
          <w:p w14:paraId="27F20384" w14:textId="77777777" w:rsidR="00FC046C" w:rsidRDefault="00FC046C" w:rsidP="00BA74E1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  <w:p w14:paraId="1C318C65" w14:textId="77777777" w:rsidR="00FC046C" w:rsidRPr="005D48A5" w:rsidRDefault="00FC046C" w:rsidP="00BA74E1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0A7DB25A" w14:textId="77777777" w:rsidR="00FC046C" w:rsidRDefault="00FC046C" w:rsidP="00BA74E1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  <w:p w14:paraId="65521288" w14:textId="77777777" w:rsidR="00FC046C" w:rsidRPr="731A86F9" w:rsidRDefault="00FC046C" w:rsidP="00BA74E1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75489702" w14:textId="132FE08B" w:rsidR="00FC046C" w:rsidRPr="005D48A5" w:rsidRDefault="00FC046C" w:rsidP="00BA74E1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</w:tc>
      </w:tr>
    </w:tbl>
    <w:p w14:paraId="5FA13137" w14:textId="77777777" w:rsidR="002844E6" w:rsidRDefault="002844E6" w:rsidP="002844E6">
      <w:pPr>
        <w:rPr>
          <w:lang w:val="en-GB"/>
        </w:rPr>
      </w:pPr>
      <w:r>
        <w:rPr>
          <w:sz w:val="24"/>
          <w:szCs w:val="24"/>
        </w:rPr>
        <w:t>The Par</w:t>
      </w:r>
      <w:r w:rsidRPr="00F00A18">
        <w:rPr>
          <w:sz w:val="24"/>
          <w:szCs w:val="24"/>
        </w:rPr>
        <w:t>ties</w:t>
      </w:r>
      <w:r w:rsidRPr="00F00A18">
        <w:rPr>
          <w:lang w:val="en-GB"/>
        </w:rPr>
        <w:t xml:space="preserve"> have confirmed their commitment to this schedule as follows:</w:t>
      </w:r>
    </w:p>
    <w:tbl>
      <w:tblPr>
        <w:tblW w:w="14601" w:type="dxa"/>
        <w:jc w:val="center"/>
        <w:tblLayout w:type="fixed"/>
        <w:tblLook w:val="01E0" w:firstRow="1" w:lastRow="1" w:firstColumn="1" w:lastColumn="1" w:noHBand="0" w:noVBand="0"/>
      </w:tblPr>
      <w:tblGrid>
        <w:gridCol w:w="10"/>
        <w:gridCol w:w="2032"/>
        <w:gridCol w:w="3912"/>
        <w:gridCol w:w="1134"/>
        <w:gridCol w:w="2977"/>
        <w:gridCol w:w="2126"/>
        <w:gridCol w:w="1559"/>
        <w:gridCol w:w="851"/>
      </w:tblGrid>
      <w:tr w:rsidR="002844E6" w:rsidRPr="00F00A18" w14:paraId="6484B030" w14:textId="77777777" w:rsidTr="0085008D">
        <w:trPr>
          <w:gridAfter w:val="1"/>
          <w:wAfter w:w="851" w:type="dxa"/>
          <w:cantSplit/>
          <w:jc w:val="center"/>
        </w:trPr>
        <w:tc>
          <w:tcPr>
            <w:tcW w:w="5954" w:type="dxa"/>
            <w:gridSpan w:val="3"/>
          </w:tcPr>
          <w:p w14:paraId="3CE470F5" w14:textId="77777777" w:rsidR="002844E6" w:rsidRPr="00F00A18" w:rsidRDefault="002844E6" w:rsidP="00A53E57">
            <w:pPr>
              <w:pStyle w:val="Signed"/>
              <w:jc w:val="left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Australia by</w:t>
            </w:r>
          </w:p>
          <w:p w14:paraId="22CE31B6" w14:textId="77777777" w:rsidR="002844E6" w:rsidRPr="00F00A18" w:rsidRDefault="002844E6" w:rsidP="00A53E57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5B55CA43" w14:textId="77777777" w:rsidR="002844E6" w:rsidRPr="00F00A18" w:rsidRDefault="002844E6" w:rsidP="00A53E57">
            <w:pPr>
              <w:pStyle w:val="SingleParagraph"/>
              <w:jc w:val="left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Jason Clare</w:t>
            </w:r>
            <w:r w:rsidRPr="00F00A18">
              <w:rPr>
                <w:rStyle w:val="Bold"/>
                <w:color w:val="auto"/>
              </w:rPr>
              <w:t xml:space="preserve"> MP</w:t>
            </w:r>
          </w:p>
          <w:p w14:paraId="053D608F" w14:textId="77777777" w:rsidR="002844E6" w:rsidRPr="00F00A18" w:rsidRDefault="002844E6" w:rsidP="00A53E57">
            <w:pPr>
              <w:pStyle w:val="Position"/>
              <w:jc w:val="left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</w:t>
            </w:r>
            <w:r>
              <w:rPr>
                <w:color w:val="auto"/>
                <w:lang w:val="en-GB"/>
              </w:rPr>
              <w:t>Education</w:t>
            </w:r>
            <w:r w:rsidRPr="00F00A18">
              <w:rPr>
                <w:color w:val="auto"/>
                <w:lang w:val="en-GB"/>
              </w:rPr>
              <w:t xml:space="preserve"> </w:t>
            </w:r>
          </w:p>
          <w:p w14:paraId="1EADF6DD" w14:textId="3984ED11" w:rsidR="002844E6" w:rsidRPr="00F00A18" w:rsidRDefault="00E65A74" w:rsidP="00A53E57">
            <w:pPr>
              <w:pStyle w:val="SingleParagraph"/>
              <w:tabs>
                <w:tab w:val="num" w:pos="1134"/>
              </w:tabs>
              <w:spacing w:after="240"/>
              <w:jc w:val="left"/>
              <w:rPr>
                <w:b/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 xml:space="preserve">                            </w:t>
            </w:r>
            <w:r w:rsidR="002844E6" w:rsidRPr="00F00A18">
              <w:rPr>
                <w:color w:val="auto"/>
                <w:lang w:val="en-GB"/>
              </w:rPr>
              <w:t xml:space="preserve">  </w:t>
            </w:r>
            <w:r w:rsidR="00A53E57">
              <w:rPr>
                <w:color w:val="auto"/>
                <w:lang w:val="en-GB"/>
              </w:rPr>
              <w:t>2026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12E43682" w14:textId="77777777" w:rsidR="002844E6" w:rsidRPr="00F00A18" w:rsidRDefault="002844E6" w:rsidP="00DA7DD4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6662" w:type="dxa"/>
            <w:gridSpan w:val="3"/>
          </w:tcPr>
          <w:p w14:paraId="580BD1DF" w14:textId="77777777" w:rsidR="002844E6" w:rsidRPr="00A50751" w:rsidRDefault="002844E6" w:rsidP="00A53E57">
            <w:pPr>
              <w:pStyle w:val="Signed"/>
              <w:jc w:val="left"/>
            </w:pPr>
            <w:r>
              <w:rPr>
                <w:rStyle w:val="SignedBold"/>
              </w:rPr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Australian Capital Territory by</w:t>
            </w:r>
          </w:p>
          <w:p w14:paraId="587F3E23" w14:textId="77777777" w:rsidR="002844E6" w:rsidRPr="00F00A18" w:rsidRDefault="002844E6" w:rsidP="00A53E57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247FB4A9" w14:textId="77777777" w:rsidR="002844E6" w:rsidRDefault="002844E6" w:rsidP="00A53E57">
            <w:pPr>
              <w:pStyle w:val="SingleParagraph"/>
              <w:jc w:val="left"/>
              <w:rPr>
                <w:rStyle w:val="Bold"/>
              </w:rPr>
            </w:pPr>
            <w:r>
              <w:rPr>
                <w:rStyle w:val="Bold"/>
              </w:rPr>
              <w:t>Ms Yvette Berry MLA</w:t>
            </w:r>
          </w:p>
          <w:p w14:paraId="5242791B" w14:textId="77777777" w:rsidR="002844E6" w:rsidRDefault="002844E6" w:rsidP="00A53E57">
            <w:pPr>
              <w:pStyle w:val="Position"/>
              <w:jc w:val="left"/>
              <w:rPr>
                <w:lang w:val="en-GB"/>
              </w:rPr>
            </w:pPr>
            <w:r>
              <w:rPr>
                <w:lang w:val="en-GB"/>
              </w:rPr>
              <w:t>Minister for Education and Early Childhood</w:t>
            </w:r>
          </w:p>
          <w:p w14:paraId="5B2CE61C" w14:textId="18CE0442" w:rsidR="002844E6" w:rsidRPr="00F00A18" w:rsidRDefault="002844E6" w:rsidP="00A53E57">
            <w:pPr>
              <w:rPr>
                <w:rFonts w:ascii="Book Antiqua" w:hAnsi="Book Antiqua"/>
                <w:lang w:val="en-GB"/>
              </w:rPr>
            </w:pPr>
            <w:r w:rsidRPr="00B12190" w:rsidDel="00542A8C">
              <w:rPr>
                <w:lang w:val="en-GB"/>
              </w:rPr>
              <w:t xml:space="preserve"> </w:t>
            </w:r>
            <w:r w:rsidR="00E65A74">
              <w:rPr>
                <w:lang w:val="en-GB"/>
              </w:rPr>
              <w:t xml:space="preserve">                    </w:t>
            </w:r>
            <w:r>
              <w:rPr>
                <w:lang w:val="en-GB"/>
              </w:rPr>
              <w:t xml:space="preserve">  </w:t>
            </w:r>
            <w:r w:rsidR="00A53E57">
              <w:rPr>
                <w:lang w:val="en-GB"/>
              </w:rPr>
              <w:t>2026</w:t>
            </w:r>
          </w:p>
        </w:tc>
      </w:tr>
      <w:tr w:rsidR="008D1464" w:rsidRPr="00F00A18" w14:paraId="2E6DD1DB" w14:textId="77777777" w:rsidTr="0085008D">
        <w:tblPrEx>
          <w:jc w:val="left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14591" w:type="dxa"/>
            <w:gridSpan w:val="7"/>
            <w:shd w:val="clear" w:color="auto" w:fill="DEEAF6" w:themeFill="accent1" w:themeFillTint="33"/>
          </w:tcPr>
          <w:p w14:paraId="3ADF9542" w14:textId="42114F6D" w:rsidR="008D1464" w:rsidRPr="00F00A18" w:rsidRDefault="008D1464" w:rsidP="00556412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</w:t>
            </w:r>
            <w:r w:rsidR="00627C36">
              <w:rPr>
                <w:b/>
                <w:color w:val="auto"/>
              </w:rPr>
              <w:t>H</w:t>
            </w:r>
            <w:r w:rsidRPr="00F00A18">
              <w:rPr>
                <w:b/>
                <w:color w:val="auto"/>
              </w:rPr>
              <w:t xml:space="preserve">: </w:t>
            </w:r>
            <w:r>
              <w:rPr>
                <w:b/>
                <w:color w:val="auto"/>
              </w:rPr>
              <w:t xml:space="preserve">Northern Territory (NT) </w:t>
            </w:r>
            <w:r w:rsidRPr="00F00A18">
              <w:rPr>
                <w:b/>
                <w:color w:val="auto"/>
              </w:rPr>
              <w:t>Performance requirements, reporting and payment summary</w:t>
            </w:r>
          </w:p>
        </w:tc>
      </w:tr>
      <w:tr w:rsidR="008D1464" w:rsidRPr="00F00A18" w14:paraId="55009ED6" w14:textId="77777777" w:rsidTr="0085008D">
        <w:tblPrEx>
          <w:jc w:val="left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20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188D9C" w14:textId="77777777" w:rsidR="008D1464" w:rsidRPr="00F00A18" w:rsidRDefault="008D1464" w:rsidP="00556412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Output</w:t>
            </w:r>
          </w:p>
        </w:tc>
        <w:tc>
          <w:tcPr>
            <w:tcW w:w="802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FD655A" w14:textId="77777777" w:rsidR="008D1464" w:rsidRPr="00F00A18" w:rsidRDefault="008D1464" w:rsidP="00556412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25F2B5" w14:textId="1A01E02C" w:rsidR="008D1464" w:rsidRPr="00F00A18" w:rsidRDefault="00446F8B" w:rsidP="00556412">
            <w:pPr>
              <w:pStyle w:val="Tableforma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Due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DCC864" w14:textId="77777777" w:rsidR="008D1464" w:rsidRPr="00F00A18" w:rsidRDefault="008D1464" w:rsidP="00556412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85008D" w:rsidRPr="005D48A5" w14:paraId="53ED3832" w14:textId="77777777" w:rsidTr="0085008D">
        <w:tblPrEx>
          <w:jc w:val="left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  <w:trHeight w:val="990"/>
        </w:trPr>
        <w:tc>
          <w:tcPr>
            <w:tcW w:w="2032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3CE198D8" w14:textId="77777777" w:rsidR="0085008D" w:rsidRDefault="0085008D" w:rsidP="009D50E5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</w:p>
          <w:p w14:paraId="35B1746E" w14:textId="77777777" w:rsidR="0085008D" w:rsidRPr="005D48A5" w:rsidRDefault="0085008D" w:rsidP="009D50E5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Terms of Reference</w:t>
            </w:r>
          </w:p>
        </w:tc>
        <w:tc>
          <w:tcPr>
            <w:tcW w:w="8023" w:type="dxa"/>
            <w:gridSpan w:val="3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73CC7141" w14:textId="77777777" w:rsidR="0085008D" w:rsidRPr="00AD2FFD" w:rsidRDefault="0085008D" w:rsidP="009D50E5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 1</w:t>
            </w:r>
          </w:p>
          <w:p w14:paraId="0521CDE4" w14:textId="40DC2844" w:rsidR="0085008D" w:rsidRDefault="0085008D" w:rsidP="009D50E5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Endorsement by NT of the Joint Committee Monitoring Program Terms of Reference outlining the functions of the Committee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CE4604B" w14:textId="0A6767E6" w:rsidR="0085008D" w:rsidRDefault="00446F8B" w:rsidP="00B50E87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30 April </w:t>
            </w:r>
            <w:r w:rsidR="0085008D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2410" w:type="dxa"/>
            <w:gridSpan w:val="2"/>
            <w:vAlign w:val="center"/>
          </w:tcPr>
          <w:p w14:paraId="604F0D7D" w14:textId="77777777" w:rsidR="0085008D" w:rsidRDefault="0085008D" w:rsidP="009D50E5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>$620,000</w:t>
            </w:r>
          </w:p>
          <w:p w14:paraId="53C55225" w14:textId="77777777" w:rsidR="0085008D" w:rsidRDefault="0085008D" w:rsidP="009D50E5">
            <w:pPr>
              <w:pStyle w:val="Milestonetable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277C5" w:rsidRPr="005D48A5" w14:paraId="4609DF08" w14:textId="77777777" w:rsidTr="00DC0624">
        <w:tblPrEx>
          <w:jc w:val="left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  <w:trHeight w:val="4063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8" w:space="0" w:color="4F81BD"/>
            </w:tcBorders>
          </w:tcPr>
          <w:p w14:paraId="13DA50FC" w14:textId="77777777" w:rsidR="002277C5" w:rsidRPr="00AC6841" w:rsidRDefault="002277C5" w:rsidP="00556412">
            <w:pPr>
              <w:pStyle w:val="Milestonetable"/>
              <w:rPr>
                <w:color w:val="000000" w:themeColor="text1"/>
                <w:sz w:val="22"/>
                <w:szCs w:val="22"/>
              </w:rPr>
            </w:pPr>
            <w:r w:rsidRPr="005D48A5">
              <w:rPr>
                <w:color w:val="000000" w:themeColor="text1"/>
                <w:sz w:val="22"/>
                <w:szCs w:val="22"/>
              </w:rPr>
              <w:t>Report</w:t>
            </w:r>
            <w:r>
              <w:rPr>
                <w:color w:val="000000" w:themeColor="text1"/>
                <w:sz w:val="22"/>
                <w:szCs w:val="22"/>
              </w:rPr>
              <w:t xml:space="preserve"> on information sharing.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8023" w:type="dxa"/>
            <w:gridSpan w:val="3"/>
            <w:tcBorders>
              <w:top w:val="single" w:sz="4" w:space="0" w:color="auto"/>
              <w:left w:val="single" w:sz="8" w:space="0" w:color="4F81BD"/>
              <w:right w:val="single" w:sz="8" w:space="0" w:color="4F81BD"/>
            </w:tcBorders>
          </w:tcPr>
          <w:p w14:paraId="72679239" w14:textId="77777777" w:rsidR="002277C5" w:rsidRPr="00AD2FFD" w:rsidRDefault="002277C5" w:rsidP="0085008D">
            <w:pPr>
              <w:pStyle w:val="Milestonetable"/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D2FFD">
              <w:rPr>
                <w:b/>
                <w:bCs/>
                <w:color w:val="000000" w:themeColor="text1"/>
                <w:sz w:val="22"/>
                <w:szCs w:val="22"/>
                <w:lang w:val="en-AU"/>
              </w:rPr>
              <w:t>Milestones 2, 3 and 4</w:t>
            </w:r>
          </w:p>
          <w:p w14:paraId="0A618A33" w14:textId="63CCD2C8" w:rsidR="002277C5" w:rsidRPr="003D286C" w:rsidRDefault="002277C5" w:rsidP="0085008D">
            <w:pPr>
              <w:pStyle w:val="Milestonetable"/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Commonwealth acceptance that NT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produce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d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a 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>yearly</w:t>
            </w: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 xml:space="preserve"> JCMP Report covering: </w:t>
            </w:r>
          </w:p>
          <w:p w14:paraId="5AFF72CF" w14:textId="77777777" w:rsidR="002277C5" w:rsidRPr="003D286C" w:rsidRDefault="002277C5" w:rsidP="0085008D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JCMP case activity: number of cases initiated, progress status, and outcomes.</w:t>
            </w:r>
          </w:p>
          <w:p w14:paraId="14E45674" w14:textId="77777777" w:rsidR="002277C5" w:rsidRDefault="002277C5" w:rsidP="0085008D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Performance against agreed metrics: timeliness, compliance actions, and resolution rates.</w:t>
            </w: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16D55F28" w14:textId="77777777" w:rsidR="002277C5" w:rsidRPr="00DC2E35" w:rsidRDefault="002277C5" w:rsidP="0085008D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Timeliness can be shown by</w:t>
            </w:r>
            <w:r w:rsidRPr="00DE5A83">
              <w:rPr>
                <w:color w:val="000000" w:themeColor="text1"/>
                <w:sz w:val="22"/>
                <w:szCs w:val="22"/>
                <w:lang w:val="en-AU"/>
              </w:rPr>
              <w:t xml:space="preserve"> demonstrating the efficiency of the triage process and the efficiency in decision making.</w:t>
            </w:r>
          </w:p>
          <w:p w14:paraId="12B05228" w14:textId="77777777" w:rsidR="002277C5" w:rsidRDefault="002277C5" w:rsidP="0085008D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>Compliance action can be demonstrated by measuring number of cases and the impact of their outcomes.</w:t>
            </w:r>
          </w:p>
          <w:p w14:paraId="114C8D18" w14:textId="77777777" w:rsidR="002277C5" w:rsidRPr="008F2ABD" w:rsidRDefault="002277C5" w:rsidP="0085008D">
            <w:pPr>
              <w:pStyle w:val="Milestonetable"/>
              <w:numPr>
                <w:ilvl w:val="2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color w:val="000000" w:themeColor="text1"/>
                <w:sz w:val="22"/>
                <w:szCs w:val="22"/>
                <w:lang w:val="en-AU"/>
              </w:rPr>
              <w:t xml:space="preserve">Resolution can be demonstrated by measuring productivity, outcomes and changes in behaviour. </w:t>
            </w:r>
          </w:p>
          <w:p w14:paraId="6C7D2163" w14:textId="2D2108D7" w:rsidR="002277C5" w:rsidRPr="002277C5" w:rsidRDefault="002277C5" w:rsidP="002277C5">
            <w:pPr>
              <w:pStyle w:val="Milestonetable"/>
              <w:numPr>
                <w:ilvl w:val="1"/>
                <w:numId w:val="22"/>
              </w:numPr>
              <w:rPr>
                <w:color w:val="000000" w:themeColor="text1"/>
                <w:sz w:val="22"/>
                <w:szCs w:val="22"/>
                <w:lang w:val="en-AU"/>
              </w:rPr>
            </w:pPr>
            <w:r w:rsidRPr="003D286C">
              <w:rPr>
                <w:color w:val="000000" w:themeColor="text1"/>
                <w:sz w:val="22"/>
                <w:szCs w:val="22"/>
                <w:lang w:val="en-AU"/>
              </w:rPr>
              <w:t>Incident and deviation reporting: any breaches, delays, or systemic issues identified.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4F81BD"/>
              <w:right w:val="single" w:sz="8" w:space="0" w:color="4F81BD"/>
            </w:tcBorders>
          </w:tcPr>
          <w:p w14:paraId="76E9B82C" w14:textId="77777777" w:rsidR="002277C5" w:rsidRDefault="002277C5" w:rsidP="002277C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4F676128" w14:textId="2F194145" w:rsidR="002277C5" w:rsidRDefault="002277C5" w:rsidP="002277C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2027</w:t>
            </w:r>
          </w:p>
          <w:p w14:paraId="4C070CE7" w14:textId="77777777" w:rsidR="002277C5" w:rsidRDefault="002277C5" w:rsidP="002277C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4586DDCC" w14:textId="77777777" w:rsidR="002277C5" w:rsidRDefault="002277C5" w:rsidP="002277C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2028</w:t>
            </w:r>
          </w:p>
          <w:p w14:paraId="61F7B9D1" w14:textId="77777777" w:rsidR="002277C5" w:rsidRDefault="002277C5" w:rsidP="002277C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77A0778A" w14:textId="77777777" w:rsidR="002277C5" w:rsidRDefault="002277C5" w:rsidP="002277C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April 2029</w:t>
            </w:r>
          </w:p>
          <w:p w14:paraId="6216E98F" w14:textId="77777777" w:rsidR="002277C5" w:rsidRDefault="002277C5" w:rsidP="002277C5">
            <w:pPr>
              <w:pStyle w:val="Milestonetable"/>
              <w:rPr>
                <w:color w:val="auto"/>
                <w:sz w:val="22"/>
                <w:szCs w:val="22"/>
              </w:rPr>
            </w:pPr>
          </w:p>
          <w:p w14:paraId="1776D0B3" w14:textId="77777777" w:rsidR="002277C5" w:rsidRDefault="002277C5" w:rsidP="00556412">
            <w:pPr>
              <w:pStyle w:val="Milestonetable"/>
              <w:rPr>
                <w:color w:val="auto"/>
                <w:sz w:val="22"/>
                <w:szCs w:val="22"/>
              </w:rPr>
            </w:pPr>
          </w:p>
          <w:p w14:paraId="44310EB6" w14:textId="77777777" w:rsidR="002277C5" w:rsidRDefault="002277C5" w:rsidP="00556412">
            <w:pPr>
              <w:pStyle w:val="Milestonetable"/>
              <w:rPr>
                <w:color w:val="auto"/>
                <w:sz w:val="22"/>
                <w:szCs w:val="22"/>
              </w:rPr>
            </w:pPr>
          </w:p>
          <w:p w14:paraId="290E31FD" w14:textId="2945B7AF" w:rsidR="002277C5" w:rsidRPr="005D48A5" w:rsidRDefault="002277C5" w:rsidP="00556412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A2F4DE" w14:textId="77777777" w:rsidR="002277C5" w:rsidRDefault="002277C5" w:rsidP="002277C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3D851E5D" w14:textId="5C879D1B" w:rsidR="002277C5" w:rsidRDefault="002277C5" w:rsidP="002277C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  <w:p w14:paraId="36EA98EC" w14:textId="77777777" w:rsidR="002277C5" w:rsidRPr="005D48A5" w:rsidRDefault="002277C5" w:rsidP="002277C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60F965FB" w14:textId="77777777" w:rsidR="002277C5" w:rsidRDefault="002277C5" w:rsidP="002277C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  <w:p w14:paraId="5ACA3CA0" w14:textId="77777777" w:rsidR="002277C5" w:rsidRPr="731A86F9" w:rsidRDefault="002277C5" w:rsidP="002277C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</w:p>
          <w:p w14:paraId="20A07088" w14:textId="59AE71AF" w:rsidR="002277C5" w:rsidRPr="005D48A5" w:rsidRDefault="002277C5" w:rsidP="002277C5">
            <w:pPr>
              <w:pStyle w:val="Milestonetabl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$680,000</w:t>
            </w:r>
          </w:p>
        </w:tc>
      </w:tr>
    </w:tbl>
    <w:p w14:paraId="77D7866D" w14:textId="77777777" w:rsidR="008D1464" w:rsidRDefault="008D1464" w:rsidP="008D1464">
      <w:pPr>
        <w:rPr>
          <w:lang w:val="en-GB"/>
        </w:rPr>
      </w:pPr>
      <w:r>
        <w:rPr>
          <w:sz w:val="24"/>
          <w:szCs w:val="24"/>
        </w:rPr>
        <w:t>The Par</w:t>
      </w:r>
      <w:r w:rsidRPr="00F00A18">
        <w:rPr>
          <w:sz w:val="24"/>
          <w:szCs w:val="24"/>
        </w:rPr>
        <w:t>ties</w:t>
      </w:r>
      <w:r w:rsidRPr="00F00A18">
        <w:rPr>
          <w:lang w:val="en-GB"/>
        </w:rPr>
        <w:t xml:space="preserve"> have confirmed their commitment to this schedule as follows:</w:t>
      </w:r>
    </w:p>
    <w:tbl>
      <w:tblPr>
        <w:tblW w:w="13750" w:type="dxa"/>
        <w:jc w:val="center"/>
        <w:tblLayout w:type="fixed"/>
        <w:tblLook w:val="01E0" w:firstRow="1" w:lastRow="1" w:firstColumn="1" w:lastColumn="1" w:noHBand="0" w:noVBand="0"/>
      </w:tblPr>
      <w:tblGrid>
        <w:gridCol w:w="5812"/>
        <w:gridCol w:w="1276"/>
        <w:gridCol w:w="6662"/>
      </w:tblGrid>
      <w:tr w:rsidR="008D1464" w:rsidRPr="00F00A18" w14:paraId="62D54D31" w14:textId="77777777" w:rsidTr="00556412">
        <w:trPr>
          <w:cantSplit/>
          <w:jc w:val="center"/>
        </w:trPr>
        <w:tc>
          <w:tcPr>
            <w:tcW w:w="5812" w:type="dxa"/>
          </w:tcPr>
          <w:p w14:paraId="7E10B2CE" w14:textId="0103B28F" w:rsidR="008D1464" w:rsidRPr="00F00A18" w:rsidRDefault="00DC0624" w:rsidP="00556412">
            <w:pPr>
              <w:pStyle w:val="Signed"/>
              <w:jc w:val="left"/>
              <w:rPr>
                <w:color w:val="auto"/>
              </w:rPr>
            </w:pPr>
            <w:r>
              <w:rPr>
                <w:rStyle w:val="SignedBold"/>
                <w:color w:val="auto"/>
              </w:rPr>
              <w:t>S</w:t>
            </w:r>
            <w:r w:rsidR="008D1464" w:rsidRPr="00F00A18">
              <w:rPr>
                <w:rStyle w:val="SignedBold"/>
                <w:color w:val="auto"/>
              </w:rPr>
              <w:t>igned</w:t>
            </w:r>
            <w:r w:rsidR="008D1464" w:rsidRPr="00F00A18">
              <w:rPr>
                <w:color w:val="auto"/>
              </w:rPr>
              <w:t xml:space="preserve"> for and on behalf of the Commonwealth of Australia by</w:t>
            </w:r>
          </w:p>
          <w:p w14:paraId="61A88092" w14:textId="77777777" w:rsidR="008D1464" w:rsidRPr="00F00A18" w:rsidRDefault="008D1464" w:rsidP="00556412">
            <w:pPr>
              <w:pStyle w:val="LineForSignature"/>
              <w:jc w:val="left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18594512" w14:textId="77777777" w:rsidR="008D1464" w:rsidRPr="00F00A18" w:rsidRDefault="008D1464" w:rsidP="00556412">
            <w:pPr>
              <w:pStyle w:val="SingleParagraph"/>
              <w:jc w:val="left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Jason Clare</w:t>
            </w:r>
            <w:r w:rsidRPr="00F00A18">
              <w:rPr>
                <w:rStyle w:val="Bold"/>
                <w:color w:val="auto"/>
              </w:rPr>
              <w:t xml:space="preserve"> MP</w:t>
            </w:r>
          </w:p>
          <w:p w14:paraId="33BB89D3" w14:textId="77777777" w:rsidR="008D1464" w:rsidRPr="00F00A18" w:rsidRDefault="008D1464" w:rsidP="00556412">
            <w:pPr>
              <w:pStyle w:val="Position"/>
              <w:jc w:val="left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</w:t>
            </w:r>
            <w:r>
              <w:rPr>
                <w:color w:val="auto"/>
                <w:lang w:val="en-GB"/>
              </w:rPr>
              <w:t>Education</w:t>
            </w:r>
            <w:r w:rsidRPr="00F00A18">
              <w:rPr>
                <w:color w:val="auto"/>
                <w:lang w:val="en-GB"/>
              </w:rPr>
              <w:t xml:space="preserve"> </w:t>
            </w:r>
          </w:p>
          <w:p w14:paraId="3CA325AA" w14:textId="72AC11BB" w:rsidR="008D1464" w:rsidRPr="00F00A18" w:rsidRDefault="00DC0624" w:rsidP="00556412">
            <w:pPr>
              <w:pStyle w:val="SingleParagraph"/>
              <w:tabs>
                <w:tab w:val="num" w:pos="1134"/>
              </w:tabs>
              <w:spacing w:after="240"/>
              <w:jc w:val="left"/>
              <w:rPr>
                <w:b/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 xml:space="preserve">                         </w:t>
            </w:r>
            <w:r w:rsidR="008D1464" w:rsidRPr="00F00A18">
              <w:rPr>
                <w:color w:val="auto"/>
                <w:lang w:val="en-GB"/>
              </w:rPr>
              <w:t xml:space="preserve">  </w:t>
            </w:r>
            <w:r w:rsidR="008D1464">
              <w:rPr>
                <w:lang w:val="en-GB"/>
              </w:rPr>
              <w:t>2026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59E8C592" w14:textId="77777777" w:rsidR="008D1464" w:rsidRPr="00F00A18" w:rsidRDefault="008D1464" w:rsidP="00556412">
            <w:pPr>
              <w:jc w:val="both"/>
              <w:rPr>
                <w:rFonts w:ascii="Book Antiqua" w:hAnsi="Book Antiqua"/>
                <w:lang w:val="en-GB"/>
              </w:rPr>
            </w:pPr>
          </w:p>
        </w:tc>
        <w:tc>
          <w:tcPr>
            <w:tcW w:w="6662" w:type="dxa"/>
          </w:tcPr>
          <w:p w14:paraId="51F05192" w14:textId="77777777" w:rsidR="008D1464" w:rsidRPr="00A50751" w:rsidRDefault="008D1464" w:rsidP="00556412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Northern Territory by</w:t>
            </w:r>
          </w:p>
          <w:p w14:paraId="0B763E96" w14:textId="77777777" w:rsidR="008D1464" w:rsidRPr="00F00A18" w:rsidRDefault="008D1464" w:rsidP="00556412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524BAD39" w14:textId="77777777" w:rsidR="008D1464" w:rsidRDefault="008D1464" w:rsidP="00556412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Jo Hersey MLA</w:t>
            </w:r>
          </w:p>
          <w:p w14:paraId="3C414E68" w14:textId="77777777" w:rsidR="008D1464" w:rsidRDefault="008D1464" w:rsidP="00556412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3069B86F" w14:textId="63F58BCA" w:rsidR="008D1464" w:rsidRPr="00F00A18" w:rsidRDefault="00DC0624" w:rsidP="00556412">
            <w:pPr>
              <w:jc w:val="both"/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 xml:space="preserve">                                 </w:t>
            </w:r>
            <w:r w:rsidR="008D1464">
              <w:rPr>
                <w:lang w:val="en-GB"/>
              </w:rPr>
              <w:t xml:space="preserve">  2026</w:t>
            </w:r>
          </w:p>
        </w:tc>
      </w:tr>
    </w:tbl>
    <w:p w14:paraId="2DDE3932" w14:textId="77777777" w:rsidR="008D1464" w:rsidRPr="000078F1" w:rsidRDefault="008D1464" w:rsidP="000078F1">
      <w:pPr>
        <w:sectPr w:rsidR="008D1464" w:rsidRPr="000078F1" w:rsidSect="000078F1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3E5491E" w14:textId="77777777" w:rsidR="004442EE" w:rsidRDefault="004442EE" w:rsidP="004442EE">
      <w:pPr>
        <w:tabs>
          <w:tab w:val="left" w:pos="3865"/>
        </w:tabs>
      </w:pPr>
    </w:p>
    <w:p w14:paraId="62E83F2C" w14:textId="77777777" w:rsidR="004442EE" w:rsidRDefault="004442EE" w:rsidP="004442EE"/>
    <w:p w14:paraId="673500F4" w14:textId="77777777" w:rsidR="00C91B5F" w:rsidRDefault="00C91B5F" w:rsidP="00D4148D"/>
    <w:sectPr w:rsidR="00C91B5F" w:rsidSect="002F1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93AA" w14:textId="77777777" w:rsidR="00AC5CA6" w:rsidRDefault="00AC5CA6">
      <w:r>
        <w:separator/>
      </w:r>
    </w:p>
  </w:endnote>
  <w:endnote w:type="continuationSeparator" w:id="0">
    <w:p w14:paraId="2F4EE975" w14:textId="77777777" w:rsidR="00AC5CA6" w:rsidRDefault="00AC5CA6">
      <w:r>
        <w:continuationSeparator/>
      </w:r>
    </w:p>
  </w:endnote>
  <w:endnote w:type="continuationNotice" w:id="1">
    <w:p w14:paraId="3312FA74" w14:textId="77777777" w:rsidR="00AC5CA6" w:rsidRDefault="00AC5C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6331" w14:textId="22704B35" w:rsidR="00B75561" w:rsidRDefault="006B6E73">
    <w:pPr>
      <w:pStyle w:val="FooterEven"/>
    </w:pPr>
    <w:r>
      <w:t>Page D-2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E401" w14:textId="46D9892D" w:rsidR="00B75561" w:rsidRDefault="00B75561" w:rsidP="00953AB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F7E4" w14:textId="1C60C104" w:rsidR="00B75561" w:rsidRPr="00CA24B0" w:rsidRDefault="00B75561" w:rsidP="00953AB3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884C" w14:textId="65B64422" w:rsidR="001C1479" w:rsidRDefault="001C147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AF0E" w14:textId="1752FCBB" w:rsidR="001C1479" w:rsidRDefault="001C147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0034" w14:textId="60D2F021" w:rsidR="001C1479" w:rsidRDefault="001C147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4AFA" w14:textId="7BAE17C6" w:rsidR="0046090A" w:rsidRDefault="0046090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B3B9" w14:textId="3A481DDA" w:rsidR="0046090A" w:rsidRDefault="0046090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36FF" w14:textId="7E0FAC0B" w:rsidR="0046090A" w:rsidRDefault="00460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CA19" w14:textId="77777777" w:rsidR="00AC5CA6" w:rsidRDefault="00AC5CA6">
      <w:r>
        <w:separator/>
      </w:r>
    </w:p>
  </w:footnote>
  <w:footnote w:type="continuationSeparator" w:id="0">
    <w:p w14:paraId="3240870B" w14:textId="77777777" w:rsidR="00AC5CA6" w:rsidRDefault="00AC5CA6">
      <w:r>
        <w:continuationSeparator/>
      </w:r>
    </w:p>
  </w:footnote>
  <w:footnote w:type="continuationNotice" w:id="1">
    <w:p w14:paraId="63503713" w14:textId="77777777" w:rsidR="00AC5CA6" w:rsidRDefault="00AC5C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4722" w14:textId="7EF0FC65" w:rsidR="00D67382" w:rsidRDefault="00D67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32ED" w14:textId="087B5823" w:rsidR="00D67382" w:rsidRDefault="00D67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3E06" w14:textId="485BE55F" w:rsidR="00B75561" w:rsidRDefault="00B75561" w:rsidP="00953AB3">
    <w:pPr>
      <w:pStyle w:val="HeaderOdd"/>
      <w:tabs>
        <w:tab w:val="num" w:pos="1134"/>
      </w:tabs>
      <w:rPr>
        <w:color w:val="800000"/>
        <w:sz w:val="30"/>
        <w:szCs w:val="30"/>
      </w:rPr>
    </w:pPr>
  </w:p>
  <w:p w14:paraId="3621292C" w14:textId="77777777" w:rsidR="00B75561" w:rsidRDefault="00B7556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15D4" w14:textId="11B0D805" w:rsidR="001C1479" w:rsidRDefault="001C147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C315" w14:textId="38D65613" w:rsidR="001C1479" w:rsidRDefault="001C147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AFAB" w14:textId="6D24D398" w:rsidR="001C1479" w:rsidRDefault="001C147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293F" w14:textId="01AD3708" w:rsidR="0046090A" w:rsidRDefault="0046090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EB8E" w14:textId="51D208EC" w:rsidR="0046090A" w:rsidRDefault="0046090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15C7" w14:textId="4BF35A0A" w:rsidR="0046090A" w:rsidRDefault="00460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7FF"/>
    <w:multiLevelType w:val="hybridMultilevel"/>
    <w:tmpl w:val="FB06D26A"/>
    <w:lvl w:ilvl="0" w:tplc="0C090001">
      <w:start w:val="1"/>
      <w:numFmt w:val="bullet"/>
      <w:lvlText w:val=""/>
      <w:lvlJc w:val="left"/>
      <w:pPr>
        <w:ind w:left="-2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</w:abstractNum>
  <w:abstractNum w:abstractNumId="1" w15:restartNumberingAfterBreak="0">
    <w:nsid w:val="0B556C93"/>
    <w:multiLevelType w:val="multilevel"/>
    <w:tmpl w:val="1D72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045C8"/>
    <w:multiLevelType w:val="hybridMultilevel"/>
    <w:tmpl w:val="AC62D83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36CD"/>
    <w:multiLevelType w:val="multilevel"/>
    <w:tmpl w:val="2E4E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6170"/>
    <w:multiLevelType w:val="hybridMultilevel"/>
    <w:tmpl w:val="7F6CF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C7C3B"/>
    <w:multiLevelType w:val="multilevel"/>
    <w:tmpl w:val="8D9C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F1C63"/>
    <w:multiLevelType w:val="multilevel"/>
    <w:tmpl w:val="50E8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91270"/>
    <w:multiLevelType w:val="hybridMultilevel"/>
    <w:tmpl w:val="D19244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9F744F"/>
    <w:multiLevelType w:val="hybridMultilevel"/>
    <w:tmpl w:val="B06803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83614"/>
    <w:multiLevelType w:val="hybridMultilevel"/>
    <w:tmpl w:val="02A037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514B84"/>
    <w:multiLevelType w:val="hybridMultilevel"/>
    <w:tmpl w:val="84206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80B67"/>
    <w:multiLevelType w:val="hybridMultilevel"/>
    <w:tmpl w:val="4EF8DF8A"/>
    <w:lvl w:ilvl="0" w:tplc="64A466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2CA14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6C8C0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7A64F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41E72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2004A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9F44B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6DE58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84CAC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2B5D3D0C"/>
    <w:multiLevelType w:val="multilevel"/>
    <w:tmpl w:val="3E12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972EC6"/>
    <w:multiLevelType w:val="hybridMultilevel"/>
    <w:tmpl w:val="2EC0E1E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E71E3E"/>
    <w:multiLevelType w:val="hybridMultilevel"/>
    <w:tmpl w:val="52C83C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56467"/>
    <w:multiLevelType w:val="hybridMultilevel"/>
    <w:tmpl w:val="FCFE6596"/>
    <w:lvl w:ilvl="0" w:tplc="873C6B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9C26B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D560C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4B2D9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1F4B3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A52ED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7E098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7209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C3A55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3D2E56A8"/>
    <w:multiLevelType w:val="hybridMultilevel"/>
    <w:tmpl w:val="484E2E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1C6D26"/>
    <w:multiLevelType w:val="multilevel"/>
    <w:tmpl w:val="24D4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10"/>
        </w:tabs>
        <w:ind w:left="1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45F6F"/>
    <w:multiLevelType w:val="multilevel"/>
    <w:tmpl w:val="F260F148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395"/>
        </w:tabs>
        <w:ind w:left="7395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111627"/>
    <w:multiLevelType w:val="hybridMultilevel"/>
    <w:tmpl w:val="0E18206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2923D5"/>
    <w:multiLevelType w:val="hybridMultilevel"/>
    <w:tmpl w:val="C5781E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4F1E26"/>
    <w:multiLevelType w:val="hybridMultilevel"/>
    <w:tmpl w:val="4FE2FAC8"/>
    <w:lvl w:ilvl="0" w:tplc="1AE2C6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35611"/>
    <w:multiLevelType w:val="hybridMultilevel"/>
    <w:tmpl w:val="0E122E82"/>
    <w:lvl w:ilvl="0" w:tplc="87AA17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938BA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9A85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774AD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136A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F409C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F3A6C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DDA0D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0740F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3" w15:restartNumberingAfterBreak="0">
    <w:nsid w:val="5F22658A"/>
    <w:multiLevelType w:val="hybridMultilevel"/>
    <w:tmpl w:val="3A74F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D7A0E"/>
    <w:multiLevelType w:val="multilevel"/>
    <w:tmpl w:val="9C90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886A1F"/>
    <w:multiLevelType w:val="hybridMultilevel"/>
    <w:tmpl w:val="D5CA2650"/>
    <w:lvl w:ilvl="0" w:tplc="1AFEF1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74073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BA867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D64C6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5106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F843A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2882D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844C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D263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6" w15:restartNumberingAfterBreak="0">
    <w:nsid w:val="64456E3E"/>
    <w:multiLevelType w:val="multilevel"/>
    <w:tmpl w:val="36F8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222A4"/>
    <w:multiLevelType w:val="hybridMultilevel"/>
    <w:tmpl w:val="2FAA107E"/>
    <w:lvl w:ilvl="0" w:tplc="07EA19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5E637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8BA98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82EBC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3D461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15C9E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776BD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3D03B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26AB7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29" w15:restartNumberingAfterBreak="0">
    <w:nsid w:val="6DF3659E"/>
    <w:multiLevelType w:val="hybridMultilevel"/>
    <w:tmpl w:val="4ACCE18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51E15"/>
    <w:multiLevelType w:val="hybridMultilevel"/>
    <w:tmpl w:val="67DA9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70B90"/>
    <w:multiLevelType w:val="multilevel"/>
    <w:tmpl w:val="746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1148BD"/>
    <w:multiLevelType w:val="hybridMultilevel"/>
    <w:tmpl w:val="817842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4" w15:restartNumberingAfterBreak="0">
    <w:nsid w:val="7C7B3E17"/>
    <w:multiLevelType w:val="hybridMultilevel"/>
    <w:tmpl w:val="7C7B3E17"/>
    <w:lvl w:ilvl="0" w:tplc="35987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5431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CAEDB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ECC9B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0ACB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625A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48F2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58F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FCE8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1115437">
    <w:abstractNumId w:val="33"/>
  </w:num>
  <w:num w:numId="2" w16cid:durableId="1359887526">
    <w:abstractNumId w:val="28"/>
  </w:num>
  <w:num w:numId="3" w16cid:durableId="1711999208">
    <w:abstractNumId w:val="18"/>
  </w:num>
  <w:num w:numId="4" w16cid:durableId="641270463">
    <w:abstractNumId w:val="21"/>
  </w:num>
  <w:num w:numId="5" w16cid:durableId="113838854">
    <w:abstractNumId w:val="10"/>
  </w:num>
  <w:num w:numId="6" w16cid:durableId="1257785927">
    <w:abstractNumId w:val="14"/>
  </w:num>
  <w:num w:numId="7" w16cid:durableId="61877363">
    <w:abstractNumId w:val="32"/>
  </w:num>
  <w:num w:numId="8" w16cid:durableId="1965454057">
    <w:abstractNumId w:val="8"/>
  </w:num>
  <w:num w:numId="9" w16cid:durableId="389622666">
    <w:abstractNumId w:val="4"/>
  </w:num>
  <w:num w:numId="10" w16cid:durableId="656812491">
    <w:abstractNumId w:val="0"/>
  </w:num>
  <w:num w:numId="11" w16cid:durableId="548537530">
    <w:abstractNumId w:val="34"/>
  </w:num>
  <w:num w:numId="12" w16cid:durableId="321470857">
    <w:abstractNumId w:val="23"/>
  </w:num>
  <w:num w:numId="13" w16cid:durableId="702707879">
    <w:abstractNumId w:val="3"/>
  </w:num>
  <w:num w:numId="14" w16cid:durableId="1054552">
    <w:abstractNumId w:val="26"/>
  </w:num>
  <w:num w:numId="15" w16cid:durableId="1342196919">
    <w:abstractNumId w:val="17"/>
  </w:num>
  <w:num w:numId="16" w16cid:durableId="1019040933">
    <w:abstractNumId w:val="27"/>
  </w:num>
  <w:num w:numId="17" w16cid:durableId="1329407632">
    <w:abstractNumId w:val="25"/>
  </w:num>
  <w:num w:numId="18" w16cid:durableId="319432524">
    <w:abstractNumId w:val="11"/>
  </w:num>
  <w:num w:numId="19" w16cid:durableId="451558763">
    <w:abstractNumId w:val="22"/>
  </w:num>
  <w:num w:numId="20" w16cid:durableId="459810766">
    <w:abstractNumId w:val="15"/>
  </w:num>
  <w:num w:numId="21" w16cid:durableId="805045919">
    <w:abstractNumId w:val="1"/>
  </w:num>
  <w:num w:numId="22" w16cid:durableId="1891304528">
    <w:abstractNumId w:val="5"/>
  </w:num>
  <w:num w:numId="23" w16cid:durableId="575669171">
    <w:abstractNumId w:val="6"/>
  </w:num>
  <w:num w:numId="24" w16cid:durableId="600257876">
    <w:abstractNumId w:val="2"/>
  </w:num>
  <w:num w:numId="25" w16cid:durableId="1919437673">
    <w:abstractNumId w:val="19"/>
  </w:num>
  <w:num w:numId="26" w16cid:durableId="1187597059">
    <w:abstractNumId w:val="29"/>
  </w:num>
  <w:num w:numId="27" w16cid:durableId="1719473816">
    <w:abstractNumId w:val="30"/>
  </w:num>
  <w:num w:numId="28" w16cid:durableId="1002584199">
    <w:abstractNumId w:val="31"/>
  </w:num>
  <w:num w:numId="29" w16cid:durableId="1514294601">
    <w:abstractNumId w:val="13"/>
  </w:num>
  <w:num w:numId="30" w16cid:durableId="73166756">
    <w:abstractNumId w:val="20"/>
  </w:num>
  <w:num w:numId="31" w16cid:durableId="1818453954">
    <w:abstractNumId w:val="16"/>
  </w:num>
  <w:num w:numId="32" w16cid:durableId="112754640">
    <w:abstractNumId w:val="7"/>
  </w:num>
  <w:num w:numId="33" w16cid:durableId="1154377718">
    <w:abstractNumId w:val="9"/>
  </w:num>
  <w:num w:numId="34" w16cid:durableId="1844003366">
    <w:abstractNumId w:val="24"/>
  </w:num>
  <w:num w:numId="35" w16cid:durableId="873006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5F"/>
    <w:rsid w:val="00001384"/>
    <w:rsid w:val="0000415E"/>
    <w:rsid w:val="000078F1"/>
    <w:rsid w:val="000105E9"/>
    <w:rsid w:val="00011D4D"/>
    <w:rsid w:val="00021B82"/>
    <w:rsid w:val="00031B1F"/>
    <w:rsid w:val="00031D16"/>
    <w:rsid w:val="00031F2D"/>
    <w:rsid w:val="00033190"/>
    <w:rsid w:val="000338AD"/>
    <w:rsid w:val="0003591E"/>
    <w:rsid w:val="00041F42"/>
    <w:rsid w:val="00042B4C"/>
    <w:rsid w:val="00042CBD"/>
    <w:rsid w:val="00043FCD"/>
    <w:rsid w:val="00050C09"/>
    <w:rsid w:val="0005179A"/>
    <w:rsid w:val="000542BB"/>
    <w:rsid w:val="000557D9"/>
    <w:rsid w:val="0005716E"/>
    <w:rsid w:val="000572E1"/>
    <w:rsid w:val="000577B4"/>
    <w:rsid w:val="00060356"/>
    <w:rsid w:val="0006058B"/>
    <w:rsid w:val="00060BA3"/>
    <w:rsid w:val="000632AF"/>
    <w:rsid w:val="00063F53"/>
    <w:rsid w:val="00065D01"/>
    <w:rsid w:val="000678AF"/>
    <w:rsid w:val="00067C0F"/>
    <w:rsid w:val="00070847"/>
    <w:rsid w:val="00071CC0"/>
    <w:rsid w:val="000747A4"/>
    <w:rsid w:val="00076910"/>
    <w:rsid w:val="0007784D"/>
    <w:rsid w:val="00077866"/>
    <w:rsid w:val="00081D92"/>
    <w:rsid w:val="000827D4"/>
    <w:rsid w:val="00086D1C"/>
    <w:rsid w:val="0008785D"/>
    <w:rsid w:val="00096C93"/>
    <w:rsid w:val="000A4A83"/>
    <w:rsid w:val="000A655C"/>
    <w:rsid w:val="000B160E"/>
    <w:rsid w:val="000B6E9C"/>
    <w:rsid w:val="000B740D"/>
    <w:rsid w:val="000B7788"/>
    <w:rsid w:val="000C3F21"/>
    <w:rsid w:val="000C4980"/>
    <w:rsid w:val="000C56FA"/>
    <w:rsid w:val="000D2C06"/>
    <w:rsid w:val="000D46FD"/>
    <w:rsid w:val="000D573B"/>
    <w:rsid w:val="000D5F76"/>
    <w:rsid w:val="000E791D"/>
    <w:rsid w:val="000E794E"/>
    <w:rsid w:val="000E7BC8"/>
    <w:rsid w:val="000F021F"/>
    <w:rsid w:val="000F6240"/>
    <w:rsid w:val="00101F13"/>
    <w:rsid w:val="00104F2F"/>
    <w:rsid w:val="00105BDC"/>
    <w:rsid w:val="001070CA"/>
    <w:rsid w:val="00111993"/>
    <w:rsid w:val="00111A98"/>
    <w:rsid w:val="00111B96"/>
    <w:rsid w:val="00112F95"/>
    <w:rsid w:val="00117089"/>
    <w:rsid w:val="00120A47"/>
    <w:rsid w:val="0012130D"/>
    <w:rsid w:val="00121955"/>
    <w:rsid w:val="001226B3"/>
    <w:rsid w:val="00133F07"/>
    <w:rsid w:val="00142DF5"/>
    <w:rsid w:val="00143C70"/>
    <w:rsid w:val="001507E1"/>
    <w:rsid w:val="00150888"/>
    <w:rsid w:val="00152DDA"/>
    <w:rsid w:val="00153CAD"/>
    <w:rsid w:val="00157698"/>
    <w:rsid w:val="00162396"/>
    <w:rsid w:val="00173B04"/>
    <w:rsid w:val="001763AB"/>
    <w:rsid w:val="00176B77"/>
    <w:rsid w:val="001770A6"/>
    <w:rsid w:val="00181EB6"/>
    <w:rsid w:val="00187298"/>
    <w:rsid w:val="00197D61"/>
    <w:rsid w:val="001A0F4E"/>
    <w:rsid w:val="001A4A67"/>
    <w:rsid w:val="001A58F1"/>
    <w:rsid w:val="001A642D"/>
    <w:rsid w:val="001A7D42"/>
    <w:rsid w:val="001B1C38"/>
    <w:rsid w:val="001B4CC8"/>
    <w:rsid w:val="001C1479"/>
    <w:rsid w:val="001C4C14"/>
    <w:rsid w:val="001D4807"/>
    <w:rsid w:val="001D5F5A"/>
    <w:rsid w:val="001E0D46"/>
    <w:rsid w:val="001E3941"/>
    <w:rsid w:val="001E47B4"/>
    <w:rsid w:val="001E4D11"/>
    <w:rsid w:val="001F3D0C"/>
    <w:rsid w:val="001F3FA0"/>
    <w:rsid w:val="001F4E42"/>
    <w:rsid w:val="0020631E"/>
    <w:rsid w:val="0021119C"/>
    <w:rsid w:val="0021198E"/>
    <w:rsid w:val="00212F1C"/>
    <w:rsid w:val="00215951"/>
    <w:rsid w:val="00223CC8"/>
    <w:rsid w:val="00224E88"/>
    <w:rsid w:val="0022697E"/>
    <w:rsid w:val="002274B4"/>
    <w:rsid w:val="002277C5"/>
    <w:rsid w:val="002346F9"/>
    <w:rsid w:val="00243272"/>
    <w:rsid w:val="00243A31"/>
    <w:rsid w:val="00243B2E"/>
    <w:rsid w:val="00247129"/>
    <w:rsid w:val="00251A44"/>
    <w:rsid w:val="00253925"/>
    <w:rsid w:val="00254D05"/>
    <w:rsid w:val="0025787A"/>
    <w:rsid w:val="00260643"/>
    <w:rsid w:val="002618A0"/>
    <w:rsid w:val="0026199A"/>
    <w:rsid w:val="00266D53"/>
    <w:rsid w:val="00270D07"/>
    <w:rsid w:val="00271E60"/>
    <w:rsid w:val="00271F0A"/>
    <w:rsid w:val="00276BAB"/>
    <w:rsid w:val="00277FB8"/>
    <w:rsid w:val="00280F2E"/>
    <w:rsid w:val="002833E0"/>
    <w:rsid w:val="002844E6"/>
    <w:rsid w:val="00284E07"/>
    <w:rsid w:val="00285390"/>
    <w:rsid w:val="00287106"/>
    <w:rsid w:val="00290E77"/>
    <w:rsid w:val="00291CAA"/>
    <w:rsid w:val="0029306B"/>
    <w:rsid w:val="00293B37"/>
    <w:rsid w:val="002A66C3"/>
    <w:rsid w:val="002A6A26"/>
    <w:rsid w:val="002B1EA3"/>
    <w:rsid w:val="002B3BDF"/>
    <w:rsid w:val="002B515D"/>
    <w:rsid w:val="002C1D90"/>
    <w:rsid w:val="002D101A"/>
    <w:rsid w:val="002D141F"/>
    <w:rsid w:val="002D57D4"/>
    <w:rsid w:val="002D5CB4"/>
    <w:rsid w:val="002E19CE"/>
    <w:rsid w:val="002E2D11"/>
    <w:rsid w:val="002E5944"/>
    <w:rsid w:val="002F1A34"/>
    <w:rsid w:val="002F1BD0"/>
    <w:rsid w:val="002F23C8"/>
    <w:rsid w:val="002F240D"/>
    <w:rsid w:val="002F3926"/>
    <w:rsid w:val="002F4582"/>
    <w:rsid w:val="002F4819"/>
    <w:rsid w:val="002F48C6"/>
    <w:rsid w:val="00304976"/>
    <w:rsid w:val="003060F0"/>
    <w:rsid w:val="0030658F"/>
    <w:rsid w:val="003101A8"/>
    <w:rsid w:val="003112A1"/>
    <w:rsid w:val="00313573"/>
    <w:rsid w:val="00315383"/>
    <w:rsid w:val="0031561D"/>
    <w:rsid w:val="00316DFD"/>
    <w:rsid w:val="00317FB3"/>
    <w:rsid w:val="00320BE9"/>
    <w:rsid w:val="00321D9D"/>
    <w:rsid w:val="00322635"/>
    <w:rsid w:val="003246A6"/>
    <w:rsid w:val="003262E4"/>
    <w:rsid w:val="00327C1E"/>
    <w:rsid w:val="0033090C"/>
    <w:rsid w:val="003310E8"/>
    <w:rsid w:val="00331DB9"/>
    <w:rsid w:val="0034052F"/>
    <w:rsid w:val="003459C3"/>
    <w:rsid w:val="003470B9"/>
    <w:rsid w:val="00347834"/>
    <w:rsid w:val="003507F0"/>
    <w:rsid w:val="0035308B"/>
    <w:rsid w:val="00354B85"/>
    <w:rsid w:val="00361538"/>
    <w:rsid w:val="003624B0"/>
    <w:rsid w:val="00370FF1"/>
    <w:rsid w:val="00371351"/>
    <w:rsid w:val="00376078"/>
    <w:rsid w:val="00377F30"/>
    <w:rsid w:val="00382B0D"/>
    <w:rsid w:val="003846B7"/>
    <w:rsid w:val="00385613"/>
    <w:rsid w:val="00385891"/>
    <w:rsid w:val="0039363F"/>
    <w:rsid w:val="00397C81"/>
    <w:rsid w:val="003A57F0"/>
    <w:rsid w:val="003A66F9"/>
    <w:rsid w:val="003A7820"/>
    <w:rsid w:val="003A7981"/>
    <w:rsid w:val="003B04EE"/>
    <w:rsid w:val="003B061B"/>
    <w:rsid w:val="003B2E53"/>
    <w:rsid w:val="003B3D22"/>
    <w:rsid w:val="003B3EA5"/>
    <w:rsid w:val="003B548F"/>
    <w:rsid w:val="003C1EC2"/>
    <w:rsid w:val="003C2B63"/>
    <w:rsid w:val="003C7E0E"/>
    <w:rsid w:val="003D286C"/>
    <w:rsid w:val="003D7012"/>
    <w:rsid w:val="003E0E6C"/>
    <w:rsid w:val="003E181E"/>
    <w:rsid w:val="003E265C"/>
    <w:rsid w:val="003E3453"/>
    <w:rsid w:val="003E4196"/>
    <w:rsid w:val="003E6653"/>
    <w:rsid w:val="003F0F08"/>
    <w:rsid w:val="003F1023"/>
    <w:rsid w:val="003F17D1"/>
    <w:rsid w:val="003F23DE"/>
    <w:rsid w:val="003F5A64"/>
    <w:rsid w:val="003F6177"/>
    <w:rsid w:val="00400520"/>
    <w:rsid w:val="00411280"/>
    <w:rsid w:val="004124DC"/>
    <w:rsid w:val="00414838"/>
    <w:rsid w:val="004152B8"/>
    <w:rsid w:val="004163B8"/>
    <w:rsid w:val="00416818"/>
    <w:rsid w:val="00417D9C"/>
    <w:rsid w:val="004202C1"/>
    <w:rsid w:val="0042072F"/>
    <w:rsid w:val="00422A27"/>
    <w:rsid w:val="004259E9"/>
    <w:rsid w:val="00430505"/>
    <w:rsid w:val="00432C80"/>
    <w:rsid w:val="004442EE"/>
    <w:rsid w:val="00446F8B"/>
    <w:rsid w:val="0045065C"/>
    <w:rsid w:val="004507C2"/>
    <w:rsid w:val="00450CB2"/>
    <w:rsid w:val="00450E7A"/>
    <w:rsid w:val="0045274A"/>
    <w:rsid w:val="00455205"/>
    <w:rsid w:val="00455D79"/>
    <w:rsid w:val="004562CE"/>
    <w:rsid w:val="0046090A"/>
    <w:rsid w:val="00462957"/>
    <w:rsid w:val="00476319"/>
    <w:rsid w:val="00477E2B"/>
    <w:rsid w:val="00480989"/>
    <w:rsid w:val="00483E5D"/>
    <w:rsid w:val="00490BC5"/>
    <w:rsid w:val="004927D6"/>
    <w:rsid w:val="00492E93"/>
    <w:rsid w:val="004A1975"/>
    <w:rsid w:val="004A7D6F"/>
    <w:rsid w:val="004B050F"/>
    <w:rsid w:val="004B1CE5"/>
    <w:rsid w:val="004B716E"/>
    <w:rsid w:val="004C0D45"/>
    <w:rsid w:val="004C77E4"/>
    <w:rsid w:val="004D0B7C"/>
    <w:rsid w:val="004D7BFA"/>
    <w:rsid w:val="004E0247"/>
    <w:rsid w:val="004E0B25"/>
    <w:rsid w:val="004E52E2"/>
    <w:rsid w:val="004E5B80"/>
    <w:rsid w:val="004E648B"/>
    <w:rsid w:val="004F280E"/>
    <w:rsid w:val="004F47A9"/>
    <w:rsid w:val="004F791E"/>
    <w:rsid w:val="00503EFD"/>
    <w:rsid w:val="00504C34"/>
    <w:rsid w:val="00507012"/>
    <w:rsid w:val="00507441"/>
    <w:rsid w:val="00507C7D"/>
    <w:rsid w:val="0051026C"/>
    <w:rsid w:val="00510AFD"/>
    <w:rsid w:val="00511CC4"/>
    <w:rsid w:val="00512074"/>
    <w:rsid w:val="00513362"/>
    <w:rsid w:val="00515326"/>
    <w:rsid w:val="00515AB8"/>
    <w:rsid w:val="005215BE"/>
    <w:rsid w:val="00521D4C"/>
    <w:rsid w:val="005230D9"/>
    <w:rsid w:val="0052690B"/>
    <w:rsid w:val="00527C29"/>
    <w:rsid w:val="00531FCC"/>
    <w:rsid w:val="005331F5"/>
    <w:rsid w:val="00533E0C"/>
    <w:rsid w:val="00534E1F"/>
    <w:rsid w:val="00535943"/>
    <w:rsid w:val="005409BD"/>
    <w:rsid w:val="00541653"/>
    <w:rsid w:val="005437A2"/>
    <w:rsid w:val="0054387C"/>
    <w:rsid w:val="00543F02"/>
    <w:rsid w:val="005473D3"/>
    <w:rsid w:val="005508CF"/>
    <w:rsid w:val="005519FE"/>
    <w:rsid w:val="00551C3F"/>
    <w:rsid w:val="005626EE"/>
    <w:rsid w:val="00565A9E"/>
    <w:rsid w:val="005675B1"/>
    <w:rsid w:val="005722D8"/>
    <w:rsid w:val="00574B49"/>
    <w:rsid w:val="005763CF"/>
    <w:rsid w:val="00580B30"/>
    <w:rsid w:val="0058378C"/>
    <w:rsid w:val="0058482D"/>
    <w:rsid w:val="00591793"/>
    <w:rsid w:val="00596781"/>
    <w:rsid w:val="00596BCC"/>
    <w:rsid w:val="00597BF2"/>
    <w:rsid w:val="005A2EA8"/>
    <w:rsid w:val="005A5D8E"/>
    <w:rsid w:val="005B0622"/>
    <w:rsid w:val="005B1464"/>
    <w:rsid w:val="005B4451"/>
    <w:rsid w:val="005B582A"/>
    <w:rsid w:val="005B6F09"/>
    <w:rsid w:val="005B778C"/>
    <w:rsid w:val="005C1024"/>
    <w:rsid w:val="005C3DED"/>
    <w:rsid w:val="005C48B7"/>
    <w:rsid w:val="005C573D"/>
    <w:rsid w:val="005C6744"/>
    <w:rsid w:val="005D06AC"/>
    <w:rsid w:val="005D1B27"/>
    <w:rsid w:val="005D27D5"/>
    <w:rsid w:val="005D48A5"/>
    <w:rsid w:val="005D7AD3"/>
    <w:rsid w:val="005E0100"/>
    <w:rsid w:val="005E2CFF"/>
    <w:rsid w:val="005F1202"/>
    <w:rsid w:val="005F29A9"/>
    <w:rsid w:val="005F35E0"/>
    <w:rsid w:val="005F491F"/>
    <w:rsid w:val="005F73D8"/>
    <w:rsid w:val="006011ED"/>
    <w:rsid w:val="00601304"/>
    <w:rsid w:val="006053CF"/>
    <w:rsid w:val="00605A3F"/>
    <w:rsid w:val="00606663"/>
    <w:rsid w:val="00606C33"/>
    <w:rsid w:val="0061112A"/>
    <w:rsid w:val="00611767"/>
    <w:rsid w:val="00612E2E"/>
    <w:rsid w:val="00621E08"/>
    <w:rsid w:val="00623167"/>
    <w:rsid w:val="006236BA"/>
    <w:rsid w:val="006248B8"/>
    <w:rsid w:val="0062668B"/>
    <w:rsid w:val="006267FB"/>
    <w:rsid w:val="00627366"/>
    <w:rsid w:val="00627C36"/>
    <w:rsid w:val="006328E3"/>
    <w:rsid w:val="0063450B"/>
    <w:rsid w:val="00640DB2"/>
    <w:rsid w:val="0064121C"/>
    <w:rsid w:val="006417AB"/>
    <w:rsid w:val="006448BE"/>
    <w:rsid w:val="00647D2B"/>
    <w:rsid w:val="0065251A"/>
    <w:rsid w:val="00657B41"/>
    <w:rsid w:val="0066037C"/>
    <w:rsid w:val="006646E2"/>
    <w:rsid w:val="00671105"/>
    <w:rsid w:val="0067412C"/>
    <w:rsid w:val="00675F86"/>
    <w:rsid w:val="00677163"/>
    <w:rsid w:val="006775B9"/>
    <w:rsid w:val="006817E5"/>
    <w:rsid w:val="0069754B"/>
    <w:rsid w:val="006A0572"/>
    <w:rsid w:val="006A0D59"/>
    <w:rsid w:val="006A1C56"/>
    <w:rsid w:val="006A2BDF"/>
    <w:rsid w:val="006A4121"/>
    <w:rsid w:val="006A5A02"/>
    <w:rsid w:val="006A5EAE"/>
    <w:rsid w:val="006B33F2"/>
    <w:rsid w:val="006B35A2"/>
    <w:rsid w:val="006B6E73"/>
    <w:rsid w:val="006C04DB"/>
    <w:rsid w:val="006C266E"/>
    <w:rsid w:val="006C43F8"/>
    <w:rsid w:val="006C77E3"/>
    <w:rsid w:val="006D05A1"/>
    <w:rsid w:val="006D4B06"/>
    <w:rsid w:val="006E13C9"/>
    <w:rsid w:val="006E2BA1"/>
    <w:rsid w:val="006E72D3"/>
    <w:rsid w:val="006E7D0F"/>
    <w:rsid w:val="006F1880"/>
    <w:rsid w:val="006F28FA"/>
    <w:rsid w:val="006F2F04"/>
    <w:rsid w:val="00703317"/>
    <w:rsid w:val="00703900"/>
    <w:rsid w:val="00710A0E"/>
    <w:rsid w:val="00723F7E"/>
    <w:rsid w:val="0073118F"/>
    <w:rsid w:val="0073158E"/>
    <w:rsid w:val="007323D4"/>
    <w:rsid w:val="00741210"/>
    <w:rsid w:val="00742113"/>
    <w:rsid w:val="00751D98"/>
    <w:rsid w:val="00754B25"/>
    <w:rsid w:val="007631B1"/>
    <w:rsid w:val="00763EFB"/>
    <w:rsid w:val="007647A2"/>
    <w:rsid w:val="00764A79"/>
    <w:rsid w:val="00764C50"/>
    <w:rsid w:val="0076589D"/>
    <w:rsid w:val="00771137"/>
    <w:rsid w:val="00771DAD"/>
    <w:rsid w:val="00773588"/>
    <w:rsid w:val="00777A95"/>
    <w:rsid w:val="0078248D"/>
    <w:rsid w:val="007853E8"/>
    <w:rsid w:val="007A2099"/>
    <w:rsid w:val="007A4896"/>
    <w:rsid w:val="007B1A57"/>
    <w:rsid w:val="007B30CB"/>
    <w:rsid w:val="007B3D28"/>
    <w:rsid w:val="007B485D"/>
    <w:rsid w:val="007C2328"/>
    <w:rsid w:val="007C5ABF"/>
    <w:rsid w:val="007C776F"/>
    <w:rsid w:val="007D0045"/>
    <w:rsid w:val="007D39EF"/>
    <w:rsid w:val="007D5DBB"/>
    <w:rsid w:val="007E0158"/>
    <w:rsid w:val="007E104C"/>
    <w:rsid w:val="007E3B8D"/>
    <w:rsid w:val="007E3F0C"/>
    <w:rsid w:val="007E6086"/>
    <w:rsid w:val="007E79D3"/>
    <w:rsid w:val="007F5FB8"/>
    <w:rsid w:val="007F68F1"/>
    <w:rsid w:val="007F6CD9"/>
    <w:rsid w:val="00802712"/>
    <w:rsid w:val="00802A4D"/>
    <w:rsid w:val="008033C1"/>
    <w:rsid w:val="008035B5"/>
    <w:rsid w:val="00804EBD"/>
    <w:rsid w:val="00807C5D"/>
    <w:rsid w:val="00810C27"/>
    <w:rsid w:val="00814044"/>
    <w:rsid w:val="008146AA"/>
    <w:rsid w:val="0081534B"/>
    <w:rsid w:val="00820669"/>
    <w:rsid w:val="008220A6"/>
    <w:rsid w:val="00830033"/>
    <w:rsid w:val="008313E7"/>
    <w:rsid w:val="00831A46"/>
    <w:rsid w:val="00831FE0"/>
    <w:rsid w:val="00832EE8"/>
    <w:rsid w:val="008358DC"/>
    <w:rsid w:val="00835CB4"/>
    <w:rsid w:val="0083677F"/>
    <w:rsid w:val="00840794"/>
    <w:rsid w:val="008466A1"/>
    <w:rsid w:val="0085008D"/>
    <w:rsid w:val="00851784"/>
    <w:rsid w:val="008553CC"/>
    <w:rsid w:val="00856638"/>
    <w:rsid w:val="00860DB0"/>
    <w:rsid w:val="00863B61"/>
    <w:rsid w:val="00863E53"/>
    <w:rsid w:val="008654E7"/>
    <w:rsid w:val="00865785"/>
    <w:rsid w:val="00867FCA"/>
    <w:rsid w:val="00871617"/>
    <w:rsid w:val="00871997"/>
    <w:rsid w:val="00880639"/>
    <w:rsid w:val="00880BC6"/>
    <w:rsid w:val="008823AC"/>
    <w:rsid w:val="00884E8F"/>
    <w:rsid w:val="008876FF"/>
    <w:rsid w:val="00893081"/>
    <w:rsid w:val="00894562"/>
    <w:rsid w:val="008A08B7"/>
    <w:rsid w:val="008A1369"/>
    <w:rsid w:val="008A183F"/>
    <w:rsid w:val="008A41A5"/>
    <w:rsid w:val="008A4A2B"/>
    <w:rsid w:val="008A63D4"/>
    <w:rsid w:val="008C0946"/>
    <w:rsid w:val="008C0B69"/>
    <w:rsid w:val="008C4C2D"/>
    <w:rsid w:val="008C4E88"/>
    <w:rsid w:val="008D1464"/>
    <w:rsid w:val="008D2371"/>
    <w:rsid w:val="008D6B5D"/>
    <w:rsid w:val="008E08CB"/>
    <w:rsid w:val="008E0A14"/>
    <w:rsid w:val="008E0C4C"/>
    <w:rsid w:val="008E1BE7"/>
    <w:rsid w:val="008E4351"/>
    <w:rsid w:val="008E62E2"/>
    <w:rsid w:val="008F2ABD"/>
    <w:rsid w:val="008F3159"/>
    <w:rsid w:val="00902140"/>
    <w:rsid w:val="0090378B"/>
    <w:rsid w:val="009051DD"/>
    <w:rsid w:val="009126EC"/>
    <w:rsid w:val="00914959"/>
    <w:rsid w:val="00915136"/>
    <w:rsid w:val="0091614A"/>
    <w:rsid w:val="00917B2E"/>
    <w:rsid w:val="00921408"/>
    <w:rsid w:val="009239D8"/>
    <w:rsid w:val="00923CD1"/>
    <w:rsid w:val="00931C8C"/>
    <w:rsid w:val="00933373"/>
    <w:rsid w:val="00934006"/>
    <w:rsid w:val="0093579B"/>
    <w:rsid w:val="00937D65"/>
    <w:rsid w:val="009424C5"/>
    <w:rsid w:val="00942DCE"/>
    <w:rsid w:val="00953AB3"/>
    <w:rsid w:val="00955860"/>
    <w:rsid w:val="00957892"/>
    <w:rsid w:val="00961C11"/>
    <w:rsid w:val="0096427A"/>
    <w:rsid w:val="00973E70"/>
    <w:rsid w:val="009742FC"/>
    <w:rsid w:val="0098483F"/>
    <w:rsid w:val="00984E75"/>
    <w:rsid w:val="00985F8B"/>
    <w:rsid w:val="009867F6"/>
    <w:rsid w:val="00990A2F"/>
    <w:rsid w:val="009916E5"/>
    <w:rsid w:val="00997611"/>
    <w:rsid w:val="00997D48"/>
    <w:rsid w:val="009A086F"/>
    <w:rsid w:val="009A1FB9"/>
    <w:rsid w:val="009A3193"/>
    <w:rsid w:val="009A4252"/>
    <w:rsid w:val="009A6E0D"/>
    <w:rsid w:val="009B7543"/>
    <w:rsid w:val="009C064D"/>
    <w:rsid w:val="009C2D04"/>
    <w:rsid w:val="009C3443"/>
    <w:rsid w:val="009C4978"/>
    <w:rsid w:val="009C5986"/>
    <w:rsid w:val="009C5B43"/>
    <w:rsid w:val="009D012D"/>
    <w:rsid w:val="009D1A61"/>
    <w:rsid w:val="009D202A"/>
    <w:rsid w:val="009D2AAC"/>
    <w:rsid w:val="009D48F1"/>
    <w:rsid w:val="009D5BA6"/>
    <w:rsid w:val="009E32DA"/>
    <w:rsid w:val="009E4125"/>
    <w:rsid w:val="009E6317"/>
    <w:rsid w:val="009F2D3F"/>
    <w:rsid w:val="009F44FA"/>
    <w:rsid w:val="009F5D74"/>
    <w:rsid w:val="009F7B9D"/>
    <w:rsid w:val="009F7C24"/>
    <w:rsid w:val="00A020B2"/>
    <w:rsid w:val="00A034FE"/>
    <w:rsid w:val="00A03B22"/>
    <w:rsid w:val="00A05584"/>
    <w:rsid w:val="00A06486"/>
    <w:rsid w:val="00A11F5B"/>
    <w:rsid w:val="00A12FDD"/>
    <w:rsid w:val="00A155E9"/>
    <w:rsid w:val="00A15616"/>
    <w:rsid w:val="00A20185"/>
    <w:rsid w:val="00A23345"/>
    <w:rsid w:val="00A23CF1"/>
    <w:rsid w:val="00A3093A"/>
    <w:rsid w:val="00A30D8F"/>
    <w:rsid w:val="00A400EA"/>
    <w:rsid w:val="00A40126"/>
    <w:rsid w:val="00A42EB7"/>
    <w:rsid w:val="00A46572"/>
    <w:rsid w:val="00A467B9"/>
    <w:rsid w:val="00A47428"/>
    <w:rsid w:val="00A5078A"/>
    <w:rsid w:val="00A528D8"/>
    <w:rsid w:val="00A539E8"/>
    <w:rsid w:val="00A53E57"/>
    <w:rsid w:val="00A5405C"/>
    <w:rsid w:val="00A558D7"/>
    <w:rsid w:val="00A55E9C"/>
    <w:rsid w:val="00A561B2"/>
    <w:rsid w:val="00A60E63"/>
    <w:rsid w:val="00A6379E"/>
    <w:rsid w:val="00A63A93"/>
    <w:rsid w:val="00A64F97"/>
    <w:rsid w:val="00A6528A"/>
    <w:rsid w:val="00A65C44"/>
    <w:rsid w:val="00A66B79"/>
    <w:rsid w:val="00A7101C"/>
    <w:rsid w:val="00A7126F"/>
    <w:rsid w:val="00A71548"/>
    <w:rsid w:val="00A80BA4"/>
    <w:rsid w:val="00A8147A"/>
    <w:rsid w:val="00A81CB4"/>
    <w:rsid w:val="00A8314B"/>
    <w:rsid w:val="00A8671F"/>
    <w:rsid w:val="00A9149C"/>
    <w:rsid w:val="00A927C0"/>
    <w:rsid w:val="00AA0041"/>
    <w:rsid w:val="00AA171B"/>
    <w:rsid w:val="00AA2774"/>
    <w:rsid w:val="00AA3964"/>
    <w:rsid w:val="00AA56D5"/>
    <w:rsid w:val="00AA73FB"/>
    <w:rsid w:val="00AA7B30"/>
    <w:rsid w:val="00AA7C95"/>
    <w:rsid w:val="00AB5D5C"/>
    <w:rsid w:val="00AB6C38"/>
    <w:rsid w:val="00AB7D0A"/>
    <w:rsid w:val="00AC0C7D"/>
    <w:rsid w:val="00AC369C"/>
    <w:rsid w:val="00AC5C4B"/>
    <w:rsid w:val="00AC5CA6"/>
    <w:rsid w:val="00AC5ECD"/>
    <w:rsid w:val="00AC6841"/>
    <w:rsid w:val="00AD0984"/>
    <w:rsid w:val="00AD0C65"/>
    <w:rsid w:val="00AD2FFD"/>
    <w:rsid w:val="00AD5CAF"/>
    <w:rsid w:val="00AD6E22"/>
    <w:rsid w:val="00AE00C4"/>
    <w:rsid w:val="00AE23CD"/>
    <w:rsid w:val="00AE6EE9"/>
    <w:rsid w:val="00AF029F"/>
    <w:rsid w:val="00AF02D2"/>
    <w:rsid w:val="00AF136A"/>
    <w:rsid w:val="00AF2D90"/>
    <w:rsid w:val="00AF563B"/>
    <w:rsid w:val="00AF7065"/>
    <w:rsid w:val="00B01D9A"/>
    <w:rsid w:val="00B02E64"/>
    <w:rsid w:val="00B0346F"/>
    <w:rsid w:val="00B06BC0"/>
    <w:rsid w:val="00B07D95"/>
    <w:rsid w:val="00B11D3F"/>
    <w:rsid w:val="00B1448C"/>
    <w:rsid w:val="00B312FF"/>
    <w:rsid w:val="00B34C20"/>
    <w:rsid w:val="00B36921"/>
    <w:rsid w:val="00B37A10"/>
    <w:rsid w:val="00B37D89"/>
    <w:rsid w:val="00B431F6"/>
    <w:rsid w:val="00B43323"/>
    <w:rsid w:val="00B463E8"/>
    <w:rsid w:val="00B50425"/>
    <w:rsid w:val="00B50E87"/>
    <w:rsid w:val="00B54123"/>
    <w:rsid w:val="00B54B9A"/>
    <w:rsid w:val="00B55D17"/>
    <w:rsid w:val="00B60D10"/>
    <w:rsid w:val="00B62936"/>
    <w:rsid w:val="00B62D75"/>
    <w:rsid w:val="00B63981"/>
    <w:rsid w:val="00B65556"/>
    <w:rsid w:val="00B7048F"/>
    <w:rsid w:val="00B73514"/>
    <w:rsid w:val="00B746C4"/>
    <w:rsid w:val="00B75561"/>
    <w:rsid w:val="00B76465"/>
    <w:rsid w:val="00B8013B"/>
    <w:rsid w:val="00B86E8E"/>
    <w:rsid w:val="00B912F0"/>
    <w:rsid w:val="00B915DD"/>
    <w:rsid w:val="00B93D51"/>
    <w:rsid w:val="00B96857"/>
    <w:rsid w:val="00B970FC"/>
    <w:rsid w:val="00BA1310"/>
    <w:rsid w:val="00BA41A2"/>
    <w:rsid w:val="00BA74E1"/>
    <w:rsid w:val="00BB0778"/>
    <w:rsid w:val="00BB246A"/>
    <w:rsid w:val="00BB4439"/>
    <w:rsid w:val="00BB4971"/>
    <w:rsid w:val="00BC2BD3"/>
    <w:rsid w:val="00BC7AF4"/>
    <w:rsid w:val="00BD5BF6"/>
    <w:rsid w:val="00BD5FDE"/>
    <w:rsid w:val="00BD6D77"/>
    <w:rsid w:val="00BD6E01"/>
    <w:rsid w:val="00BD6FC4"/>
    <w:rsid w:val="00BD7C85"/>
    <w:rsid w:val="00BE6F07"/>
    <w:rsid w:val="00BF58EA"/>
    <w:rsid w:val="00BF7E08"/>
    <w:rsid w:val="00C04FF8"/>
    <w:rsid w:val="00C05108"/>
    <w:rsid w:val="00C106CF"/>
    <w:rsid w:val="00C12527"/>
    <w:rsid w:val="00C1276C"/>
    <w:rsid w:val="00C14819"/>
    <w:rsid w:val="00C165DA"/>
    <w:rsid w:val="00C227DF"/>
    <w:rsid w:val="00C23F1F"/>
    <w:rsid w:val="00C24228"/>
    <w:rsid w:val="00C25B2D"/>
    <w:rsid w:val="00C25F32"/>
    <w:rsid w:val="00C3210E"/>
    <w:rsid w:val="00C32778"/>
    <w:rsid w:val="00C33140"/>
    <w:rsid w:val="00C33BC8"/>
    <w:rsid w:val="00C40F91"/>
    <w:rsid w:val="00C410DE"/>
    <w:rsid w:val="00C45FDA"/>
    <w:rsid w:val="00C47412"/>
    <w:rsid w:val="00C47C32"/>
    <w:rsid w:val="00C50DE6"/>
    <w:rsid w:val="00C515F2"/>
    <w:rsid w:val="00C524B9"/>
    <w:rsid w:val="00C537DA"/>
    <w:rsid w:val="00C55085"/>
    <w:rsid w:val="00C5550E"/>
    <w:rsid w:val="00C55D58"/>
    <w:rsid w:val="00C570BD"/>
    <w:rsid w:val="00C629DF"/>
    <w:rsid w:val="00C64083"/>
    <w:rsid w:val="00C6609E"/>
    <w:rsid w:val="00C67D41"/>
    <w:rsid w:val="00C704D2"/>
    <w:rsid w:val="00C740A1"/>
    <w:rsid w:val="00C7625A"/>
    <w:rsid w:val="00C7629F"/>
    <w:rsid w:val="00C82825"/>
    <w:rsid w:val="00C82B01"/>
    <w:rsid w:val="00C83E7B"/>
    <w:rsid w:val="00C86626"/>
    <w:rsid w:val="00C91B5F"/>
    <w:rsid w:val="00C92CA2"/>
    <w:rsid w:val="00C94E2D"/>
    <w:rsid w:val="00C95224"/>
    <w:rsid w:val="00C957A0"/>
    <w:rsid w:val="00C971EA"/>
    <w:rsid w:val="00CA021A"/>
    <w:rsid w:val="00CA26CA"/>
    <w:rsid w:val="00CA54E0"/>
    <w:rsid w:val="00CA66EF"/>
    <w:rsid w:val="00CB1462"/>
    <w:rsid w:val="00CB2AD9"/>
    <w:rsid w:val="00CC27E1"/>
    <w:rsid w:val="00CC3733"/>
    <w:rsid w:val="00CC4D2C"/>
    <w:rsid w:val="00CC57DF"/>
    <w:rsid w:val="00CC6DD8"/>
    <w:rsid w:val="00CD2262"/>
    <w:rsid w:val="00CD4A59"/>
    <w:rsid w:val="00CD70B8"/>
    <w:rsid w:val="00CD71F1"/>
    <w:rsid w:val="00CE248B"/>
    <w:rsid w:val="00CE35B8"/>
    <w:rsid w:val="00CE385C"/>
    <w:rsid w:val="00CE38AA"/>
    <w:rsid w:val="00CE7EC7"/>
    <w:rsid w:val="00CF0B25"/>
    <w:rsid w:val="00CF2279"/>
    <w:rsid w:val="00CF2CC2"/>
    <w:rsid w:val="00CF3200"/>
    <w:rsid w:val="00CF33E8"/>
    <w:rsid w:val="00CF58C2"/>
    <w:rsid w:val="00CF6CD0"/>
    <w:rsid w:val="00D0219C"/>
    <w:rsid w:val="00D063EF"/>
    <w:rsid w:val="00D17162"/>
    <w:rsid w:val="00D20A6B"/>
    <w:rsid w:val="00D21E70"/>
    <w:rsid w:val="00D242AD"/>
    <w:rsid w:val="00D25623"/>
    <w:rsid w:val="00D27B14"/>
    <w:rsid w:val="00D31B3D"/>
    <w:rsid w:val="00D31B55"/>
    <w:rsid w:val="00D32138"/>
    <w:rsid w:val="00D3443A"/>
    <w:rsid w:val="00D3458B"/>
    <w:rsid w:val="00D4148D"/>
    <w:rsid w:val="00D43AD0"/>
    <w:rsid w:val="00D4714C"/>
    <w:rsid w:val="00D52C79"/>
    <w:rsid w:val="00D52D21"/>
    <w:rsid w:val="00D54783"/>
    <w:rsid w:val="00D54A24"/>
    <w:rsid w:val="00D55090"/>
    <w:rsid w:val="00D56171"/>
    <w:rsid w:val="00D571A5"/>
    <w:rsid w:val="00D57B39"/>
    <w:rsid w:val="00D6593F"/>
    <w:rsid w:val="00D65DA3"/>
    <w:rsid w:val="00D67382"/>
    <w:rsid w:val="00D72A49"/>
    <w:rsid w:val="00D86B9C"/>
    <w:rsid w:val="00D9113F"/>
    <w:rsid w:val="00D9129C"/>
    <w:rsid w:val="00D94C42"/>
    <w:rsid w:val="00D95E4D"/>
    <w:rsid w:val="00D96169"/>
    <w:rsid w:val="00DA0E80"/>
    <w:rsid w:val="00DA3D20"/>
    <w:rsid w:val="00DA48D8"/>
    <w:rsid w:val="00DB1DB4"/>
    <w:rsid w:val="00DC0624"/>
    <w:rsid w:val="00DC08A1"/>
    <w:rsid w:val="00DC2E35"/>
    <w:rsid w:val="00DC591A"/>
    <w:rsid w:val="00DC6EC8"/>
    <w:rsid w:val="00DC7B64"/>
    <w:rsid w:val="00DD0A1A"/>
    <w:rsid w:val="00DD1C5D"/>
    <w:rsid w:val="00DD2EA8"/>
    <w:rsid w:val="00DD3F82"/>
    <w:rsid w:val="00DD4B91"/>
    <w:rsid w:val="00DD7D64"/>
    <w:rsid w:val="00DE0037"/>
    <w:rsid w:val="00DE0D57"/>
    <w:rsid w:val="00DE1BC6"/>
    <w:rsid w:val="00DE4BF2"/>
    <w:rsid w:val="00DE5A83"/>
    <w:rsid w:val="00DF0AFC"/>
    <w:rsid w:val="00DF44DE"/>
    <w:rsid w:val="00E001D7"/>
    <w:rsid w:val="00E028E1"/>
    <w:rsid w:val="00E05EF3"/>
    <w:rsid w:val="00E07397"/>
    <w:rsid w:val="00E1291B"/>
    <w:rsid w:val="00E13771"/>
    <w:rsid w:val="00E14BB5"/>
    <w:rsid w:val="00E15BFD"/>
    <w:rsid w:val="00E15CD7"/>
    <w:rsid w:val="00E177CE"/>
    <w:rsid w:val="00E17CF4"/>
    <w:rsid w:val="00E21456"/>
    <w:rsid w:val="00E21A6C"/>
    <w:rsid w:val="00E21C3C"/>
    <w:rsid w:val="00E2346B"/>
    <w:rsid w:val="00E25022"/>
    <w:rsid w:val="00E26FC5"/>
    <w:rsid w:val="00E274A5"/>
    <w:rsid w:val="00E34A35"/>
    <w:rsid w:val="00E437B5"/>
    <w:rsid w:val="00E44133"/>
    <w:rsid w:val="00E503B0"/>
    <w:rsid w:val="00E531E5"/>
    <w:rsid w:val="00E5345B"/>
    <w:rsid w:val="00E602DF"/>
    <w:rsid w:val="00E60C7F"/>
    <w:rsid w:val="00E6193A"/>
    <w:rsid w:val="00E63337"/>
    <w:rsid w:val="00E635AD"/>
    <w:rsid w:val="00E65A74"/>
    <w:rsid w:val="00E7063C"/>
    <w:rsid w:val="00E71AF8"/>
    <w:rsid w:val="00E72990"/>
    <w:rsid w:val="00E862E3"/>
    <w:rsid w:val="00E94682"/>
    <w:rsid w:val="00E94A64"/>
    <w:rsid w:val="00EA0819"/>
    <w:rsid w:val="00EA129B"/>
    <w:rsid w:val="00EA1CBF"/>
    <w:rsid w:val="00EB0273"/>
    <w:rsid w:val="00EB2404"/>
    <w:rsid w:val="00EB48F5"/>
    <w:rsid w:val="00EC4245"/>
    <w:rsid w:val="00EC6AC6"/>
    <w:rsid w:val="00ED0F5A"/>
    <w:rsid w:val="00ED163E"/>
    <w:rsid w:val="00ED215D"/>
    <w:rsid w:val="00ED3762"/>
    <w:rsid w:val="00ED4F39"/>
    <w:rsid w:val="00ED5C58"/>
    <w:rsid w:val="00EE536F"/>
    <w:rsid w:val="00EE7923"/>
    <w:rsid w:val="00EF011D"/>
    <w:rsid w:val="00EF38E3"/>
    <w:rsid w:val="00EF603D"/>
    <w:rsid w:val="00EF6D4E"/>
    <w:rsid w:val="00F002D3"/>
    <w:rsid w:val="00F00430"/>
    <w:rsid w:val="00F0257E"/>
    <w:rsid w:val="00F06E8D"/>
    <w:rsid w:val="00F07111"/>
    <w:rsid w:val="00F0776C"/>
    <w:rsid w:val="00F10AD4"/>
    <w:rsid w:val="00F12FB6"/>
    <w:rsid w:val="00F1596C"/>
    <w:rsid w:val="00F22F6F"/>
    <w:rsid w:val="00F25DC9"/>
    <w:rsid w:val="00F26A72"/>
    <w:rsid w:val="00F274D1"/>
    <w:rsid w:val="00F27F6B"/>
    <w:rsid w:val="00F3279D"/>
    <w:rsid w:val="00F33883"/>
    <w:rsid w:val="00F3400D"/>
    <w:rsid w:val="00F3422A"/>
    <w:rsid w:val="00F3427C"/>
    <w:rsid w:val="00F3481B"/>
    <w:rsid w:val="00F35A40"/>
    <w:rsid w:val="00F368B2"/>
    <w:rsid w:val="00F40949"/>
    <w:rsid w:val="00F40C8A"/>
    <w:rsid w:val="00F44655"/>
    <w:rsid w:val="00F44B2A"/>
    <w:rsid w:val="00F45273"/>
    <w:rsid w:val="00F458E8"/>
    <w:rsid w:val="00F50652"/>
    <w:rsid w:val="00F50C11"/>
    <w:rsid w:val="00F56601"/>
    <w:rsid w:val="00F60566"/>
    <w:rsid w:val="00F62E4F"/>
    <w:rsid w:val="00F62F73"/>
    <w:rsid w:val="00F6514F"/>
    <w:rsid w:val="00F65A75"/>
    <w:rsid w:val="00F67602"/>
    <w:rsid w:val="00F7280C"/>
    <w:rsid w:val="00F735EA"/>
    <w:rsid w:val="00F75798"/>
    <w:rsid w:val="00F768EA"/>
    <w:rsid w:val="00F77545"/>
    <w:rsid w:val="00F83F44"/>
    <w:rsid w:val="00F8535F"/>
    <w:rsid w:val="00F86140"/>
    <w:rsid w:val="00F92549"/>
    <w:rsid w:val="00F92A0A"/>
    <w:rsid w:val="00F96BD3"/>
    <w:rsid w:val="00FA07D9"/>
    <w:rsid w:val="00FA0B69"/>
    <w:rsid w:val="00FA115B"/>
    <w:rsid w:val="00FA5561"/>
    <w:rsid w:val="00FA66D2"/>
    <w:rsid w:val="00FA703B"/>
    <w:rsid w:val="00FA7C73"/>
    <w:rsid w:val="00FC046C"/>
    <w:rsid w:val="00FC085D"/>
    <w:rsid w:val="00FC4DFE"/>
    <w:rsid w:val="00FD0873"/>
    <w:rsid w:val="00FD3939"/>
    <w:rsid w:val="00FD46B4"/>
    <w:rsid w:val="00FD7715"/>
    <w:rsid w:val="00FE00D5"/>
    <w:rsid w:val="00FE17EF"/>
    <w:rsid w:val="00FE260C"/>
    <w:rsid w:val="00FE43AF"/>
    <w:rsid w:val="00FE5A53"/>
    <w:rsid w:val="00FF2AF7"/>
    <w:rsid w:val="03A8BC8D"/>
    <w:rsid w:val="05604D80"/>
    <w:rsid w:val="0E5F0889"/>
    <w:rsid w:val="11F3AD19"/>
    <w:rsid w:val="178B1910"/>
    <w:rsid w:val="19E112CB"/>
    <w:rsid w:val="2487DA99"/>
    <w:rsid w:val="27A02A78"/>
    <w:rsid w:val="2F37033F"/>
    <w:rsid w:val="30DC8911"/>
    <w:rsid w:val="31DBB52F"/>
    <w:rsid w:val="35F2E4B1"/>
    <w:rsid w:val="3A957DF6"/>
    <w:rsid w:val="3DB2BAE4"/>
    <w:rsid w:val="3E43EDB3"/>
    <w:rsid w:val="3EBAA45A"/>
    <w:rsid w:val="4320ECF7"/>
    <w:rsid w:val="49600D02"/>
    <w:rsid w:val="4BA5EE31"/>
    <w:rsid w:val="5CF4F218"/>
    <w:rsid w:val="61F13851"/>
    <w:rsid w:val="638CE3F6"/>
    <w:rsid w:val="674198EC"/>
    <w:rsid w:val="68164CE8"/>
    <w:rsid w:val="6927BD2B"/>
    <w:rsid w:val="696F6DF4"/>
    <w:rsid w:val="731A86F9"/>
    <w:rsid w:val="7D90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E0156ED"/>
  <w15:chartTrackingRefBased/>
  <w15:docId w15:val="{A684D53F-AB4F-4736-9C02-ADDAD5D5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1B5F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8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B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B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C91B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C91B5F"/>
  </w:style>
  <w:style w:type="paragraph" w:styleId="Header">
    <w:name w:val="header"/>
    <w:basedOn w:val="Normal"/>
    <w:link w:val="Head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B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B5F"/>
    <w:rPr>
      <w:lang w:val="en-US"/>
    </w:rPr>
  </w:style>
  <w:style w:type="paragraph" w:customStyle="1" w:styleId="SingleParagraph">
    <w:name w:val="Single Paragraph"/>
    <w:basedOn w:val="Normal"/>
    <w:rsid w:val="00C91B5F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C91B5F"/>
    <w:rPr>
      <w:b/>
    </w:rPr>
  </w:style>
  <w:style w:type="paragraph" w:customStyle="1" w:styleId="FooterEven">
    <w:name w:val="Footer Even"/>
    <w:basedOn w:val="Footer"/>
    <w:rsid w:val="00C91B5F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C91B5F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C91B5F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91B5F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C91B5F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C91B5F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C91B5F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C91B5F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C91B5F"/>
    <w:rPr>
      <w:b/>
      <w:i/>
    </w:rPr>
  </w:style>
  <w:style w:type="paragraph" w:customStyle="1" w:styleId="LineForSignature">
    <w:name w:val="LineForSignature"/>
    <w:basedOn w:val="Normal"/>
    <w:rsid w:val="00C91B5F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C91B5F"/>
    <w:pPr>
      <w:widowControl/>
      <w:numPr>
        <w:numId w:val="1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C91B5F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C91B5F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C91B5F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C91B5F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C91B5F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B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BD3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customStyle="1" w:styleId="CCSNormalText">
    <w:name w:val="CCS Normal Text"/>
    <w:basedOn w:val="Normal"/>
    <w:link w:val="CCSNormalTextChar"/>
    <w:qFormat/>
    <w:rsid w:val="00133F07"/>
    <w:pPr>
      <w:widowControl/>
      <w:spacing w:before="60" w:after="120"/>
    </w:pPr>
    <w:rPr>
      <w:rFonts w:ascii="Arial" w:hAnsi="Arial" w:cs="Arial"/>
      <w:lang w:val="en-AU" w:eastAsia="zh-CN" w:bidi="th-TH"/>
    </w:rPr>
  </w:style>
  <w:style w:type="character" w:customStyle="1" w:styleId="CCSNormalTextChar">
    <w:name w:val="CCS Normal Text Char"/>
    <w:basedOn w:val="DefaultParagraphFont"/>
    <w:link w:val="CCSNormalText"/>
    <w:rsid w:val="00133F07"/>
    <w:rPr>
      <w:rFonts w:ascii="Arial" w:hAnsi="Arial" w:cs="Arial"/>
      <w:lang w:eastAsia="zh-CN" w:bidi="th-TH"/>
    </w:rPr>
  </w:style>
  <w:style w:type="character" w:styleId="Hyperlink">
    <w:name w:val="Hyperlink"/>
    <w:basedOn w:val="DefaultParagraphFont"/>
    <w:uiPriority w:val="99"/>
    <w:unhideWhenUsed/>
    <w:qFormat/>
    <w:rsid w:val="00AA171B"/>
    <w:rPr>
      <w:color w:val="0563C1" w:themeColor="hyperlink"/>
      <w:u w:val="single"/>
    </w:rPr>
  </w:style>
  <w:style w:type="table" w:styleId="TableGrid">
    <w:name w:val="Table Grid"/>
    <w:aliases w:val="DPS Table Grid"/>
    <w:basedOn w:val="TableNormal"/>
    <w:uiPriority w:val="39"/>
    <w:rsid w:val="00AA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STableSum">
    <w:name w:val="CCS Table Sum"/>
    <w:basedOn w:val="Normal"/>
    <w:link w:val="CCSTableSumChar"/>
    <w:qFormat/>
    <w:rsid w:val="00AA171B"/>
    <w:pPr>
      <w:widowControl/>
      <w:spacing w:before="60" w:after="120"/>
      <w:jc w:val="right"/>
    </w:pPr>
    <w:rPr>
      <w:rFonts w:ascii="Arial" w:hAnsi="Arial" w:cs="Arial"/>
      <w:b/>
      <w:lang w:val="en-AU" w:eastAsia="zh-CN" w:bidi="th-TH"/>
    </w:rPr>
  </w:style>
  <w:style w:type="character" w:customStyle="1" w:styleId="CCSTableSumChar">
    <w:name w:val="CCS Table Sum Char"/>
    <w:basedOn w:val="DefaultParagraphFont"/>
    <w:link w:val="CCSTableSum"/>
    <w:rsid w:val="00AA171B"/>
    <w:rPr>
      <w:rFonts w:ascii="Arial" w:hAnsi="Arial" w:cs="Arial"/>
      <w:b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3A7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98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981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6427A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2072F"/>
    <w:pPr>
      <w:spacing w:after="0" w:line="240" w:lineRule="auto"/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841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1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94B679238FA4C9C0BC6E3FF0AF82B" ma:contentTypeVersion="25" ma:contentTypeDescription="Create a new document." ma:contentTypeScope="" ma:versionID="294580baca79952cdac117c369130dec">
  <xsd:schema xmlns:xsd="http://www.w3.org/2001/XMLSchema" xmlns:xs="http://www.w3.org/2001/XMLSchema" xmlns:p="http://schemas.microsoft.com/office/2006/metadata/properties" xmlns:ns2="11ff4e0f-c43f-4343-bd0c-525c745c2637" xmlns:ns3="08a34b43-6862-4e63-a846-68db7a037adf" targetNamespace="http://schemas.microsoft.com/office/2006/metadata/properties" ma:root="true" ma:fieldsID="6d7455d36d0faeea4cfadc866c2ed957" ns2:_="" ns3:_="">
    <xsd:import namespace="11ff4e0f-c43f-4343-bd0c-525c745c2637"/>
    <xsd:import namespace="08a34b43-6862-4e63-a846-68db7a037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Contents" minOccurs="0"/>
                <xsd:element ref="ns2:Notes" minOccurs="0"/>
                <xsd:element ref="ns2:ARTHURSCREEKPRIMARYSCHO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f4e0f-c43f-4343-bd0c-525c745c2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Number" ma:index="26" nillable="true" ma:displayName="Number" ma:format="Dropdown" ma:internalName="Number" ma:percentage="FALSE">
      <xsd:simpleType>
        <xsd:restriction base="dms:Number"/>
      </xsd:simpleType>
    </xsd:element>
    <xsd:element name="Contents" ma:index="27" nillable="true" ma:displayName="Contents" ma:description="Description of contents of folder" ma:format="Dropdown" ma:internalName="Contents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ARTHURSCREEKPRIMARYSCHOOL" ma:index="29" nillable="true" ma:displayName="ARTHURS CREEK PRIMARY SCHOOL" ma:format="Dropdown" ma:internalName="ARTHURSCREEKPRIMARYSCHOO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34b43-6862-4e63-a846-68db7a037a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9ea4de-40da-4475-9eb8-022d7857106f}" ma:internalName="TaxCatchAll" ma:showField="CatchAllData" ma:web="08a34b43-6862-4e63-a846-68db7a037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34b43-6862-4e63-a846-68db7a037adf" xsi:nil="true"/>
    <ARTHURSCREEKPRIMARYSCHOOL xmlns="11ff4e0f-c43f-4343-bd0c-525c745c2637" xsi:nil="true"/>
    <Contents xmlns="11ff4e0f-c43f-4343-bd0c-525c745c2637" xsi:nil="true"/>
    <Number xmlns="11ff4e0f-c43f-4343-bd0c-525c745c2637" xsi:nil="true"/>
    <lcf76f155ced4ddcb4097134ff3c332f xmlns="11ff4e0f-c43f-4343-bd0c-525c745c2637">
      <Terms xmlns="http://schemas.microsoft.com/office/infopath/2007/PartnerControls"/>
    </lcf76f155ced4ddcb4097134ff3c332f>
    <Notes xmlns="11ff4e0f-c43f-4343-bd0c-525c745c2637" xsi:nil="true"/>
  </documentManagement>
</p:properties>
</file>

<file path=customXml/itemProps1.xml><?xml version="1.0" encoding="utf-8"?>
<ds:datastoreItem xmlns:ds="http://schemas.openxmlformats.org/officeDocument/2006/customXml" ds:itemID="{766DFF39-B1A0-4D6A-871F-52A68E916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1AC0E-0384-43D5-8777-26B78B0F6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f4e0f-c43f-4343-bd0c-525c745c2637"/>
    <ds:schemaRef ds:uri="08a34b43-6862-4e63-a846-68db7a037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D900B8-6070-407E-B433-89E316A15907}">
  <ds:schemaRefs>
    <ds:schemaRef ds:uri="http://schemas.microsoft.com/office/2006/metadata/properties"/>
    <ds:schemaRef ds:uri="http://schemas.microsoft.com/office/infopath/2007/PartnerControls"/>
    <ds:schemaRef ds:uri="08a34b43-6862-4e63-a846-68db7a037adf"/>
    <ds:schemaRef ds:uri="11ff4e0f-c43f-4343-bd0c-525c745c2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2686</Words>
  <Characters>16414</Characters>
  <Application>Microsoft Office Word</Application>
  <DocSecurity>4</DocSecurity>
  <Lines>631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Compliance Monitoring Program</vt:lpstr>
    </vt:vector>
  </TitlesOfParts>
  <Company>Department of the Prime Minister and Cabinet</Company>
  <LinksUpToDate>false</LinksUpToDate>
  <CharactersWithSpaces>18694</CharactersWithSpaces>
  <SharedDoc>false</SharedDoc>
  <HLinks>
    <vt:vector size="6" baseType="variant">
      <vt:variant>
        <vt:i4>5636193</vt:i4>
      </vt:variant>
      <vt:variant>
        <vt:i4>0</vt:i4>
      </vt:variant>
      <vt:variant>
        <vt:i4>0</vt:i4>
      </vt:variant>
      <vt:variant>
        <vt:i4>5</vt:i4>
      </vt:variant>
      <vt:variant>
        <vt:lpwstr>https://federalfinancialrelations.gov.au/sites/federalfinancialrelations.gov.au/files/2023-01/National Student Wellbeing Program - All states_0.pdf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Compliance Monitoring Program</dc:title>
  <dc:subject/>
  <dc:creator>Le, Alan</dc:creator>
  <cp:keywords/>
  <dc:description/>
  <cp:lastModifiedBy>Pennifold, Lauren</cp:lastModifiedBy>
  <cp:revision>2</cp:revision>
  <dcterms:created xsi:type="dcterms:W3CDTF">2026-06-24T01:26:00Z</dcterms:created>
  <dcterms:modified xsi:type="dcterms:W3CDTF">2026-06-24T01:26:00Z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2025-09-25T05:44:18Z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71c578b3-71c6-40f6-ba30-938401ae8836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0x01010093694B679238FA4C9C0BC6E3FF0AF82B</vt:lpwstr>
  </property>
  <property fmtid="{D5CDD505-2E9C-101B-9397-08002B2CF9AE}" pid="11" name="SecurityClassification">
    <vt:lpwstr>13;#PROTECTED//CABINET|ff8e15db-3d37-4758-af3d-adf9240ffa8d</vt:lpwstr>
  </property>
  <property fmtid="{D5CDD505-2E9C-101B-9397-08002B2CF9AE}" pid="12" name="_dlc_DocIdItemGuid">
    <vt:lpwstr>6c9d58fa-665e-471e-adf2-941668e80546</vt:lpwstr>
  </property>
  <property fmtid="{D5CDD505-2E9C-101B-9397-08002B2CF9AE}" pid="13" name="TaxKeyword">
    <vt:lpwstr/>
  </property>
  <property fmtid="{D5CDD505-2E9C-101B-9397-08002B2CF9AE}" pid="14" name="InformationMarker">
    <vt:lpwstr/>
  </property>
  <property fmtid="{D5CDD505-2E9C-101B-9397-08002B2CF9AE}" pid="15" name="docLang">
    <vt:lpwstr>en</vt:lpwstr>
  </property>
  <property fmtid="{D5CDD505-2E9C-101B-9397-08002B2CF9AE}" pid="16" name="eTheme">
    <vt:lpwstr>1</vt:lpwstr>
  </property>
  <property fmtid="{D5CDD505-2E9C-101B-9397-08002B2CF9AE}" pid="17" name="eTopic">
    <vt:lpwstr>30;#Federal Finances|bacab4ad-74a3-47e8-ba9b-a729110a24c1</vt:lpwstr>
  </property>
  <property fmtid="{D5CDD505-2E9C-101B-9397-08002B2CF9AE}" pid="18" name="eActivity">
    <vt:lpwstr>70</vt:lpwstr>
  </property>
  <property fmtid="{D5CDD505-2E9C-101B-9397-08002B2CF9AE}" pid="19" name="TSYStatus">
    <vt:lpwstr/>
  </property>
  <property fmtid="{D5CDD505-2E9C-101B-9397-08002B2CF9AE}" pid="20" name="SPPCode">
    <vt:lpwstr/>
  </property>
  <property fmtid="{D5CDD505-2E9C-101B-9397-08002B2CF9AE}" pid="21" name="ClassificationContentMarkingHeaderShapeIds">
    <vt:lpwstr>72b22e82,337e0614,5fec88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27e817d2,1472ae63,7a8259a6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eDocumentType">
    <vt:lpwstr>28;#Agreement (Right of use or Memorandum of understanding)|f8448f88-8343-4d6d-a573-2505a5b4876a</vt:lpwstr>
  </property>
  <property fmtid="{D5CDD505-2E9C-101B-9397-08002B2CF9AE}" pid="28" name="MediaServiceImageTags">
    <vt:lpwstr/>
  </property>
  <property fmtid="{D5CDD505-2E9C-101B-9397-08002B2CF9AE}" pid="29" name="MSIP_Label_b603dfd7-d93a-4381-a340-2995d8282205_Enabled">
    <vt:lpwstr>true</vt:lpwstr>
  </property>
  <property fmtid="{D5CDD505-2E9C-101B-9397-08002B2CF9AE}" pid="30" name="MSIP_Label_b603dfd7-d93a-4381-a340-2995d8282205_SetDate">
    <vt:lpwstr>2026-03-04T01:53:29Z</vt:lpwstr>
  </property>
  <property fmtid="{D5CDD505-2E9C-101B-9397-08002B2CF9AE}" pid="31" name="MSIP_Label_b603dfd7-d93a-4381-a340-2995d8282205_Method">
    <vt:lpwstr>Standard</vt:lpwstr>
  </property>
  <property fmtid="{D5CDD505-2E9C-101B-9397-08002B2CF9AE}" pid="32" name="MSIP_Label_b603dfd7-d93a-4381-a340-2995d8282205_Name">
    <vt:lpwstr>OFFICIAL</vt:lpwstr>
  </property>
  <property fmtid="{D5CDD505-2E9C-101B-9397-08002B2CF9AE}" pid="33" name="MSIP_Label_b603dfd7-d93a-4381-a340-2995d8282205_SiteId">
    <vt:lpwstr>05a0e69a-418a-47c1-9c25-9387261bf991</vt:lpwstr>
  </property>
  <property fmtid="{D5CDD505-2E9C-101B-9397-08002B2CF9AE}" pid="34" name="MSIP_Label_b603dfd7-d93a-4381-a340-2995d8282205_ActionId">
    <vt:lpwstr>b2ad022d-359e-40b7-ab51-a37c76059a5c</vt:lpwstr>
  </property>
  <property fmtid="{D5CDD505-2E9C-101B-9397-08002B2CF9AE}" pid="35" name="MSIP_Label_b603dfd7-d93a-4381-a340-2995d8282205_ContentBits">
    <vt:lpwstr>0</vt:lpwstr>
  </property>
  <property fmtid="{D5CDD505-2E9C-101B-9397-08002B2CF9AE}" pid="36" name="MSIP_Label_b603dfd7-d93a-4381-a340-2995d8282205_Tag">
    <vt:lpwstr>10, 3, 0, 1</vt:lpwstr>
  </property>
  <property fmtid="{D5CDD505-2E9C-101B-9397-08002B2CF9AE}" pid="37" name="MSIP_Label_4f932d64-9ab1-4d9b-81d2-a3a8b82dd47d_Enabled">
    <vt:lpwstr>true</vt:lpwstr>
  </property>
  <property fmtid="{D5CDD505-2E9C-101B-9397-08002B2CF9AE}" pid="38" name="MSIP_Label_4f932d64-9ab1-4d9b-81d2-a3a8b82dd47d_SetDate">
    <vt:lpwstr>2026-06-24T01:26:04Z</vt:lpwstr>
  </property>
  <property fmtid="{D5CDD505-2E9C-101B-9397-08002B2CF9AE}" pid="39" name="MSIP_Label_4f932d64-9ab1-4d9b-81d2-a3a8b82dd47d_Method">
    <vt:lpwstr>Privileged</vt:lpwstr>
  </property>
  <property fmtid="{D5CDD505-2E9C-101B-9397-08002B2CF9AE}" pid="40" name="MSIP_Label_4f932d64-9ab1-4d9b-81d2-a3a8b82dd47d_Name">
    <vt:lpwstr>OFFICIAL No Visual Marking</vt:lpwstr>
  </property>
  <property fmtid="{D5CDD505-2E9C-101B-9397-08002B2CF9AE}" pid="41" name="MSIP_Label_4f932d64-9ab1-4d9b-81d2-a3a8b82dd47d_SiteId">
    <vt:lpwstr>214f1646-2021-47cc-8397-e3d3a7ba7d9d</vt:lpwstr>
  </property>
  <property fmtid="{D5CDD505-2E9C-101B-9397-08002B2CF9AE}" pid="42" name="MSIP_Label_4f932d64-9ab1-4d9b-81d2-a3a8b82dd47d_ActionId">
    <vt:lpwstr>3ead8923-539e-4125-99fd-6ed76a9654de</vt:lpwstr>
  </property>
  <property fmtid="{D5CDD505-2E9C-101B-9397-08002B2CF9AE}" pid="43" name="MSIP_Label_4f932d64-9ab1-4d9b-81d2-a3a8b82dd47d_ContentBits">
    <vt:lpwstr>0</vt:lpwstr>
  </property>
  <property fmtid="{D5CDD505-2E9C-101B-9397-08002B2CF9AE}" pid="44" name="MSIP_Label_4f932d64-9ab1-4d9b-81d2-a3a8b82dd47d_Tag">
    <vt:lpwstr>10, 0, 1, 1</vt:lpwstr>
  </property>
</Properties>
</file>