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4F871" w14:textId="5EF0C403" w:rsidR="00C91B5F" w:rsidRPr="00900863" w:rsidRDefault="00326C03" w:rsidP="00EA74D0">
      <w:pPr>
        <w:pStyle w:val="Title"/>
        <w:rPr>
          <w:rFonts w:cs="Arial"/>
          <w:caps/>
          <w:color w:val="ED7D31" w:themeColor="accent2"/>
          <w:sz w:val="48"/>
          <w:szCs w:val="48"/>
        </w:rPr>
      </w:pPr>
      <w:r>
        <w:rPr>
          <w:rFonts w:cs="Arial"/>
          <w:caps/>
          <w:sz w:val="48"/>
          <w:szCs w:val="48"/>
        </w:rPr>
        <w:t>B</w:t>
      </w:r>
      <w:r w:rsidR="502F0F39" w:rsidRPr="54CB3774">
        <w:rPr>
          <w:rFonts w:cs="Arial"/>
          <w:caps/>
          <w:sz w:val="48"/>
          <w:szCs w:val="48"/>
        </w:rPr>
        <w:t xml:space="preserve">ilateral </w:t>
      </w:r>
      <w:r w:rsidR="5F44AD9C" w:rsidRPr="54CB3774">
        <w:rPr>
          <w:rFonts w:cs="Arial"/>
          <w:caps/>
          <w:sz w:val="48"/>
          <w:szCs w:val="48"/>
        </w:rPr>
        <w:t>SCHEDULE</w:t>
      </w:r>
      <w:r w:rsidR="502F0F39" w:rsidRPr="54CB3774">
        <w:rPr>
          <w:rFonts w:cs="Arial"/>
          <w:caps/>
          <w:sz w:val="48"/>
          <w:szCs w:val="48"/>
        </w:rPr>
        <w:t xml:space="preserve"> on </w:t>
      </w:r>
      <w:r w:rsidR="64402657" w:rsidRPr="54CB3774">
        <w:rPr>
          <w:rFonts w:cs="Arial"/>
          <w:caps/>
          <w:sz w:val="48"/>
          <w:szCs w:val="48"/>
        </w:rPr>
        <w:t>Mental Health and Suicide Prevention</w:t>
      </w:r>
      <w:r w:rsidR="502F0F39" w:rsidRPr="54CB3774">
        <w:rPr>
          <w:rFonts w:cs="Arial"/>
          <w:caps/>
          <w:sz w:val="48"/>
          <w:szCs w:val="48"/>
        </w:rPr>
        <w:t>:</w:t>
      </w:r>
      <w:r w:rsidR="64402657" w:rsidRPr="54CB3774">
        <w:rPr>
          <w:rFonts w:cs="Arial"/>
          <w:caps/>
          <w:sz w:val="48"/>
          <w:szCs w:val="48"/>
        </w:rPr>
        <w:t xml:space="preserve"> </w:t>
      </w:r>
      <w:r w:rsidR="6777DF03" w:rsidRPr="54CB3774">
        <w:rPr>
          <w:rFonts w:cs="Arial"/>
          <w:caps/>
          <w:color w:val="ED7D31" w:themeColor="accent2"/>
          <w:sz w:val="48"/>
          <w:szCs w:val="48"/>
        </w:rPr>
        <w:t>Victoria</w:t>
      </w:r>
    </w:p>
    <w:p w14:paraId="349BE157" w14:textId="77777777" w:rsidR="00045F7E" w:rsidRPr="00900863" w:rsidRDefault="00D83C67" w:rsidP="008B047F">
      <w:pPr>
        <w:pStyle w:val="Heading1"/>
        <w:jc w:val="both"/>
      </w:pPr>
      <w:r w:rsidRPr="00900863">
        <w:t xml:space="preserve">Parties to the </w:t>
      </w:r>
      <w:r w:rsidR="002E0E98" w:rsidRPr="00900863">
        <w:t>Schedule</w:t>
      </w:r>
    </w:p>
    <w:p w14:paraId="5B209BB9" w14:textId="77777777" w:rsidR="008146F6" w:rsidRPr="00900863" w:rsidRDefault="008146F6" w:rsidP="006D22F6">
      <w:pPr>
        <w:pStyle w:val="ListParagraph"/>
        <w:numPr>
          <w:ilvl w:val="0"/>
          <w:numId w:val="4"/>
        </w:numPr>
        <w:spacing w:line="24" w:lineRule="atLeast"/>
        <w:jc w:val="both"/>
      </w:pPr>
      <w:r w:rsidRPr="00900863">
        <w:t>This is an agreement between:</w:t>
      </w:r>
    </w:p>
    <w:p w14:paraId="0D02EF3D" w14:textId="73A1E55E" w:rsidR="008146F6" w:rsidRPr="00900863" w:rsidRDefault="008146F6" w:rsidP="006D22F6">
      <w:pPr>
        <w:pStyle w:val="ListParagraph"/>
        <w:numPr>
          <w:ilvl w:val="1"/>
          <w:numId w:val="4"/>
        </w:numPr>
        <w:spacing w:line="24" w:lineRule="atLeast"/>
        <w:jc w:val="both"/>
      </w:pPr>
      <w:r w:rsidRPr="00900863">
        <w:t xml:space="preserve">the </w:t>
      </w:r>
      <w:r w:rsidRPr="00900863">
        <w:rPr>
          <w:rFonts w:ascii="Calibri" w:hAnsi="Calibri" w:cs="Calibri"/>
        </w:rPr>
        <w:t>Commonwealth</w:t>
      </w:r>
      <w:r w:rsidRPr="00900863">
        <w:t xml:space="preserve"> of Australia</w:t>
      </w:r>
      <w:r w:rsidR="00961868">
        <w:t xml:space="preserve"> (Commonwealth)</w:t>
      </w:r>
      <w:r w:rsidRPr="00900863">
        <w:t>; and</w:t>
      </w:r>
    </w:p>
    <w:p w14:paraId="44A0A145" w14:textId="7BC21BCA" w:rsidR="008146F6" w:rsidRPr="00900863" w:rsidRDefault="00C7006D" w:rsidP="006D22F6">
      <w:pPr>
        <w:pStyle w:val="ListParagraph"/>
        <w:numPr>
          <w:ilvl w:val="1"/>
          <w:numId w:val="4"/>
        </w:numPr>
        <w:spacing w:line="24" w:lineRule="atLeast"/>
        <w:jc w:val="both"/>
      </w:pPr>
      <w:r w:rsidRPr="00900863">
        <w:t xml:space="preserve">the state of </w:t>
      </w:r>
      <w:r w:rsidR="00040A97">
        <w:t>Victoria</w:t>
      </w:r>
      <w:r w:rsidR="00961868">
        <w:t xml:space="preserve"> (Victoria)</w:t>
      </w:r>
      <w:r w:rsidR="008146F6" w:rsidRPr="00900863">
        <w:t>.</w:t>
      </w:r>
    </w:p>
    <w:p w14:paraId="6157B10D" w14:textId="77777777" w:rsidR="00D83C67" w:rsidRPr="00900863" w:rsidRDefault="00D83C67" w:rsidP="008B047F">
      <w:pPr>
        <w:pStyle w:val="Heading1"/>
        <w:jc w:val="both"/>
      </w:pPr>
      <w:r w:rsidRPr="00900863">
        <w:t>Term of the Agreement</w:t>
      </w:r>
    </w:p>
    <w:p w14:paraId="7C302985" w14:textId="2DA3A714" w:rsidR="008146F6" w:rsidRPr="00900863" w:rsidRDefault="008146F6" w:rsidP="006D22F6">
      <w:pPr>
        <w:pStyle w:val="ListParagraph"/>
        <w:numPr>
          <w:ilvl w:val="0"/>
          <w:numId w:val="4"/>
        </w:numPr>
        <w:spacing w:line="24" w:lineRule="atLeast"/>
        <w:jc w:val="both"/>
      </w:pPr>
      <w:r w:rsidRPr="00900863">
        <w:t xml:space="preserve">This </w:t>
      </w:r>
      <w:r w:rsidR="00961868">
        <w:t xml:space="preserve">Bilateral </w:t>
      </w:r>
      <w:r w:rsidR="002E0E98" w:rsidRPr="00900863">
        <w:t>Schedule</w:t>
      </w:r>
      <w:r w:rsidR="00961868">
        <w:t xml:space="preserve"> (Schedule)</w:t>
      </w:r>
      <w:r w:rsidRPr="00900863">
        <w:t xml:space="preserve"> is expected to expire on 30 June </w:t>
      </w:r>
      <w:r w:rsidR="00CE629C" w:rsidRPr="00900863">
        <w:t>202</w:t>
      </w:r>
      <w:r w:rsidR="00CE629C">
        <w:t>7</w:t>
      </w:r>
      <w:r w:rsidR="00092615" w:rsidRPr="00900863">
        <w:t xml:space="preserve">. </w:t>
      </w:r>
      <w:r w:rsidR="00B650B1" w:rsidRPr="00B650B1">
        <w:t xml:space="preserve">This version supersedes the previous version of the Schedule, which came into effect on </w:t>
      </w:r>
      <w:r w:rsidR="009E4E1D">
        <w:t>8 April 2022</w:t>
      </w:r>
      <w:r w:rsidR="00B650B1" w:rsidRPr="00B650B1">
        <w:t>.</w:t>
      </w:r>
    </w:p>
    <w:p w14:paraId="5EB5BF70" w14:textId="5D2DB463" w:rsidR="00D83C67" w:rsidRPr="00900863" w:rsidRDefault="00D83C67" w:rsidP="006D22F6">
      <w:pPr>
        <w:pStyle w:val="ListParagraph"/>
        <w:numPr>
          <w:ilvl w:val="0"/>
          <w:numId w:val="4"/>
        </w:numPr>
        <w:spacing w:line="24" w:lineRule="atLeast"/>
        <w:jc w:val="both"/>
      </w:pPr>
      <w:r w:rsidRPr="00900863">
        <w:t xml:space="preserve">This </w:t>
      </w:r>
      <w:r w:rsidR="002E0E98" w:rsidRPr="00900863">
        <w:t>Schedule</w:t>
      </w:r>
      <w:r w:rsidRPr="00900863">
        <w:t xml:space="preserve"> may be amended </w:t>
      </w:r>
      <w:r w:rsidR="00210136" w:rsidRPr="00900863">
        <w:t xml:space="preserve">at any time </w:t>
      </w:r>
      <w:r w:rsidRPr="00900863">
        <w:t>with the agreement of both Parties.</w:t>
      </w:r>
      <w:r w:rsidR="002F68D1" w:rsidRPr="002F68D1">
        <w:t xml:space="preserve"> </w:t>
      </w:r>
    </w:p>
    <w:p w14:paraId="0B2415B3" w14:textId="4BFE23E3" w:rsidR="00302356" w:rsidRPr="00A57013" w:rsidRDefault="003C7877" w:rsidP="006D22F6">
      <w:pPr>
        <w:pStyle w:val="ListParagraph"/>
        <w:numPr>
          <w:ilvl w:val="0"/>
          <w:numId w:val="4"/>
        </w:numPr>
        <w:spacing w:line="24" w:lineRule="atLeast"/>
        <w:jc w:val="both"/>
      </w:pPr>
      <w:r w:rsidRPr="00A57013">
        <w:t xml:space="preserve">This Schedule </w:t>
      </w:r>
      <w:r w:rsidR="008C1BD7">
        <w:t xml:space="preserve">is subject to the National Mental Health and Suicide Prevention Agreement (the National Agreement) and will be administered in accordance with the terms of the Federation Funding Agreement – Health. Where inconsistencies exist between the Schedule and the requirements of the National Agreement, the National Agreement will prevail. </w:t>
      </w:r>
    </w:p>
    <w:p w14:paraId="68ABF065" w14:textId="46E2E6D8" w:rsidR="00302356" w:rsidRDefault="00302356" w:rsidP="006D22F6">
      <w:pPr>
        <w:pStyle w:val="ListParagraph"/>
        <w:numPr>
          <w:ilvl w:val="0"/>
          <w:numId w:val="4"/>
        </w:numPr>
        <w:spacing w:line="24" w:lineRule="atLeast"/>
        <w:jc w:val="both"/>
      </w:pPr>
      <w:bookmarkStart w:id="0" w:name="_Hlk93576083"/>
      <w:r w:rsidRPr="005D136D">
        <w:t>The Commonwealth undertakes to make the terms and conditions within this Schedule consistent</w:t>
      </w:r>
      <w:r w:rsidR="00467938">
        <w:t xml:space="preserve">, where appropriate, </w:t>
      </w:r>
      <w:r w:rsidRPr="005D136D">
        <w:t xml:space="preserve">across the states and territories (states). In the event that more </w:t>
      </w:r>
      <w:proofErr w:type="spellStart"/>
      <w:r w:rsidRPr="005D136D">
        <w:t>favourable</w:t>
      </w:r>
      <w:proofErr w:type="spellEnd"/>
      <w:r w:rsidRPr="005D136D">
        <w:t xml:space="preserve"> terms and conditions are negotiated with a specific state, the Commonwealth will make these available to Victoria, if this relates to substantial financial or governance arrangements.</w:t>
      </w:r>
    </w:p>
    <w:p w14:paraId="7EC60D93" w14:textId="77777777" w:rsidR="00904219" w:rsidRPr="006A39BC" w:rsidRDefault="00904219" w:rsidP="006D22F6">
      <w:pPr>
        <w:pStyle w:val="ListParagraph"/>
        <w:numPr>
          <w:ilvl w:val="0"/>
          <w:numId w:val="4"/>
        </w:numPr>
        <w:spacing w:line="24" w:lineRule="atLeast"/>
      </w:pPr>
      <w:r>
        <w:t>Both Parties will ensure prior agreement is reached on the nature and content of any events, announcements, promotional material or publicity relating to activities or initiatives within this Schedule.</w:t>
      </w:r>
    </w:p>
    <w:bookmarkEnd w:id="0"/>
    <w:p w14:paraId="6747D678" w14:textId="77777777" w:rsidR="008146F6" w:rsidRPr="00900863" w:rsidRDefault="008146F6" w:rsidP="008B047F">
      <w:pPr>
        <w:pStyle w:val="Heading1"/>
        <w:jc w:val="both"/>
      </w:pPr>
      <w:r w:rsidRPr="00900863">
        <w:t>Purpose</w:t>
      </w:r>
    </w:p>
    <w:p w14:paraId="49FBB8E6" w14:textId="3509F54A" w:rsidR="008146F6" w:rsidRPr="00900863" w:rsidRDefault="008146F6" w:rsidP="006D22F6">
      <w:pPr>
        <w:pStyle w:val="ListParagraph"/>
        <w:numPr>
          <w:ilvl w:val="0"/>
          <w:numId w:val="4"/>
        </w:numPr>
        <w:spacing w:line="24" w:lineRule="atLeast"/>
        <w:jc w:val="both"/>
      </w:pPr>
      <w:r w:rsidRPr="00900863">
        <w:t xml:space="preserve">This </w:t>
      </w:r>
      <w:r w:rsidR="002E0E98" w:rsidRPr="00900863">
        <w:t>Schedule</w:t>
      </w:r>
      <w:r w:rsidRPr="00900863">
        <w:t xml:space="preserve"> will support improved mental health and suicide prevention outcomes for all people in </w:t>
      </w:r>
      <w:r w:rsidR="00040A97">
        <w:t>Victoria</w:t>
      </w:r>
      <w:r w:rsidR="00C7006D" w:rsidRPr="00900863">
        <w:t xml:space="preserve"> </w:t>
      </w:r>
      <w:r w:rsidRPr="00900863">
        <w:t xml:space="preserve">through collaborative efforts </w:t>
      </w:r>
      <w:r w:rsidR="00EE51A0">
        <w:t xml:space="preserve">by the </w:t>
      </w:r>
      <w:r w:rsidR="00BA4178">
        <w:t xml:space="preserve">Parties </w:t>
      </w:r>
      <w:r w:rsidRPr="00900863">
        <w:t>to address gaps in the mental health and suicide prevention system.</w:t>
      </w:r>
    </w:p>
    <w:p w14:paraId="58F11A55" w14:textId="77777777" w:rsidR="00B42803" w:rsidRPr="00900863" w:rsidRDefault="00B42803" w:rsidP="008B047F">
      <w:pPr>
        <w:pStyle w:val="Heading1"/>
        <w:jc w:val="both"/>
      </w:pPr>
      <w:r w:rsidRPr="00900863">
        <w:t>Principles</w:t>
      </w:r>
    </w:p>
    <w:p w14:paraId="348C135C" w14:textId="312BC485" w:rsidR="00D83C67" w:rsidRPr="00900863" w:rsidRDefault="00D83C67" w:rsidP="006D22F6">
      <w:pPr>
        <w:pStyle w:val="ListParagraph"/>
        <w:numPr>
          <w:ilvl w:val="0"/>
          <w:numId w:val="4"/>
        </w:numPr>
        <w:jc w:val="both"/>
      </w:pPr>
      <w:r w:rsidRPr="00900863">
        <w:t>Activities within this Schedule will align with, and be carried out according to, the principles outlined in the Agreement.</w:t>
      </w:r>
    </w:p>
    <w:p w14:paraId="7CCF7A26" w14:textId="5EECFED4" w:rsidR="00963A2C" w:rsidRPr="00900863" w:rsidRDefault="00963A2C" w:rsidP="008B047F">
      <w:pPr>
        <w:pStyle w:val="Heading1"/>
        <w:jc w:val="both"/>
      </w:pPr>
      <w:r w:rsidRPr="00900863">
        <w:t>Roles and Responsibilities</w:t>
      </w:r>
      <w:r w:rsidR="00F72F40" w:rsidRPr="00900863">
        <w:t xml:space="preserve"> </w:t>
      </w:r>
      <w:r w:rsidR="00C17558" w:rsidRPr="00900863">
        <w:t xml:space="preserve">specific to this </w:t>
      </w:r>
      <w:r w:rsidR="002E0E98" w:rsidRPr="00900863">
        <w:t>Schedule</w:t>
      </w:r>
    </w:p>
    <w:p w14:paraId="3E8DF9D1" w14:textId="6B9F238A" w:rsidR="002E1F98" w:rsidRPr="00900863" w:rsidRDefault="00963A2C" w:rsidP="006D22F6">
      <w:pPr>
        <w:pStyle w:val="ListParagraph"/>
        <w:numPr>
          <w:ilvl w:val="0"/>
          <w:numId w:val="4"/>
        </w:numPr>
        <w:jc w:val="both"/>
      </w:pPr>
      <w:r w:rsidRPr="00900863">
        <w:t>This Schedule builds on the roles and responsibilities agreed under the National Health Reform Agreement</w:t>
      </w:r>
      <w:r w:rsidR="0074372C">
        <w:t xml:space="preserve"> (NHRA)</w:t>
      </w:r>
      <w:r w:rsidRPr="00900863">
        <w:t xml:space="preserve"> to improve health outcomes for all Australians and ensure the sustainability of the Australian health system.</w:t>
      </w:r>
    </w:p>
    <w:p w14:paraId="69D0A0FB" w14:textId="72C3A641" w:rsidR="001445E1" w:rsidRDefault="001445E1" w:rsidP="006D22F6">
      <w:pPr>
        <w:pStyle w:val="ListParagraph"/>
        <w:numPr>
          <w:ilvl w:val="0"/>
          <w:numId w:val="4"/>
        </w:numPr>
        <w:jc w:val="both"/>
      </w:pPr>
      <w:r>
        <w:t xml:space="preserve">Broad roles and responsibilities for the Commonwealth and </w:t>
      </w:r>
      <w:r w:rsidR="007F7D3F">
        <w:t>the s</w:t>
      </w:r>
      <w:r>
        <w:t>tates</w:t>
      </w:r>
      <w:r w:rsidR="007F7D3F">
        <w:t xml:space="preserve"> and t</w:t>
      </w:r>
      <w:r>
        <w:t>erritories will be</w:t>
      </w:r>
      <w:r w:rsidR="00467938">
        <w:t xml:space="preserve"> </w:t>
      </w:r>
      <w:r>
        <w:t xml:space="preserve">specified in the National Agreement. Specific roles and responsibilities for the Commonwealth and Victoria as they relate to this Schedule are set out below. </w:t>
      </w:r>
      <w:r w:rsidR="53EE6B04">
        <w:t xml:space="preserve"> </w:t>
      </w:r>
    </w:p>
    <w:p w14:paraId="520AF80C" w14:textId="15419A8F" w:rsidR="1B03C0E0" w:rsidRPr="00BA4178" w:rsidRDefault="5FA63062" w:rsidP="006D22F6">
      <w:pPr>
        <w:pStyle w:val="ListParagraph"/>
        <w:numPr>
          <w:ilvl w:val="0"/>
          <w:numId w:val="4"/>
        </w:numPr>
        <w:jc w:val="both"/>
        <w:rPr>
          <w:rFonts w:cstheme="minorBidi"/>
        </w:rPr>
      </w:pPr>
      <w:r w:rsidRPr="5190DED9">
        <w:rPr>
          <w:rFonts w:cstheme="minorBidi"/>
        </w:rPr>
        <w:t>Under</w:t>
      </w:r>
      <w:r w:rsidR="53EE6B04" w:rsidRPr="5190DED9">
        <w:rPr>
          <w:rFonts w:cstheme="minorBidi"/>
        </w:rPr>
        <w:t xml:space="preserve"> this Schedule, the Parties will be jointly responsible for:</w:t>
      </w:r>
    </w:p>
    <w:p w14:paraId="5A76A859" w14:textId="29BCB3A6" w:rsidR="00C31245" w:rsidRPr="00BA4178" w:rsidRDefault="000042FE" w:rsidP="006D22F6">
      <w:pPr>
        <w:pStyle w:val="ListParagraph"/>
        <w:numPr>
          <w:ilvl w:val="1"/>
          <w:numId w:val="4"/>
        </w:numPr>
        <w:jc w:val="both"/>
        <w:rPr>
          <w:rFonts w:eastAsiaTheme="minorEastAsia" w:cstheme="minorHAnsi"/>
        </w:rPr>
      </w:pPr>
      <w:r>
        <w:rPr>
          <w:rFonts w:eastAsia="Corbel" w:cstheme="minorHAnsi"/>
          <w:color w:val="000000" w:themeColor="text1"/>
        </w:rPr>
        <w:lastRenderedPageBreak/>
        <w:t>a</w:t>
      </w:r>
      <w:r w:rsidR="6BF52572" w:rsidRPr="00103ECE">
        <w:rPr>
          <w:rFonts w:eastAsia="Corbel" w:cstheme="minorHAnsi"/>
          <w:color w:val="000000" w:themeColor="text1"/>
        </w:rPr>
        <w:t>ddressing the group who are too unwell to have their needs met in primary care but not unwell enough (consistently, or sporadically) to access specialist mental health services</w:t>
      </w:r>
      <w:r w:rsidR="61CFD95B" w:rsidRPr="00103ECE">
        <w:rPr>
          <w:rFonts w:eastAsia="Corbel" w:cstheme="minorHAnsi"/>
          <w:color w:val="000000" w:themeColor="text1"/>
        </w:rPr>
        <w:t>, via the following initiatives:</w:t>
      </w:r>
    </w:p>
    <w:p w14:paraId="1369B838" w14:textId="42D34CCB" w:rsidR="000A4573" w:rsidRPr="007329DC" w:rsidRDefault="0016564F" w:rsidP="006D22F6">
      <w:pPr>
        <w:pStyle w:val="ListParagraph"/>
        <w:numPr>
          <w:ilvl w:val="2"/>
          <w:numId w:val="13"/>
        </w:numPr>
        <w:jc w:val="both"/>
        <w:rPr>
          <w:rFonts w:eastAsia="Corbel" w:cstheme="minorHAnsi"/>
          <w:color w:val="000000" w:themeColor="text1"/>
        </w:rPr>
      </w:pPr>
      <w:r>
        <w:rPr>
          <w:rFonts w:eastAsia="Corbel" w:cstheme="minorHAnsi"/>
          <w:color w:val="000000" w:themeColor="text1"/>
        </w:rPr>
        <w:t>a network of c</w:t>
      </w:r>
      <w:r w:rsidRPr="007329DC">
        <w:rPr>
          <w:rFonts w:eastAsia="Corbel" w:cstheme="minorHAnsi"/>
          <w:color w:val="000000" w:themeColor="text1"/>
        </w:rPr>
        <w:t>ommunity-based adult mental</w:t>
      </w:r>
      <w:r>
        <w:rPr>
          <w:rFonts w:eastAsia="Corbel" w:cstheme="minorHAnsi"/>
          <w:color w:val="000000" w:themeColor="text1"/>
        </w:rPr>
        <w:t xml:space="preserve"> </w:t>
      </w:r>
      <w:r w:rsidRPr="007329DC">
        <w:rPr>
          <w:rFonts w:eastAsia="Corbel" w:cstheme="minorHAnsi"/>
          <w:color w:val="000000" w:themeColor="text1"/>
        </w:rPr>
        <w:t>health services delivered by multidisciplinary teams who will provide holistic, collaborative</w:t>
      </w:r>
      <w:r>
        <w:rPr>
          <w:rFonts w:eastAsia="Corbel" w:cstheme="minorHAnsi"/>
          <w:color w:val="000000" w:themeColor="text1"/>
        </w:rPr>
        <w:t xml:space="preserve"> </w:t>
      </w:r>
      <w:r w:rsidRPr="007329DC">
        <w:rPr>
          <w:rFonts w:eastAsia="Corbel" w:cstheme="minorHAnsi"/>
          <w:color w:val="000000" w:themeColor="text1"/>
        </w:rPr>
        <w:t>care</w:t>
      </w:r>
      <w:r w:rsidR="00BF73BF">
        <w:rPr>
          <w:rFonts w:eastAsia="Corbel" w:cstheme="minorHAnsi"/>
          <w:color w:val="000000" w:themeColor="text1"/>
        </w:rPr>
        <w:t>.</w:t>
      </w:r>
      <w:r w:rsidRPr="00103ECE" w:rsidDel="00054B06">
        <w:rPr>
          <w:rFonts w:eastAsia="Corbel" w:cstheme="minorHAnsi"/>
          <w:color w:val="000000" w:themeColor="text1"/>
        </w:rPr>
        <w:t xml:space="preserve"> </w:t>
      </w:r>
    </w:p>
    <w:p w14:paraId="04E113BC" w14:textId="6AE927CE" w:rsidR="000A4573" w:rsidRPr="00211B4B" w:rsidRDefault="0016564F" w:rsidP="006D22F6">
      <w:pPr>
        <w:pStyle w:val="ListParagraph"/>
        <w:numPr>
          <w:ilvl w:val="1"/>
          <w:numId w:val="13"/>
        </w:numPr>
        <w:ind w:left="2160" w:hanging="181"/>
        <w:jc w:val="both"/>
        <w:rPr>
          <w:rFonts w:eastAsiaTheme="minorEastAsia" w:cstheme="minorHAnsi"/>
          <w:color w:val="000000" w:themeColor="text1"/>
        </w:rPr>
      </w:pPr>
      <w:r>
        <w:rPr>
          <w:rFonts w:eastAsia="Corbel" w:cstheme="minorHAnsi"/>
          <w:color w:val="000000" w:themeColor="text1"/>
        </w:rPr>
        <w:t>a network of c</w:t>
      </w:r>
      <w:r w:rsidRPr="007329DC">
        <w:rPr>
          <w:rFonts w:eastAsia="Corbel" w:cstheme="minorHAnsi"/>
          <w:color w:val="000000" w:themeColor="text1"/>
        </w:rPr>
        <w:t xml:space="preserve">ommunity-based </w:t>
      </w:r>
      <w:r>
        <w:rPr>
          <w:rFonts w:eastAsia="Corbel" w:cstheme="minorHAnsi"/>
          <w:color w:val="000000" w:themeColor="text1"/>
        </w:rPr>
        <w:t>infant, child and family</w:t>
      </w:r>
      <w:r w:rsidRPr="007329DC">
        <w:rPr>
          <w:rFonts w:eastAsia="Corbel" w:cstheme="minorHAnsi"/>
          <w:color w:val="000000" w:themeColor="text1"/>
        </w:rPr>
        <w:t xml:space="preserve"> mental</w:t>
      </w:r>
      <w:r>
        <w:rPr>
          <w:rFonts w:eastAsia="Corbel" w:cstheme="minorHAnsi"/>
          <w:color w:val="000000" w:themeColor="text1"/>
        </w:rPr>
        <w:t xml:space="preserve"> </w:t>
      </w:r>
      <w:r w:rsidRPr="007329DC">
        <w:rPr>
          <w:rFonts w:eastAsia="Corbel" w:cstheme="minorHAnsi"/>
          <w:color w:val="000000" w:themeColor="text1"/>
        </w:rPr>
        <w:t>health services delivered by multidisciplinary teams who will provide holistic, collaborative</w:t>
      </w:r>
      <w:r>
        <w:rPr>
          <w:rFonts w:eastAsia="Corbel" w:cstheme="minorHAnsi"/>
          <w:color w:val="000000" w:themeColor="text1"/>
        </w:rPr>
        <w:t xml:space="preserve"> </w:t>
      </w:r>
      <w:r w:rsidRPr="007329DC">
        <w:rPr>
          <w:rFonts w:eastAsia="Corbel" w:cstheme="minorHAnsi"/>
          <w:color w:val="000000" w:themeColor="text1"/>
        </w:rPr>
        <w:t>care</w:t>
      </w:r>
      <w:r w:rsidR="00BF73BF">
        <w:rPr>
          <w:rFonts w:eastAsia="Corbel" w:cstheme="minorHAnsi"/>
          <w:color w:val="000000" w:themeColor="text1"/>
        </w:rPr>
        <w:t>.</w:t>
      </w:r>
      <w:r>
        <w:rPr>
          <w:rFonts w:eastAsia="Corbel" w:cstheme="minorHAnsi"/>
          <w:color w:val="000000" w:themeColor="text1"/>
        </w:rPr>
        <w:t xml:space="preserve"> </w:t>
      </w:r>
      <w:r w:rsidR="00D73279" w:rsidRPr="00211B4B" w:rsidDel="00D73279">
        <w:rPr>
          <w:rFonts w:eastAsiaTheme="minorEastAsia" w:cstheme="minorHAnsi"/>
          <w:color w:val="000000" w:themeColor="text1"/>
        </w:rPr>
        <w:t xml:space="preserve"> </w:t>
      </w:r>
    </w:p>
    <w:p w14:paraId="3DEBC775" w14:textId="25CE1798" w:rsidR="000A4573" w:rsidRDefault="00D07113" w:rsidP="006D22F6">
      <w:pPr>
        <w:pStyle w:val="ListParagraph"/>
        <w:numPr>
          <w:ilvl w:val="1"/>
          <w:numId w:val="13"/>
        </w:numPr>
        <w:ind w:left="2160" w:hanging="181"/>
        <w:jc w:val="both"/>
        <w:rPr>
          <w:rFonts w:eastAsiaTheme="minorEastAsia"/>
          <w:color w:val="000000" w:themeColor="text1"/>
        </w:rPr>
      </w:pPr>
      <w:r w:rsidRPr="001C6787">
        <w:rPr>
          <w:rFonts w:eastAsiaTheme="minorEastAsia"/>
          <w:color w:val="000000" w:themeColor="text1"/>
        </w:rPr>
        <w:t>a partnership approach to enhance current and planned headspace services to increase access to youth mental health services, consistent with the headspace model</w:t>
      </w:r>
      <w:r w:rsidR="008164C9">
        <w:rPr>
          <w:rFonts w:eastAsiaTheme="minorEastAsia"/>
          <w:color w:val="000000" w:themeColor="text1"/>
        </w:rPr>
        <w:t>, and enhance integration of youth mental health services more broadly to ensure young people can access appropriate support.</w:t>
      </w:r>
    </w:p>
    <w:p w14:paraId="25071137" w14:textId="2ED90ADF" w:rsidR="00061C19" w:rsidRPr="00BA4178" w:rsidRDefault="000042FE" w:rsidP="006D22F6">
      <w:pPr>
        <w:pStyle w:val="ListParagraph"/>
        <w:numPr>
          <w:ilvl w:val="1"/>
          <w:numId w:val="4"/>
        </w:numPr>
        <w:jc w:val="both"/>
        <w:rPr>
          <w:rFonts w:eastAsiaTheme="minorEastAsia" w:cstheme="minorHAnsi"/>
        </w:rPr>
      </w:pPr>
      <w:r>
        <w:rPr>
          <w:rFonts w:eastAsia="Corbel" w:cstheme="minorHAnsi"/>
          <w:color w:val="000000" w:themeColor="text1"/>
        </w:rPr>
        <w:t>d</w:t>
      </w:r>
      <w:r w:rsidR="00711778" w:rsidRPr="00103ECE">
        <w:rPr>
          <w:rFonts w:eastAsia="Corbel" w:cstheme="minorHAnsi"/>
          <w:color w:val="000000" w:themeColor="text1"/>
        </w:rPr>
        <w:t xml:space="preserve">elivering </w:t>
      </w:r>
      <w:r w:rsidR="3A8C35B3" w:rsidRPr="00103ECE">
        <w:rPr>
          <w:rFonts w:eastAsia="Corbel" w:cstheme="minorHAnsi"/>
          <w:color w:val="000000" w:themeColor="text1"/>
        </w:rPr>
        <w:t>suicide prevention, early intervention, aftercare and postvention programs which reflect and respond to local needs and circumstances</w:t>
      </w:r>
      <w:r w:rsidR="00061C19" w:rsidRPr="00103ECE">
        <w:rPr>
          <w:rFonts w:eastAsia="Corbel" w:cstheme="minorHAnsi"/>
          <w:color w:val="000000" w:themeColor="text1"/>
        </w:rPr>
        <w:t>, via the following initiatives:</w:t>
      </w:r>
    </w:p>
    <w:p w14:paraId="5CAA1E3F" w14:textId="475A9935" w:rsidR="000A4573" w:rsidRPr="00103ECE" w:rsidRDefault="000042FE" w:rsidP="006D22F6">
      <w:pPr>
        <w:pStyle w:val="ListParagraph"/>
        <w:numPr>
          <w:ilvl w:val="1"/>
          <w:numId w:val="14"/>
        </w:numPr>
        <w:ind w:left="2160" w:hanging="181"/>
        <w:jc w:val="both"/>
        <w:rPr>
          <w:rFonts w:eastAsia="Corbel" w:cstheme="minorHAnsi"/>
          <w:color w:val="000000" w:themeColor="text1"/>
        </w:rPr>
      </w:pPr>
      <w:r>
        <w:rPr>
          <w:rFonts w:eastAsia="Corbel" w:cstheme="minorHAnsi"/>
          <w:color w:val="000000" w:themeColor="text1"/>
        </w:rPr>
        <w:t>a</w:t>
      </w:r>
      <w:r w:rsidR="7C09EA87" w:rsidRPr="00103ECE">
        <w:rPr>
          <w:rFonts w:eastAsia="Corbel" w:cstheme="minorHAnsi"/>
          <w:color w:val="000000" w:themeColor="text1"/>
        </w:rPr>
        <w:t xml:space="preserve">ftercare </w:t>
      </w:r>
      <w:bookmarkStart w:id="1" w:name="_Hlk92871981"/>
      <w:r w:rsidR="009F6FC3" w:rsidRPr="00103ECE">
        <w:rPr>
          <w:rFonts w:eastAsia="Corbel" w:cstheme="minorHAnsi"/>
          <w:color w:val="000000" w:themeColor="text1"/>
        </w:rPr>
        <w:t xml:space="preserve">services to be universally available to people discharged from hospital after a suicide attempt and trial expanded referral pathways for two sites. </w:t>
      </w:r>
    </w:p>
    <w:bookmarkEnd w:id="1"/>
    <w:p w14:paraId="781BDF54" w14:textId="771EEED1" w:rsidR="000A4573" w:rsidRPr="00BA4178" w:rsidRDefault="564C960F" w:rsidP="006D22F6">
      <w:pPr>
        <w:pStyle w:val="ListParagraph"/>
        <w:numPr>
          <w:ilvl w:val="1"/>
          <w:numId w:val="14"/>
        </w:numPr>
        <w:ind w:left="2160" w:hanging="181"/>
        <w:jc w:val="both"/>
        <w:rPr>
          <w:rFonts w:eastAsiaTheme="minorEastAsia"/>
        </w:rPr>
      </w:pPr>
      <w:r w:rsidRPr="00103ECE">
        <w:t xml:space="preserve">Distress </w:t>
      </w:r>
      <w:r w:rsidR="00B21FB9">
        <w:t>Support Brief</w:t>
      </w:r>
      <w:r w:rsidRPr="00103ECE">
        <w:t xml:space="preserve"> Trial Program</w:t>
      </w:r>
      <w:r w:rsidR="009F6FC3" w:rsidRPr="00103ECE">
        <w:t xml:space="preserve"> and evaluation. </w:t>
      </w:r>
    </w:p>
    <w:p w14:paraId="11A3A404" w14:textId="54C9E901" w:rsidR="00A978F8" w:rsidRPr="005E6DCB" w:rsidRDefault="564C960F" w:rsidP="006D22F6">
      <w:pPr>
        <w:pStyle w:val="ListParagraph"/>
        <w:numPr>
          <w:ilvl w:val="1"/>
          <w:numId w:val="14"/>
        </w:numPr>
        <w:ind w:left="2160" w:hanging="181"/>
        <w:jc w:val="both"/>
        <w:rPr>
          <w:rFonts w:eastAsiaTheme="minorEastAsia" w:cstheme="minorHAnsi"/>
        </w:rPr>
      </w:pPr>
      <w:r w:rsidRPr="00211B4B">
        <w:rPr>
          <w:rFonts w:eastAsia="Corbel" w:cstheme="minorHAnsi"/>
          <w:color w:val="000000" w:themeColor="text1"/>
        </w:rPr>
        <w:t>Postvention Support</w:t>
      </w:r>
      <w:r w:rsidR="009F6FC3" w:rsidRPr="00211B4B">
        <w:rPr>
          <w:rFonts w:eastAsia="Corbel" w:cstheme="minorHAnsi"/>
          <w:color w:val="000000" w:themeColor="text1"/>
        </w:rPr>
        <w:t xml:space="preserve"> to be universally available statewide to support people bereaved or impacted </w:t>
      </w:r>
      <w:bookmarkStart w:id="2" w:name="_Hlk92872224"/>
      <w:r w:rsidR="009F6FC3" w:rsidRPr="00211B4B">
        <w:rPr>
          <w:rFonts w:eastAsia="Corbel" w:cstheme="minorHAnsi"/>
          <w:color w:val="000000" w:themeColor="text1"/>
        </w:rPr>
        <w:t>by suicide.</w:t>
      </w:r>
      <w:bookmarkEnd w:id="2"/>
    </w:p>
    <w:p w14:paraId="7606B7D5" w14:textId="77777777" w:rsidR="00BD2C21" w:rsidRPr="00F92904" w:rsidRDefault="00BD2C21" w:rsidP="006D22F6">
      <w:pPr>
        <w:pStyle w:val="ListParagraph"/>
        <w:numPr>
          <w:ilvl w:val="1"/>
          <w:numId w:val="4"/>
        </w:numPr>
        <w:jc w:val="both"/>
        <w:rPr>
          <w:rFonts w:eastAsiaTheme="minorEastAsia" w:cstheme="minorHAnsi"/>
        </w:rPr>
      </w:pPr>
      <w:r w:rsidRPr="00B67FF3">
        <w:t>supporting and strengthening the mental health and suicide prevention workforce in Victoria, including collaborative workforce planning.</w:t>
      </w:r>
    </w:p>
    <w:p w14:paraId="08B492CA" w14:textId="4AE779E4" w:rsidR="00D07113" w:rsidRPr="00495CF7" w:rsidRDefault="000042FE" w:rsidP="006D22F6">
      <w:pPr>
        <w:pStyle w:val="ListParagraph"/>
        <w:numPr>
          <w:ilvl w:val="1"/>
          <w:numId w:val="4"/>
        </w:numPr>
        <w:jc w:val="both"/>
        <w:rPr>
          <w:rFonts w:eastAsiaTheme="minorEastAsia" w:cstheme="minorBidi"/>
        </w:rPr>
      </w:pPr>
      <w:r w:rsidRPr="5190DED9">
        <w:rPr>
          <w:rFonts w:eastAsiaTheme="minorEastAsia" w:cstheme="minorBidi"/>
        </w:rPr>
        <w:t>e</w:t>
      </w:r>
      <w:r w:rsidR="00D07113" w:rsidRPr="5190DED9">
        <w:rPr>
          <w:rFonts w:eastAsiaTheme="minorEastAsia" w:cstheme="minorBidi"/>
        </w:rPr>
        <w:t xml:space="preserve">nhancing </w:t>
      </w:r>
      <w:r w:rsidR="00D07113" w:rsidRPr="5190DED9">
        <w:rPr>
          <w:rFonts w:eastAsia="Corbel" w:cstheme="minorBidi"/>
          <w:color w:val="000000" w:themeColor="text1"/>
        </w:rPr>
        <w:t xml:space="preserve">collection and </w:t>
      </w:r>
      <w:r w:rsidR="00D50E12" w:rsidRPr="5190DED9">
        <w:rPr>
          <w:rFonts w:eastAsia="Corbel" w:cstheme="minorBidi"/>
          <w:color w:val="000000" w:themeColor="text1"/>
        </w:rPr>
        <w:t xml:space="preserve">reporting </w:t>
      </w:r>
      <w:r w:rsidR="00D07113" w:rsidRPr="5190DED9">
        <w:rPr>
          <w:rFonts w:eastAsia="Corbel" w:cstheme="minorBidi"/>
          <w:color w:val="000000" w:themeColor="text1"/>
        </w:rPr>
        <w:t xml:space="preserve">of </w:t>
      </w:r>
      <w:r w:rsidR="00D50E12" w:rsidRPr="5190DED9">
        <w:rPr>
          <w:rFonts w:eastAsia="Corbel" w:cstheme="minorBidi"/>
          <w:color w:val="000000" w:themeColor="text1"/>
        </w:rPr>
        <w:t xml:space="preserve">nationally agreed </w:t>
      </w:r>
      <w:r w:rsidR="00D07113" w:rsidRPr="5190DED9">
        <w:rPr>
          <w:rFonts w:eastAsia="Corbel" w:cstheme="minorBidi"/>
          <w:color w:val="000000" w:themeColor="text1"/>
        </w:rPr>
        <w:t>perinatal mental health data collected from public antenatal and postnatal care settings</w:t>
      </w:r>
      <w:r w:rsidR="00D50E12" w:rsidRPr="5190DED9">
        <w:rPr>
          <w:rFonts w:eastAsia="Corbel" w:cstheme="minorBidi"/>
          <w:color w:val="000000" w:themeColor="text1"/>
        </w:rPr>
        <w:t xml:space="preserve"> in Victoria</w:t>
      </w:r>
      <w:r w:rsidR="00F30D76" w:rsidRPr="5190DED9">
        <w:rPr>
          <w:rFonts w:eastAsia="Corbel" w:cstheme="minorBidi"/>
          <w:color w:val="000000" w:themeColor="text1"/>
        </w:rPr>
        <w:t>.</w:t>
      </w:r>
    </w:p>
    <w:p w14:paraId="157DD064" w14:textId="53CC08FB" w:rsidR="3EF76D07" w:rsidRPr="00870E66" w:rsidRDefault="006C4096" w:rsidP="006D22F6">
      <w:pPr>
        <w:pStyle w:val="ListParagraph"/>
        <w:numPr>
          <w:ilvl w:val="1"/>
          <w:numId w:val="4"/>
        </w:numPr>
        <w:rPr>
          <w:rFonts w:eastAsiaTheme="minorEastAsia" w:cstheme="minorBidi"/>
        </w:rPr>
      </w:pPr>
      <w:r w:rsidRPr="00870E66">
        <w:rPr>
          <w:rFonts w:cstheme="minorBidi"/>
        </w:rPr>
        <w:t>collaboratively developing regional service and capital plans</w:t>
      </w:r>
      <w:r w:rsidR="006A76DF" w:rsidRPr="00870E66">
        <w:rPr>
          <w:rFonts w:cstheme="minorBidi"/>
        </w:rPr>
        <w:t xml:space="preserve"> </w:t>
      </w:r>
      <w:r w:rsidRPr="00870E66">
        <w:rPr>
          <w:rFonts w:cstheme="minorBidi"/>
        </w:rPr>
        <w:t xml:space="preserve">with </w:t>
      </w:r>
      <w:r w:rsidR="00205B62" w:rsidRPr="00870E66">
        <w:rPr>
          <w:rFonts w:cstheme="minorBidi"/>
        </w:rPr>
        <w:t>the Victorian Department of Health</w:t>
      </w:r>
      <w:r w:rsidR="006C239B" w:rsidRPr="00870E66">
        <w:rPr>
          <w:rFonts w:cstheme="minorBidi"/>
        </w:rPr>
        <w:t xml:space="preserve">, </w:t>
      </w:r>
      <w:r w:rsidR="00D30534" w:rsidRPr="00870E66">
        <w:rPr>
          <w:rFonts w:cstheme="minorBidi"/>
        </w:rPr>
        <w:t>I</w:t>
      </w:r>
      <w:r w:rsidRPr="00870E66">
        <w:rPr>
          <w:rFonts w:cstheme="minorBidi"/>
        </w:rPr>
        <w:t xml:space="preserve">nterim </w:t>
      </w:r>
      <w:r w:rsidR="00D30534" w:rsidRPr="00870E66">
        <w:rPr>
          <w:rFonts w:cstheme="minorBidi"/>
        </w:rPr>
        <w:t>R</w:t>
      </w:r>
      <w:r w:rsidRPr="00870E66">
        <w:rPr>
          <w:rFonts w:cstheme="minorBidi"/>
        </w:rPr>
        <w:t xml:space="preserve">egional </w:t>
      </w:r>
      <w:r w:rsidR="00D30534" w:rsidRPr="00870E66">
        <w:rPr>
          <w:rFonts w:cstheme="minorBidi"/>
        </w:rPr>
        <w:t>B</w:t>
      </w:r>
      <w:r w:rsidRPr="00870E66">
        <w:rPr>
          <w:rFonts w:cstheme="minorBidi"/>
        </w:rPr>
        <w:t xml:space="preserve">odies, </w:t>
      </w:r>
      <w:r w:rsidR="00D30534" w:rsidRPr="00870E66">
        <w:rPr>
          <w:rFonts w:cstheme="minorBidi"/>
        </w:rPr>
        <w:t>Primary Health Networks</w:t>
      </w:r>
      <w:r w:rsidRPr="00870E66">
        <w:rPr>
          <w:rFonts w:cstheme="minorBidi"/>
        </w:rPr>
        <w:t xml:space="preserve">, </w:t>
      </w:r>
      <w:r w:rsidR="001B35C3" w:rsidRPr="00870E66">
        <w:rPr>
          <w:rFonts w:cstheme="minorBidi"/>
        </w:rPr>
        <w:t xml:space="preserve">Health Service Partnerships, </w:t>
      </w:r>
      <w:r w:rsidRPr="00870E66">
        <w:rPr>
          <w:rFonts w:cstheme="minorBidi"/>
        </w:rPr>
        <w:t xml:space="preserve">health services, consumers, carers and other key stakeholders. </w:t>
      </w:r>
    </w:p>
    <w:p w14:paraId="5108B6DE" w14:textId="4715BA37" w:rsidR="1B03C0E0" w:rsidRPr="00BD7947" w:rsidRDefault="000042FE" w:rsidP="006D22F6">
      <w:pPr>
        <w:pStyle w:val="ListParagraph"/>
        <w:numPr>
          <w:ilvl w:val="1"/>
          <w:numId w:val="4"/>
        </w:numPr>
        <w:jc w:val="both"/>
        <w:rPr>
          <w:rFonts w:eastAsiaTheme="minorEastAsia" w:cstheme="minorBidi"/>
          <w:color w:val="000000" w:themeColor="text1"/>
          <w:sz w:val="23"/>
          <w:szCs w:val="23"/>
        </w:rPr>
      </w:pPr>
      <w:r w:rsidRPr="0040696B">
        <w:t>i</w:t>
      </w:r>
      <w:r w:rsidR="1B03C0E0" w:rsidRPr="0040696B">
        <w:t>mprov</w:t>
      </w:r>
      <w:r w:rsidR="001846D6" w:rsidRPr="0040696B">
        <w:t>ing</w:t>
      </w:r>
      <w:r w:rsidR="1B03C0E0" w:rsidRPr="0040696B">
        <w:t xml:space="preserve"> regional planning and commissioning for mental health and suicide prevention services,</w:t>
      </w:r>
      <w:r w:rsidR="1B03C0E0">
        <w:t xml:space="preserve"> </w:t>
      </w:r>
      <w:r w:rsidR="00D30534" w:rsidRPr="00BD7947">
        <w:t>ensuring</w:t>
      </w:r>
      <w:r w:rsidR="1B03C0E0" w:rsidRPr="00BD7947">
        <w:t xml:space="preserve"> appropriate governance, accountability and evaluation of Commonwealth, </w:t>
      </w:r>
      <w:r w:rsidR="00AB6252" w:rsidRPr="00BD7947">
        <w:t>s</w:t>
      </w:r>
      <w:r w:rsidR="1B03C0E0" w:rsidRPr="00BD7947">
        <w:t>tate planned and funded programs and services.</w:t>
      </w:r>
    </w:p>
    <w:p w14:paraId="288FA9F6" w14:textId="50BA342C" w:rsidR="00D43321" w:rsidRDefault="000042FE" w:rsidP="006D22F6">
      <w:pPr>
        <w:pStyle w:val="ListParagraph"/>
        <w:numPr>
          <w:ilvl w:val="1"/>
          <w:numId w:val="4"/>
        </w:numPr>
        <w:jc w:val="both"/>
      </w:pPr>
      <w:r>
        <w:t>c</w:t>
      </w:r>
      <w:r w:rsidR="00D43321">
        <w:t>ollecting</w:t>
      </w:r>
      <w:r w:rsidR="00800C3A">
        <w:t>, sharing</w:t>
      </w:r>
      <w:r w:rsidR="00D43321">
        <w:t xml:space="preserve"> and reporting data to support the objectives of this </w:t>
      </w:r>
      <w:r w:rsidR="00D43321" w:rsidRPr="002B6D6A">
        <w:rPr>
          <w:rFonts w:eastAsiaTheme="minorEastAsia" w:cstheme="minorBidi"/>
        </w:rPr>
        <w:t>Schedule</w:t>
      </w:r>
      <w:r w:rsidR="002753E3">
        <w:t>, i</w:t>
      </w:r>
      <w:r w:rsidR="00D43321">
        <w:t>ncluding:</w:t>
      </w:r>
    </w:p>
    <w:p w14:paraId="154E53D8" w14:textId="77777777" w:rsidR="00AB383C" w:rsidRDefault="000042FE" w:rsidP="006D22F6">
      <w:pPr>
        <w:pStyle w:val="ListParagraph"/>
        <w:numPr>
          <w:ilvl w:val="0"/>
          <w:numId w:val="15"/>
        </w:numPr>
        <w:ind w:left="2160" w:hanging="181"/>
        <w:jc w:val="both"/>
        <w:rPr>
          <w:rFonts w:eastAsia="Corbel" w:cstheme="minorHAnsi"/>
          <w:color w:val="000000" w:themeColor="text1"/>
        </w:rPr>
      </w:pPr>
      <w:bookmarkStart w:id="3" w:name="_Hlk92800931"/>
      <w:bookmarkStart w:id="4" w:name="_Hlk92800941"/>
      <w:r>
        <w:t>s</w:t>
      </w:r>
      <w:r w:rsidR="005D2F0D">
        <w:t>treamlining data collection and reducing data collection burden on consumers and services through an agreed suite of KPIs and outcome measures for co-funded initiatives.</w:t>
      </w:r>
      <w:r w:rsidR="005D2F0D" w:rsidRPr="00103ECE" w:rsidDel="00506306">
        <w:rPr>
          <w:rFonts w:eastAsia="Corbel" w:cstheme="minorHAnsi"/>
          <w:color w:val="000000" w:themeColor="text1"/>
        </w:rPr>
        <w:t xml:space="preserve"> </w:t>
      </w:r>
      <w:bookmarkEnd w:id="3"/>
      <w:bookmarkEnd w:id="4"/>
    </w:p>
    <w:p w14:paraId="7ED3A77C" w14:textId="7D2F293F" w:rsidR="000A4573" w:rsidRPr="00103ECE" w:rsidRDefault="002753E3" w:rsidP="006D22F6">
      <w:pPr>
        <w:pStyle w:val="ListParagraph"/>
        <w:numPr>
          <w:ilvl w:val="0"/>
          <w:numId w:val="15"/>
        </w:numPr>
        <w:ind w:left="2160" w:hanging="181"/>
        <w:jc w:val="both"/>
        <w:rPr>
          <w:rFonts w:eastAsia="Corbel" w:cstheme="minorBidi"/>
          <w:color w:val="000000" w:themeColor="text1"/>
        </w:rPr>
      </w:pPr>
      <w:r w:rsidRPr="55AF55D6">
        <w:rPr>
          <w:rFonts w:eastAsia="Corbel" w:cstheme="minorBidi"/>
          <w:color w:val="000000" w:themeColor="text1"/>
        </w:rPr>
        <w:t>p</w:t>
      </w:r>
      <w:r w:rsidR="00D43321" w:rsidRPr="55AF55D6">
        <w:rPr>
          <w:rFonts w:eastAsia="Corbel" w:cstheme="minorBidi"/>
          <w:color w:val="000000" w:themeColor="text1"/>
        </w:rPr>
        <w:t xml:space="preserve">roviding comprehensive health data access, usage and sharing, whilst maintaining data security and preserving </w:t>
      </w:r>
      <w:proofErr w:type="gramStart"/>
      <w:r w:rsidR="00D43321" w:rsidRPr="55AF55D6">
        <w:rPr>
          <w:rFonts w:eastAsia="Corbel" w:cstheme="minorBidi"/>
          <w:color w:val="000000" w:themeColor="text1"/>
        </w:rPr>
        <w:t>individual’s</w:t>
      </w:r>
      <w:proofErr w:type="gramEnd"/>
      <w:r w:rsidR="00D43321" w:rsidRPr="55AF55D6">
        <w:rPr>
          <w:rFonts w:eastAsia="Corbel" w:cstheme="minorBidi"/>
          <w:color w:val="000000" w:themeColor="text1"/>
        </w:rPr>
        <w:t xml:space="preserve"> privacy. </w:t>
      </w:r>
    </w:p>
    <w:p w14:paraId="33392B14" w14:textId="1B8CAFB4" w:rsidR="000A4573" w:rsidRPr="00211B4B" w:rsidRDefault="000042FE" w:rsidP="006D22F6">
      <w:pPr>
        <w:pStyle w:val="ListParagraph"/>
        <w:numPr>
          <w:ilvl w:val="0"/>
          <w:numId w:val="15"/>
        </w:numPr>
        <w:ind w:left="2160" w:hanging="181"/>
        <w:jc w:val="both"/>
        <w:rPr>
          <w:rFonts w:eastAsia="Corbel" w:cstheme="minorBidi"/>
          <w:color w:val="000000" w:themeColor="text1"/>
        </w:rPr>
      </w:pPr>
      <w:r w:rsidRPr="55AF55D6">
        <w:rPr>
          <w:rFonts w:eastAsia="Corbel" w:cstheme="minorBidi"/>
          <w:color w:val="000000" w:themeColor="text1"/>
        </w:rPr>
        <w:t>p</w:t>
      </w:r>
      <w:r w:rsidR="00D43321" w:rsidRPr="55AF55D6">
        <w:rPr>
          <w:rFonts w:eastAsia="Corbel" w:cstheme="minorBidi"/>
          <w:color w:val="000000" w:themeColor="text1"/>
        </w:rPr>
        <w:t>roviding data access to support shared patient-clinician decision making, improved services delivery and system planning</w:t>
      </w:r>
      <w:r w:rsidR="00800C3A" w:rsidRPr="55AF55D6">
        <w:rPr>
          <w:rFonts w:eastAsia="Corbel" w:cstheme="minorBidi"/>
          <w:color w:val="000000" w:themeColor="text1"/>
        </w:rPr>
        <w:t>, and workforce planning</w:t>
      </w:r>
      <w:r w:rsidR="00F30D76" w:rsidRPr="55AF55D6">
        <w:rPr>
          <w:rFonts w:eastAsia="Corbel" w:cstheme="minorBidi"/>
          <w:color w:val="000000" w:themeColor="text1"/>
        </w:rPr>
        <w:t>.</w:t>
      </w:r>
      <w:r w:rsidR="00D43321" w:rsidRPr="55AF55D6">
        <w:rPr>
          <w:rFonts w:eastAsia="Corbel" w:cstheme="minorBidi"/>
          <w:color w:val="000000" w:themeColor="text1"/>
        </w:rPr>
        <w:t xml:space="preserve"> </w:t>
      </w:r>
    </w:p>
    <w:p w14:paraId="07042E26" w14:textId="78F345FB" w:rsidR="00D43321" w:rsidRPr="00211B4B" w:rsidRDefault="000042FE" w:rsidP="006D22F6">
      <w:pPr>
        <w:pStyle w:val="ListParagraph"/>
        <w:numPr>
          <w:ilvl w:val="0"/>
          <w:numId w:val="15"/>
        </w:numPr>
        <w:ind w:left="2160" w:hanging="181"/>
        <w:jc w:val="both"/>
        <w:rPr>
          <w:rFonts w:eastAsia="Corbel" w:cstheme="minorBidi"/>
          <w:color w:val="000000" w:themeColor="text1"/>
        </w:rPr>
      </w:pPr>
      <w:proofErr w:type="gramStart"/>
      <w:r w:rsidRPr="55AF55D6">
        <w:rPr>
          <w:rFonts w:eastAsia="Corbel" w:cstheme="minorBidi"/>
          <w:color w:val="000000" w:themeColor="text1"/>
        </w:rPr>
        <w:t>w</w:t>
      </w:r>
      <w:r w:rsidR="00D43321" w:rsidRPr="55AF55D6">
        <w:rPr>
          <w:rFonts w:eastAsia="Corbel" w:cstheme="minorBidi"/>
          <w:color w:val="000000" w:themeColor="text1"/>
        </w:rPr>
        <w:t>orking</w:t>
      </w:r>
      <w:proofErr w:type="gramEnd"/>
      <w:r w:rsidR="00D43321" w:rsidRPr="55AF55D6">
        <w:rPr>
          <w:rFonts w:eastAsia="Corbel" w:cstheme="minorBidi"/>
          <w:color w:val="000000" w:themeColor="text1"/>
        </w:rPr>
        <w:t xml:space="preserve"> together to better harness data, analytics and evidence, to drive meaningful improvements in the health system. </w:t>
      </w:r>
    </w:p>
    <w:p w14:paraId="3E63CB2F" w14:textId="77777777" w:rsidR="00963A2C" w:rsidRPr="00900863" w:rsidRDefault="00963A2C" w:rsidP="006D22F6">
      <w:pPr>
        <w:pStyle w:val="ListParagraph"/>
        <w:numPr>
          <w:ilvl w:val="0"/>
          <w:numId w:val="4"/>
        </w:numPr>
        <w:jc w:val="both"/>
      </w:pPr>
      <w:bookmarkStart w:id="5" w:name="_Hlk87017899"/>
      <w:r w:rsidRPr="00900863">
        <w:t xml:space="preserve">Under this </w:t>
      </w:r>
      <w:r w:rsidR="002E0E98" w:rsidRPr="00900863">
        <w:t>Schedule</w:t>
      </w:r>
      <w:r w:rsidRPr="00900863">
        <w:t>, the Commonwealth agrees to be responsible for:</w:t>
      </w:r>
    </w:p>
    <w:bookmarkEnd w:id="5"/>
    <w:p w14:paraId="18FA4250" w14:textId="11F5C5FE" w:rsidR="007B78DB" w:rsidRDefault="000042FE" w:rsidP="006D22F6">
      <w:pPr>
        <w:pStyle w:val="ListParagraph"/>
        <w:widowControl/>
        <w:numPr>
          <w:ilvl w:val="1"/>
          <w:numId w:val="4"/>
        </w:numPr>
        <w:jc w:val="both"/>
        <w:rPr>
          <w:rFonts w:cstheme="minorBidi"/>
        </w:rPr>
      </w:pPr>
      <w:r>
        <w:rPr>
          <w:rFonts w:cstheme="minorBidi"/>
        </w:rPr>
        <w:t>p</w:t>
      </w:r>
      <w:r w:rsidR="00524DB2" w:rsidRPr="35AD6791">
        <w:rPr>
          <w:rFonts w:cstheme="minorBidi"/>
        </w:rPr>
        <w:t>roviding funding to Vic</w:t>
      </w:r>
      <w:r w:rsidR="004B6D61" w:rsidRPr="35AD6791">
        <w:rPr>
          <w:rFonts w:cstheme="minorBidi"/>
        </w:rPr>
        <w:t>toria</w:t>
      </w:r>
      <w:r w:rsidR="00524DB2" w:rsidRPr="35AD6791">
        <w:rPr>
          <w:rFonts w:cstheme="minorBidi"/>
        </w:rPr>
        <w:t xml:space="preserve"> in accordance with the terms of the agreement</w:t>
      </w:r>
      <w:r w:rsidR="003B07BA">
        <w:rPr>
          <w:rFonts w:cstheme="minorBidi"/>
        </w:rPr>
        <w:t>.</w:t>
      </w:r>
    </w:p>
    <w:p w14:paraId="0F873F7E" w14:textId="231AB356" w:rsidR="00E945E1" w:rsidRPr="00DB70A3" w:rsidRDefault="003A771F" w:rsidP="006D22F6">
      <w:pPr>
        <w:pStyle w:val="ListParagraph"/>
        <w:widowControl/>
        <w:numPr>
          <w:ilvl w:val="1"/>
          <w:numId w:val="4"/>
        </w:numPr>
        <w:jc w:val="both"/>
        <w:rPr>
          <w:rFonts w:cstheme="minorBidi"/>
        </w:rPr>
      </w:pPr>
      <w:r w:rsidRPr="003A771F">
        <w:t xml:space="preserve">supporting Victorian Primary Health Networks to be involved in the regional commissioning and governance arrangements for initiatives under this </w:t>
      </w:r>
      <w:r>
        <w:t>S</w:t>
      </w:r>
      <w:r w:rsidRPr="003A771F">
        <w:t>chedule</w:t>
      </w:r>
      <w:r>
        <w:t>.</w:t>
      </w:r>
      <w:r w:rsidR="00704571">
        <w:t xml:space="preserve"> </w:t>
      </w:r>
    </w:p>
    <w:p w14:paraId="5E41422A" w14:textId="0894283E" w:rsidR="00DB70A3" w:rsidRPr="00DB70A3" w:rsidRDefault="00DB70A3" w:rsidP="00DB70A3">
      <w:pPr>
        <w:tabs>
          <w:tab w:val="left" w:pos="4365"/>
        </w:tabs>
      </w:pPr>
      <w:r>
        <w:tab/>
      </w:r>
    </w:p>
    <w:p w14:paraId="5823151F" w14:textId="772CDF81" w:rsidR="004B6D61" w:rsidRPr="00DB0CD4" w:rsidRDefault="000042FE" w:rsidP="006D22F6">
      <w:pPr>
        <w:pStyle w:val="ListParagraph"/>
        <w:widowControl/>
        <w:numPr>
          <w:ilvl w:val="1"/>
          <w:numId w:val="4"/>
        </w:numPr>
        <w:jc w:val="both"/>
        <w:rPr>
          <w:rFonts w:cstheme="minorBidi"/>
        </w:rPr>
      </w:pPr>
      <w:r>
        <w:rPr>
          <w:rFonts w:cstheme="minorBidi"/>
        </w:rPr>
        <w:lastRenderedPageBreak/>
        <w:t>d</w:t>
      </w:r>
      <w:r w:rsidR="00DB0CD4" w:rsidRPr="35AD6791">
        <w:rPr>
          <w:rFonts w:cstheme="minorBidi"/>
        </w:rPr>
        <w:t xml:space="preserve">elivering </w:t>
      </w:r>
      <w:r w:rsidR="00DB0CD4">
        <w:t xml:space="preserve">the following services in </w:t>
      </w:r>
      <w:r w:rsidR="00467938">
        <w:t xml:space="preserve">accordance </w:t>
      </w:r>
      <w:r w:rsidR="00DB0CD4">
        <w:t xml:space="preserve">with </w:t>
      </w:r>
      <w:r w:rsidR="00467938">
        <w:t xml:space="preserve">agreed minimum </w:t>
      </w:r>
      <w:r w:rsidR="00DB0CD4">
        <w:t xml:space="preserve">national </w:t>
      </w:r>
      <w:r w:rsidR="00467938">
        <w:t>service models</w:t>
      </w:r>
      <w:r w:rsidR="00F30D76">
        <w:t>:</w:t>
      </w:r>
      <w:r w:rsidR="00467938">
        <w:t xml:space="preserve"> </w:t>
      </w:r>
    </w:p>
    <w:p w14:paraId="30072431" w14:textId="0A3D8227" w:rsidR="00DB0CD4" w:rsidRPr="001C6787" w:rsidRDefault="000042FE" w:rsidP="006D22F6">
      <w:pPr>
        <w:pStyle w:val="ListParagraph"/>
        <w:widowControl/>
        <w:numPr>
          <w:ilvl w:val="2"/>
          <w:numId w:val="4"/>
        </w:numPr>
        <w:jc w:val="both"/>
        <w:rPr>
          <w:rFonts w:cstheme="minorHAnsi"/>
        </w:rPr>
      </w:pPr>
      <w:r>
        <w:rPr>
          <w:rFonts w:eastAsia="Corbel" w:cstheme="minorHAnsi"/>
          <w:color w:val="000000" w:themeColor="text1"/>
        </w:rPr>
        <w:t>e</w:t>
      </w:r>
      <w:r w:rsidR="00467938" w:rsidRPr="000F184B">
        <w:rPr>
          <w:rFonts w:eastAsia="Corbel" w:cstheme="minorHAnsi"/>
          <w:color w:val="000000" w:themeColor="text1"/>
        </w:rPr>
        <w:t xml:space="preserve">stablishing two new headspace sites and enhancing headspace sites to increase access to youth mental health services </w:t>
      </w:r>
      <w:r w:rsidR="00392D52" w:rsidRPr="001C6787">
        <w:rPr>
          <w:rFonts w:cstheme="minorHAnsi"/>
        </w:rPr>
        <w:t>in accordance with the headspace model</w:t>
      </w:r>
      <w:r w:rsidR="00FD5E32" w:rsidRPr="001C6787">
        <w:rPr>
          <w:rFonts w:cstheme="minorHAnsi"/>
        </w:rPr>
        <w:t>.</w:t>
      </w:r>
    </w:p>
    <w:p w14:paraId="287BDFEF" w14:textId="74B6D72D" w:rsidR="00DB0CD4" w:rsidRDefault="00B20989" w:rsidP="007906F1">
      <w:pPr>
        <w:pStyle w:val="ListParagraph"/>
        <w:widowControl/>
        <w:numPr>
          <w:ilvl w:val="2"/>
          <w:numId w:val="4"/>
        </w:numPr>
        <w:rPr>
          <w:rFonts w:cstheme="minorHAnsi"/>
        </w:rPr>
      </w:pPr>
      <w:r w:rsidRPr="001C6787">
        <w:rPr>
          <w:rFonts w:cstheme="minorHAnsi"/>
        </w:rPr>
        <w:t>Postvention Support</w:t>
      </w:r>
      <w:r w:rsidR="00922AAC">
        <w:rPr>
          <w:rFonts w:cstheme="minorHAnsi"/>
        </w:rPr>
        <w:t xml:space="preserve"> through </w:t>
      </w:r>
      <w:proofErr w:type="spellStart"/>
      <w:r w:rsidR="00922AAC">
        <w:rPr>
          <w:rFonts w:cstheme="minorHAnsi"/>
        </w:rPr>
        <w:t>YouTurn</w:t>
      </w:r>
      <w:proofErr w:type="spellEnd"/>
      <w:r w:rsidR="00922AAC">
        <w:rPr>
          <w:rFonts w:cstheme="minorHAnsi"/>
        </w:rPr>
        <w:t xml:space="preserve"> Ltd</w:t>
      </w:r>
      <w:r w:rsidR="003B07BA">
        <w:rPr>
          <w:rFonts w:cstheme="minorHAnsi"/>
        </w:rPr>
        <w:t>, using co-funding provided by Victoria</w:t>
      </w:r>
      <w:r w:rsidR="00C44295">
        <w:rPr>
          <w:rFonts w:cstheme="minorHAnsi"/>
        </w:rPr>
        <w:t>.</w:t>
      </w:r>
    </w:p>
    <w:p w14:paraId="712D2DE5" w14:textId="558165FD" w:rsidR="00C44295" w:rsidRDefault="008E0B0A" w:rsidP="006D22F6">
      <w:pPr>
        <w:pStyle w:val="ListParagraph"/>
        <w:widowControl/>
        <w:numPr>
          <w:ilvl w:val="2"/>
          <w:numId w:val="4"/>
        </w:numPr>
        <w:jc w:val="both"/>
        <w:rPr>
          <w:rFonts w:cstheme="minorHAnsi"/>
        </w:rPr>
      </w:pPr>
      <w:r>
        <w:rPr>
          <w:rFonts w:cstheme="minorHAnsi"/>
        </w:rPr>
        <w:t xml:space="preserve">continuing to </w:t>
      </w:r>
      <w:r w:rsidR="00C44295">
        <w:rPr>
          <w:rFonts w:cstheme="minorHAnsi"/>
        </w:rPr>
        <w:t xml:space="preserve">fund </w:t>
      </w:r>
      <w:r w:rsidR="007C2322">
        <w:rPr>
          <w:rFonts w:cstheme="minorHAnsi"/>
        </w:rPr>
        <w:t xml:space="preserve">the </w:t>
      </w:r>
      <w:r w:rsidR="00E90545">
        <w:rPr>
          <w:rFonts w:cstheme="minorHAnsi"/>
        </w:rPr>
        <w:t xml:space="preserve">ongoing </w:t>
      </w:r>
      <w:r w:rsidR="00C44295">
        <w:rPr>
          <w:rFonts w:cstheme="minorHAnsi"/>
        </w:rPr>
        <w:t>operation</w:t>
      </w:r>
      <w:r w:rsidR="00E90545">
        <w:rPr>
          <w:rFonts w:cstheme="minorHAnsi"/>
        </w:rPr>
        <w:t>al costs</w:t>
      </w:r>
      <w:r w:rsidR="00E90545">
        <w:t xml:space="preserve"> for the existing fourteen mental health clinics funded by the Commonwealth as part of the pandemic response measure annually, until </w:t>
      </w:r>
      <w:r w:rsidR="00B67FF3">
        <w:t>A</w:t>
      </w:r>
      <w:r w:rsidR="00E90545">
        <w:t xml:space="preserve">dult </w:t>
      </w:r>
      <w:r w:rsidR="00B67FF3">
        <w:t>L</w:t>
      </w:r>
      <w:r w:rsidR="00E90545">
        <w:t>ocals are established in each region</w:t>
      </w:r>
      <w:r w:rsidR="000D5F54">
        <w:t xml:space="preserve"> subject to the provisions set out </w:t>
      </w:r>
      <w:r w:rsidR="00BF1579">
        <w:t>at clause 46</w:t>
      </w:r>
      <w:r w:rsidR="00E90545">
        <w:t>.</w:t>
      </w:r>
      <w:r w:rsidR="00870E66" w:rsidDel="00870E66">
        <w:rPr>
          <w:rFonts w:cstheme="minorHAnsi"/>
        </w:rPr>
        <w:t xml:space="preserve"> </w:t>
      </w:r>
    </w:p>
    <w:p w14:paraId="6036149A" w14:textId="61F92507" w:rsidR="001101D4" w:rsidRPr="001C6787" w:rsidRDefault="00470FC3" w:rsidP="006D22F6">
      <w:pPr>
        <w:pStyle w:val="ListParagraph"/>
        <w:widowControl/>
        <w:numPr>
          <w:ilvl w:val="2"/>
          <w:numId w:val="4"/>
        </w:numPr>
        <w:jc w:val="both"/>
        <w:rPr>
          <w:rFonts w:cstheme="minorBidi"/>
        </w:rPr>
      </w:pPr>
      <w:r w:rsidRPr="55AF55D6">
        <w:rPr>
          <w:rFonts w:cstheme="minorBidi"/>
        </w:rPr>
        <w:t xml:space="preserve">continued </w:t>
      </w:r>
      <w:r w:rsidR="006D40E5">
        <w:rPr>
          <w:rFonts w:cstheme="minorBidi"/>
        </w:rPr>
        <w:t xml:space="preserve">funding and </w:t>
      </w:r>
      <w:r w:rsidRPr="55AF55D6">
        <w:rPr>
          <w:rFonts w:cstheme="minorBidi"/>
        </w:rPr>
        <w:t>delivery of the Adult Mental Health Centre in Geelong.</w:t>
      </w:r>
    </w:p>
    <w:p w14:paraId="458EAB52" w14:textId="69AD5D52" w:rsidR="00B36F39" w:rsidRPr="001C6787" w:rsidRDefault="00B36F39" w:rsidP="006D22F6">
      <w:pPr>
        <w:pStyle w:val="ListParagraph"/>
        <w:widowControl/>
        <w:numPr>
          <w:ilvl w:val="2"/>
          <w:numId w:val="4"/>
        </w:numPr>
        <w:jc w:val="both"/>
        <w:rPr>
          <w:rFonts w:cstheme="minorBidi"/>
        </w:rPr>
      </w:pPr>
      <w:r w:rsidRPr="55AF55D6">
        <w:rPr>
          <w:rFonts w:cstheme="minorBidi"/>
        </w:rPr>
        <w:t xml:space="preserve">National </w:t>
      </w:r>
      <w:r w:rsidR="00392D52" w:rsidRPr="55AF55D6">
        <w:rPr>
          <w:rFonts w:cstheme="minorBidi"/>
        </w:rPr>
        <w:t>Phone</w:t>
      </w:r>
      <w:r w:rsidRPr="55AF55D6">
        <w:rPr>
          <w:rFonts w:cstheme="minorBidi"/>
        </w:rPr>
        <w:t xml:space="preserve"> </w:t>
      </w:r>
      <w:r w:rsidR="00366D0E" w:rsidRPr="55AF55D6">
        <w:rPr>
          <w:rFonts w:cstheme="minorBidi"/>
        </w:rPr>
        <w:t xml:space="preserve">/ Digital Intake </w:t>
      </w:r>
      <w:r w:rsidRPr="55AF55D6">
        <w:rPr>
          <w:rFonts w:cstheme="minorBidi"/>
        </w:rPr>
        <w:t>Service</w:t>
      </w:r>
      <w:r w:rsidR="00392D52" w:rsidRPr="55AF55D6">
        <w:rPr>
          <w:rFonts w:cstheme="minorBidi"/>
        </w:rPr>
        <w:t xml:space="preserve"> in accordance with the national service model</w:t>
      </w:r>
      <w:r w:rsidR="00FD5E32" w:rsidRPr="55AF55D6">
        <w:rPr>
          <w:rFonts w:cstheme="minorBidi"/>
        </w:rPr>
        <w:t>.</w:t>
      </w:r>
    </w:p>
    <w:p w14:paraId="1562073C" w14:textId="60328ED3" w:rsidR="00193A83" w:rsidRPr="00921B8A" w:rsidRDefault="00C76F7C" w:rsidP="006D22F6">
      <w:pPr>
        <w:pStyle w:val="ListParagraph"/>
        <w:widowControl/>
        <w:numPr>
          <w:ilvl w:val="2"/>
          <w:numId w:val="4"/>
        </w:numPr>
        <w:jc w:val="both"/>
      </w:pPr>
      <w:r>
        <w:rPr>
          <w:rFonts w:cstheme="minorBidi"/>
        </w:rPr>
        <w:t>t</w:t>
      </w:r>
      <w:r w:rsidR="00BA4178" w:rsidRPr="55AF55D6">
        <w:rPr>
          <w:rFonts w:cstheme="minorBidi"/>
        </w:rPr>
        <w:t xml:space="preserve">he </w:t>
      </w:r>
      <w:r w:rsidR="00B20989" w:rsidRPr="55AF55D6">
        <w:rPr>
          <w:rFonts w:cstheme="minorBidi"/>
        </w:rPr>
        <w:t>Initial Assessment and Referral</w:t>
      </w:r>
      <w:r w:rsidR="00366D0E" w:rsidRPr="55AF55D6">
        <w:rPr>
          <w:rFonts w:cstheme="minorBidi"/>
        </w:rPr>
        <w:t xml:space="preserve"> (IAR)</w:t>
      </w:r>
      <w:r w:rsidR="00B20989" w:rsidRPr="55AF55D6">
        <w:rPr>
          <w:rFonts w:cstheme="minorBidi"/>
        </w:rPr>
        <w:t xml:space="preserve"> tool </w:t>
      </w:r>
      <w:r w:rsidR="00015D52" w:rsidRPr="55AF55D6">
        <w:rPr>
          <w:rFonts w:cstheme="minorBidi"/>
        </w:rPr>
        <w:t xml:space="preserve">initiative and its </w:t>
      </w:r>
      <w:proofErr w:type="gramStart"/>
      <w:r w:rsidR="00015D52" w:rsidRPr="55AF55D6">
        <w:rPr>
          <w:rFonts w:cstheme="minorBidi"/>
        </w:rPr>
        <w:t>adaption</w:t>
      </w:r>
      <w:proofErr w:type="gramEnd"/>
      <w:r w:rsidR="00015D52" w:rsidRPr="55AF55D6">
        <w:rPr>
          <w:rFonts w:cstheme="minorBidi"/>
        </w:rPr>
        <w:t xml:space="preserve"> for use with priority population cohorts, and training GPs and Commonwealth funded services in the use of the tool</w:t>
      </w:r>
      <w:r w:rsidR="00FD5E32" w:rsidRPr="55AF55D6">
        <w:rPr>
          <w:rFonts w:cstheme="minorBidi"/>
        </w:rPr>
        <w:t>.</w:t>
      </w:r>
    </w:p>
    <w:p w14:paraId="1524921A" w14:textId="4B6A8F23" w:rsidR="00F72F40" w:rsidRPr="00BA4178" w:rsidRDefault="00F72F40" w:rsidP="006D22F6">
      <w:pPr>
        <w:pStyle w:val="ListParagraph"/>
        <w:numPr>
          <w:ilvl w:val="0"/>
          <w:numId w:val="4"/>
        </w:numPr>
        <w:jc w:val="both"/>
        <w:rPr>
          <w:rFonts w:cstheme="minorBidi"/>
        </w:rPr>
      </w:pPr>
      <w:r w:rsidRPr="5190DED9">
        <w:rPr>
          <w:rFonts w:cstheme="minorBidi"/>
        </w:rPr>
        <w:t xml:space="preserve">Under this </w:t>
      </w:r>
      <w:r w:rsidR="002E0E98" w:rsidRPr="5190DED9">
        <w:rPr>
          <w:rFonts w:cstheme="minorBidi"/>
        </w:rPr>
        <w:t>Schedule</w:t>
      </w:r>
      <w:r w:rsidRPr="5190DED9">
        <w:rPr>
          <w:rFonts w:cstheme="minorBidi"/>
        </w:rPr>
        <w:t xml:space="preserve">, </w:t>
      </w:r>
      <w:r w:rsidR="00040A97" w:rsidRPr="5190DED9">
        <w:rPr>
          <w:rFonts w:cstheme="minorBidi"/>
        </w:rPr>
        <w:t>Victoria</w:t>
      </w:r>
      <w:r w:rsidR="00C86B28" w:rsidRPr="5190DED9">
        <w:rPr>
          <w:rFonts w:cstheme="minorBidi"/>
        </w:rPr>
        <w:t xml:space="preserve"> </w:t>
      </w:r>
      <w:r w:rsidRPr="5190DED9">
        <w:rPr>
          <w:rFonts w:cstheme="minorBidi"/>
        </w:rPr>
        <w:t>agrees to be responsible for:</w:t>
      </w:r>
    </w:p>
    <w:p w14:paraId="5351915E" w14:textId="66BE350E" w:rsidR="00B20989" w:rsidRPr="001C6787" w:rsidRDefault="000042FE" w:rsidP="006D22F6">
      <w:pPr>
        <w:pStyle w:val="ListParagraph"/>
        <w:numPr>
          <w:ilvl w:val="1"/>
          <w:numId w:val="4"/>
        </w:numPr>
        <w:jc w:val="both"/>
        <w:rPr>
          <w:rFonts w:cstheme="minorHAnsi"/>
        </w:rPr>
      </w:pPr>
      <w:r>
        <w:rPr>
          <w:rFonts w:cstheme="minorHAnsi"/>
        </w:rPr>
        <w:t>p</w:t>
      </w:r>
      <w:r w:rsidR="00B20989" w:rsidRPr="0088627F">
        <w:rPr>
          <w:rFonts w:cstheme="minorHAnsi"/>
        </w:rPr>
        <w:t xml:space="preserve">roviding funding and </w:t>
      </w:r>
      <w:r w:rsidR="00A71105" w:rsidRPr="0088627F">
        <w:rPr>
          <w:rFonts w:cstheme="minorHAnsi"/>
        </w:rPr>
        <w:t>in-kind contributions to the Commonwealth in accordance with the terms of the agreement</w:t>
      </w:r>
      <w:r w:rsidR="003B07BA">
        <w:rPr>
          <w:rFonts w:cstheme="minorHAnsi"/>
        </w:rPr>
        <w:t>.</w:t>
      </w:r>
    </w:p>
    <w:p w14:paraId="393D63AB" w14:textId="39685BDF" w:rsidR="00AD3B65" w:rsidRPr="0089451B" w:rsidRDefault="000042FE" w:rsidP="006D22F6">
      <w:pPr>
        <w:pStyle w:val="ListParagraph"/>
        <w:numPr>
          <w:ilvl w:val="1"/>
          <w:numId w:val="4"/>
        </w:numPr>
        <w:jc w:val="both"/>
        <w:rPr>
          <w:rFonts w:cstheme="minorHAnsi"/>
        </w:rPr>
      </w:pPr>
      <w:r w:rsidRPr="0089451B">
        <w:rPr>
          <w:rFonts w:cstheme="minorHAnsi"/>
        </w:rPr>
        <w:t>d</w:t>
      </w:r>
      <w:r w:rsidR="00046E46" w:rsidRPr="0089451B">
        <w:rPr>
          <w:rFonts w:cstheme="minorHAnsi"/>
        </w:rPr>
        <w:t xml:space="preserve">elivering </w:t>
      </w:r>
      <w:r w:rsidR="008C301C" w:rsidRPr="0089451B">
        <w:rPr>
          <w:rFonts w:cstheme="minorHAnsi"/>
        </w:rPr>
        <w:t xml:space="preserve">the following </w:t>
      </w:r>
      <w:r w:rsidR="00046E46" w:rsidRPr="0089451B">
        <w:rPr>
          <w:rFonts w:cstheme="minorHAnsi"/>
        </w:rPr>
        <w:t xml:space="preserve">co-funded services in </w:t>
      </w:r>
      <w:r w:rsidR="002868E4" w:rsidRPr="0089451B">
        <w:rPr>
          <w:rFonts w:cstheme="minorHAnsi"/>
        </w:rPr>
        <w:t>alignment</w:t>
      </w:r>
      <w:r w:rsidR="00046E46" w:rsidRPr="0089451B">
        <w:rPr>
          <w:rFonts w:cstheme="minorHAnsi"/>
        </w:rPr>
        <w:t xml:space="preserve"> with national </w:t>
      </w:r>
      <w:r w:rsidR="00D07EF2" w:rsidRPr="0089451B">
        <w:rPr>
          <w:rFonts w:cstheme="minorHAnsi"/>
        </w:rPr>
        <w:t>ser</w:t>
      </w:r>
      <w:r w:rsidR="008C301C" w:rsidRPr="0089451B">
        <w:rPr>
          <w:rFonts w:cstheme="minorHAnsi"/>
        </w:rPr>
        <w:t xml:space="preserve">vice </w:t>
      </w:r>
      <w:r w:rsidR="00392D52" w:rsidRPr="0089451B">
        <w:rPr>
          <w:rFonts w:cstheme="minorHAnsi"/>
        </w:rPr>
        <w:t>models</w:t>
      </w:r>
      <w:r w:rsidR="008C301C" w:rsidRPr="0089451B">
        <w:rPr>
          <w:rFonts w:cstheme="minorHAnsi"/>
        </w:rPr>
        <w:t>:</w:t>
      </w:r>
    </w:p>
    <w:p w14:paraId="75380A68" w14:textId="62EA31AF" w:rsidR="00163AA7" w:rsidRPr="0089451B" w:rsidRDefault="00163AA7" w:rsidP="006D22F6">
      <w:pPr>
        <w:pStyle w:val="ListParagraph"/>
        <w:numPr>
          <w:ilvl w:val="2"/>
          <w:numId w:val="4"/>
        </w:numPr>
        <w:jc w:val="both"/>
        <w:rPr>
          <w:rFonts w:cstheme="minorHAnsi"/>
        </w:rPr>
      </w:pPr>
      <w:r w:rsidRPr="0089451B">
        <w:rPr>
          <w:rFonts w:eastAsia="Corbel" w:cstheme="minorHAnsi"/>
          <w:color w:val="000000" w:themeColor="text1"/>
        </w:rPr>
        <w:t>Adult and Older Adult Local Mental Health and Wellbeing Services.</w:t>
      </w:r>
    </w:p>
    <w:p w14:paraId="2F4558AD" w14:textId="57BA8029" w:rsidR="00163AA7" w:rsidRPr="00BA4178" w:rsidRDefault="00163AA7" w:rsidP="006D22F6">
      <w:pPr>
        <w:pStyle w:val="ListParagraph"/>
        <w:numPr>
          <w:ilvl w:val="2"/>
          <w:numId w:val="4"/>
        </w:numPr>
        <w:jc w:val="both"/>
        <w:rPr>
          <w:rFonts w:eastAsiaTheme="minorEastAsia" w:cstheme="minorHAnsi"/>
          <w:color w:val="000000" w:themeColor="text1"/>
        </w:rPr>
      </w:pPr>
      <w:r w:rsidRPr="0089451B">
        <w:rPr>
          <w:rFonts w:eastAsiaTheme="minorEastAsia" w:cstheme="minorHAnsi"/>
          <w:color w:val="000000" w:themeColor="text1"/>
        </w:rPr>
        <w:t xml:space="preserve">Victorian Infant, Child and Family Health and Wellbeing Hubs </w:t>
      </w:r>
      <w:r w:rsidR="008F29F2">
        <w:rPr>
          <w:rFonts w:eastAsiaTheme="minorEastAsia" w:cstheme="minorHAnsi"/>
          <w:color w:val="000000" w:themeColor="text1"/>
        </w:rPr>
        <w:t>in accordance with the Victorian service specifications.</w:t>
      </w:r>
      <w:r w:rsidRPr="0089451B">
        <w:rPr>
          <w:rFonts w:eastAsiaTheme="minorEastAsia" w:cstheme="minorHAnsi"/>
          <w:color w:val="000000" w:themeColor="text1"/>
        </w:rPr>
        <w:t xml:space="preserve"> </w:t>
      </w:r>
    </w:p>
    <w:p w14:paraId="695B49DF" w14:textId="67F69FA0" w:rsidR="00181283" w:rsidRPr="00BA4178" w:rsidRDefault="00181283" w:rsidP="006D22F6">
      <w:pPr>
        <w:pStyle w:val="ListParagraph"/>
        <w:numPr>
          <w:ilvl w:val="2"/>
          <w:numId w:val="4"/>
        </w:numPr>
        <w:jc w:val="both"/>
        <w:rPr>
          <w:rFonts w:cstheme="minorBidi"/>
        </w:rPr>
      </w:pPr>
      <w:r w:rsidRPr="55AF55D6">
        <w:rPr>
          <w:rFonts w:cstheme="minorBidi"/>
        </w:rPr>
        <w:t xml:space="preserve">Hospital Outreach </w:t>
      </w:r>
      <w:r w:rsidR="00A907AB" w:rsidRPr="55AF55D6">
        <w:rPr>
          <w:rFonts w:cstheme="minorBidi"/>
        </w:rPr>
        <w:t xml:space="preserve">Post Suicide </w:t>
      </w:r>
      <w:r w:rsidR="00C90071" w:rsidRPr="55AF55D6">
        <w:rPr>
          <w:rFonts w:cstheme="minorBidi"/>
        </w:rPr>
        <w:t>Engagement (HOPE)</w:t>
      </w:r>
      <w:r w:rsidR="00DE41E8" w:rsidRPr="55AF55D6">
        <w:rPr>
          <w:rFonts w:cstheme="minorBidi"/>
        </w:rPr>
        <w:t xml:space="preserve"> program</w:t>
      </w:r>
      <w:r w:rsidR="00961868" w:rsidRPr="55AF55D6">
        <w:rPr>
          <w:rFonts w:cstheme="minorBidi"/>
        </w:rPr>
        <w:t>.</w:t>
      </w:r>
    </w:p>
    <w:p w14:paraId="35FA0111" w14:textId="7FCF1952" w:rsidR="00BA4178" w:rsidRPr="00BA4178" w:rsidRDefault="601206F2" w:rsidP="006D22F6">
      <w:pPr>
        <w:pStyle w:val="ListParagraph"/>
        <w:numPr>
          <w:ilvl w:val="2"/>
          <w:numId w:val="4"/>
        </w:numPr>
        <w:jc w:val="both"/>
        <w:rPr>
          <w:rFonts w:cstheme="minorHAnsi"/>
        </w:rPr>
      </w:pPr>
      <w:r w:rsidRPr="00BA4178">
        <w:rPr>
          <w:rFonts w:cstheme="minorHAnsi"/>
        </w:rPr>
        <w:t>Distress Brief Intervention</w:t>
      </w:r>
      <w:r w:rsidR="00961868">
        <w:rPr>
          <w:rFonts w:cstheme="minorHAnsi"/>
        </w:rPr>
        <w:t>.</w:t>
      </w:r>
    </w:p>
    <w:p w14:paraId="123BA44D" w14:textId="57582572" w:rsidR="00762063" w:rsidRPr="00BA4178" w:rsidRDefault="000042FE" w:rsidP="006D22F6">
      <w:pPr>
        <w:pStyle w:val="ListParagraph"/>
        <w:numPr>
          <w:ilvl w:val="1"/>
          <w:numId w:val="4"/>
        </w:numPr>
        <w:jc w:val="both"/>
        <w:rPr>
          <w:rFonts w:cstheme="minorHAnsi"/>
        </w:rPr>
      </w:pPr>
      <w:r>
        <w:rPr>
          <w:rFonts w:cstheme="minorHAnsi"/>
        </w:rPr>
        <w:t>w</w:t>
      </w:r>
      <w:r w:rsidR="00762063" w:rsidRPr="00BA4178">
        <w:rPr>
          <w:rFonts w:cstheme="minorHAnsi"/>
        </w:rPr>
        <w:t>ork</w:t>
      </w:r>
      <w:r w:rsidR="00366D0E">
        <w:rPr>
          <w:rFonts w:cstheme="minorHAnsi"/>
        </w:rPr>
        <w:t>ing</w:t>
      </w:r>
      <w:r w:rsidR="00762063" w:rsidRPr="00BA4178">
        <w:rPr>
          <w:rFonts w:cstheme="minorHAnsi"/>
        </w:rPr>
        <w:t xml:space="preserve"> towards providing nationally </w:t>
      </w:r>
      <w:r w:rsidR="00B9528D">
        <w:rPr>
          <w:rFonts w:cstheme="minorHAnsi"/>
        </w:rPr>
        <w:t>agreed</w:t>
      </w:r>
      <w:r w:rsidR="00B9528D" w:rsidRPr="00BA4178">
        <w:rPr>
          <w:rFonts w:cstheme="minorHAnsi"/>
        </w:rPr>
        <w:t xml:space="preserve"> </w:t>
      </w:r>
      <w:r w:rsidR="00762063" w:rsidRPr="00BA4178">
        <w:rPr>
          <w:rFonts w:cstheme="minorHAnsi"/>
        </w:rPr>
        <w:t xml:space="preserve">perinatal mental health data </w:t>
      </w:r>
      <w:r w:rsidR="00E70FCA" w:rsidRPr="0040696B">
        <w:t>via agreed mechanisms</w:t>
      </w:r>
      <w:r w:rsidR="00762063" w:rsidRPr="00870E66">
        <w:rPr>
          <w:rFonts w:cstheme="minorHAnsi"/>
        </w:rPr>
        <w:t xml:space="preserve"> </w:t>
      </w:r>
      <w:r w:rsidR="00762063" w:rsidRPr="00BA4178">
        <w:rPr>
          <w:rFonts w:cstheme="minorHAnsi"/>
        </w:rPr>
        <w:t xml:space="preserve">to the Australian Institute of Health and Welfare and </w:t>
      </w:r>
      <w:r w:rsidR="004435F9">
        <w:rPr>
          <w:rFonts w:cstheme="minorHAnsi"/>
        </w:rPr>
        <w:t>review approaches to</w:t>
      </w:r>
      <w:r w:rsidR="00762063" w:rsidRPr="00BA4178">
        <w:rPr>
          <w:rFonts w:cstheme="minorHAnsi"/>
        </w:rPr>
        <w:t xml:space="preserve"> perinatal mental health screening. </w:t>
      </w:r>
    </w:p>
    <w:p w14:paraId="1AEF9380" w14:textId="2C9F8520" w:rsidR="002E7EB4" w:rsidRPr="00900863" w:rsidDel="006A5EB2" w:rsidRDefault="00DF7206" w:rsidP="006D22F6">
      <w:pPr>
        <w:pStyle w:val="ListParagraph"/>
        <w:numPr>
          <w:ilvl w:val="1"/>
          <w:numId w:val="4"/>
        </w:numPr>
        <w:jc w:val="both"/>
      </w:pPr>
      <w:r>
        <w:t>a</w:t>
      </w:r>
      <w:r w:rsidR="002E7EB4" w:rsidDel="1B06AA4D">
        <w:t xml:space="preserve">dopting and implementing the </w:t>
      </w:r>
      <w:r w:rsidR="00366D0E">
        <w:t xml:space="preserve">IAR </w:t>
      </w:r>
      <w:r w:rsidR="002E7EB4" w:rsidDel="1B06AA4D">
        <w:t xml:space="preserve">Tool </w:t>
      </w:r>
      <w:r w:rsidR="00F54549">
        <w:t xml:space="preserve">or equivalent </w:t>
      </w:r>
      <w:r w:rsidR="002E7EB4" w:rsidDel="1B06AA4D">
        <w:t xml:space="preserve">in </w:t>
      </w:r>
      <w:r w:rsidR="002E7EB4" w:rsidDel="6777DF03">
        <w:t>Victoria</w:t>
      </w:r>
      <w:r w:rsidR="002E7EB4" w:rsidDel="519212CC">
        <w:t>n</w:t>
      </w:r>
      <w:r w:rsidR="002E7EB4" w:rsidDel="38447153">
        <w:t xml:space="preserve"> </w:t>
      </w:r>
      <w:r w:rsidR="00F54549" w:rsidRPr="00103ECE">
        <w:rPr>
          <w:rFonts w:eastAsia="Corbel" w:cstheme="minorHAnsi"/>
          <w:color w:val="000000" w:themeColor="text1"/>
        </w:rPr>
        <w:t xml:space="preserve">Adult and Older Adult Local Mental Health and Wellbeing </w:t>
      </w:r>
      <w:r w:rsidR="00F54549" w:rsidRPr="005456CC">
        <w:rPr>
          <w:rFonts w:eastAsia="Corbel" w:cstheme="minorHAnsi"/>
          <w:color w:val="000000" w:themeColor="text1"/>
        </w:rPr>
        <w:t>Services</w:t>
      </w:r>
      <w:r w:rsidR="002E7EB4" w:rsidDel="38447153">
        <w:t xml:space="preserve"> whilst working towards </w:t>
      </w:r>
      <w:r w:rsidR="00F66824">
        <w:t xml:space="preserve">alignment with </w:t>
      </w:r>
      <w:r w:rsidR="002E7EB4" w:rsidDel="38447153">
        <w:t>all</w:t>
      </w:r>
      <w:r w:rsidR="002E7EB4" w:rsidDel="430A4DEF">
        <w:t xml:space="preserve"> </w:t>
      </w:r>
      <w:r w:rsidR="008A1447">
        <w:t>state and/</w:t>
      </w:r>
      <w:r w:rsidR="00366D0E">
        <w:t>or Commonwealth</w:t>
      </w:r>
      <w:r w:rsidR="008A1447">
        <w:t xml:space="preserve"> funded clinical </w:t>
      </w:r>
      <w:r w:rsidR="002E7EB4" w:rsidDel="1B06AA4D">
        <w:t>mental health services</w:t>
      </w:r>
      <w:r w:rsidR="009D4DAA">
        <w:t xml:space="preserve"> intake and triage tools</w:t>
      </w:r>
      <w:r w:rsidR="002E7EB4" w:rsidDel="68588FC0">
        <w:t xml:space="preserve">. </w:t>
      </w:r>
    </w:p>
    <w:p w14:paraId="73D93B46" w14:textId="1F2AF025" w:rsidR="00D06BD0" w:rsidRPr="00900863" w:rsidRDefault="00D06BD0" w:rsidP="008B047F">
      <w:pPr>
        <w:pStyle w:val="Heading1"/>
        <w:jc w:val="both"/>
      </w:pPr>
      <w:r w:rsidRPr="00900863">
        <w:t>Objectives and outcomes</w:t>
      </w:r>
    </w:p>
    <w:p w14:paraId="52DFBF3E" w14:textId="50AC43A8" w:rsidR="000A718D" w:rsidRDefault="00D06BD0" w:rsidP="006D22F6">
      <w:pPr>
        <w:pStyle w:val="ListParagraph"/>
        <w:numPr>
          <w:ilvl w:val="0"/>
          <w:numId w:val="4"/>
        </w:numPr>
        <w:jc w:val="both"/>
      </w:pPr>
      <w:r w:rsidRPr="00900863">
        <w:t>The Parties agree on their shared objective to work collaboratively</w:t>
      </w:r>
      <w:r w:rsidR="00556103">
        <w:t xml:space="preserve"> </w:t>
      </w:r>
      <w:r w:rsidR="000A718D">
        <w:t xml:space="preserve">to provide a structured, coordinated, long-term approach </w:t>
      </w:r>
      <w:r w:rsidR="006A2A95">
        <w:t xml:space="preserve">to </w:t>
      </w:r>
      <w:r w:rsidR="00556103">
        <w:t>reform</w:t>
      </w:r>
      <w:r w:rsidR="00EF5541">
        <w:t xml:space="preserve"> of the mental health</w:t>
      </w:r>
      <w:r w:rsidR="00917CE8">
        <w:t xml:space="preserve"> and suicide prevention</w:t>
      </w:r>
      <w:r w:rsidR="00EF5541">
        <w:t xml:space="preserve"> system in Victoria.</w:t>
      </w:r>
    </w:p>
    <w:p w14:paraId="702237C5" w14:textId="184806F9" w:rsidR="00691951" w:rsidRPr="00961868" w:rsidRDefault="00691951" w:rsidP="006D22F6">
      <w:pPr>
        <w:pStyle w:val="ListParagraph"/>
        <w:numPr>
          <w:ilvl w:val="0"/>
          <w:numId w:val="4"/>
        </w:numPr>
        <w:jc w:val="both"/>
      </w:pPr>
      <w:r w:rsidRPr="00961868">
        <w:t xml:space="preserve">This will be achieved by focusing efforts </w:t>
      </w:r>
      <w:r w:rsidR="00457A43">
        <w:t xml:space="preserve">on </w:t>
      </w:r>
      <w:r w:rsidR="00B90FB1">
        <w:t>the following objectives</w:t>
      </w:r>
      <w:r w:rsidRPr="00961868">
        <w:t xml:space="preserve">: </w:t>
      </w:r>
    </w:p>
    <w:p w14:paraId="18F0B832" w14:textId="61E59F0E" w:rsidR="00691951" w:rsidRPr="000F184B" w:rsidRDefault="000A4573" w:rsidP="006D22F6">
      <w:pPr>
        <w:pStyle w:val="Tableformat"/>
        <w:numPr>
          <w:ilvl w:val="1"/>
          <w:numId w:val="4"/>
        </w:numPr>
        <w:spacing w:line="252" w:lineRule="auto"/>
        <w:rPr>
          <w:rFonts w:asciiTheme="minorHAnsi" w:hAnsiTheme="minorHAnsi" w:cstheme="minorHAnsi"/>
          <w:b w:val="0"/>
          <w:bCs w:val="0"/>
          <w:sz w:val="22"/>
        </w:rPr>
      </w:pPr>
      <w:r>
        <w:rPr>
          <w:rFonts w:asciiTheme="minorHAnsi" w:eastAsiaTheme="minorHAnsi" w:hAnsiTheme="minorHAnsi" w:cstheme="minorHAnsi"/>
          <w:b w:val="0"/>
          <w:bCs w:val="0"/>
          <w:iCs w:val="0"/>
          <w:sz w:val="22"/>
          <w:szCs w:val="20"/>
          <w:lang w:eastAsia="en-US"/>
        </w:rPr>
        <w:t>r</w:t>
      </w:r>
      <w:r w:rsidR="00691951" w:rsidRPr="00F53DE6">
        <w:rPr>
          <w:rFonts w:asciiTheme="minorHAnsi" w:eastAsiaTheme="minorHAnsi" w:hAnsiTheme="minorHAnsi" w:cstheme="minorHAnsi"/>
          <w:b w:val="0"/>
          <w:bCs w:val="0"/>
          <w:iCs w:val="0"/>
          <w:sz w:val="22"/>
          <w:szCs w:val="20"/>
          <w:lang w:eastAsia="en-US"/>
        </w:rPr>
        <w:t>educe system fragmentation through improved integration between Commonwealth and State-funded services</w:t>
      </w:r>
    </w:p>
    <w:p w14:paraId="65D703F1" w14:textId="316098FD" w:rsidR="00691951" w:rsidRPr="000F184B" w:rsidRDefault="000A4573" w:rsidP="006D22F6">
      <w:pPr>
        <w:pStyle w:val="Tableformat"/>
        <w:numPr>
          <w:ilvl w:val="1"/>
          <w:numId w:val="4"/>
        </w:numPr>
        <w:spacing w:line="252" w:lineRule="auto"/>
        <w:rPr>
          <w:rFonts w:asciiTheme="minorHAnsi" w:hAnsiTheme="minorHAnsi" w:cstheme="minorHAnsi"/>
          <w:b w:val="0"/>
          <w:bCs w:val="0"/>
          <w:sz w:val="22"/>
        </w:rPr>
      </w:pPr>
      <w:r>
        <w:rPr>
          <w:rFonts w:asciiTheme="minorHAnsi" w:eastAsiaTheme="minorHAnsi" w:hAnsiTheme="minorHAnsi" w:cstheme="minorHAnsi"/>
          <w:b w:val="0"/>
          <w:bCs w:val="0"/>
          <w:iCs w:val="0"/>
          <w:sz w:val="22"/>
          <w:szCs w:val="20"/>
          <w:lang w:eastAsia="en-US"/>
        </w:rPr>
        <w:t>a</w:t>
      </w:r>
      <w:r w:rsidR="00691951" w:rsidRPr="00F53DE6">
        <w:rPr>
          <w:rFonts w:asciiTheme="minorHAnsi" w:eastAsiaTheme="minorHAnsi" w:hAnsiTheme="minorHAnsi" w:cstheme="minorHAnsi"/>
          <w:b w:val="0"/>
          <w:bCs w:val="0"/>
          <w:iCs w:val="0"/>
          <w:sz w:val="22"/>
          <w:szCs w:val="20"/>
          <w:lang w:eastAsia="en-US"/>
        </w:rPr>
        <w:t xml:space="preserve">ddress gaps in the system by ensuring community-based mental health and suicide prevention services, and in particular ambulatory services, are effective, accessible and affordable; and </w:t>
      </w:r>
    </w:p>
    <w:p w14:paraId="04BF3415" w14:textId="156659DC" w:rsidR="00691951" w:rsidRDefault="000A4573" w:rsidP="006D22F6">
      <w:pPr>
        <w:pStyle w:val="Tableformat"/>
        <w:numPr>
          <w:ilvl w:val="1"/>
          <w:numId w:val="4"/>
        </w:numPr>
        <w:spacing w:line="252" w:lineRule="auto"/>
        <w:rPr>
          <w:rFonts w:asciiTheme="minorHAnsi" w:eastAsiaTheme="minorHAnsi" w:hAnsiTheme="minorHAnsi" w:cstheme="minorHAnsi"/>
          <w:b w:val="0"/>
          <w:bCs w:val="0"/>
          <w:iCs w:val="0"/>
          <w:sz w:val="22"/>
          <w:szCs w:val="20"/>
          <w:lang w:eastAsia="en-US"/>
        </w:rPr>
      </w:pPr>
      <w:proofErr w:type="spellStart"/>
      <w:r>
        <w:rPr>
          <w:rFonts w:asciiTheme="minorHAnsi" w:eastAsiaTheme="minorHAnsi" w:hAnsiTheme="minorHAnsi" w:cstheme="minorHAnsi"/>
          <w:b w:val="0"/>
          <w:bCs w:val="0"/>
          <w:iCs w:val="0"/>
          <w:sz w:val="22"/>
          <w:szCs w:val="20"/>
          <w:lang w:eastAsia="en-US"/>
        </w:rPr>
        <w:lastRenderedPageBreak/>
        <w:t>p</w:t>
      </w:r>
      <w:r w:rsidR="00691951" w:rsidRPr="00F53DE6">
        <w:rPr>
          <w:rFonts w:asciiTheme="minorHAnsi" w:eastAsiaTheme="minorHAnsi" w:hAnsiTheme="minorHAnsi" w:cstheme="minorHAnsi"/>
          <w:b w:val="0"/>
          <w:bCs w:val="0"/>
          <w:iCs w:val="0"/>
          <w:sz w:val="22"/>
          <w:szCs w:val="20"/>
          <w:lang w:eastAsia="en-US"/>
        </w:rPr>
        <w:t>rioritise</w:t>
      </w:r>
      <w:proofErr w:type="spellEnd"/>
      <w:r w:rsidR="00691951" w:rsidRPr="00F53DE6">
        <w:rPr>
          <w:rFonts w:asciiTheme="minorHAnsi" w:eastAsiaTheme="minorHAnsi" w:hAnsiTheme="minorHAnsi" w:cstheme="minorHAnsi"/>
          <w:b w:val="0"/>
          <w:bCs w:val="0"/>
          <w:iCs w:val="0"/>
          <w:sz w:val="22"/>
          <w:szCs w:val="20"/>
          <w:lang w:eastAsia="en-US"/>
        </w:rPr>
        <w:t xml:space="preserve"> further investment in prevention, early intervention and effective management of severe and enduring mental health conditions.</w:t>
      </w:r>
    </w:p>
    <w:p w14:paraId="1291FDB4" w14:textId="1E404D36" w:rsidR="00A531A4" w:rsidRDefault="00A531A4" w:rsidP="006D22F6">
      <w:pPr>
        <w:pStyle w:val="Tableformat"/>
        <w:numPr>
          <w:ilvl w:val="0"/>
          <w:numId w:val="4"/>
        </w:numPr>
        <w:spacing w:line="252" w:lineRule="auto"/>
        <w:rPr>
          <w:rFonts w:asciiTheme="minorHAnsi" w:eastAsiaTheme="minorHAnsi" w:hAnsiTheme="minorHAnsi" w:cstheme="minorHAnsi"/>
          <w:b w:val="0"/>
          <w:bCs w:val="0"/>
          <w:iCs w:val="0"/>
          <w:sz w:val="22"/>
          <w:szCs w:val="20"/>
          <w:lang w:eastAsia="en-US"/>
        </w:rPr>
      </w:pPr>
      <w:r>
        <w:rPr>
          <w:rFonts w:asciiTheme="minorHAnsi" w:eastAsiaTheme="minorHAnsi" w:hAnsiTheme="minorHAnsi" w:cstheme="minorHAnsi"/>
          <w:b w:val="0"/>
          <w:bCs w:val="0"/>
          <w:iCs w:val="0"/>
          <w:sz w:val="22"/>
          <w:szCs w:val="20"/>
          <w:lang w:eastAsia="en-US"/>
        </w:rPr>
        <w:t xml:space="preserve">The anticipated outcomes of this </w:t>
      </w:r>
      <w:r w:rsidR="001705C7">
        <w:rPr>
          <w:rFonts w:asciiTheme="minorHAnsi" w:eastAsiaTheme="minorHAnsi" w:hAnsiTheme="minorHAnsi" w:cstheme="minorHAnsi"/>
          <w:b w:val="0"/>
          <w:bCs w:val="0"/>
          <w:iCs w:val="0"/>
          <w:sz w:val="22"/>
          <w:szCs w:val="20"/>
          <w:lang w:eastAsia="en-US"/>
        </w:rPr>
        <w:t xml:space="preserve">Schedule </w:t>
      </w:r>
      <w:r>
        <w:rPr>
          <w:rFonts w:asciiTheme="minorHAnsi" w:eastAsiaTheme="minorHAnsi" w:hAnsiTheme="minorHAnsi" w:cstheme="minorHAnsi"/>
          <w:b w:val="0"/>
          <w:bCs w:val="0"/>
          <w:iCs w:val="0"/>
          <w:sz w:val="22"/>
          <w:szCs w:val="20"/>
          <w:lang w:eastAsia="en-US"/>
        </w:rPr>
        <w:t>align with the outcomes of the National Agreement and include:</w:t>
      </w:r>
    </w:p>
    <w:p w14:paraId="328E580A" w14:textId="33C409BC" w:rsidR="00A531A4" w:rsidRDefault="00F3525C" w:rsidP="006D22F6">
      <w:pPr>
        <w:pStyle w:val="Tableformat"/>
        <w:numPr>
          <w:ilvl w:val="1"/>
          <w:numId w:val="4"/>
        </w:numPr>
        <w:spacing w:line="252" w:lineRule="auto"/>
        <w:rPr>
          <w:rFonts w:asciiTheme="minorHAnsi" w:eastAsiaTheme="minorEastAsia" w:hAnsiTheme="minorHAnsi" w:cstheme="minorBidi"/>
          <w:b w:val="0"/>
          <w:sz w:val="22"/>
          <w:szCs w:val="22"/>
          <w:lang w:eastAsia="en-US"/>
        </w:rPr>
      </w:pPr>
      <w:r w:rsidRPr="5190DED9">
        <w:rPr>
          <w:rFonts w:asciiTheme="minorHAnsi" w:eastAsiaTheme="minorEastAsia" w:hAnsiTheme="minorHAnsi" w:cstheme="minorBidi"/>
          <w:b w:val="0"/>
          <w:sz w:val="22"/>
          <w:szCs w:val="22"/>
          <w:lang w:eastAsia="en-US"/>
        </w:rPr>
        <w:t xml:space="preserve">improving the mental health and wellbeing of the </w:t>
      </w:r>
      <w:r w:rsidR="00BC29FC" w:rsidRPr="5190DED9">
        <w:rPr>
          <w:rFonts w:asciiTheme="minorHAnsi" w:eastAsiaTheme="minorEastAsia" w:hAnsiTheme="minorHAnsi" w:cstheme="minorBidi"/>
          <w:b w:val="0"/>
          <w:sz w:val="22"/>
          <w:szCs w:val="22"/>
          <w:lang w:eastAsia="en-US"/>
        </w:rPr>
        <w:t>Victoria</w:t>
      </w:r>
      <w:r w:rsidRPr="5190DED9">
        <w:rPr>
          <w:rFonts w:asciiTheme="minorHAnsi" w:eastAsiaTheme="minorEastAsia" w:hAnsiTheme="minorHAnsi" w:cstheme="minorBidi"/>
          <w:b w:val="0"/>
          <w:sz w:val="22"/>
          <w:szCs w:val="22"/>
          <w:lang w:eastAsia="en-US"/>
        </w:rPr>
        <w:t>n population, with a focus on improving outcomes for priority populations</w:t>
      </w:r>
    </w:p>
    <w:p w14:paraId="04F00BF6" w14:textId="3ED93667" w:rsidR="00A531A4" w:rsidRDefault="00BC29FC" w:rsidP="006D22F6">
      <w:pPr>
        <w:pStyle w:val="Tableformat"/>
        <w:numPr>
          <w:ilvl w:val="1"/>
          <w:numId w:val="4"/>
        </w:numPr>
        <w:spacing w:line="252" w:lineRule="auto"/>
        <w:rPr>
          <w:rFonts w:asciiTheme="minorHAnsi" w:eastAsiaTheme="minorHAnsi" w:hAnsiTheme="minorHAnsi" w:cstheme="minorHAnsi"/>
          <w:b w:val="0"/>
          <w:bCs w:val="0"/>
          <w:iCs w:val="0"/>
          <w:sz w:val="22"/>
          <w:szCs w:val="20"/>
          <w:lang w:eastAsia="en-US"/>
        </w:rPr>
      </w:pPr>
      <w:r>
        <w:rPr>
          <w:rFonts w:asciiTheme="minorHAnsi" w:eastAsiaTheme="minorHAnsi" w:hAnsiTheme="minorHAnsi" w:cstheme="minorHAnsi"/>
          <w:b w:val="0"/>
          <w:bCs w:val="0"/>
          <w:iCs w:val="0"/>
          <w:sz w:val="22"/>
          <w:szCs w:val="20"/>
          <w:lang w:eastAsia="en-US"/>
        </w:rPr>
        <w:t>r</w:t>
      </w:r>
      <w:r w:rsidRPr="00BC29FC">
        <w:rPr>
          <w:rFonts w:asciiTheme="minorHAnsi" w:eastAsiaTheme="minorHAnsi" w:hAnsiTheme="minorHAnsi" w:cstheme="minorHAnsi"/>
          <w:b w:val="0"/>
          <w:bCs w:val="0"/>
          <w:iCs w:val="0"/>
          <w:sz w:val="22"/>
          <w:szCs w:val="20"/>
          <w:lang w:eastAsia="en-US"/>
        </w:rPr>
        <w:t>educ</w:t>
      </w:r>
      <w:r>
        <w:rPr>
          <w:rFonts w:asciiTheme="minorHAnsi" w:eastAsiaTheme="minorHAnsi" w:hAnsiTheme="minorHAnsi" w:cstheme="minorHAnsi"/>
          <w:b w:val="0"/>
          <w:bCs w:val="0"/>
          <w:iCs w:val="0"/>
          <w:sz w:val="22"/>
          <w:szCs w:val="20"/>
          <w:lang w:eastAsia="en-US"/>
        </w:rPr>
        <w:t>ing</w:t>
      </w:r>
      <w:r w:rsidRPr="00BC29FC">
        <w:rPr>
          <w:rFonts w:asciiTheme="minorHAnsi" w:eastAsiaTheme="minorHAnsi" w:hAnsiTheme="minorHAnsi" w:cstheme="minorHAnsi"/>
          <w:b w:val="0"/>
          <w:bCs w:val="0"/>
          <w:iCs w:val="0"/>
          <w:sz w:val="22"/>
          <w:szCs w:val="20"/>
          <w:lang w:eastAsia="en-US"/>
        </w:rPr>
        <w:t xml:space="preserve"> </w:t>
      </w:r>
      <w:r w:rsidR="00064D90" w:rsidRPr="00BC29FC">
        <w:rPr>
          <w:rFonts w:asciiTheme="minorHAnsi" w:eastAsiaTheme="minorHAnsi" w:hAnsiTheme="minorHAnsi" w:cstheme="minorHAnsi"/>
          <w:b w:val="0"/>
          <w:bCs w:val="0"/>
          <w:iCs w:val="0"/>
          <w:sz w:val="22"/>
          <w:szCs w:val="20"/>
          <w:lang w:eastAsia="en-US"/>
        </w:rPr>
        <w:t>suicide, suicidal</w:t>
      </w:r>
      <w:r w:rsidRPr="00BC29FC">
        <w:rPr>
          <w:rFonts w:asciiTheme="minorHAnsi" w:eastAsiaTheme="minorHAnsi" w:hAnsiTheme="minorHAnsi" w:cstheme="minorHAnsi"/>
          <w:b w:val="0"/>
          <w:bCs w:val="0"/>
          <w:iCs w:val="0"/>
          <w:sz w:val="22"/>
          <w:szCs w:val="20"/>
          <w:lang w:eastAsia="en-US"/>
        </w:rPr>
        <w:t xml:space="preserve"> distress</w:t>
      </w:r>
      <w:r>
        <w:rPr>
          <w:rFonts w:asciiTheme="minorHAnsi" w:eastAsiaTheme="minorHAnsi" w:hAnsiTheme="minorHAnsi" w:cstheme="minorHAnsi"/>
          <w:b w:val="0"/>
          <w:bCs w:val="0"/>
          <w:iCs w:val="0"/>
          <w:sz w:val="22"/>
          <w:szCs w:val="20"/>
          <w:lang w:eastAsia="en-US"/>
        </w:rPr>
        <w:t xml:space="preserve"> </w:t>
      </w:r>
      <w:r w:rsidRPr="00BC29FC">
        <w:rPr>
          <w:rFonts w:asciiTheme="minorHAnsi" w:eastAsiaTheme="minorHAnsi" w:hAnsiTheme="minorHAnsi" w:cstheme="minorHAnsi"/>
          <w:b w:val="0"/>
          <w:bCs w:val="0"/>
          <w:iCs w:val="0"/>
          <w:sz w:val="22"/>
          <w:szCs w:val="20"/>
          <w:lang w:eastAsia="en-US"/>
        </w:rPr>
        <w:t>and self-harm through</w:t>
      </w:r>
      <w:r w:rsidR="00434A9B">
        <w:rPr>
          <w:rFonts w:asciiTheme="minorHAnsi" w:eastAsiaTheme="minorHAnsi" w:hAnsiTheme="minorHAnsi" w:cstheme="minorHAnsi"/>
          <w:b w:val="0"/>
          <w:bCs w:val="0"/>
          <w:iCs w:val="0"/>
          <w:sz w:val="22"/>
          <w:szCs w:val="20"/>
          <w:lang w:eastAsia="en-US"/>
        </w:rPr>
        <w:t xml:space="preserve"> </w:t>
      </w:r>
      <w:r w:rsidRPr="00BC29FC">
        <w:rPr>
          <w:rFonts w:asciiTheme="minorHAnsi" w:eastAsiaTheme="minorHAnsi" w:hAnsiTheme="minorHAnsi" w:cstheme="minorHAnsi"/>
          <w:b w:val="0"/>
          <w:bCs w:val="0"/>
          <w:iCs w:val="0"/>
          <w:sz w:val="22"/>
          <w:szCs w:val="20"/>
          <w:lang w:eastAsia="en-US"/>
        </w:rPr>
        <w:t>a whole-of-government approach to</w:t>
      </w:r>
      <w:r w:rsidR="00064D90">
        <w:rPr>
          <w:rFonts w:asciiTheme="minorHAnsi" w:eastAsiaTheme="minorHAnsi" w:hAnsiTheme="minorHAnsi" w:cstheme="minorHAnsi"/>
          <w:b w:val="0"/>
          <w:bCs w:val="0"/>
          <w:iCs w:val="0"/>
          <w:sz w:val="22"/>
          <w:szCs w:val="20"/>
          <w:lang w:eastAsia="en-US"/>
        </w:rPr>
        <w:t xml:space="preserve"> </w:t>
      </w:r>
      <w:r w:rsidRPr="00BC29FC">
        <w:rPr>
          <w:rFonts w:asciiTheme="minorHAnsi" w:eastAsiaTheme="minorHAnsi" w:hAnsiTheme="minorHAnsi" w:cstheme="minorHAnsi"/>
          <w:b w:val="0"/>
          <w:bCs w:val="0"/>
          <w:iCs w:val="0"/>
          <w:sz w:val="22"/>
          <w:szCs w:val="20"/>
          <w:lang w:eastAsia="en-US"/>
        </w:rPr>
        <w:t>coordinated prevention, early intervention, treatment, aftercare and postvention supports</w:t>
      </w:r>
    </w:p>
    <w:p w14:paraId="3B721B5D" w14:textId="63491CD2" w:rsidR="00434A9B" w:rsidRDefault="00434A9B" w:rsidP="006D22F6">
      <w:pPr>
        <w:pStyle w:val="Tableformat"/>
        <w:numPr>
          <w:ilvl w:val="1"/>
          <w:numId w:val="4"/>
        </w:numPr>
        <w:spacing w:line="252" w:lineRule="auto"/>
        <w:rPr>
          <w:rFonts w:asciiTheme="minorHAnsi" w:eastAsiaTheme="minorHAnsi" w:hAnsiTheme="minorHAnsi" w:cstheme="minorHAnsi"/>
          <w:b w:val="0"/>
          <w:bCs w:val="0"/>
          <w:iCs w:val="0"/>
          <w:sz w:val="22"/>
          <w:szCs w:val="20"/>
          <w:lang w:eastAsia="en-US"/>
        </w:rPr>
      </w:pPr>
      <w:r>
        <w:rPr>
          <w:rFonts w:asciiTheme="minorHAnsi" w:eastAsiaTheme="minorHAnsi" w:hAnsiTheme="minorHAnsi" w:cstheme="minorHAnsi"/>
          <w:b w:val="0"/>
          <w:bCs w:val="0"/>
          <w:iCs w:val="0"/>
          <w:sz w:val="22"/>
          <w:szCs w:val="20"/>
          <w:lang w:eastAsia="en-US"/>
        </w:rPr>
        <w:t>p</w:t>
      </w:r>
      <w:r w:rsidRPr="00434A9B">
        <w:rPr>
          <w:rFonts w:asciiTheme="minorHAnsi" w:eastAsiaTheme="minorHAnsi" w:hAnsiTheme="minorHAnsi" w:cstheme="minorHAnsi"/>
          <w:b w:val="0"/>
          <w:bCs w:val="0"/>
          <w:iCs w:val="0"/>
          <w:sz w:val="22"/>
          <w:szCs w:val="20"/>
          <w:lang w:eastAsia="en-US"/>
        </w:rPr>
        <w:t>rovid</w:t>
      </w:r>
      <w:r>
        <w:rPr>
          <w:rFonts w:asciiTheme="minorHAnsi" w:eastAsiaTheme="minorHAnsi" w:hAnsiTheme="minorHAnsi" w:cstheme="minorHAnsi"/>
          <w:b w:val="0"/>
          <w:bCs w:val="0"/>
          <w:iCs w:val="0"/>
          <w:sz w:val="22"/>
          <w:szCs w:val="20"/>
          <w:lang w:eastAsia="en-US"/>
        </w:rPr>
        <w:t>ing</w:t>
      </w:r>
      <w:r w:rsidRPr="00434A9B">
        <w:rPr>
          <w:rFonts w:asciiTheme="minorHAnsi" w:eastAsiaTheme="minorHAnsi" w:hAnsiTheme="minorHAnsi" w:cstheme="minorHAnsi"/>
          <w:b w:val="0"/>
          <w:bCs w:val="0"/>
          <w:iCs w:val="0"/>
          <w:sz w:val="22"/>
          <w:szCs w:val="20"/>
          <w:lang w:eastAsia="en-US"/>
        </w:rPr>
        <w:t xml:space="preserve"> a balanced and integrated mental health and suicide prevention system for all communities and groups</w:t>
      </w:r>
    </w:p>
    <w:p w14:paraId="06E3A099" w14:textId="1F018DF6" w:rsidR="00870F52" w:rsidRDefault="00870F52" w:rsidP="006D22F6">
      <w:pPr>
        <w:pStyle w:val="Tableformat"/>
        <w:numPr>
          <w:ilvl w:val="1"/>
          <w:numId w:val="4"/>
        </w:numPr>
        <w:spacing w:line="252" w:lineRule="auto"/>
        <w:rPr>
          <w:rFonts w:asciiTheme="minorHAnsi" w:eastAsiaTheme="minorHAnsi" w:hAnsiTheme="minorHAnsi" w:cstheme="minorHAnsi"/>
          <w:b w:val="0"/>
          <w:bCs w:val="0"/>
          <w:iCs w:val="0"/>
          <w:sz w:val="22"/>
          <w:szCs w:val="20"/>
          <w:lang w:eastAsia="en-US"/>
        </w:rPr>
      </w:pPr>
      <w:r>
        <w:rPr>
          <w:rFonts w:asciiTheme="minorHAnsi" w:eastAsiaTheme="minorHAnsi" w:hAnsiTheme="minorHAnsi" w:cstheme="minorHAnsi"/>
          <w:b w:val="0"/>
          <w:bCs w:val="0"/>
          <w:iCs w:val="0"/>
          <w:sz w:val="22"/>
          <w:szCs w:val="20"/>
          <w:lang w:eastAsia="en-US"/>
        </w:rPr>
        <w:t>i</w:t>
      </w:r>
      <w:r w:rsidRPr="00870F52">
        <w:rPr>
          <w:rFonts w:asciiTheme="minorHAnsi" w:eastAsiaTheme="minorHAnsi" w:hAnsiTheme="minorHAnsi" w:cstheme="minorHAnsi"/>
          <w:b w:val="0"/>
          <w:bCs w:val="0"/>
          <w:iCs w:val="0"/>
          <w:sz w:val="22"/>
          <w:szCs w:val="20"/>
          <w:lang w:eastAsia="en-US"/>
        </w:rPr>
        <w:t>mprov</w:t>
      </w:r>
      <w:r>
        <w:rPr>
          <w:rFonts w:asciiTheme="minorHAnsi" w:eastAsiaTheme="minorHAnsi" w:hAnsiTheme="minorHAnsi" w:cstheme="minorHAnsi"/>
          <w:b w:val="0"/>
          <w:bCs w:val="0"/>
          <w:iCs w:val="0"/>
          <w:sz w:val="22"/>
          <w:szCs w:val="20"/>
          <w:lang w:eastAsia="en-US"/>
        </w:rPr>
        <w:t>ing</w:t>
      </w:r>
      <w:r w:rsidRPr="00870F52">
        <w:rPr>
          <w:rFonts w:asciiTheme="minorHAnsi" w:eastAsiaTheme="minorHAnsi" w:hAnsiTheme="minorHAnsi" w:cstheme="minorHAnsi"/>
          <w:b w:val="0"/>
          <w:bCs w:val="0"/>
          <w:iCs w:val="0"/>
          <w:sz w:val="22"/>
          <w:szCs w:val="20"/>
          <w:lang w:eastAsia="en-US"/>
        </w:rPr>
        <w:t xml:space="preserve"> physical health and life expectancy for people living with mental health conditions</w:t>
      </w:r>
      <w:r>
        <w:rPr>
          <w:rFonts w:asciiTheme="minorHAnsi" w:eastAsiaTheme="minorHAnsi" w:hAnsiTheme="minorHAnsi" w:cstheme="minorHAnsi"/>
          <w:b w:val="0"/>
          <w:bCs w:val="0"/>
          <w:iCs w:val="0"/>
          <w:sz w:val="22"/>
          <w:szCs w:val="20"/>
          <w:lang w:eastAsia="en-US"/>
        </w:rPr>
        <w:t xml:space="preserve"> </w:t>
      </w:r>
      <w:r w:rsidRPr="00870F52">
        <w:rPr>
          <w:rFonts w:asciiTheme="minorHAnsi" w:eastAsiaTheme="minorHAnsi" w:hAnsiTheme="minorHAnsi" w:cstheme="minorHAnsi"/>
          <w:b w:val="0"/>
          <w:bCs w:val="0"/>
          <w:iCs w:val="0"/>
          <w:sz w:val="22"/>
          <w:szCs w:val="20"/>
          <w:lang w:eastAsia="en-US"/>
        </w:rPr>
        <w:t>and</w:t>
      </w:r>
      <w:r>
        <w:rPr>
          <w:rFonts w:asciiTheme="minorHAnsi" w:eastAsiaTheme="minorHAnsi" w:hAnsiTheme="minorHAnsi" w:cstheme="minorHAnsi"/>
          <w:b w:val="0"/>
          <w:bCs w:val="0"/>
          <w:iCs w:val="0"/>
          <w:sz w:val="22"/>
          <w:szCs w:val="20"/>
          <w:lang w:eastAsia="en-US"/>
        </w:rPr>
        <w:t xml:space="preserve"> </w:t>
      </w:r>
      <w:r w:rsidRPr="00870F52">
        <w:rPr>
          <w:rFonts w:asciiTheme="minorHAnsi" w:eastAsiaTheme="minorHAnsi" w:hAnsiTheme="minorHAnsi" w:cstheme="minorHAnsi"/>
          <w:b w:val="0"/>
          <w:bCs w:val="0"/>
          <w:iCs w:val="0"/>
          <w:sz w:val="22"/>
          <w:szCs w:val="20"/>
          <w:lang w:eastAsia="en-US"/>
        </w:rPr>
        <w:t>for those experiencing</w:t>
      </w:r>
      <w:r>
        <w:rPr>
          <w:rFonts w:asciiTheme="minorHAnsi" w:eastAsiaTheme="minorHAnsi" w:hAnsiTheme="minorHAnsi" w:cstheme="minorHAnsi"/>
          <w:b w:val="0"/>
          <w:bCs w:val="0"/>
          <w:iCs w:val="0"/>
          <w:sz w:val="22"/>
          <w:szCs w:val="20"/>
          <w:lang w:eastAsia="en-US"/>
        </w:rPr>
        <w:t xml:space="preserve"> </w:t>
      </w:r>
      <w:r w:rsidRPr="00870F52">
        <w:rPr>
          <w:rFonts w:asciiTheme="minorHAnsi" w:eastAsiaTheme="minorHAnsi" w:hAnsiTheme="minorHAnsi" w:cstheme="minorHAnsi"/>
          <w:b w:val="0"/>
          <w:bCs w:val="0"/>
          <w:iCs w:val="0"/>
          <w:sz w:val="22"/>
          <w:szCs w:val="20"/>
          <w:lang w:eastAsia="en-US"/>
        </w:rPr>
        <w:t>suicidal distress; and</w:t>
      </w:r>
    </w:p>
    <w:p w14:paraId="2C37DD1B" w14:textId="11B55752" w:rsidR="008E3F47" w:rsidRDefault="00064D90" w:rsidP="00AC59E6">
      <w:pPr>
        <w:pStyle w:val="Tableformat"/>
        <w:spacing w:line="252" w:lineRule="auto"/>
        <w:ind w:left="1800"/>
      </w:pPr>
      <w:r>
        <w:rPr>
          <w:rFonts w:asciiTheme="minorHAnsi" w:eastAsiaTheme="minorHAnsi" w:hAnsiTheme="minorHAnsi" w:cstheme="minorHAnsi"/>
          <w:b w:val="0"/>
          <w:bCs w:val="0"/>
          <w:iCs w:val="0"/>
          <w:sz w:val="22"/>
          <w:szCs w:val="20"/>
          <w:lang w:eastAsia="en-US"/>
        </w:rPr>
        <w:t>i</w:t>
      </w:r>
      <w:r w:rsidRPr="00064D90">
        <w:rPr>
          <w:rFonts w:asciiTheme="minorHAnsi" w:eastAsiaTheme="minorHAnsi" w:hAnsiTheme="minorHAnsi" w:cstheme="minorHAnsi"/>
          <w:b w:val="0"/>
          <w:bCs w:val="0"/>
          <w:iCs w:val="0"/>
          <w:sz w:val="22"/>
          <w:szCs w:val="20"/>
          <w:lang w:eastAsia="en-US"/>
        </w:rPr>
        <w:t>mprov</w:t>
      </w:r>
      <w:r>
        <w:rPr>
          <w:rFonts w:asciiTheme="minorHAnsi" w:eastAsiaTheme="minorHAnsi" w:hAnsiTheme="minorHAnsi" w:cstheme="minorHAnsi"/>
          <w:b w:val="0"/>
          <w:bCs w:val="0"/>
          <w:iCs w:val="0"/>
          <w:sz w:val="22"/>
          <w:szCs w:val="20"/>
          <w:lang w:eastAsia="en-US"/>
        </w:rPr>
        <w:t>ing</w:t>
      </w:r>
      <w:r w:rsidRPr="00064D90">
        <w:rPr>
          <w:rFonts w:asciiTheme="minorHAnsi" w:eastAsiaTheme="minorHAnsi" w:hAnsiTheme="minorHAnsi" w:cstheme="minorHAnsi"/>
          <w:b w:val="0"/>
          <w:bCs w:val="0"/>
          <w:iCs w:val="0"/>
          <w:sz w:val="22"/>
          <w:szCs w:val="20"/>
          <w:lang w:eastAsia="en-US"/>
        </w:rPr>
        <w:t xml:space="preserve"> quality, safety and capacity in the </w:t>
      </w:r>
      <w:r>
        <w:rPr>
          <w:rFonts w:asciiTheme="minorHAnsi" w:eastAsiaTheme="minorHAnsi" w:hAnsiTheme="minorHAnsi" w:cstheme="minorHAnsi"/>
          <w:b w:val="0"/>
          <w:bCs w:val="0"/>
          <w:iCs w:val="0"/>
          <w:sz w:val="22"/>
          <w:szCs w:val="20"/>
          <w:lang w:eastAsia="en-US"/>
        </w:rPr>
        <w:t xml:space="preserve">Victorian </w:t>
      </w:r>
      <w:r w:rsidRPr="00064D90">
        <w:rPr>
          <w:rFonts w:asciiTheme="minorHAnsi" w:eastAsiaTheme="minorHAnsi" w:hAnsiTheme="minorHAnsi" w:cstheme="minorHAnsi"/>
          <w:b w:val="0"/>
          <w:bCs w:val="0"/>
          <w:iCs w:val="0"/>
          <w:sz w:val="22"/>
          <w:szCs w:val="20"/>
          <w:lang w:eastAsia="en-US"/>
        </w:rPr>
        <w:t xml:space="preserve">mental health and </w:t>
      </w:r>
      <w:r w:rsidR="005E14DA">
        <w:rPr>
          <w:rFonts w:asciiTheme="minorHAnsi" w:eastAsiaTheme="minorHAnsi" w:hAnsiTheme="minorHAnsi" w:cstheme="minorHAnsi"/>
          <w:b w:val="0"/>
          <w:bCs w:val="0"/>
          <w:iCs w:val="0"/>
          <w:sz w:val="22"/>
          <w:szCs w:val="20"/>
          <w:lang w:eastAsia="en-US"/>
        </w:rPr>
        <w:t xml:space="preserve">wellbeing </w:t>
      </w:r>
      <w:r w:rsidR="006E4B45">
        <w:rPr>
          <w:rFonts w:asciiTheme="minorHAnsi" w:eastAsiaTheme="minorHAnsi" w:hAnsiTheme="minorHAnsi" w:cstheme="minorHAnsi"/>
          <w:b w:val="0"/>
          <w:bCs w:val="0"/>
          <w:iCs w:val="0"/>
          <w:sz w:val="22"/>
          <w:szCs w:val="20"/>
          <w:lang w:eastAsia="en-US"/>
        </w:rPr>
        <w:t xml:space="preserve">and suicide prevention </w:t>
      </w:r>
      <w:r w:rsidR="005E14DA">
        <w:rPr>
          <w:rFonts w:asciiTheme="minorHAnsi" w:eastAsiaTheme="minorHAnsi" w:hAnsiTheme="minorHAnsi" w:cstheme="minorHAnsi"/>
          <w:b w:val="0"/>
          <w:bCs w:val="0"/>
          <w:iCs w:val="0"/>
          <w:sz w:val="22"/>
          <w:szCs w:val="20"/>
          <w:lang w:eastAsia="en-US"/>
        </w:rPr>
        <w:t>system</w:t>
      </w:r>
      <w:r w:rsidRPr="00064D90">
        <w:rPr>
          <w:rFonts w:asciiTheme="minorHAnsi" w:eastAsiaTheme="minorHAnsi" w:hAnsiTheme="minorHAnsi" w:cstheme="minorHAnsi"/>
          <w:b w:val="0"/>
          <w:bCs w:val="0"/>
          <w:iCs w:val="0"/>
          <w:sz w:val="22"/>
          <w:szCs w:val="20"/>
          <w:lang w:eastAsia="en-US"/>
        </w:rPr>
        <w:t>.</w:t>
      </w:r>
    </w:p>
    <w:p w14:paraId="66B7C2CD" w14:textId="77777777" w:rsidR="00D06BD0" w:rsidRPr="00900863" w:rsidRDefault="00D06BD0" w:rsidP="008B047F">
      <w:pPr>
        <w:pStyle w:val="Heading1"/>
        <w:jc w:val="both"/>
      </w:pPr>
      <w:r w:rsidRPr="00900863">
        <w:t>Implementation</w:t>
      </w:r>
    </w:p>
    <w:p w14:paraId="6CA583D5" w14:textId="68BFACDB" w:rsidR="008A63F9" w:rsidRDefault="00EB73C1" w:rsidP="006D22F6">
      <w:pPr>
        <w:pStyle w:val="ListParagraph"/>
        <w:numPr>
          <w:ilvl w:val="0"/>
          <w:numId w:val="4"/>
        </w:numPr>
        <w:jc w:val="both"/>
      </w:pPr>
      <w:r>
        <w:t xml:space="preserve">The Parties will implement </w:t>
      </w:r>
      <w:r w:rsidR="00985A4C">
        <w:t>the initiatives supported by</w:t>
      </w:r>
      <w:r>
        <w:t xml:space="preserve"> this Schedule </w:t>
      </w:r>
      <w:r w:rsidR="00430D87">
        <w:t xml:space="preserve">in accordance with the detail contained in the Initiatives for Collaboration Section. </w:t>
      </w:r>
    </w:p>
    <w:p w14:paraId="32B92BDC" w14:textId="1CDD30CA" w:rsidR="00D06BD0" w:rsidRPr="00900863" w:rsidRDefault="00D06BD0" w:rsidP="006D22F6">
      <w:pPr>
        <w:pStyle w:val="ListParagraph"/>
        <w:numPr>
          <w:ilvl w:val="0"/>
          <w:numId w:val="4"/>
        </w:numPr>
        <w:jc w:val="both"/>
      </w:pPr>
      <w:r w:rsidRPr="00900863">
        <w:t xml:space="preserve">The Parties agree that implementation of this Schedule will:  </w:t>
      </w:r>
    </w:p>
    <w:p w14:paraId="04D4544B" w14:textId="640AD215" w:rsidR="00D06BD0" w:rsidRPr="00900863" w:rsidRDefault="000A4573" w:rsidP="006D22F6">
      <w:pPr>
        <w:pStyle w:val="ListParagraph"/>
        <w:numPr>
          <w:ilvl w:val="1"/>
          <w:numId w:val="4"/>
        </w:numPr>
        <w:jc w:val="both"/>
      </w:pPr>
      <w:r>
        <w:t>b</w:t>
      </w:r>
      <w:r w:rsidR="00D06BD0" w:rsidRPr="00900863">
        <w:t>e informed by the lived experience o</w:t>
      </w:r>
      <w:r w:rsidR="00617ADA" w:rsidRPr="00900863">
        <w:t>f</w:t>
      </w:r>
      <w:r w:rsidR="00D06BD0" w:rsidRPr="00900863">
        <w:t xml:space="preserve"> consumers and carers and will enable person-cent</w:t>
      </w:r>
      <w:r w:rsidR="00FF3B58">
        <w:t>e</w:t>
      </w:r>
      <w:r w:rsidR="00D06BD0" w:rsidRPr="00900863">
        <w:t xml:space="preserve">red care that addresses the needs of </w:t>
      </w:r>
      <w:proofErr w:type="gramStart"/>
      <w:r w:rsidR="00737764">
        <w:t>Victorians</w:t>
      </w:r>
      <w:r>
        <w:t>;</w:t>
      </w:r>
      <w:proofErr w:type="gramEnd"/>
      <w:r>
        <w:t xml:space="preserve"> </w:t>
      </w:r>
    </w:p>
    <w:p w14:paraId="60B26BA7" w14:textId="0B0F2719" w:rsidR="00D06BD0" w:rsidRPr="00900863" w:rsidRDefault="000A4573" w:rsidP="006D22F6">
      <w:pPr>
        <w:pStyle w:val="ListParagraph"/>
        <w:numPr>
          <w:ilvl w:val="1"/>
          <w:numId w:val="4"/>
        </w:numPr>
        <w:jc w:val="both"/>
      </w:pPr>
      <w:r>
        <w:t>f</w:t>
      </w:r>
      <w:r w:rsidR="00961868" w:rsidRPr="00900863">
        <w:t xml:space="preserve">acilitate </w:t>
      </w:r>
      <w:r w:rsidR="00D06BD0" w:rsidRPr="00900863">
        <w:t xml:space="preserve">local level responses that take account of social determinants and their impact on mental health and wellbeing and risk of suicide, working cohesively with the broader health system; and </w:t>
      </w:r>
    </w:p>
    <w:p w14:paraId="37D8DE87" w14:textId="78BCB338" w:rsidR="00D06BD0" w:rsidRPr="00900863" w:rsidRDefault="000A4573" w:rsidP="006D22F6">
      <w:pPr>
        <w:pStyle w:val="ListParagraph"/>
        <w:numPr>
          <w:ilvl w:val="1"/>
          <w:numId w:val="4"/>
        </w:numPr>
        <w:jc w:val="both"/>
      </w:pPr>
      <w:r>
        <w:t>e</w:t>
      </w:r>
      <w:r w:rsidR="00D06BD0" w:rsidRPr="00900863">
        <w:t>nsure the particular needs of vulnerable population groups, including people in rural and remote locations, Aboriginal and Torres Strait Islander people, LGBT</w:t>
      </w:r>
      <w:r w:rsidR="00403F57" w:rsidRPr="00900863">
        <w:t>I</w:t>
      </w:r>
      <w:r w:rsidR="00D06BD0" w:rsidRPr="00900863">
        <w:t>Q</w:t>
      </w:r>
      <w:r w:rsidR="00403F57">
        <w:t>A</w:t>
      </w:r>
      <w:r w:rsidR="00D06BD0" w:rsidRPr="00900863">
        <w:t>+</w:t>
      </w:r>
      <w:r w:rsidR="0079337B">
        <w:t>SB</w:t>
      </w:r>
      <w:r w:rsidR="00D06BD0" w:rsidRPr="00900863">
        <w:t xml:space="preserve"> and culturally and linguistically diverse communities, are addressed and services delivered in a culturally appropriate manner.</w:t>
      </w:r>
    </w:p>
    <w:p w14:paraId="15DDBA5C" w14:textId="77777777" w:rsidR="00D06BD0" w:rsidRPr="00900863" w:rsidRDefault="00D06BD0" w:rsidP="008B047F">
      <w:pPr>
        <w:pStyle w:val="Heading1"/>
        <w:jc w:val="both"/>
      </w:pPr>
      <w:r w:rsidRPr="00900863">
        <w:t>Publication</w:t>
      </w:r>
    </w:p>
    <w:p w14:paraId="764322AD" w14:textId="2EC86391" w:rsidR="00AE1D26" w:rsidRDefault="00D06BD0" w:rsidP="006D22F6">
      <w:pPr>
        <w:pStyle w:val="ListParagraph"/>
        <w:numPr>
          <w:ilvl w:val="0"/>
          <w:numId w:val="4"/>
        </w:numPr>
        <w:jc w:val="both"/>
      </w:pPr>
      <w:r w:rsidRPr="00900863">
        <w:t xml:space="preserve">This </w:t>
      </w:r>
      <w:r w:rsidR="002E0E98" w:rsidRPr="00900863">
        <w:t>Schedule</w:t>
      </w:r>
      <w:r w:rsidRPr="00900863">
        <w:t xml:space="preserve"> will be published on the Federal Financial Relations website after formal agreement</w:t>
      </w:r>
    </w:p>
    <w:p w14:paraId="08963D17" w14:textId="77777777" w:rsidR="00D06BD0" w:rsidRPr="00900863" w:rsidRDefault="00D06BD0" w:rsidP="008B047F">
      <w:pPr>
        <w:pStyle w:val="Heading1"/>
        <w:jc w:val="both"/>
      </w:pPr>
      <w:r w:rsidRPr="00900863">
        <w:t>Linkages with other Agreements</w:t>
      </w:r>
    </w:p>
    <w:p w14:paraId="06B240C0" w14:textId="48AFA45D" w:rsidR="00D06BD0" w:rsidRPr="00900863" w:rsidRDefault="00D06BD0" w:rsidP="006D22F6">
      <w:pPr>
        <w:pStyle w:val="ListParagraph"/>
        <w:numPr>
          <w:ilvl w:val="0"/>
          <w:numId w:val="4"/>
        </w:numPr>
        <w:jc w:val="both"/>
      </w:pPr>
      <w:r w:rsidRPr="00900863">
        <w:t xml:space="preserve">This Schedule builds on, and re-affirms, the roles and responsibilities as agreed through the NHRA, the clauses in this </w:t>
      </w:r>
      <w:r w:rsidR="002E0E98" w:rsidRPr="00900863">
        <w:t>Schedule</w:t>
      </w:r>
      <w:r w:rsidRPr="00900863">
        <w:t xml:space="preserve"> do not supersede those in the NHRA. </w:t>
      </w:r>
    </w:p>
    <w:p w14:paraId="7F6AAB5C" w14:textId="77777777" w:rsidR="00D06BD0" w:rsidRPr="00900863" w:rsidRDefault="00D06BD0" w:rsidP="006D22F6">
      <w:pPr>
        <w:pStyle w:val="ListParagraph"/>
        <w:numPr>
          <w:ilvl w:val="0"/>
          <w:numId w:val="4"/>
        </w:numPr>
        <w:jc w:val="both"/>
      </w:pPr>
      <w:r w:rsidRPr="00900863">
        <w:t xml:space="preserve">Where inconsistences exist between the requirements of the Bilateral </w:t>
      </w:r>
      <w:r w:rsidR="002E0E98" w:rsidRPr="00900863">
        <w:t>Schedule</w:t>
      </w:r>
      <w:r w:rsidRPr="00900863">
        <w:t xml:space="preserve"> and the NHRA, the requirements of the NHRA will prevail. </w:t>
      </w:r>
    </w:p>
    <w:p w14:paraId="3A3CEFAB" w14:textId="77777777" w:rsidR="00D06BD0" w:rsidRPr="00900863" w:rsidRDefault="00D06BD0" w:rsidP="006D22F6">
      <w:pPr>
        <w:pStyle w:val="ListParagraph"/>
        <w:numPr>
          <w:ilvl w:val="0"/>
          <w:numId w:val="4"/>
        </w:numPr>
        <w:jc w:val="both"/>
      </w:pPr>
      <w:r w:rsidRPr="00900863">
        <w:t xml:space="preserve">Where relevant to the roles and responsibilities of the Parties, this Bilateral </w:t>
      </w:r>
      <w:r w:rsidR="002E0E98" w:rsidRPr="00900863">
        <w:t>Schedule</w:t>
      </w:r>
      <w:r w:rsidRPr="00900863">
        <w:t xml:space="preserve"> should be read together with</w:t>
      </w:r>
      <w:r w:rsidR="005F68E6" w:rsidRPr="00900863">
        <w:t xml:space="preserve"> the</w:t>
      </w:r>
      <w:r w:rsidRPr="00900863">
        <w:t>:</w:t>
      </w:r>
    </w:p>
    <w:p w14:paraId="468D16DF" w14:textId="701D1458" w:rsidR="00403F57" w:rsidRDefault="003278C5" w:rsidP="006D22F6">
      <w:pPr>
        <w:pStyle w:val="ListParagraph"/>
        <w:numPr>
          <w:ilvl w:val="1"/>
          <w:numId w:val="4"/>
        </w:numPr>
      </w:pPr>
      <w:r w:rsidRPr="003278C5">
        <w:t>National Suicide Prevention Strategy 2025-35</w:t>
      </w:r>
    </w:p>
    <w:p w14:paraId="76463FDD" w14:textId="13CD5045" w:rsidR="0014520F" w:rsidRDefault="0014520F" w:rsidP="006D22F6">
      <w:pPr>
        <w:pStyle w:val="ListParagraph"/>
        <w:numPr>
          <w:ilvl w:val="1"/>
          <w:numId w:val="4"/>
        </w:numPr>
        <w:jc w:val="both"/>
      </w:pPr>
      <w:r>
        <w:t xml:space="preserve">Fifth National Mental Health and Suicide Prevention </w:t>
      </w:r>
      <w:proofErr w:type="gramStart"/>
      <w:r>
        <w:t>Plan</w:t>
      </w:r>
      <w:r w:rsidR="00D73279">
        <w:t>;</w:t>
      </w:r>
      <w:proofErr w:type="gramEnd"/>
    </w:p>
    <w:p w14:paraId="5B7BA8E0" w14:textId="600D38BB" w:rsidR="00F30536" w:rsidRDefault="00F30536" w:rsidP="006D22F6">
      <w:pPr>
        <w:pStyle w:val="ListParagraph"/>
        <w:numPr>
          <w:ilvl w:val="1"/>
          <w:numId w:val="4"/>
        </w:numPr>
        <w:jc w:val="both"/>
      </w:pPr>
      <w:r>
        <w:t xml:space="preserve">National Suicide Prevention Strategy </w:t>
      </w:r>
      <w:proofErr w:type="gramStart"/>
      <w:r w:rsidR="00FF5A1D">
        <w:t>2020-2023</w:t>
      </w:r>
      <w:r w:rsidR="00DF7206">
        <w:t>;</w:t>
      </w:r>
      <w:proofErr w:type="gramEnd"/>
    </w:p>
    <w:p w14:paraId="34A31418" w14:textId="5D1721E1" w:rsidR="00D06BD0" w:rsidRPr="00900863" w:rsidRDefault="17375B62" w:rsidP="006D22F6">
      <w:pPr>
        <w:pStyle w:val="ListParagraph"/>
        <w:numPr>
          <w:ilvl w:val="1"/>
          <w:numId w:val="4"/>
        </w:numPr>
        <w:jc w:val="both"/>
      </w:pPr>
      <w:r>
        <w:lastRenderedPageBreak/>
        <w:t xml:space="preserve">National Aboriginal and Torres Strait Islander Suicide Prevention </w:t>
      </w:r>
      <w:proofErr w:type="gramStart"/>
      <w:r>
        <w:t>Strategy;</w:t>
      </w:r>
      <w:proofErr w:type="gramEnd"/>
    </w:p>
    <w:p w14:paraId="6F46A3AC" w14:textId="77777777" w:rsidR="00D06BD0" w:rsidRPr="00900863" w:rsidRDefault="17375B62" w:rsidP="006D22F6">
      <w:pPr>
        <w:pStyle w:val="ListParagraph"/>
        <w:numPr>
          <w:ilvl w:val="1"/>
          <w:numId w:val="4"/>
        </w:numPr>
        <w:jc w:val="both"/>
      </w:pPr>
      <w:r>
        <w:t xml:space="preserve">National Safety and Quality Digital and Mental Health </w:t>
      </w:r>
      <w:proofErr w:type="gramStart"/>
      <w:r>
        <w:t>Standards;</w:t>
      </w:r>
      <w:proofErr w:type="gramEnd"/>
    </w:p>
    <w:p w14:paraId="0401FE37" w14:textId="77777777" w:rsidR="00D06BD0" w:rsidRPr="00900863" w:rsidRDefault="17375B62" w:rsidP="006D22F6">
      <w:pPr>
        <w:pStyle w:val="ListParagraph"/>
        <w:numPr>
          <w:ilvl w:val="1"/>
          <w:numId w:val="4"/>
        </w:numPr>
        <w:jc w:val="both"/>
      </w:pPr>
      <w:r>
        <w:t xml:space="preserve">National Mental Health Workforce </w:t>
      </w:r>
      <w:proofErr w:type="gramStart"/>
      <w:r>
        <w:t>Strategy;</w:t>
      </w:r>
      <w:proofErr w:type="gramEnd"/>
    </w:p>
    <w:p w14:paraId="5B8239DA" w14:textId="77777777" w:rsidR="00D06BD0" w:rsidRPr="00900863" w:rsidRDefault="17375B62" w:rsidP="006D22F6">
      <w:pPr>
        <w:pStyle w:val="ListParagraph"/>
        <w:numPr>
          <w:ilvl w:val="1"/>
          <w:numId w:val="4"/>
        </w:numPr>
        <w:jc w:val="both"/>
      </w:pPr>
      <w:r>
        <w:t xml:space="preserve">National Mental Health Services Planning </w:t>
      </w:r>
      <w:proofErr w:type="gramStart"/>
      <w:r>
        <w:t>Framework;</w:t>
      </w:r>
      <w:proofErr w:type="gramEnd"/>
    </w:p>
    <w:p w14:paraId="2DF2510A" w14:textId="77777777" w:rsidR="0092020E" w:rsidRPr="00900863" w:rsidRDefault="6B3474D9" w:rsidP="006D22F6">
      <w:pPr>
        <w:pStyle w:val="ListParagraph"/>
        <w:numPr>
          <w:ilvl w:val="1"/>
          <w:numId w:val="4"/>
        </w:numPr>
        <w:jc w:val="both"/>
      </w:pPr>
      <w:r>
        <w:t xml:space="preserve">National Children’s Mental Health and Wellbeing </w:t>
      </w:r>
      <w:proofErr w:type="gramStart"/>
      <w:r>
        <w:t>Strategy;</w:t>
      </w:r>
      <w:proofErr w:type="gramEnd"/>
    </w:p>
    <w:p w14:paraId="441BB53D" w14:textId="77777777" w:rsidR="00D06BD0" w:rsidRPr="00900863" w:rsidRDefault="17375B62" w:rsidP="006D22F6">
      <w:pPr>
        <w:pStyle w:val="ListParagraph"/>
        <w:numPr>
          <w:ilvl w:val="1"/>
          <w:numId w:val="4"/>
        </w:numPr>
        <w:jc w:val="both"/>
      </w:pPr>
      <w:r>
        <w:t xml:space="preserve">Equally Well Consensus </w:t>
      </w:r>
      <w:proofErr w:type="gramStart"/>
      <w:r>
        <w:t>Statement;</w:t>
      </w:r>
      <w:proofErr w:type="gramEnd"/>
    </w:p>
    <w:p w14:paraId="7604BF5F" w14:textId="77777777" w:rsidR="00D06BD0" w:rsidRPr="00900863" w:rsidRDefault="17375B62" w:rsidP="006D22F6">
      <w:pPr>
        <w:pStyle w:val="ListParagraph"/>
        <w:numPr>
          <w:ilvl w:val="1"/>
          <w:numId w:val="4"/>
        </w:numPr>
        <w:jc w:val="both"/>
      </w:pPr>
      <w:r>
        <w:t xml:space="preserve">National Mental Health Performance Framework </w:t>
      </w:r>
      <w:proofErr w:type="gramStart"/>
      <w:r>
        <w:t>2020;</w:t>
      </w:r>
      <w:proofErr w:type="gramEnd"/>
    </w:p>
    <w:p w14:paraId="2F2E9407" w14:textId="77777777" w:rsidR="00D06BD0" w:rsidRPr="00900863" w:rsidRDefault="17375B62" w:rsidP="006D22F6">
      <w:pPr>
        <w:pStyle w:val="ListParagraph"/>
        <w:numPr>
          <w:ilvl w:val="1"/>
          <w:numId w:val="4"/>
        </w:numPr>
        <w:jc w:val="both"/>
      </w:pPr>
      <w:r>
        <w:t xml:space="preserve">National Mental Health and Suicide Prevention Information Development Priorities, Third and future </w:t>
      </w:r>
      <w:proofErr w:type="gramStart"/>
      <w:r>
        <w:t>editions;</w:t>
      </w:r>
      <w:proofErr w:type="gramEnd"/>
    </w:p>
    <w:p w14:paraId="28F19567" w14:textId="77777777" w:rsidR="00D06BD0" w:rsidRPr="00900863" w:rsidRDefault="17375B62" w:rsidP="006D22F6">
      <w:pPr>
        <w:pStyle w:val="ListParagraph"/>
        <w:numPr>
          <w:ilvl w:val="1"/>
          <w:numId w:val="4"/>
        </w:numPr>
        <w:jc w:val="both"/>
      </w:pPr>
      <w:r>
        <w:t xml:space="preserve">Intergovernmental Agreement on Data </w:t>
      </w:r>
      <w:proofErr w:type="gramStart"/>
      <w:r>
        <w:t>Sharing;</w:t>
      </w:r>
      <w:proofErr w:type="gramEnd"/>
      <w:r w:rsidR="2CAA6F60">
        <w:t xml:space="preserve"> </w:t>
      </w:r>
    </w:p>
    <w:p w14:paraId="6DB06E69" w14:textId="23D66BE0" w:rsidR="00751E60" w:rsidRDefault="001E2178" w:rsidP="006D22F6">
      <w:pPr>
        <w:pStyle w:val="ListParagraph"/>
        <w:numPr>
          <w:ilvl w:val="1"/>
          <w:numId w:val="4"/>
        </w:numPr>
        <w:jc w:val="both"/>
      </w:pPr>
      <w:r>
        <w:t xml:space="preserve">National Agreement on Closing the </w:t>
      </w:r>
      <w:proofErr w:type="gramStart"/>
      <w:r>
        <w:t>Gap</w:t>
      </w:r>
      <w:r w:rsidR="0CFBEC9A">
        <w:t>;</w:t>
      </w:r>
      <w:proofErr w:type="gramEnd"/>
    </w:p>
    <w:p w14:paraId="24F28046" w14:textId="23EF18C9" w:rsidR="0000019D" w:rsidRDefault="0000019D" w:rsidP="006D22F6">
      <w:pPr>
        <w:pStyle w:val="ListParagraph"/>
        <w:numPr>
          <w:ilvl w:val="1"/>
          <w:numId w:val="4"/>
        </w:numPr>
        <w:jc w:val="both"/>
      </w:pPr>
      <w:r>
        <w:t>National Medical Workforce Strategy</w:t>
      </w:r>
      <w:r w:rsidR="00BD242F">
        <w:t xml:space="preserve"> </w:t>
      </w:r>
      <w:proofErr w:type="gramStart"/>
      <w:r w:rsidR="00BD242F">
        <w:t>2021-2031</w:t>
      </w:r>
      <w:r>
        <w:t>;</w:t>
      </w:r>
      <w:proofErr w:type="gramEnd"/>
    </w:p>
    <w:p w14:paraId="5277DC6F" w14:textId="1110A237" w:rsidR="00D31737" w:rsidRPr="00900863" w:rsidRDefault="0000019D" w:rsidP="006D22F6">
      <w:pPr>
        <w:pStyle w:val="ListParagraph"/>
        <w:numPr>
          <w:ilvl w:val="1"/>
          <w:numId w:val="4"/>
        </w:numPr>
        <w:jc w:val="both"/>
      </w:pPr>
      <w:r>
        <w:t xml:space="preserve">The National Aboriginal and Torres Strait Islander Mental Health Workforce Strategic Framework and Implementation Plan </w:t>
      </w:r>
      <w:proofErr w:type="gramStart"/>
      <w:r>
        <w:t>2021-2031</w:t>
      </w:r>
      <w:r w:rsidR="00DF7206">
        <w:t>;</w:t>
      </w:r>
      <w:proofErr w:type="gramEnd"/>
      <w:r>
        <w:t xml:space="preserve"> </w:t>
      </w:r>
    </w:p>
    <w:p w14:paraId="193DD0D8" w14:textId="277C4DDB" w:rsidR="001B3DDA" w:rsidRDefault="001B3DDA" w:rsidP="006D22F6">
      <w:pPr>
        <w:pStyle w:val="ListParagraph"/>
        <w:numPr>
          <w:ilvl w:val="1"/>
          <w:numId w:val="4"/>
        </w:numPr>
        <w:jc w:val="both"/>
      </w:pPr>
      <w:r>
        <w:t xml:space="preserve">Victorian Suicide Prevention Framework </w:t>
      </w:r>
      <w:proofErr w:type="gramStart"/>
      <w:r>
        <w:t>2016-2025</w:t>
      </w:r>
      <w:r w:rsidR="00DF7206">
        <w:t>;</w:t>
      </w:r>
      <w:proofErr w:type="gramEnd"/>
    </w:p>
    <w:p w14:paraId="3CF7247C" w14:textId="4C2A7155" w:rsidR="00AF5457" w:rsidRPr="00900863" w:rsidRDefault="00AF5457" w:rsidP="006D22F6">
      <w:pPr>
        <w:pStyle w:val="ListParagraph"/>
        <w:numPr>
          <w:ilvl w:val="1"/>
          <w:numId w:val="4"/>
        </w:numPr>
        <w:jc w:val="both"/>
      </w:pPr>
      <w:r>
        <w:t xml:space="preserve">Victorian Mental Health and Wellbeing Workforce </w:t>
      </w:r>
      <w:r w:rsidR="0088009F">
        <w:t>Strategy</w:t>
      </w:r>
      <w:r w:rsidR="00465B64">
        <w:t>;</w:t>
      </w:r>
      <w:r w:rsidR="008E01B2">
        <w:t xml:space="preserve"> and</w:t>
      </w:r>
    </w:p>
    <w:p w14:paraId="5B5066BD" w14:textId="1FB7BBAD" w:rsidR="00D31737" w:rsidRPr="00900863" w:rsidRDefault="2CAA6F60" w:rsidP="006D22F6">
      <w:pPr>
        <w:pStyle w:val="ListParagraph"/>
        <w:numPr>
          <w:ilvl w:val="1"/>
          <w:numId w:val="4"/>
        </w:numPr>
        <w:jc w:val="both"/>
      </w:pPr>
      <w:r w:rsidRPr="54CB3774">
        <w:rPr>
          <w:i/>
          <w:iCs/>
        </w:rPr>
        <w:t xml:space="preserve">Mental Health </w:t>
      </w:r>
      <w:r w:rsidR="68DDA11E" w:rsidRPr="54CB3774">
        <w:rPr>
          <w:i/>
          <w:iCs/>
        </w:rPr>
        <w:t xml:space="preserve">Act </w:t>
      </w:r>
      <w:r w:rsidR="22F56E0A" w:rsidRPr="54CB3774">
        <w:rPr>
          <w:i/>
          <w:iCs/>
        </w:rPr>
        <w:t>201</w:t>
      </w:r>
      <w:r w:rsidR="04B18A7C" w:rsidRPr="54CB3774">
        <w:rPr>
          <w:i/>
          <w:iCs/>
        </w:rPr>
        <w:t>4</w:t>
      </w:r>
      <w:r w:rsidR="22F56E0A">
        <w:t xml:space="preserve"> </w:t>
      </w:r>
      <w:r w:rsidR="22F56E0A" w:rsidRPr="000F184B">
        <w:t>(</w:t>
      </w:r>
      <w:r w:rsidR="6777DF03" w:rsidRPr="000F184B">
        <w:t>Victoria</w:t>
      </w:r>
      <w:r w:rsidR="22F56E0A" w:rsidRPr="000F184B">
        <w:t>)</w:t>
      </w:r>
      <w:r w:rsidR="2957AF66">
        <w:t xml:space="preserve"> and other relevant state-based legislation</w:t>
      </w:r>
      <w:r>
        <w:t>.</w:t>
      </w:r>
    </w:p>
    <w:p w14:paraId="36824763" w14:textId="77777777" w:rsidR="00D06BD0" w:rsidRPr="00900863" w:rsidRDefault="00D06BD0" w:rsidP="008B047F">
      <w:pPr>
        <w:pStyle w:val="Heading1"/>
        <w:jc w:val="both"/>
      </w:pPr>
      <w:r w:rsidRPr="00900863">
        <w:t>Whole of Government</w:t>
      </w:r>
    </w:p>
    <w:p w14:paraId="3EF97BEE" w14:textId="0F2DCAE0" w:rsidR="00D06BD0" w:rsidRPr="00900863" w:rsidRDefault="00D06BD0" w:rsidP="006D22F6">
      <w:pPr>
        <w:pStyle w:val="ListParagraph"/>
        <w:numPr>
          <w:ilvl w:val="0"/>
          <w:numId w:val="4"/>
        </w:numPr>
        <w:jc w:val="both"/>
      </w:pPr>
      <w:r w:rsidRPr="00900863">
        <w:t xml:space="preserve">The Parties </w:t>
      </w:r>
      <w:proofErr w:type="spellStart"/>
      <w:r w:rsidRPr="00900863">
        <w:t>recognise</w:t>
      </w:r>
      <w:proofErr w:type="spellEnd"/>
      <w:r w:rsidRPr="00900863">
        <w:t xml:space="preserve"> that the enablers of mental health </w:t>
      </w:r>
      <w:r w:rsidR="00917CE8">
        <w:t xml:space="preserve">and suicide prevention </w:t>
      </w:r>
      <w:r w:rsidRPr="00900863">
        <w:t xml:space="preserve">reform are beyond the influence of the health system alone and span all aspects of where people live, work, learn and </w:t>
      </w:r>
      <w:proofErr w:type="spellStart"/>
      <w:r w:rsidRPr="00900863">
        <w:t>socialise</w:t>
      </w:r>
      <w:proofErr w:type="spellEnd"/>
      <w:r w:rsidRPr="00900863">
        <w:t>. The Parties commit to engaging with other portfolios where required to progress the initiatives and activities under this Schedule.</w:t>
      </w:r>
    </w:p>
    <w:p w14:paraId="04142092" w14:textId="77777777" w:rsidR="00D06BD0" w:rsidRPr="00900863" w:rsidRDefault="00D06BD0" w:rsidP="008B047F">
      <w:pPr>
        <w:pStyle w:val="Heading1"/>
        <w:jc w:val="both"/>
      </w:pPr>
      <w:r w:rsidRPr="00900863">
        <w:t>Governance</w:t>
      </w:r>
    </w:p>
    <w:p w14:paraId="133242FB" w14:textId="6D547C6A" w:rsidR="00D06BD0" w:rsidRPr="0088627F" w:rsidRDefault="00D06BD0" w:rsidP="006D22F6">
      <w:pPr>
        <w:pStyle w:val="ListParagraph"/>
        <w:numPr>
          <w:ilvl w:val="0"/>
          <w:numId w:val="4"/>
        </w:numPr>
        <w:jc w:val="both"/>
      </w:pPr>
      <w:r>
        <w:t>The Commonwealth Department of Health</w:t>
      </w:r>
      <w:r w:rsidR="00E32052">
        <w:t>, Disability and Aging</w:t>
      </w:r>
      <w:r>
        <w:t xml:space="preserve"> will be responsible for ongoing administration of this </w:t>
      </w:r>
      <w:r w:rsidR="002E0E98">
        <w:t>Schedule</w:t>
      </w:r>
      <w:r>
        <w:t>.</w:t>
      </w:r>
    </w:p>
    <w:p w14:paraId="0A4044AB" w14:textId="458E4DDA" w:rsidR="00D06BD0" w:rsidRPr="0088627F" w:rsidRDefault="00D06BD0" w:rsidP="006D22F6">
      <w:pPr>
        <w:pStyle w:val="ListParagraph"/>
        <w:numPr>
          <w:ilvl w:val="0"/>
          <w:numId w:val="4"/>
        </w:numPr>
        <w:jc w:val="both"/>
      </w:pPr>
      <w:r>
        <w:t xml:space="preserve">Commonwealth and state Ministers with portfolio responsibility for Mental Health are </w:t>
      </w:r>
      <w:proofErr w:type="spellStart"/>
      <w:r>
        <w:t>authorised</w:t>
      </w:r>
      <w:proofErr w:type="spellEnd"/>
      <w:r>
        <w:t xml:space="preserve"> to agree and amend this Schedule.</w:t>
      </w:r>
      <w:r w:rsidR="008E01B2" w:rsidRPr="55AF55D6">
        <w:rPr>
          <w:rFonts w:cstheme="minorBidi"/>
        </w:rPr>
        <w:t xml:space="preserve"> If planned amendments may change the nature of this Schedule or involve significant changes to its associated funding, the Parties agree to notify CFFR prior to </w:t>
      </w:r>
      <w:proofErr w:type="spellStart"/>
      <w:r w:rsidR="008E01B2" w:rsidRPr="55AF55D6">
        <w:rPr>
          <w:rFonts w:cstheme="minorBidi"/>
        </w:rPr>
        <w:t>finalising</w:t>
      </w:r>
      <w:proofErr w:type="spellEnd"/>
      <w:r w:rsidR="008E01B2" w:rsidRPr="55AF55D6">
        <w:rPr>
          <w:rFonts w:cstheme="minorBidi"/>
        </w:rPr>
        <w:t xml:space="preserve"> these amendments and comply with any advice provided.</w:t>
      </w:r>
    </w:p>
    <w:p w14:paraId="5E971169" w14:textId="67676EF2" w:rsidR="00D06BD0" w:rsidRPr="001C6787" w:rsidRDefault="00D06BD0" w:rsidP="006D22F6">
      <w:pPr>
        <w:pStyle w:val="ListParagraph"/>
        <w:numPr>
          <w:ilvl w:val="0"/>
          <w:numId w:val="4"/>
        </w:numPr>
        <w:jc w:val="both"/>
      </w:pPr>
      <w:r>
        <w:t xml:space="preserve">The Parties will nominate senior officials from their respective jurisdictions to monitor implementation of this </w:t>
      </w:r>
      <w:r w:rsidR="002E0E98">
        <w:t>Schedule</w:t>
      </w:r>
      <w:r>
        <w:t xml:space="preserve">. </w:t>
      </w:r>
      <w:r w:rsidR="008A02AD">
        <w:t xml:space="preserve">Where key risks and implementation issues cannot be resolved by senior officials, they will report to the Commonwealth and </w:t>
      </w:r>
      <w:r w:rsidR="00040A97">
        <w:t>Victoria</w:t>
      </w:r>
      <w:r w:rsidR="008A02AD">
        <w:t xml:space="preserve"> Health Chief Executives for </w:t>
      </w:r>
      <w:proofErr w:type="gramStart"/>
      <w:r w:rsidR="008A02AD">
        <w:t>resolution</w:t>
      </w:r>
      <w:proofErr w:type="gramEnd"/>
      <w:r w:rsidR="008A02AD">
        <w:t xml:space="preserve">. </w:t>
      </w:r>
      <w:r>
        <w:t>Health Chief Executives will report to Health Ministers on implementation and key risks as required.</w:t>
      </w:r>
    </w:p>
    <w:p w14:paraId="6483D94F" w14:textId="77777777" w:rsidR="00D06BD0" w:rsidRPr="001C6787" w:rsidRDefault="00D06BD0" w:rsidP="006D22F6">
      <w:pPr>
        <w:pStyle w:val="ListParagraph"/>
        <w:numPr>
          <w:ilvl w:val="0"/>
          <w:numId w:val="4"/>
        </w:numPr>
        <w:jc w:val="both"/>
      </w:pPr>
      <w:r>
        <w:t>The Parties commit to a consultative approach throughout the life of the Schedule and, where required, will seek advice from people with lived experience, other experts, and community and working groups on matters of service design, planning, implementation, evaluation, data and governance.</w:t>
      </w:r>
    </w:p>
    <w:p w14:paraId="3134A8AE" w14:textId="77777777" w:rsidR="00B42803" w:rsidRPr="00900863" w:rsidRDefault="00B42803" w:rsidP="008B047F">
      <w:pPr>
        <w:pStyle w:val="Heading1"/>
        <w:jc w:val="both"/>
      </w:pPr>
      <w:r w:rsidRPr="00900863">
        <w:t>Financial Contributions</w:t>
      </w:r>
    </w:p>
    <w:p w14:paraId="4C37F427" w14:textId="77777777" w:rsidR="00B42803" w:rsidRPr="00900863" w:rsidRDefault="00B42803" w:rsidP="006D22F6">
      <w:pPr>
        <w:pStyle w:val="ListParagraph"/>
        <w:numPr>
          <w:ilvl w:val="0"/>
          <w:numId w:val="4"/>
        </w:numPr>
        <w:jc w:val="both"/>
      </w:pPr>
      <w:r w:rsidRPr="00900863">
        <w:t xml:space="preserve">The Parties agree to </w:t>
      </w:r>
      <w:r w:rsidR="00963A2C" w:rsidRPr="00900863">
        <w:t xml:space="preserve">fund </w:t>
      </w:r>
      <w:r w:rsidRPr="00900863">
        <w:t xml:space="preserve">delivery of initiatives in this </w:t>
      </w:r>
      <w:r w:rsidR="002E0E98" w:rsidRPr="00900863">
        <w:t>Schedule</w:t>
      </w:r>
      <w:r w:rsidRPr="00900863">
        <w:t xml:space="preserve"> as outlined in </w:t>
      </w:r>
      <w:r w:rsidRPr="007E145B">
        <w:t>Annex A.</w:t>
      </w:r>
      <w:r w:rsidRPr="00900863">
        <w:t xml:space="preserve"> </w:t>
      </w:r>
    </w:p>
    <w:p w14:paraId="199E46F3" w14:textId="77777777" w:rsidR="00A82AA7" w:rsidRPr="00900863" w:rsidRDefault="00A82AA7" w:rsidP="006D22F6">
      <w:pPr>
        <w:pStyle w:val="Normalnumbered"/>
        <w:numPr>
          <w:ilvl w:val="0"/>
          <w:numId w:val="4"/>
        </w:numPr>
        <w:spacing w:line="240" w:lineRule="auto"/>
        <w:rPr>
          <w:rFonts w:asciiTheme="minorHAnsi" w:hAnsiTheme="minorHAnsi"/>
          <w:color w:val="auto"/>
          <w:sz w:val="22"/>
          <w:szCs w:val="22"/>
          <w:lang w:val="en-US"/>
        </w:rPr>
      </w:pPr>
      <w:r w:rsidRPr="37601358">
        <w:rPr>
          <w:rFonts w:asciiTheme="minorHAnsi" w:hAnsiTheme="minorHAnsi"/>
          <w:color w:val="auto"/>
          <w:sz w:val="22"/>
          <w:szCs w:val="22"/>
          <w:lang w:val="en-US"/>
        </w:rPr>
        <w:lastRenderedPageBreak/>
        <w:t xml:space="preserve">In line with the provisions at A9 and A10 of the NHRA, the Commonwealth will not fund patient services through the NHRA if the same service, or any part of the same service, is funded through this </w:t>
      </w:r>
      <w:r w:rsidR="005F68E6" w:rsidRPr="37601358">
        <w:rPr>
          <w:rFonts w:asciiTheme="minorHAnsi" w:hAnsiTheme="minorHAnsi"/>
          <w:color w:val="auto"/>
          <w:sz w:val="22"/>
          <w:szCs w:val="22"/>
          <w:lang w:val="en-US"/>
        </w:rPr>
        <w:t xml:space="preserve">Schedule </w:t>
      </w:r>
      <w:r w:rsidRPr="37601358">
        <w:rPr>
          <w:rFonts w:asciiTheme="minorHAnsi" w:hAnsiTheme="minorHAnsi"/>
          <w:color w:val="auto"/>
          <w:sz w:val="22"/>
          <w:szCs w:val="22"/>
          <w:lang w:val="en-US"/>
        </w:rPr>
        <w:t xml:space="preserve">or any other Commonwealth program except as specifically exempt.  </w:t>
      </w:r>
    </w:p>
    <w:p w14:paraId="68149664" w14:textId="77777777" w:rsidR="00A82AA7" w:rsidRPr="00900863" w:rsidRDefault="00A82AA7" w:rsidP="006D22F6">
      <w:pPr>
        <w:pStyle w:val="ListParagraph"/>
        <w:numPr>
          <w:ilvl w:val="0"/>
          <w:numId w:val="4"/>
        </w:numPr>
        <w:jc w:val="both"/>
      </w:pPr>
      <w:r w:rsidRPr="00900863">
        <w:t xml:space="preserve">Similarly, the Commonwealth will not fund through other Commonwealth programs any services that are funded through this </w:t>
      </w:r>
      <w:r w:rsidR="005F68E6" w:rsidRPr="00900863">
        <w:t>Schedule</w:t>
      </w:r>
      <w:r w:rsidRPr="00900863">
        <w:t>.</w:t>
      </w:r>
    </w:p>
    <w:p w14:paraId="78DA6A6B" w14:textId="77777777" w:rsidR="00D06BD0" w:rsidRPr="00900863" w:rsidRDefault="00D06BD0" w:rsidP="008B047F">
      <w:pPr>
        <w:pStyle w:val="Heading1"/>
        <w:jc w:val="both"/>
      </w:pPr>
      <w:r w:rsidRPr="00900863">
        <w:t>Data and Evaluation</w:t>
      </w:r>
    </w:p>
    <w:p w14:paraId="6E3180E1" w14:textId="77777777" w:rsidR="00D06BD0" w:rsidRPr="00900863" w:rsidRDefault="00D06BD0" w:rsidP="008B047F">
      <w:pPr>
        <w:pStyle w:val="Heading2"/>
        <w:jc w:val="both"/>
        <w:rPr>
          <w:lang w:val="en-AU"/>
        </w:rPr>
      </w:pPr>
      <w:r w:rsidRPr="00900863">
        <w:rPr>
          <w:lang w:val="en-AU"/>
        </w:rPr>
        <w:t>Data</w:t>
      </w:r>
    </w:p>
    <w:p w14:paraId="5DD8AC22" w14:textId="77777777" w:rsidR="00202F85" w:rsidRDefault="00AE1D26" w:rsidP="006D22F6">
      <w:pPr>
        <w:pStyle w:val="ListParagraph"/>
        <w:numPr>
          <w:ilvl w:val="0"/>
          <w:numId w:val="4"/>
        </w:numPr>
        <w:jc w:val="both"/>
      </w:pPr>
      <w:r>
        <w:t xml:space="preserve">In line with the activities set out in the National Agreement, </w:t>
      </w:r>
      <w:r w:rsidR="00040A97">
        <w:t>Victoria</w:t>
      </w:r>
      <w:r w:rsidR="00A10239">
        <w:t xml:space="preserve"> </w:t>
      </w:r>
      <w:r w:rsidR="00D06BD0">
        <w:t xml:space="preserve">will work with the Commonwealth and other states and territories (states) to develop a nationally consistent approach to data collection and data sharing, including data linkage, program evaluation, system evaluation and performance monitoring, including key performance indicators. </w:t>
      </w:r>
    </w:p>
    <w:p w14:paraId="570E644D" w14:textId="331593ED" w:rsidR="00961868" w:rsidRDefault="00D06BD0" w:rsidP="006D22F6">
      <w:pPr>
        <w:pStyle w:val="ListParagraph"/>
        <w:numPr>
          <w:ilvl w:val="0"/>
          <w:numId w:val="4"/>
        </w:numPr>
        <w:jc w:val="both"/>
      </w:pPr>
      <w:r w:rsidRPr="00900863">
        <w:t xml:space="preserve">For each initiative in this </w:t>
      </w:r>
      <w:r w:rsidR="002E0E98" w:rsidRPr="00900863">
        <w:t>Schedule</w:t>
      </w:r>
      <w:r w:rsidRPr="00900863">
        <w:t xml:space="preserve">, </w:t>
      </w:r>
      <w:r w:rsidR="00040A97">
        <w:t>Victoria</w:t>
      </w:r>
      <w:r w:rsidR="00A10239" w:rsidRPr="00900863">
        <w:t xml:space="preserve"> </w:t>
      </w:r>
      <w:r w:rsidRPr="00900863">
        <w:t xml:space="preserve">and the Commonwealth will agree, </w:t>
      </w:r>
      <w:r w:rsidRPr="00805D6E">
        <w:t>within 6 months</w:t>
      </w:r>
      <w:r w:rsidRPr="00900863">
        <w:t>, the minimum data specifications and reporting process to monitor service activity</w:t>
      </w:r>
      <w:r w:rsidR="0000019D">
        <w:t xml:space="preserve"> and achieve optimal workforce planning at the regional level</w:t>
      </w:r>
      <w:r w:rsidRPr="00900863">
        <w:t xml:space="preserve">. Where appropriate, data collection will use the commissioning </w:t>
      </w:r>
      <w:proofErr w:type="spellStart"/>
      <w:r w:rsidRPr="00900863">
        <w:t>organisation’s</w:t>
      </w:r>
      <w:proofErr w:type="spellEnd"/>
      <w:r w:rsidRPr="00900863">
        <w:t xml:space="preserve"> existing data collection and reporting processes. </w:t>
      </w:r>
    </w:p>
    <w:p w14:paraId="2AC5D69C" w14:textId="77777777" w:rsidR="00961868" w:rsidRDefault="00D06BD0" w:rsidP="006D22F6">
      <w:pPr>
        <w:pStyle w:val="ListParagraph"/>
        <w:numPr>
          <w:ilvl w:val="0"/>
          <w:numId w:val="4"/>
        </w:numPr>
        <w:jc w:val="both"/>
      </w:pPr>
      <w:r w:rsidRPr="00900863">
        <w:t xml:space="preserve">If required, the commissioning </w:t>
      </w:r>
      <w:proofErr w:type="spellStart"/>
      <w:r w:rsidRPr="00900863">
        <w:t>organisation</w:t>
      </w:r>
      <w:proofErr w:type="spellEnd"/>
      <w:r w:rsidRPr="00900863">
        <w:t xml:space="preserve"> will be responsible for modifying processes to collect the minimum requirements and facilitating data access for both </w:t>
      </w:r>
      <w:r w:rsidR="00040A97">
        <w:t>Victoria</w:t>
      </w:r>
      <w:r w:rsidR="00A10239" w:rsidRPr="00900863">
        <w:t xml:space="preserve"> </w:t>
      </w:r>
      <w:r w:rsidRPr="00900863">
        <w:t xml:space="preserve">and the Commonwealth in a timely manner (at least quarterly). </w:t>
      </w:r>
    </w:p>
    <w:p w14:paraId="268EC762" w14:textId="77777777" w:rsidR="00961868" w:rsidRDefault="00D06BD0" w:rsidP="006D22F6">
      <w:pPr>
        <w:pStyle w:val="ListParagraph"/>
        <w:numPr>
          <w:ilvl w:val="0"/>
          <w:numId w:val="4"/>
        </w:numPr>
        <w:jc w:val="both"/>
      </w:pPr>
      <w:r w:rsidRPr="00900863">
        <w:t>Data collection and reporting processes will transition to nationally agreed approaches as part of the National Agreement.</w:t>
      </w:r>
      <w:r w:rsidR="00CC0B65">
        <w:t xml:space="preserve"> </w:t>
      </w:r>
    </w:p>
    <w:p w14:paraId="7B2F649B" w14:textId="02C6FAC3" w:rsidR="00D06BD0" w:rsidRPr="00900863" w:rsidRDefault="00CC0B65" w:rsidP="006D22F6">
      <w:pPr>
        <w:pStyle w:val="ListParagraph"/>
        <w:numPr>
          <w:ilvl w:val="0"/>
          <w:numId w:val="4"/>
        </w:numPr>
        <w:jc w:val="both"/>
      </w:pPr>
      <w:r>
        <w:t xml:space="preserve">When designing the reporting arrangements for new services, Victoria and the Commonwealth will </w:t>
      </w:r>
      <w:r>
        <w:rPr>
          <w:rFonts w:ascii="Calibri" w:hAnsi="Calibri" w:cs="Calibri"/>
        </w:rPr>
        <w:t>collaborate to d</w:t>
      </w:r>
      <w:r w:rsidRPr="000A4736">
        <w:rPr>
          <w:rFonts w:ascii="Calibri" w:hAnsi="Calibri" w:cs="Calibri"/>
        </w:rPr>
        <w:t>evelop</w:t>
      </w:r>
      <w:r>
        <w:rPr>
          <w:rFonts w:ascii="Calibri" w:hAnsi="Calibri" w:cs="Calibri"/>
        </w:rPr>
        <w:t xml:space="preserve"> a single suite of service-level KPIs and outcome measures to streamline reporting and reduce data collection burden on consumers accessing health services.</w:t>
      </w:r>
    </w:p>
    <w:p w14:paraId="6433793B" w14:textId="77777777" w:rsidR="00D06BD0" w:rsidRPr="00900863" w:rsidRDefault="00D06BD0" w:rsidP="008B047F">
      <w:pPr>
        <w:pStyle w:val="Heading2"/>
        <w:jc w:val="both"/>
      </w:pPr>
      <w:r w:rsidRPr="00900863">
        <w:t xml:space="preserve">Evaluation </w:t>
      </w:r>
    </w:p>
    <w:p w14:paraId="25BEAE11" w14:textId="07115CEF" w:rsidR="00D06BD0" w:rsidRPr="00900863" w:rsidRDefault="00691951" w:rsidP="006D22F6">
      <w:pPr>
        <w:pStyle w:val="ListParagraph"/>
        <w:numPr>
          <w:ilvl w:val="0"/>
          <w:numId w:val="4"/>
        </w:numPr>
        <w:jc w:val="both"/>
      </w:pPr>
      <w:r>
        <w:t xml:space="preserve">The Commonwealth and </w:t>
      </w:r>
      <w:r w:rsidR="00040A97">
        <w:t>Victoria</w:t>
      </w:r>
      <w:r w:rsidR="00A10239">
        <w:t xml:space="preserve"> </w:t>
      </w:r>
      <w:r w:rsidR="00D06BD0" w:rsidRPr="00900863">
        <w:t xml:space="preserve">will ensure funders and commissioners require programs and services funded through this </w:t>
      </w:r>
      <w:r w:rsidR="002E0E98" w:rsidRPr="00900863">
        <w:t>Schedule</w:t>
      </w:r>
      <w:r w:rsidR="00D06BD0" w:rsidRPr="00900863">
        <w:t xml:space="preserve"> </w:t>
      </w:r>
      <w:r w:rsidR="00402C61">
        <w:t>to be</w:t>
      </w:r>
      <w:r w:rsidR="00402C61" w:rsidRPr="00900863">
        <w:t xml:space="preserve"> </w:t>
      </w:r>
      <w:r w:rsidR="00D06BD0" w:rsidRPr="00900863">
        <w:t>evaluated. These evaluations will be conducted in accordance with the National Agreement.</w:t>
      </w:r>
    </w:p>
    <w:p w14:paraId="1F288FA7" w14:textId="77777777" w:rsidR="00045F7E" w:rsidRPr="00900863" w:rsidRDefault="00045F7E" w:rsidP="008B047F">
      <w:pPr>
        <w:pStyle w:val="Heading1"/>
        <w:jc w:val="both"/>
      </w:pPr>
      <w:r w:rsidRPr="00900863">
        <w:t>Initiatives for Collaboration</w:t>
      </w:r>
    </w:p>
    <w:p w14:paraId="721BCC76" w14:textId="77777777" w:rsidR="00677A8E" w:rsidRPr="00900863" w:rsidRDefault="00677A8E" w:rsidP="006D22F6">
      <w:pPr>
        <w:pStyle w:val="ListParagraph"/>
        <w:numPr>
          <w:ilvl w:val="0"/>
          <w:numId w:val="4"/>
        </w:numPr>
        <w:jc w:val="both"/>
      </w:pPr>
      <w:r w:rsidRPr="00900863">
        <w:t>The Parties agree on their shared objective to work collaboratively together to implement systemic reforms that:</w:t>
      </w:r>
    </w:p>
    <w:p w14:paraId="2F7FC00E" w14:textId="10049BCF" w:rsidR="00677A8E" w:rsidRPr="00900863" w:rsidRDefault="00677A8E" w:rsidP="006D22F6">
      <w:pPr>
        <w:pStyle w:val="ListParagraph"/>
        <w:numPr>
          <w:ilvl w:val="1"/>
          <w:numId w:val="4"/>
        </w:numPr>
        <w:jc w:val="both"/>
      </w:pPr>
      <w:r w:rsidRPr="00900863">
        <w:t xml:space="preserve">address gaps in the mental health and suicide prevention </w:t>
      </w:r>
      <w:proofErr w:type="gramStart"/>
      <w:r w:rsidRPr="00900863">
        <w:t>system</w:t>
      </w:r>
      <w:r w:rsidR="00F30D76">
        <w:t>;</w:t>
      </w:r>
      <w:proofErr w:type="gramEnd"/>
    </w:p>
    <w:p w14:paraId="52F7B639" w14:textId="1BDA1FCE" w:rsidR="00677A8E" w:rsidRPr="00900863" w:rsidRDefault="00677A8E" w:rsidP="006D22F6">
      <w:pPr>
        <w:pStyle w:val="ListParagraph"/>
        <w:numPr>
          <w:ilvl w:val="1"/>
          <w:numId w:val="4"/>
        </w:numPr>
        <w:jc w:val="both"/>
      </w:pPr>
      <w:r w:rsidRPr="00900863">
        <w:t xml:space="preserve">improve mental health outcomes for all people in </w:t>
      </w:r>
      <w:proofErr w:type="gramStart"/>
      <w:r w:rsidR="00040A97">
        <w:t>Victoria</w:t>
      </w:r>
      <w:r w:rsidR="00F30D76">
        <w:t>;</w:t>
      </w:r>
      <w:proofErr w:type="gramEnd"/>
    </w:p>
    <w:p w14:paraId="04167A15" w14:textId="045E9498" w:rsidR="00677A8E" w:rsidRPr="00900863" w:rsidRDefault="00677A8E" w:rsidP="006D22F6">
      <w:pPr>
        <w:pStyle w:val="ListParagraph"/>
        <w:numPr>
          <w:ilvl w:val="1"/>
          <w:numId w:val="4"/>
        </w:numPr>
        <w:jc w:val="both"/>
      </w:pPr>
      <w:r w:rsidRPr="00900863">
        <w:t xml:space="preserve">prevent and reduce suicidal </w:t>
      </w:r>
      <w:proofErr w:type="spellStart"/>
      <w:proofErr w:type="gramStart"/>
      <w:r w:rsidRPr="00900863">
        <w:t>behaviour</w:t>
      </w:r>
      <w:proofErr w:type="spellEnd"/>
      <w:r w:rsidR="00F30D76">
        <w:t>;</w:t>
      </w:r>
      <w:proofErr w:type="gramEnd"/>
      <w:r w:rsidRPr="00900863">
        <w:t xml:space="preserve"> </w:t>
      </w:r>
    </w:p>
    <w:p w14:paraId="6D563525" w14:textId="697BFB06" w:rsidR="00677A8E" w:rsidRDefault="00677A8E" w:rsidP="006D22F6">
      <w:pPr>
        <w:pStyle w:val="ListParagraph"/>
        <w:numPr>
          <w:ilvl w:val="1"/>
          <w:numId w:val="4"/>
        </w:numPr>
        <w:jc w:val="both"/>
      </w:pPr>
      <w:r w:rsidRPr="00900863">
        <w:t>deliver a mental health and suicide prevention system that is comprehensive, coordinated, consumer-focused and compassionate</w:t>
      </w:r>
      <w:r w:rsidR="00465B64">
        <w:t>;</w:t>
      </w:r>
      <w:r w:rsidR="0000019D">
        <w:t xml:space="preserve"> and</w:t>
      </w:r>
    </w:p>
    <w:p w14:paraId="404F3E0D" w14:textId="5459F8C2" w:rsidR="0000019D" w:rsidRPr="00900863" w:rsidRDefault="00465B64" w:rsidP="006D22F6">
      <w:pPr>
        <w:pStyle w:val="ListParagraph"/>
        <w:numPr>
          <w:ilvl w:val="1"/>
          <w:numId w:val="4"/>
        </w:numPr>
        <w:jc w:val="both"/>
      </w:pPr>
      <w:r>
        <w:t>g</w:t>
      </w:r>
      <w:r w:rsidR="0000019D">
        <w:t xml:space="preserve">row, upskill and </w:t>
      </w:r>
      <w:proofErr w:type="spellStart"/>
      <w:r w:rsidR="0000019D">
        <w:t>optimise</w:t>
      </w:r>
      <w:proofErr w:type="spellEnd"/>
      <w:r w:rsidR="0000019D">
        <w:t xml:space="preserve"> the use of the mental health and suicide prevention workforce. </w:t>
      </w:r>
    </w:p>
    <w:p w14:paraId="1F41AB27" w14:textId="77777777" w:rsidR="00677A8E" w:rsidRPr="00900863" w:rsidRDefault="00677A8E" w:rsidP="006D22F6">
      <w:pPr>
        <w:pStyle w:val="ListParagraph"/>
        <w:numPr>
          <w:ilvl w:val="0"/>
          <w:numId w:val="4"/>
        </w:numPr>
        <w:jc w:val="both"/>
      </w:pPr>
      <w:r w:rsidRPr="00900863">
        <w:t>As a priority in the first instance, the Parties agree to work together on key initiatives as described below.</w:t>
      </w:r>
    </w:p>
    <w:p w14:paraId="354FC16C" w14:textId="20EFF714" w:rsidR="006420EB" w:rsidRPr="00900863" w:rsidRDefault="004773B9" w:rsidP="008B047F">
      <w:pPr>
        <w:pStyle w:val="Heading2"/>
        <w:jc w:val="both"/>
      </w:pPr>
      <w:bookmarkStart w:id="6" w:name="_Hlk92875488"/>
      <w:bookmarkStart w:id="7" w:name="_Hlk87017943"/>
      <w:r>
        <w:t>New c</w:t>
      </w:r>
      <w:r w:rsidR="00E90F45" w:rsidRPr="00E90F45">
        <w:t xml:space="preserve">ommunity-based mental health </w:t>
      </w:r>
      <w:r>
        <w:t>and wellbeing</w:t>
      </w:r>
      <w:r w:rsidR="0096045E">
        <w:t xml:space="preserve"> services</w:t>
      </w:r>
      <w:r w:rsidR="00E90F45" w:rsidRPr="00E90F45">
        <w:t xml:space="preserve"> </w:t>
      </w:r>
      <w:r w:rsidR="0096045E">
        <w:t xml:space="preserve">for adults </w:t>
      </w:r>
      <w:bookmarkEnd w:id="6"/>
    </w:p>
    <w:p w14:paraId="4FBC264C" w14:textId="600E7859" w:rsidR="00DF1E37" w:rsidRPr="00900863" w:rsidRDefault="006420EB" w:rsidP="006D22F6">
      <w:pPr>
        <w:pStyle w:val="ListParagraph"/>
        <w:numPr>
          <w:ilvl w:val="0"/>
          <w:numId w:val="4"/>
        </w:numPr>
        <w:jc w:val="both"/>
        <w:rPr>
          <w:rFonts w:ascii="Calibri" w:hAnsi="Calibri" w:cs="Calibri"/>
        </w:rPr>
      </w:pPr>
      <w:r w:rsidRPr="00900863">
        <w:rPr>
          <w:rFonts w:ascii="Calibri" w:hAnsi="Calibri" w:cs="Calibri"/>
        </w:rPr>
        <w:t xml:space="preserve">The </w:t>
      </w:r>
      <w:r w:rsidR="00DF1E37" w:rsidRPr="00900863">
        <w:rPr>
          <w:rFonts w:ascii="Calibri" w:hAnsi="Calibri" w:cs="Calibri"/>
        </w:rPr>
        <w:t xml:space="preserve">Commonwealth and </w:t>
      </w:r>
      <w:r w:rsidR="00040A97">
        <w:rPr>
          <w:rFonts w:ascii="Calibri" w:hAnsi="Calibri" w:cs="Calibri"/>
        </w:rPr>
        <w:t>Victoria</w:t>
      </w:r>
      <w:r w:rsidR="00A10239" w:rsidRPr="00900863">
        <w:rPr>
          <w:rFonts w:ascii="Calibri" w:hAnsi="Calibri" w:cs="Calibri"/>
        </w:rPr>
        <w:t xml:space="preserve"> </w:t>
      </w:r>
      <w:r w:rsidR="00DF1E37" w:rsidRPr="00900863">
        <w:rPr>
          <w:rFonts w:ascii="Calibri" w:hAnsi="Calibri" w:cs="Calibri"/>
        </w:rPr>
        <w:t xml:space="preserve">agree to work collaboratively with the shared objective to address gaps in the mental health </w:t>
      </w:r>
      <w:r w:rsidR="004D09D9">
        <w:rPr>
          <w:rFonts w:ascii="Calibri" w:hAnsi="Calibri" w:cs="Calibri"/>
        </w:rPr>
        <w:t>and suicide prevention system</w:t>
      </w:r>
      <w:r w:rsidR="00DF1E37" w:rsidRPr="00900863">
        <w:rPr>
          <w:rFonts w:ascii="Calibri" w:hAnsi="Calibri" w:cs="Calibri"/>
        </w:rPr>
        <w:t xml:space="preserve"> and provide more integrated, seamless mental health care for adults and older adults</w:t>
      </w:r>
      <w:r w:rsidR="00694C84">
        <w:rPr>
          <w:rFonts w:ascii="Calibri" w:hAnsi="Calibri" w:cs="Calibri"/>
        </w:rPr>
        <w:t>.</w:t>
      </w:r>
    </w:p>
    <w:p w14:paraId="3120EB3F" w14:textId="2E59F913" w:rsidR="00961868" w:rsidRDefault="00C47193" w:rsidP="006D22F6">
      <w:pPr>
        <w:pStyle w:val="ListParagraph"/>
        <w:numPr>
          <w:ilvl w:val="0"/>
          <w:numId w:val="4"/>
        </w:numPr>
        <w:jc w:val="both"/>
        <w:rPr>
          <w:rFonts w:ascii="Calibri" w:hAnsi="Calibri" w:cs="Calibri"/>
        </w:rPr>
      </w:pPr>
      <w:r w:rsidRPr="2C9DB2A3">
        <w:rPr>
          <w:rFonts w:ascii="Calibri" w:hAnsi="Calibri" w:cs="Calibri"/>
        </w:rPr>
        <w:t xml:space="preserve">Over the course of the </w:t>
      </w:r>
      <w:r w:rsidR="00992E06" w:rsidRPr="2C9DB2A3">
        <w:rPr>
          <w:rFonts w:ascii="Calibri" w:hAnsi="Calibri" w:cs="Calibri"/>
        </w:rPr>
        <w:t>Schedule</w:t>
      </w:r>
      <w:r w:rsidRPr="2C9DB2A3">
        <w:rPr>
          <w:rFonts w:ascii="Calibri" w:hAnsi="Calibri" w:cs="Calibri"/>
        </w:rPr>
        <w:t xml:space="preserve">, </w:t>
      </w:r>
      <w:r w:rsidR="005F2E47" w:rsidRPr="2C9DB2A3">
        <w:rPr>
          <w:rFonts w:ascii="Calibri" w:hAnsi="Calibri" w:cs="Calibri"/>
        </w:rPr>
        <w:t xml:space="preserve">up to </w:t>
      </w:r>
      <w:r w:rsidR="00FE034E">
        <w:rPr>
          <w:rFonts w:ascii="Calibri" w:hAnsi="Calibri" w:cs="Calibri"/>
        </w:rPr>
        <w:t>60</w:t>
      </w:r>
      <w:r w:rsidR="00975859" w:rsidRPr="2C9DB2A3">
        <w:rPr>
          <w:rFonts w:ascii="Calibri" w:hAnsi="Calibri" w:cs="Calibri"/>
        </w:rPr>
        <w:t xml:space="preserve"> </w:t>
      </w:r>
      <w:r w:rsidR="00932E87" w:rsidRPr="2C9DB2A3">
        <w:rPr>
          <w:rFonts w:ascii="Calibri" w:hAnsi="Calibri" w:cs="Calibri"/>
        </w:rPr>
        <w:t>Adult and</w:t>
      </w:r>
      <w:r w:rsidR="00981E4D" w:rsidRPr="2C9DB2A3">
        <w:rPr>
          <w:rFonts w:ascii="Calibri" w:hAnsi="Calibri" w:cs="Calibri"/>
        </w:rPr>
        <w:t xml:space="preserve"> Older Adult </w:t>
      </w:r>
      <w:r w:rsidRPr="2C9DB2A3">
        <w:rPr>
          <w:rFonts w:ascii="Calibri" w:hAnsi="Calibri" w:cs="Calibri"/>
        </w:rPr>
        <w:t>Local</w:t>
      </w:r>
      <w:r w:rsidR="00981E4D" w:rsidRPr="2C9DB2A3">
        <w:rPr>
          <w:rFonts w:ascii="Calibri" w:hAnsi="Calibri" w:cs="Calibri"/>
        </w:rPr>
        <w:t xml:space="preserve"> Mental Health and Wellbeing </w:t>
      </w:r>
      <w:r w:rsidR="00975859" w:rsidRPr="2C9DB2A3">
        <w:rPr>
          <w:rFonts w:ascii="Calibri" w:hAnsi="Calibri" w:cs="Calibri"/>
        </w:rPr>
        <w:t>S</w:t>
      </w:r>
      <w:r w:rsidR="00981E4D" w:rsidRPr="2C9DB2A3">
        <w:rPr>
          <w:rFonts w:ascii="Calibri" w:hAnsi="Calibri" w:cs="Calibri"/>
        </w:rPr>
        <w:t>ervices</w:t>
      </w:r>
      <w:r w:rsidR="00AF51C2" w:rsidRPr="2C9DB2A3">
        <w:rPr>
          <w:rFonts w:ascii="Calibri" w:hAnsi="Calibri" w:cs="Calibri"/>
        </w:rPr>
        <w:t xml:space="preserve"> </w:t>
      </w:r>
      <w:r w:rsidR="00975859" w:rsidRPr="2C9DB2A3">
        <w:rPr>
          <w:rFonts w:ascii="Calibri" w:hAnsi="Calibri" w:cs="Calibri"/>
        </w:rPr>
        <w:t xml:space="preserve">(Local Services) </w:t>
      </w:r>
      <w:r w:rsidR="00A46C84" w:rsidRPr="2C9DB2A3">
        <w:rPr>
          <w:rFonts w:ascii="Calibri" w:hAnsi="Calibri" w:cs="Calibri"/>
        </w:rPr>
        <w:t xml:space="preserve">will </w:t>
      </w:r>
      <w:r w:rsidR="001705C7" w:rsidRPr="2C9DB2A3">
        <w:rPr>
          <w:rFonts w:ascii="Calibri" w:hAnsi="Calibri" w:cs="Calibri"/>
        </w:rPr>
        <w:t xml:space="preserve">be established across Victoria </w:t>
      </w:r>
      <w:r w:rsidR="00AF51C2" w:rsidRPr="2C9DB2A3">
        <w:rPr>
          <w:rFonts w:ascii="Calibri" w:hAnsi="Calibri" w:cs="Calibri"/>
        </w:rPr>
        <w:t xml:space="preserve">and </w:t>
      </w:r>
      <w:r w:rsidR="7B5D944F" w:rsidRPr="2C9DB2A3">
        <w:rPr>
          <w:rFonts w:ascii="Calibri" w:hAnsi="Calibri" w:cs="Calibri"/>
        </w:rPr>
        <w:t>the</w:t>
      </w:r>
      <w:r w:rsidR="00975859" w:rsidRPr="2C9DB2A3">
        <w:rPr>
          <w:rFonts w:ascii="Calibri" w:hAnsi="Calibri" w:cs="Calibri"/>
        </w:rPr>
        <w:t xml:space="preserve"> </w:t>
      </w:r>
      <w:r w:rsidR="00301E5D" w:rsidRPr="2C9DB2A3">
        <w:rPr>
          <w:rFonts w:ascii="Calibri" w:hAnsi="Calibri" w:cs="Calibri"/>
        </w:rPr>
        <w:t>Medicare Mental</w:t>
      </w:r>
      <w:r w:rsidR="00AF51C2" w:rsidRPr="2C9DB2A3">
        <w:rPr>
          <w:rFonts w:ascii="Calibri" w:hAnsi="Calibri" w:cs="Calibri"/>
        </w:rPr>
        <w:t xml:space="preserve"> Health Centre</w:t>
      </w:r>
      <w:r w:rsidR="00981E4D" w:rsidRPr="2C9DB2A3">
        <w:rPr>
          <w:rFonts w:ascii="Calibri" w:hAnsi="Calibri" w:cs="Calibri"/>
        </w:rPr>
        <w:t xml:space="preserve"> </w:t>
      </w:r>
      <w:r w:rsidRPr="2C9DB2A3">
        <w:rPr>
          <w:rFonts w:ascii="Calibri" w:hAnsi="Calibri" w:cs="Calibri"/>
        </w:rPr>
        <w:t>wil</w:t>
      </w:r>
      <w:r w:rsidR="008164C9" w:rsidRPr="2C9DB2A3">
        <w:rPr>
          <w:rFonts w:ascii="Calibri" w:hAnsi="Calibri" w:cs="Calibri"/>
        </w:rPr>
        <w:t>l</w:t>
      </w:r>
      <w:r w:rsidR="001705C7" w:rsidRPr="2C9DB2A3">
        <w:rPr>
          <w:rFonts w:ascii="Calibri" w:hAnsi="Calibri" w:cs="Calibri"/>
        </w:rPr>
        <w:t xml:space="preserve"> continue to </w:t>
      </w:r>
      <w:r w:rsidR="008164C9" w:rsidRPr="2C9DB2A3">
        <w:rPr>
          <w:rFonts w:ascii="Calibri" w:hAnsi="Calibri" w:cs="Calibri"/>
        </w:rPr>
        <w:t xml:space="preserve">be </w:t>
      </w:r>
      <w:r w:rsidR="001705C7" w:rsidRPr="2C9DB2A3">
        <w:rPr>
          <w:rFonts w:ascii="Calibri" w:hAnsi="Calibri" w:cs="Calibri"/>
        </w:rPr>
        <w:t xml:space="preserve">delivered </w:t>
      </w:r>
      <w:r w:rsidR="008164C9" w:rsidRPr="2C9DB2A3">
        <w:rPr>
          <w:rFonts w:ascii="Calibri" w:hAnsi="Calibri" w:cs="Calibri"/>
        </w:rPr>
        <w:t xml:space="preserve">in Geelong </w:t>
      </w:r>
      <w:r w:rsidRPr="2C9DB2A3">
        <w:rPr>
          <w:rFonts w:ascii="Calibri" w:hAnsi="Calibri" w:cs="Calibri"/>
        </w:rPr>
        <w:t xml:space="preserve">to </w:t>
      </w:r>
      <w:r w:rsidR="001705C7" w:rsidRPr="2C9DB2A3">
        <w:rPr>
          <w:rFonts w:ascii="Calibri" w:hAnsi="Calibri" w:cs="Calibri"/>
        </w:rPr>
        <w:t xml:space="preserve">provide </w:t>
      </w:r>
      <w:r w:rsidRPr="2C9DB2A3">
        <w:rPr>
          <w:rFonts w:ascii="Calibri" w:hAnsi="Calibri" w:cs="Calibri"/>
        </w:rPr>
        <w:t>mental health care in the community</w:t>
      </w:r>
      <w:r w:rsidR="000645FB" w:rsidRPr="2C9DB2A3">
        <w:rPr>
          <w:rFonts w:ascii="Calibri" w:hAnsi="Calibri" w:cs="Calibri"/>
        </w:rPr>
        <w:t xml:space="preserve"> and to create a ‘broad front door’ so more people can access services</w:t>
      </w:r>
      <w:r w:rsidR="00071A12" w:rsidRPr="2C9DB2A3">
        <w:rPr>
          <w:rFonts w:ascii="Calibri" w:hAnsi="Calibri" w:cs="Calibri"/>
        </w:rPr>
        <w:t xml:space="preserve">. </w:t>
      </w:r>
    </w:p>
    <w:p w14:paraId="3B491E9F" w14:textId="0E9E0E6B" w:rsidR="00392D52" w:rsidRPr="0040696B" w:rsidRDefault="00071A12" w:rsidP="006D22F6">
      <w:pPr>
        <w:pStyle w:val="ListParagraph"/>
        <w:numPr>
          <w:ilvl w:val="0"/>
          <w:numId w:val="4"/>
        </w:numPr>
        <w:jc w:val="both"/>
        <w:rPr>
          <w:rFonts w:ascii="Calibri" w:hAnsi="Calibri" w:cs="Calibri"/>
        </w:rPr>
      </w:pPr>
      <w:r>
        <w:rPr>
          <w:rFonts w:ascii="Calibri" w:hAnsi="Calibri" w:cs="Calibri"/>
        </w:rPr>
        <w:t>Care will be delivered by multidisciplinary care teams, consisting of psychiatrists, general practitioners, psychologists, alcohol and other drug specialists</w:t>
      </w:r>
      <w:r w:rsidR="00056606">
        <w:rPr>
          <w:rFonts w:ascii="Calibri" w:hAnsi="Calibri" w:cs="Calibri"/>
        </w:rPr>
        <w:t xml:space="preserve">, mental health nurses, social workers, occupational therapists, </w:t>
      </w:r>
      <w:r w:rsidR="0000019D">
        <w:rPr>
          <w:rFonts w:ascii="Calibri" w:hAnsi="Calibri" w:cs="Calibri"/>
        </w:rPr>
        <w:t xml:space="preserve">counsellors, </w:t>
      </w:r>
      <w:r w:rsidR="00056606">
        <w:rPr>
          <w:rFonts w:ascii="Calibri" w:hAnsi="Calibri" w:cs="Calibri"/>
        </w:rPr>
        <w:t>lived experience workers</w:t>
      </w:r>
      <w:r w:rsidR="0000019D">
        <w:rPr>
          <w:rFonts w:ascii="Calibri" w:hAnsi="Calibri" w:cs="Calibri"/>
        </w:rPr>
        <w:t xml:space="preserve"> and other mental health workers</w:t>
      </w:r>
      <w:r w:rsidR="00056606">
        <w:rPr>
          <w:rFonts w:ascii="Calibri" w:hAnsi="Calibri" w:cs="Calibri"/>
        </w:rPr>
        <w:t>.</w:t>
      </w:r>
    </w:p>
    <w:p w14:paraId="679B0817" w14:textId="1B028DC3" w:rsidR="00220EED" w:rsidRPr="00761CFD" w:rsidRDefault="00052047" w:rsidP="006D22F6">
      <w:pPr>
        <w:pStyle w:val="ListParagraph"/>
        <w:numPr>
          <w:ilvl w:val="0"/>
          <w:numId w:val="4"/>
        </w:numPr>
        <w:jc w:val="both"/>
        <w:rPr>
          <w:rStyle w:val="CommentReference"/>
          <w:sz w:val="22"/>
          <w:szCs w:val="22"/>
          <w:lang w:val="en-AU"/>
        </w:rPr>
      </w:pPr>
      <w:r>
        <w:rPr>
          <w:rFonts w:ascii="Calibri" w:hAnsi="Calibri" w:cs="Calibri"/>
        </w:rPr>
        <w:t>S</w:t>
      </w:r>
      <w:r w:rsidR="00AA6B6A" w:rsidRPr="004D09D9">
        <w:rPr>
          <w:rFonts w:ascii="Calibri" w:hAnsi="Calibri" w:cs="Calibri"/>
        </w:rPr>
        <w:t xml:space="preserve">ervices established to support </w:t>
      </w:r>
      <w:proofErr w:type="gramStart"/>
      <w:r w:rsidR="00AA6B6A" w:rsidRPr="004D09D9">
        <w:rPr>
          <w:rFonts w:ascii="Calibri" w:hAnsi="Calibri" w:cs="Calibri"/>
        </w:rPr>
        <w:t>the mental</w:t>
      </w:r>
      <w:proofErr w:type="gramEnd"/>
      <w:r w:rsidR="00AA6B6A" w:rsidRPr="004D09D9">
        <w:rPr>
          <w:rFonts w:ascii="Calibri" w:hAnsi="Calibri" w:cs="Calibri"/>
        </w:rPr>
        <w:t xml:space="preserve"> health and wellbeing</w:t>
      </w:r>
      <w:r w:rsidR="00FD36A8">
        <w:rPr>
          <w:rFonts w:ascii="Calibri" w:hAnsi="Calibri" w:cs="Calibri"/>
        </w:rPr>
        <w:t xml:space="preserve"> and reduce the risk of suicide</w:t>
      </w:r>
      <w:r w:rsidR="00AA6B6A" w:rsidRPr="004D09D9">
        <w:rPr>
          <w:rFonts w:ascii="Calibri" w:hAnsi="Calibri" w:cs="Calibri"/>
        </w:rPr>
        <w:t xml:space="preserve"> of adults and older adults will provide</w:t>
      </w:r>
      <w:r w:rsidR="00D43904">
        <w:rPr>
          <w:rFonts w:ascii="Calibri" w:hAnsi="Calibri" w:cs="Calibri"/>
        </w:rPr>
        <w:t>:</w:t>
      </w:r>
      <w:r w:rsidR="00AA6B6A" w:rsidRPr="004D09D9">
        <w:rPr>
          <w:rFonts w:ascii="Calibri" w:hAnsi="Calibri" w:cs="Calibri"/>
        </w:rPr>
        <w:t xml:space="preserve"> </w:t>
      </w:r>
      <w:r w:rsidR="00AA6B6A" w:rsidDel="00AA6B6A">
        <w:rPr>
          <w:rStyle w:val="CommentReference"/>
        </w:rPr>
        <w:t xml:space="preserve"> </w:t>
      </w:r>
    </w:p>
    <w:p w14:paraId="0B5810B1" w14:textId="25B8D850" w:rsidR="00204F3D" w:rsidRDefault="00392D52" w:rsidP="006D22F6">
      <w:pPr>
        <w:pStyle w:val="ListParagraph"/>
        <w:numPr>
          <w:ilvl w:val="1"/>
          <w:numId w:val="4"/>
        </w:numPr>
        <w:jc w:val="both"/>
        <w:rPr>
          <w:lang w:val="en-AU"/>
        </w:rPr>
      </w:pPr>
      <w:r w:rsidRPr="004F6620">
        <w:rPr>
          <w:lang w:val="en-AU"/>
        </w:rPr>
        <w:t>i</w:t>
      </w:r>
      <w:r w:rsidR="00B3602D" w:rsidRPr="004F6620">
        <w:rPr>
          <w:lang w:val="en-AU"/>
        </w:rPr>
        <w:t xml:space="preserve">mmediate, </w:t>
      </w:r>
      <w:proofErr w:type="gramStart"/>
      <w:r w:rsidR="00B3602D" w:rsidRPr="004F6620">
        <w:rPr>
          <w:lang w:val="en-AU"/>
        </w:rPr>
        <w:t>short and medium term</w:t>
      </w:r>
      <w:proofErr w:type="gramEnd"/>
      <w:r w:rsidR="00B3602D" w:rsidRPr="004F6620">
        <w:rPr>
          <w:lang w:val="en-AU"/>
        </w:rPr>
        <w:t xml:space="preserve"> mental health support</w:t>
      </w:r>
      <w:r w:rsidR="00B3602D" w:rsidRPr="00392D52">
        <w:rPr>
          <w:lang w:val="en-AU"/>
        </w:rPr>
        <w:t>, consisting of treatment and therapies, including alcohol and other drugs treatment, care and support, fully integrated with clinical supports</w:t>
      </w:r>
      <w:r w:rsidR="008B3230">
        <w:rPr>
          <w:lang w:val="en-AU"/>
        </w:rPr>
        <w:t>.</w:t>
      </w:r>
      <w:r>
        <w:rPr>
          <w:lang w:val="en-AU"/>
        </w:rPr>
        <w:t xml:space="preserve"> </w:t>
      </w:r>
    </w:p>
    <w:p w14:paraId="692A4941" w14:textId="11E4A344" w:rsidR="00B3602D" w:rsidRDefault="00392D52" w:rsidP="006D22F6">
      <w:pPr>
        <w:pStyle w:val="ListParagraph"/>
        <w:numPr>
          <w:ilvl w:val="1"/>
          <w:numId w:val="4"/>
        </w:numPr>
        <w:jc w:val="both"/>
        <w:rPr>
          <w:lang w:val="en-AU"/>
        </w:rPr>
      </w:pPr>
      <w:r>
        <w:rPr>
          <w:lang w:val="en-AU"/>
        </w:rPr>
        <w:t>support for families and carers supporting people with a mental illness.</w:t>
      </w:r>
    </w:p>
    <w:p w14:paraId="44F76BE2" w14:textId="57C08CC8" w:rsidR="00D43904" w:rsidRPr="00392D52" w:rsidRDefault="000042FE" w:rsidP="006D22F6">
      <w:pPr>
        <w:pStyle w:val="ListParagraph"/>
        <w:numPr>
          <w:ilvl w:val="1"/>
          <w:numId w:val="4"/>
        </w:numPr>
        <w:jc w:val="both"/>
        <w:rPr>
          <w:lang w:val="en-AU"/>
        </w:rPr>
      </w:pPr>
      <w:r>
        <w:rPr>
          <w:lang w:val="en-AU"/>
        </w:rPr>
        <w:t>a</w:t>
      </w:r>
      <w:r w:rsidR="00D43904">
        <w:rPr>
          <w:lang w:val="en-AU"/>
        </w:rPr>
        <w:t xml:space="preserve">dequately supervised placements to train the mental health and suicide prevention workforce. </w:t>
      </w:r>
    </w:p>
    <w:p w14:paraId="32CF770E" w14:textId="682C6466" w:rsidR="00B32CC7" w:rsidRDefault="00B32CC7" w:rsidP="006D22F6">
      <w:pPr>
        <w:pStyle w:val="ListParagraph"/>
        <w:numPr>
          <w:ilvl w:val="0"/>
          <w:numId w:val="4"/>
        </w:numPr>
        <w:jc w:val="both"/>
        <w:rPr>
          <w:rFonts w:ascii="Calibri" w:hAnsi="Calibri" w:cs="Calibri"/>
        </w:rPr>
      </w:pPr>
      <w:r>
        <w:rPr>
          <w:rFonts w:ascii="Calibri" w:hAnsi="Calibri" w:cs="Calibri"/>
        </w:rPr>
        <w:t>The Commonwealth agrees to:</w:t>
      </w:r>
    </w:p>
    <w:p w14:paraId="0A149804" w14:textId="5612851C" w:rsidR="00B32CC7" w:rsidRDefault="000042FE" w:rsidP="006D22F6">
      <w:pPr>
        <w:pStyle w:val="ListParagraph"/>
        <w:numPr>
          <w:ilvl w:val="1"/>
          <w:numId w:val="4"/>
        </w:numPr>
        <w:jc w:val="both"/>
        <w:rPr>
          <w:szCs w:val="22"/>
        </w:rPr>
      </w:pPr>
      <w:r>
        <w:t>f</w:t>
      </w:r>
      <w:r w:rsidR="00B32CC7">
        <w:t xml:space="preserve">ully fund the </w:t>
      </w:r>
      <w:r w:rsidR="000005A6">
        <w:t xml:space="preserve">ongoing operation </w:t>
      </w:r>
      <w:r w:rsidR="00A16C3C">
        <w:t>of</w:t>
      </w:r>
      <w:r w:rsidR="009B3355">
        <w:t xml:space="preserve"> </w:t>
      </w:r>
      <w:r w:rsidR="2E22793A">
        <w:t>the</w:t>
      </w:r>
      <w:r w:rsidR="005D20CC">
        <w:t xml:space="preserve"> </w:t>
      </w:r>
      <w:r w:rsidR="4428605E">
        <w:t>Geelong</w:t>
      </w:r>
      <w:r w:rsidR="00044327">
        <w:t xml:space="preserve"> </w:t>
      </w:r>
      <w:r w:rsidR="006A73F5">
        <w:t>Medicare Mental</w:t>
      </w:r>
      <w:r w:rsidR="004F6620">
        <w:t xml:space="preserve"> Health </w:t>
      </w:r>
      <w:r w:rsidR="00E159C8">
        <w:t>C</w:t>
      </w:r>
      <w:r w:rsidR="005D20CC">
        <w:t>entre</w:t>
      </w:r>
      <w:r w:rsidR="004F6620">
        <w:t>.</w:t>
      </w:r>
    </w:p>
    <w:p w14:paraId="181D412B" w14:textId="0EA8F7D9" w:rsidR="00B32CC7" w:rsidRPr="003A771F" w:rsidRDefault="000042FE" w:rsidP="006D22F6">
      <w:pPr>
        <w:pStyle w:val="ListParagraph"/>
        <w:widowControl/>
        <w:numPr>
          <w:ilvl w:val="1"/>
          <w:numId w:val="4"/>
        </w:numPr>
        <w:jc w:val="both"/>
        <w:rPr>
          <w:rFonts w:cstheme="minorBidi"/>
        </w:rPr>
      </w:pPr>
      <w:r w:rsidRPr="2C9DB2A3">
        <w:rPr>
          <w:rFonts w:ascii="Calibri" w:hAnsi="Calibri" w:cs="Calibri"/>
        </w:rPr>
        <w:t>p</w:t>
      </w:r>
      <w:r w:rsidR="00724E5F" w:rsidRPr="2C9DB2A3">
        <w:rPr>
          <w:rFonts w:ascii="Calibri" w:hAnsi="Calibri" w:cs="Calibri"/>
        </w:rPr>
        <w:t xml:space="preserve">rovide </w:t>
      </w:r>
      <w:r w:rsidR="004A51B5" w:rsidRPr="2C9DB2A3">
        <w:rPr>
          <w:rFonts w:ascii="Calibri" w:hAnsi="Calibri" w:cs="Calibri"/>
        </w:rPr>
        <w:t>ongoing</w:t>
      </w:r>
      <w:r w:rsidR="00724E5F" w:rsidRPr="2C9DB2A3">
        <w:rPr>
          <w:rFonts w:ascii="Calibri" w:hAnsi="Calibri" w:cs="Calibri"/>
        </w:rPr>
        <w:t xml:space="preserve"> funding identified in this Schedule from the Commonwealth to Victoria as a contribution to</w:t>
      </w:r>
      <w:r w:rsidR="00E325E4" w:rsidRPr="2C9DB2A3">
        <w:rPr>
          <w:rFonts w:cstheme="minorBidi"/>
        </w:rPr>
        <w:t xml:space="preserve"> </w:t>
      </w:r>
      <w:r w:rsidR="009E32B3" w:rsidRPr="2C9DB2A3">
        <w:rPr>
          <w:rFonts w:cstheme="minorBidi"/>
        </w:rPr>
        <w:t xml:space="preserve">the establishment and operation of </w:t>
      </w:r>
      <w:r w:rsidR="007C3EA9" w:rsidRPr="2C9DB2A3">
        <w:rPr>
          <w:rFonts w:ascii="Calibri" w:hAnsi="Calibri" w:cs="Calibri"/>
        </w:rPr>
        <w:t>Adult and</w:t>
      </w:r>
      <w:r w:rsidR="00866F13" w:rsidRPr="2C9DB2A3">
        <w:rPr>
          <w:rFonts w:ascii="Calibri" w:hAnsi="Calibri" w:cs="Calibri"/>
        </w:rPr>
        <w:t xml:space="preserve"> Older Adult Local Mental Health and Wellbeing services</w:t>
      </w:r>
      <w:r w:rsidR="00A84F13" w:rsidRPr="2C9DB2A3">
        <w:rPr>
          <w:rFonts w:ascii="Calibri" w:hAnsi="Calibri" w:cs="Calibri"/>
        </w:rPr>
        <w:t xml:space="preserve"> in Victoria</w:t>
      </w:r>
      <w:r w:rsidR="000F184B" w:rsidRPr="2C9DB2A3">
        <w:rPr>
          <w:rFonts w:ascii="Calibri" w:hAnsi="Calibri" w:cs="Calibri"/>
        </w:rPr>
        <w:t xml:space="preserve">, with the exception of </w:t>
      </w:r>
      <w:r w:rsidR="034EE344" w:rsidRPr="2C9DB2A3">
        <w:rPr>
          <w:rFonts w:ascii="Calibri" w:hAnsi="Calibri" w:cs="Calibri"/>
        </w:rPr>
        <w:t>the</w:t>
      </w:r>
      <w:r w:rsidR="37532C96" w:rsidRPr="2C9DB2A3">
        <w:rPr>
          <w:rFonts w:ascii="Calibri" w:hAnsi="Calibri" w:cs="Calibri"/>
        </w:rPr>
        <w:t xml:space="preserve"> Geelong</w:t>
      </w:r>
      <w:r w:rsidR="000F184B" w:rsidRPr="2C9DB2A3">
        <w:rPr>
          <w:rFonts w:ascii="Calibri" w:hAnsi="Calibri" w:cs="Calibri"/>
        </w:rPr>
        <w:t xml:space="preserve"> </w:t>
      </w:r>
      <w:r w:rsidR="00DB2345" w:rsidRPr="2C9DB2A3">
        <w:rPr>
          <w:rFonts w:ascii="Calibri" w:hAnsi="Calibri" w:cs="Calibri"/>
        </w:rPr>
        <w:t>Medicare</w:t>
      </w:r>
      <w:r w:rsidR="000F184B" w:rsidRPr="2C9DB2A3">
        <w:rPr>
          <w:rFonts w:ascii="Calibri" w:hAnsi="Calibri" w:cs="Calibri"/>
        </w:rPr>
        <w:t xml:space="preserve"> Mental Health Centre</w:t>
      </w:r>
      <w:r w:rsidR="00A84F13" w:rsidRPr="2C9DB2A3">
        <w:rPr>
          <w:rFonts w:cstheme="minorBidi"/>
        </w:rPr>
        <w:t>.</w:t>
      </w:r>
      <w:r w:rsidR="00B1147C" w:rsidRPr="2C9DB2A3">
        <w:rPr>
          <w:rFonts w:cstheme="minorBidi"/>
        </w:rPr>
        <w:t xml:space="preserve"> </w:t>
      </w:r>
    </w:p>
    <w:p w14:paraId="1F4190BF" w14:textId="5591A0EC" w:rsidR="006E35FA" w:rsidRPr="00BD7947" w:rsidRDefault="00E60B92" w:rsidP="006D22F6">
      <w:pPr>
        <w:pStyle w:val="ListParagraph"/>
        <w:numPr>
          <w:ilvl w:val="0"/>
          <w:numId w:val="4"/>
        </w:numPr>
        <w:jc w:val="both"/>
        <w:rPr>
          <w:rFonts w:ascii="Calibri" w:hAnsi="Calibri" w:cs="Calibri"/>
        </w:rPr>
      </w:pPr>
      <w:r w:rsidRPr="00BD7947">
        <w:rPr>
          <w:rFonts w:ascii="Calibri" w:hAnsi="Calibri" w:cs="Calibri"/>
        </w:rPr>
        <w:t>Victoria agrees to:</w:t>
      </w:r>
    </w:p>
    <w:p w14:paraId="4ED759BF" w14:textId="5D2D6E3E" w:rsidR="00E60B92" w:rsidRPr="00BD7947" w:rsidRDefault="000042FE" w:rsidP="006D22F6">
      <w:pPr>
        <w:pStyle w:val="ListParagraph"/>
        <w:numPr>
          <w:ilvl w:val="1"/>
          <w:numId w:val="4"/>
        </w:numPr>
        <w:jc w:val="both"/>
        <w:rPr>
          <w:rFonts w:ascii="Calibri" w:hAnsi="Calibri" w:cs="Calibri"/>
        </w:rPr>
      </w:pPr>
      <w:proofErr w:type="gramStart"/>
      <w:r w:rsidRPr="00BD7947">
        <w:rPr>
          <w:rFonts w:ascii="Calibri" w:hAnsi="Calibri" w:cs="Calibri"/>
        </w:rPr>
        <w:t>u</w:t>
      </w:r>
      <w:r w:rsidR="7DA817CF" w:rsidRPr="00BD7947">
        <w:rPr>
          <w:rFonts w:ascii="Calibri" w:hAnsi="Calibri" w:cs="Calibri"/>
        </w:rPr>
        <w:t>se</w:t>
      </w:r>
      <w:proofErr w:type="gramEnd"/>
      <w:r w:rsidR="7DA817CF" w:rsidRPr="00BD7947">
        <w:rPr>
          <w:rFonts w:ascii="Calibri" w:hAnsi="Calibri" w:cs="Calibri"/>
        </w:rPr>
        <w:t xml:space="preserve"> the Commonwealth funding contribution identified in this Schedule as a contribution towards the </w:t>
      </w:r>
      <w:r w:rsidR="0B709DE5" w:rsidRPr="00BD7947">
        <w:rPr>
          <w:rFonts w:ascii="Calibri" w:hAnsi="Calibri" w:cs="Calibri"/>
        </w:rPr>
        <w:t xml:space="preserve">establishment </w:t>
      </w:r>
      <w:r w:rsidR="6F91A689" w:rsidRPr="00BD7947">
        <w:rPr>
          <w:rFonts w:ascii="Calibri" w:hAnsi="Calibri" w:cs="Calibri"/>
        </w:rPr>
        <w:t xml:space="preserve">and </w:t>
      </w:r>
      <w:r w:rsidR="0B709DE5" w:rsidRPr="00BD7947">
        <w:rPr>
          <w:rFonts w:ascii="Calibri" w:hAnsi="Calibri" w:cs="Calibri"/>
        </w:rPr>
        <w:t>operation of</w:t>
      </w:r>
      <w:r w:rsidR="1D11783C" w:rsidRPr="00BD7947">
        <w:rPr>
          <w:rFonts w:ascii="Calibri" w:hAnsi="Calibri" w:cs="Calibri"/>
        </w:rPr>
        <w:t xml:space="preserve"> Adult Locals </w:t>
      </w:r>
      <w:r w:rsidR="5B026D42" w:rsidRPr="00BD7947">
        <w:rPr>
          <w:rFonts w:ascii="Calibri" w:hAnsi="Calibri" w:cs="Calibri"/>
        </w:rPr>
        <w:t>in Victoria</w:t>
      </w:r>
      <w:r w:rsidR="004E73CF" w:rsidRPr="00BD7947">
        <w:rPr>
          <w:rFonts w:ascii="Calibri" w:hAnsi="Calibri" w:cs="Calibri"/>
        </w:rPr>
        <w:t>, to be co-branded commensurate with the level of investment</w:t>
      </w:r>
      <w:r w:rsidR="1F6A75F8" w:rsidRPr="00BD7947">
        <w:rPr>
          <w:rFonts w:ascii="Calibri" w:hAnsi="Calibri" w:cs="Calibri"/>
        </w:rPr>
        <w:t>.</w:t>
      </w:r>
    </w:p>
    <w:p w14:paraId="6540671F" w14:textId="094BE507" w:rsidR="00CB48E7" w:rsidRPr="00BD7947" w:rsidRDefault="00297A4D" w:rsidP="006D22F6">
      <w:pPr>
        <w:pStyle w:val="ListParagraph"/>
        <w:numPr>
          <w:ilvl w:val="1"/>
          <w:numId w:val="4"/>
        </w:numPr>
        <w:jc w:val="both"/>
        <w:rPr>
          <w:rFonts w:ascii="Calibri" w:hAnsi="Calibri" w:cs="Calibri"/>
        </w:rPr>
      </w:pPr>
      <w:r w:rsidRPr="00BD7947">
        <w:t>deliver Local Services according to Victorian service specifications, with objectives</w:t>
      </w:r>
      <w:r w:rsidR="00A32167" w:rsidRPr="00BD7947">
        <w:t xml:space="preserve"> that are aligned with</w:t>
      </w:r>
      <w:r w:rsidR="008C49CD" w:rsidRPr="00BD7947">
        <w:rPr>
          <w:rFonts w:ascii="Calibri" w:hAnsi="Calibri" w:cs="Calibri"/>
        </w:rPr>
        <w:t xml:space="preserve"> the national service model for </w:t>
      </w:r>
      <w:r w:rsidR="0090232F">
        <w:rPr>
          <w:rFonts w:ascii="Calibri" w:hAnsi="Calibri" w:cs="Calibri"/>
        </w:rPr>
        <w:t>Medicare Mental</w:t>
      </w:r>
      <w:r w:rsidR="008C49CD" w:rsidRPr="00BD7947">
        <w:rPr>
          <w:rFonts w:ascii="Calibri" w:hAnsi="Calibri" w:cs="Calibri"/>
        </w:rPr>
        <w:t xml:space="preserve"> Health </w:t>
      </w:r>
      <w:proofErr w:type="spellStart"/>
      <w:r w:rsidR="00044327">
        <w:rPr>
          <w:rFonts w:ascii="Calibri" w:hAnsi="Calibri" w:cs="Calibri"/>
        </w:rPr>
        <w:t>C</w:t>
      </w:r>
      <w:r w:rsidR="008C49CD" w:rsidRPr="00BD7947">
        <w:rPr>
          <w:rFonts w:ascii="Calibri" w:hAnsi="Calibri" w:cs="Calibri"/>
        </w:rPr>
        <w:t>entres</w:t>
      </w:r>
      <w:proofErr w:type="spellEnd"/>
      <w:r w:rsidR="009C7E53" w:rsidRPr="00BD7947">
        <w:rPr>
          <w:rFonts w:ascii="Calibri" w:hAnsi="Calibri" w:cs="Calibri"/>
        </w:rPr>
        <w:t xml:space="preserve">. </w:t>
      </w:r>
    </w:p>
    <w:p w14:paraId="2D714167" w14:textId="46A31C42" w:rsidR="0002453F" w:rsidRDefault="00346B21" w:rsidP="006D22F6">
      <w:pPr>
        <w:pStyle w:val="ListParagraph"/>
        <w:numPr>
          <w:ilvl w:val="0"/>
          <w:numId w:val="4"/>
        </w:numPr>
        <w:jc w:val="both"/>
      </w:pPr>
      <w:r w:rsidRPr="000F184B">
        <w:rPr>
          <w:rFonts w:ascii="Calibri" w:hAnsi="Calibri" w:cs="Calibri"/>
        </w:rPr>
        <w:t>The</w:t>
      </w:r>
      <w:r w:rsidRPr="54CB3774">
        <w:rPr>
          <w:rFonts w:ascii="Calibri" w:hAnsi="Calibri" w:cs="Calibri"/>
        </w:rPr>
        <w:t xml:space="preserve"> Commonwealth and Victoria agree to</w:t>
      </w:r>
      <w:r w:rsidR="00227E1C">
        <w:rPr>
          <w:rFonts w:ascii="Calibri" w:hAnsi="Calibri" w:cs="Calibri"/>
        </w:rPr>
        <w:t>:</w:t>
      </w:r>
    </w:p>
    <w:p w14:paraId="699F1DCA" w14:textId="7433E3D7" w:rsidR="005A632A" w:rsidRPr="009D1687" w:rsidRDefault="000339D3" w:rsidP="006D22F6">
      <w:pPr>
        <w:pStyle w:val="ListParagraph"/>
        <w:numPr>
          <w:ilvl w:val="1"/>
          <w:numId w:val="4"/>
        </w:numPr>
        <w:jc w:val="both"/>
        <w:rPr>
          <w:rFonts w:ascii="Calibri" w:hAnsi="Calibri" w:cs="Calibri"/>
        </w:rPr>
      </w:pPr>
      <w:r w:rsidRPr="674487FF">
        <w:rPr>
          <w:rFonts w:ascii="Calibri" w:hAnsi="Calibri" w:cs="Calibri"/>
        </w:rPr>
        <w:t xml:space="preserve">collaborate to develop a transition plan that will, seek to ensure continued access to services for communities currently accessing supports </w:t>
      </w:r>
      <w:r w:rsidR="00F839C4" w:rsidRPr="674487FF">
        <w:rPr>
          <w:rFonts w:ascii="Calibri" w:hAnsi="Calibri" w:cs="Calibri"/>
        </w:rPr>
        <w:t xml:space="preserve">that were funded as pandemic response measures – </w:t>
      </w:r>
      <w:r w:rsidR="00CC1BCF" w:rsidRPr="674487FF">
        <w:rPr>
          <w:rFonts w:ascii="Calibri" w:hAnsi="Calibri" w:cs="Calibri"/>
        </w:rPr>
        <w:t xml:space="preserve">Victorian </w:t>
      </w:r>
      <w:r w:rsidR="00183E55" w:rsidRPr="674487FF">
        <w:rPr>
          <w:rFonts w:ascii="Calibri" w:hAnsi="Calibri" w:cs="Calibri"/>
        </w:rPr>
        <w:t xml:space="preserve">funded </w:t>
      </w:r>
      <w:r w:rsidR="00CC1BCF" w:rsidRPr="674487FF">
        <w:rPr>
          <w:rFonts w:ascii="Calibri" w:hAnsi="Calibri" w:cs="Calibri"/>
        </w:rPr>
        <w:t xml:space="preserve">Mental Health and </w:t>
      </w:r>
      <w:r w:rsidR="00183E55" w:rsidRPr="674487FF">
        <w:rPr>
          <w:rFonts w:ascii="Calibri" w:hAnsi="Calibri" w:cs="Calibri"/>
        </w:rPr>
        <w:t xml:space="preserve">Wellbeing Hubs and Commonwealth funded </w:t>
      </w:r>
      <w:r w:rsidR="00E91D13" w:rsidRPr="674487FF">
        <w:rPr>
          <w:rFonts w:ascii="Calibri" w:hAnsi="Calibri" w:cs="Calibri"/>
        </w:rPr>
        <w:t xml:space="preserve">Head to Health </w:t>
      </w:r>
      <w:r w:rsidR="005F2E47" w:rsidRPr="674487FF">
        <w:rPr>
          <w:rFonts w:ascii="Calibri" w:hAnsi="Calibri" w:cs="Calibri"/>
        </w:rPr>
        <w:t>services</w:t>
      </w:r>
      <w:r w:rsidR="0052022C" w:rsidRPr="674487FF">
        <w:rPr>
          <w:rFonts w:ascii="Calibri" w:hAnsi="Calibri" w:cs="Calibri"/>
        </w:rPr>
        <w:t xml:space="preserve">. The transition plan will </w:t>
      </w:r>
      <w:r w:rsidR="0052022C" w:rsidRPr="674487FF">
        <w:rPr>
          <w:rFonts w:cstheme="minorBidi"/>
        </w:rPr>
        <w:t>consider</w:t>
      </w:r>
      <w:r w:rsidR="005A632A" w:rsidRPr="674487FF">
        <w:rPr>
          <w:rFonts w:cstheme="minorBidi"/>
        </w:rPr>
        <w:t>:</w:t>
      </w:r>
    </w:p>
    <w:p w14:paraId="3BC55CC9" w14:textId="2F9800F1" w:rsidR="0052022C" w:rsidRPr="0052022C" w:rsidRDefault="0052022C" w:rsidP="674487FF">
      <w:pPr>
        <w:pStyle w:val="ListParagraph"/>
        <w:widowControl/>
        <w:numPr>
          <w:ilvl w:val="2"/>
          <w:numId w:val="4"/>
        </w:numPr>
        <w:jc w:val="both"/>
        <w:rPr>
          <w:rFonts w:cstheme="minorBidi"/>
        </w:rPr>
      </w:pPr>
      <w:r w:rsidRPr="674487FF">
        <w:rPr>
          <w:rFonts w:cstheme="minorBidi"/>
        </w:rPr>
        <w:t>the rollout schedule for Adult and Older Adult Locals</w:t>
      </w:r>
    </w:p>
    <w:p w14:paraId="6BD28BCE" w14:textId="3F9DEC13" w:rsidR="005A632A" w:rsidRPr="00B84821" w:rsidRDefault="00C93411" w:rsidP="674487FF">
      <w:pPr>
        <w:pStyle w:val="ListParagraph"/>
        <w:widowControl/>
        <w:numPr>
          <w:ilvl w:val="2"/>
          <w:numId w:val="4"/>
        </w:numPr>
        <w:jc w:val="both"/>
        <w:rPr>
          <w:rFonts w:cstheme="minorBidi"/>
        </w:rPr>
      </w:pPr>
      <w:r w:rsidRPr="674487FF">
        <w:rPr>
          <w:rFonts w:cstheme="minorBidi"/>
        </w:rPr>
        <w:t>c</w:t>
      </w:r>
      <w:r w:rsidR="005A632A" w:rsidRPr="674487FF">
        <w:rPr>
          <w:rFonts w:cstheme="minorBidi"/>
        </w:rPr>
        <w:t>ontinued access to services, informed by demand and need</w:t>
      </w:r>
    </w:p>
    <w:p w14:paraId="7391F2E7" w14:textId="003DFBBF" w:rsidR="00206FAB" w:rsidRPr="009D1687" w:rsidRDefault="00206FAB" w:rsidP="674487FF">
      <w:pPr>
        <w:pStyle w:val="ListParagraph"/>
        <w:widowControl/>
        <w:numPr>
          <w:ilvl w:val="2"/>
          <w:numId w:val="4"/>
        </w:numPr>
        <w:jc w:val="both"/>
        <w:rPr>
          <w:rFonts w:cstheme="minorBidi"/>
        </w:rPr>
      </w:pPr>
      <w:proofErr w:type="gramStart"/>
      <w:r w:rsidRPr="674487FF">
        <w:rPr>
          <w:rFonts w:cstheme="minorBidi"/>
        </w:rPr>
        <w:t>the</w:t>
      </w:r>
      <w:proofErr w:type="gramEnd"/>
      <w:r w:rsidRPr="674487FF">
        <w:rPr>
          <w:rFonts w:cstheme="minorBidi"/>
        </w:rPr>
        <w:t xml:space="preserve"> shared objective</w:t>
      </w:r>
      <w:r w:rsidR="00D20994" w:rsidRPr="674487FF">
        <w:rPr>
          <w:rFonts w:cstheme="minorBidi"/>
        </w:rPr>
        <w:t xml:space="preserve"> of</w:t>
      </w:r>
      <w:r w:rsidRPr="674487FF">
        <w:rPr>
          <w:rFonts w:cstheme="minorBidi"/>
        </w:rPr>
        <w:t xml:space="preserve"> working towards </w:t>
      </w:r>
      <w:r w:rsidR="00ED17E0" w:rsidRPr="674487FF">
        <w:rPr>
          <w:rFonts w:cstheme="minorBidi"/>
        </w:rPr>
        <w:t xml:space="preserve">no service gaps as </w:t>
      </w:r>
      <w:r w:rsidR="00D877D3" w:rsidRPr="674487FF">
        <w:rPr>
          <w:rFonts w:ascii="Calibri" w:hAnsi="Calibri" w:cs="Calibri"/>
        </w:rPr>
        <w:t xml:space="preserve">Adult and Older Adult Local Mental Health and Wellbeing </w:t>
      </w:r>
      <w:r w:rsidR="00ED17E0" w:rsidRPr="674487FF">
        <w:rPr>
          <w:rFonts w:ascii="Calibri" w:hAnsi="Calibri" w:cs="Calibri"/>
        </w:rPr>
        <w:t>Services are established</w:t>
      </w:r>
      <w:r w:rsidR="00435319" w:rsidRPr="674487FF">
        <w:rPr>
          <w:rFonts w:ascii="Calibri" w:hAnsi="Calibri" w:cs="Calibri"/>
        </w:rPr>
        <w:t xml:space="preserve"> by 2026</w:t>
      </w:r>
      <w:r w:rsidR="00ED17E0" w:rsidRPr="674487FF">
        <w:rPr>
          <w:rFonts w:ascii="Calibri" w:hAnsi="Calibri" w:cs="Calibri"/>
        </w:rPr>
        <w:t>.</w:t>
      </w:r>
    </w:p>
    <w:p w14:paraId="67824BE6" w14:textId="3AEEA479" w:rsidR="006E63AA" w:rsidRDefault="00D6769E" w:rsidP="006D22F6">
      <w:pPr>
        <w:pStyle w:val="ListParagraph"/>
        <w:numPr>
          <w:ilvl w:val="1"/>
          <w:numId w:val="4"/>
        </w:numPr>
        <w:jc w:val="both"/>
        <w:rPr>
          <w:rFonts w:ascii="Calibri" w:hAnsi="Calibri" w:cs="Calibri"/>
        </w:rPr>
      </w:pPr>
      <w:r w:rsidRPr="674487FF">
        <w:rPr>
          <w:rFonts w:ascii="Calibri" w:hAnsi="Calibri" w:cs="Calibri"/>
        </w:rPr>
        <w:t>r</w:t>
      </w:r>
      <w:r w:rsidR="007967D4" w:rsidRPr="674487FF">
        <w:rPr>
          <w:rFonts w:ascii="Calibri" w:hAnsi="Calibri" w:cs="Calibri"/>
        </w:rPr>
        <w:t xml:space="preserve">eview and </w:t>
      </w:r>
      <w:r w:rsidR="008A7EFD" w:rsidRPr="674487FF">
        <w:rPr>
          <w:rFonts w:ascii="Calibri" w:hAnsi="Calibri" w:cs="Calibri"/>
        </w:rPr>
        <w:t>update the transition plan</w:t>
      </w:r>
      <w:r w:rsidR="007967D4" w:rsidRPr="674487FF">
        <w:rPr>
          <w:rFonts w:ascii="Calibri" w:hAnsi="Calibri" w:cs="Calibri"/>
        </w:rPr>
        <w:t xml:space="preserve"> </w:t>
      </w:r>
      <w:r w:rsidR="00AA1B57" w:rsidRPr="674487FF">
        <w:rPr>
          <w:rFonts w:ascii="Calibri" w:hAnsi="Calibri" w:cs="Calibri"/>
        </w:rPr>
        <w:t xml:space="preserve">on a yearly basis </w:t>
      </w:r>
      <w:r w:rsidR="002E09FA" w:rsidRPr="674487FF">
        <w:rPr>
          <w:rFonts w:ascii="Calibri" w:hAnsi="Calibri" w:cs="Calibri"/>
        </w:rPr>
        <w:t xml:space="preserve">to </w:t>
      </w:r>
      <w:r w:rsidR="00805ED8" w:rsidRPr="674487FF">
        <w:rPr>
          <w:rFonts w:ascii="Calibri" w:hAnsi="Calibri" w:cs="Calibri"/>
        </w:rPr>
        <w:t xml:space="preserve">ensure transition </w:t>
      </w:r>
      <w:r w:rsidR="000369DE" w:rsidRPr="674487FF">
        <w:rPr>
          <w:rFonts w:ascii="Calibri" w:hAnsi="Calibri" w:cs="Calibri"/>
        </w:rPr>
        <w:t xml:space="preserve">reflects the principles outlined in 46 (a) and </w:t>
      </w:r>
      <w:r w:rsidR="00805ED8" w:rsidRPr="674487FF">
        <w:rPr>
          <w:rFonts w:ascii="Calibri" w:hAnsi="Calibri" w:cs="Calibri"/>
        </w:rPr>
        <w:t>is</w:t>
      </w:r>
      <w:r w:rsidR="002E09FA" w:rsidRPr="674487FF">
        <w:rPr>
          <w:rFonts w:ascii="Calibri" w:hAnsi="Calibri" w:cs="Calibri"/>
        </w:rPr>
        <w:t xml:space="preserve"> strategic, accelerated</w:t>
      </w:r>
      <w:r w:rsidR="00765949" w:rsidRPr="674487FF">
        <w:rPr>
          <w:rFonts w:ascii="Calibri" w:hAnsi="Calibri" w:cs="Calibri"/>
        </w:rPr>
        <w:t xml:space="preserve"> and drives </w:t>
      </w:r>
      <w:r w:rsidR="00731D42" w:rsidRPr="674487FF">
        <w:rPr>
          <w:rFonts w:ascii="Calibri" w:hAnsi="Calibri" w:cs="Calibri"/>
        </w:rPr>
        <w:t>towards one service system provided by Adult and Older Adult Local Mental Health and Wellbeing Services</w:t>
      </w:r>
      <w:r w:rsidR="006E5471" w:rsidRPr="674487FF">
        <w:rPr>
          <w:rFonts w:ascii="Calibri" w:hAnsi="Calibri" w:cs="Calibri"/>
        </w:rPr>
        <w:t xml:space="preserve"> by 2026</w:t>
      </w:r>
      <w:r w:rsidR="00731D42" w:rsidRPr="674487FF">
        <w:rPr>
          <w:rFonts w:ascii="Calibri" w:hAnsi="Calibri" w:cs="Calibri"/>
        </w:rPr>
        <w:t>.</w:t>
      </w:r>
    </w:p>
    <w:p w14:paraId="5B6D1045" w14:textId="238D219D" w:rsidR="00694C84" w:rsidRPr="009D1687" w:rsidRDefault="000042FE" w:rsidP="006D22F6">
      <w:pPr>
        <w:pStyle w:val="ListParagraph"/>
        <w:numPr>
          <w:ilvl w:val="1"/>
          <w:numId w:val="4"/>
        </w:numPr>
        <w:jc w:val="both"/>
        <w:rPr>
          <w:rFonts w:ascii="Calibri" w:hAnsi="Calibri" w:cs="Calibri"/>
        </w:rPr>
      </w:pPr>
      <w:r w:rsidRPr="674487FF">
        <w:rPr>
          <w:rFonts w:ascii="Calibri" w:hAnsi="Calibri" w:cs="Calibri"/>
        </w:rPr>
        <w:t>c</w:t>
      </w:r>
      <w:r w:rsidR="00694C84" w:rsidRPr="674487FF">
        <w:rPr>
          <w:rFonts w:ascii="Calibri" w:hAnsi="Calibri" w:cs="Calibri"/>
        </w:rPr>
        <w:t>ollaborate with PHNs to ensure</w:t>
      </w:r>
      <w:r w:rsidR="00CE4B72" w:rsidRPr="674487FF">
        <w:rPr>
          <w:rFonts w:ascii="Calibri" w:hAnsi="Calibri" w:cs="Calibri"/>
        </w:rPr>
        <w:t xml:space="preserve"> accelerated</w:t>
      </w:r>
      <w:r w:rsidR="00435EDC" w:rsidRPr="674487FF">
        <w:rPr>
          <w:rFonts w:ascii="Calibri" w:hAnsi="Calibri" w:cs="Calibri"/>
        </w:rPr>
        <w:t xml:space="preserve"> transition </w:t>
      </w:r>
      <w:r w:rsidR="00694C84" w:rsidRPr="674487FF">
        <w:rPr>
          <w:rFonts w:ascii="Calibri" w:hAnsi="Calibri" w:cs="Calibri"/>
        </w:rPr>
        <w:t xml:space="preserve">to Adult and Older Adult Local Mental Health and Wellbeing from </w:t>
      </w:r>
      <w:r w:rsidR="00AF51C2" w:rsidRPr="674487FF">
        <w:rPr>
          <w:rFonts w:ascii="Calibri" w:hAnsi="Calibri" w:cs="Calibri"/>
        </w:rPr>
        <w:t xml:space="preserve">Head to Health adult mental health </w:t>
      </w:r>
      <w:proofErr w:type="spellStart"/>
      <w:r w:rsidR="00AF51C2" w:rsidRPr="674487FF">
        <w:rPr>
          <w:rFonts w:ascii="Calibri" w:hAnsi="Calibri" w:cs="Calibri"/>
        </w:rPr>
        <w:t>centre</w:t>
      </w:r>
      <w:proofErr w:type="spellEnd"/>
      <w:r w:rsidR="00AF51C2" w:rsidRPr="674487FF">
        <w:rPr>
          <w:rFonts w:ascii="Calibri" w:hAnsi="Calibri" w:cs="Calibri"/>
        </w:rPr>
        <w:t xml:space="preserve"> </w:t>
      </w:r>
      <w:r w:rsidR="00694C84" w:rsidRPr="674487FF">
        <w:rPr>
          <w:rFonts w:ascii="Calibri" w:hAnsi="Calibri" w:cs="Calibri"/>
        </w:rPr>
        <w:t>services and primary care mental health services</w:t>
      </w:r>
      <w:r w:rsidR="00CE4B72" w:rsidRPr="674487FF">
        <w:rPr>
          <w:rFonts w:ascii="Calibri" w:hAnsi="Calibri" w:cs="Calibri"/>
        </w:rPr>
        <w:t xml:space="preserve"> while working towards one service system by 2026</w:t>
      </w:r>
      <w:r w:rsidR="00F30D76" w:rsidRPr="674487FF">
        <w:rPr>
          <w:rFonts w:ascii="Calibri" w:hAnsi="Calibri" w:cs="Calibri"/>
        </w:rPr>
        <w:t>.</w:t>
      </w:r>
    </w:p>
    <w:p w14:paraId="68B5B691" w14:textId="71DCCBEC" w:rsidR="009D1687" w:rsidRPr="0087050D" w:rsidRDefault="000042FE" w:rsidP="006D22F6">
      <w:pPr>
        <w:pStyle w:val="ListParagraph"/>
        <w:numPr>
          <w:ilvl w:val="1"/>
          <w:numId w:val="4"/>
        </w:numPr>
        <w:jc w:val="both"/>
        <w:rPr>
          <w:rFonts w:ascii="Calibri" w:hAnsi="Calibri" w:cs="Calibri"/>
        </w:rPr>
      </w:pPr>
      <w:r w:rsidRPr="009D1687">
        <w:rPr>
          <w:rFonts w:ascii="Calibri" w:hAnsi="Calibri" w:cs="Calibri"/>
        </w:rPr>
        <w:t xml:space="preserve">collaborate </w:t>
      </w:r>
      <w:r w:rsidR="0002453F" w:rsidRPr="009D1687">
        <w:rPr>
          <w:rFonts w:ascii="Calibri" w:hAnsi="Calibri" w:cs="Calibri"/>
        </w:rPr>
        <w:t xml:space="preserve">to develop agreed referral pathways, shared care protocols and consistent intake and assessment processes (including use of the </w:t>
      </w:r>
      <w:r w:rsidR="00BD242F" w:rsidRPr="009D1687">
        <w:rPr>
          <w:rFonts w:ascii="Calibri" w:hAnsi="Calibri" w:cs="Calibri"/>
        </w:rPr>
        <w:t xml:space="preserve">IAR </w:t>
      </w:r>
      <w:r w:rsidR="0002453F" w:rsidRPr="009D1687">
        <w:rPr>
          <w:rFonts w:ascii="Calibri" w:hAnsi="Calibri" w:cs="Calibri"/>
        </w:rPr>
        <w:t>Tool</w:t>
      </w:r>
      <w:r w:rsidR="005B3518" w:rsidRPr="009D1687">
        <w:rPr>
          <w:rFonts w:ascii="Calibri" w:hAnsi="Calibri" w:cs="Calibri"/>
        </w:rPr>
        <w:t xml:space="preserve"> or equivalent</w:t>
      </w:r>
      <w:r w:rsidR="004F6620" w:rsidRPr="009D1687">
        <w:rPr>
          <w:rFonts w:ascii="Calibri" w:hAnsi="Calibri" w:cs="Calibri"/>
        </w:rPr>
        <w:t xml:space="preserve"> and the national Head to Health intake phone service)</w:t>
      </w:r>
      <w:r w:rsidR="006F10EF" w:rsidRPr="009D1687">
        <w:rPr>
          <w:rFonts w:ascii="Calibri" w:hAnsi="Calibri" w:cs="Calibri"/>
        </w:rPr>
        <w:t>.</w:t>
      </w:r>
    </w:p>
    <w:p w14:paraId="1EDC0F4D" w14:textId="03B61885" w:rsidR="009D1687" w:rsidRDefault="000042FE" w:rsidP="006D22F6">
      <w:pPr>
        <w:pStyle w:val="ListParagraph"/>
        <w:numPr>
          <w:ilvl w:val="1"/>
          <w:numId w:val="4"/>
        </w:numPr>
        <w:jc w:val="both"/>
      </w:pPr>
      <w:r>
        <w:t>provide</w:t>
      </w:r>
      <w:r w:rsidR="00E86CD0">
        <w:t xml:space="preserve"> secondary consultation to primary care providers</w:t>
      </w:r>
      <w:r w:rsidR="006F10EF">
        <w:t>.</w:t>
      </w:r>
    </w:p>
    <w:p w14:paraId="74C5E84F" w14:textId="3188B5C3" w:rsidR="00E86CD0" w:rsidRDefault="007C1369" w:rsidP="006D22F6">
      <w:pPr>
        <w:pStyle w:val="ListParagraph"/>
        <w:numPr>
          <w:ilvl w:val="1"/>
          <w:numId w:val="4"/>
        </w:numPr>
        <w:jc w:val="both"/>
      </w:pPr>
      <w:r>
        <w:t xml:space="preserve">undertake </w:t>
      </w:r>
      <w:r w:rsidR="000042FE">
        <w:t xml:space="preserve">joint </w:t>
      </w:r>
      <w:r w:rsidR="00E86CD0">
        <w:t>capability building activities</w:t>
      </w:r>
      <w:r w:rsidR="006F10EF">
        <w:t>.</w:t>
      </w:r>
    </w:p>
    <w:p w14:paraId="68AC38B4" w14:textId="292F39B6" w:rsidR="006420EB" w:rsidRDefault="00C56F2A" w:rsidP="006D22F6">
      <w:pPr>
        <w:pStyle w:val="ListParagraph"/>
        <w:numPr>
          <w:ilvl w:val="0"/>
          <w:numId w:val="4"/>
        </w:numPr>
        <w:jc w:val="both"/>
      </w:pPr>
      <w:r>
        <w:t>In</w:t>
      </w:r>
      <w:r w:rsidR="003F2908" w:rsidRPr="005656CA">
        <w:t xml:space="preserve"> alignment with the </w:t>
      </w:r>
      <w:r w:rsidR="007825F1" w:rsidRPr="005656CA">
        <w:t>transition plan,</w:t>
      </w:r>
      <w:r w:rsidR="003F2908" w:rsidRPr="005656CA">
        <w:t xml:space="preserve"> the Commonwealth agrees to </w:t>
      </w:r>
      <w:r w:rsidR="00E90545" w:rsidRPr="005656CA">
        <w:t xml:space="preserve">fund ongoing </w:t>
      </w:r>
      <w:r w:rsidR="003F2908" w:rsidRPr="005656CA">
        <w:t xml:space="preserve">operational costs for </w:t>
      </w:r>
      <w:r w:rsidR="00E90545" w:rsidRPr="005656CA">
        <w:t xml:space="preserve">the </w:t>
      </w:r>
      <w:r w:rsidR="003F2908" w:rsidRPr="005656CA">
        <w:t>existing fourteen mental health clinics funded by the Commonwealth as part of the pandemic response measure</w:t>
      </w:r>
      <w:r w:rsidR="00B67FF3" w:rsidRPr="005656CA">
        <w:t xml:space="preserve"> for the life of this bilateral schedule,</w:t>
      </w:r>
      <w:r w:rsidR="003F2908" w:rsidRPr="005656CA">
        <w:t xml:space="preserve"> </w:t>
      </w:r>
      <w:r w:rsidR="00E90545" w:rsidRPr="005656CA">
        <w:t>annually,</w:t>
      </w:r>
      <w:r w:rsidR="00D73279">
        <w:t xml:space="preserve"> </w:t>
      </w:r>
      <w:r w:rsidR="00B67FF3" w:rsidRPr="005656CA">
        <w:t>or</w:t>
      </w:r>
      <w:r w:rsidR="00E90545" w:rsidRPr="005656CA">
        <w:t xml:space="preserve"> </w:t>
      </w:r>
      <w:r w:rsidR="003F2908" w:rsidRPr="005656CA">
        <w:t xml:space="preserve">until </w:t>
      </w:r>
      <w:r w:rsidR="00D877D3" w:rsidRPr="009D1687">
        <w:rPr>
          <w:rFonts w:ascii="Calibri" w:hAnsi="Calibri" w:cs="Calibri"/>
        </w:rPr>
        <w:t>Adult and Older Adult Local Mental Health and Wellbeing</w:t>
      </w:r>
      <w:r w:rsidR="00D877D3" w:rsidRPr="005656CA">
        <w:t xml:space="preserve"> </w:t>
      </w:r>
      <w:r w:rsidR="00D877D3">
        <w:t xml:space="preserve">services </w:t>
      </w:r>
      <w:r w:rsidR="003F2908" w:rsidRPr="005656CA">
        <w:t>adult locals are established in each region</w:t>
      </w:r>
      <w:r w:rsidR="00B67FF3" w:rsidRPr="005656CA">
        <w:t>, whichever is sooner</w:t>
      </w:r>
      <w:r w:rsidR="008E22D0">
        <w:t>, to a maximum value of $</w:t>
      </w:r>
      <w:r w:rsidR="00D60550">
        <w:t>45.13</w:t>
      </w:r>
      <w:r w:rsidR="00C81056">
        <w:t xml:space="preserve"> </w:t>
      </w:r>
      <w:r w:rsidR="008E22D0">
        <w:t>million</w:t>
      </w:r>
      <w:r w:rsidR="003F2908" w:rsidRPr="005656CA">
        <w:t>.</w:t>
      </w:r>
      <w:r w:rsidR="00B67FF3" w:rsidRPr="005656CA">
        <w:t xml:space="preserve"> Funding will be provided to PHNs </w:t>
      </w:r>
      <w:r w:rsidR="00D73279">
        <w:t xml:space="preserve">on a financial year </w:t>
      </w:r>
      <w:proofErr w:type="gramStart"/>
      <w:r w:rsidR="00D73279">
        <w:t>basis, and</w:t>
      </w:r>
      <w:proofErr w:type="gramEnd"/>
      <w:r w:rsidR="00D73279">
        <w:t xml:space="preserve"> committed in the preceding financial year</w:t>
      </w:r>
      <w:r w:rsidR="00B67FF3" w:rsidRPr="005656CA">
        <w:t>.</w:t>
      </w:r>
      <w:r w:rsidR="003F2908" w:rsidRPr="005656CA">
        <w:t xml:space="preserve"> </w:t>
      </w:r>
      <w:r w:rsidR="00435C89" w:rsidRPr="005656CA">
        <w:t xml:space="preserve">As </w:t>
      </w:r>
      <w:r w:rsidR="003F2908" w:rsidRPr="005656CA">
        <w:t>adult locals be</w:t>
      </w:r>
      <w:r w:rsidR="00435C89" w:rsidRPr="005656CA">
        <w:t>come</w:t>
      </w:r>
      <w:r w:rsidR="003F2908" w:rsidRPr="005656CA">
        <w:t xml:space="preserve"> </w:t>
      </w:r>
      <w:r w:rsidR="00435C89" w:rsidRPr="005656CA">
        <w:t>operational</w:t>
      </w:r>
      <w:r w:rsidR="003F2908" w:rsidRPr="005656CA">
        <w:t xml:space="preserve">, </w:t>
      </w:r>
      <w:r w:rsidR="00D73279">
        <w:t>uncommitted</w:t>
      </w:r>
      <w:r w:rsidR="003F2908" w:rsidRPr="005656CA">
        <w:t xml:space="preserve"> Commonwealth funding for existing mental health clinics will be transferred to Victoria to support implementation and establishment of the adult locals</w:t>
      </w:r>
      <w:r w:rsidR="00E90545" w:rsidRPr="005656CA">
        <w:t xml:space="preserve">, while ensuring PHNs are provided a minimum of 12 months’ notice of a plan to decommission existing services. </w:t>
      </w:r>
    </w:p>
    <w:p w14:paraId="32084BD3" w14:textId="415C5D40" w:rsidR="00851D0F" w:rsidRPr="009E348C" w:rsidRDefault="00C3605F" w:rsidP="008B047F">
      <w:pPr>
        <w:pStyle w:val="Heading2"/>
        <w:jc w:val="both"/>
        <w:rPr>
          <w:rFonts w:cstheme="minorHAnsi"/>
        </w:rPr>
      </w:pPr>
      <w:bookmarkStart w:id="8" w:name="_Hlk83816424"/>
      <w:bookmarkEnd w:id="7"/>
      <w:r>
        <w:t>New c</w:t>
      </w:r>
      <w:r w:rsidRPr="00E90F45">
        <w:t xml:space="preserve">ommunity-based health </w:t>
      </w:r>
      <w:r>
        <w:t>and wellbeing services</w:t>
      </w:r>
      <w:r w:rsidRPr="00E90F45">
        <w:t xml:space="preserve"> </w:t>
      </w:r>
      <w:r>
        <w:t xml:space="preserve">for infants, children and </w:t>
      </w:r>
      <w:r w:rsidR="001B335C">
        <w:t>families</w:t>
      </w:r>
      <w:r>
        <w:t xml:space="preserve"> </w:t>
      </w:r>
    </w:p>
    <w:p w14:paraId="684CC89A" w14:textId="15D3B6E4" w:rsidR="000F2F29" w:rsidRDefault="000F2F29" w:rsidP="006D22F6">
      <w:pPr>
        <w:pStyle w:val="ListParagraph"/>
        <w:numPr>
          <w:ilvl w:val="0"/>
          <w:numId w:val="4"/>
        </w:numPr>
        <w:spacing w:line="24" w:lineRule="atLeast"/>
        <w:jc w:val="both"/>
        <w:rPr>
          <w:rFonts w:cstheme="minorBidi"/>
        </w:rPr>
      </w:pPr>
      <w:r>
        <w:rPr>
          <w:rFonts w:cstheme="minorBidi"/>
        </w:rPr>
        <w:t xml:space="preserve">The Commonwealth and </w:t>
      </w:r>
      <w:r w:rsidR="00E53987">
        <w:rPr>
          <w:rFonts w:cstheme="minorBidi"/>
        </w:rPr>
        <w:t>Victoria</w:t>
      </w:r>
      <w:r>
        <w:rPr>
          <w:rFonts w:cstheme="minorBidi"/>
        </w:rPr>
        <w:t xml:space="preserve"> </w:t>
      </w:r>
      <w:r w:rsidR="00630ACC">
        <w:rPr>
          <w:rFonts w:cstheme="minorBidi"/>
        </w:rPr>
        <w:t xml:space="preserve">agree to </w:t>
      </w:r>
      <w:r>
        <w:rPr>
          <w:rFonts w:cstheme="minorBidi"/>
        </w:rPr>
        <w:t>work collaboratively with the shared objective of improving access to multi</w:t>
      </w:r>
      <w:r w:rsidR="00E53987">
        <w:rPr>
          <w:rFonts w:cstheme="minorBidi"/>
        </w:rPr>
        <w:t xml:space="preserve">disciplinary team care for all age groups, including </w:t>
      </w:r>
      <w:r w:rsidR="00CC3FD7">
        <w:rPr>
          <w:rFonts w:cstheme="minorBidi"/>
        </w:rPr>
        <w:t>children.</w:t>
      </w:r>
    </w:p>
    <w:p w14:paraId="10D331A5" w14:textId="707A28F8" w:rsidR="00B102D3" w:rsidRDefault="001B335C" w:rsidP="006D22F6">
      <w:pPr>
        <w:pStyle w:val="ListParagraph"/>
        <w:numPr>
          <w:ilvl w:val="0"/>
          <w:numId w:val="4"/>
        </w:numPr>
        <w:spacing w:line="24" w:lineRule="atLeast"/>
        <w:jc w:val="both"/>
        <w:rPr>
          <w:rFonts w:cstheme="minorBidi"/>
        </w:rPr>
      </w:pPr>
      <w:r w:rsidRPr="001B335C">
        <w:rPr>
          <w:rFonts w:cstheme="minorBidi"/>
        </w:rPr>
        <w:t xml:space="preserve">New community-based health and wellbeing </w:t>
      </w:r>
      <w:r w:rsidR="00411F85">
        <w:rPr>
          <w:rFonts w:cstheme="minorBidi"/>
        </w:rPr>
        <w:t>hubs</w:t>
      </w:r>
      <w:r w:rsidRPr="001B335C">
        <w:rPr>
          <w:rFonts w:cstheme="minorBidi"/>
        </w:rPr>
        <w:t xml:space="preserve"> for infants, children and </w:t>
      </w:r>
      <w:proofErr w:type="gramStart"/>
      <w:r w:rsidRPr="001B335C">
        <w:rPr>
          <w:rFonts w:cstheme="minorBidi"/>
        </w:rPr>
        <w:t xml:space="preserve">families </w:t>
      </w:r>
      <w:r w:rsidR="00411F85">
        <w:rPr>
          <w:rFonts w:cstheme="minorBidi"/>
        </w:rPr>
        <w:t>(hubs)</w:t>
      </w:r>
      <w:proofErr w:type="gramEnd"/>
      <w:r w:rsidR="00411F85">
        <w:rPr>
          <w:rFonts w:cstheme="minorBidi"/>
        </w:rPr>
        <w:t xml:space="preserve"> </w:t>
      </w:r>
      <w:r w:rsidR="002E699E">
        <w:rPr>
          <w:rFonts w:cstheme="minorBidi"/>
        </w:rPr>
        <w:t xml:space="preserve">will be established to </w:t>
      </w:r>
      <w:r w:rsidR="00CF7B43">
        <w:rPr>
          <w:rFonts w:cstheme="minorBidi"/>
        </w:rPr>
        <w:t xml:space="preserve">provide developmentally appropriate </w:t>
      </w:r>
      <w:r w:rsidR="00350E00">
        <w:rPr>
          <w:rFonts w:cstheme="minorBidi"/>
        </w:rPr>
        <w:t xml:space="preserve">health, </w:t>
      </w:r>
      <w:r w:rsidR="00CF7B43">
        <w:rPr>
          <w:rFonts w:cstheme="minorBidi"/>
        </w:rPr>
        <w:t>mental health and wellbeing treatment, care and support</w:t>
      </w:r>
      <w:r w:rsidR="00492160">
        <w:rPr>
          <w:rFonts w:cstheme="minorBidi"/>
        </w:rPr>
        <w:t xml:space="preserve">. The </w:t>
      </w:r>
      <w:r w:rsidR="00694C84">
        <w:rPr>
          <w:rFonts w:cstheme="minorBidi"/>
        </w:rPr>
        <w:t>h</w:t>
      </w:r>
      <w:r w:rsidR="00492160">
        <w:rPr>
          <w:rFonts w:cstheme="minorBidi"/>
        </w:rPr>
        <w:t xml:space="preserve">ubs will strengthen support for parents, improve intervention in early life and increase access </w:t>
      </w:r>
      <w:r w:rsidR="00803B95">
        <w:rPr>
          <w:rFonts w:cstheme="minorBidi"/>
        </w:rPr>
        <w:t>to multidisciplinary care for children and their families.</w:t>
      </w:r>
    </w:p>
    <w:p w14:paraId="5CE76C69" w14:textId="0C622C01" w:rsidR="00803B95" w:rsidRDefault="00803B95" w:rsidP="006D22F6">
      <w:pPr>
        <w:pStyle w:val="ListParagraph"/>
        <w:numPr>
          <w:ilvl w:val="0"/>
          <w:numId w:val="4"/>
        </w:numPr>
        <w:spacing w:line="24" w:lineRule="atLeast"/>
        <w:jc w:val="both"/>
        <w:rPr>
          <w:rFonts w:cstheme="minorBidi"/>
        </w:rPr>
      </w:pPr>
      <w:r>
        <w:rPr>
          <w:rFonts w:cstheme="minorBidi"/>
        </w:rPr>
        <w:t>Each hub</w:t>
      </w:r>
      <w:r w:rsidR="008D6F8B">
        <w:rPr>
          <w:rFonts w:cstheme="minorBidi"/>
        </w:rPr>
        <w:t xml:space="preserve"> will be a </w:t>
      </w:r>
      <w:proofErr w:type="gramStart"/>
      <w:r w:rsidR="008D6F8B">
        <w:rPr>
          <w:rFonts w:cstheme="minorBidi"/>
        </w:rPr>
        <w:t>family friendly</w:t>
      </w:r>
      <w:proofErr w:type="gramEnd"/>
      <w:r w:rsidR="008D6F8B">
        <w:rPr>
          <w:rFonts w:cstheme="minorBidi"/>
        </w:rPr>
        <w:t xml:space="preserve"> </w:t>
      </w:r>
      <w:proofErr w:type="spellStart"/>
      <w:r w:rsidR="008D6F8B">
        <w:rPr>
          <w:rFonts w:cstheme="minorBidi"/>
        </w:rPr>
        <w:t>centre</w:t>
      </w:r>
      <w:proofErr w:type="spellEnd"/>
      <w:r w:rsidR="008D6F8B">
        <w:rPr>
          <w:rFonts w:cstheme="minorBidi"/>
        </w:rPr>
        <w:t>, and care will be supported by care coordinators and delivered by multidisciplinary care teams.</w:t>
      </w:r>
    </w:p>
    <w:p w14:paraId="2D3EC774" w14:textId="1982A111" w:rsidR="00A84F13" w:rsidRDefault="00A84F13" w:rsidP="006D22F6">
      <w:pPr>
        <w:pStyle w:val="ListParagraph"/>
        <w:numPr>
          <w:ilvl w:val="0"/>
          <w:numId w:val="4"/>
        </w:numPr>
        <w:spacing w:line="24" w:lineRule="atLeast"/>
        <w:jc w:val="both"/>
        <w:rPr>
          <w:rFonts w:cstheme="minorBidi"/>
        </w:rPr>
      </w:pPr>
      <w:r>
        <w:rPr>
          <w:rFonts w:cstheme="minorBidi"/>
        </w:rPr>
        <w:t xml:space="preserve">Each hub will support adequately supervised placements to train the mental health workforce. </w:t>
      </w:r>
    </w:p>
    <w:p w14:paraId="4A00E143" w14:textId="0791A4E6" w:rsidR="00065BE8" w:rsidRDefault="4E60C5D9" w:rsidP="006D22F6">
      <w:pPr>
        <w:pStyle w:val="ListParagraph"/>
        <w:numPr>
          <w:ilvl w:val="0"/>
          <w:numId w:val="4"/>
        </w:numPr>
        <w:spacing w:line="24" w:lineRule="atLeast"/>
        <w:jc w:val="both"/>
      </w:pPr>
      <w:r w:rsidRPr="37601358">
        <w:rPr>
          <w:rFonts w:cstheme="minorBidi"/>
        </w:rPr>
        <w:t>The Commonwealth</w:t>
      </w:r>
      <w:r w:rsidR="08FF92FD" w:rsidRPr="37601358">
        <w:rPr>
          <w:rFonts w:cstheme="minorBidi"/>
        </w:rPr>
        <w:t xml:space="preserve"> </w:t>
      </w:r>
      <w:r w:rsidRPr="37601358">
        <w:rPr>
          <w:rFonts w:cstheme="minorBidi"/>
        </w:rPr>
        <w:t>agree</w:t>
      </w:r>
      <w:r w:rsidR="5FD12047" w:rsidRPr="37601358">
        <w:rPr>
          <w:rFonts w:cstheme="minorBidi"/>
        </w:rPr>
        <w:t>s</w:t>
      </w:r>
      <w:r w:rsidRPr="37601358">
        <w:rPr>
          <w:rFonts w:cstheme="minorBidi"/>
        </w:rPr>
        <w:t xml:space="preserve"> to</w:t>
      </w:r>
      <w:r w:rsidR="000042FE">
        <w:rPr>
          <w:rFonts w:cstheme="minorBidi"/>
        </w:rPr>
        <w:t xml:space="preserve"> </w:t>
      </w:r>
      <w:r w:rsidR="000042FE">
        <w:t>p</w:t>
      </w:r>
      <w:r w:rsidR="0A1891D2" w:rsidRPr="001C6787">
        <w:t>rovide funding to Victoria to</w:t>
      </w:r>
      <w:r w:rsidR="008235C8">
        <w:t xml:space="preserve"> </w:t>
      </w:r>
      <w:r w:rsidR="00AE1D26">
        <w:t xml:space="preserve">support </w:t>
      </w:r>
      <w:r w:rsidR="0046783A" w:rsidRPr="001C6787">
        <w:t xml:space="preserve">the establishment and operation of </w:t>
      </w:r>
      <w:r w:rsidR="00A84F13">
        <w:t xml:space="preserve">three </w:t>
      </w:r>
      <w:r w:rsidR="00C96603" w:rsidRPr="001C6787">
        <w:t>Infant, child and family health and wellbeing hubs</w:t>
      </w:r>
      <w:r w:rsidR="005F71BD">
        <w:t>,</w:t>
      </w:r>
      <w:r w:rsidR="005F71BD" w:rsidRPr="000042FE">
        <w:rPr>
          <w:rFonts w:ascii="Calibri" w:hAnsi="Calibri" w:cs="Calibri"/>
        </w:rPr>
        <w:t xml:space="preserve"> co-branded commensurate with level of investment</w:t>
      </w:r>
      <w:r w:rsidR="005F71BD">
        <w:t>.</w:t>
      </w:r>
      <w:r w:rsidR="00786DDD">
        <w:t xml:space="preserve"> </w:t>
      </w:r>
    </w:p>
    <w:p w14:paraId="71FFA152" w14:textId="02012B52" w:rsidR="007856CE" w:rsidRDefault="00065BE8" w:rsidP="006D22F6">
      <w:pPr>
        <w:pStyle w:val="ListParagraph"/>
        <w:numPr>
          <w:ilvl w:val="0"/>
          <w:numId w:val="4"/>
        </w:numPr>
        <w:spacing w:line="24" w:lineRule="atLeast"/>
        <w:jc w:val="both"/>
      </w:pPr>
      <w:r>
        <w:rPr>
          <w:rFonts w:cstheme="minorBidi"/>
        </w:rPr>
        <w:t xml:space="preserve">Victoria agrees to deliver </w:t>
      </w:r>
      <w:r>
        <w:t xml:space="preserve">the hubs </w:t>
      </w:r>
      <w:r w:rsidR="003E04D8" w:rsidRPr="001C6787">
        <w:t xml:space="preserve">according to Victorian service specifications and </w:t>
      </w:r>
      <w:r w:rsidR="00D904A3" w:rsidRPr="001C6787">
        <w:t xml:space="preserve">aligned with the national </w:t>
      </w:r>
      <w:r w:rsidR="00ED1FC4">
        <w:t>Medicare Mental</w:t>
      </w:r>
      <w:r w:rsidR="00D904A3" w:rsidRPr="001C6787">
        <w:t xml:space="preserve"> Health Kids service model</w:t>
      </w:r>
      <w:r w:rsidR="0046783A" w:rsidRPr="001C6787">
        <w:t>.</w:t>
      </w:r>
      <w:r w:rsidR="15744E65" w:rsidRPr="000F184B">
        <w:t xml:space="preserve"> </w:t>
      </w:r>
    </w:p>
    <w:p w14:paraId="32732A21" w14:textId="77777777" w:rsidR="00E61F74" w:rsidRDefault="00140078" w:rsidP="006D22F6">
      <w:pPr>
        <w:pStyle w:val="ListParagraph"/>
        <w:numPr>
          <w:ilvl w:val="0"/>
          <w:numId w:val="4"/>
        </w:numPr>
        <w:spacing w:line="24" w:lineRule="atLeast"/>
        <w:jc w:val="both"/>
        <w:rPr>
          <w:rFonts w:cstheme="minorBidi"/>
        </w:rPr>
      </w:pPr>
      <w:r>
        <w:rPr>
          <w:rFonts w:cstheme="minorBidi"/>
        </w:rPr>
        <w:t xml:space="preserve">Victoria agrees to provide secondary consultation to primary care providers. </w:t>
      </w:r>
    </w:p>
    <w:p w14:paraId="57CA5CFE" w14:textId="4F956C93" w:rsidR="007856CE" w:rsidRPr="00BD7947" w:rsidRDefault="2BFC12F8" w:rsidP="006D22F6">
      <w:pPr>
        <w:pStyle w:val="ListParagraph"/>
        <w:numPr>
          <w:ilvl w:val="0"/>
          <w:numId w:val="4"/>
        </w:numPr>
        <w:spacing w:line="24" w:lineRule="atLeast"/>
        <w:jc w:val="both"/>
        <w:rPr>
          <w:rFonts w:cstheme="minorBidi"/>
        </w:rPr>
      </w:pPr>
      <w:r w:rsidRPr="00BD7947">
        <w:t>The Commonwealth and Victoria agree to:</w:t>
      </w:r>
    </w:p>
    <w:p w14:paraId="06ACDA07" w14:textId="0E7E6BBA" w:rsidR="00500533" w:rsidRPr="00BD7947" w:rsidRDefault="00500533" w:rsidP="006D22F6">
      <w:pPr>
        <w:pStyle w:val="ListParagraph"/>
        <w:numPr>
          <w:ilvl w:val="1"/>
          <w:numId w:val="4"/>
        </w:numPr>
        <w:spacing w:line="24" w:lineRule="atLeast"/>
        <w:jc w:val="both"/>
      </w:pPr>
      <w:r w:rsidRPr="00BD7947">
        <w:t>collaborate with PHNs to ensure integration between hubs and primary care mental health services.</w:t>
      </w:r>
    </w:p>
    <w:p w14:paraId="7C7181C0" w14:textId="796FD235" w:rsidR="00500533" w:rsidRDefault="00492913" w:rsidP="006D22F6">
      <w:pPr>
        <w:pStyle w:val="ListParagraph"/>
        <w:numPr>
          <w:ilvl w:val="1"/>
          <w:numId w:val="4"/>
        </w:numPr>
        <w:spacing w:line="24" w:lineRule="atLeast"/>
        <w:jc w:val="both"/>
      </w:pPr>
      <w:r>
        <w:rPr>
          <w:rFonts w:cstheme="minorBidi"/>
        </w:rPr>
        <w:t>w</w:t>
      </w:r>
      <w:r w:rsidRPr="37601358">
        <w:rPr>
          <w:rFonts w:cstheme="minorBidi"/>
        </w:rPr>
        <w:t>ork together to flexibly implement a model that integrates with and leverages existing services.</w:t>
      </w:r>
    </w:p>
    <w:p w14:paraId="298B940B" w14:textId="731586F1" w:rsidR="00500533" w:rsidRDefault="007C1369" w:rsidP="006D22F6">
      <w:pPr>
        <w:pStyle w:val="ListParagraph"/>
        <w:numPr>
          <w:ilvl w:val="1"/>
          <w:numId w:val="4"/>
        </w:numPr>
        <w:spacing w:line="24" w:lineRule="atLeast"/>
        <w:jc w:val="both"/>
      </w:pPr>
      <w:r>
        <w:t>undertake joint</w:t>
      </w:r>
      <w:r w:rsidR="00500533">
        <w:t xml:space="preserve"> capability building activities.</w:t>
      </w:r>
    </w:p>
    <w:p w14:paraId="1BE6C217" w14:textId="55C236C2" w:rsidR="002E6431" w:rsidRDefault="002E6431" w:rsidP="006D22F6">
      <w:pPr>
        <w:pStyle w:val="ListParagraph"/>
        <w:numPr>
          <w:ilvl w:val="1"/>
          <w:numId w:val="4"/>
        </w:numPr>
        <w:jc w:val="both"/>
      </w:pPr>
      <w:r>
        <w:rPr>
          <w:rFonts w:ascii="Calibri" w:hAnsi="Calibri" w:cs="Calibri"/>
        </w:rPr>
        <w:t xml:space="preserve">support supervised placements to train the mental health workforce. </w:t>
      </w:r>
    </w:p>
    <w:p w14:paraId="4EE07828" w14:textId="25B106B0" w:rsidR="000A5373" w:rsidRPr="001D4CFA" w:rsidRDefault="000A5373" w:rsidP="000F184B">
      <w:pPr>
        <w:pStyle w:val="ListParagraph"/>
        <w:rPr>
          <w:rFonts w:ascii="Calibri" w:eastAsia="Calibri" w:hAnsi="Calibri"/>
        </w:rPr>
      </w:pPr>
    </w:p>
    <w:p w14:paraId="4EE77CDE" w14:textId="4E4DC41A" w:rsidR="0046783A" w:rsidRDefault="006420EB" w:rsidP="008B047F">
      <w:pPr>
        <w:pStyle w:val="Heading2"/>
        <w:jc w:val="both"/>
      </w:pPr>
      <w:r w:rsidRPr="00900863">
        <w:t xml:space="preserve">Enhancement and </w:t>
      </w:r>
      <w:r w:rsidR="00ED3A59" w:rsidRPr="00900863">
        <w:t>Integration</w:t>
      </w:r>
      <w:r w:rsidRPr="00900863">
        <w:t xml:space="preserve"> of Youth Mental Health Services</w:t>
      </w:r>
    </w:p>
    <w:p w14:paraId="21AE2791" w14:textId="76F8E8C3" w:rsidR="008F49F6" w:rsidRPr="003D4C03" w:rsidRDefault="006420EB" w:rsidP="006D22F6">
      <w:pPr>
        <w:pStyle w:val="ListParagraph"/>
        <w:numPr>
          <w:ilvl w:val="0"/>
          <w:numId w:val="4"/>
        </w:numPr>
        <w:spacing w:line="24" w:lineRule="atLeast"/>
        <w:jc w:val="both"/>
        <w:rPr>
          <w:rFonts w:ascii="Calibri" w:hAnsi="Calibri" w:cs="Calibri"/>
        </w:rPr>
      </w:pPr>
      <w:r w:rsidRPr="00900863">
        <w:rPr>
          <w:rFonts w:ascii="Calibri" w:hAnsi="Calibri" w:cs="Calibri"/>
        </w:rPr>
        <w:t xml:space="preserve">The Commonwealth </w:t>
      </w:r>
      <w:r w:rsidR="003E1DD9">
        <w:rPr>
          <w:rFonts w:ascii="Calibri" w:hAnsi="Calibri" w:cs="Calibri"/>
        </w:rPr>
        <w:t>agrees to:</w:t>
      </w:r>
    </w:p>
    <w:p w14:paraId="2C3E68EF" w14:textId="135A6502" w:rsidR="00980F17" w:rsidRPr="00DA5E66" w:rsidRDefault="000042FE" w:rsidP="006D22F6">
      <w:pPr>
        <w:pStyle w:val="ListParagraph"/>
        <w:numPr>
          <w:ilvl w:val="1"/>
          <w:numId w:val="4"/>
        </w:numPr>
        <w:spacing w:line="24" w:lineRule="atLeast"/>
        <w:jc w:val="both"/>
        <w:rPr>
          <w:rFonts w:ascii="Calibri" w:hAnsi="Calibri" w:cs="Calibri"/>
        </w:rPr>
      </w:pPr>
      <w:r>
        <w:rPr>
          <w:rFonts w:cstheme="minorBidi"/>
        </w:rPr>
        <w:t>c</w:t>
      </w:r>
      <w:r w:rsidR="00980F17" w:rsidRPr="37601358">
        <w:rPr>
          <w:rFonts w:cstheme="minorBidi"/>
        </w:rPr>
        <w:t>ontinue to fund existing headspace services</w:t>
      </w:r>
      <w:r w:rsidR="00D50E12">
        <w:rPr>
          <w:rFonts w:cstheme="minorBidi"/>
        </w:rPr>
        <w:t xml:space="preserve"> at existing funding levels</w:t>
      </w:r>
      <w:r w:rsidR="008C0713" w:rsidRPr="37601358">
        <w:rPr>
          <w:rFonts w:cstheme="minorBidi"/>
        </w:rPr>
        <w:t>.</w:t>
      </w:r>
    </w:p>
    <w:p w14:paraId="2ABA6E39" w14:textId="3B0222FC" w:rsidR="008C0713" w:rsidRPr="00DA5E66" w:rsidRDefault="00DA335E" w:rsidP="006D22F6">
      <w:pPr>
        <w:pStyle w:val="ListParagraph"/>
        <w:numPr>
          <w:ilvl w:val="1"/>
          <w:numId w:val="4"/>
        </w:numPr>
        <w:spacing w:line="24" w:lineRule="atLeast"/>
        <w:jc w:val="both"/>
        <w:rPr>
          <w:rFonts w:ascii="Calibri" w:hAnsi="Calibri" w:cs="Calibri"/>
        </w:rPr>
      </w:pPr>
      <w:r>
        <w:rPr>
          <w:rFonts w:cstheme="minorBidi"/>
        </w:rPr>
        <w:t>f</w:t>
      </w:r>
      <w:r w:rsidR="00980F17" w:rsidRPr="37601358">
        <w:rPr>
          <w:rFonts w:cstheme="minorBidi"/>
        </w:rPr>
        <w:t xml:space="preserve">und the establishment </w:t>
      </w:r>
      <w:r w:rsidR="00F46410">
        <w:rPr>
          <w:rFonts w:cstheme="minorBidi"/>
        </w:rPr>
        <w:t xml:space="preserve">of two new headspace sites in Victoria </w:t>
      </w:r>
      <w:r w:rsidR="00980F17" w:rsidRPr="37601358">
        <w:rPr>
          <w:rFonts w:cstheme="minorBidi"/>
        </w:rPr>
        <w:t>at current funding level</w:t>
      </w:r>
      <w:r w:rsidR="008C0713" w:rsidRPr="37601358">
        <w:rPr>
          <w:rFonts w:cstheme="minorBidi"/>
        </w:rPr>
        <w:t>s</w:t>
      </w:r>
      <w:r w:rsidR="00F30D76">
        <w:rPr>
          <w:rFonts w:cstheme="minorBidi"/>
        </w:rPr>
        <w:t>.</w:t>
      </w:r>
    </w:p>
    <w:p w14:paraId="050186A2" w14:textId="385C14F7" w:rsidR="00980F17" w:rsidRPr="00DA5E66" w:rsidRDefault="00DA335E" w:rsidP="006D22F6">
      <w:pPr>
        <w:pStyle w:val="ListParagraph"/>
        <w:numPr>
          <w:ilvl w:val="1"/>
          <w:numId w:val="4"/>
        </w:numPr>
        <w:jc w:val="both"/>
        <w:rPr>
          <w:rFonts w:ascii="Calibri" w:hAnsi="Calibri" w:cs="Calibri"/>
        </w:rPr>
      </w:pPr>
      <w:r w:rsidRPr="7F6F52C8">
        <w:rPr>
          <w:rFonts w:cstheme="minorBidi"/>
        </w:rPr>
        <w:t>c</w:t>
      </w:r>
      <w:r w:rsidR="00D50E12" w:rsidRPr="7F6F52C8">
        <w:rPr>
          <w:rFonts w:cstheme="minorBidi"/>
        </w:rPr>
        <w:t xml:space="preserve">ontribute to </w:t>
      </w:r>
      <w:r w:rsidR="00980F17" w:rsidRPr="7F6F52C8">
        <w:rPr>
          <w:rFonts w:cstheme="minorBidi"/>
        </w:rPr>
        <w:t>the enhancement of new and existing headspace services</w:t>
      </w:r>
      <w:r w:rsidR="00F30D76" w:rsidRPr="7F6F52C8">
        <w:rPr>
          <w:rFonts w:cstheme="minorBidi"/>
        </w:rPr>
        <w:t>.</w:t>
      </w:r>
    </w:p>
    <w:p w14:paraId="67798795" w14:textId="43425EB8" w:rsidR="00980F17" w:rsidRPr="00C22F6F" w:rsidRDefault="00980F17" w:rsidP="006D22F6">
      <w:pPr>
        <w:pStyle w:val="ListParagraph"/>
        <w:numPr>
          <w:ilvl w:val="0"/>
          <w:numId w:val="4"/>
        </w:numPr>
        <w:spacing w:line="24" w:lineRule="atLeast"/>
        <w:jc w:val="both"/>
        <w:rPr>
          <w:rFonts w:ascii="Calibri" w:hAnsi="Calibri" w:cs="Calibri"/>
        </w:rPr>
      </w:pPr>
      <w:r w:rsidRPr="7F6F52C8">
        <w:rPr>
          <w:rFonts w:cstheme="minorBidi"/>
        </w:rPr>
        <w:t>Victoria agrees to:</w:t>
      </w:r>
    </w:p>
    <w:p w14:paraId="16F90DB7" w14:textId="30A588DE" w:rsidR="00C40025" w:rsidRDefault="000042FE" w:rsidP="7F6F52C8">
      <w:pPr>
        <w:pStyle w:val="ListParagraph"/>
        <w:numPr>
          <w:ilvl w:val="1"/>
          <w:numId w:val="4"/>
        </w:numPr>
        <w:jc w:val="both"/>
      </w:pPr>
      <w:r>
        <w:t>p</w:t>
      </w:r>
      <w:r w:rsidR="00C40025">
        <w:t xml:space="preserve">rovide clinical </w:t>
      </w:r>
      <w:r w:rsidR="2A03D823">
        <w:t xml:space="preserve">and other </w:t>
      </w:r>
      <w:r w:rsidR="00F8696E">
        <w:t xml:space="preserve">support </w:t>
      </w:r>
      <w:r w:rsidR="00A712E5">
        <w:t xml:space="preserve">to </w:t>
      </w:r>
      <w:r w:rsidR="603BCDE6">
        <w:t xml:space="preserve">enable integration such as </w:t>
      </w:r>
      <w:r w:rsidR="00F76EC1">
        <w:t>primary and secondary consultation</w:t>
      </w:r>
      <w:r w:rsidR="71951EEA">
        <w:t>, shared resources, formal partnerships and governance, capacity building and other aspects of shared care such as clinical review and intake review</w:t>
      </w:r>
      <w:r w:rsidR="004C090F">
        <w:t xml:space="preserve"> </w:t>
      </w:r>
      <w:r w:rsidR="00C40025">
        <w:t xml:space="preserve">from Area Youth Mental Health </w:t>
      </w:r>
      <w:r w:rsidR="00F76EC1">
        <w:t xml:space="preserve">and Wellbeing </w:t>
      </w:r>
      <w:r w:rsidR="00C40025">
        <w:t>Services to</w:t>
      </w:r>
      <w:r w:rsidR="00041975">
        <w:t xml:space="preserve"> support the enhancement of</w:t>
      </w:r>
      <w:r w:rsidR="00C40025">
        <w:t xml:space="preserve"> </w:t>
      </w:r>
      <w:r w:rsidR="00DA5E66">
        <w:t xml:space="preserve">new and existing </w:t>
      </w:r>
      <w:r w:rsidR="00C40025">
        <w:t>headspace services.</w:t>
      </w:r>
    </w:p>
    <w:p w14:paraId="1C48E2EB" w14:textId="70A2E53E" w:rsidR="0027745F" w:rsidRPr="00DA5E66" w:rsidRDefault="00C40025" w:rsidP="006D22F6">
      <w:pPr>
        <w:pStyle w:val="ListParagraph"/>
        <w:numPr>
          <w:ilvl w:val="0"/>
          <w:numId w:val="4"/>
        </w:numPr>
        <w:spacing w:line="24" w:lineRule="atLeast"/>
        <w:jc w:val="both"/>
        <w:rPr>
          <w:rFonts w:ascii="Calibri" w:hAnsi="Calibri" w:cs="Calibri"/>
        </w:rPr>
      </w:pPr>
      <w:r w:rsidRPr="7F6F52C8">
        <w:rPr>
          <w:rFonts w:ascii="Calibri" w:hAnsi="Calibri" w:cs="Calibri"/>
        </w:rPr>
        <w:t xml:space="preserve">The Commonwealth and Victoria </w:t>
      </w:r>
      <w:r w:rsidR="002B5DD4" w:rsidRPr="7F6F52C8">
        <w:rPr>
          <w:rFonts w:ascii="Calibri" w:hAnsi="Calibri" w:cs="Calibri"/>
        </w:rPr>
        <w:t>agree to:</w:t>
      </w:r>
    </w:p>
    <w:p w14:paraId="50647B92" w14:textId="51E04678" w:rsidR="00CB49C2" w:rsidRPr="00CB49C2" w:rsidRDefault="000042FE" w:rsidP="674487FF">
      <w:pPr>
        <w:pStyle w:val="ListParagraph"/>
        <w:numPr>
          <w:ilvl w:val="1"/>
          <w:numId w:val="4"/>
        </w:numPr>
        <w:jc w:val="both"/>
        <w:rPr>
          <w:rFonts w:cstheme="minorBidi"/>
        </w:rPr>
      </w:pPr>
      <w:proofErr w:type="gramStart"/>
      <w:r w:rsidRPr="7F6F52C8">
        <w:rPr>
          <w:rFonts w:cstheme="minorBidi"/>
        </w:rPr>
        <w:t>c</w:t>
      </w:r>
      <w:r w:rsidR="005B14C6" w:rsidRPr="7F6F52C8">
        <w:rPr>
          <w:rFonts w:cstheme="minorBidi"/>
        </w:rPr>
        <w:t>ollaborate</w:t>
      </w:r>
      <w:proofErr w:type="gramEnd"/>
      <w:r w:rsidR="00CB49C2" w:rsidRPr="7F6F52C8">
        <w:rPr>
          <w:rFonts w:cstheme="minorBidi"/>
        </w:rPr>
        <w:t xml:space="preserve"> with </w:t>
      </w:r>
      <w:r w:rsidR="00C22F6F" w:rsidRPr="7F6F52C8">
        <w:rPr>
          <w:rFonts w:cstheme="minorBidi"/>
        </w:rPr>
        <w:t xml:space="preserve">headspace National </w:t>
      </w:r>
      <w:r w:rsidR="00CB49C2" w:rsidRPr="7F6F52C8">
        <w:rPr>
          <w:rFonts w:cstheme="minorBidi"/>
        </w:rPr>
        <w:t>to develop agreed</w:t>
      </w:r>
      <w:r w:rsidR="00140078" w:rsidRPr="7F6F52C8">
        <w:rPr>
          <w:rFonts w:cstheme="minorBidi"/>
        </w:rPr>
        <w:t xml:space="preserve"> operational guidelines</w:t>
      </w:r>
      <w:r w:rsidR="00C64A8C" w:rsidRPr="7F6F52C8">
        <w:rPr>
          <w:rFonts w:cstheme="minorBidi"/>
        </w:rPr>
        <w:t xml:space="preserve"> </w:t>
      </w:r>
      <w:r w:rsidR="00C22F6F" w:rsidRPr="7F6F52C8">
        <w:rPr>
          <w:rFonts w:cstheme="minorBidi"/>
        </w:rPr>
        <w:t xml:space="preserve">for enhanced headspace services </w:t>
      </w:r>
      <w:r w:rsidR="00CB49C2">
        <w:t xml:space="preserve">that </w:t>
      </w:r>
      <w:proofErr w:type="gramStart"/>
      <w:r w:rsidR="00CB49C2">
        <w:t>builds</w:t>
      </w:r>
      <w:proofErr w:type="gramEnd"/>
      <w:r w:rsidR="00CB49C2">
        <w:t xml:space="preserve"> on </w:t>
      </w:r>
      <w:r w:rsidR="00CB49C2" w:rsidRPr="7F6F52C8">
        <w:rPr>
          <w:rFonts w:cstheme="minorBidi"/>
        </w:rPr>
        <w:t xml:space="preserve">the four pillars of the headspace </w:t>
      </w:r>
      <w:proofErr w:type="gramStart"/>
      <w:r w:rsidR="00CB49C2" w:rsidRPr="7F6F52C8">
        <w:rPr>
          <w:rFonts w:cstheme="minorBidi"/>
        </w:rPr>
        <w:t>model, and</w:t>
      </w:r>
      <w:proofErr w:type="gramEnd"/>
      <w:r w:rsidR="00CB49C2" w:rsidRPr="7F6F52C8">
        <w:rPr>
          <w:rFonts w:cstheme="minorBidi"/>
        </w:rPr>
        <w:t xml:space="preserve"> includes multi-disciplinary team care and family-based approaches to care.</w:t>
      </w:r>
    </w:p>
    <w:p w14:paraId="2D5CC8E7" w14:textId="0011EB1D" w:rsidR="00020B19" w:rsidRDefault="000042FE" w:rsidP="006D22F6">
      <w:pPr>
        <w:pStyle w:val="ListParagraph"/>
        <w:numPr>
          <w:ilvl w:val="1"/>
          <w:numId w:val="4"/>
        </w:numPr>
        <w:jc w:val="both"/>
      </w:pPr>
      <w:r>
        <w:t>s</w:t>
      </w:r>
      <w:r w:rsidR="00020B19" w:rsidRPr="00154E1F">
        <w:t xml:space="preserve">upport the development of formal partnerships, step-up and step-down referral pathways, shared staff and infrastructure and co-location between headspace </w:t>
      </w:r>
      <w:proofErr w:type="spellStart"/>
      <w:r w:rsidR="00020B19" w:rsidRPr="00154E1F">
        <w:t>centres</w:t>
      </w:r>
      <w:proofErr w:type="spellEnd"/>
      <w:r w:rsidR="00020B19" w:rsidRPr="00154E1F">
        <w:t xml:space="preserve"> and Infant, Child and Youth Area Mental Health and Wellbeing Services.</w:t>
      </w:r>
    </w:p>
    <w:p w14:paraId="10917360" w14:textId="5FCFE325" w:rsidR="00A84F13" w:rsidRDefault="000042FE" w:rsidP="006D22F6">
      <w:pPr>
        <w:pStyle w:val="ListParagraph"/>
        <w:numPr>
          <w:ilvl w:val="1"/>
          <w:numId w:val="4"/>
        </w:numPr>
        <w:jc w:val="both"/>
        <w:rPr>
          <w:rFonts w:ascii="Calibri" w:hAnsi="Calibri" w:cs="Calibri"/>
        </w:rPr>
      </w:pPr>
      <w:r>
        <w:rPr>
          <w:rFonts w:ascii="Calibri" w:hAnsi="Calibri" w:cs="Calibri"/>
        </w:rPr>
        <w:t>w</w:t>
      </w:r>
      <w:r w:rsidR="00D8286E" w:rsidRPr="00D8286E">
        <w:rPr>
          <w:rFonts w:ascii="Calibri" w:hAnsi="Calibri" w:cs="Calibri"/>
        </w:rPr>
        <w:t xml:space="preserve">ork with headspace National and Primary Health Networks to </w:t>
      </w:r>
      <w:r w:rsidR="004F6620">
        <w:rPr>
          <w:rFonts w:ascii="Calibri" w:hAnsi="Calibri" w:cs="Calibri"/>
        </w:rPr>
        <w:t xml:space="preserve">consider </w:t>
      </w:r>
      <w:r w:rsidR="00140078">
        <w:rPr>
          <w:rFonts w:ascii="Calibri" w:hAnsi="Calibri" w:cs="Calibri"/>
        </w:rPr>
        <w:t xml:space="preserve">opportunities </w:t>
      </w:r>
      <w:r w:rsidR="004F6620">
        <w:rPr>
          <w:rFonts w:ascii="Calibri" w:hAnsi="Calibri" w:cs="Calibri"/>
        </w:rPr>
        <w:t>for</w:t>
      </w:r>
      <w:r w:rsidR="00D8286E" w:rsidRPr="00D8286E">
        <w:rPr>
          <w:rFonts w:ascii="Calibri" w:hAnsi="Calibri" w:cs="Calibri"/>
        </w:rPr>
        <w:t xml:space="preserve"> Infant, Child and Youth Area Mental Health and Wellbeing Services</w:t>
      </w:r>
      <w:r w:rsidR="004F6620">
        <w:rPr>
          <w:rFonts w:ascii="Calibri" w:hAnsi="Calibri" w:cs="Calibri"/>
        </w:rPr>
        <w:t xml:space="preserve"> to</w:t>
      </w:r>
      <w:r w:rsidR="00D8286E" w:rsidRPr="00D8286E">
        <w:rPr>
          <w:rFonts w:ascii="Calibri" w:hAnsi="Calibri" w:cs="Calibri"/>
        </w:rPr>
        <w:t xml:space="preserve"> become the preferred providers of headspace </w:t>
      </w:r>
      <w:proofErr w:type="spellStart"/>
      <w:r w:rsidR="00D8286E" w:rsidRPr="00D8286E">
        <w:rPr>
          <w:rFonts w:ascii="Calibri" w:hAnsi="Calibri" w:cs="Calibri"/>
        </w:rPr>
        <w:t>centres</w:t>
      </w:r>
      <w:proofErr w:type="spellEnd"/>
      <w:r w:rsidR="004F6620">
        <w:rPr>
          <w:rFonts w:ascii="Calibri" w:hAnsi="Calibri" w:cs="Calibri"/>
        </w:rPr>
        <w:t>.</w:t>
      </w:r>
      <w:r w:rsidR="00D8286E" w:rsidRPr="00D8286E">
        <w:rPr>
          <w:rFonts w:ascii="Calibri" w:hAnsi="Calibri" w:cs="Calibri"/>
        </w:rPr>
        <w:t xml:space="preserve"> </w:t>
      </w:r>
    </w:p>
    <w:p w14:paraId="50ADB8C9" w14:textId="59557B29" w:rsidR="00D8286E" w:rsidRDefault="000042FE" w:rsidP="006D22F6">
      <w:pPr>
        <w:pStyle w:val="ListParagraph"/>
        <w:numPr>
          <w:ilvl w:val="1"/>
          <w:numId w:val="4"/>
        </w:numPr>
        <w:jc w:val="both"/>
        <w:rPr>
          <w:rFonts w:ascii="Calibri" w:hAnsi="Calibri" w:cs="Calibri"/>
        </w:rPr>
      </w:pPr>
      <w:r>
        <w:rPr>
          <w:rFonts w:ascii="Calibri" w:hAnsi="Calibri" w:cs="Calibri"/>
        </w:rPr>
        <w:t>s</w:t>
      </w:r>
      <w:r w:rsidR="00A84F13">
        <w:rPr>
          <w:rFonts w:ascii="Calibri" w:hAnsi="Calibri" w:cs="Calibri"/>
        </w:rPr>
        <w:t xml:space="preserve">upport adequately supervised placements to train the mental health and suicide prevention workforce. </w:t>
      </w:r>
    </w:p>
    <w:bookmarkEnd w:id="8"/>
    <w:p w14:paraId="0FEB0AAB" w14:textId="77777777" w:rsidR="00315805" w:rsidRPr="00900863" w:rsidRDefault="00315805" w:rsidP="008B047F">
      <w:pPr>
        <w:pStyle w:val="Heading2"/>
        <w:jc w:val="both"/>
      </w:pPr>
      <w:r w:rsidRPr="00900863">
        <w:t>Universal Aftercare Services</w:t>
      </w:r>
    </w:p>
    <w:p w14:paraId="470508DA" w14:textId="3F57A860" w:rsidR="00315805" w:rsidRPr="00694C84" w:rsidRDefault="7F9429D3" w:rsidP="006D22F6">
      <w:pPr>
        <w:pStyle w:val="ListParagraph"/>
        <w:numPr>
          <w:ilvl w:val="0"/>
          <w:numId w:val="4"/>
        </w:numPr>
        <w:spacing w:line="24" w:lineRule="atLeast"/>
        <w:jc w:val="both"/>
        <w:rPr>
          <w:rFonts w:ascii="Calibri" w:hAnsi="Calibri" w:cs="Calibri"/>
        </w:rPr>
      </w:pPr>
      <w:r w:rsidRPr="00694C84">
        <w:rPr>
          <w:rFonts w:ascii="Calibri" w:hAnsi="Calibri" w:cs="Calibri"/>
        </w:rPr>
        <w:t>The Commonwealth and Victoria agree to the objective of achieving universal aftercare</w:t>
      </w:r>
      <w:r w:rsidR="7AA12787" w:rsidRPr="00694C84">
        <w:rPr>
          <w:rFonts w:ascii="Calibri" w:hAnsi="Calibri" w:cs="Calibri"/>
        </w:rPr>
        <w:t xml:space="preserve"> </w:t>
      </w:r>
      <w:r w:rsidRPr="00694C84">
        <w:rPr>
          <w:rFonts w:ascii="Calibri" w:hAnsi="Calibri" w:cs="Calibri"/>
        </w:rPr>
        <w:t>services to support individuals following a suicide attempt and / or suicidal crisis.</w:t>
      </w:r>
    </w:p>
    <w:p w14:paraId="3517DC52" w14:textId="0B3BC434" w:rsidR="00AF4234" w:rsidRPr="00C379BF" w:rsidRDefault="401230A1" w:rsidP="006D22F6">
      <w:pPr>
        <w:pStyle w:val="ListParagraph"/>
        <w:numPr>
          <w:ilvl w:val="0"/>
          <w:numId w:val="4"/>
        </w:numPr>
        <w:spacing w:line="24" w:lineRule="atLeast"/>
        <w:jc w:val="both"/>
        <w:rPr>
          <w:rFonts w:ascii="Calibri" w:hAnsi="Calibri" w:cs="Calibri"/>
        </w:rPr>
      </w:pPr>
      <w:r w:rsidRPr="00694C84">
        <w:rPr>
          <w:rFonts w:ascii="Calibri" w:hAnsi="Calibri" w:cs="Calibri"/>
        </w:rPr>
        <w:t>Statewide</w:t>
      </w:r>
      <w:r w:rsidRPr="0079294C">
        <w:rPr>
          <w:rFonts w:ascii="Calibri" w:hAnsi="Calibri" w:cs="Calibri"/>
        </w:rPr>
        <w:t xml:space="preserve"> coverage for aftercare will </w:t>
      </w:r>
      <w:r w:rsidR="47AAE423" w:rsidRPr="0079294C">
        <w:rPr>
          <w:rFonts w:ascii="Calibri" w:hAnsi="Calibri" w:cs="Calibri"/>
        </w:rPr>
        <w:t>be achieved in line with the Royal Commission’s interim report through one site per area mental health service (total of 22) plus nine subregional outreach services</w:t>
      </w:r>
      <w:r w:rsidR="00806A3E">
        <w:rPr>
          <w:rFonts w:ascii="Calibri" w:hAnsi="Calibri" w:cs="Calibri"/>
        </w:rPr>
        <w:t>.</w:t>
      </w:r>
      <w:r w:rsidR="00C379BF">
        <w:rPr>
          <w:rFonts w:ascii="Calibri" w:hAnsi="Calibri" w:cs="Calibri"/>
        </w:rPr>
        <w:t xml:space="preserve"> </w:t>
      </w:r>
      <w:r w:rsidR="2232FE19" w:rsidRPr="00C379BF">
        <w:rPr>
          <w:rFonts w:ascii="Calibri" w:hAnsi="Calibri" w:cs="Calibri"/>
        </w:rPr>
        <w:t xml:space="preserve">All sites will deliver both clinical and psychosocial </w:t>
      </w:r>
      <w:proofErr w:type="gramStart"/>
      <w:r w:rsidR="2232FE19" w:rsidRPr="00C379BF">
        <w:rPr>
          <w:rFonts w:ascii="Calibri" w:hAnsi="Calibri" w:cs="Calibri"/>
        </w:rPr>
        <w:t>supports</w:t>
      </w:r>
      <w:proofErr w:type="gramEnd"/>
      <w:r w:rsidR="2232FE19" w:rsidRPr="00C379BF">
        <w:rPr>
          <w:rFonts w:ascii="Calibri" w:hAnsi="Calibri" w:cs="Calibri"/>
        </w:rPr>
        <w:t xml:space="preserve"> through the Hospital Outreach Post-suicidal after Engagement (HOPE) model of care.</w:t>
      </w:r>
    </w:p>
    <w:p w14:paraId="34A40879" w14:textId="17C95E53" w:rsidR="00724E5F" w:rsidRDefault="00724E5F" w:rsidP="006D22F6">
      <w:pPr>
        <w:pStyle w:val="ListParagraph"/>
        <w:numPr>
          <w:ilvl w:val="0"/>
          <w:numId w:val="4"/>
        </w:numPr>
        <w:spacing w:line="24" w:lineRule="atLeast"/>
        <w:jc w:val="both"/>
        <w:rPr>
          <w:rFonts w:ascii="Calibri" w:hAnsi="Calibri" w:cs="Calibri"/>
        </w:rPr>
      </w:pPr>
      <w:r>
        <w:rPr>
          <w:rFonts w:ascii="Calibri" w:hAnsi="Calibri" w:cs="Calibri"/>
        </w:rPr>
        <w:t>The Commonwealth agrees to:</w:t>
      </w:r>
    </w:p>
    <w:p w14:paraId="23345133" w14:textId="484CD63B" w:rsidR="00724E5F" w:rsidRPr="00F57A82" w:rsidRDefault="000042FE" w:rsidP="006D22F6">
      <w:pPr>
        <w:pStyle w:val="ListParagraph"/>
        <w:numPr>
          <w:ilvl w:val="1"/>
          <w:numId w:val="4"/>
        </w:numPr>
        <w:spacing w:line="24" w:lineRule="atLeast"/>
        <w:jc w:val="both"/>
        <w:rPr>
          <w:rFonts w:ascii="Calibri" w:hAnsi="Calibri" w:cs="Calibri"/>
        </w:rPr>
      </w:pPr>
      <w:r>
        <w:rPr>
          <w:rFonts w:ascii="Calibri" w:hAnsi="Calibri" w:cs="Calibri"/>
        </w:rPr>
        <w:t>p</w:t>
      </w:r>
      <w:r w:rsidR="00724E5F" w:rsidRPr="00900863">
        <w:rPr>
          <w:rFonts w:ascii="Calibri" w:hAnsi="Calibri" w:cs="Calibri"/>
        </w:rPr>
        <w:t>rovide</w:t>
      </w:r>
      <w:r w:rsidR="00DE0CB3">
        <w:rPr>
          <w:rFonts w:ascii="Calibri" w:hAnsi="Calibri" w:cs="Calibri"/>
        </w:rPr>
        <w:t xml:space="preserve"> ongoing</w:t>
      </w:r>
      <w:r w:rsidR="00724E5F" w:rsidRPr="00900863">
        <w:rPr>
          <w:rFonts w:ascii="Calibri" w:hAnsi="Calibri" w:cs="Calibri"/>
        </w:rPr>
        <w:t xml:space="preserve"> funding</w:t>
      </w:r>
      <w:r w:rsidR="00DE0CB3">
        <w:rPr>
          <w:rFonts w:ascii="Calibri" w:hAnsi="Calibri" w:cs="Calibri"/>
        </w:rPr>
        <w:t xml:space="preserve"> as</w:t>
      </w:r>
      <w:r w:rsidR="00724E5F" w:rsidRPr="00900863">
        <w:rPr>
          <w:rFonts w:ascii="Calibri" w:hAnsi="Calibri" w:cs="Calibri"/>
        </w:rPr>
        <w:t xml:space="preserve"> identified in this Schedule from the Commonwealth</w:t>
      </w:r>
      <w:r w:rsidR="00724E5F">
        <w:rPr>
          <w:rFonts w:ascii="Calibri" w:hAnsi="Calibri" w:cs="Calibri"/>
        </w:rPr>
        <w:t xml:space="preserve"> to Victoria</w:t>
      </w:r>
      <w:r w:rsidR="00724E5F" w:rsidRPr="00900863">
        <w:rPr>
          <w:rFonts w:ascii="Calibri" w:hAnsi="Calibri" w:cs="Calibri"/>
        </w:rPr>
        <w:t xml:space="preserve"> </w:t>
      </w:r>
      <w:r w:rsidR="0033037E">
        <w:rPr>
          <w:rFonts w:ascii="Calibri" w:hAnsi="Calibri" w:cs="Calibri"/>
        </w:rPr>
        <w:t>as a contribution to</w:t>
      </w:r>
      <w:r w:rsidR="00724E5F" w:rsidRPr="00900863">
        <w:rPr>
          <w:rFonts w:ascii="Calibri" w:hAnsi="Calibri" w:cs="Calibri"/>
        </w:rPr>
        <w:t xml:space="preserve"> </w:t>
      </w:r>
      <w:r w:rsidR="00724E5F">
        <w:rPr>
          <w:rFonts w:ascii="Calibri" w:hAnsi="Calibri" w:cs="Calibri"/>
        </w:rPr>
        <w:t>aftercare</w:t>
      </w:r>
      <w:r w:rsidR="00724E5F" w:rsidRPr="00900863">
        <w:rPr>
          <w:rFonts w:ascii="Calibri" w:hAnsi="Calibri" w:cs="Calibri"/>
        </w:rPr>
        <w:t xml:space="preserve"> services</w:t>
      </w:r>
      <w:r w:rsidR="00982160">
        <w:rPr>
          <w:rFonts w:ascii="Calibri" w:hAnsi="Calibri" w:cs="Calibri"/>
        </w:rPr>
        <w:t xml:space="preserve"> </w:t>
      </w:r>
      <w:proofErr w:type="gramStart"/>
      <w:r w:rsidR="00724E5F" w:rsidRPr="00900863">
        <w:rPr>
          <w:rFonts w:ascii="Calibri" w:hAnsi="Calibri" w:cs="Calibri"/>
        </w:rPr>
        <w:t>to be delivered</w:t>
      </w:r>
      <w:proofErr w:type="gramEnd"/>
      <w:r w:rsidR="00724E5F" w:rsidRPr="00900863">
        <w:rPr>
          <w:rFonts w:ascii="Calibri" w:hAnsi="Calibri" w:cs="Calibri"/>
        </w:rPr>
        <w:t xml:space="preserve"> in </w:t>
      </w:r>
      <w:r w:rsidR="00724E5F">
        <w:rPr>
          <w:rFonts w:ascii="Calibri" w:hAnsi="Calibri" w:cs="Calibri"/>
        </w:rPr>
        <w:t xml:space="preserve">Victoria </w:t>
      </w:r>
      <w:r w:rsidR="003053A2">
        <w:rPr>
          <w:rFonts w:ascii="Calibri" w:hAnsi="Calibri" w:cs="Calibri"/>
        </w:rPr>
        <w:t xml:space="preserve">via the </w:t>
      </w:r>
      <w:r w:rsidR="00EC6A58">
        <w:rPr>
          <w:rFonts w:ascii="Calibri" w:hAnsi="Calibri" w:cs="Calibri"/>
        </w:rPr>
        <w:t xml:space="preserve">HOPE </w:t>
      </w:r>
      <w:r w:rsidR="2232FE19" w:rsidRPr="37601358">
        <w:rPr>
          <w:rFonts w:ascii="Calibri" w:hAnsi="Calibri" w:cs="Calibri"/>
        </w:rPr>
        <w:t>model of care</w:t>
      </w:r>
      <w:r w:rsidR="00724E5F">
        <w:rPr>
          <w:rFonts w:ascii="Calibri" w:hAnsi="Calibri" w:cs="Calibri"/>
          <w:i/>
          <w:iCs/>
        </w:rPr>
        <w:t>.</w:t>
      </w:r>
      <w:r w:rsidR="005F71BD">
        <w:rPr>
          <w:rFonts w:ascii="Calibri" w:hAnsi="Calibri" w:cs="Calibri"/>
          <w:i/>
          <w:iCs/>
        </w:rPr>
        <w:t xml:space="preserve"> </w:t>
      </w:r>
    </w:p>
    <w:p w14:paraId="2D4B5303" w14:textId="23FC5651" w:rsidR="00AD78FB" w:rsidRPr="00AD78FB" w:rsidRDefault="00AD78FB" w:rsidP="006D22F6">
      <w:pPr>
        <w:pStyle w:val="ListParagraph"/>
        <w:numPr>
          <w:ilvl w:val="1"/>
          <w:numId w:val="4"/>
        </w:numPr>
        <w:spacing w:line="24" w:lineRule="atLeast"/>
        <w:jc w:val="both"/>
        <w:rPr>
          <w:rFonts w:ascii="Calibri" w:hAnsi="Calibri" w:cs="Calibri"/>
        </w:rPr>
      </w:pPr>
      <w:bookmarkStart w:id="9" w:name="_Hlk95289404"/>
      <w:r w:rsidRPr="00AD78FB">
        <w:rPr>
          <w:rFonts w:ascii="Calibri" w:hAnsi="Calibri" w:cs="Calibri"/>
        </w:rPr>
        <w:t>support the transition of</w:t>
      </w:r>
      <w:r w:rsidR="00AD70D2">
        <w:rPr>
          <w:rFonts w:ascii="Calibri" w:hAnsi="Calibri" w:cs="Calibri"/>
        </w:rPr>
        <w:t xml:space="preserve"> </w:t>
      </w:r>
      <w:r w:rsidRPr="00AD78FB">
        <w:rPr>
          <w:rFonts w:ascii="Calibri" w:hAnsi="Calibri" w:cs="Calibri"/>
        </w:rPr>
        <w:t xml:space="preserve">services funded under the </w:t>
      </w:r>
      <w:r w:rsidRPr="00C620CA">
        <w:rPr>
          <w:rFonts w:ascii="Calibri" w:hAnsi="Calibri" w:cs="Calibri"/>
          <w:i/>
          <w:iCs/>
        </w:rPr>
        <w:t xml:space="preserve">Aftercare following a suicide attempt </w:t>
      </w:r>
      <w:r w:rsidRPr="00C620CA">
        <w:rPr>
          <w:rFonts w:ascii="Calibri" w:hAnsi="Calibri" w:cs="Calibri"/>
        </w:rPr>
        <w:t>bilateral</w:t>
      </w:r>
      <w:r w:rsidRPr="00AD78FB">
        <w:rPr>
          <w:rFonts w:ascii="Calibri" w:hAnsi="Calibri" w:cs="Calibri"/>
        </w:rPr>
        <w:t xml:space="preserve"> agreement, into this Schedule</w:t>
      </w:r>
      <w:r w:rsidR="008164C9">
        <w:rPr>
          <w:rFonts w:ascii="Calibri" w:hAnsi="Calibri" w:cs="Calibri"/>
        </w:rPr>
        <w:t xml:space="preserve"> by transitioning to </w:t>
      </w:r>
      <w:r w:rsidRPr="00AD78FB">
        <w:rPr>
          <w:rFonts w:ascii="Calibri" w:hAnsi="Calibri" w:cs="Calibri"/>
        </w:rPr>
        <w:t xml:space="preserve">HOPE </w:t>
      </w:r>
      <w:r w:rsidR="008164C9">
        <w:rPr>
          <w:rFonts w:ascii="Calibri" w:hAnsi="Calibri" w:cs="Calibri"/>
        </w:rPr>
        <w:t xml:space="preserve">through </w:t>
      </w:r>
      <w:r w:rsidR="00E93B1B">
        <w:rPr>
          <w:rFonts w:ascii="Calibri" w:hAnsi="Calibri" w:cs="Calibri"/>
        </w:rPr>
        <w:t xml:space="preserve">extending </w:t>
      </w:r>
      <w:r w:rsidRPr="00AD78FB">
        <w:rPr>
          <w:rFonts w:ascii="Calibri" w:hAnsi="Calibri" w:cs="Calibri"/>
        </w:rPr>
        <w:t xml:space="preserve">the end date of the </w:t>
      </w:r>
      <w:r w:rsidRPr="004C615F">
        <w:rPr>
          <w:rFonts w:ascii="Calibri" w:hAnsi="Calibri" w:cs="Calibri"/>
          <w:i/>
        </w:rPr>
        <w:t xml:space="preserve">Aftercare following a suicide </w:t>
      </w:r>
      <w:proofErr w:type="gramStart"/>
      <w:r w:rsidRPr="004C615F">
        <w:rPr>
          <w:rFonts w:ascii="Calibri" w:hAnsi="Calibri" w:cs="Calibri"/>
          <w:i/>
        </w:rPr>
        <w:t>attempt</w:t>
      </w:r>
      <w:proofErr w:type="gramEnd"/>
      <w:r w:rsidRPr="00AD78FB">
        <w:rPr>
          <w:rFonts w:ascii="Calibri" w:hAnsi="Calibri" w:cs="Calibri"/>
        </w:rPr>
        <w:t xml:space="preserve"> bilateral agreement</w:t>
      </w:r>
      <w:r w:rsidR="00E93B1B">
        <w:rPr>
          <w:rFonts w:ascii="Calibri" w:hAnsi="Calibri" w:cs="Calibri"/>
        </w:rPr>
        <w:t xml:space="preserve"> to</w:t>
      </w:r>
      <w:r w:rsidRPr="00AD78FB">
        <w:rPr>
          <w:rFonts w:ascii="Calibri" w:hAnsi="Calibri" w:cs="Calibri"/>
        </w:rPr>
        <w:t xml:space="preserve"> 30 June 2023.</w:t>
      </w:r>
    </w:p>
    <w:bookmarkEnd w:id="9"/>
    <w:p w14:paraId="668046C4" w14:textId="2AF2D32D" w:rsidR="0033037E" w:rsidRPr="001A12E8" w:rsidRDefault="0033037E" w:rsidP="006D22F6">
      <w:pPr>
        <w:pStyle w:val="ListParagraph"/>
        <w:numPr>
          <w:ilvl w:val="0"/>
          <w:numId w:val="4"/>
        </w:numPr>
        <w:spacing w:line="24" w:lineRule="atLeast"/>
        <w:jc w:val="both"/>
        <w:rPr>
          <w:rFonts w:ascii="Calibri" w:hAnsi="Calibri" w:cs="Calibri"/>
        </w:rPr>
      </w:pPr>
      <w:r w:rsidRPr="001A12E8">
        <w:rPr>
          <w:rFonts w:ascii="Calibri" w:hAnsi="Calibri" w:cs="Calibri"/>
        </w:rPr>
        <w:t>Victoria agrees to:</w:t>
      </w:r>
    </w:p>
    <w:p w14:paraId="5BAB6797" w14:textId="2F21169B" w:rsidR="0033037E" w:rsidRDefault="000042FE" w:rsidP="006D22F6">
      <w:pPr>
        <w:pStyle w:val="ListParagraph"/>
        <w:numPr>
          <w:ilvl w:val="1"/>
          <w:numId w:val="4"/>
        </w:numPr>
        <w:spacing w:line="24" w:lineRule="atLeast"/>
        <w:jc w:val="both"/>
        <w:rPr>
          <w:rFonts w:ascii="Calibri" w:hAnsi="Calibri" w:cs="Calibri"/>
        </w:rPr>
      </w:pPr>
      <w:r>
        <w:rPr>
          <w:rFonts w:ascii="Calibri" w:hAnsi="Calibri" w:cs="Calibri"/>
        </w:rPr>
        <w:t>p</w:t>
      </w:r>
      <w:r w:rsidR="00B30769">
        <w:rPr>
          <w:rFonts w:ascii="Calibri" w:hAnsi="Calibri" w:cs="Calibri"/>
        </w:rPr>
        <w:t>rovide ongoing</w:t>
      </w:r>
      <w:r w:rsidR="00B30769" w:rsidRPr="00B30769">
        <w:rPr>
          <w:rFonts w:ascii="Calibri" w:hAnsi="Calibri" w:cs="Calibri"/>
        </w:rPr>
        <w:t xml:space="preserve"> funding</w:t>
      </w:r>
      <w:r w:rsidR="004C0DCD">
        <w:rPr>
          <w:rFonts w:ascii="Calibri" w:hAnsi="Calibri" w:cs="Calibri"/>
        </w:rPr>
        <w:t>, oversight and support</w:t>
      </w:r>
      <w:r w:rsidR="00B30769" w:rsidRPr="00B30769">
        <w:rPr>
          <w:rFonts w:ascii="Calibri" w:hAnsi="Calibri" w:cs="Calibri"/>
        </w:rPr>
        <w:t xml:space="preserve"> </w:t>
      </w:r>
      <w:r w:rsidR="00B30769">
        <w:rPr>
          <w:rFonts w:ascii="Calibri" w:hAnsi="Calibri" w:cs="Calibri"/>
        </w:rPr>
        <w:t xml:space="preserve">to </w:t>
      </w:r>
      <w:r w:rsidR="00B30769" w:rsidRPr="00B30769">
        <w:rPr>
          <w:rFonts w:ascii="Calibri" w:hAnsi="Calibri" w:cs="Calibri"/>
        </w:rPr>
        <w:t xml:space="preserve">all area mental health services to offer the </w:t>
      </w:r>
      <w:r w:rsidR="00B30769">
        <w:rPr>
          <w:rFonts w:ascii="Calibri" w:hAnsi="Calibri" w:cs="Calibri"/>
        </w:rPr>
        <w:t>HOPE</w:t>
      </w:r>
      <w:r w:rsidR="00B30769" w:rsidRPr="00B30769">
        <w:rPr>
          <w:rFonts w:ascii="Calibri" w:hAnsi="Calibri" w:cs="Calibri"/>
        </w:rPr>
        <w:t xml:space="preserve"> program</w:t>
      </w:r>
      <w:r w:rsidR="00E60628">
        <w:rPr>
          <w:rFonts w:ascii="Calibri" w:hAnsi="Calibri" w:cs="Calibri"/>
        </w:rPr>
        <w:t xml:space="preserve"> </w:t>
      </w:r>
      <w:r w:rsidR="00E60628" w:rsidRPr="00880ECA">
        <w:rPr>
          <w:rFonts w:ascii="Calibri" w:hAnsi="Calibri" w:cs="Calibri"/>
        </w:rPr>
        <w:t>for people discharged from hospital</w:t>
      </w:r>
      <w:r w:rsidR="00AA31AC">
        <w:rPr>
          <w:rFonts w:ascii="Calibri" w:hAnsi="Calibri" w:cs="Calibri"/>
        </w:rPr>
        <w:t xml:space="preserve"> </w:t>
      </w:r>
      <w:r w:rsidR="00E60628" w:rsidRPr="00880ECA">
        <w:rPr>
          <w:rFonts w:ascii="Calibri" w:hAnsi="Calibri" w:cs="Calibri"/>
        </w:rPr>
        <w:t>following a suicide attempt and / or suicidal crisis</w:t>
      </w:r>
      <w:r w:rsidR="00B30769">
        <w:rPr>
          <w:rFonts w:ascii="Calibri" w:hAnsi="Calibri" w:cs="Calibri"/>
        </w:rPr>
        <w:t>.</w:t>
      </w:r>
    </w:p>
    <w:p w14:paraId="74620750" w14:textId="21E7D1EE" w:rsidR="004E73CF" w:rsidRDefault="004E73CF" w:rsidP="006D22F6">
      <w:pPr>
        <w:pStyle w:val="ListParagraph"/>
        <w:numPr>
          <w:ilvl w:val="1"/>
          <w:numId w:val="4"/>
        </w:numPr>
        <w:spacing w:line="24" w:lineRule="atLeast"/>
        <w:jc w:val="both"/>
        <w:rPr>
          <w:rFonts w:ascii="Calibri" w:hAnsi="Calibri" w:cs="Calibri"/>
        </w:rPr>
      </w:pPr>
      <w:r>
        <w:rPr>
          <w:rFonts w:ascii="Calibri" w:hAnsi="Calibri" w:cs="Calibri"/>
        </w:rPr>
        <w:t xml:space="preserve">support the transition of the </w:t>
      </w:r>
      <w:r w:rsidR="000714E8">
        <w:rPr>
          <w:rFonts w:ascii="Calibri" w:hAnsi="Calibri" w:cs="Calibri"/>
        </w:rPr>
        <w:t>eight</w:t>
      </w:r>
      <w:r>
        <w:rPr>
          <w:rFonts w:ascii="Calibri" w:hAnsi="Calibri" w:cs="Calibri"/>
        </w:rPr>
        <w:t xml:space="preserve"> services funded under the</w:t>
      </w:r>
      <w:r>
        <w:rPr>
          <w:rFonts w:ascii="Calibri" w:hAnsi="Calibri" w:cs="Calibri"/>
          <w:i/>
          <w:iCs/>
        </w:rPr>
        <w:t xml:space="preserve"> Aftercare</w:t>
      </w:r>
      <w:r w:rsidRPr="000A4736">
        <w:rPr>
          <w:rFonts w:ascii="Calibri" w:hAnsi="Calibri" w:cs="Calibri"/>
          <w:i/>
          <w:iCs/>
        </w:rPr>
        <w:t xml:space="preserve"> following a suicide attempt </w:t>
      </w:r>
      <w:r w:rsidRPr="009E12ED">
        <w:rPr>
          <w:rFonts w:ascii="Calibri" w:hAnsi="Calibri" w:cs="Calibri"/>
        </w:rPr>
        <w:t>bilateral agreement</w:t>
      </w:r>
      <w:r>
        <w:rPr>
          <w:rFonts w:ascii="Calibri" w:hAnsi="Calibri" w:cs="Calibri"/>
        </w:rPr>
        <w:t xml:space="preserve"> </w:t>
      </w:r>
      <w:r w:rsidRPr="009E12ED">
        <w:rPr>
          <w:rFonts w:ascii="Calibri" w:hAnsi="Calibri" w:cs="Calibri"/>
        </w:rPr>
        <w:t xml:space="preserve">into this </w:t>
      </w:r>
      <w:r>
        <w:rPr>
          <w:rFonts w:ascii="Calibri" w:hAnsi="Calibri" w:cs="Calibri"/>
        </w:rPr>
        <w:t>Bilateral Schedule.</w:t>
      </w:r>
    </w:p>
    <w:p w14:paraId="3CE774C1" w14:textId="556D5B6B" w:rsidR="006E4E01" w:rsidRPr="0072500C" w:rsidRDefault="000042FE" w:rsidP="006D22F6">
      <w:pPr>
        <w:pStyle w:val="ListParagraph"/>
        <w:numPr>
          <w:ilvl w:val="1"/>
          <w:numId w:val="4"/>
        </w:numPr>
        <w:spacing w:line="24" w:lineRule="atLeast"/>
        <w:jc w:val="both"/>
        <w:rPr>
          <w:rFonts w:ascii="Calibri" w:hAnsi="Calibri" w:cs="Calibri"/>
        </w:rPr>
      </w:pPr>
      <w:r>
        <w:rPr>
          <w:rFonts w:ascii="Calibri" w:hAnsi="Calibri" w:cs="Calibri"/>
        </w:rPr>
        <w:t>e</w:t>
      </w:r>
      <w:r w:rsidR="00EC6A58">
        <w:rPr>
          <w:rFonts w:ascii="Calibri" w:hAnsi="Calibri" w:cs="Calibri"/>
        </w:rPr>
        <w:t xml:space="preserve">nsure the HOPE service model meets the minimum standards outlined in the </w:t>
      </w:r>
      <w:r w:rsidR="00EC6A58" w:rsidRPr="00BF1DD7">
        <w:rPr>
          <w:rFonts w:ascii="Calibri" w:hAnsi="Calibri" w:cs="Calibri"/>
          <w:i/>
          <w:iCs/>
        </w:rPr>
        <w:t>National Suicide Prevention Strategy</w:t>
      </w:r>
      <w:r w:rsidR="00EC6A58">
        <w:rPr>
          <w:rFonts w:ascii="Calibri" w:hAnsi="Calibri" w:cs="Calibri"/>
          <w:i/>
          <w:iCs/>
        </w:rPr>
        <w:t>.</w:t>
      </w:r>
    </w:p>
    <w:p w14:paraId="56817DD4" w14:textId="77777777" w:rsidR="008A561A" w:rsidRDefault="008A561A" w:rsidP="008A561A">
      <w:pPr>
        <w:pStyle w:val="Heading2"/>
        <w:jc w:val="both"/>
      </w:pPr>
      <w:r>
        <w:t>Aftercare services – expanded referral pathways trial</w:t>
      </w:r>
      <w:r w:rsidRPr="00900863">
        <w:t xml:space="preserve"> </w:t>
      </w:r>
    </w:p>
    <w:p w14:paraId="65BDCC89" w14:textId="46C83486" w:rsidR="00694C84" w:rsidRPr="008A561A" w:rsidRDefault="008A561A" w:rsidP="006D22F6">
      <w:pPr>
        <w:pStyle w:val="ListParagraph"/>
        <w:numPr>
          <w:ilvl w:val="0"/>
          <w:numId w:val="4"/>
        </w:numPr>
        <w:rPr>
          <w:rStyle w:val="normaltextrun"/>
          <w:rFonts w:ascii="Calibri" w:hAnsi="Calibri" w:cs="Calibri"/>
        </w:rPr>
      </w:pPr>
      <w:r w:rsidRPr="00922AAC">
        <w:rPr>
          <w:rFonts w:ascii="Calibri" w:hAnsi="Calibri" w:cs="Calibri"/>
        </w:rPr>
        <w:t>The Commonwealth and Victoria agree to</w:t>
      </w:r>
      <w:r w:rsidRPr="00C4732D">
        <w:t xml:space="preserve"> </w:t>
      </w:r>
      <w:r w:rsidR="008A5E68">
        <w:t>co-fund, on a 50:50 basis</w:t>
      </w:r>
      <w:r w:rsidRPr="00C4732D">
        <w:t xml:space="preserve"> equal joint funding for up to 2 sites in Victoria on a </w:t>
      </w:r>
      <w:r w:rsidR="0053798D">
        <w:t>four</w:t>
      </w:r>
      <w:r w:rsidR="0053798D" w:rsidRPr="00C4732D">
        <w:t>-year</w:t>
      </w:r>
      <w:r w:rsidRPr="00C4732D">
        <w:t xml:space="preserve"> trial basis to broaden the referral pathway for people identified in other contexts such as</w:t>
      </w:r>
      <w:r w:rsidRPr="55AF55D6">
        <w:rPr>
          <w:rStyle w:val="normaltextrun"/>
          <w:rFonts w:ascii="Calibri" w:hAnsi="Calibri" w:cs="Calibri"/>
          <w:color w:val="000000"/>
          <w:shd w:val="clear" w:color="auto" w:fill="FFFFFF"/>
        </w:rPr>
        <w:t xml:space="preserve"> G</w:t>
      </w:r>
      <w:r w:rsidR="008A5E68" w:rsidRPr="55AF55D6">
        <w:rPr>
          <w:rStyle w:val="normaltextrun"/>
          <w:rFonts w:ascii="Calibri" w:hAnsi="Calibri" w:cs="Calibri"/>
          <w:color w:val="000000"/>
          <w:shd w:val="clear" w:color="auto" w:fill="FFFFFF"/>
        </w:rPr>
        <w:t xml:space="preserve">eneral </w:t>
      </w:r>
      <w:r w:rsidRPr="55AF55D6">
        <w:rPr>
          <w:rStyle w:val="normaltextrun"/>
          <w:rFonts w:ascii="Calibri" w:hAnsi="Calibri" w:cs="Calibri"/>
          <w:color w:val="000000"/>
          <w:shd w:val="clear" w:color="auto" w:fill="FFFFFF"/>
        </w:rPr>
        <w:t>P</w:t>
      </w:r>
      <w:r w:rsidR="008A5E68" w:rsidRPr="55AF55D6">
        <w:rPr>
          <w:rStyle w:val="normaltextrun"/>
          <w:rFonts w:ascii="Calibri" w:hAnsi="Calibri" w:cs="Calibri"/>
          <w:color w:val="000000"/>
          <w:shd w:val="clear" w:color="auto" w:fill="FFFFFF"/>
        </w:rPr>
        <w:t>ractitioner</w:t>
      </w:r>
      <w:r w:rsidRPr="55AF55D6">
        <w:rPr>
          <w:rStyle w:val="normaltextrun"/>
          <w:rFonts w:ascii="Calibri" w:hAnsi="Calibri" w:cs="Calibri"/>
          <w:color w:val="000000"/>
          <w:shd w:val="clear" w:color="auto" w:fill="FFFFFF"/>
        </w:rPr>
        <w:t xml:space="preserve">s, emergency services, alcohol and other drug services and </w:t>
      </w:r>
      <w:r w:rsidR="00B54372" w:rsidRPr="55AF55D6">
        <w:rPr>
          <w:rStyle w:val="normaltextrun"/>
          <w:rFonts w:ascii="Calibri" w:hAnsi="Calibri" w:cs="Calibri"/>
          <w:color w:val="000000"/>
          <w:shd w:val="clear" w:color="auto" w:fill="FFFFFF"/>
        </w:rPr>
        <w:t>community-based</w:t>
      </w:r>
      <w:r w:rsidRPr="55AF55D6">
        <w:rPr>
          <w:rStyle w:val="normaltextrun"/>
          <w:rFonts w:ascii="Calibri" w:hAnsi="Calibri" w:cs="Calibri"/>
          <w:color w:val="000000"/>
          <w:shd w:val="clear" w:color="auto" w:fill="FFFFFF"/>
        </w:rPr>
        <w:t xml:space="preserve"> health services. </w:t>
      </w:r>
      <w:r w:rsidRPr="00922AAC">
        <w:rPr>
          <w:rStyle w:val="normaltextrun"/>
          <w:shd w:val="clear" w:color="auto" w:fill="FFFFFF"/>
        </w:rPr>
        <w:t> </w:t>
      </w:r>
    </w:p>
    <w:p w14:paraId="59A64F0E" w14:textId="5FC05575" w:rsidR="008A561A" w:rsidRPr="00900863" w:rsidRDefault="008A561A" w:rsidP="006D22F6">
      <w:pPr>
        <w:pStyle w:val="ListParagraph"/>
        <w:numPr>
          <w:ilvl w:val="0"/>
          <w:numId w:val="4"/>
        </w:numPr>
        <w:rPr>
          <w:rFonts w:eastAsia="Calibri"/>
        </w:rPr>
      </w:pPr>
      <w:r w:rsidRPr="004C4A05">
        <w:rPr>
          <w:rFonts w:ascii="Calibri" w:hAnsi="Calibri" w:cs="Calibri"/>
        </w:rPr>
        <w:t xml:space="preserve">Following evaluation of the trial, both </w:t>
      </w:r>
      <w:r w:rsidR="001F654F">
        <w:rPr>
          <w:rFonts w:ascii="Calibri" w:hAnsi="Calibri" w:cs="Calibri"/>
        </w:rPr>
        <w:t>P</w:t>
      </w:r>
      <w:r w:rsidRPr="004C4A05">
        <w:rPr>
          <w:rFonts w:ascii="Calibri" w:hAnsi="Calibri" w:cs="Calibri"/>
        </w:rPr>
        <w:t xml:space="preserve">arties will consider the ongoing provision of equal joint recurrent funding from 2025-26 to make expanded pathways into aftercare universally available. </w:t>
      </w:r>
    </w:p>
    <w:p w14:paraId="63B58DF3" w14:textId="07798E13" w:rsidR="006420EB" w:rsidRPr="00900863" w:rsidRDefault="006420EB" w:rsidP="008B047F">
      <w:pPr>
        <w:pStyle w:val="Heading2"/>
        <w:jc w:val="both"/>
      </w:pPr>
      <w:r w:rsidRPr="00900863">
        <w:t xml:space="preserve">Distress </w:t>
      </w:r>
      <w:r w:rsidR="000B06AB">
        <w:t xml:space="preserve">Brief </w:t>
      </w:r>
      <w:r w:rsidR="00084454">
        <w:t xml:space="preserve">Support brief </w:t>
      </w:r>
      <w:r w:rsidRPr="00900863">
        <w:t>Trial</w:t>
      </w:r>
    </w:p>
    <w:p w14:paraId="024F6EA0" w14:textId="424ABB13" w:rsidR="001A3A16" w:rsidRPr="001A3A16" w:rsidRDefault="00116076" w:rsidP="006D22F6">
      <w:pPr>
        <w:pStyle w:val="ListParagraph"/>
        <w:numPr>
          <w:ilvl w:val="0"/>
          <w:numId w:val="4"/>
        </w:numPr>
        <w:spacing w:line="24" w:lineRule="atLeast"/>
        <w:jc w:val="both"/>
        <w:rPr>
          <w:rFonts w:ascii="Calibri" w:hAnsi="Calibri" w:cs="Calibri"/>
        </w:rPr>
      </w:pPr>
      <w:r w:rsidRPr="00900863">
        <w:rPr>
          <w:rFonts w:ascii="Calibri" w:hAnsi="Calibri" w:cs="Calibri"/>
        </w:rPr>
        <w:t xml:space="preserve">The Commonwealth and </w:t>
      </w:r>
      <w:r w:rsidR="00040A97">
        <w:rPr>
          <w:rFonts w:ascii="Calibri" w:hAnsi="Calibri" w:cs="Calibri"/>
        </w:rPr>
        <w:t>Victoria</w:t>
      </w:r>
      <w:r w:rsidR="0046783A" w:rsidRPr="00900863">
        <w:rPr>
          <w:rFonts w:ascii="Calibri" w:hAnsi="Calibri" w:cs="Calibri"/>
        </w:rPr>
        <w:t xml:space="preserve"> </w:t>
      </w:r>
      <w:r w:rsidRPr="00900863">
        <w:rPr>
          <w:rFonts w:ascii="Calibri" w:hAnsi="Calibri" w:cs="Calibri"/>
        </w:rPr>
        <w:t xml:space="preserve">will work collaboratively with the shared objective of preventing and reducing suicidal </w:t>
      </w:r>
      <w:proofErr w:type="spellStart"/>
      <w:r w:rsidRPr="00900863">
        <w:rPr>
          <w:rFonts w:ascii="Calibri" w:hAnsi="Calibri" w:cs="Calibri"/>
        </w:rPr>
        <w:t>behaviour</w:t>
      </w:r>
      <w:proofErr w:type="spellEnd"/>
      <w:r w:rsidRPr="00900863">
        <w:rPr>
          <w:rFonts w:ascii="Calibri" w:hAnsi="Calibri" w:cs="Calibri"/>
        </w:rPr>
        <w:t xml:space="preserve"> in </w:t>
      </w:r>
      <w:r w:rsidR="00040A97">
        <w:rPr>
          <w:rFonts w:ascii="Calibri" w:hAnsi="Calibri" w:cs="Calibri"/>
        </w:rPr>
        <w:t>Victoria</w:t>
      </w:r>
      <w:r w:rsidR="0046783A" w:rsidRPr="00900863">
        <w:rPr>
          <w:rFonts w:ascii="Calibri" w:hAnsi="Calibri" w:cs="Calibri"/>
        </w:rPr>
        <w:t xml:space="preserve"> </w:t>
      </w:r>
      <w:r w:rsidRPr="00900863">
        <w:rPr>
          <w:rFonts w:ascii="Calibri" w:hAnsi="Calibri" w:cs="Calibri"/>
        </w:rPr>
        <w:t xml:space="preserve">through implementation of </w:t>
      </w:r>
      <w:r w:rsidR="001A3A16" w:rsidRPr="001A3A16">
        <w:rPr>
          <w:rFonts w:ascii="Calibri" w:hAnsi="Calibri" w:cs="Calibri"/>
        </w:rPr>
        <w:t>an intensive 14-day support program for adults who are experiencing psychological distress, modelled on Scotland’s distress brief Intervention program.</w:t>
      </w:r>
    </w:p>
    <w:p w14:paraId="350E53DD" w14:textId="5D4C2F30" w:rsidR="388D3C68" w:rsidRDefault="388D3C68" w:rsidP="006D22F6">
      <w:pPr>
        <w:pStyle w:val="ListParagraph"/>
        <w:numPr>
          <w:ilvl w:val="0"/>
          <w:numId w:val="4"/>
        </w:numPr>
        <w:spacing w:line="24" w:lineRule="atLeast"/>
        <w:jc w:val="both"/>
      </w:pPr>
      <w:r w:rsidRPr="37601358">
        <w:rPr>
          <w:rFonts w:ascii="Calibri" w:eastAsia="Calibri" w:hAnsi="Calibri" w:cs="Calibri"/>
        </w:rPr>
        <w:t xml:space="preserve">The program will be </w:t>
      </w:r>
      <w:r w:rsidR="004E6D31" w:rsidRPr="37601358">
        <w:rPr>
          <w:rFonts w:ascii="Calibri" w:eastAsia="Calibri" w:hAnsi="Calibri" w:cs="Calibri"/>
        </w:rPr>
        <w:t>trialed</w:t>
      </w:r>
      <w:r w:rsidRPr="37601358">
        <w:rPr>
          <w:rFonts w:ascii="Calibri" w:eastAsia="Calibri" w:hAnsi="Calibri" w:cs="Calibri"/>
        </w:rPr>
        <w:t xml:space="preserve"> at two sites in Victoria</w:t>
      </w:r>
      <w:r w:rsidR="259A2B87" w:rsidRPr="37601358">
        <w:rPr>
          <w:rFonts w:ascii="Calibri" w:eastAsia="Calibri" w:hAnsi="Calibri" w:cs="Calibri"/>
        </w:rPr>
        <w:t xml:space="preserve">, including a location in regional Victoria and a location in metropolitan Melbourne. </w:t>
      </w:r>
    </w:p>
    <w:p w14:paraId="6BF60558" w14:textId="72579A85" w:rsidR="00653FD5" w:rsidRDefault="0EE7F410" w:rsidP="006D22F6">
      <w:pPr>
        <w:pStyle w:val="ListParagraph"/>
        <w:numPr>
          <w:ilvl w:val="0"/>
          <w:numId w:val="4"/>
        </w:numPr>
        <w:spacing w:line="24" w:lineRule="atLeast"/>
        <w:jc w:val="both"/>
        <w:rPr>
          <w:rFonts w:ascii="Calibri" w:hAnsi="Calibri" w:cs="Calibri"/>
        </w:rPr>
      </w:pPr>
      <w:r w:rsidRPr="37601358">
        <w:rPr>
          <w:rFonts w:ascii="Calibri" w:hAnsi="Calibri" w:cs="Calibri"/>
        </w:rPr>
        <w:t xml:space="preserve">The trial sites will enable people presenting in psychological distress, who do not otherwise meet criteria to access clinical services, </w:t>
      </w:r>
      <w:r w:rsidR="00E154CC">
        <w:rPr>
          <w:rFonts w:ascii="Calibri" w:hAnsi="Calibri" w:cs="Calibri"/>
        </w:rPr>
        <w:t xml:space="preserve">and do not require emergency care, </w:t>
      </w:r>
      <w:r w:rsidRPr="37601358">
        <w:rPr>
          <w:rFonts w:ascii="Calibri" w:hAnsi="Calibri" w:cs="Calibri"/>
        </w:rPr>
        <w:t xml:space="preserve">to receive support and care-coordination before their distress escalates. </w:t>
      </w:r>
      <w:r w:rsidR="6E5BB677" w:rsidRPr="37601358">
        <w:rPr>
          <w:rFonts w:ascii="Calibri" w:hAnsi="Calibri" w:cs="Calibri"/>
        </w:rPr>
        <w:t>The trial will involve:</w:t>
      </w:r>
    </w:p>
    <w:p w14:paraId="0CA4C3FC" w14:textId="36DD6435" w:rsidR="00D734F3" w:rsidRPr="00D734F3" w:rsidRDefault="000042FE" w:rsidP="006D22F6">
      <w:pPr>
        <w:pStyle w:val="ListParagraph"/>
        <w:numPr>
          <w:ilvl w:val="1"/>
          <w:numId w:val="4"/>
        </w:numPr>
        <w:spacing w:line="24" w:lineRule="atLeast"/>
        <w:jc w:val="both"/>
        <w:rPr>
          <w:rFonts w:ascii="Calibri" w:hAnsi="Calibri" w:cs="Calibri"/>
          <w:lang w:val="en-AU"/>
        </w:rPr>
      </w:pPr>
      <w:r>
        <w:rPr>
          <w:rFonts w:ascii="Calibri" w:hAnsi="Calibri" w:cs="Calibri"/>
          <w:lang w:val="en-AU"/>
        </w:rPr>
        <w:t>a</w:t>
      </w:r>
      <w:r w:rsidR="7517B42C" w:rsidRPr="37601358">
        <w:rPr>
          <w:rFonts w:ascii="Calibri" w:hAnsi="Calibri" w:cs="Calibri"/>
          <w:lang w:val="en-AU"/>
        </w:rPr>
        <w:t xml:space="preserve"> training component to ensure that frontline workers can recognise signs of distress</w:t>
      </w:r>
      <w:r w:rsidR="00E154CC">
        <w:rPr>
          <w:rFonts w:ascii="Calibri" w:hAnsi="Calibri" w:cs="Calibri"/>
          <w:lang w:val="en-AU"/>
        </w:rPr>
        <w:t>, respond compassionately, and offer the individual a referral to a tailored intervention.</w:t>
      </w:r>
      <w:r w:rsidR="7517B42C" w:rsidRPr="37601358">
        <w:rPr>
          <w:rFonts w:ascii="Calibri" w:hAnsi="Calibri" w:cs="Calibri"/>
          <w:lang w:val="en-AU"/>
        </w:rPr>
        <w:t xml:space="preserve"> </w:t>
      </w:r>
    </w:p>
    <w:p w14:paraId="27FF4B41" w14:textId="665A1CD8" w:rsidR="00D734F3" w:rsidRPr="00D734F3" w:rsidRDefault="000042FE" w:rsidP="006D22F6">
      <w:pPr>
        <w:pStyle w:val="ListParagraph"/>
        <w:numPr>
          <w:ilvl w:val="1"/>
          <w:numId w:val="4"/>
        </w:numPr>
        <w:spacing w:line="24" w:lineRule="atLeast"/>
        <w:jc w:val="both"/>
        <w:rPr>
          <w:rFonts w:ascii="Calibri" w:hAnsi="Calibri" w:cs="Calibri"/>
          <w:lang w:val="en-AU"/>
        </w:rPr>
      </w:pPr>
      <w:r>
        <w:rPr>
          <w:rFonts w:ascii="Calibri" w:hAnsi="Calibri" w:cs="Calibri"/>
          <w:lang w:val="en-AU"/>
        </w:rPr>
        <w:t>d</w:t>
      </w:r>
      <w:r w:rsidR="7517B42C" w:rsidRPr="37601358">
        <w:rPr>
          <w:rFonts w:ascii="Calibri" w:hAnsi="Calibri" w:cs="Calibri"/>
          <w:lang w:val="en-AU"/>
        </w:rPr>
        <w:t xml:space="preserve">eveloping regionally based government and community level referral pathways, using existing structures and service providers, to deliver a brief and proactive intervention to ensure all people presenting in distress can access immediate support and care coordination </w:t>
      </w:r>
      <w:r w:rsidR="7517B42C" w:rsidRPr="002B13FD">
        <w:rPr>
          <w:rFonts w:ascii="Calibri" w:hAnsi="Calibri" w:cs="Calibri"/>
          <w:lang w:val="en-AU"/>
        </w:rPr>
        <w:t xml:space="preserve">for a period of up to 14 days </w:t>
      </w:r>
      <w:r w:rsidR="7517B42C" w:rsidRPr="37601358">
        <w:rPr>
          <w:rFonts w:ascii="Calibri" w:hAnsi="Calibri" w:cs="Calibri"/>
          <w:lang w:val="en-AU"/>
        </w:rPr>
        <w:t>that links them to ongoing supports that fit their needs, and equips people with the skills and supports to manage their own health and to prevent future crisis.</w:t>
      </w:r>
    </w:p>
    <w:p w14:paraId="07F6B2A4" w14:textId="7A3345FF" w:rsidR="00D734F3" w:rsidRPr="00D734F3" w:rsidRDefault="000042FE" w:rsidP="006D22F6">
      <w:pPr>
        <w:pStyle w:val="ListParagraph"/>
        <w:numPr>
          <w:ilvl w:val="1"/>
          <w:numId w:val="4"/>
        </w:numPr>
        <w:spacing w:line="24" w:lineRule="atLeast"/>
        <w:jc w:val="both"/>
        <w:rPr>
          <w:rFonts w:ascii="Calibri" w:hAnsi="Calibri" w:cs="Calibri"/>
          <w:lang w:val="en-AU"/>
        </w:rPr>
      </w:pPr>
      <w:r>
        <w:rPr>
          <w:rFonts w:ascii="Calibri" w:hAnsi="Calibri" w:cs="Calibri"/>
          <w:lang w:val="en-AU"/>
        </w:rPr>
        <w:t>p</w:t>
      </w:r>
      <w:r w:rsidR="7517B42C" w:rsidRPr="37601358">
        <w:rPr>
          <w:rFonts w:ascii="Calibri" w:hAnsi="Calibri" w:cs="Calibri"/>
          <w:lang w:val="en-AU"/>
        </w:rPr>
        <w:t xml:space="preserve">roviding support within 24 hours of </w:t>
      </w:r>
      <w:r w:rsidR="00E154CC">
        <w:rPr>
          <w:rFonts w:ascii="Calibri" w:hAnsi="Calibri" w:cs="Calibri"/>
          <w:lang w:val="en-AU"/>
        </w:rPr>
        <w:t>an individual’s referral</w:t>
      </w:r>
      <w:r w:rsidR="7517B42C" w:rsidRPr="37601358">
        <w:rPr>
          <w:rFonts w:ascii="Calibri" w:hAnsi="Calibri" w:cs="Calibri"/>
          <w:lang w:val="en-AU"/>
        </w:rPr>
        <w:t xml:space="preserve">, tailored to their individual needs, including accessing early intervention and prevention care and referrals to community-based services such as financial or relationship counselling.  </w:t>
      </w:r>
    </w:p>
    <w:p w14:paraId="3008DA37" w14:textId="5CE5ACF4" w:rsidR="00D734F3" w:rsidRPr="00D734F3" w:rsidRDefault="000042FE" w:rsidP="006D22F6">
      <w:pPr>
        <w:pStyle w:val="ListParagraph"/>
        <w:numPr>
          <w:ilvl w:val="1"/>
          <w:numId w:val="4"/>
        </w:numPr>
        <w:spacing w:line="24" w:lineRule="atLeast"/>
        <w:jc w:val="both"/>
        <w:rPr>
          <w:rFonts w:ascii="Calibri" w:hAnsi="Calibri" w:cs="Calibri"/>
          <w:lang w:val="en-AU"/>
        </w:rPr>
      </w:pPr>
      <w:r>
        <w:rPr>
          <w:rFonts w:ascii="Calibri" w:hAnsi="Calibri" w:cs="Calibri"/>
          <w:lang w:val="en-AU"/>
        </w:rPr>
        <w:t>a</w:t>
      </w:r>
      <w:r w:rsidR="7517B42C" w:rsidRPr="002B13FD">
        <w:rPr>
          <w:rFonts w:ascii="Calibri" w:hAnsi="Calibri" w:cs="Calibri"/>
          <w:lang w:val="en-AU"/>
        </w:rPr>
        <w:t xml:space="preserve"> balance of face to face and digital delivery of services. </w:t>
      </w:r>
    </w:p>
    <w:p w14:paraId="6832287C" w14:textId="757DDFAD" w:rsidR="000B03C8" w:rsidRDefault="000B03C8" w:rsidP="006D22F6">
      <w:pPr>
        <w:pStyle w:val="ListParagraph"/>
        <w:widowControl/>
        <w:numPr>
          <w:ilvl w:val="0"/>
          <w:numId w:val="4"/>
        </w:numPr>
        <w:spacing w:line="24" w:lineRule="atLeast"/>
        <w:jc w:val="both"/>
        <w:rPr>
          <w:rFonts w:cs="Times New Roman"/>
          <w:lang w:val="en-AU"/>
        </w:rPr>
      </w:pPr>
      <w:r>
        <w:t xml:space="preserve">Victoria agrees to lead the trial’s phased implementation in specified settings, which will be considered during program design, taking into account local </w:t>
      </w:r>
      <w:proofErr w:type="gramStart"/>
      <w:r>
        <w:t>need</w:t>
      </w:r>
      <w:proofErr w:type="gramEnd"/>
      <w:r>
        <w:t xml:space="preserve"> and lessons learned from the Scotland Distress Brief Intervention program. Settings will be </w:t>
      </w:r>
      <w:proofErr w:type="spellStart"/>
      <w:r>
        <w:t>formalised</w:t>
      </w:r>
      <w:proofErr w:type="spellEnd"/>
      <w:r>
        <w:t xml:space="preserve"> in the Implementation Plan and may include: </w:t>
      </w:r>
    </w:p>
    <w:p w14:paraId="67481109" w14:textId="77777777" w:rsidR="000B03C8" w:rsidRDefault="000B03C8" w:rsidP="006D22F6">
      <w:pPr>
        <w:pStyle w:val="ListParagraph"/>
        <w:widowControl/>
        <w:numPr>
          <w:ilvl w:val="1"/>
          <w:numId w:val="4"/>
        </w:numPr>
        <w:spacing w:line="24" w:lineRule="atLeast"/>
        <w:jc w:val="both"/>
      </w:pPr>
      <w:r>
        <w:t xml:space="preserve">commencing with General Practitioners and emergency services (police, ambulance) in Year 1; and </w:t>
      </w:r>
    </w:p>
    <w:p w14:paraId="52C26700" w14:textId="072BAA04" w:rsidR="000B03C8" w:rsidRDefault="000B03C8" w:rsidP="006D22F6">
      <w:pPr>
        <w:pStyle w:val="ListParagraph"/>
        <w:widowControl/>
        <w:numPr>
          <w:ilvl w:val="1"/>
          <w:numId w:val="4"/>
        </w:numPr>
        <w:spacing w:line="24" w:lineRule="atLeast"/>
        <w:jc w:val="both"/>
      </w:pPr>
      <w:r>
        <w:t xml:space="preserve">extending to referrals from front line workers (including justice and legal services, family violence services, alcohol </w:t>
      </w:r>
      <w:r w:rsidR="002B4018">
        <w:t xml:space="preserve">and other drug </w:t>
      </w:r>
      <w:r>
        <w:t xml:space="preserve">services, crisis phone lines and </w:t>
      </w:r>
      <w:r w:rsidR="002B4018">
        <w:t>social services</w:t>
      </w:r>
      <w:r>
        <w:t xml:space="preserve">) in Year 2. Self-referrals may also be accepted. </w:t>
      </w:r>
    </w:p>
    <w:p w14:paraId="4713855C" w14:textId="726A0120" w:rsidR="00D07DE0" w:rsidRPr="004C1BD2" w:rsidRDefault="00F30D76" w:rsidP="006D22F6">
      <w:pPr>
        <w:pStyle w:val="ListParagraph"/>
        <w:numPr>
          <w:ilvl w:val="1"/>
          <w:numId w:val="4"/>
        </w:numPr>
      </w:pPr>
      <w:r>
        <w:t xml:space="preserve">ensuring the </w:t>
      </w:r>
      <w:r w:rsidR="00116076" w:rsidRPr="004C1BD2">
        <w:t>cultural appropriate</w:t>
      </w:r>
      <w:r>
        <w:t>ness of the</w:t>
      </w:r>
      <w:r w:rsidR="00116076" w:rsidRPr="004C1BD2">
        <w:t xml:space="preserve"> Distress Intervention Trial Program</w:t>
      </w:r>
      <w:r>
        <w:t>.</w:t>
      </w:r>
    </w:p>
    <w:p w14:paraId="52EFEB58" w14:textId="2206E87B" w:rsidR="00116076" w:rsidRPr="00B72545" w:rsidRDefault="4C0F9509" w:rsidP="006D22F6">
      <w:pPr>
        <w:pStyle w:val="ListParagraph"/>
        <w:numPr>
          <w:ilvl w:val="0"/>
          <w:numId w:val="4"/>
        </w:numPr>
        <w:spacing w:line="24" w:lineRule="atLeast"/>
        <w:jc w:val="both"/>
        <w:rPr>
          <w:rFonts w:ascii="Calibri" w:hAnsi="Calibri" w:cs="Calibri"/>
        </w:rPr>
      </w:pPr>
      <w:r w:rsidRPr="00B72545">
        <w:rPr>
          <w:rFonts w:ascii="Calibri" w:hAnsi="Calibri" w:cs="Calibri"/>
        </w:rPr>
        <w:t xml:space="preserve">The Commonwealth and </w:t>
      </w:r>
      <w:r w:rsidR="6777DF03" w:rsidRPr="00B72545">
        <w:rPr>
          <w:rFonts w:ascii="Calibri" w:hAnsi="Calibri" w:cs="Calibri"/>
        </w:rPr>
        <w:t>Victoria</w:t>
      </w:r>
      <w:r w:rsidR="202A0552" w:rsidRPr="00B72545">
        <w:rPr>
          <w:rFonts w:ascii="Calibri" w:hAnsi="Calibri" w:cs="Calibri"/>
        </w:rPr>
        <w:t xml:space="preserve"> </w:t>
      </w:r>
      <w:r w:rsidRPr="00B72545">
        <w:rPr>
          <w:rFonts w:ascii="Calibri" w:hAnsi="Calibri" w:cs="Calibri"/>
        </w:rPr>
        <w:t xml:space="preserve">agree to work together </w:t>
      </w:r>
      <w:proofErr w:type="gramStart"/>
      <w:r w:rsidRPr="00B72545">
        <w:rPr>
          <w:rFonts w:ascii="Calibri" w:hAnsi="Calibri" w:cs="Calibri"/>
        </w:rPr>
        <w:t>to</w:t>
      </w:r>
      <w:proofErr w:type="gramEnd"/>
      <w:r w:rsidRPr="00B72545">
        <w:rPr>
          <w:rFonts w:ascii="Calibri" w:hAnsi="Calibri" w:cs="Calibri"/>
        </w:rPr>
        <w:t>:</w:t>
      </w:r>
    </w:p>
    <w:p w14:paraId="59246F66" w14:textId="0064E357" w:rsidR="00D757EC" w:rsidRPr="001A4139" w:rsidRDefault="000042FE" w:rsidP="006D22F6">
      <w:pPr>
        <w:pStyle w:val="ListParagraph"/>
        <w:numPr>
          <w:ilvl w:val="1"/>
          <w:numId w:val="5"/>
        </w:numPr>
        <w:spacing w:line="24" w:lineRule="atLeast"/>
        <w:jc w:val="both"/>
      </w:pPr>
      <w:r>
        <w:rPr>
          <w:rFonts w:ascii="Calibri" w:hAnsi="Calibri" w:cs="Calibri"/>
        </w:rPr>
        <w:t>c</w:t>
      </w:r>
      <w:r w:rsidR="00D757EC" w:rsidRPr="00900863">
        <w:rPr>
          <w:rFonts w:ascii="Calibri" w:hAnsi="Calibri" w:cs="Calibri"/>
        </w:rPr>
        <w:t>o-</w:t>
      </w:r>
      <w:proofErr w:type="gramStart"/>
      <w:r w:rsidR="00D757EC" w:rsidRPr="00900863">
        <w:rPr>
          <w:rFonts w:ascii="Calibri" w:hAnsi="Calibri" w:cs="Calibri"/>
        </w:rPr>
        <w:t>fund</w:t>
      </w:r>
      <w:proofErr w:type="gramEnd"/>
      <w:r w:rsidR="004C1BD2">
        <w:rPr>
          <w:rFonts w:ascii="Calibri" w:hAnsi="Calibri" w:cs="Calibri"/>
        </w:rPr>
        <w:t xml:space="preserve"> </w:t>
      </w:r>
      <w:r w:rsidR="009B729B">
        <w:rPr>
          <w:rFonts w:ascii="Calibri" w:hAnsi="Calibri" w:cs="Calibri"/>
        </w:rPr>
        <w:t>two</w:t>
      </w:r>
      <w:r w:rsidR="00D757EC" w:rsidRPr="00900863">
        <w:rPr>
          <w:rFonts w:ascii="Calibri" w:hAnsi="Calibri" w:cs="Calibri"/>
        </w:rPr>
        <w:t xml:space="preserve"> Distress </w:t>
      </w:r>
      <w:r w:rsidR="004E6D31">
        <w:rPr>
          <w:rFonts w:ascii="Calibri" w:hAnsi="Calibri" w:cs="Calibri"/>
        </w:rPr>
        <w:t xml:space="preserve">Support </w:t>
      </w:r>
      <w:r w:rsidR="00297D41">
        <w:rPr>
          <w:rFonts w:ascii="Calibri" w:hAnsi="Calibri" w:cs="Calibri"/>
        </w:rPr>
        <w:t>B</w:t>
      </w:r>
      <w:r w:rsidR="004E6D31">
        <w:rPr>
          <w:rFonts w:ascii="Calibri" w:hAnsi="Calibri" w:cs="Calibri"/>
        </w:rPr>
        <w:t>rief</w:t>
      </w:r>
      <w:r w:rsidR="004E6D31" w:rsidRPr="00900863">
        <w:rPr>
          <w:rFonts w:ascii="Calibri" w:hAnsi="Calibri" w:cs="Calibri"/>
        </w:rPr>
        <w:t xml:space="preserve"> </w:t>
      </w:r>
      <w:r w:rsidR="00D757EC" w:rsidRPr="00900863">
        <w:rPr>
          <w:rFonts w:ascii="Calibri" w:hAnsi="Calibri" w:cs="Calibri"/>
        </w:rPr>
        <w:t xml:space="preserve">Trial sites in </w:t>
      </w:r>
      <w:r w:rsidR="00040A97">
        <w:rPr>
          <w:rFonts w:ascii="Calibri" w:hAnsi="Calibri" w:cs="Calibri"/>
        </w:rPr>
        <w:t>Victoria</w:t>
      </w:r>
      <w:r w:rsidR="0046783A" w:rsidRPr="00900863">
        <w:rPr>
          <w:rFonts w:ascii="Calibri" w:hAnsi="Calibri" w:cs="Calibri"/>
        </w:rPr>
        <w:t xml:space="preserve"> </w:t>
      </w:r>
      <w:r w:rsidR="00D757EC" w:rsidRPr="00900863">
        <w:rPr>
          <w:rFonts w:ascii="Calibri" w:hAnsi="Calibri" w:cs="Calibri"/>
        </w:rPr>
        <w:t xml:space="preserve">with the objective of preventing and reducing suicidal </w:t>
      </w:r>
      <w:proofErr w:type="spellStart"/>
      <w:r w:rsidR="00D757EC" w:rsidRPr="00900863">
        <w:rPr>
          <w:rFonts w:ascii="Calibri" w:hAnsi="Calibri" w:cs="Calibri"/>
        </w:rPr>
        <w:t>behaviour</w:t>
      </w:r>
      <w:proofErr w:type="spellEnd"/>
      <w:r w:rsidR="002B64BF" w:rsidRPr="00900863">
        <w:rPr>
          <w:rFonts w:ascii="Calibri" w:hAnsi="Calibri" w:cs="Calibri"/>
        </w:rPr>
        <w:t xml:space="preserve"> through early intervention in non-mental health settings.</w:t>
      </w:r>
    </w:p>
    <w:p w14:paraId="65D2937D" w14:textId="3972422B" w:rsidR="00D757EC" w:rsidRPr="00900863" w:rsidRDefault="000042FE" w:rsidP="006D22F6">
      <w:pPr>
        <w:pStyle w:val="ListParagraph"/>
        <w:numPr>
          <w:ilvl w:val="1"/>
          <w:numId w:val="5"/>
        </w:numPr>
        <w:spacing w:line="24" w:lineRule="atLeast"/>
        <w:jc w:val="both"/>
      </w:pPr>
      <w:r>
        <w:rPr>
          <w:rFonts w:ascii="Calibri" w:hAnsi="Calibri" w:cs="Calibri"/>
        </w:rPr>
        <w:t>a</w:t>
      </w:r>
      <w:r w:rsidR="002B64BF" w:rsidRPr="00900863">
        <w:rPr>
          <w:rFonts w:ascii="Calibri" w:hAnsi="Calibri" w:cs="Calibri"/>
        </w:rPr>
        <w:t xml:space="preserve">gree on principles and objectives of the Distress </w:t>
      </w:r>
      <w:r w:rsidR="004E6D31">
        <w:rPr>
          <w:rFonts w:ascii="Calibri" w:hAnsi="Calibri" w:cs="Calibri"/>
        </w:rPr>
        <w:t xml:space="preserve">Support Brief </w:t>
      </w:r>
      <w:r w:rsidR="002B64BF" w:rsidRPr="00900863">
        <w:rPr>
          <w:rFonts w:ascii="Calibri" w:hAnsi="Calibri" w:cs="Calibri"/>
        </w:rPr>
        <w:t>Trial, including pilot locations</w:t>
      </w:r>
      <w:r w:rsidR="272370C8" w:rsidRPr="37601358">
        <w:rPr>
          <w:rFonts w:ascii="Calibri" w:hAnsi="Calibri" w:cs="Calibri"/>
        </w:rPr>
        <w:t xml:space="preserve"> in regional Victoria and metropolitan Melbourne</w:t>
      </w:r>
      <w:r w:rsidR="00F30D76">
        <w:rPr>
          <w:rFonts w:ascii="Calibri" w:hAnsi="Calibri" w:cs="Calibri"/>
        </w:rPr>
        <w:t>.</w:t>
      </w:r>
    </w:p>
    <w:p w14:paraId="28538CAA" w14:textId="3A7C60EC" w:rsidR="00A83484" w:rsidRDefault="000042FE" w:rsidP="006D22F6">
      <w:pPr>
        <w:pStyle w:val="ListParagraph"/>
        <w:numPr>
          <w:ilvl w:val="1"/>
          <w:numId w:val="5"/>
        </w:numPr>
        <w:spacing w:line="24" w:lineRule="atLeast"/>
        <w:jc w:val="both"/>
        <w:rPr>
          <w:rFonts w:ascii="Calibri" w:hAnsi="Calibri" w:cs="Calibri"/>
        </w:rPr>
      </w:pPr>
      <w:r>
        <w:rPr>
          <w:rFonts w:ascii="Calibri" w:hAnsi="Calibri" w:cs="Calibri"/>
        </w:rPr>
        <w:t>e</w:t>
      </w:r>
      <w:r w:rsidR="00A83484" w:rsidRPr="00912AFC">
        <w:rPr>
          <w:rFonts w:ascii="Calibri" w:hAnsi="Calibri" w:cs="Calibri"/>
        </w:rPr>
        <w:t>nsure the program integrates within the existing service system</w:t>
      </w:r>
      <w:r w:rsidR="00A83484">
        <w:rPr>
          <w:rFonts w:ascii="Calibri" w:hAnsi="Calibri" w:cs="Calibri"/>
        </w:rPr>
        <w:t>.</w:t>
      </w:r>
    </w:p>
    <w:p w14:paraId="139483FC" w14:textId="6F6142FD" w:rsidR="00BB19EF" w:rsidRPr="004D02EB" w:rsidRDefault="00BB19EF" w:rsidP="006D22F6">
      <w:pPr>
        <w:pStyle w:val="ListParagraph"/>
        <w:numPr>
          <w:ilvl w:val="0"/>
          <w:numId w:val="4"/>
        </w:numPr>
        <w:jc w:val="both"/>
        <w:rPr>
          <w:rFonts w:ascii="Calibri" w:hAnsi="Calibri" w:cs="Calibri"/>
        </w:rPr>
      </w:pPr>
      <w:r w:rsidRPr="004D02EB">
        <w:rPr>
          <w:rFonts w:ascii="Calibri" w:hAnsi="Calibri" w:cs="Calibri"/>
        </w:rPr>
        <w:t xml:space="preserve">Following evaluation of the trial, both </w:t>
      </w:r>
      <w:r w:rsidR="001F654F">
        <w:rPr>
          <w:rFonts w:ascii="Calibri" w:hAnsi="Calibri" w:cs="Calibri"/>
        </w:rPr>
        <w:t>P</w:t>
      </w:r>
      <w:r w:rsidRPr="004D02EB">
        <w:rPr>
          <w:rFonts w:ascii="Calibri" w:hAnsi="Calibri" w:cs="Calibri"/>
        </w:rPr>
        <w:t xml:space="preserve">arties will consider the ongoing provision of equal joint recurrent funding from 2025-26 to make access to Distress </w:t>
      </w:r>
      <w:r w:rsidR="00CA3748">
        <w:rPr>
          <w:rFonts w:ascii="Calibri" w:hAnsi="Calibri" w:cs="Calibri"/>
        </w:rPr>
        <w:t xml:space="preserve">Support </w:t>
      </w:r>
      <w:r w:rsidRPr="004D02EB">
        <w:rPr>
          <w:rFonts w:ascii="Calibri" w:hAnsi="Calibri" w:cs="Calibri"/>
        </w:rPr>
        <w:t xml:space="preserve">Brief </w:t>
      </w:r>
      <w:r w:rsidR="00F43B7E">
        <w:rPr>
          <w:rFonts w:ascii="Calibri" w:hAnsi="Calibri" w:cs="Calibri"/>
        </w:rPr>
        <w:t>Trial</w:t>
      </w:r>
      <w:r w:rsidR="00F43B7E" w:rsidRPr="004D02EB">
        <w:rPr>
          <w:rFonts w:ascii="Calibri" w:hAnsi="Calibri" w:cs="Calibri"/>
        </w:rPr>
        <w:t xml:space="preserve"> </w:t>
      </w:r>
      <w:r w:rsidRPr="004D02EB">
        <w:rPr>
          <w:rFonts w:ascii="Calibri" w:hAnsi="Calibri" w:cs="Calibri"/>
        </w:rPr>
        <w:t xml:space="preserve">programs universally available. </w:t>
      </w:r>
    </w:p>
    <w:p w14:paraId="5D94246A" w14:textId="77777777" w:rsidR="00BB19EF" w:rsidRPr="004D02EB" w:rsidRDefault="00BB19EF" w:rsidP="008B047F">
      <w:pPr>
        <w:spacing w:line="24" w:lineRule="atLeast"/>
        <w:jc w:val="both"/>
        <w:rPr>
          <w:rFonts w:ascii="Calibri" w:hAnsi="Calibri" w:cs="Calibri"/>
        </w:rPr>
      </w:pPr>
    </w:p>
    <w:p w14:paraId="3E9D917D" w14:textId="6469CC86" w:rsidR="006420EB" w:rsidRPr="00900863" w:rsidRDefault="006420EB" w:rsidP="008B047F">
      <w:pPr>
        <w:pStyle w:val="Heading2"/>
        <w:jc w:val="both"/>
      </w:pPr>
      <w:r w:rsidRPr="00900863">
        <w:t>Postvention Support</w:t>
      </w:r>
    </w:p>
    <w:p w14:paraId="06EF2A37" w14:textId="65E72945" w:rsidR="0028533D" w:rsidRDefault="6DCB1AD0" w:rsidP="006D22F6">
      <w:pPr>
        <w:pStyle w:val="ListParagraph"/>
        <w:numPr>
          <w:ilvl w:val="0"/>
          <w:numId w:val="4"/>
        </w:numPr>
        <w:spacing w:line="24" w:lineRule="atLeast"/>
        <w:jc w:val="both"/>
      </w:pPr>
      <w:r>
        <w:t xml:space="preserve">The Commonwealth and </w:t>
      </w:r>
      <w:r w:rsidR="02B1E5A3">
        <w:t>Victoria</w:t>
      </w:r>
      <w:r>
        <w:t xml:space="preserve"> agree to work collaboratively with the shared objective of preventing and reducing suicidal </w:t>
      </w:r>
      <w:proofErr w:type="spellStart"/>
      <w:r w:rsidR="02B1E5A3">
        <w:t>behaviour</w:t>
      </w:r>
      <w:proofErr w:type="spellEnd"/>
      <w:r>
        <w:t xml:space="preserve"> in </w:t>
      </w:r>
      <w:r w:rsidR="34985ADA">
        <w:t xml:space="preserve">Victoria and to ensure that, if suicidal </w:t>
      </w:r>
      <w:proofErr w:type="spellStart"/>
      <w:r w:rsidR="34985ADA">
        <w:t>behaviour</w:t>
      </w:r>
      <w:proofErr w:type="spellEnd"/>
      <w:r w:rsidR="34985ADA">
        <w:t xml:space="preserve"> does occur, evidenced based, compassionate responses are available from early stages of distress.</w:t>
      </w:r>
    </w:p>
    <w:p w14:paraId="767FFD13" w14:textId="79CDCCFC" w:rsidR="00904023" w:rsidRDefault="4F1C0D7F" w:rsidP="006D22F6">
      <w:pPr>
        <w:pStyle w:val="ListParagraph"/>
        <w:numPr>
          <w:ilvl w:val="0"/>
          <w:numId w:val="4"/>
        </w:numPr>
        <w:spacing w:line="24" w:lineRule="atLeast"/>
        <w:jc w:val="both"/>
      </w:pPr>
      <w:bookmarkStart w:id="10" w:name="_Hlk93585711"/>
      <w:r>
        <w:t xml:space="preserve">Postvention services will be tailored for and integrated into the </w:t>
      </w:r>
      <w:r w:rsidR="3457620B">
        <w:t>Victorian</w:t>
      </w:r>
      <w:r>
        <w:t xml:space="preserve"> </w:t>
      </w:r>
      <w:proofErr w:type="gramStart"/>
      <w:r>
        <w:t>system</w:t>
      </w:r>
      <w:r w:rsidR="00EB7C9D">
        <w:t>, and</w:t>
      </w:r>
      <w:proofErr w:type="gramEnd"/>
      <w:r w:rsidR="00E82C2E">
        <w:t xml:space="preserve"> </w:t>
      </w:r>
      <w:r w:rsidR="3FB981AB">
        <w:t>will deliver both community postvention responses and individual bereavement services</w:t>
      </w:r>
      <w:bookmarkEnd w:id="10"/>
      <w:r w:rsidR="43D8BE88">
        <w:t xml:space="preserve">. </w:t>
      </w:r>
    </w:p>
    <w:p w14:paraId="6E1AF52B" w14:textId="41DD000D" w:rsidR="00923EC0" w:rsidRPr="0097064F" w:rsidRDefault="0C78C9AB" w:rsidP="006D22F6">
      <w:pPr>
        <w:pStyle w:val="ListParagraph"/>
        <w:numPr>
          <w:ilvl w:val="0"/>
          <w:numId w:val="4"/>
        </w:numPr>
        <w:spacing w:line="24" w:lineRule="atLeast"/>
        <w:jc w:val="both"/>
      </w:pPr>
      <w:r>
        <w:t>Postvention</w:t>
      </w:r>
      <w:r w:rsidR="534E622B">
        <w:t xml:space="preserve"> services will </w:t>
      </w:r>
      <w:r w:rsidR="7D6519A2">
        <w:t>provide support through face to face, outreach and telephone support, as well as referrals to other support services based on individual client needs. The services will be accessibl</w:t>
      </w:r>
      <w:r w:rsidR="00A601F1">
        <w:t>e</w:t>
      </w:r>
      <w:r w:rsidR="7D6519A2">
        <w:t xml:space="preserve"> 24 hours a </w:t>
      </w:r>
      <w:proofErr w:type="gramStart"/>
      <w:r w:rsidR="7D6519A2">
        <w:t>day</w:t>
      </w:r>
      <w:proofErr w:type="gramEnd"/>
      <w:r w:rsidR="7D6519A2">
        <w:t xml:space="preserve"> 7 days a week and will provide free </w:t>
      </w:r>
      <w:proofErr w:type="gramStart"/>
      <w:r w:rsidR="7D6519A2">
        <w:t>face to face</w:t>
      </w:r>
      <w:proofErr w:type="gramEnd"/>
      <w:r w:rsidR="7D6519A2">
        <w:t xml:space="preserve"> or telephone support at a time and place that is best for the individual.</w:t>
      </w:r>
    </w:p>
    <w:p w14:paraId="3DE3312A" w14:textId="108CDC61" w:rsidR="0072097F" w:rsidRPr="00900863" w:rsidRDefault="0A5EBD97" w:rsidP="006D22F6">
      <w:pPr>
        <w:pStyle w:val="ListParagraph"/>
        <w:numPr>
          <w:ilvl w:val="0"/>
          <w:numId w:val="4"/>
        </w:numPr>
        <w:spacing w:line="24" w:lineRule="atLeast"/>
        <w:jc w:val="both"/>
      </w:pPr>
      <w:r w:rsidRPr="54CB3774">
        <w:rPr>
          <w:rFonts w:ascii="Calibri" w:hAnsi="Calibri" w:cs="Calibri"/>
        </w:rPr>
        <w:t xml:space="preserve">The Commonwealth and </w:t>
      </w:r>
      <w:r w:rsidR="6777DF03" w:rsidRPr="54CB3774">
        <w:rPr>
          <w:rFonts w:ascii="Calibri" w:hAnsi="Calibri" w:cs="Calibri"/>
        </w:rPr>
        <w:t>Victoria</w:t>
      </w:r>
      <w:r w:rsidR="202A0552" w:rsidRPr="54CB3774">
        <w:rPr>
          <w:rFonts w:ascii="Calibri" w:hAnsi="Calibri" w:cs="Calibri"/>
        </w:rPr>
        <w:t xml:space="preserve"> </w:t>
      </w:r>
      <w:r w:rsidRPr="54CB3774">
        <w:rPr>
          <w:rFonts w:ascii="Calibri" w:hAnsi="Calibri" w:cs="Calibri"/>
        </w:rPr>
        <w:t>agree to</w:t>
      </w:r>
      <w:r w:rsidR="595D5CDA" w:rsidRPr="54CB3774">
        <w:rPr>
          <w:rFonts w:ascii="Calibri" w:hAnsi="Calibri" w:cs="Calibri"/>
        </w:rPr>
        <w:t>:</w:t>
      </w:r>
    </w:p>
    <w:p w14:paraId="4FE20068" w14:textId="184B50F4" w:rsidR="006420EB" w:rsidRPr="004D02EB" w:rsidRDefault="000042FE" w:rsidP="006D22F6">
      <w:pPr>
        <w:pStyle w:val="ListParagraph"/>
        <w:numPr>
          <w:ilvl w:val="1"/>
          <w:numId w:val="4"/>
        </w:numPr>
        <w:spacing w:line="24" w:lineRule="atLeast"/>
        <w:jc w:val="both"/>
      </w:pPr>
      <w:r>
        <w:rPr>
          <w:rFonts w:ascii="Calibri" w:hAnsi="Calibri" w:cs="Calibri"/>
        </w:rPr>
        <w:t>c</w:t>
      </w:r>
      <w:r w:rsidR="0072097F" w:rsidRPr="00900863">
        <w:rPr>
          <w:rFonts w:ascii="Calibri" w:hAnsi="Calibri" w:cs="Calibri"/>
        </w:rPr>
        <w:t>o-fund</w:t>
      </w:r>
      <w:r w:rsidR="00A3099F" w:rsidRPr="00900863">
        <w:rPr>
          <w:rFonts w:ascii="Calibri" w:hAnsi="Calibri" w:cs="Calibri"/>
        </w:rPr>
        <w:t xml:space="preserve"> </w:t>
      </w:r>
      <w:proofErr w:type="spellStart"/>
      <w:r w:rsidR="00FD5E32">
        <w:rPr>
          <w:rFonts w:ascii="Calibri" w:hAnsi="Calibri" w:cs="Calibri"/>
        </w:rPr>
        <w:t>Youturn</w:t>
      </w:r>
      <w:proofErr w:type="spellEnd"/>
      <w:r w:rsidR="00FD5E32">
        <w:rPr>
          <w:rFonts w:ascii="Calibri" w:hAnsi="Calibri" w:cs="Calibri"/>
        </w:rPr>
        <w:t xml:space="preserve"> Ltd to deliver postvention support </w:t>
      </w:r>
      <w:r w:rsidR="00922AAC">
        <w:rPr>
          <w:rFonts w:ascii="Calibri" w:hAnsi="Calibri" w:cs="Calibri"/>
        </w:rPr>
        <w:t xml:space="preserve">through </w:t>
      </w:r>
      <w:r w:rsidR="00FD5E32">
        <w:rPr>
          <w:rFonts w:ascii="Calibri" w:hAnsi="Calibri" w:cs="Calibri"/>
        </w:rPr>
        <w:t xml:space="preserve">the </w:t>
      </w:r>
      <w:proofErr w:type="spellStart"/>
      <w:r w:rsidR="00A3099F" w:rsidRPr="00900863">
        <w:rPr>
          <w:rFonts w:ascii="Calibri" w:hAnsi="Calibri" w:cs="Calibri"/>
        </w:rPr>
        <w:t>StandBy</w:t>
      </w:r>
      <w:proofErr w:type="spellEnd"/>
      <w:r w:rsidR="00A3099F" w:rsidRPr="00900863">
        <w:rPr>
          <w:rFonts w:ascii="Calibri" w:hAnsi="Calibri" w:cs="Calibri"/>
        </w:rPr>
        <w:t xml:space="preserve"> Support After Suicide Program to ensure all people in </w:t>
      </w:r>
      <w:r w:rsidR="00040A97">
        <w:rPr>
          <w:rFonts w:ascii="Calibri" w:hAnsi="Calibri" w:cs="Calibri"/>
        </w:rPr>
        <w:t>Victoria</w:t>
      </w:r>
      <w:r w:rsidR="00D2447A">
        <w:rPr>
          <w:rFonts w:ascii="Calibri" w:hAnsi="Calibri" w:cs="Calibri"/>
        </w:rPr>
        <w:t xml:space="preserve"> </w:t>
      </w:r>
      <w:r w:rsidR="00FD5E32">
        <w:rPr>
          <w:rFonts w:ascii="Calibri" w:hAnsi="Calibri" w:cs="Calibri"/>
        </w:rPr>
        <w:t xml:space="preserve">who are bereaved or impacted by suicide </w:t>
      </w:r>
      <w:r w:rsidR="00A3099F" w:rsidRPr="00900863">
        <w:rPr>
          <w:rFonts w:ascii="Calibri" w:hAnsi="Calibri" w:cs="Calibri"/>
        </w:rPr>
        <w:t>can access its services</w:t>
      </w:r>
      <w:r w:rsidR="00FD5E32">
        <w:rPr>
          <w:rFonts w:ascii="Calibri" w:hAnsi="Calibri" w:cs="Calibri"/>
        </w:rPr>
        <w:t>.</w:t>
      </w:r>
      <w:r w:rsidR="00A3099F" w:rsidRPr="00900863">
        <w:rPr>
          <w:rFonts w:ascii="Calibri" w:hAnsi="Calibri" w:cs="Calibri"/>
        </w:rPr>
        <w:t xml:space="preserve"> </w:t>
      </w:r>
    </w:p>
    <w:p w14:paraId="5064EF11" w14:textId="1C6D5E9C" w:rsidR="005653A3" w:rsidRPr="00900863" w:rsidRDefault="000042FE" w:rsidP="006D22F6">
      <w:pPr>
        <w:pStyle w:val="ListParagraph"/>
        <w:numPr>
          <w:ilvl w:val="1"/>
          <w:numId w:val="4"/>
        </w:numPr>
        <w:spacing w:line="24" w:lineRule="atLeast"/>
        <w:jc w:val="both"/>
      </w:pPr>
      <w:r>
        <w:rPr>
          <w:rFonts w:ascii="Calibri" w:hAnsi="Calibri" w:cs="Calibri"/>
        </w:rPr>
        <w:t>s</w:t>
      </w:r>
      <w:r w:rsidR="2C71EF3F" w:rsidRPr="54CB3774">
        <w:rPr>
          <w:rFonts w:ascii="Calibri" w:hAnsi="Calibri" w:cs="Calibri"/>
        </w:rPr>
        <w:t xml:space="preserve">upport the National and Victorian Suicide Prevention offices to collaborate with </w:t>
      </w:r>
      <w:r w:rsidR="375713AB" w:rsidRPr="54CB3774">
        <w:rPr>
          <w:rFonts w:ascii="Calibri" w:hAnsi="Calibri" w:cs="Calibri"/>
        </w:rPr>
        <w:t xml:space="preserve">each other, </w:t>
      </w:r>
      <w:proofErr w:type="spellStart"/>
      <w:r w:rsidR="2C71EF3F" w:rsidRPr="54CB3774">
        <w:rPr>
          <w:rFonts w:ascii="Calibri" w:hAnsi="Calibri" w:cs="Calibri"/>
        </w:rPr>
        <w:t>StandBy</w:t>
      </w:r>
      <w:proofErr w:type="spellEnd"/>
      <w:r w:rsidR="375713AB" w:rsidRPr="54CB3774">
        <w:rPr>
          <w:rFonts w:ascii="Calibri" w:hAnsi="Calibri" w:cs="Calibri"/>
        </w:rPr>
        <w:t xml:space="preserve"> and its delivery partners, PHNs and othe</w:t>
      </w:r>
      <w:r w:rsidR="7FAD5F74" w:rsidRPr="54CB3774">
        <w:rPr>
          <w:rFonts w:ascii="Calibri" w:hAnsi="Calibri" w:cs="Calibri"/>
        </w:rPr>
        <w:t>r</w:t>
      </w:r>
      <w:r w:rsidR="375713AB" w:rsidRPr="54CB3774">
        <w:rPr>
          <w:rFonts w:ascii="Calibri" w:hAnsi="Calibri" w:cs="Calibri"/>
        </w:rPr>
        <w:t xml:space="preserve"> relevant service</w:t>
      </w:r>
      <w:r w:rsidR="7FAD5F74" w:rsidRPr="54CB3774">
        <w:rPr>
          <w:rFonts w:ascii="Calibri" w:hAnsi="Calibri" w:cs="Calibri"/>
        </w:rPr>
        <w:t>s to implement support for families, friends and communities affected by suicide.</w:t>
      </w:r>
    </w:p>
    <w:p w14:paraId="4228189F" w14:textId="77777777" w:rsidR="00A3099F" w:rsidRPr="00900863" w:rsidRDefault="00A3099F" w:rsidP="008B047F">
      <w:pPr>
        <w:pStyle w:val="Heading2"/>
        <w:jc w:val="both"/>
      </w:pPr>
      <w:r w:rsidRPr="00900863">
        <w:t>Perinatal Mental Health Screening</w:t>
      </w:r>
    </w:p>
    <w:p w14:paraId="3667A768" w14:textId="2B309F81" w:rsidR="000E5A20" w:rsidRPr="004142AE" w:rsidRDefault="000E5A20" w:rsidP="006D22F6">
      <w:pPr>
        <w:pStyle w:val="ListParagraph"/>
        <w:numPr>
          <w:ilvl w:val="0"/>
          <w:numId w:val="4"/>
        </w:numPr>
        <w:spacing w:line="24" w:lineRule="atLeast"/>
        <w:jc w:val="both"/>
        <w:rPr>
          <w:rFonts w:ascii="Calibri" w:hAnsi="Calibri" w:cs="Calibri"/>
        </w:rPr>
      </w:pPr>
      <w:r w:rsidRPr="54CB3774">
        <w:rPr>
          <w:rFonts w:ascii="Calibri" w:hAnsi="Calibri" w:cs="Calibri"/>
        </w:rPr>
        <w:t>The Commonwealth and Victoria agree to work collaboratively</w:t>
      </w:r>
      <w:r>
        <w:rPr>
          <w:rFonts w:ascii="Calibri" w:hAnsi="Calibri" w:cs="Calibri"/>
        </w:rPr>
        <w:t xml:space="preserve"> </w:t>
      </w:r>
      <w:r w:rsidRPr="004142AE">
        <w:rPr>
          <w:rFonts w:ascii="Calibri" w:hAnsi="Calibri" w:cs="Calibri"/>
        </w:rPr>
        <w:t xml:space="preserve">to build on existing infrastructure to enhance </w:t>
      </w:r>
      <w:r w:rsidR="00D50E12">
        <w:rPr>
          <w:rFonts w:ascii="Calibri" w:hAnsi="Calibri" w:cs="Calibri"/>
        </w:rPr>
        <w:t>collection</w:t>
      </w:r>
      <w:r w:rsidR="00D50E12" w:rsidRPr="004142AE">
        <w:rPr>
          <w:rFonts w:ascii="Calibri" w:hAnsi="Calibri" w:cs="Calibri"/>
        </w:rPr>
        <w:t xml:space="preserve"> </w:t>
      </w:r>
      <w:r w:rsidRPr="004142AE">
        <w:rPr>
          <w:rFonts w:ascii="Calibri" w:hAnsi="Calibri" w:cs="Calibri"/>
        </w:rPr>
        <w:t xml:space="preserve">and reporting of </w:t>
      </w:r>
      <w:r w:rsidR="006F59B7">
        <w:rPr>
          <w:rFonts w:ascii="Calibri" w:hAnsi="Calibri" w:cs="Calibri"/>
        </w:rPr>
        <w:t xml:space="preserve">nationally agreed </w:t>
      </w:r>
      <w:r w:rsidRPr="004142AE">
        <w:rPr>
          <w:rFonts w:ascii="Calibri" w:hAnsi="Calibri" w:cs="Calibri"/>
        </w:rPr>
        <w:t>perinatal mental health data from public antenatal and postnatal care settings in Victoria</w:t>
      </w:r>
      <w:r w:rsidR="004F6620">
        <w:rPr>
          <w:rFonts w:ascii="Calibri" w:hAnsi="Calibri" w:cs="Calibri"/>
        </w:rPr>
        <w:t>.</w:t>
      </w:r>
      <w:r w:rsidR="00D85A7A">
        <w:rPr>
          <w:rFonts w:ascii="Calibri" w:hAnsi="Calibri" w:cs="Calibri"/>
        </w:rPr>
        <w:t xml:space="preserve"> </w:t>
      </w:r>
    </w:p>
    <w:p w14:paraId="1D8ADE98" w14:textId="77777777" w:rsidR="00A32523" w:rsidRPr="0040696B" w:rsidRDefault="4E9087B8" w:rsidP="006D22F6">
      <w:pPr>
        <w:pStyle w:val="ListParagraph"/>
        <w:numPr>
          <w:ilvl w:val="0"/>
          <w:numId w:val="4"/>
        </w:numPr>
        <w:spacing w:line="24" w:lineRule="atLeast"/>
        <w:jc w:val="both"/>
        <w:rPr>
          <w:rFonts w:ascii="Calibri" w:hAnsi="Calibri" w:cs="Calibri"/>
        </w:rPr>
      </w:pPr>
      <w:r w:rsidRPr="37601358">
        <w:rPr>
          <w:rFonts w:ascii="Calibri" w:eastAsia="Calibri" w:hAnsi="Calibri" w:cs="Calibri"/>
        </w:rPr>
        <w:t>The Commonwealth agrees to</w:t>
      </w:r>
      <w:r w:rsidR="00786DDD">
        <w:rPr>
          <w:rFonts w:ascii="Calibri" w:eastAsia="Calibri" w:hAnsi="Calibri" w:cs="Calibri"/>
        </w:rPr>
        <w:t xml:space="preserve"> p</w:t>
      </w:r>
      <w:r w:rsidRPr="00894102">
        <w:rPr>
          <w:rFonts w:ascii="Calibri" w:eastAsia="Calibri" w:hAnsi="Calibri" w:cs="Calibri"/>
        </w:rPr>
        <w:t xml:space="preserve">rovide funding to </w:t>
      </w:r>
      <w:r w:rsidR="000E5A20" w:rsidRPr="00894102">
        <w:rPr>
          <w:rFonts w:ascii="Calibri" w:eastAsia="Calibri" w:hAnsi="Calibri" w:cs="Calibri"/>
        </w:rPr>
        <w:t xml:space="preserve">Victoria </w:t>
      </w:r>
      <w:r w:rsidR="00917894" w:rsidRPr="00894102">
        <w:rPr>
          <w:rFonts w:ascii="Calibri" w:eastAsia="Calibri" w:hAnsi="Calibri" w:cs="Calibri"/>
        </w:rPr>
        <w:t>to support the development of a perinatal mental health minimum data set</w:t>
      </w:r>
      <w:r w:rsidRPr="00894102">
        <w:rPr>
          <w:rFonts w:ascii="Calibri" w:eastAsia="Calibri" w:hAnsi="Calibri" w:cs="Calibri"/>
        </w:rPr>
        <w:t xml:space="preserve">. </w:t>
      </w:r>
    </w:p>
    <w:p w14:paraId="568C205D" w14:textId="610BD22C" w:rsidR="000E5A20" w:rsidRPr="00900863" w:rsidRDefault="3C099229" w:rsidP="006D22F6">
      <w:pPr>
        <w:pStyle w:val="ListParagraph"/>
        <w:numPr>
          <w:ilvl w:val="0"/>
          <w:numId w:val="4"/>
        </w:numPr>
        <w:spacing w:line="24" w:lineRule="atLeast"/>
        <w:jc w:val="both"/>
        <w:rPr>
          <w:rFonts w:ascii="Calibri" w:hAnsi="Calibri" w:cs="Calibri"/>
        </w:rPr>
      </w:pPr>
      <w:r w:rsidRPr="37601358">
        <w:rPr>
          <w:rFonts w:ascii="Calibri" w:hAnsi="Calibri" w:cs="Calibri"/>
        </w:rPr>
        <w:t xml:space="preserve">Victoria </w:t>
      </w:r>
      <w:r w:rsidR="000E5A20" w:rsidRPr="54CB3774">
        <w:rPr>
          <w:rFonts w:ascii="Calibri" w:hAnsi="Calibri" w:cs="Calibri"/>
        </w:rPr>
        <w:t>agrees to</w:t>
      </w:r>
      <w:r w:rsidR="16FE84D2" w:rsidRPr="37601358">
        <w:rPr>
          <w:rFonts w:ascii="Calibri" w:hAnsi="Calibri" w:cs="Calibri"/>
        </w:rPr>
        <w:t>:</w:t>
      </w:r>
    </w:p>
    <w:p w14:paraId="418E0D23" w14:textId="68976F42" w:rsidR="000E5A20" w:rsidRPr="00900863" w:rsidRDefault="000042FE" w:rsidP="006D22F6">
      <w:pPr>
        <w:pStyle w:val="ListParagraph"/>
        <w:numPr>
          <w:ilvl w:val="0"/>
          <w:numId w:val="12"/>
        </w:numPr>
        <w:spacing w:line="24" w:lineRule="atLeast"/>
        <w:ind w:left="1434" w:hanging="357"/>
        <w:jc w:val="both"/>
        <w:rPr>
          <w:rFonts w:eastAsiaTheme="minorEastAsia" w:cstheme="minorBidi"/>
        </w:rPr>
      </w:pPr>
      <w:r>
        <w:rPr>
          <w:rFonts w:ascii="Calibri" w:hAnsi="Calibri" w:cs="Calibri"/>
        </w:rPr>
        <w:t>w</w:t>
      </w:r>
      <w:r w:rsidR="00786DDD">
        <w:rPr>
          <w:rFonts w:ascii="Calibri" w:hAnsi="Calibri" w:cs="Calibri"/>
        </w:rPr>
        <w:t>o</w:t>
      </w:r>
      <w:r w:rsidR="000E5A20" w:rsidRPr="54CB3774">
        <w:rPr>
          <w:rFonts w:ascii="Calibri" w:hAnsi="Calibri" w:cs="Calibri"/>
        </w:rPr>
        <w:t>rk towards providing nationally consistent perinatal mental health data</w:t>
      </w:r>
      <w:r w:rsidR="0027486C">
        <w:rPr>
          <w:rFonts w:ascii="Calibri" w:hAnsi="Calibri" w:cs="Calibri"/>
        </w:rPr>
        <w:t>,</w:t>
      </w:r>
      <w:r w:rsidR="000E5A20" w:rsidRPr="54CB3774">
        <w:rPr>
          <w:rFonts w:ascii="Calibri" w:hAnsi="Calibri" w:cs="Calibri"/>
        </w:rPr>
        <w:t xml:space="preserve"> </w:t>
      </w:r>
      <w:r w:rsidR="007D40DA">
        <w:rPr>
          <w:rFonts w:ascii="Calibri" w:hAnsi="Calibri" w:cs="Calibri"/>
        </w:rPr>
        <w:t>via agreed mechanisms</w:t>
      </w:r>
      <w:r w:rsidR="0027486C">
        <w:rPr>
          <w:rFonts w:ascii="Calibri" w:hAnsi="Calibri" w:cs="Calibri"/>
        </w:rPr>
        <w:t>,</w:t>
      </w:r>
      <w:r w:rsidR="007D40DA">
        <w:rPr>
          <w:rFonts w:ascii="Calibri" w:hAnsi="Calibri" w:cs="Calibri"/>
        </w:rPr>
        <w:t xml:space="preserve"> </w:t>
      </w:r>
      <w:r w:rsidR="000E5A20" w:rsidRPr="54CB3774">
        <w:rPr>
          <w:rFonts w:ascii="Calibri" w:hAnsi="Calibri" w:cs="Calibri"/>
        </w:rPr>
        <w:t xml:space="preserve">to the Australian Institute of Health and Welfare </w:t>
      </w:r>
      <w:r w:rsidR="00067A0F">
        <w:rPr>
          <w:rFonts w:ascii="Calibri" w:hAnsi="Calibri" w:cs="Calibri"/>
        </w:rPr>
        <w:t>within the first 12 months of this schedule</w:t>
      </w:r>
      <w:r w:rsidR="00707DA1">
        <w:rPr>
          <w:rFonts w:ascii="Calibri" w:hAnsi="Calibri" w:cs="Calibri"/>
        </w:rPr>
        <w:t xml:space="preserve"> where feasible</w:t>
      </w:r>
      <w:r w:rsidR="000E5A20" w:rsidRPr="54CB3774">
        <w:rPr>
          <w:rFonts w:ascii="Calibri" w:hAnsi="Calibri" w:cs="Calibri"/>
        </w:rPr>
        <w:t>.</w:t>
      </w:r>
    </w:p>
    <w:p w14:paraId="019ABD1A" w14:textId="3A1ABF68" w:rsidR="000E5A20" w:rsidRDefault="000042FE" w:rsidP="006D22F6">
      <w:pPr>
        <w:pStyle w:val="ListParagraph"/>
        <w:numPr>
          <w:ilvl w:val="0"/>
          <w:numId w:val="12"/>
        </w:numPr>
        <w:spacing w:line="24" w:lineRule="atLeast"/>
        <w:ind w:left="1440"/>
        <w:jc w:val="both"/>
        <w:rPr>
          <w:rFonts w:eastAsiaTheme="minorEastAsia" w:cstheme="minorBidi"/>
          <w:szCs w:val="22"/>
        </w:rPr>
      </w:pPr>
      <w:r>
        <w:rPr>
          <w:rFonts w:ascii="Calibri" w:hAnsi="Calibri" w:cs="Calibri"/>
        </w:rPr>
        <w:t>r</w:t>
      </w:r>
      <w:r w:rsidR="000E5A20" w:rsidRPr="54CB3774">
        <w:rPr>
          <w:rFonts w:ascii="Calibri" w:hAnsi="Calibri" w:cs="Calibri"/>
        </w:rPr>
        <w:t xml:space="preserve">eview its approaches to perinatal mental health screening </w:t>
      </w:r>
      <w:r w:rsidR="000E5A20">
        <w:rPr>
          <w:rFonts w:ascii="Calibri" w:hAnsi="Calibri" w:cs="Calibri"/>
        </w:rPr>
        <w:t xml:space="preserve">to </w:t>
      </w:r>
      <w:r w:rsidR="000E5A20" w:rsidRPr="54CB3774">
        <w:rPr>
          <w:rFonts w:ascii="Calibri" w:hAnsi="Calibri" w:cs="Calibri"/>
        </w:rPr>
        <w:t xml:space="preserve">identify </w:t>
      </w:r>
      <w:r w:rsidR="00917894">
        <w:rPr>
          <w:rFonts w:ascii="Calibri" w:hAnsi="Calibri" w:cs="Calibri"/>
        </w:rPr>
        <w:t xml:space="preserve">and address </w:t>
      </w:r>
      <w:r w:rsidR="000E5A20" w:rsidRPr="54CB3774">
        <w:rPr>
          <w:rFonts w:ascii="Calibri" w:hAnsi="Calibri" w:cs="Calibri"/>
        </w:rPr>
        <w:t>gaps in screening</w:t>
      </w:r>
      <w:r w:rsidR="000E5A20">
        <w:rPr>
          <w:rFonts w:ascii="Calibri" w:hAnsi="Calibri" w:cs="Calibri"/>
        </w:rPr>
        <w:t xml:space="preserve"> as recommended by the Royal Commission</w:t>
      </w:r>
      <w:r w:rsidR="00917894">
        <w:rPr>
          <w:rFonts w:ascii="Calibri" w:hAnsi="Calibri" w:cs="Calibri"/>
        </w:rPr>
        <w:t xml:space="preserve"> into Victoria’s Mental Health System</w:t>
      </w:r>
      <w:r w:rsidR="000E5A20" w:rsidRPr="54CB3774">
        <w:rPr>
          <w:rFonts w:ascii="Calibri" w:hAnsi="Calibri" w:cs="Calibri"/>
        </w:rPr>
        <w:t>.</w:t>
      </w:r>
    </w:p>
    <w:p w14:paraId="28554991" w14:textId="22882A68" w:rsidR="000E5A20" w:rsidRPr="00900863" w:rsidRDefault="000E5A20" w:rsidP="006D22F6">
      <w:pPr>
        <w:pStyle w:val="ListParagraph"/>
        <w:numPr>
          <w:ilvl w:val="0"/>
          <w:numId w:val="4"/>
        </w:numPr>
        <w:spacing w:line="24" w:lineRule="atLeast"/>
        <w:jc w:val="both"/>
        <w:rPr>
          <w:rFonts w:ascii="Calibri" w:hAnsi="Calibri" w:cs="Calibri"/>
        </w:rPr>
      </w:pPr>
      <w:r>
        <w:rPr>
          <w:rFonts w:ascii="Calibri" w:hAnsi="Calibri" w:cs="Calibri"/>
        </w:rPr>
        <w:t xml:space="preserve">Both </w:t>
      </w:r>
      <w:r w:rsidR="00E61F74">
        <w:rPr>
          <w:rFonts w:ascii="Calibri" w:hAnsi="Calibri" w:cs="Calibri"/>
        </w:rPr>
        <w:t>P</w:t>
      </w:r>
      <w:r>
        <w:rPr>
          <w:rFonts w:ascii="Calibri" w:hAnsi="Calibri" w:cs="Calibri"/>
        </w:rPr>
        <w:t xml:space="preserve">arties agree to </w:t>
      </w:r>
      <w:r w:rsidRPr="37601358">
        <w:rPr>
          <w:rStyle w:val="normaltextrun"/>
          <w:rFonts w:ascii="Calibri" w:hAnsi="Calibri" w:cs="Calibri"/>
          <w:color w:val="000000" w:themeColor="text1"/>
        </w:rPr>
        <w:t>consider opportunities to co-invest in enhancements to perinatal screening based on the outcomes of the review</w:t>
      </w:r>
      <w:r w:rsidR="00413818">
        <w:rPr>
          <w:rStyle w:val="normaltextrun"/>
          <w:rFonts w:ascii="Calibri" w:hAnsi="Calibri" w:cs="Calibri"/>
          <w:color w:val="000000" w:themeColor="text1"/>
        </w:rPr>
        <w:t>.</w:t>
      </w:r>
    </w:p>
    <w:p w14:paraId="2F60C4C5" w14:textId="79329DE3" w:rsidR="00D06BD0" w:rsidRPr="00900863" w:rsidRDefault="00D06BD0" w:rsidP="008B047F">
      <w:pPr>
        <w:pStyle w:val="Heading2"/>
        <w:jc w:val="both"/>
      </w:pPr>
      <w:bookmarkStart w:id="11" w:name="_Hlk84522404"/>
      <w:r w:rsidRPr="00900863">
        <w:t>National Phone/Digital Intake Service</w:t>
      </w:r>
    </w:p>
    <w:p w14:paraId="1104E804" w14:textId="77777777" w:rsidR="00A35245" w:rsidRDefault="17375B62" w:rsidP="006D22F6">
      <w:pPr>
        <w:pStyle w:val="ListParagraph"/>
        <w:numPr>
          <w:ilvl w:val="0"/>
          <w:numId w:val="4"/>
        </w:numPr>
        <w:spacing w:line="24" w:lineRule="atLeast"/>
        <w:jc w:val="both"/>
        <w:rPr>
          <w:rFonts w:ascii="Calibri" w:hAnsi="Calibri" w:cs="Calibri"/>
        </w:rPr>
      </w:pPr>
      <w:r w:rsidRPr="54CB3774">
        <w:rPr>
          <w:rFonts w:ascii="Calibri" w:hAnsi="Calibri" w:cs="Calibri"/>
        </w:rPr>
        <w:t xml:space="preserve">The Commonwealth and </w:t>
      </w:r>
      <w:r w:rsidR="6777DF03" w:rsidRPr="54CB3774">
        <w:rPr>
          <w:rFonts w:ascii="Calibri" w:hAnsi="Calibri" w:cs="Calibri"/>
        </w:rPr>
        <w:t>Victoria</w:t>
      </w:r>
      <w:r w:rsidR="202A0552" w:rsidRPr="54CB3774">
        <w:rPr>
          <w:rFonts w:ascii="Calibri" w:hAnsi="Calibri" w:cs="Calibri"/>
        </w:rPr>
        <w:t xml:space="preserve"> </w:t>
      </w:r>
      <w:r w:rsidRPr="54CB3774">
        <w:rPr>
          <w:rFonts w:ascii="Calibri" w:hAnsi="Calibri" w:cs="Calibri"/>
        </w:rPr>
        <w:t xml:space="preserve">will work collaboratively </w:t>
      </w:r>
      <w:proofErr w:type="gramStart"/>
      <w:r w:rsidRPr="54CB3774">
        <w:rPr>
          <w:rFonts w:ascii="Calibri" w:hAnsi="Calibri" w:cs="Calibri"/>
        </w:rPr>
        <w:t>to</w:t>
      </w:r>
      <w:proofErr w:type="gramEnd"/>
      <w:r w:rsidR="005C7E1B">
        <w:rPr>
          <w:rFonts w:ascii="Calibri" w:hAnsi="Calibri" w:cs="Calibri"/>
        </w:rPr>
        <w:t>:</w:t>
      </w:r>
      <w:bookmarkStart w:id="12" w:name="_Hlk92882098"/>
    </w:p>
    <w:p w14:paraId="06E8A33D" w14:textId="4113CC07" w:rsidR="00AC3EC0" w:rsidRPr="00AC3EC0" w:rsidRDefault="000042FE" w:rsidP="006D22F6">
      <w:pPr>
        <w:pStyle w:val="ListParagraph"/>
        <w:numPr>
          <w:ilvl w:val="1"/>
          <w:numId w:val="4"/>
        </w:numPr>
        <w:spacing w:line="24" w:lineRule="atLeast"/>
        <w:jc w:val="both"/>
        <w:rPr>
          <w:rStyle w:val="null1"/>
          <w:rFonts w:ascii="Calibri" w:hAnsi="Calibri" w:cs="Calibri"/>
        </w:rPr>
      </w:pPr>
      <w:r w:rsidRPr="00A35245">
        <w:rPr>
          <w:rFonts w:ascii="Calibri" w:hAnsi="Calibri" w:cs="Calibri"/>
        </w:rPr>
        <w:t>s</w:t>
      </w:r>
      <w:r w:rsidR="0074659C" w:rsidRPr="00A35245">
        <w:rPr>
          <w:rFonts w:ascii="Calibri" w:hAnsi="Calibri" w:cs="Calibri"/>
        </w:rPr>
        <w:t xml:space="preserve">hare information about existing state-wide assessment </w:t>
      </w:r>
      <w:r w:rsidR="0074659C" w:rsidRPr="00A35245">
        <w:rPr>
          <w:rStyle w:val="null1"/>
          <w:rFonts w:cstheme="minorHAnsi"/>
          <w:lang w:val="en-AU"/>
        </w:rPr>
        <w:t>and referral systems to investigate opportunities for integration and avoid duplication</w:t>
      </w:r>
      <w:bookmarkEnd w:id="12"/>
      <w:r w:rsidR="007D183C">
        <w:rPr>
          <w:rStyle w:val="null1"/>
          <w:rFonts w:cstheme="minorHAnsi"/>
          <w:lang w:val="en-AU"/>
        </w:rPr>
        <w:t>.</w:t>
      </w:r>
    </w:p>
    <w:p w14:paraId="0661E886" w14:textId="7BF17E61" w:rsidR="00AC3EC0" w:rsidRPr="00AC3EC0" w:rsidRDefault="00AC3EC0" w:rsidP="006D22F6">
      <w:pPr>
        <w:pStyle w:val="ListParagraph"/>
        <w:numPr>
          <w:ilvl w:val="1"/>
          <w:numId w:val="4"/>
        </w:numPr>
        <w:spacing w:line="24" w:lineRule="atLeast"/>
        <w:jc w:val="both"/>
        <w:rPr>
          <w:rFonts w:ascii="Calibri" w:hAnsi="Calibri" w:cs="Calibri"/>
        </w:rPr>
      </w:pPr>
      <w:r>
        <w:rPr>
          <w:rFonts w:ascii="Calibri" w:hAnsi="Calibri" w:cs="Calibri"/>
        </w:rPr>
        <w:t>i</w:t>
      </w:r>
      <w:r w:rsidR="17375B62" w:rsidRPr="00AC3EC0">
        <w:rPr>
          <w:rFonts w:ascii="Calibri" w:hAnsi="Calibri" w:cs="Calibri"/>
        </w:rPr>
        <w:t xml:space="preserve">mplement a consistent, </w:t>
      </w:r>
      <w:r w:rsidR="61291BA9" w:rsidRPr="00AC3EC0">
        <w:rPr>
          <w:rFonts w:ascii="Calibri" w:hAnsi="Calibri" w:cs="Calibri"/>
        </w:rPr>
        <w:t>state</w:t>
      </w:r>
      <w:r w:rsidR="17375B62" w:rsidRPr="00AC3EC0">
        <w:rPr>
          <w:rFonts w:ascii="Calibri" w:hAnsi="Calibri" w:cs="Calibri"/>
        </w:rPr>
        <w:t xml:space="preserve">-wide intake and assessment phone </w:t>
      </w:r>
      <w:r w:rsidR="00B1667C" w:rsidRPr="00AC3EC0">
        <w:rPr>
          <w:rFonts w:ascii="Calibri" w:hAnsi="Calibri" w:cs="Calibri"/>
        </w:rPr>
        <w:t xml:space="preserve">and digital </w:t>
      </w:r>
      <w:r w:rsidR="17375B62" w:rsidRPr="00AC3EC0">
        <w:rPr>
          <w:rFonts w:ascii="Calibri" w:hAnsi="Calibri" w:cs="Calibri"/>
        </w:rPr>
        <w:t>service that integrates with existing systems</w:t>
      </w:r>
      <w:r w:rsidR="004F6620" w:rsidRPr="00AC3EC0">
        <w:rPr>
          <w:rFonts w:ascii="Calibri" w:hAnsi="Calibri" w:cs="Calibri"/>
        </w:rPr>
        <w:t xml:space="preserve"> and aligns with the national intake service model</w:t>
      </w:r>
      <w:r w:rsidR="17375B62" w:rsidRPr="00AC3EC0">
        <w:rPr>
          <w:rFonts w:ascii="Calibri" w:hAnsi="Calibri" w:cs="Calibri"/>
        </w:rPr>
        <w:t xml:space="preserve">. </w:t>
      </w:r>
    </w:p>
    <w:p w14:paraId="2300F1B0" w14:textId="059A7561" w:rsidR="00D06BD0" w:rsidRPr="00900863" w:rsidRDefault="6777DF03" w:rsidP="006D22F6">
      <w:pPr>
        <w:pStyle w:val="ListParagraph"/>
        <w:numPr>
          <w:ilvl w:val="0"/>
          <w:numId w:val="4"/>
        </w:numPr>
        <w:spacing w:line="24" w:lineRule="atLeast"/>
        <w:jc w:val="both"/>
      </w:pPr>
      <w:r w:rsidRPr="54CB3774">
        <w:t>Victoria</w:t>
      </w:r>
      <w:r w:rsidR="61291BA9" w:rsidRPr="54CB3774">
        <w:t xml:space="preserve"> </w:t>
      </w:r>
      <w:r w:rsidR="17375B62" w:rsidRPr="54CB3774">
        <w:t xml:space="preserve">agrees to support referral pathways between </w:t>
      </w:r>
      <w:r w:rsidR="61291BA9" w:rsidRPr="54CB3774">
        <w:t xml:space="preserve">state </w:t>
      </w:r>
      <w:r w:rsidR="17375B62" w:rsidRPr="54CB3774">
        <w:t xml:space="preserve">services and </w:t>
      </w:r>
      <w:r w:rsidR="6575F240" w:rsidRPr="54CB3774">
        <w:t xml:space="preserve">Commonwealth services, including </w:t>
      </w:r>
      <w:r w:rsidR="00E86AA9">
        <w:t xml:space="preserve">Medicare Mental Health and </w:t>
      </w:r>
      <w:r w:rsidR="17375B62" w:rsidRPr="00F955CC">
        <w:rPr>
          <w:iCs/>
        </w:rPr>
        <w:t>Hea</w:t>
      </w:r>
      <w:r w:rsidR="6575F240" w:rsidRPr="00F955CC">
        <w:rPr>
          <w:iCs/>
        </w:rPr>
        <w:t>d</w:t>
      </w:r>
      <w:r w:rsidR="17375B62" w:rsidRPr="00F955CC">
        <w:rPr>
          <w:iCs/>
        </w:rPr>
        <w:t xml:space="preserve"> to Health</w:t>
      </w:r>
      <w:r w:rsidR="17375B62" w:rsidRPr="54CB3774">
        <w:t xml:space="preserve"> </w:t>
      </w:r>
      <w:proofErr w:type="spellStart"/>
      <w:r w:rsidR="17375B62" w:rsidRPr="54CB3774">
        <w:t>Centre</w:t>
      </w:r>
      <w:r w:rsidR="7958AF62" w:rsidRPr="54CB3774">
        <w:t>s</w:t>
      </w:r>
      <w:bookmarkEnd w:id="11"/>
      <w:proofErr w:type="spellEnd"/>
      <w:r w:rsidR="6575F240" w:rsidRPr="54CB3774">
        <w:t>.</w:t>
      </w:r>
    </w:p>
    <w:p w14:paraId="7644BA43" w14:textId="7C560C2F" w:rsidR="000A6A10" w:rsidRPr="00900863" w:rsidRDefault="008F5E25" w:rsidP="008B047F">
      <w:pPr>
        <w:pStyle w:val="Heading2"/>
        <w:jc w:val="both"/>
      </w:pPr>
      <w:r>
        <w:t>Initial</w:t>
      </w:r>
      <w:r w:rsidR="000A6A10" w:rsidRPr="00900863">
        <w:t xml:space="preserve"> Assessment and Referral </w:t>
      </w:r>
    </w:p>
    <w:p w14:paraId="4CE19A56" w14:textId="4C79EC43" w:rsidR="00786DDD" w:rsidRPr="00211B4B" w:rsidRDefault="00786DDD" w:rsidP="006D22F6">
      <w:pPr>
        <w:pStyle w:val="ListParagraph"/>
        <w:numPr>
          <w:ilvl w:val="0"/>
          <w:numId w:val="4"/>
        </w:numPr>
        <w:rPr>
          <w:rFonts w:ascii="Calibri" w:hAnsi="Calibri" w:cs="Calibri"/>
        </w:rPr>
      </w:pPr>
      <w:r>
        <w:t xml:space="preserve">The Commonwealth and Victoria agree to work collaboratively to </w:t>
      </w:r>
      <w:r w:rsidR="00DF7206">
        <w:rPr>
          <w:rFonts w:ascii="Calibri" w:hAnsi="Calibri" w:cs="Calibri"/>
        </w:rPr>
        <w:t>s</w:t>
      </w:r>
      <w:r w:rsidRPr="005E6DCB">
        <w:rPr>
          <w:rFonts w:ascii="Calibri" w:hAnsi="Calibri" w:cs="Calibri"/>
        </w:rPr>
        <w:t xml:space="preserve">hare information about </w:t>
      </w:r>
      <w:r w:rsidR="00AC3EC0">
        <w:rPr>
          <w:rFonts w:ascii="Calibri" w:hAnsi="Calibri" w:cs="Calibri"/>
        </w:rPr>
        <w:t>reforms to</w:t>
      </w:r>
      <w:r w:rsidR="00AC3EC0" w:rsidRPr="005E6DCB">
        <w:rPr>
          <w:rFonts w:ascii="Calibri" w:hAnsi="Calibri" w:cs="Calibri"/>
        </w:rPr>
        <w:t xml:space="preserve"> </w:t>
      </w:r>
      <w:r w:rsidRPr="005E6DCB">
        <w:rPr>
          <w:rFonts w:ascii="Calibri" w:hAnsi="Calibri" w:cs="Calibri"/>
        </w:rPr>
        <w:t xml:space="preserve">state-wide assessment </w:t>
      </w:r>
      <w:r w:rsidRPr="55AF55D6">
        <w:rPr>
          <w:rStyle w:val="null1"/>
          <w:rFonts w:cstheme="minorBidi"/>
          <w:lang w:val="en-AU"/>
        </w:rPr>
        <w:t>and referral systems</w:t>
      </w:r>
      <w:r w:rsidR="00AC3EC0" w:rsidRPr="55AF55D6">
        <w:rPr>
          <w:rStyle w:val="null1"/>
          <w:rFonts w:cstheme="minorBidi"/>
          <w:lang w:val="en-AU"/>
        </w:rPr>
        <w:t>, and</w:t>
      </w:r>
      <w:r w:rsidRPr="55AF55D6">
        <w:rPr>
          <w:rStyle w:val="null1"/>
          <w:rFonts w:cstheme="minorBidi"/>
          <w:lang w:val="en-AU"/>
        </w:rPr>
        <w:t xml:space="preserve"> to investigate opportunities for integration and avoid duplication.</w:t>
      </w:r>
    </w:p>
    <w:p w14:paraId="3B70463C" w14:textId="5BBF16FC" w:rsidR="006D24BC" w:rsidRDefault="00040A97" w:rsidP="006D22F6">
      <w:pPr>
        <w:pStyle w:val="ListParagraph"/>
        <w:numPr>
          <w:ilvl w:val="0"/>
          <w:numId w:val="4"/>
        </w:numPr>
        <w:spacing w:line="24" w:lineRule="atLeast"/>
        <w:jc w:val="both"/>
      </w:pPr>
      <w:r>
        <w:rPr>
          <w:rFonts w:ascii="Calibri" w:hAnsi="Calibri" w:cs="Calibri"/>
        </w:rPr>
        <w:t>Victoria</w:t>
      </w:r>
      <w:r w:rsidR="00957951" w:rsidRPr="00900863">
        <w:rPr>
          <w:rFonts w:ascii="Calibri" w:hAnsi="Calibri" w:cs="Calibri"/>
        </w:rPr>
        <w:t xml:space="preserve"> </w:t>
      </w:r>
      <w:r w:rsidR="000A6A10" w:rsidRPr="00900863">
        <w:t>agrees to</w:t>
      </w:r>
      <w:r w:rsidR="006D24BC">
        <w:t>:</w:t>
      </w:r>
    </w:p>
    <w:p w14:paraId="7A3D7F97" w14:textId="4E1C6F66" w:rsidR="006D24BC" w:rsidRPr="00EE352A" w:rsidRDefault="000042FE" w:rsidP="006D22F6">
      <w:pPr>
        <w:pStyle w:val="ListParagraph"/>
        <w:numPr>
          <w:ilvl w:val="1"/>
          <w:numId w:val="4"/>
        </w:numPr>
        <w:jc w:val="both"/>
        <w:rPr>
          <w:rFonts w:ascii="Calibri" w:hAnsi="Calibri" w:cs="Calibri"/>
        </w:rPr>
      </w:pPr>
      <w:proofErr w:type="gramStart"/>
      <w:r>
        <w:t>a</w:t>
      </w:r>
      <w:r w:rsidR="006D24BC">
        <w:t>lign</w:t>
      </w:r>
      <w:proofErr w:type="gramEnd"/>
      <w:r w:rsidR="006D24BC">
        <w:t xml:space="preserve"> the IAR and state mental health intake and assessment tools to ensure appropriately staged access to care for Victorians experiencing mental </w:t>
      </w:r>
      <w:r w:rsidR="51EAA2E3">
        <w:t>ill</w:t>
      </w:r>
      <w:r w:rsidR="594F8256">
        <w:t xml:space="preserve"> </w:t>
      </w:r>
      <w:r w:rsidR="006D24BC">
        <w:t>health or psychological distress.</w:t>
      </w:r>
    </w:p>
    <w:p w14:paraId="18079FD1" w14:textId="20431221" w:rsidR="00972A9D" w:rsidRPr="00972A9D" w:rsidRDefault="000042FE" w:rsidP="006D22F6">
      <w:pPr>
        <w:pStyle w:val="ListParagraph"/>
        <w:numPr>
          <w:ilvl w:val="1"/>
          <w:numId w:val="4"/>
        </w:numPr>
        <w:jc w:val="both"/>
        <w:rPr>
          <w:rFonts w:ascii="Calibri" w:hAnsi="Calibri" w:cs="Calibri"/>
        </w:rPr>
      </w:pPr>
      <w:r>
        <w:t>a</w:t>
      </w:r>
      <w:r w:rsidR="00EE352A">
        <w:t xml:space="preserve">dopt and implement the IAR </w:t>
      </w:r>
      <w:r w:rsidR="00E631F3">
        <w:t>t</w:t>
      </w:r>
      <w:r w:rsidR="00EE352A">
        <w:t xml:space="preserve">ool and </w:t>
      </w:r>
      <w:proofErr w:type="gramStart"/>
      <w:r w:rsidR="00EE352A">
        <w:t>adaptions</w:t>
      </w:r>
      <w:proofErr w:type="gramEnd"/>
      <w:r w:rsidR="00EE352A">
        <w:t xml:space="preserve"> when available, in Victorian </w:t>
      </w:r>
      <w:r w:rsidR="005C7870">
        <w:t>Local Services</w:t>
      </w:r>
      <w:r w:rsidR="00D93A6D">
        <w:t>.</w:t>
      </w:r>
      <w:r w:rsidR="005C7870">
        <w:t xml:space="preserve"> </w:t>
      </w:r>
    </w:p>
    <w:p w14:paraId="4497D861" w14:textId="77777777" w:rsidR="00235A38" w:rsidRDefault="00235A38" w:rsidP="006D22F6">
      <w:pPr>
        <w:pStyle w:val="ListParagraph"/>
        <w:numPr>
          <w:ilvl w:val="0"/>
          <w:numId w:val="4"/>
        </w:numPr>
        <w:spacing w:line="24" w:lineRule="atLeast"/>
        <w:jc w:val="both"/>
      </w:pPr>
      <w:r>
        <w:t>The Commonwealth agrees to:</w:t>
      </w:r>
    </w:p>
    <w:p w14:paraId="7358F145" w14:textId="481B5095" w:rsidR="004704C7" w:rsidRDefault="000042FE" w:rsidP="006D22F6">
      <w:pPr>
        <w:pStyle w:val="ListParagraph"/>
        <w:numPr>
          <w:ilvl w:val="1"/>
          <w:numId w:val="4"/>
        </w:numPr>
        <w:spacing w:line="24" w:lineRule="atLeast"/>
        <w:jc w:val="both"/>
      </w:pPr>
      <w:r>
        <w:t>m</w:t>
      </w:r>
      <w:r w:rsidR="004704C7">
        <w:t xml:space="preserve">aintain and continuously improve the current </w:t>
      </w:r>
      <w:r w:rsidR="00067A0F">
        <w:t xml:space="preserve">IAR </w:t>
      </w:r>
      <w:r w:rsidR="00015D52">
        <w:t xml:space="preserve">tool and its </w:t>
      </w:r>
      <w:proofErr w:type="gramStart"/>
      <w:r w:rsidR="00015D52">
        <w:t>adaption</w:t>
      </w:r>
      <w:r w:rsidR="004704C7">
        <w:t>s</w:t>
      </w:r>
      <w:proofErr w:type="gramEnd"/>
      <w:r w:rsidR="00015D52">
        <w:t xml:space="preserve"> for use with priority population cohorts</w:t>
      </w:r>
      <w:r w:rsidR="00D93A6D">
        <w:t xml:space="preserve"> in consultation with </w:t>
      </w:r>
      <w:r w:rsidR="00AB595C">
        <w:t>Victoria</w:t>
      </w:r>
      <w:r w:rsidR="00DF7206">
        <w:t>.</w:t>
      </w:r>
    </w:p>
    <w:p w14:paraId="1054E44C" w14:textId="25D7C676" w:rsidR="00235A38" w:rsidRDefault="000042FE" w:rsidP="006D22F6">
      <w:pPr>
        <w:pStyle w:val="ListParagraph"/>
        <w:numPr>
          <w:ilvl w:val="1"/>
          <w:numId w:val="4"/>
        </w:numPr>
        <w:spacing w:line="24" w:lineRule="atLeast"/>
        <w:jc w:val="both"/>
      </w:pPr>
      <w:r>
        <w:t>p</w:t>
      </w:r>
      <w:r w:rsidR="004704C7">
        <w:t>rovide</w:t>
      </w:r>
      <w:r w:rsidR="00015D52">
        <w:t xml:space="preserve"> training</w:t>
      </w:r>
      <w:r w:rsidR="004704C7">
        <w:t xml:space="preserve"> to</w:t>
      </w:r>
      <w:r w:rsidR="00015D52">
        <w:t xml:space="preserve"> GPs and Commonwealth funded services in the use of the tool</w:t>
      </w:r>
      <w:r w:rsidR="00DF7206">
        <w:t>.</w:t>
      </w:r>
      <w:r w:rsidR="00015D52">
        <w:t xml:space="preserve"> </w:t>
      </w:r>
    </w:p>
    <w:p w14:paraId="23C6F008" w14:textId="61E56013" w:rsidR="00235A38" w:rsidRDefault="000042FE" w:rsidP="006D22F6">
      <w:pPr>
        <w:pStyle w:val="ListParagraph"/>
        <w:numPr>
          <w:ilvl w:val="1"/>
          <w:numId w:val="4"/>
        </w:numPr>
        <w:spacing w:line="24" w:lineRule="atLeast"/>
        <w:jc w:val="both"/>
      </w:pPr>
      <w:r>
        <w:t>e</w:t>
      </w:r>
      <w:r w:rsidR="00235A38">
        <w:t xml:space="preserve">xtend the IAR tool </w:t>
      </w:r>
      <w:r w:rsidR="00015D52">
        <w:t xml:space="preserve">where clinically appropriate </w:t>
      </w:r>
      <w:r w:rsidR="00235A38">
        <w:t>to address the specific needs of vulnerable cohorts.</w:t>
      </w:r>
    </w:p>
    <w:p w14:paraId="21F33421" w14:textId="37A3B67C" w:rsidR="00235A38" w:rsidRPr="00900863" w:rsidRDefault="000042FE" w:rsidP="006D22F6">
      <w:pPr>
        <w:pStyle w:val="ListParagraph"/>
        <w:numPr>
          <w:ilvl w:val="1"/>
          <w:numId w:val="4"/>
        </w:numPr>
        <w:spacing w:line="24" w:lineRule="atLeast"/>
        <w:jc w:val="both"/>
      </w:pPr>
      <w:r>
        <w:t>s</w:t>
      </w:r>
      <w:r w:rsidR="00EE352A">
        <w:t>upport i</w:t>
      </w:r>
      <w:r w:rsidR="00235A38">
        <w:t>mplement</w:t>
      </w:r>
      <w:r w:rsidR="00E631F3">
        <w:t>ation</w:t>
      </w:r>
      <w:r w:rsidR="00235A38">
        <w:t xml:space="preserve"> </w:t>
      </w:r>
      <w:r w:rsidR="00EE352A">
        <w:t xml:space="preserve">of </w:t>
      </w:r>
      <w:r w:rsidR="00235A38">
        <w:t xml:space="preserve">the IAR </w:t>
      </w:r>
      <w:r w:rsidR="4E8DB413">
        <w:t xml:space="preserve">tool </w:t>
      </w:r>
      <w:r w:rsidR="00235A38">
        <w:t>in general practice and Commonwealth-funded mental health care services.</w:t>
      </w:r>
    </w:p>
    <w:p w14:paraId="2782D86C" w14:textId="199051D1" w:rsidR="009B42B1" w:rsidRPr="009B42B1" w:rsidRDefault="009B42B1" w:rsidP="008B047F">
      <w:pPr>
        <w:pStyle w:val="Heading2"/>
        <w:jc w:val="both"/>
        <w:rPr>
          <w:b w:val="0"/>
          <w:bCs w:val="0"/>
          <w:sz w:val="22"/>
          <w:szCs w:val="22"/>
        </w:rPr>
      </w:pPr>
      <w:r>
        <w:t xml:space="preserve">Workforce </w:t>
      </w:r>
    </w:p>
    <w:p w14:paraId="190E1ECA" w14:textId="77777777" w:rsidR="000A24A8" w:rsidRDefault="000A24A8" w:rsidP="006D22F6">
      <w:pPr>
        <w:pStyle w:val="ListParagraph"/>
        <w:widowControl/>
        <w:numPr>
          <w:ilvl w:val="0"/>
          <w:numId w:val="4"/>
        </w:numPr>
        <w:rPr>
          <w:rFonts w:cs="Times New Roman"/>
          <w:lang w:val="en-AU"/>
        </w:rPr>
      </w:pPr>
      <w:r>
        <w:t xml:space="preserve">The Commonwealth and Victoria agree to work collaboratively to align the Victorian Mental Health and Wellbeing Workforce Strategy with the National Mental Health Workforce Strategy and broader national workforce plans and strategies, including the National Medical Workforce Strategy.  </w:t>
      </w:r>
    </w:p>
    <w:p w14:paraId="4DBFE7ED" w14:textId="77777777" w:rsidR="000A24A8" w:rsidRDefault="000A24A8" w:rsidP="006D22F6">
      <w:pPr>
        <w:pStyle w:val="ListParagraph"/>
        <w:widowControl/>
        <w:numPr>
          <w:ilvl w:val="0"/>
          <w:numId w:val="4"/>
        </w:numPr>
        <w:spacing w:line="24" w:lineRule="atLeast"/>
        <w:jc w:val="both"/>
        <w:rPr>
          <w:sz w:val="20"/>
        </w:rPr>
      </w:pPr>
      <w:proofErr w:type="spellStart"/>
      <w:r>
        <w:t>Recognising</w:t>
      </w:r>
      <w:proofErr w:type="spellEnd"/>
      <w:r>
        <w:t xml:space="preserve"> that responsibility for </w:t>
      </w:r>
      <w:proofErr w:type="gramStart"/>
      <w:r>
        <w:t>workforce</w:t>
      </w:r>
      <w:proofErr w:type="gramEnd"/>
      <w:r>
        <w:t xml:space="preserve"> is shared, the Commonwealth and Victoria agree to the following joint objectives to support and strengthen the mental health workforce: </w:t>
      </w:r>
    </w:p>
    <w:p w14:paraId="56313FF2" w14:textId="341ECEE9" w:rsidR="000A24A8" w:rsidRDefault="00567CA9" w:rsidP="006D22F6">
      <w:pPr>
        <w:pStyle w:val="ListParagraph"/>
        <w:widowControl/>
        <w:numPr>
          <w:ilvl w:val="1"/>
          <w:numId w:val="8"/>
        </w:numPr>
        <w:spacing w:line="24" w:lineRule="atLeast"/>
        <w:ind w:left="2226"/>
        <w:jc w:val="both"/>
      </w:pPr>
      <w:r>
        <w:t>Actively p</w:t>
      </w:r>
      <w:r w:rsidR="000A24A8">
        <w:t>romoting mental health careers as an attractive career option.</w:t>
      </w:r>
    </w:p>
    <w:p w14:paraId="3A6F0061" w14:textId="3D71212E" w:rsidR="000A24A8" w:rsidRDefault="000A24A8" w:rsidP="006D22F6">
      <w:pPr>
        <w:pStyle w:val="ListParagraph"/>
        <w:widowControl/>
        <w:numPr>
          <w:ilvl w:val="1"/>
          <w:numId w:val="8"/>
        </w:numPr>
        <w:spacing w:line="24" w:lineRule="atLeast"/>
        <w:ind w:left="2226"/>
        <w:jc w:val="both"/>
      </w:pPr>
      <w:r>
        <w:t xml:space="preserve">Supporting attraction </w:t>
      </w:r>
      <w:r w:rsidR="00676E0F">
        <w:t xml:space="preserve">and recruitment </w:t>
      </w:r>
      <w:r>
        <w:t xml:space="preserve">of an overseas workforce while growing domestic supply to reduce long term reliance on overseas supply. </w:t>
      </w:r>
    </w:p>
    <w:p w14:paraId="3FA08978" w14:textId="1F5DB099" w:rsidR="0020331F" w:rsidRDefault="0020331F" w:rsidP="006D22F6">
      <w:pPr>
        <w:pStyle w:val="ListParagraph"/>
        <w:widowControl/>
        <w:numPr>
          <w:ilvl w:val="1"/>
          <w:numId w:val="8"/>
        </w:numPr>
        <w:spacing w:line="24" w:lineRule="atLeast"/>
        <w:ind w:left="2226"/>
        <w:jc w:val="both"/>
      </w:pPr>
      <w:r>
        <w:t>Building a sustainable workforce pipeline across the mental health system</w:t>
      </w:r>
      <w:r w:rsidR="008954E2">
        <w:t>.</w:t>
      </w:r>
      <w:r>
        <w:t xml:space="preserve"> </w:t>
      </w:r>
    </w:p>
    <w:p w14:paraId="58298FF4" w14:textId="0B615B2F" w:rsidR="000A24A8" w:rsidRDefault="000A24A8" w:rsidP="006D22F6">
      <w:pPr>
        <w:pStyle w:val="ListParagraph"/>
        <w:widowControl/>
        <w:numPr>
          <w:ilvl w:val="1"/>
          <w:numId w:val="8"/>
        </w:numPr>
        <w:spacing w:line="24" w:lineRule="atLeast"/>
        <w:ind w:left="2226"/>
        <w:jc w:val="both"/>
      </w:pPr>
      <w:r>
        <w:t xml:space="preserve">Expanding placements for higher education students and </w:t>
      </w:r>
      <w:r w:rsidR="00E5426C">
        <w:t xml:space="preserve">training pathways for </w:t>
      </w:r>
      <w:r>
        <w:t>graduates in consultation with universities and service providers.</w:t>
      </w:r>
    </w:p>
    <w:p w14:paraId="4D84765B" w14:textId="5CCFAE79" w:rsidR="000A24A8" w:rsidRDefault="00E5426C" w:rsidP="006D22F6">
      <w:pPr>
        <w:pStyle w:val="ListParagraph"/>
        <w:widowControl/>
        <w:numPr>
          <w:ilvl w:val="1"/>
          <w:numId w:val="8"/>
        </w:numPr>
        <w:spacing w:line="24" w:lineRule="atLeast"/>
        <w:ind w:left="2226"/>
        <w:jc w:val="both"/>
      </w:pPr>
      <w:r>
        <w:t>Advanc</w:t>
      </w:r>
      <w:r w:rsidR="00E61F74">
        <w:t>ing</w:t>
      </w:r>
      <w:r>
        <w:t xml:space="preserve"> </w:t>
      </w:r>
      <w:r w:rsidR="000A24A8">
        <w:t>opportunities to address the shortage of addiction specialists in Victoria.</w:t>
      </w:r>
    </w:p>
    <w:p w14:paraId="6DBD5E6B" w14:textId="57612DEB" w:rsidR="000A24A8" w:rsidRDefault="000A24A8" w:rsidP="006D22F6">
      <w:pPr>
        <w:pStyle w:val="ListParagraph"/>
        <w:widowControl/>
        <w:numPr>
          <w:ilvl w:val="1"/>
          <w:numId w:val="8"/>
        </w:numPr>
        <w:spacing w:line="24" w:lineRule="atLeast"/>
        <w:ind w:left="2226"/>
        <w:jc w:val="both"/>
      </w:pPr>
      <w:r>
        <w:t>Expand</w:t>
      </w:r>
      <w:r w:rsidR="00E61F74">
        <w:t>ing</w:t>
      </w:r>
      <w:r>
        <w:t xml:space="preserve"> </w:t>
      </w:r>
      <w:r w:rsidR="004A54BE">
        <w:t xml:space="preserve">effective </w:t>
      </w:r>
      <w:r>
        <w:t xml:space="preserve">rural and regional workforce attraction </w:t>
      </w:r>
      <w:r w:rsidR="00610950">
        <w:t xml:space="preserve">and retention </w:t>
      </w:r>
      <w:r>
        <w:t>activities.</w:t>
      </w:r>
    </w:p>
    <w:p w14:paraId="14DC1527" w14:textId="266537DE" w:rsidR="000A24A8" w:rsidRDefault="00B75AF5" w:rsidP="006D22F6">
      <w:pPr>
        <w:pStyle w:val="ListParagraph"/>
        <w:widowControl/>
        <w:numPr>
          <w:ilvl w:val="1"/>
          <w:numId w:val="8"/>
        </w:numPr>
        <w:spacing w:line="24" w:lineRule="atLeast"/>
        <w:ind w:left="2226"/>
        <w:jc w:val="both"/>
      </w:pPr>
      <w:r>
        <w:t>Collaborat</w:t>
      </w:r>
      <w:r w:rsidR="00E61F74">
        <w:t>ing</w:t>
      </w:r>
      <w:r w:rsidR="00F169D4">
        <w:t xml:space="preserve"> with</w:t>
      </w:r>
      <w:r>
        <w:t xml:space="preserve"> the university sector to improve contemporary mental health training,</w:t>
      </w:r>
      <w:r w:rsidR="008954E2">
        <w:t xml:space="preserve"> to advocate for the inclusion of job ready skills in undergraduate curricula,</w:t>
      </w:r>
      <w:r>
        <w:t xml:space="preserve"> </w:t>
      </w:r>
      <w:proofErr w:type="spellStart"/>
      <w:r w:rsidR="00643686">
        <w:t>recognising</w:t>
      </w:r>
      <w:proofErr w:type="spellEnd"/>
      <w:r w:rsidR="00643686">
        <w:t xml:space="preserve"> the Commonwealth</w:t>
      </w:r>
      <w:r w:rsidR="004A54BE">
        <w:t xml:space="preserve">’s role in </w:t>
      </w:r>
      <w:r w:rsidR="00643686">
        <w:t>in the higher education sector.</w:t>
      </w:r>
      <w:r w:rsidR="000A24A8">
        <w:t xml:space="preserve"> </w:t>
      </w:r>
    </w:p>
    <w:p w14:paraId="5A242A65" w14:textId="40CB00B6" w:rsidR="000A24A8" w:rsidRDefault="000A24A8" w:rsidP="006D22F6">
      <w:pPr>
        <w:pStyle w:val="ListParagraph"/>
        <w:widowControl/>
        <w:numPr>
          <w:ilvl w:val="1"/>
          <w:numId w:val="8"/>
        </w:numPr>
        <w:spacing w:line="24" w:lineRule="atLeast"/>
        <w:ind w:left="2226"/>
        <w:jc w:val="both"/>
      </w:pPr>
      <w:r>
        <w:t>Work</w:t>
      </w:r>
      <w:r w:rsidR="00E61F74">
        <w:t>ing</w:t>
      </w:r>
      <w:r>
        <w:t xml:space="preserve"> collaboratively to grow, upskill and support the Peer (lived experience) Workforce. </w:t>
      </w:r>
    </w:p>
    <w:p w14:paraId="6D0C02B4" w14:textId="77777777" w:rsidR="000A24A8" w:rsidRPr="00B731CE" w:rsidRDefault="000A24A8" w:rsidP="006D22F6">
      <w:pPr>
        <w:pStyle w:val="ListParagraph"/>
        <w:widowControl/>
        <w:numPr>
          <w:ilvl w:val="0"/>
          <w:numId w:val="4"/>
        </w:numPr>
      </w:pPr>
      <w:r w:rsidRPr="00B731CE">
        <w:t xml:space="preserve">Victoria and the Commonwealth both commit to: </w:t>
      </w:r>
    </w:p>
    <w:p w14:paraId="00D09CBE" w14:textId="77777777" w:rsidR="000A24A8" w:rsidRDefault="000A24A8" w:rsidP="006D22F6">
      <w:pPr>
        <w:pStyle w:val="ListParagraph"/>
        <w:widowControl/>
        <w:numPr>
          <w:ilvl w:val="1"/>
          <w:numId w:val="8"/>
        </w:numPr>
        <w:ind w:left="2226"/>
      </w:pPr>
      <w:r>
        <w:t xml:space="preserve">Coordinated action using the levers within each jurisdiction’s control to achieve these objectives, with a priority focus on increasing workforce supply, and </w:t>
      </w:r>
      <w:proofErr w:type="spellStart"/>
      <w:r>
        <w:t>optimising</w:t>
      </w:r>
      <w:proofErr w:type="spellEnd"/>
      <w:r>
        <w:t xml:space="preserve"> and supporting the current workforce.</w:t>
      </w:r>
    </w:p>
    <w:p w14:paraId="5E19E77C" w14:textId="77777777" w:rsidR="000A24A8" w:rsidRDefault="000A24A8" w:rsidP="006D22F6">
      <w:pPr>
        <w:pStyle w:val="ListParagraph"/>
        <w:widowControl/>
        <w:numPr>
          <w:ilvl w:val="1"/>
          <w:numId w:val="8"/>
        </w:numPr>
        <w:ind w:left="2226"/>
      </w:pPr>
      <w:r>
        <w:t>Collaborate on mental health workforce planning for new services commissioned by both the Commonwealth and Victoria to ensure local workforce requirements are planned and coordinated.</w:t>
      </w:r>
    </w:p>
    <w:p w14:paraId="22D25E4F" w14:textId="77777777" w:rsidR="000A24A8" w:rsidRDefault="000A24A8" w:rsidP="006D22F6">
      <w:pPr>
        <w:pStyle w:val="ListParagraph"/>
        <w:widowControl/>
        <w:numPr>
          <w:ilvl w:val="1"/>
          <w:numId w:val="8"/>
        </w:numPr>
        <w:ind w:left="2226"/>
      </w:pPr>
      <w:r>
        <w:t xml:space="preserve">Collaborate and coordinate investments in scholarships, training posts, placements and other workforce incentives to ensure critical workforces are not diverted away from areas of need.     </w:t>
      </w:r>
    </w:p>
    <w:p w14:paraId="0DB9490E" w14:textId="02923510" w:rsidR="008E2D4D" w:rsidRDefault="008E2D4D" w:rsidP="006D22F6">
      <w:pPr>
        <w:pStyle w:val="ListParagraph"/>
        <w:widowControl/>
        <w:numPr>
          <w:ilvl w:val="1"/>
          <w:numId w:val="8"/>
        </w:numPr>
        <w:ind w:left="2226"/>
      </w:pPr>
      <w:proofErr w:type="gramStart"/>
      <w:r>
        <w:t>Collate</w:t>
      </w:r>
      <w:proofErr w:type="gramEnd"/>
      <w:r>
        <w:t>, maintain and share workforce data to support workforce planning activities.</w:t>
      </w:r>
    </w:p>
    <w:p w14:paraId="40056045" w14:textId="7E197656" w:rsidR="00B254AA" w:rsidRDefault="00B254AA" w:rsidP="006D22F6">
      <w:pPr>
        <w:pStyle w:val="ListParagraph"/>
        <w:widowControl/>
        <w:numPr>
          <w:ilvl w:val="1"/>
          <w:numId w:val="8"/>
        </w:numPr>
        <w:ind w:left="2226"/>
      </w:pPr>
      <w:r>
        <w:t xml:space="preserve">Increase representation of Aboriginal and Torres Strait Islander </w:t>
      </w:r>
      <w:proofErr w:type="gramStart"/>
      <w:r>
        <w:t>peoples</w:t>
      </w:r>
      <w:proofErr w:type="gramEnd"/>
      <w:r>
        <w:t xml:space="preserve"> in the mental health workforce and upskill the mental health workforce in culturally appropriate care.</w:t>
      </w:r>
    </w:p>
    <w:p w14:paraId="31DDB8C1" w14:textId="1269BC6C" w:rsidR="004A54BE" w:rsidRDefault="004A54BE" w:rsidP="006D22F6">
      <w:pPr>
        <w:pStyle w:val="ListParagraph"/>
        <w:widowControl/>
        <w:numPr>
          <w:ilvl w:val="1"/>
          <w:numId w:val="8"/>
        </w:numPr>
        <w:ind w:left="2226"/>
      </w:pPr>
      <w:r>
        <w:t>G</w:t>
      </w:r>
      <w:r w:rsidR="008954E2">
        <w:t>r</w:t>
      </w:r>
      <w:r>
        <w:t xml:space="preserve">ow the lived experience (peer) workforce through </w:t>
      </w:r>
      <w:proofErr w:type="spellStart"/>
      <w:r>
        <w:t>subsidi</w:t>
      </w:r>
      <w:r w:rsidR="008954E2">
        <w:t>s</w:t>
      </w:r>
      <w:r>
        <w:t>ed</w:t>
      </w:r>
      <w:proofErr w:type="spellEnd"/>
      <w:r>
        <w:t xml:space="preserve"> vocational training and support, across entry to practice and ongoing professional development opportunities. </w:t>
      </w:r>
    </w:p>
    <w:p w14:paraId="7B78CEF8" w14:textId="77777777" w:rsidR="000A24A8" w:rsidRDefault="000A24A8" w:rsidP="006D22F6">
      <w:pPr>
        <w:pStyle w:val="ListParagraph"/>
        <w:widowControl/>
        <w:numPr>
          <w:ilvl w:val="0"/>
          <w:numId w:val="4"/>
        </w:numPr>
        <w:spacing w:line="24" w:lineRule="atLeast"/>
        <w:jc w:val="both"/>
      </w:pPr>
      <w:r>
        <w:t xml:space="preserve">The Commonwealth will: </w:t>
      </w:r>
    </w:p>
    <w:p w14:paraId="64A8EADD" w14:textId="77777777" w:rsidR="000A24A8" w:rsidRDefault="000A24A8" w:rsidP="006D22F6">
      <w:pPr>
        <w:pStyle w:val="ListParagraph"/>
        <w:widowControl/>
        <w:numPr>
          <w:ilvl w:val="1"/>
          <w:numId w:val="8"/>
        </w:numPr>
        <w:spacing w:line="24" w:lineRule="atLeast"/>
        <w:ind w:left="2226"/>
        <w:jc w:val="both"/>
      </w:pPr>
      <w:r>
        <w:t xml:space="preserve">Lead collaboration with the Royal Australian &amp; New Zealand College of Psychiatrists (RANZCP) to grow the psychiatry workforce including through additional psychiatry training posts, developing a rural and remote training pathway, and activities to encourage medical students to undertake a fellowship in psychiatry. </w:t>
      </w:r>
    </w:p>
    <w:p w14:paraId="1D511170" w14:textId="0595BE38" w:rsidR="00B731CE" w:rsidRDefault="00C413EA" w:rsidP="006D22F6">
      <w:pPr>
        <w:pStyle w:val="ListParagraph"/>
        <w:widowControl/>
        <w:numPr>
          <w:ilvl w:val="1"/>
          <w:numId w:val="8"/>
        </w:numPr>
        <w:spacing w:line="24" w:lineRule="atLeast"/>
        <w:ind w:left="2226"/>
        <w:jc w:val="both"/>
      </w:pPr>
      <w:r>
        <w:t xml:space="preserve">Lead collaboration with professional bodies, to streamline training, accreditation and registration pathways which support growth in key allied health workforces of social work, psychology and occupational therapy. This should </w:t>
      </w:r>
      <w:proofErr w:type="gramStart"/>
      <w:r>
        <w:t>consider</w:t>
      </w:r>
      <w:proofErr w:type="gramEnd"/>
      <w:r w:rsidR="00B731CE">
        <w:t>:</w:t>
      </w:r>
      <w:r>
        <w:t xml:space="preserve"> </w:t>
      </w:r>
    </w:p>
    <w:p w14:paraId="66557489" w14:textId="77777777" w:rsidR="00B731CE" w:rsidRDefault="00C413EA" w:rsidP="006D22F6">
      <w:pPr>
        <w:pStyle w:val="ListParagraph"/>
        <w:widowControl/>
        <w:numPr>
          <w:ilvl w:val="2"/>
          <w:numId w:val="8"/>
        </w:numPr>
        <w:spacing w:line="24" w:lineRule="atLeast"/>
        <w:jc w:val="both"/>
      </w:pPr>
      <w:r>
        <w:t xml:space="preserve">new work-based training pathways, </w:t>
      </w:r>
    </w:p>
    <w:p w14:paraId="12F3E732" w14:textId="5CAF0FBB" w:rsidR="00B731CE" w:rsidRDefault="00C413EA" w:rsidP="006D22F6">
      <w:pPr>
        <w:pStyle w:val="ListParagraph"/>
        <w:widowControl/>
        <w:numPr>
          <w:ilvl w:val="2"/>
          <w:numId w:val="8"/>
        </w:numPr>
        <w:spacing w:line="24" w:lineRule="atLeast"/>
        <w:jc w:val="both"/>
      </w:pPr>
      <w:r>
        <w:t xml:space="preserve">paid employment towards minimum placement hours, </w:t>
      </w:r>
    </w:p>
    <w:p w14:paraId="559E41FB" w14:textId="77777777" w:rsidR="00B731CE" w:rsidRDefault="00C413EA" w:rsidP="006D22F6">
      <w:pPr>
        <w:pStyle w:val="ListParagraph"/>
        <w:widowControl/>
        <w:numPr>
          <w:ilvl w:val="2"/>
          <w:numId w:val="8"/>
        </w:numPr>
        <w:spacing w:line="24" w:lineRule="atLeast"/>
        <w:jc w:val="both"/>
      </w:pPr>
      <w:r>
        <w:t>expediting registration of international recruits (in psychology)</w:t>
      </w:r>
      <w:r w:rsidR="00B731CE">
        <w:t>, and</w:t>
      </w:r>
    </w:p>
    <w:p w14:paraId="23173E6E" w14:textId="45C69977" w:rsidR="00A7791B" w:rsidRDefault="00C413EA" w:rsidP="006D22F6">
      <w:pPr>
        <w:pStyle w:val="ListParagraph"/>
        <w:widowControl/>
        <w:numPr>
          <w:ilvl w:val="2"/>
          <w:numId w:val="8"/>
        </w:numPr>
        <w:spacing w:line="24" w:lineRule="atLeast"/>
        <w:jc w:val="both"/>
      </w:pPr>
      <w:r>
        <w:t>setting both targets for student placements and standards for generalist degrees.</w:t>
      </w:r>
    </w:p>
    <w:p w14:paraId="0C4B9518" w14:textId="05A3648A" w:rsidR="00082021" w:rsidRDefault="00D93F92" w:rsidP="006D22F6">
      <w:pPr>
        <w:pStyle w:val="ListParagraph"/>
        <w:widowControl/>
        <w:numPr>
          <w:ilvl w:val="1"/>
          <w:numId w:val="8"/>
        </w:numPr>
        <w:spacing w:line="24" w:lineRule="atLeast"/>
        <w:ind w:left="2226"/>
        <w:jc w:val="both"/>
      </w:pPr>
      <w:r>
        <w:t>Review and r</w:t>
      </w:r>
      <w:r w:rsidR="00082021">
        <w:t xml:space="preserve">evise skilled immigration pathways </w:t>
      </w:r>
      <w:r w:rsidR="003C235A">
        <w:t xml:space="preserve">to address workforce supply issues, including in relation to working restrictions for international students, age restrictions for skilled visas and permanent residency, as well as expediting skilled visas, permanent residency and student visas. </w:t>
      </w:r>
    </w:p>
    <w:p w14:paraId="25CA77B0" w14:textId="63152426" w:rsidR="000A24A8" w:rsidRDefault="008954E2" w:rsidP="006D22F6">
      <w:pPr>
        <w:pStyle w:val="ListParagraph"/>
        <w:widowControl/>
        <w:numPr>
          <w:ilvl w:val="1"/>
          <w:numId w:val="8"/>
        </w:numPr>
        <w:spacing w:line="24" w:lineRule="atLeast"/>
        <w:ind w:left="2226"/>
        <w:jc w:val="both"/>
      </w:pPr>
      <w:r w:rsidRPr="008954E2">
        <w:t>Continue to s</w:t>
      </w:r>
      <w:r w:rsidR="00366BC0" w:rsidRPr="008954E2">
        <w:t>upport</w:t>
      </w:r>
      <w:r w:rsidR="00366BC0">
        <w:t xml:space="preserve"> and </w:t>
      </w:r>
      <w:proofErr w:type="spellStart"/>
      <w:r w:rsidR="00366BC0">
        <w:t>s</w:t>
      </w:r>
      <w:r w:rsidR="00FA0296">
        <w:t>ubsidise</w:t>
      </w:r>
      <w:proofErr w:type="spellEnd"/>
      <w:r w:rsidR="00FA0296">
        <w:t xml:space="preserve"> </w:t>
      </w:r>
      <w:r w:rsidR="00186081">
        <w:t>training</w:t>
      </w:r>
      <w:r w:rsidR="000A24A8">
        <w:t xml:space="preserve"> pathways to practice for allied health and nursing students through scholarships, clinical placements, internships and graduate positions in Commonwealth funded services, NGOs and other </w:t>
      </w:r>
      <w:r w:rsidR="000B1079">
        <w:t xml:space="preserve">community-based </w:t>
      </w:r>
      <w:r w:rsidR="000A24A8">
        <w:t>settings</w:t>
      </w:r>
      <w:r w:rsidR="000B1079">
        <w:t xml:space="preserve"> to support workforce growth</w:t>
      </w:r>
      <w:r w:rsidR="000A24A8">
        <w:t>.</w:t>
      </w:r>
    </w:p>
    <w:p w14:paraId="3887D56A" w14:textId="65C2C844" w:rsidR="000A24A8" w:rsidRDefault="008954E2" w:rsidP="006D22F6">
      <w:pPr>
        <w:pStyle w:val="ListParagraph"/>
        <w:widowControl/>
        <w:numPr>
          <w:ilvl w:val="1"/>
          <w:numId w:val="8"/>
        </w:numPr>
        <w:spacing w:line="24" w:lineRule="atLeast"/>
        <w:ind w:left="2226"/>
        <w:jc w:val="both"/>
      </w:pPr>
      <w:r w:rsidRPr="008954E2">
        <w:t>Continue to s</w:t>
      </w:r>
      <w:r w:rsidR="000A24A8" w:rsidRPr="008954E2">
        <w:t>upport the</w:t>
      </w:r>
      <w:r w:rsidR="000A24A8">
        <w:t xml:space="preserve"> mental health of </w:t>
      </w:r>
      <w:proofErr w:type="gramStart"/>
      <w:r w:rsidR="000A24A8">
        <w:t>workforce</w:t>
      </w:r>
      <w:proofErr w:type="gramEnd"/>
      <w:r w:rsidR="000A24A8">
        <w:t xml:space="preserve"> </w:t>
      </w:r>
      <w:r w:rsidR="00366BC0">
        <w:t>by funding national</w:t>
      </w:r>
      <w:r w:rsidR="000A24A8">
        <w:t xml:space="preserve"> early intervention and treatment services, and implementation of Every Doctor, Every Setting: A National Framework. </w:t>
      </w:r>
    </w:p>
    <w:p w14:paraId="4E13237E" w14:textId="6854A845" w:rsidR="000A24A8" w:rsidRDefault="004A54BE" w:rsidP="006D22F6">
      <w:pPr>
        <w:pStyle w:val="ListParagraph"/>
        <w:widowControl/>
        <w:numPr>
          <w:ilvl w:val="1"/>
          <w:numId w:val="8"/>
        </w:numPr>
        <w:spacing w:line="24" w:lineRule="atLeast"/>
        <w:ind w:left="2226"/>
        <w:jc w:val="both"/>
      </w:pPr>
      <w:r>
        <w:t xml:space="preserve">Work with colleges to ensure </w:t>
      </w:r>
      <w:proofErr w:type="spellStart"/>
      <w:r w:rsidR="000A24A8">
        <w:t>specialised</w:t>
      </w:r>
      <w:proofErr w:type="spellEnd"/>
      <w:r w:rsidR="000A24A8">
        <w:t xml:space="preserve"> training and support for GPs and other medical practitioners to enhance their capacity to address the mental health concerns of </w:t>
      </w:r>
      <w:proofErr w:type="gramStart"/>
      <w:r w:rsidR="000A24A8">
        <w:t>patients</w:t>
      </w:r>
      <w:r w:rsidR="00366BC0">
        <w:t>, and</w:t>
      </w:r>
      <w:proofErr w:type="gramEnd"/>
      <w:r w:rsidR="00366BC0">
        <w:t xml:space="preserve"> </w:t>
      </w:r>
      <w:proofErr w:type="gramStart"/>
      <w:r w:rsidR="00366BC0">
        <w:t>continuing</w:t>
      </w:r>
      <w:proofErr w:type="gramEnd"/>
      <w:r w:rsidR="00366BC0">
        <w:t xml:space="preserve"> to support rural generalist practitioners.</w:t>
      </w:r>
    </w:p>
    <w:p w14:paraId="4F456666" w14:textId="13B2D9E4" w:rsidR="000A24A8" w:rsidRDefault="000A24A8" w:rsidP="006D22F6">
      <w:pPr>
        <w:pStyle w:val="ListParagraph"/>
        <w:widowControl/>
        <w:numPr>
          <w:ilvl w:val="1"/>
          <w:numId w:val="8"/>
        </w:numPr>
        <w:spacing w:line="24" w:lineRule="atLeast"/>
        <w:ind w:left="2226"/>
        <w:jc w:val="both"/>
      </w:pPr>
      <w:r>
        <w:t xml:space="preserve">Develop and promulgate messaging to reduce the stigma associated with mental health among the health </w:t>
      </w:r>
      <w:r w:rsidR="000A2A51">
        <w:t>workforce and</w:t>
      </w:r>
      <w:r>
        <w:t xml:space="preserve"> encourage </w:t>
      </w:r>
      <w:r w:rsidR="00F87625">
        <w:t xml:space="preserve">tertiary </w:t>
      </w:r>
      <w:r w:rsidR="0010376C">
        <w:t xml:space="preserve">undergraduate </w:t>
      </w:r>
      <w:r>
        <w:t xml:space="preserve">students to undertake careers in mental health. </w:t>
      </w:r>
    </w:p>
    <w:p w14:paraId="347637CA" w14:textId="4F5DBC5F" w:rsidR="000A24A8" w:rsidRDefault="0094459D" w:rsidP="006D22F6">
      <w:pPr>
        <w:pStyle w:val="ListParagraph"/>
        <w:widowControl/>
        <w:numPr>
          <w:ilvl w:val="1"/>
          <w:numId w:val="8"/>
        </w:numPr>
        <w:spacing w:line="24" w:lineRule="atLeast"/>
        <w:ind w:left="2226"/>
        <w:jc w:val="both"/>
      </w:pPr>
      <w:r>
        <w:t>Collate and maintain workforce data in Commonwealth</w:t>
      </w:r>
      <w:r w:rsidR="008954E2">
        <w:t xml:space="preserve"> and co</w:t>
      </w:r>
      <w:r>
        <w:t>-funded services and l</w:t>
      </w:r>
      <w:r w:rsidR="000A24A8">
        <w:t xml:space="preserve">ead national coordination of mental health workforce activities, including workforce planning and data collection, in consultation with states and territories and the sector.  </w:t>
      </w:r>
    </w:p>
    <w:p w14:paraId="036CC75A" w14:textId="3814612B" w:rsidR="00250660" w:rsidRDefault="00250660" w:rsidP="006D22F6">
      <w:pPr>
        <w:pStyle w:val="ListParagraph"/>
        <w:widowControl/>
        <w:numPr>
          <w:ilvl w:val="1"/>
          <w:numId w:val="8"/>
        </w:numPr>
        <w:spacing w:line="24" w:lineRule="atLeast"/>
        <w:ind w:left="2226"/>
        <w:jc w:val="both"/>
        <w:rPr>
          <w:b/>
          <w:bCs/>
        </w:rPr>
      </w:pPr>
      <w:r>
        <w:t xml:space="preserve">Collaborate with </w:t>
      </w:r>
      <w:r w:rsidR="00961EB5">
        <w:t xml:space="preserve">Victoria, and </w:t>
      </w:r>
      <w:r w:rsidR="00612228">
        <w:t>the</w:t>
      </w:r>
      <w:r>
        <w:t xml:space="preserve"> private and NGO mental health sector to review </w:t>
      </w:r>
      <w:r w:rsidR="00117691">
        <w:t>the</w:t>
      </w:r>
      <w:r>
        <w:t xml:space="preserve"> overall system demand profile against </w:t>
      </w:r>
      <w:r w:rsidR="00D93F92">
        <w:t xml:space="preserve">the </w:t>
      </w:r>
      <w:proofErr w:type="spellStart"/>
      <w:r w:rsidR="00D93F92">
        <w:t>utilisation</w:t>
      </w:r>
      <w:proofErr w:type="spellEnd"/>
      <w:r w:rsidR="00D93F92">
        <w:t xml:space="preserve"> of </w:t>
      </w:r>
      <w:r>
        <w:t>Commonwealth-supported places in universities.</w:t>
      </w:r>
    </w:p>
    <w:p w14:paraId="1FB32E4B" w14:textId="1112D74A" w:rsidR="00250660" w:rsidRDefault="00250660" w:rsidP="006D22F6">
      <w:pPr>
        <w:pStyle w:val="ListParagraph"/>
        <w:widowControl/>
        <w:numPr>
          <w:ilvl w:val="1"/>
          <w:numId w:val="8"/>
        </w:numPr>
        <w:spacing w:line="24" w:lineRule="atLeast"/>
        <w:ind w:left="2226"/>
        <w:jc w:val="both"/>
        <w:rPr>
          <w:b/>
          <w:bCs/>
        </w:rPr>
      </w:pPr>
      <w:r>
        <w:t>Grow the rural and regional workforce through targeted incentives</w:t>
      </w:r>
      <w:r w:rsidR="00D73279">
        <w:t xml:space="preserve"> </w:t>
      </w:r>
      <w:r>
        <w:t>that work to increase overall supply</w:t>
      </w:r>
      <w:r w:rsidR="0042037F">
        <w:t>.</w:t>
      </w:r>
      <w:r>
        <w:t xml:space="preserve"> </w:t>
      </w:r>
    </w:p>
    <w:p w14:paraId="5DE30F9D" w14:textId="77777777" w:rsidR="000A24A8" w:rsidRDefault="000A24A8" w:rsidP="006D22F6">
      <w:pPr>
        <w:pStyle w:val="ListParagraph"/>
        <w:widowControl/>
        <w:numPr>
          <w:ilvl w:val="0"/>
          <w:numId w:val="4"/>
        </w:numPr>
        <w:spacing w:line="24" w:lineRule="atLeast"/>
        <w:jc w:val="both"/>
      </w:pPr>
      <w:r>
        <w:t xml:space="preserve">Victoria will: </w:t>
      </w:r>
    </w:p>
    <w:p w14:paraId="6ADAEABA" w14:textId="1AD9F193" w:rsidR="000A24A8" w:rsidRDefault="00F50399" w:rsidP="006D22F6">
      <w:pPr>
        <w:pStyle w:val="ListParagraph"/>
        <w:widowControl/>
        <w:numPr>
          <w:ilvl w:val="1"/>
          <w:numId w:val="8"/>
        </w:numPr>
        <w:spacing w:line="24" w:lineRule="atLeast"/>
        <w:ind w:left="2226"/>
        <w:jc w:val="both"/>
      </w:pPr>
      <w:r>
        <w:t xml:space="preserve">Fund </w:t>
      </w:r>
      <w:r w:rsidR="000A24A8">
        <w:t>pre-qualification employment programs for health and allied health students.</w:t>
      </w:r>
    </w:p>
    <w:p w14:paraId="6B6BC29A" w14:textId="36155704" w:rsidR="000A24A8" w:rsidRDefault="000A24A8" w:rsidP="006D22F6">
      <w:pPr>
        <w:pStyle w:val="ListParagraph"/>
        <w:widowControl/>
        <w:numPr>
          <w:ilvl w:val="1"/>
          <w:numId w:val="8"/>
        </w:numPr>
        <w:spacing w:line="24" w:lineRule="atLeast"/>
        <w:ind w:left="2226"/>
        <w:jc w:val="both"/>
      </w:pPr>
      <w:r>
        <w:t xml:space="preserve">Progress an international recruitment campaign to encourage overseas </w:t>
      </w:r>
      <w:r w:rsidR="001E079D">
        <w:t>recruitment in priority</w:t>
      </w:r>
      <w:r w:rsidR="00F3429F">
        <w:t xml:space="preserve"> </w:t>
      </w:r>
      <w:r>
        <w:t>workforces</w:t>
      </w:r>
      <w:r w:rsidR="00F3429F">
        <w:t>.</w:t>
      </w:r>
      <w:r>
        <w:t xml:space="preserve"> </w:t>
      </w:r>
    </w:p>
    <w:p w14:paraId="2015707A" w14:textId="77777777" w:rsidR="000A24A8" w:rsidRDefault="000A24A8" w:rsidP="006D22F6">
      <w:pPr>
        <w:pStyle w:val="ListParagraph"/>
        <w:widowControl/>
        <w:numPr>
          <w:ilvl w:val="1"/>
          <w:numId w:val="8"/>
        </w:numPr>
        <w:spacing w:line="24" w:lineRule="atLeast"/>
        <w:ind w:left="2226"/>
        <w:jc w:val="both"/>
      </w:pPr>
      <w:r>
        <w:t xml:space="preserve">Work with the Royal Australian &amp; New Zealand College of Psychiatrists (RANZCP) and other partners to review current state for psychiatry training in Victoria and identify opportunities to better coordinate and support training and trainees. </w:t>
      </w:r>
    </w:p>
    <w:p w14:paraId="5F6D8BE0" w14:textId="77777777" w:rsidR="00366BC0" w:rsidRDefault="00366BC0" w:rsidP="006D22F6">
      <w:pPr>
        <w:pStyle w:val="ListParagraph"/>
        <w:widowControl/>
        <w:numPr>
          <w:ilvl w:val="1"/>
          <w:numId w:val="8"/>
        </w:numPr>
        <w:spacing w:line="24" w:lineRule="atLeast"/>
        <w:ind w:left="2226"/>
        <w:jc w:val="both"/>
      </w:pPr>
      <w:r>
        <w:t>Contribute to discussions led by the Commonwealth with the Royal Australian &amp; New Zealand College of Psychiatrists (RANZCP) to grow the psychiatry workforce including through additional psychiatry training posts, developing a rural and remote training pathway, and activities to encourage medical students to undertake a fellowship in psychiatry.</w:t>
      </w:r>
    </w:p>
    <w:p w14:paraId="5D1CD5DF" w14:textId="28D9AFD2" w:rsidR="00F32302" w:rsidRDefault="00F32302" w:rsidP="006D22F6">
      <w:pPr>
        <w:pStyle w:val="ListParagraph"/>
        <w:widowControl/>
        <w:numPr>
          <w:ilvl w:val="1"/>
          <w:numId w:val="8"/>
        </w:numPr>
        <w:spacing w:line="24" w:lineRule="atLeast"/>
        <w:ind w:left="2226"/>
        <w:jc w:val="both"/>
      </w:pPr>
      <w:r>
        <w:t xml:space="preserve">Contribute to discussions led by the Commonwealth with professional bodies, to streamline training, accreditation and registration pathways which support growth in key </w:t>
      </w:r>
      <w:r w:rsidR="00366BC0">
        <w:t>allied health workforces</w:t>
      </w:r>
      <w:r>
        <w:t xml:space="preserve"> of social work, psychology and occupational therapy. </w:t>
      </w:r>
    </w:p>
    <w:p w14:paraId="717C6AD9" w14:textId="77777777" w:rsidR="00A57B78" w:rsidRDefault="00A57B78" w:rsidP="006D22F6">
      <w:pPr>
        <w:pStyle w:val="ListParagraph"/>
        <w:widowControl/>
        <w:numPr>
          <w:ilvl w:val="1"/>
          <w:numId w:val="8"/>
        </w:numPr>
        <w:spacing w:line="24" w:lineRule="atLeast"/>
        <w:ind w:left="2226"/>
        <w:jc w:val="both"/>
      </w:pPr>
      <w:r>
        <w:t xml:space="preserve">Increase Victoria’s mental health workforce pipeline through </w:t>
      </w:r>
      <w:proofErr w:type="spellStart"/>
      <w:r>
        <w:t>subsidised</w:t>
      </w:r>
      <w:proofErr w:type="spellEnd"/>
      <w:r>
        <w:t xml:space="preserve"> training places in core disciplines, including psychiatry, psychology, social work, occupational therapy, mental health nursing and other allied health workforces, as well as explore opportunities to increase supply through new workforce cohorts.</w:t>
      </w:r>
    </w:p>
    <w:p w14:paraId="6C60EACE" w14:textId="155CCBB4" w:rsidR="00F32302" w:rsidRDefault="000A24A8" w:rsidP="006D22F6">
      <w:pPr>
        <w:pStyle w:val="ListParagraph"/>
        <w:widowControl/>
        <w:numPr>
          <w:ilvl w:val="1"/>
          <w:numId w:val="8"/>
        </w:numPr>
        <w:spacing w:line="24" w:lineRule="atLeast"/>
        <w:ind w:left="2226"/>
        <w:jc w:val="both"/>
      </w:pPr>
      <w:r>
        <w:t xml:space="preserve">Support </w:t>
      </w:r>
      <w:r w:rsidR="009B595C">
        <w:t>the growth of the mental health workforce in rural and regional areas through funded incentives</w:t>
      </w:r>
      <w:r w:rsidR="00E40176">
        <w:t xml:space="preserve"> and </w:t>
      </w:r>
      <w:proofErr w:type="gramStart"/>
      <w:r w:rsidR="00E40176">
        <w:t>collaborate</w:t>
      </w:r>
      <w:proofErr w:type="gramEnd"/>
      <w:r w:rsidR="00E40176">
        <w:t xml:space="preserve"> with the Commonwealth on similar policies </w:t>
      </w:r>
      <w:r w:rsidR="006A3561">
        <w:t>for</w:t>
      </w:r>
      <w:r w:rsidR="00E40176">
        <w:t xml:space="preserve"> </w:t>
      </w:r>
      <w:r w:rsidR="00E304AF">
        <w:t xml:space="preserve">maximum </w:t>
      </w:r>
      <w:r w:rsidR="00415947">
        <w:t xml:space="preserve">benefit. </w:t>
      </w:r>
    </w:p>
    <w:p w14:paraId="726D2C56" w14:textId="2607FAE4" w:rsidR="009F5450" w:rsidRDefault="009F5450" w:rsidP="006D22F6">
      <w:pPr>
        <w:pStyle w:val="ListParagraph"/>
        <w:widowControl/>
        <w:numPr>
          <w:ilvl w:val="2"/>
          <w:numId w:val="8"/>
        </w:numPr>
        <w:spacing w:line="24" w:lineRule="atLeast"/>
        <w:jc w:val="both"/>
      </w:pPr>
      <w:r>
        <w:t>Collate and maintain workforce data in State</w:t>
      </w:r>
      <w:r w:rsidR="00D93F92">
        <w:t xml:space="preserve"> </w:t>
      </w:r>
      <w:r w:rsidR="00D46ACE">
        <w:t>funded</w:t>
      </w:r>
      <w:r w:rsidR="0040696B">
        <w:t xml:space="preserve"> </w:t>
      </w:r>
      <w:r>
        <w:t>services</w:t>
      </w:r>
      <w:r w:rsidR="00D93F92">
        <w:t xml:space="preserve">, and services funded through this Schedule, </w:t>
      </w:r>
      <w:r>
        <w:t>and contribute to coordination of mental health workforce activities, including workforce planning and data collection, in consultation with the</w:t>
      </w:r>
      <w:r w:rsidR="00D93F92">
        <w:t xml:space="preserve"> Commonwealth and the</w:t>
      </w:r>
      <w:r>
        <w:t xml:space="preserve"> sector.  Support lived experience workforces, allied health and nursing graduates through funded scholarships.</w:t>
      </w:r>
    </w:p>
    <w:p w14:paraId="5172190F" w14:textId="1BF41317" w:rsidR="006943F1" w:rsidRDefault="006943F1" w:rsidP="006D22F6">
      <w:pPr>
        <w:pStyle w:val="ListParagraph"/>
        <w:widowControl/>
        <w:numPr>
          <w:ilvl w:val="1"/>
          <w:numId w:val="8"/>
        </w:numPr>
        <w:spacing w:line="24" w:lineRule="atLeast"/>
        <w:ind w:left="2226"/>
        <w:jc w:val="both"/>
      </w:pPr>
      <w:r>
        <w:t>Support international mental health recruits through training programs as well as settlement and migration support activities and programs and develop statewide international recruitment resources for Victorian services.</w:t>
      </w:r>
    </w:p>
    <w:p w14:paraId="282449E1" w14:textId="77777777" w:rsidR="000A24A8" w:rsidRDefault="000A24A8" w:rsidP="006D22F6">
      <w:pPr>
        <w:pStyle w:val="ListParagraph"/>
        <w:widowControl/>
        <w:numPr>
          <w:ilvl w:val="1"/>
          <w:numId w:val="8"/>
        </w:numPr>
        <w:spacing w:line="24" w:lineRule="atLeast"/>
        <w:ind w:left="2226"/>
        <w:jc w:val="both"/>
      </w:pPr>
      <w:r>
        <w:t xml:space="preserve">Lead development of structures and </w:t>
      </w:r>
      <w:proofErr w:type="gramStart"/>
      <w:r>
        <w:t>supports</w:t>
      </w:r>
      <w:proofErr w:type="gramEnd"/>
      <w:r>
        <w:t xml:space="preserve"> for lived experience workforces including developing discipline frameworks and delivering </w:t>
      </w:r>
      <w:proofErr w:type="spellStart"/>
      <w:r>
        <w:t>organisational</w:t>
      </w:r>
      <w:proofErr w:type="spellEnd"/>
      <w:r>
        <w:t xml:space="preserve"> supports, training and development for lived experience workforces. </w:t>
      </w:r>
    </w:p>
    <w:p w14:paraId="13330C17" w14:textId="77777777" w:rsidR="000A24A8" w:rsidRDefault="000A24A8" w:rsidP="006D22F6">
      <w:pPr>
        <w:pStyle w:val="ListParagraph"/>
        <w:widowControl/>
        <w:numPr>
          <w:ilvl w:val="1"/>
          <w:numId w:val="8"/>
        </w:numPr>
        <w:spacing w:line="24" w:lineRule="atLeast"/>
        <w:ind w:left="2226"/>
        <w:jc w:val="both"/>
        <w:rPr>
          <w:b/>
          <w:bCs/>
        </w:rPr>
      </w:pPr>
      <w:r>
        <w:t>Promote physically and psychologically safe workplaces and work practices for mental health workers in Victoria.</w:t>
      </w:r>
    </w:p>
    <w:p w14:paraId="28638F8B" w14:textId="77777777" w:rsidR="000A24A8" w:rsidRDefault="000A24A8" w:rsidP="006D22F6">
      <w:pPr>
        <w:pStyle w:val="ListParagraph"/>
        <w:widowControl/>
        <w:numPr>
          <w:ilvl w:val="1"/>
          <w:numId w:val="8"/>
        </w:numPr>
        <w:spacing w:line="24" w:lineRule="atLeast"/>
        <w:ind w:left="2226"/>
        <w:jc w:val="both"/>
      </w:pPr>
      <w:r>
        <w:t xml:space="preserve">Contribute to national coordination and collaboration of workforce activities with the Commonwealth, other states and territories and the broader sector. </w:t>
      </w:r>
    </w:p>
    <w:p w14:paraId="73CE1745" w14:textId="459972C0" w:rsidR="007E145B" w:rsidRPr="007E145B" w:rsidRDefault="000A6A10" w:rsidP="00C724B2">
      <w:pPr>
        <w:pStyle w:val="Heading2"/>
        <w:jc w:val="both"/>
        <w:rPr>
          <w:lang w:val="en-AU"/>
        </w:rPr>
      </w:pPr>
      <w:r w:rsidRPr="007E145B">
        <w:t>Regional Planning and Commissioning</w:t>
      </w:r>
    </w:p>
    <w:p w14:paraId="62894B0D" w14:textId="3721605A" w:rsidR="00CE2AB4" w:rsidRPr="00C57166" w:rsidRDefault="00B156A1" w:rsidP="006D22F6">
      <w:pPr>
        <w:pStyle w:val="ListParagraph"/>
        <w:numPr>
          <w:ilvl w:val="0"/>
          <w:numId w:val="4"/>
        </w:numPr>
        <w:jc w:val="both"/>
        <w:rPr>
          <w:lang w:val="en-AU"/>
        </w:rPr>
      </w:pPr>
      <w:r>
        <w:rPr>
          <w:lang w:val="en-AU"/>
        </w:rPr>
        <w:t>The Commonwealth and Victoria</w:t>
      </w:r>
      <w:r w:rsidR="00CC250F" w:rsidRPr="00CC250F">
        <w:t xml:space="preserve"> </w:t>
      </w:r>
      <w:r w:rsidR="00CC250F">
        <w:t xml:space="preserve">are committed to </w:t>
      </w:r>
      <w:r w:rsidR="00CC250F" w:rsidRPr="008575E7">
        <w:t>work</w:t>
      </w:r>
      <w:r w:rsidR="00CC250F">
        <w:t>ing</w:t>
      </w:r>
      <w:r w:rsidR="00CC250F" w:rsidRPr="008575E7">
        <w:t xml:space="preserve"> together to strengthen regional planning and commissioning of mental health and </w:t>
      </w:r>
      <w:r w:rsidR="00B92202">
        <w:t xml:space="preserve">wellbeing and </w:t>
      </w:r>
      <w:r w:rsidR="00CC250F" w:rsidRPr="008575E7">
        <w:t>suicide prevention services to provide person-</w:t>
      </w:r>
      <w:proofErr w:type="spellStart"/>
      <w:r w:rsidR="00CC250F" w:rsidRPr="008575E7">
        <w:t>centred</w:t>
      </w:r>
      <w:proofErr w:type="spellEnd"/>
      <w:r w:rsidR="00CC250F" w:rsidRPr="008575E7">
        <w:t xml:space="preserve"> care and place-based care.</w:t>
      </w:r>
      <w:r>
        <w:rPr>
          <w:lang w:val="en-AU"/>
        </w:rPr>
        <w:t xml:space="preserve"> </w:t>
      </w:r>
    </w:p>
    <w:p w14:paraId="2CE93614" w14:textId="167A247B" w:rsidR="001435E4" w:rsidRPr="001435E4" w:rsidRDefault="1557968B" w:rsidP="006D22F6">
      <w:pPr>
        <w:pStyle w:val="ListParagraph"/>
        <w:numPr>
          <w:ilvl w:val="0"/>
          <w:numId w:val="4"/>
        </w:numPr>
        <w:jc w:val="both"/>
        <w:rPr>
          <w:lang w:val="en-AU"/>
        </w:rPr>
      </w:pPr>
      <w:r>
        <w:t xml:space="preserve">The </w:t>
      </w:r>
      <w:r w:rsidR="00B91C0E">
        <w:t>P</w:t>
      </w:r>
      <w:r>
        <w:t>arties acknowledge</w:t>
      </w:r>
      <w:r w:rsidR="7A3E05C8">
        <w:t xml:space="preserve"> the importance of regional planning</w:t>
      </w:r>
      <w:r w:rsidR="00795C73">
        <w:t xml:space="preserve"> and commissioning</w:t>
      </w:r>
      <w:r w:rsidR="7A3E05C8">
        <w:t xml:space="preserve"> to identify </w:t>
      </w:r>
      <w:r w:rsidR="00795C73">
        <w:t xml:space="preserve">and address </w:t>
      </w:r>
      <w:r w:rsidR="7A3E05C8">
        <w:t>the specific mental health and support needs of local communities, particularly in rural and regional areas</w:t>
      </w:r>
      <w:r w:rsidR="00835F4B">
        <w:t xml:space="preserve"> </w:t>
      </w:r>
      <w:r w:rsidR="00B07E11">
        <w:t>and</w:t>
      </w:r>
      <w:r w:rsidR="00835F4B">
        <w:t xml:space="preserve"> supporting better integration</w:t>
      </w:r>
      <w:r w:rsidR="7A3E05C8">
        <w:t xml:space="preserve">. </w:t>
      </w:r>
    </w:p>
    <w:p w14:paraId="57C20C83" w14:textId="49E05A0F" w:rsidR="00213C9C" w:rsidRDefault="001372ED" w:rsidP="006D22F6">
      <w:pPr>
        <w:pStyle w:val="ListParagraph"/>
        <w:numPr>
          <w:ilvl w:val="0"/>
          <w:numId w:val="4"/>
        </w:numPr>
        <w:jc w:val="both"/>
      </w:pPr>
      <w:r>
        <w:t xml:space="preserve">Victoria and the Commonwealth agree to take a complementary approach to commissioning services, along with </w:t>
      </w:r>
      <w:r w:rsidR="00A36DE0">
        <w:t xml:space="preserve">collaborating on </w:t>
      </w:r>
      <w:r w:rsidR="00091D31">
        <w:t xml:space="preserve">improved </w:t>
      </w:r>
      <w:r w:rsidR="00091D31" w:rsidRPr="00B73AD7">
        <w:t xml:space="preserve">integration </w:t>
      </w:r>
      <w:r w:rsidR="00091D31">
        <w:t xml:space="preserve">and implementation of initiatives </w:t>
      </w:r>
      <w:r w:rsidR="00091D31" w:rsidRPr="00B73AD7">
        <w:t>at all levels of the system</w:t>
      </w:r>
      <w:r w:rsidR="00091D31">
        <w:t xml:space="preserve">, as outlined in </w:t>
      </w:r>
      <w:r w:rsidR="00B1096D" w:rsidRPr="00B1096D">
        <w:t>Annex C: Regional Planning and Commissioning Framework</w:t>
      </w:r>
      <w:r w:rsidR="00213C9C">
        <w:t>.</w:t>
      </w:r>
    </w:p>
    <w:p w14:paraId="3EEBCC44" w14:textId="2761DC87" w:rsidR="003A771F" w:rsidRDefault="003A771F" w:rsidP="006D22F6">
      <w:pPr>
        <w:pStyle w:val="ListParagraph"/>
        <w:numPr>
          <w:ilvl w:val="0"/>
          <w:numId w:val="4"/>
        </w:numPr>
        <w:jc w:val="both"/>
      </w:pPr>
      <w:r>
        <w:rPr>
          <w:rFonts w:ascii="Calibri" w:hAnsi="Calibri" w:cs="Calibri"/>
        </w:rPr>
        <w:t xml:space="preserve">The Commonwealth will </w:t>
      </w:r>
      <w:r w:rsidRPr="003A771F">
        <w:rPr>
          <w:rFonts w:ascii="Calibri" w:hAnsi="Calibri" w:cs="Calibri"/>
        </w:rPr>
        <w:t xml:space="preserve">provide funding </w:t>
      </w:r>
      <w:r w:rsidR="007901B7">
        <w:rPr>
          <w:rFonts w:ascii="Calibri" w:hAnsi="Calibri" w:cs="Calibri"/>
        </w:rPr>
        <w:t xml:space="preserve">as outlined in Annex A </w:t>
      </w:r>
      <w:r w:rsidRPr="003A771F">
        <w:rPr>
          <w:rFonts w:ascii="Calibri" w:hAnsi="Calibri" w:cs="Calibri"/>
        </w:rPr>
        <w:t>to Victorian Primary Health Networks to support their participation in regional commissioning and governance arrangements for initiatives under this Schedule</w:t>
      </w:r>
      <w:r w:rsidR="00845805">
        <w:rPr>
          <w:rFonts w:ascii="Calibri" w:hAnsi="Calibri" w:cs="Calibri"/>
        </w:rPr>
        <w:t xml:space="preserve"> until 30 June 2026</w:t>
      </w:r>
      <w:r w:rsidRPr="003A771F">
        <w:rPr>
          <w:rFonts w:ascii="Calibri" w:hAnsi="Calibri" w:cs="Calibri"/>
        </w:rPr>
        <w:t xml:space="preserve">. </w:t>
      </w:r>
    </w:p>
    <w:p w14:paraId="1ADF58A4" w14:textId="77777777" w:rsidR="002F2FE6" w:rsidRDefault="1557968B" w:rsidP="006D22F6">
      <w:pPr>
        <w:pStyle w:val="ListParagraph"/>
        <w:numPr>
          <w:ilvl w:val="0"/>
          <w:numId w:val="4"/>
        </w:numPr>
        <w:jc w:val="both"/>
        <w:rPr>
          <w:rFonts w:ascii="Calibri" w:hAnsi="Calibri" w:cs="Calibri"/>
        </w:rPr>
      </w:pPr>
      <w:r w:rsidRPr="005043C9">
        <w:rPr>
          <w:rFonts w:ascii="Calibri" w:hAnsi="Calibri" w:cs="Calibri"/>
        </w:rPr>
        <w:t xml:space="preserve">The </w:t>
      </w:r>
      <w:r w:rsidR="00B91C0E" w:rsidRPr="005043C9">
        <w:rPr>
          <w:rFonts w:ascii="Calibri" w:hAnsi="Calibri" w:cs="Calibri"/>
        </w:rPr>
        <w:t>P</w:t>
      </w:r>
      <w:r w:rsidRPr="005043C9">
        <w:rPr>
          <w:rFonts w:ascii="Calibri" w:hAnsi="Calibri" w:cs="Calibri"/>
        </w:rPr>
        <w:t xml:space="preserve">arties </w:t>
      </w:r>
      <w:r w:rsidR="006B6986" w:rsidRPr="005043C9">
        <w:rPr>
          <w:rFonts w:ascii="Calibri" w:hAnsi="Calibri" w:cs="Calibri"/>
        </w:rPr>
        <w:t xml:space="preserve">note that Victoria </w:t>
      </w:r>
      <w:r w:rsidR="00727D33" w:rsidRPr="005043C9">
        <w:rPr>
          <w:rFonts w:ascii="Calibri" w:hAnsi="Calibri" w:cs="Calibri"/>
        </w:rPr>
        <w:t>is developing a statewide service and capital plan by the end of 2022, with regional plans to follow by the end of 2023. The regional plans will respond to the</w:t>
      </w:r>
      <w:r w:rsidR="00D90892" w:rsidRPr="005043C9">
        <w:rPr>
          <w:rFonts w:ascii="Calibri" w:hAnsi="Calibri" w:cs="Calibri"/>
        </w:rPr>
        <w:t xml:space="preserve"> priorities as set out by the statewide plan. </w:t>
      </w:r>
    </w:p>
    <w:p w14:paraId="061EB8DA" w14:textId="1B754855" w:rsidR="005043C9" w:rsidRPr="005043C9" w:rsidRDefault="00D90892" w:rsidP="006D22F6">
      <w:pPr>
        <w:pStyle w:val="ListParagraph"/>
        <w:numPr>
          <w:ilvl w:val="0"/>
          <w:numId w:val="4"/>
        </w:numPr>
        <w:jc w:val="both"/>
        <w:rPr>
          <w:rFonts w:ascii="Calibri" w:hAnsi="Calibri" w:cs="Calibri"/>
        </w:rPr>
      </w:pPr>
      <w:r w:rsidRPr="005043C9">
        <w:rPr>
          <w:rFonts w:ascii="Calibri" w:hAnsi="Calibri" w:cs="Calibri"/>
        </w:rPr>
        <w:t xml:space="preserve">The </w:t>
      </w:r>
      <w:r w:rsidR="00D46ACE">
        <w:rPr>
          <w:rFonts w:ascii="Calibri" w:hAnsi="Calibri" w:cs="Calibri"/>
        </w:rPr>
        <w:t>P</w:t>
      </w:r>
      <w:r w:rsidRPr="005043C9">
        <w:rPr>
          <w:rFonts w:ascii="Calibri" w:hAnsi="Calibri" w:cs="Calibri"/>
        </w:rPr>
        <w:t>arties</w:t>
      </w:r>
      <w:r w:rsidR="00727D33" w:rsidRPr="005043C9">
        <w:rPr>
          <w:rFonts w:ascii="Calibri" w:hAnsi="Calibri" w:cs="Calibri"/>
        </w:rPr>
        <w:t xml:space="preserve"> </w:t>
      </w:r>
      <w:r w:rsidR="7A3E05C8" w:rsidRPr="005043C9">
        <w:rPr>
          <w:rFonts w:ascii="Calibri" w:hAnsi="Calibri" w:cs="Calibri"/>
        </w:rPr>
        <w:t>agree to</w:t>
      </w:r>
      <w:r w:rsidR="006C02CE" w:rsidRPr="005043C9">
        <w:rPr>
          <w:rFonts w:ascii="Calibri" w:hAnsi="Calibri" w:cs="Calibri"/>
        </w:rPr>
        <w:t xml:space="preserve"> work together to strengthen regional planning by</w:t>
      </w:r>
      <w:r w:rsidR="7A3E05C8" w:rsidRPr="005043C9">
        <w:rPr>
          <w:rFonts w:ascii="Calibri" w:hAnsi="Calibri" w:cs="Calibri"/>
        </w:rPr>
        <w:t xml:space="preserve"> </w:t>
      </w:r>
      <w:r w:rsidR="000B3459" w:rsidRPr="005043C9">
        <w:rPr>
          <w:rFonts w:ascii="Calibri" w:hAnsi="Calibri" w:cs="Calibri"/>
        </w:rPr>
        <w:t>collaborat</w:t>
      </w:r>
      <w:r w:rsidR="006C02CE" w:rsidRPr="005043C9">
        <w:rPr>
          <w:rFonts w:ascii="Calibri" w:hAnsi="Calibri" w:cs="Calibri"/>
        </w:rPr>
        <w:t>ing</w:t>
      </w:r>
      <w:r w:rsidR="000B3459" w:rsidRPr="005043C9">
        <w:rPr>
          <w:rFonts w:ascii="Calibri" w:hAnsi="Calibri" w:cs="Calibri"/>
        </w:rPr>
        <w:t xml:space="preserve"> on</w:t>
      </w:r>
      <w:r w:rsidR="003A62C9" w:rsidRPr="005043C9">
        <w:rPr>
          <w:rFonts w:ascii="Calibri" w:hAnsi="Calibri" w:cs="Calibri"/>
        </w:rPr>
        <w:t xml:space="preserve"> the</w:t>
      </w:r>
      <w:r w:rsidR="7A3E05C8" w:rsidRPr="005043C9">
        <w:rPr>
          <w:rFonts w:ascii="Calibri" w:hAnsi="Calibri" w:cs="Calibri"/>
        </w:rPr>
        <w:t xml:space="preserve"> development, implementation and monitoring of</w:t>
      </w:r>
      <w:r w:rsidR="006C02CE" w:rsidRPr="005043C9">
        <w:rPr>
          <w:rFonts w:ascii="Calibri" w:hAnsi="Calibri" w:cs="Calibri"/>
        </w:rPr>
        <w:t xml:space="preserve"> the first Victorian</w:t>
      </w:r>
      <w:r w:rsidR="7A3E05C8" w:rsidRPr="005043C9">
        <w:rPr>
          <w:rFonts w:ascii="Calibri" w:hAnsi="Calibri" w:cs="Calibri"/>
        </w:rPr>
        <w:t xml:space="preserve"> regional mental health</w:t>
      </w:r>
      <w:r w:rsidR="006B0F55" w:rsidRPr="005043C9">
        <w:rPr>
          <w:rFonts w:ascii="Calibri" w:hAnsi="Calibri" w:cs="Calibri"/>
        </w:rPr>
        <w:t xml:space="preserve">, </w:t>
      </w:r>
      <w:r w:rsidR="001E0BEB" w:rsidRPr="005043C9">
        <w:rPr>
          <w:rFonts w:ascii="Calibri" w:hAnsi="Calibri" w:cs="Calibri"/>
        </w:rPr>
        <w:t>wellbeing</w:t>
      </w:r>
      <w:r w:rsidR="7A3E05C8" w:rsidRPr="005043C9">
        <w:rPr>
          <w:rFonts w:ascii="Calibri" w:hAnsi="Calibri" w:cs="Calibri"/>
        </w:rPr>
        <w:t xml:space="preserve"> </w:t>
      </w:r>
      <w:r w:rsidR="008000EB" w:rsidRPr="005043C9">
        <w:rPr>
          <w:rFonts w:ascii="Calibri" w:hAnsi="Calibri" w:cs="Calibri"/>
        </w:rPr>
        <w:t xml:space="preserve">service and capital </w:t>
      </w:r>
      <w:r w:rsidR="7A3E05C8" w:rsidRPr="005043C9">
        <w:rPr>
          <w:rFonts w:ascii="Calibri" w:hAnsi="Calibri" w:cs="Calibri"/>
        </w:rPr>
        <w:t>plans</w:t>
      </w:r>
      <w:r w:rsidR="000B3459" w:rsidRPr="005043C9">
        <w:rPr>
          <w:rFonts w:ascii="Calibri" w:hAnsi="Calibri" w:cs="Calibri"/>
        </w:rPr>
        <w:t>,</w:t>
      </w:r>
      <w:r w:rsidR="006B1CD8" w:rsidRPr="005043C9">
        <w:rPr>
          <w:rFonts w:ascii="Calibri" w:hAnsi="Calibri" w:cs="Calibri"/>
        </w:rPr>
        <w:t xml:space="preserve"> developed </w:t>
      </w:r>
      <w:r w:rsidR="7A3E05C8" w:rsidRPr="005043C9">
        <w:rPr>
          <w:rFonts w:ascii="Calibri" w:hAnsi="Calibri" w:cs="Calibri"/>
        </w:rPr>
        <w:t>between</w:t>
      </w:r>
      <w:r w:rsidR="00D73279" w:rsidRPr="005043C9">
        <w:rPr>
          <w:rFonts w:ascii="Calibri" w:hAnsi="Calibri" w:cs="Calibri"/>
        </w:rPr>
        <w:t xml:space="preserve"> </w:t>
      </w:r>
      <w:r w:rsidR="001E0BEB" w:rsidRPr="005043C9">
        <w:rPr>
          <w:rFonts w:ascii="Calibri" w:hAnsi="Calibri" w:cs="Calibri"/>
        </w:rPr>
        <w:t>the Victorian Department of Health</w:t>
      </w:r>
      <w:r w:rsidR="0027240E" w:rsidRPr="005043C9">
        <w:rPr>
          <w:rFonts w:ascii="Calibri" w:hAnsi="Calibri" w:cs="Calibri"/>
        </w:rPr>
        <w:t>,</w:t>
      </w:r>
      <w:r w:rsidR="00C1539C" w:rsidRPr="005043C9">
        <w:rPr>
          <w:rFonts w:ascii="Calibri" w:hAnsi="Calibri" w:cs="Calibri"/>
        </w:rPr>
        <w:t xml:space="preserve"> in </w:t>
      </w:r>
      <w:r w:rsidR="003F0EFA">
        <w:rPr>
          <w:rFonts w:ascii="Calibri" w:hAnsi="Calibri" w:cs="Calibri"/>
        </w:rPr>
        <w:t>collaboration</w:t>
      </w:r>
      <w:r w:rsidR="00C1539C" w:rsidRPr="005043C9">
        <w:rPr>
          <w:rFonts w:ascii="Calibri" w:hAnsi="Calibri" w:cs="Calibri"/>
        </w:rPr>
        <w:t xml:space="preserve"> with</w:t>
      </w:r>
      <w:r w:rsidR="0027240E" w:rsidRPr="005043C9">
        <w:rPr>
          <w:rFonts w:ascii="Calibri" w:hAnsi="Calibri" w:cs="Calibri"/>
        </w:rPr>
        <w:t xml:space="preserve"> Primary Health Networks,</w:t>
      </w:r>
      <w:r w:rsidR="00A22510" w:rsidRPr="005043C9">
        <w:rPr>
          <w:rFonts w:ascii="Calibri" w:hAnsi="Calibri" w:cs="Calibri"/>
        </w:rPr>
        <w:t xml:space="preserve"> Health Service Partnerships, health services, consumers, carers</w:t>
      </w:r>
      <w:r w:rsidR="006B0F55" w:rsidRPr="005043C9">
        <w:rPr>
          <w:rFonts w:ascii="Calibri" w:hAnsi="Calibri" w:cs="Calibri"/>
        </w:rPr>
        <w:t>, Interim Regional Bodies</w:t>
      </w:r>
      <w:r w:rsidR="00A22510" w:rsidRPr="005043C9">
        <w:rPr>
          <w:rFonts w:ascii="Calibri" w:hAnsi="Calibri" w:cs="Calibri"/>
        </w:rPr>
        <w:t xml:space="preserve"> and other key stakeholders.</w:t>
      </w:r>
      <w:r w:rsidR="005043C9" w:rsidRPr="005043C9">
        <w:rPr>
          <w:rFonts w:ascii="Calibri" w:hAnsi="Calibri" w:cs="Calibri"/>
        </w:rPr>
        <w:t xml:space="preserve"> The </w:t>
      </w:r>
      <w:r w:rsidR="00D46ACE">
        <w:rPr>
          <w:rFonts w:ascii="Calibri" w:hAnsi="Calibri" w:cs="Calibri"/>
        </w:rPr>
        <w:t>P</w:t>
      </w:r>
      <w:r w:rsidR="005043C9" w:rsidRPr="005043C9">
        <w:rPr>
          <w:rFonts w:ascii="Calibri" w:hAnsi="Calibri" w:cs="Calibri"/>
        </w:rPr>
        <w:t>arties agree as a first priority to focus on opportunit</w:t>
      </w:r>
      <w:r w:rsidR="00D46ACE">
        <w:rPr>
          <w:rFonts w:ascii="Calibri" w:hAnsi="Calibri" w:cs="Calibri"/>
        </w:rPr>
        <w:t>ies</w:t>
      </w:r>
      <w:r w:rsidR="005043C9" w:rsidRPr="005043C9">
        <w:rPr>
          <w:rFonts w:ascii="Calibri" w:hAnsi="Calibri" w:cs="Calibri"/>
        </w:rPr>
        <w:t xml:space="preserve"> for data </w:t>
      </w:r>
      <w:proofErr w:type="gramStart"/>
      <w:r w:rsidR="005043C9" w:rsidRPr="005043C9">
        <w:rPr>
          <w:rFonts w:ascii="Calibri" w:hAnsi="Calibri" w:cs="Calibri"/>
        </w:rPr>
        <w:t>sharing, and</w:t>
      </w:r>
      <w:proofErr w:type="gramEnd"/>
      <w:r w:rsidR="005043C9" w:rsidRPr="005043C9">
        <w:rPr>
          <w:rFonts w:ascii="Calibri" w:hAnsi="Calibri" w:cs="Calibri"/>
        </w:rPr>
        <w:t xml:space="preserve"> </w:t>
      </w:r>
      <w:proofErr w:type="gramStart"/>
      <w:r w:rsidR="005043C9" w:rsidRPr="005043C9">
        <w:rPr>
          <w:rFonts w:ascii="Calibri" w:hAnsi="Calibri" w:cs="Calibri"/>
        </w:rPr>
        <w:t>identifying</w:t>
      </w:r>
      <w:proofErr w:type="gramEnd"/>
      <w:r w:rsidR="005043C9" w:rsidRPr="005043C9">
        <w:rPr>
          <w:rFonts w:ascii="Calibri" w:hAnsi="Calibri" w:cs="Calibri"/>
        </w:rPr>
        <w:t xml:space="preserve"> opportunit</w:t>
      </w:r>
      <w:r w:rsidR="00D46ACE">
        <w:rPr>
          <w:rFonts w:ascii="Calibri" w:hAnsi="Calibri" w:cs="Calibri"/>
        </w:rPr>
        <w:t>ies</w:t>
      </w:r>
      <w:r w:rsidR="005043C9" w:rsidRPr="005043C9">
        <w:rPr>
          <w:rFonts w:ascii="Calibri" w:hAnsi="Calibri" w:cs="Calibri"/>
        </w:rPr>
        <w:t xml:space="preserve"> for system design responses to integration between Commonwealth and </w:t>
      </w:r>
      <w:r w:rsidR="00D46ACE">
        <w:rPr>
          <w:rFonts w:ascii="Calibri" w:hAnsi="Calibri" w:cs="Calibri"/>
        </w:rPr>
        <w:t>state-</w:t>
      </w:r>
      <w:r w:rsidR="005043C9" w:rsidRPr="005043C9">
        <w:rPr>
          <w:rFonts w:ascii="Calibri" w:hAnsi="Calibri" w:cs="Calibri"/>
        </w:rPr>
        <w:t xml:space="preserve">funded services. This foundational approach will enable the </w:t>
      </w:r>
      <w:r w:rsidR="00D46ACE">
        <w:rPr>
          <w:rFonts w:ascii="Calibri" w:hAnsi="Calibri" w:cs="Calibri"/>
        </w:rPr>
        <w:t>P</w:t>
      </w:r>
      <w:r w:rsidR="005043C9" w:rsidRPr="005043C9">
        <w:rPr>
          <w:rFonts w:ascii="Calibri" w:hAnsi="Calibri" w:cs="Calibri"/>
        </w:rPr>
        <w:t xml:space="preserve">arties to move to a consolidated and fully joined up planning approach in the next cycle of regional planning. This aligns with </w:t>
      </w:r>
      <w:proofErr w:type="gramStart"/>
      <w:r w:rsidR="005043C9" w:rsidRPr="005043C9">
        <w:rPr>
          <w:rFonts w:ascii="Calibri" w:hAnsi="Calibri" w:cs="Calibri"/>
        </w:rPr>
        <w:t>Royal</w:t>
      </w:r>
      <w:proofErr w:type="gramEnd"/>
      <w:r w:rsidR="005043C9" w:rsidRPr="005043C9">
        <w:rPr>
          <w:rFonts w:ascii="Calibri" w:hAnsi="Calibri" w:cs="Calibri"/>
        </w:rPr>
        <w:t xml:space="preserve"> Commission's recommendation regarding a transition to regional governance and commissioning through Regional Mental Health and Wellbeing Boards. </w:t>
      </w:r>
    </w:p>
    <w:p w14:paraId="45D275CF" w14:textId="7D64998D" w:rsidR="00111A68" w:rsidRPr="00625062" w:rsidRDefault="00124FF0" w:rsidP="006D22F6">
      <w:pPr>
        <w:pStyle w:val="ListParagraph"/>
        <w:numPr>
          <w:ilvl w:val="0"/>
          <w:numId w:val="4"/>
        </w:numPr>
        <w:jc w:val="both"/>
        <w:rPr>
          <w:rFonts w:cstheme="minorBidi"/>
        </w:rPr>
      </w:pPr>
      <w:r>
        <w:t xml:space="preserve">The Parties </w:t>
      </w:r>
      <w:proofErr w:type="spellStart"/>
      <w:r>
        <w:t>recogni</w:t>
      </w:r>
      <w:r w:rsidR="006D0189">
        <w:t>s</w:t>
      </w:r>
      <w:r>
        <w:t>e</w:t>
      </w:r>
      <w:proofErr w:type="spellEnd"/>
      <w:r>
        <w:t xml:space="preserve"> the </w:t>
      </w:r>
      <w:r w:rsidR="009A44EB">
        <w:t xml:space="preserve">value that joint planning processes can bring </w:t>
      </w:r>
      <w:r w:rsidR="00873970">
        <w:t xml:space="preserve">to improving </w:t>
      </w:r>
      <w:r w:rsidR="00CC6051">
        <w:t>outcomes for Victorians</w:t>
      </w:r>
      <w:r w:rsidR="00873970">
        <w:t xml:space="preserve"> at the regional level </w:t>
      </w:r>
      <w:r w:rsidR="009A44EB">
        <w:t xml:space="preserve">and agree to </w:t>
      </w:r>
      <w:r w:rsidR="00873970">
        <w:t xml:space="preserve">continue </w:t>
      </w:r>
      <w:r w:rsidR="009A44EB">
        <w:t>work</w:t>
      </w:r>
      <w:r w:rsidR="00873970">
        <w:t>ing</w:t>
      </w:r>
      <w:r w:rsidR="009A44EB">
        <w:t xml:space="preserve"> towards </w:t>
      </w:r>
      <w:r w:rsidR="00201F29">
        <w:t xml:space="preserve">integrated approaches to planning and commissioning across the life of </w:t>
      </w:r>
      <w:r w:rsidR="00D46ACE">
        <w:t>this Schedule</w:t>
      </w:r>
      <w:r w:rsidR="00201F29">
        <w:t>.</w:t>
      </w:r>
    </w:p>
    <w:p w14:paraId="7160F7CF" w14:textId="43F34A14" w:rsidR="00EE352A" w:rsidRDefault="003D6780" w:rsidP="006D22F6">
      <w:pPr>
        <w:pStyle w:val="ListParagraph"/>
        <w:numPr>
          <w:ilvl w:val="0"/>
          <w:numId w:val="4"/>
        </w:numPr>
        <w:jc w:val="both"/>
      </w:pPr>
      <w:r w:rsidRPr="003D6780">
        <w:t>The Victorian Government</w:t>
      </w:r>
      <w:r w:rsidR="003E56C5">
        <w:t xml:space="preserve">, </w:t>
      </w:r>
      <w:r w:rsidR="003E56C5" w:rsidRPr="5190DED9">
        <w:rPr>
          <w:rFonts w:cstheme="minorBidi"/>
        </w:rPr>
        <w:t>with advice from Interim Regional Bodies,</w:t>
      </w:r>
      <w:r w:rsidRPr="003D6780">
        <w:t xml:space="preserve"> will work with the Commonwealth and Primary Health Networks to </w:t>
      </w:r>
      <w:r w:rsidR="00ED2F5F">
        <w:t xml:space="preserve">identify opportunities to </w:t>
      </w:r>
      <w:r w:rsidRPr="003D6780">
        <w:t xml:space="preserve">trial a co-commissioning approach designed to improve the integration between Commonwealth and </w:t>
      </w:r>
      <w:r w:rsidR="00694C84">
        <w:t>s</w:t>
      </w:r>
      <w:r w:rsidRPr="003D6780">
        <w:t>tate</w:t>
      </w:r>
      <w:r w:rsidR="00464C4D">
        <w:t>-</w:t>
      </w:r>
      <w:r w:rsidRPr="003D6780">
        <w:t>funded services that builds on joined up planning approaches.  This could focus on population cohorts who would benefit the most from integration</w:t>
      </w:r>
      <w:r w:rsidR="00464C4D">
        <w:t>.</w:t>
      </w:r>
    </w:p>
    <w:p w14:paraId="0748FABA" w14:textId="1889968A" w:rsidR="00EE352A" w:rsidRPr="00EE352A" w:rsidRDefault="00EE352A" w:rsidP="006D22F6">
      <w:pPr>
        <w:pStyle w:val="ListParagraph"/>
        <w:numPr>
          <w:ilvl w:val="0"/>
          <w:numId w:val="4"/>
        </w:numPr>
        <w:jc w:val="both"/>
      </w:pPr>
      <w:r w:rsidRPr="00EE352A">
        <w:t>This work will strengthen and build on the progress made under the Fifth National Mental Health and Suicide Prevention Plan, where PHNs and local health networks jointly developed and have been in the process of implementing Joint Regional Plans.</w:t>
      </w:r>
    </w:p>
    <w:p w14:paraId="47DACA10" w14:textId="1038B0C5" w:rsidR="00A3099F" w:rsidRPr="00900863" w:rsidRDefault="00B42803" w:rsidP="008B047F">
      <w:pPr>
        <w:pStyle w:val="Heading1"/>
        <w:jc w:val="both"/>
      </w:pPr>
      <w:r w:rsidRPr="00900863">
        <w:t>Performance and Reporting Requirements</w:t>
      </w:r>
    </w:p>
    <w:p w14:paraId="2F869F41" w14:textId="77777777" w:rsidR="00B42803" w:rsidRPr="00900863" w:rsidRDefault="31609321" w:rsidP="006D22F6">
      <w:pPr>
        <w:pStyle w:val="ListParagraph"/>
        <w:numPr>
          <w:ilvl w:val="0"/>
          <w:numId w:val="4"/>
        </w:numPr>
        <w:spacing w:line="24" w:lineRule="atLeast"/>
        <w:jc w:val="both"/>
      </w:pPr>
      <w:r>
        <w:t>Performance and reporting requirements are outlined in Annex B.</w:t>
      </w:r>
    </w:p>
    <w:p w14:paraId="5A98597A" w14:textId="77777777" w:rsidR="00A82AA7" w:rsidRPr="00900863" w:rsidRDefault="00A82AA7" w:rsidP="00F72F40">
      <w:pPr>
        <w:pStyle w:val="Heading1"/>
        <w:sectPr w:rsidR="00A82AA7" w:rsidRPr="00900863" w:rsidSect="006D22F6">
          <w:footerReference w:type="default" r:id="rId8"/>
          <w:headerReference w:type="first" r:id="rId9"/>
          <w:footerReference w:type="first" r:id="rId10"/>
          <w:pgSz w:w="11906" w:h="16838" w:code="9"/>
          <w:pgMar w:top="1134" w:right="1134" w:bottom="1134" w:left="1134" w:header="709" w:footer="709" w:gutter="0"/>
          <w:pgNumType w:start="1" w:chapStyle="9"/>
          <w:cols w:space="708"/>
          <w:titlePg/>
          <w:docGrid w:linePitch="360"/>
        </w:sectPr>
      </w:pPr>
    </w:p>
    <w:p w14:paraId="69A3630A" w14:textId="77777777" w:rsidR="00A46C84" w:rsidRPr="00900863" w:rsidRDefault="00A46C84" w:rsidP="00A46C84">
      <w:pPr>
        <w:pStyle w:val="Heading1"/>
      </w:pPr>
      <w:r w:rsidRPr="00900863">
        <w:t>Annex A: Financial contributions</w:t>
      </w:r>
    </w:p>
    <w:p w14:paraId="3C1B5664" w14:textId="5D154296" w:rsidR="00A46C84" w:rsidRPr="001A6266" w:rsidRDefault="00A46C84" w:rsidP="219D5185">
      <w:pPr>
        <w:pStyle w:val="Tableformat"/>
        <w:spacing w:line="252" w:lineRule="auto"/>
        <w:rPr>
          <w:rFonts w:asciiTheme="minorHAnsi" w:hAnsiTheme="minorHAnsi" w:cstheme="minorBidi"/>
          <w:b w:val="0"/>
          <w:bCs w:val="0"/>
          <w:sz w:val="22"/>
          <w:szCs w:val="22"/>
          <w:lang w:eastAsia="en-US"/>
        </w:rPr>
      </w:pPr>
      <w:r w:rsidRPr="219D5185">
        <w:rPr>
          <w:rFonts w:asciiTheme="minorHAnsi" w:hAnsiTheme="minorHAnsi" w:cstheme="minorBidi"/>
          <w:b w:val="0"/>
          <w:bCs w:val="0"/>
          <w:sz w:val="22"/>
          <w:szCs w:val="22"/>
          <w:lang w:eastAsia="en-US"/>
        </w:rPr>
        <w:t>The Commonwealth will provide an estimated financial contribution of $</w:t>
      </w:r>
      <w:r w:rsidR="008F23CA" w:rsidRPr="219D5185">
        <w:rPr>
          <w:rFonts w:asciiTheme="minorHAnsi" w:hAnsiTheme="minorHAnsi" w:cstheme="minorBidi"/>
          <w:b w:val="0"/>
          <w:bCs w:val="0"/>
          <w:sz w:val="22"/>
          <w:szCs w:val="22"/>
          <w:lang w:eastAsia="en-US"/>
        </w:rPr>
        <w:t>32</w:t>
      </w:r>
      <w:r w:rsidR="002F3B55" w:rsidRPr="219D5185">
        <w:rPr>
          <w:rFonts w:asciiTheme="minorHAnsi" w:hAnsiTheme="minorHAnsi" w:cstheme="minorBidi"/>
          <w:b w:val="0"/>
          <w:bCs w:val="0"/>
          <w:sz w:val="22"/>
          <w:szCs w:val="22"/>
          <w:lang w:eastAsia="en-US"/>
        </w:rPr>
        <w:t>0.5</w:t>
      </w:r>
      <w:r w:rsidR="0038358B">
        <w:rPr>
          <w:rFonts w:asciiTheme="minorHAnsi" w:hAnsiTheme="minorHAnsi" w:cstheme="minorBidi"/>
          <w:b w:val="0"/>
          <w:bCs w:val="0"/>
          <w:sz w:val="22"/>
          <w:szCs w:val="22"/>
          <w:lang w:eastAsia="en-US"/>
        </w:rPr>
        <w:t>5</w:t>
      </w:r>
      <w:r w:rsidRPr="219D5185">
        <w:rPr>
          <w:rFonts w:asciiTheme="minorHAnsi" w:hAnsiTheme="minorHAnsi" w:cstheme="minorBidi"/>
          <w:b w:val="0"/>
          <w:bCs w:val="0"/>
          <w:sz w:val="22"/>
          <w:szCs w:val="22"/>
          <w:lang w:eastAsia="en-US"/>
        </w:rPr>
        <w:t xml:space="preserve"> million in respect of this Schedule, as outlined in Table 1. </w:t>
      </w:r>
      <w:r w:rsidR="002E21C9" w:rsidRPr="219D5185">
        <w:rPr>
          <w:rFonts w:asciiTheme="minorHAnsi" w:hAnsiTheme="minorHAnsi" w:cstheme="minorBidi"/>
          <w:b w:val="0"/>
          <w:bCs w:val="0"/>
          <w:sz w:val="22"/>
          <w:szCs w:val="22"/>
          <w:lang w:eastAsia="en-US"/>
        </w:rPr>
        <w:t>Victoria’s investment of $</w:t>
      </w:r>
      <w:r w:rsidR="0038358B">
        <w:rPr>
          <w:rFonts w:asciiTheme="minorHAnsi" w:hAnsiTheme="minorHAnsi" w:cstheme="minorBidi"/>
          <w:b w:val="0"/>
          <w:bCs w:val="0"/>
          <w:sz w:val="22"/>
          <w:szCs w:val="22"/>
          <w:lang w:eastAsia="en-US"/>
        </w:rPr>
        <w:t>42.62</w:t>
      </w:r>
      <w:r w:rsidR="002E21C9" w:rsidRPr="219D5185">
        <w:rPr>
          <w:rFonts w:asciiTheme="minorHAnsi" w:hAnsiTheme="minorHAnsi" w:cstheme="minorBidi"/>
          <w:b w:val="0"/>
          <w:bCs w:val="0"/>
          <w:sz w:val="22"/>
          <w:szCs w:val="22"/>
          <w:lang w:eastAsia="en-US"/>
        </w:rPr>
        <w:t xml:space="preserve"> million is </w:t>
      </w:r>
      <w:proofErr w:type="spellStart"/>
      <w:r w:rsidR="002E21C9" w:rsidRPr="219D5185">
        <w:rPr>
          <w:rFonts w:asciiTheme="minorHAnsi" w:hAnsiTheme="minorHAnsi" w:cstheme="minorBidi"/>
          <w:b w:val="0"/>
          <w:bCs w:val="0"/>
          <w:sz w:val="22"/>
          <w:szCs w:val="22"/>
          <w:lang w:eastAsia="en-US"/>
        </w:rPr>
        <w:t>recogni</w:t>
      </w:r>
      <w:r w:rsidR="00B6344B">
        <w:rPr>
          <w:rFonts w:asciiTheme="minorHAnsi" w:hAnsiTheme="minorHAnsi" w:cstheme="minorBidi"/>
          <w:b w:val="0"/>
          <w:bCs w:val="0"/>
          <w:sz w:val="22"/>
          <w:szCs w:val="22"/>
          <w:lang w:eastAsia="en-US"/>
        </w:rPr>
        <w:t>s</w:t>
      </w:r>
      <w:r w:rsidR="002E21C9" w:rsidRPr="219D5185">
        <w:rPr>
          <w:rFonts w:asciiTheme="minorHAnsi" w:hAnsiTheme="minorHAnsi" w:cstheme="minorBidi"/>
          <w:b w:val="0"/>
          <w:bCs w:val="0"/>
          <w:sz w:val="22"/>
          <w:szCs w:val="22"/>
          <w:lang w:eastAsia="en-US"/>
        </w:rPr>
        <w:t>ed</w:t>
      </w:r>
      <w:proofErr w:type="spellEnd"/>
      <w:r w:rsidR="002E21C9" w:rsidRPr="219D5185">
        <w:rPr>
          <w:rFonts w:asciiTheme="minorHAnsi" w:hAnsiTheme="minorHAnsi" w:cstheme="minorBidi"/>
          <w:b w:val="0"/>
          <w:bCs w:val="0"/>
          <w:sz w:val="22"/>
          <w:szCs w:val="22"/>
          <w:lang w:eastAsia="en-US"/>
        </w:rPr>
        <w:t xml:space="preserve"> as </w:t>
      </w:r>
      <w:proofErr w:type="gramStart"/>
      <w:r w:rsidR="002E21C9" w:rsidRPr="219D5185">
        <w:rPr>
          <w:rFonts w:asciiTheme="minorHAnsi" w:hAnsiTheme="minorHAnsi" w:cstheme="minorBidi"/>
          <w:b w:val="0"/>
          <w:bCs w:val="0"/>
          <w:sz w:val="22"/>
          <w:szCs w:val="22"/>
          <w:lang w:eastAsia="en-US"/>
        </w:rPr>
        <w:t>in</w:t>
      </w:r>
      <w:proofErr w:type="gramEnd"/>
      <w:r w:rsidR="002E21C9" w:rsidRPr="219D5185">
        <w:rPr>
          <w:rFonts w:asciiTheme="minorHAnsi" w:hAnsiTheme="minorHAnsi" w:cstheme="minorBidi"/>
          <w:b w:val="0"/>
          <w:bCs w:val="0"/>
          <w:sz w:val="22"/>
          <w:szCs w:val="22"/>
          <w:lang w:eastAsia="en-US"/>
        </w:rPr>
        <w:t>-kind contribution in respect of this schedule, for enhancement and expansion of youth mental health services. Victoria will provide an estimated additional financial contribution of $</w:t>
      </w:r>
      <w:r w:rsidR="002F6608">
        <w:rPr>
          <w:rFonts w:asciiTheme="minorHAnsi" w:hAnsiTheme="minorHAnsi" w:cstheme="minorBidi"/>
          <w:b w:val="0"/>
          <w:bCs w:val="0"/>
          <w:sz w:val="22"/>
          <w:szCs w:val="22"/>
          <w:lang w:eastAsia="en-US"/>
        </w:rPr>
        <w:t>691.86</w:t>
      </w:r>
      <w:r w:rsidR="006C0DEC" w:rsidRPr="219D5185">
        <w:rPr>
          <w:rFonts w:asciiTheme="minorHAnsi" w:hAnsiTheme="minorHAnsi" w:cstheme="minorBidi"/>
          <w:b w:val="0"/>
          <w:bCs w:val="0"/>
          <w:sz w:val="22"/>
          <w:szCs w:val="22"/>
          <w:lang w:eastAsia="en-US"/>
        </w:rPr>
        <w:t xml:space="preserve"> million. </w:t>
      </w:r>
    </w:p>
    <w:p w14:paraId="7FCE1969" w14:textId="77777777" w:rsidR="00A46C84" w:rsidRDefault="00A46C84" w:rsidP="219D5185">
      <w:pPr>
        <w:pStyle w:val="Tableformat"/>
        <w:spacing w:line="252" w:lineRule="auto"/>
        <w:rPr>
          <w:rFonts w:asciiTheme="minorHAnsi" w:hAnsiTheme="minorHAnsi" w:cstheme="minorBidi"/>
          <w:b w:val="0"/>
          <w:bCs w:val="0"/>
          <w:sz w:val="22"/>
          <w:szCs w:val="22"/>
          <w:lang w:eastAsia="en-US"/>
        </w:rPr>
      </w:pPr>
      <w:r w:rsidRPr="219D5185">
        <w:rPr>
          <w:rFonts w:asciiTheme="minorHAnsi" w:hAnsiTheme="minorHAnsi" w:cstheme="minorBidi"/>
          <w:b w:val="0"/>
          <w:bCs w:val="0"/>
          <w:sz w:val="22"/>
          <w:szCs w:val="22"/>
          <w:lang w:eastAsia="en-US"/>
        </w:rPr>
        <w:t xml:space="preserve">The Parties will ensure the collection, sharing and reporting of service activity data for all initiatives in this Schedule, and ensuring all initiatives are evaluated.  </w:t>
      </w:r>
    </w:p>
    <w:p w14:paraId="20B1BE3E" w14:textId="77777777" w:rsidR="00A46C84" w:rsidRPr="00900863" w:rsidRDefault="00A46C84" w:rsidP="00A46C84">
      <w:pPr>
        <w:pStyle w:val="Tableformat"/>
        <w:spacing w:line="252" w:lineRule="auto"/>
      </w:pPr>
      <w:r>
        <w:rPr>
          <w:rFonts w:asciiTheme="minorHAnsi" w:hAnsiTheme="minorHAnsi" w:cstheme="minorBidi"/>
          <w:b w:val="0"/>
          <w:bCs w:val="0"/>
          <w:sz w:val="22"/>
          <w:szCs w:val="22"/>
          <w:lang w:eastAsia="en-US"/>
        </w:rPr>
        <w:t xml:space="preserve">Detailed financial contributions are outlined in Table 2. </w:t>
      </w:r>
    </w:p>
    <w:p w14:paraId="5DDC15FB" w14:textId="77777777" w:rsidR="00A46C84" w:rsidRDefault="00A46C84" w:rsidP="00A46C84">
      <w:pPr>
        <w:rPr>
          <w:b/>
          <w:sz w:val="24"/>
          <w:szCs w:val="24"/>
        </w:rPr>
      </w:pPr>
      <w:r w:rsidRPr="1AD82DA5">
        <w:rPr>
          <w:b/>
          <w:sz w:val="24"/>
          <w:szCs w:val="24"/>
        </w:rPr>
        <w:t>Table 1: Summary of Financial Contributions</w:t>
      </w:r>
    </w:p>
    <w:tbl>
      <w:tblPr>
        <w:tblStyle w:val="PlainTable2"/>
        <w:tblW w:w="0" w:type="auto"/>
        <w:tblLook w:val="04A0" w:firstRow="1" w:lastRow="0" w:firstColumn="1" w:lastColumn="0" w:noHBand="0" w:noVBand="1"/>
      </w:tblPr>
      <w:tblGrid>
        <w:gridCol w:w="3686"/>
        <w:gridCol w:w="1417"/>
        <w:gridCol w:w="1560"/>
        <w:gridCol w:w="1559"/>
        <w:gridCol w:w="1417"/>
        <w:gridCol w:w="1701"/>
        <w:gridCol w:w="1418"/>
        <w:gridCol w:w="1802"/>
      </w:tblGrid>
      <w:tr w:rsidR="005A107D" w:rsidRPr="005D60CA" w14:paraId="782DCAFD" w14:textId="77777777" w:rsidTr="3B2334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09302E88" w14:textId="076FD643" w:rsidR="00E82837" w:rsidRPr="005A107D" w:rsidRDefault="00E82837" w:rsidP="00A46C84">
            <w:pPr>
              <w:rPr>
                <w:bCs w:val="0"/>
                <w:sz w:val="21"/>
                <w:szCs w:val="21"/>
              </w:rPr>
            </w:pPr>
            <w:r w:rsidRPr="005A107D">
              <w:rPr>
                <w:bCs w:val="0"/>
                <w:sz w:val="21"/>
                <w:szCs w:val="21"/>
              </w:rPr>
              <w:t>($)</w:t>
            </w:r>
          </w:p>
        </w:tc>
        <w:tc>
          <w:tcPr>
            <w:tcW w:w="1417" w:type="dxa"/>
          </w:tcPr>
          <w:p w14:paraId="1875CC15" w14:textId="44B63B58" w:rsidR="00E82837" w:rsidRPr="005A107D" w:rsidRDefault="00E82837" w:rsidP="005A107D">
            <w:pPr>
              <w:cnfStyle w:val="100000000000" w:firstRow="1" w:lastRow="0" w:firstColumn="0" w:lastColumn="0" w:oddVBand="0" w:evenVBand="0" w:oddHBand="0" w:evenHBand="0" w:firstRowFirstColumn="0" w:firstRowLastColumn="0" w:lastRowFirstColumn="0" w:lastRowLastColumn="0"/>
              <w:rPr>
                <w:bCs w:val="0"/>
                <w:sz w:val="21"/>
                <w:szCs w:val="21"/>
              </w:rPr>
            </w:pPr>
            <w:r w:rsidRPr="005A107D">
              <w:rPr>
                <w:bCs w:val="0"/>
                <w:sz w:val="21"/>
                <w:szCs w:val="21"/>
              </w:rPr>
              <w:t>2021-22</w:t>
            </w:r>
          </w:p>
        </w:tc>
        <w:tc>
          <w:tcPr>
            <w:tcW w:w="1560" w:type="dxa"/>
          </w:tcPr>
          <w:p w14:paraId="7A230FB3" w14:textId="2EA1D0E7" w:rsidR="00E82837" w:rsidRPr="005A107D" w:rsidRDefault="00E82837" w:rsidP="005A107D">
            <w:pPr>
              <w:cnfStyle w:val="100000000000" w:firstRow="1" w:lastRow="0" w:firstColumn="0" w:lastColumn="0" w:oddVBand="0" w:evenVBand="0" w:oddHBand="0" w:evenHBand="0" w:firstRowFirstColumn="0" w:firstRowLastColumn="0" w:lastRowFirstColumn="0" w:lastRowLastColumn="0"/>
              <w:rPr>
                <w:bCs w:val="0"/>
                <w:sz w:val="21"/>
                <w:szCs w:val="21"/>
              </w:rPr>
            </w:pPr>
            <w:r w:rsidRPr="005A107D">
              <w:rPr>
                <w:bCs w:val="0"/>
                <w:sz w:val="21"/>
                <w:szCs w:val="21"/>
              </w:rPr>
              <w:t>2022-23</w:t>
            </w:r>
          </w:p>
        </w:tc>
        <w:tc>
          <w:tcPr>
            <w:tcW w:w="1559" w:type="dxa"/>
          </w:tcPr>
          <w:p w14:paraId="2E1E5092" w14:textId="0789B478" w:rsidR="00E82837" w:rsidRPr="005A107D" w:rsidRDefault="00E82837" w:rsidP="005A107D">
            <w:pPr>
              <w:cnfStyle w:val="100000000000" w:firstRow="1" w:lastRow="0" w:firstColumn="0" w:lastColumn="0" w:oddVBand="0" w:evenVBand="0" w:oddHBand="0" w:evenHBand="0" w:firstRowFirstColumn="0" w:firstRowLastColumn="0" w:lastRowFirstColumn="0" w:lastRowLastColumn="0"/>
              <w:rPr>
                <w:bCs w:val="0"/>
                <w:sz w:val="21"/>
                <w:szCs w:val="21"/>
              </w:rPr>
            </w:pPr>
            <w:r w:rsidRPr="005A107D">
              <w:rPr>
                <w:bCs w:val="0"/>
                <w:sz w:val="21"/>
                <w:szCs w:val="21"/>
              </w:rPr>
              <w:t>202</w:t>
            </w:r>
            <w:r w:rsidR="005D60CA" w:rsidRPr="005A107D">
              <w:rPr>
                <w:bCs w:val="0"/>
                <w:sz w:val="21"/>
                <w:szCs w:val="21"/>
              </w:rPr>
              <w:t>3-24</w:t>
            </w:r>
          </w:p>
        </w:tc>
        <w:tc>
          <w:tcPr>
            <w:tcW w:w="1417" w:type="dxa"/>
          </w:tcPr>
          <w:p w14:paraId="4CC39580" w14:textId="4281408B" w:rsidR="00E82837" w:rsidRPr="005A107D" w:rsidRDefault="005D60CA" w:rsidP="005A107D">
            <w:pPr>
              <w:cnfStyle w:val="100000000000" w:firstRow="1" w:lastRow="0" w:firstColumn="0" w:lastColumn="0" w:oddVBand="0" w:evenVBand="0" w:oddHBand="0" w:evenHBand="0" w:firstRowFirstColumn="0" w:firstRowLastColumn="0" w:lastRowFirstColumn="0" w:lastRowLastColumn="0"/>
              <w:rPr>
                <w:bCs w:val="0"/>
                <w:sz w:val="21"/>
                <w:szCs w:val="21"/>
              </w:rPr>
            </w:pPr>
            <w:r w:rsidRPr="005A107D">
              <w:rPr>
                <w:bCs w:val="0"/>
                <w:sz w:val="21"/>
                <w:szCs w:val="21"/>
              </w:rPr>
              <w:t>2024-25</w:t>
            </w:r>
          </w:p>
        </w:tc>
        <w:tc>
          <w:tcPr>
            <w:tcW w:w="1701" w:type="dxa"/>
          </w:tcPr>
          <w:p w14:paraId="5C05C555" w14:textId="38EBD6BF" w:rsidR="00E82837" w:rsidRPr="005A107D" w:rsidRDefault="005D60CA" w:rsidP="005A107D">
            <w:pPr>
              <w:cnfStyle w:val="100000000000" w:firstRow="1" w:lastRow="0" w:firstColumn="0" w:lastColumn="0" w:oddVBand="0" w:evenVBand="0" w:oddHBand="0" w:evenHBand="0" w:firstRowFirstColumn="0" w:firstRowLastColumn="0" w:lastRowFirstColumn="0" w:lastRowLastColumn="0"/>
              <w:rPr>
                <w:bCs w:val="0"/>
                <w:sz w:val="21"/>
                <w:szCs w:val="21"/>
              </w:rPr>
            </w:pPr>
            <w:r w:rsidRPr="005A107D">
              <w:rPr>
                <w:bCs w:val="0"/>
                <w:sz w:val="21"/>
                <w:szCs w:val="21"/>
              </w:rPr>
              <w:t>2025-26</w:t>
            </w:r>
          </w:p>
        </w:tc>
        <w:tc>
          <w:tcPr>
            <w:tcW w:w="1418" w:type="dxa"/>
          </w:tcPr>
          <w:p w14:paraId="647034FA" w14:textId="05829207" w:rsidR="00E82837" w:rsidRPr="005A107D" w:rsidRDefault="005D60CA" w:rsidP="005A107D">
            <w:pPr>
              <w:cnfStyle w:val="100000000000" w:firstRow="1" w:lastRow="0" w:firstColumn="0" w:lastColumn="0" w:oddVBand="0" w:evenVBand="0" w:oddHBand="0" w:evenHBand="0" w:firstRowFirstColumn="0" w:firstRowLastColumn="0" w:lastRowFirstColumn="0" w:lastRowLastColumn="0"/>
              <w:rPr>
                <w:bCs w:val="0"/>
                <w:sz w:val="21"/>
                <w:szCs w:val="21"/>
              </w:rPr>
            </w:pPr>
            <w:r w:rsidRPr="005A107D">
              <w:rPr>
                <w:bCs w:val="0"/>
                <w:sz w:val="21"/>
                <w:szCs w:val="21"/>
              </w:rPr>
              <w:t>2026-27</w:t>
            </w:r>
          </w:p>
        </w:tc>
        <w:tc>
          <w:tcPr>
            <w:tcW w:w="1802" w:type="dxa"/>
          </w:tcPr>
          <w:p w14:paraId="3FAD58A0" w14:textId="0E49A393" w:rsidR="00E82837" w:rsidRPr="005A107D" w:rsidRDefault="005D60CA" w:rsidP="005A107D">
            <w:pPr>
              <w:cnfStyle w:val="100000000000" w:firstRow="1" w:lastRow="0" w:firstColumn="0" w:lastColumn="0" w:oddVBand="0" w:evenVBand="0" w:oddHBand="0" w:evenHBand="0" w:firstRowFirstColumn="0" w:firstRowLastColumn="0" w:lastRowFirstColumn="0" w:lastRowLastColumn="0"/>
              <w:rPr>
                <w:bCs w:val="0"/>
                <w:sz w:val="21"/>
                <w:szCs w:val="21"/>
              </w:rPr>
            </w:pPr>
            <w:r w:rsidRPr="005A107D">
              <w:rPr>
                <w:bCs w:val="0"/>
                <w:sz w:val="21"/>
                <w:szCs w:val="21"/>
              </w:rPr>
              <w:t>Total</w:t>
            </w:r>
          </w:p>
        </w:tc>
      </w:tr>
      <w:tr w:rsidR="005A107D" w14:paraId="3A7E977E" w14:textId="77777777" w:rsidTr="3B233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0FD13616" w14:textId="16495CEB" w:rsidR="005A107D" w:rsidRPr="005A107D" w:rsidRDefault="005A107D" w:rsidP="005A107D">
            <w:pPr>
              <w:rPr>
                <w:b w:val="0"/>
                <w:sz w:val="21"/>
                <w:szCs w:val="21"/>
              </w:rPr>
            </w:pPr>
            <w:r w:rsidRPr="005A107D">
              <w:rPr>
                <w:rFonts w:ascii="Calibri" w:eastAsia="Calibri" w:hAnsi="Calibri" w:cs="Calibri"/>
                <w:color w:val="000000" w:themeColor="text1"/>
                <w:sz w:val="21"/>
                <w:szCs w:val="21"/>
              </w:rPr>
              <w:t>Estimated total budget</w:t>
            </w:r>
            <w:r w:rsidRPr="005A107D">
              <w:rPr>
                <w:rFonts w:ascii="Calibri" w:eastAsia="Calibri" w:hAnsi="Calibri" w:cs="Calibri"/>
                <w:color w:val="000000" w:themeColor="text1"/>
                <w:sz w:val="21"/>
                <w:szCs w:val="21"/>
                <w:lang w:val="en-AU"/>
              </w:rPr>
              <w:t> </w:t>
            </w:r>
          </w:p>
        </w:tc>
        <w:tc>
          <w:tcPr>
            <w:tcW w:w="1417" w:type="dxa"/>
            <w:vAlign w:val="center"/>
          </w:tcPr>
          <w:p w14:paraId="6814AC4D" w14:textId="59B9D16C" w:rsidR="005A107D" w:rsidRPr="00DB70A3" w:rsidRDefault="005A107D" w:rsidP="003D5721">
            <w:pPr>
              <w:jc w:val="right"/>
              <w:cnfStyle w:val="000000100000" w:firstRow="0" w:lastRow="0" w:firstColumn="0" w:lastColumn="0" w:oddVBand="0" w:evenVBand="0" w:oddHBand="1" w:evenHBand="0" w:firstRowFirstColumn="0" w:firstRowLastColumn="0" w:lastRowFirstColumn="0" w:lastRowLastColumn="0"/>
              <w:rPr>
                <w:b/>
                <w:sz w:val="21"/>
                <w:szCs w:val="21"/>
              </w:rPr>
            </w:pPr>
            <w:r w:rsidRPr="00DB70A3">
              <w:rPr>
                <w:rFonts w:ascii="Calibri" w:hAnsi="Calibri" w:cs="Calibri"/>
                <w:b/>
                <w:bCs/>
                <w:color w:val="000000"/>
                <w:sz w:val="21"/>
                <w:szCs w:val="21"/>
              </w:rPr>
              <w:t>66,465,300</w:t>
            </w:r>
          </w:p>
        </w:tc>
        <w:tc>
          <w:tcPr>
            <w:tcW w:w="1560" w:type="dxa"/>
            <w:vAlign w:val="center"/>
          </w:tcPr>
          <w:p w14:paraId="7C22FCA8" w14:textId="42A07532" w:rsidR="005A107D" w:rsidRPr="00DB70A3" w:rsidRDefault="005A107D" w:rsidP="003D5721">
            <w:pPr>
              <w:jc w:val="right"/>
              <w:cnfStyle w:val="000000100000" w:firstRow="0" w:lastRow="0" w:firstColumn="0" w:lastColumn="0" w:oddVBand="0" w:evenVBand="0" w:oddHBand="1" w:evenHBand="0" w:firstRowFirstColumn="0" w:firstRowLastColumn="0" w:lastRowFirstColumn="0" w:lastRowLastColumn="0"/>
              <w:rPr>
                <w:b/>
                <w:sz w:val="21"/>
                <w:szCs w:val="21"/>
              </w:rPr>
            </w:pPr>
            <w:r w:rsidRPr="00DB70A3">
              <w:rPr>
                <w:rFonts w:ascii="Calibri" w:hAnsi="Calibri" w:cs="Calibri"/>
                <w:b/>
                <w:bCs/>
                <w:color w:val="000000"/>
                <w:sz w:val="21"/>
                <w:szCs w:val="21"/>
              </w:rPr>
              <w:t>117,095,115</w:t>
            </w:r>
          </w:p>
        </w:tc>
        <w:tc>
          <w:tcPr>
            <w:tcW w:w="1559" w:type="dxa"/>
            <w:vAlign w:val="center"/>
          </w:tcPr>
          <w:p w14:paraId="6543AE71" w14:textId="0EB2BF26" w:rsidR="005A107D" w:rsidRPr="00DB70A3" w:rsidRDefault="005A107D" w:rsidP="003D5721">
            <w:pPr>
              <w:jc w:val="right"/>
              <w:cnfStyle w:val="000000100000" w:firstRow="0" w:lastRow="0" w:firstColumn="0" w:lastColumn="0" w:oddVBand="0" w:evenVBand="0" w:oddHBand="1" w:evenHBand="0" w:firstRowFirstColumn="0" w:firstRowLastColumn="0" w:lastRowFirstColumn="0" w:lastRowLastColumn="0"/>
              <w:rPr>
                <w:b/>
                <w:sz w:val="21"/>
                <w:szCs w:val="21"/>
              </w:rPr>
            </w:pPr>
            <w:r w:rsidRPr="00DB70A3">
              <w:rPr>
                <w:rFonts w:ascii="Calibri" w:hAnsi="Calibri" w:cs="Calibri"/>
                <w:b/>
                <w:bCs/>
                <w:color w:val="000000"/>
                <w:sz w:val="21"/>
                <w:szCs w:val="21"/>
              </w:rPr>
              <w:t>160,854,197</w:t>
            </w:r>
          </w:p>
        </w:tc>
        <w:tc>
          <w:tcPr>
            <w:tcW w:w="1417" w:type="dxa"/>
            <w:vAlign w:val="center"/>
          </w:tcPr>
          <w:p w14:paraId="4F0B97D9" w14:textId="7A5BD3AB" w:rsidR="005A107D" w:rsidRPr="00DB70A3" w:rsidRDefault="005A107D" w:rsidP="003D5721">
            <w:pPr>
              <w:jc w:val="right"/>
              <w:cnfStyle w:val="000000100000" w:firstRow="0" w:lastRow="0" w:firstColumn="0" w:lastColumn="0" w:oddVBand="0" w:evenVBand="0" w:oddHBand="1" w:evenHBand="0" w:firstRowFirstColumn="0" w:firstRowLastColumn="0" w:lastRowFirstColumn="0" w:lastRowLastColumn="0"/>
              <w:rPr>
                <w:b/>
                <w:sz w:val="21"/>
                <w:szCs w:val="21"/>
              </w:rPr>
            </w:pPr>
            <w:r w:rsidRPr="00DB70A3">
              <w:rPr>
                <w:rFonts w:ascii="Calibri" w:hAnsi="Calibri" w:cs="Calibri"/>
                <w:b/>
                <w:bCs/>
                <w:color w:val="000000"/>
                <w:sz w:val="21"/>
                <w:szCs w:val="21"/>
              </w:rPr>
              <w:t>229,359,729</w:t>
            </w:r>
          </w:p>
        </w:tc>
        <w:tc>
          <w:tcPr>
            <w:tcW w:w="1701" w:type="dxa"/>
            <w:vAlign w:val="center"/>
          </w:tcPr>
          <w:p w14:paraId="7088172A" w14:textId="6AD65E46" w:rsidR="005A107D" w:rsidRPr="00DB70A3" w:rsidRDefault="0038358B" w:rsidP="003D5721">
            <w:pPr>
              <w:jc w:val="right"/>
              <w:cnfStyle w:val="000000100000" w:firstRow="0" w:lastRow="0" w:firstColumn="0" w:lastColumn="0" w:oddVBand="0" w:evenVBand="0" w:oddHBand="1" w:evenHBand="0" w:firstRowFirstColumn="0" w:firstRowLastColumn="0" w:lastRowFirstColumn="0" w:lastRowLastColumn="0"/>
              <w:rPr>
                <w:b/>
                <w:sz w:val="21"/>
                <w:szCs w:val="21"/>
              </w:rPr>
            </w:pPr>
            <w:r>
              <w:rPr>
                <w:rFonts w:ascii="Calibri" w:hAnsi="Calibri" w:cs="Calibri"/>
                <w:b/>
                <w:bCs/>
                <w:color w:val="000000"/>
                <w:sz w:val="21"/>
                <w:szCs w:val="21"/>
              </w:rPr>
              <w:t>242,119,767</w:t>
            </w:r>
          </w:p>
        </w:tc>
        <w:tc>
          <w:tcPr>
            <w:tcW w:w="1418" w:type="dxa"/>
            <w:vAlign w:val="center"/>
          </w:tcPr>
          <w:p w14:paraId="2FED989A" w14:textId="1F5DDB8C" w:rsidR="005A107D" w:rsidRPr="00DB70A3" w:rsidRDefault="4C8276FA" w:rsidP="003D5721">
            <w:pPr>
              <w:jc w:val="right"/>
              <w:cnfStyle w:val="000000100000" w:firstRow="0" w:lastRow="0" w:firstColumn="0" w:lastColumn="0" w:oddVBand="0" w:evenVBand="0" w:oddHBand="1" w:evenHBand="0" w:firstRowFirstColumn="0" w:firstRowLastColumn="0" w:lastRowFirstColumn="0" w:lastRowLastColumn="0"/>
              <w:rPr>
                <w:b/>
                <w:bCs/>
                <w:sz w:val="21"/>
                <w:szCs w:val="21"/>
              </w:rPr>
            </w:pPr>
            <w:r w:rsidRPr="00DB70A3">
              <w:rPr>
                <w:b/>
                <w:bCs/>
                <w:sz w:val="21"/>
                <w:szCs w:val="21"/>
              </w:rPr>
              <w:t>2</w:t>
            </w:r>
            <w:r w:rsidR="791FF46E" w:rsidRPr="00DB70A3">
              <w:rPr>
                <w:b/>
                <w:bCs/>
                <w:sz w:val="21"/>
                <w:szCs w:val="21"/>
              </w:rPr>
              <w:t>4</w:t>
            </w:r>
            <w:r w:rsidR="30AB267F" w:rsidRPr="00DB70A3">
              <w:rPr>
                <w:b/>
                <w:bCs/>
                <w:sz w:val="21"/>
                <w:szCs w:val="21"/>
              </w:rPr>
              <w:t>3,036,468</w:t>
            </w:r>
          </w:p>
        </w:tc>
        <w:tc>
          <w:tcPr>
            <w:tcW w:w="1802" w:type="dxa"/>
            <w:vAlign w:val="center"/>
          </w:tcPr>
          <w:p w14:paraId="4904069D" w14:textId="31DFE09A" w:rsidR="005A107D" w:rsidRPr="00DB70A3" w:rsidRDefault="4C8276FA" w:rsidP="003D5721">
            <w:pPr>
              <w:jc w:val="right"/>
              <w:cnfStyle w:val="000000100000" w:firstRow="0" w:lastRow="0" w:firstColumn="0" w:lastColumn="0" w:oddVBand="0" w:evenVBand="0" w:oddHBand="1" w:evenHBand="0" w:firstRowFirstColumn="0" w:firstRowLastColumn="0" w:lastRowFirstColumn="0" w:lastRowLastColumn="0"/>
              <w:rPr>
                <w:b/>
                <w:bCs/>
                <w:sz w:val="21"/>
                <w:szCs w:val="21"/>
              </w:rPr>
            </w:pPr>
            <w:r w:rsidRPr="00DB70A3">
              <w:rPr>
                <w:b/>
                <w:bCs/>
                <w:sz w:val="21"/>
                <w:szCs w:val="21"/>
              </w:rPr>
              <w:t>1,</w:t>
            </w:r>
            <w:r w:rsidR="0038358B">
              <w:rPr>
                <w:b/>
                <w:bCs/>
                <w:sz w:val="21"/>
                <w:szCs w:val="21"/>
              </w:rPr>
              <w:t>058,930,573</w:t>
            </w:r>
          </w:p>
        </w:tc>
      </w:tr>
      <w:tr w:rsidR="00DB70A3" w14:paraId="3DCADA0D" w14:textId="77777777" w:rsidTr="3B2334D9">
        <w:tc>
          <w:tcPr>
            <w:cnfStyle w:val="001000000000" w:firstRow="0" w:lastRow="0" w:firstColumn="1" w:lastColumn="0" w:oddVBand="0" w:evenVBand="0" w:oddHBand="0" w:evenHBand="0" w:firstRowFirstColumn="0" w:firstRowLastColumn="0" w:lastRowFirstColumn="0" w:lastRowLastColumn="0"/>
            <w:tcW w:w="3686" w:type="dxa"/>
          </w:tcPr>
          <w:p w14:paraId="25868A2D" w14:textId="177E6C47" w:rsidR="00DB70A3" w:rsidRPr="005A107D" w:rsidRDefault="00DB70A3" w:rsidP="00DB70A3">
            <w:pPr>
              <w:rPr>
                <w:b w:val="0"/>
                <w:sz w:val="21"/>
                <w:szCs w:val="21"/>
              </w:rPr>
            </w:pPr>
            <w:r w:rsidRPr="005A107D">
              <w:rPr>
                <w:rFonts w:ascii="Calibri" w:eastAsia="Calibri" w:hAnsi="Calibri" w:cs="Calibri"/>
                <w:color w:val="000000" w:themeColor="text1"/>
                <w:sz w:val="21"/>
                <w:szCs w:val="21"/>
              </w:rPr>
              <w:t>Commonwealth total contribution</w:t>
            </w:r>
            <w:r w:rsidRPr="005A107D">
              <w:rPr>
                <w:rFonts w:ascii="Calibri" w:eastAsia="Calibri" w:hAnsi="Calibri" w:cs="Calibri"/>
                <w:color w:val="000000" w:themeColor="text1"/>
                <w:sz w:val="21"/>
                <w:szCs w:val="21"/>
                <w:lang w:val="en-AU"/>
              </w:rPr>
              <w:t> </w:t>
            </w:r>
          </w:p>
        </w:tc>
        <w:tc>
          <w:tcPr>
            <w:tcW w:w="1417" w:type="dxa"/>
            <w:vAlign w:val="center"/>
          </w:tcPr>
          <w:p w14:paraId="356FAC2D" w14:textId="48A3FDDE" w:rsidR="00DB70A3" w:rsidRPr="00DB70A3" w:rsidRDefault="00DB70A3" w:rsidP="00DB70A3">
            <w:pPr>
              <w:jc w:val="right"/>
              <w:cnfStyle w:val="000000000000" w:firstRow="0" w:lastRow="0" w:firstColumn="0" w:lastColumn="0" w:oddVBand="0" w:evenVBand="0" w:oddHBand="0" w:evenHBand="0" w:firstRowFirstColumn="0" w:firstRowLastColumn="0" w:lastRowFirstColumn="0" w:lastRowLastColumn="0"/>
              <w:rPr>
                <w:b/>
                <w:sz w:val="21"/>
                <w:szCs w:val="21"/>
              </w:rPr>
            </w:pPr>
            <w:r w:rsidRPr="00DB70A3">
              <w:rPr>
                <w:rFonts w:cstheme="minorHAnsi"/>
                <w:b/>
                <w:bCs/>
                <w:sz w:val="21"/>
                <w:szCs w:val="21"/>
              </w:rPr>
              <w:t xml:space="preserve">14,381,372 </w:t>
            </w:r>
          </w:p>
        </w:tc>
        <w:tc>
          <w:tcPr>
            <w:tcW w:w="1560" w:type="dxa"/>
            <w:vAlign w:val="center"/>
          </w:tcPr>
          <w:p w14:paraId="182D0D4C" w14:textId="20BCD3C3" w:rsidR="00DB70A3" w:rsidRPr="00DB70A3" w:rsidRDefault="00DB70A3" w:rsidP="00DB70A3">
            <w:pPr>
              <w:jc w:val="right"/>
              <w:cnfStyle w:val="000000000000" w:firstRow="0" w:lastRow="0" w:firstColumn="0" w:lastColumn="0" w:oddVBand="0" w:evenVBand="0" w:oddHBand="0" w:evenHBand="0" w:firstRowFirstColumn="0" w:firstRowLastColumn="0" w:lastRowFirstColumn="0" w:lastRowLastColumn="0"/>
              <w:rPr>
                <w:b/>
                <w:sz w:val="21"/>
                <w:szCs w:val="21"/>
              </w:rPr>
            </w:pPr>
            <w:r w:rsidRPr="00DB70A3">
              <w:rPr>
                <w:rFonts w:ascii="Calibri" w:hAnsi="Calibri" w:cs="Calibri"/>
                <w:b/>
                <w:bCs/>
                <w:sz w:val="21"/>
                <w:szCs w:val="21"/>
              </w:rPr>
              <w:t xml:space="preserve">53,303,030 </w:t>
            </w:r>
          </w:p>
        </w:tc>
        <w:tc>
          <w:tcPr>
            <w:tcW w:w="1559" w:type="dxa"/>
            <w:vAlign w:val="center"/>
          </w:tcPr>
          <w:p w14:paraId="1363D303" w14:textId="7A48D4EF" w:rsidR="00DB70A3" w:rsidRPr="00DB70A3" w:rsidRDefault="00DB70A3" w:rsidP="00DB70A3">
            <w:pPr>
              <w:jc w:val="right"/>
              <w:cnfStyle w:val="000000000000" w:firstRow="0" w:lastRow="0" w:firstColumn="0" w:lastColumn="0" w:oddVBand="0" w:evenVBand="0" w:oddHBand="0" w:evenHBand="0" w:firstRowFirstColumn="0" w:firstRowLastColumn="0" w:lastRowFirstColumn="0" w:lastRowLastColumn="0"/>
              <w:rPr>
                <w:b/>
                <w:sz w:val="21"/>
                <w:szCs w:val="21"/>
              </w:rPr>
            </w:pPr>
            <w:r w:rsidRPr="00DB70A3">
              <w:rPr>
                <w:rFonts w:ascii="Calibri" w:hAnsi="Calibri" w:cs="Calibri"/>
                <w:b/>
                <w:bCs/>
                <w:sz w:val="21"/>
                <w:szCs w:val="21"/>
              </w:rPr>
              <w:t xml:space="preserve">51,095,297 </w:t>
            </w:r>
          </w:p>
        </w:tc>
        <w:tc>
          <w:tcPr>
            <w:tcW w:w="1417" w:type="dxa"/>
            <w:vAlign w:val="center"/>
          </w:tcPr>
          <w:p w14:paraId="3172D793" w14:textId="571DC391" w:rsidR="00DB70A3" w:rsidRPr="00DB70A3" w:rsidRDefault="00DB70A3" w:rsidP="00DB70A3">
            <w:pPr>
              <w:jc w:val="right"/>
              <w:cnfStyle w:val="000000000000" w:firstRow="0" w:lastRow="0" w:firstColumn="0" w:lastColumn="0" w:oddVBand="0" w:evenVBand="0" w:oddHBand="0" w:evenHBand="0" w:firstRowFirstColumn="0" w:firstRowLastColumn="0" w:lastRowFirstColumn="0" w:lastRowLastColumn="0"/>
              <w:rPr>
                <w:b/>
                <w:sz w:val="21"/>
                <w:szCs w:val="21"/>
              </w:rPr>
            </w:pPr>
            <w:r w:rsidRPr="00DB70A3">
              <w:rPr>
                <w:rFonts w:ascii="Calibri" w:hAnsi="Calibri" w:cs="Calibri"/>
                <w:b/>
                <w:bCs/>
                <w:sz w:val="21"/>
                <w:szCs w:val="21"/>
              </w:rPr>
              <w:t xml:space="preserve">61,678,530 </w:t>
            </w:r>
          </w:p>
        </w:tc>
        <w:tc>
          <w:tcPr>
            <w:tcW w:w="1701" w:type="dxa"/>
            <w:vAlign w:val="center"/>
          </w:tcPr>
          <w:p w14:paraId="77A2C89E" w14:textId="0E3474B4" w:rsidR="00DB70A3" w:rsidRPr="00DB70A3" w:rsidRDefault="00DB70A3" w:rsidP="00DB70A3">
            <w:pPr>
              <w:jc w:val="right"/>
              <w:cnfStyle w:val="000000000000" w:firstRow="0" w:lastRow="0" w:firstColumn="0" w:lastColumn="0" w:oddVBand="0" w:evenVBand="0" w:oddHBand="0" w:evenHBand="0" w:firstRowFirstColumn="0" w:firstRowLastColumn="0" w:lastRowFirstColumn="0" w:lastRowLastColumn="0"/>
              <w:rPr>
                <w:b/>
                <w:sz w:val="21"/>
                <w:szCs w:val="21"/>
              </w:rPr>
            </w:pPr>
            <w:r w:rsidRPr="00DB70A3">
              <w:rPr>
                <w:rFonts w:ascii="Calibri" w:hAnsi="Calibri" w:cs="Calibri"/>
                <w:b/>
                <w:sz w:val="21"/>
                <w:szCs w:val="21"/>
              </w:rPr>
              <w:t xml:space="preserve">69,058,085 </w:t>
            </w:r>
          </w:p>
        </w:tc>
        <w:tc>
          <w:tcPr>
            <w:tcW w:w="1418" w:type="dxa"/>
            <w:vAlign w:val="center"/>
          </w:tcPr>
          <w:p w14:paraId="3AF74DE2" w14:textId="494322B3" w:rsidR="00DB70A3" w:rsidRPr="00DB70A3" w:rsidRDefault="00DB70A3" w:rsidP="00DB70A3">
            <w:pPr>
              <w:jc w:val="right"/>
              <w:cnfStyle w:val="000000000000" w:firstRow="0" w:lastRow="0" w:firstColumn="0" w:lastColumn="0" w:oddVBand="0" w:evenVBand="0" w:oddHBand="0" w:evenHBand="0" w:firstRowFirstColumn="0" w:firstRowLastColumn="0" w:lastRowFirstColumn="0" w:lastRowLastColumn="0"/>
              <w:rPr>
                <w:b/>
                <w:bCs/>
                <w:sz w:val="21"/>
                <w:szCs w:val="21"/>
              </w:rPr>
            </w:pPr>
            <w:r w:rsidRPr="00DB70A3">
              <w:rPr>
                <w:rFonts w:ascii="Calibri" w:hAnsi="Calibri" w:cs="Calibri"/>
                <w:b/>
                <w:sz w:val="21"/>
                <w:szCs w:val="21"/>
              </w:rPr>
              <w:t>71,037,853</w:t>
            </w:r>
          </w:p>
        </w:tc>
        <w:tc>
          <w:tcPr>
            <w:tcW w:w="1802" w:type="dxa"/>
            <w:vAlign w:val="center"/>
          </w:tcPr>
          <w:p w14:paraId="3C73B3F0" w14:textId="4FD2859D" w:rsidR="00DB70A3" w:rsidRPr="00DB70A3" w:rsidRDefault="00DB70A3" w:rsidP="00DB70A3">
            <w:pPr>
              <w:jc w:val="right"/>
              <w:cnfStyle w:val="000000000000" w:firstRow="0" w:lastRow="0" w:firstColumn="0" w:lastColumn="0" w:oddVBand="0" w:evenVBand="0" w:oddHBand="0" w:evenHBand="0" w:firstRowFirstColumn="0" w:firstRowLastColumn="0" w:lastRowFirstColumn="0" w:lastRowLastColumn="0"/>
              <w:rPr>
                <w:b/>
                <w:bCs/>
                <w:sz w:val="21"/>
                <w:szCs w:val="21"/>
              </w:rPr>
            </w:pPr>
            <w:r w:rsidRPr="00DB70A3">
              <w:rPr>
                <w:rFonts w:ascii="Calibri" w:hAnsi="Calibri" w:cs="Calibri"/>
                <w:b/>
                <w:sz w:val="21"/>
                <w:szCs w:val="21"/>
              </w:rPr>
              <w:t xml:space="preserve">320,554,164 </w:t>
            </w:r>
          </w:p>
        </w:tc>
      </w:tr>
      <w:tr w:rsidR="005A107D" w14:paraId="761DC55D" w14:textId="77777777" w:rsidTr="3B233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2A1BF2BA" w14:textId="680CAF84" w:rsidR="005A107D" w:rsidRPr="005A107D" w:rsidRDefault="005A107D" w:rsidP="005A107D">
            <w:pPr>
              <w:rPr>
                <w:b w:val="0"/>
                <w:bCs w:val="0"/>
                <w:sz w:val="21"/>
                <w:szCs w:val="21"/>
              </w:rPr>
            </w:pPr>
            <w:r w:rsidRPr="005A107D">
              <w:rPr>
                <w:rFonts w:ascii="Calibri" w:eastAsia="Calibri" w:hAnsi="Calibri" w:cs="Calibri"/>
                <w:b w:val="0"/>
                <w:bCs w:val="0"/>
                <w:color w:val="000000" w:themeColor="text1"/>
                <w:sz w:val="21"/>
                <w:szCs w:val="21"/>
              </w:rPr>
              <w:t>Estimated payments to Victoria</w:t>
            </w:r>
            <w:r w:rsidRPr="005A107D">
              <w:rPr>
                <w:rFonts w:ascii="Calibri" w:eastAsia="Calibri" w:hAnsi="Calibri" w:cs="Calibri"/>
                <w:b w:val="0"/>
                <w:bCs w:val="0"/>
                <w:color w:val="000000" w:themeColor="text1"/>
                <w:sz w:val="21"/>
                <w:szCs w:val="21"/>
                <w:lang w:val="en-AU"/>
              </w:rPr>
              <w:t> </w:t>
            </w:r>
          </w:p>
        </w:tc>
        <w:tc>
          <w:tcPr>
            <w:tcW w:w="1417" w:type="dxa"/>
            <w:vAlign w:val="center"/>
          </w:tcPr>
          <w:p w14:paraId="0D3B806C" w14:textId="564EFB20" w:rsidR="005A107D" w:rsidRPr="00DB70A3" w:rsidRDefault="005A107D" w:rsidP="003D5721">
            <w:pPr>
              <w:jc w:val="right"/>
              <w:cnfStyle w:val="000000100000" w:firstRow="0" w:lastRow="0" w:firstColumn="0" w:lastColumn="0" w:oddVBand="0" w:evenVBand="0" w:oddHBand="1" w:evenHBand="0" w:firstRowFirstColumn="0" w:firstRowLastColumn="0" w:lastRowFirstColumn="0" w:lastRowLastColumn="0"/>
              <w:rPr>
                <w:sz w:val="21"/>
                <w:szCs w:val="21"/>
              </w:rPr>
            </w:pPr>
            <w:r w:rsidRPr="00DB70A3">
              <w:rPr>
                <w:rFonts w:ascii="Calibri" w:eastAsia="Calibri" w:hAnsi="Calibri" w:cs="Calibri"/>
                <w:sz w:val="21"/>
                <w:szCs w:val="21"/>
              </w:rPr>
              <w:t xml:space="preserve">4,709,159 </w:t>
            </w:r>
          </w:p>
        </w:tc>
        <w:tc>
          <w:tcPr>
            <w:tcW w:w="1560" w:type="dxa"/>
            <w:vAlign w:val="center"/>
          </w:tcPr>
          <w:p w14:paraId="3EBA6136" w14:textId="07149617" w:rsidR="005A107D" w:rsidRPr="00DB70A3" w:rsidRDefault="005A107D" w:rsidP="003D5721">
            <w:pPr>
              <w:jc w:val="right"/>
              <w:cnfStyle w:val="000000100000" w:firstRow="0" w:lastRow="0" w:firstColumn="0" w:lastColumn="0" w:oddVBand="0" w:evenVBand="0" w:oddHBand="1" w:evenHBand="0" w:firstRowFirstColumn="0" w:firstRowLastColumn="0" w:lastRowFirstColumn="0" w:lastRowLastColumn="0"/>
              <w:rPr>
                <w:sz w:val="21"/>
                <w:szCs w:val="21"/>
              </w:rPr>
            </w:pPr>
            <w:r w:rsidRPr="00DB70A3">
              <w:rPr>
                <w:rFonts w:ascii="Calibri" w:hAnsi="Calibri" w:cs="Calibri"/>
                <w:sz w:val="21"/>
                <w:szCs w:val="21"/>
              </w:rPr>
              <w:t xml:space="preserve">36,897,242 </w:t>
            </w:r>
          </w:p>
        </w:tc>
        <w:tc>
          <w:tcPr>
            <w:tcW w:w="1559" w:type="dxa"/>
            <w:vAlign w:val="center"/>
          </w:tcPr>
          <w:p w14:paraId="0F303461" w14:textId="77AF5995" w:rsidR="005A107D" w:rsidRPr="00DB70A3" w:rsidRDefault="005A107D" w:rsidP="003D5721">
            <w:pPr>
              <w:jc w:val="right"/>
              <w:cnfStyle w:val="000000100000" w:firstRow="0" w:lastRow="0" w:firstColumn="0" w:lastColumn="0" w:oddVBand="0" w:evenVBand="0" w:oddHBand="1" w:evenHBand="0" w:firstRowFirstColumn="0" w:firstRowLastColumn="0" w:lastRowFirstColumn="0" w:lastRowLastColumn="0"/>
              <w:rPr>
                <w:sz w:val="21"/>
                <w:szCs w:val="21"/>
              </w:rPr>
            </w:pPr>
            <w:r w:rsidRPr="00DB70A3">
              <w:rPr>
                <w:rFonts w:ascii="Calibri" w:hAnsi="Calibri" w:cs="Calibri"/>
                <w:sz w:val="21"/>
                <w:szCs w:val="21"/>
              </w:rPr>
              <w:t xml:space="preserve">29,677,735 </w:t>
            </w:r>
          </w:p>
        </w:tc>
        <w:tc>
          <w:tcPr>
            <w:tcW w:w="1417" w:type="dxa"/>
            <w:vAlign w:val="center"/>
          </w:tcPr>
          <w:p w14:paraId="06D9F794" w14:textId="1D0CB147" w:rsidR="005A107D" w:rsidRPr="00DB70A3" w:rsidRDefault="005A107D" w:rsidP="003D5721">
            <w:pPr>
              <w:jc w:val="right"/>
              <w:cnfStyle w:val="000000100000" w:firstRow="0" w:lastRow="0" w:firstColumn="0" w:lastColumn="0" w:oddVBand="0" w:evenVBand="0" w:oddHBand="1" w:evenHBand="0" w:firstRowFirstColumn="0" w:firstRowLastColumn="0" w:lastRowFirstColumn="0" w:lastRowLastColumn="0"/>
              <w:rPr>
                <w:sz w:val="21"/>
                <w:szCs w:val="21"/>
              </w:rPr>
            </w:pPr>
            <w:r w:rsidRPr="00DB70A3">
              <w:rPr>
                <w:rFonts w:ascii="Calibri" w:hAnsi="Calibri" w:cs="Calibri"/>
                <w:sz w:val="21"/>
                <w:szCs w:val="21"/>
              </w:rPr>
              <w:t xml:space="preserve">39,378,553 </w:t>
            </w:r>
          </w:p>
        </w:tc>
        <w:tc>
          <w:tcPr>
            <w:tcW w:w="1701" w:type="dxa"/>
            <w:vAlign w:val="center"/>
          </w:tcPr>
          <w:p w14:paraId="475625F5" w14:textId="0744FFD7" w:rsidR="005A107D" w:rsidRPr="00DB70A3" w:rsidRDefault="002530D8" w:rsidP="003D5721">
            <w:pPr>
              <w:jc w:val="right"/>
              <w:cnfStyle w:val="000000100000" w:firstRow="0" w:lastRow="0" w:firstColumn="0" w:lastColumn="0" w:oddVBand="0" w:evenVBand="0" w:oddHBand="1" w:evenHBand="0" w:firstRowFirstColumn="0" w:firstRowLastColumn="0" w:lastRowFirstColumn="0" w:lastRowLastColumn="0"/>
              <w:rPr>
                <w:sz w:val="21"/>
                <w:szCs w:val="21"/>
              </w:rPr>
            </w:pPr>
            <w:r w:rsidRPr="00DB70A3">
              <w:rPr>
                <w:rFonts w:ascii="Calibri" w:hAnsi="Calibri" w:cs="Calibri"/>
                <w:sz w:val="21"/>
                <w:szCs w:val="21"/>
              </w:rPr>
              <w:t>37,107,069</w:t>
            </w:r>
            <w:r w:rsidR="005A107D" w:rsidRPr="00DB70A3">
              <w:rPr>
                <w:rFonts w:ascii="Calibri" w:hAnsi="Calibri" w:cs="Calibri"/>
                <w:sz w:val="21"/>
                <w:szCs w:val="21"/>
              </w:rPr>
              <w:t xml:space="preserve"> </w:t>
            </w:r>
          </w:p>
        </w:tc>
        <w:tc>
          <w:tcPr>
            <w:tcW w:w="1418" w:type="dxa"/>
            <w:vAlign w:val="center"/>
          </w:tcPr>
          <w:p w14:paraId="4EFB1519" w14:textId="118A84A2" w:rsidR="005A107D" w:rsidRPr="00DB70A3" w:rsidRDefault="008D7CC7" w:rsidP="003D5721">
            <w:pPr>
              <w:jc w:val="right"/>
              <w:cnfStyle w:val="000000100000" w:firstRow="0" w:lastRow="0" w:firstColumn="0" w:lastColumn="0" w:oddVBand="0" w:evenVBand="0" w:oddHBand="1" w:evenHBand="0" w:firstRowFirstColumn="0" w:firstRowLastColumn="0" w:lastRowFirstColumn="0" w:lastRowLastColumn="0"/>
              <w:rPr>
                <w:sz w:val="21"/>
                <w:szCs w:val="21"/>
              </w:rPr>
            </w:pPr>
            <w:r w:rsidRPr="3B2334D9">
              <w:rPr>
                <w:sz w:val="21"/>
                <w:szCs w:val="21"/>
              </w:rPr>
              <w:t>41,</w:t>
            </w:r>
            <w:r w:rsidR="4CEB7A22" w:rsidRPr="3B2334D9">
              <w:rPr>
                <w:sz w:val="21"/>
                <w:szCs w:val="21"/>
              </w:rPr>
              <w:t>198,594</w:t>
            </w:r>
          </w:p>
        </w:tc>
        <w:tc>
          <w:tcPr>
            <w:tcW w:w="1802" w:type="dxa"/>
            <w:vAlign w:val="center"/>
          </w:tcPr>
          <w:p w14:paraId="11654BE8" w14:textId="0738FCF5" w:rsidR="005A107D" w:rsidRPr="00DB70A3" w:rsidRDefault="00DB70A3" w:rsidP="003D5721">
            <w:pPr>
              <w:jc w:val="right"/>
              <w:cnfStyle w:val="000000100000" w:firstRow="0" w:lastRow="0" w:firstColumn="0" w:lastColumn="0" w:oddVBand="0" w:evenVBand="0" w:oddHBand="1" w:evenHBand="0" w:firstRowFirstColumn="0" w:firstRowLastColumn="0" w:lastRowFirstColumn="0" w:lastRowLastColumn="0"/>
              <w:rPr>
                <w:sz w:val="21"/>
                <w:szCs w:val="21"/>
              </w:rPr>
            </w:pPr>
            <w:r w:rsidRPr="00DB70A3">
              <w:rPr>
                <w:sz w:val="21"/>
                <w:szCs w:val="21"/>
              </w:rPr>
              <w:t>188,968,352</w:t>
            </w:r>
          </w:p>
        </w:tc>
      </w:tr>
      <w:tr w:rsidR="00DB70A3" w14:paraId="229E7212" w14:textId="77777777" w:rsidTr="3B2334D9">
        <w:tc>
          <w:tcPr>
            <w:cnfStyle w:val="001000000000" w:firstRow="0" w:lastRow="0" w:firstColumn="1" w:lastColumn="0" w:oddVBand="0" w:evenVBand="0" w:oddHBand="0" w:evenHBand="0" w:firstRowFirstColumn="0" w:firstRowLastColumn="0" w:lastRowFirstColumn="0" w:lastRowLastColumn="0"/>
            <w:tcW w:w="3686" w:type="dxa"/>
          </w:tcPr>
          <w:p w14:paraId="6F2988ED" w14:textId="49B63EFB" w:rsidR="00DB70A3" w:rsidRPr="005A107D" w:rsidRDefault="00DB70A3" w:rsidP="00DB70A3">
            <w:pPr>
              <w:rPr>
                <w:b w:val="0"/>
                <w:bCs w:val="0"/>
                <w:sz w:val="21"/>
                <w:szCs w:val="21"/>
              </w:rPr>
            </w:pPr>
            <w:r w:rsidRPr="005A107D">
              <w:rPr>
                <w:rFonts w:ascii="Calibri" w:eastAsia="Calibri" w:hAnsi="Calibri" w:cs="Calibri"/>
                <w:b w:val="0"/>
                <w:bCs w:val="0"/>
                <w:color w:val="000000" w:themeColor="text1"/>
                <w:sz w:val="21"/>
                <w:szCs w:val="21"/>
              </w:rPr>
              <w:t>Other Commonwealth payments</w:t>
            </w:r>
            <w:r w:rsidRPr="005A107D">
              <w:rPr>
                <w:rFonts w:ascii="Calibri" w:eastAsia="Calibri" w:hAnsi="Calibri" w:cs="Calibri"/>
                <w:b w:val="0"/>
                <w:bCs w:val="0"/>
                <w:color w:val="000000" w:themeColor="text1"/>
                <w:sz w:val="21"/>
                <w:szCs w:val="21"/>
                <w:lang w:val="en-AU"/>
              </w:rPr>
              <w:t> </w:t>
            </w:r>
          </w:p>
        </w:tc>
        <w:tc>
          <w:tcPr>
            <w:tcW w:w="1417" w:type="dxa"/>
            <w:vAlign w:val="center"/>
          </w:tcPr>
          <w:p w14:paraId="2776EDF3" w14:textId="2F04CD6C" w:rsidR="00DB70A3" w:rsidRPr="00DB70A3" w:rsidRDefault="00DB70A3" w:rsidP="00DB70A3">
            <w:pPr>
              <w:jc w:val="right"/>
              <w:cnfStyle w:val="000000000000" w:firstRow="0" w:lastRow="0" w:firstColumn="0" w:lastColumn="0" w:oddVBand="0" w:evenVBand="0" w:oddHBand="0" w:evenHBand="0" w:firstRowFirstColumn="0" w:firstRowLastColumn="0" w:lastRowFirstColumn="0" w:lastRowLastColumn="0"/>
              <w:rPr>
                <w:sz w:val="21"/>
                <w:szCs w:val="21"/>
              </w:rPr>
            </w:pPr>
            <w:r w:rsidRPr="00DB70A3">
              <w:rPr>
                <w:rFonts w:ascii="Calibri" w:hAnsi="Calibri" w:cs="Calibri"/>
                <w:sz w:val="21"/>
                <w:szCs w:val="21"/>
              </w:rPr>
              <w:t xml:space="preserve">9,672,212 </w:t>
            </w:r>
          </w:p>
        </w:tc>
        <w:tc>
          <w:tcPr>
            <w:tcW w:w="1560" w:type="dxa"/>
            <w:vAlign w:val="center"/>
          </w:tcPr>
          <w:p w14:paraId="189354E1" w14:textId="3BCEB750" w:rsidR="00DB70A3" w:rsidRPr="00DB70A3" w:rsidRDefault="00DB70A3" w:rsidP="00DB70A3">
            <w:pPr>
              <w:jc w:val="right"/>
              <w:cnfStyle w:val="000000000000" w:firstRow="0" w:lastRow="0" w:firstColumn="0" w:lastColumn="0" w:oddVBand="0" w:evenVBand="0" w:oddHBand="0" w:evenHBand="0" w:firstRowFirstColumn="0" w:firstRowLastColumn="0" w:lastRowFirstColumn="0" w:lastRowLastColumn="0"/>
              <w:rPr>
                <w:sz w:val="21"/>
                <w:szCs w:val="21"/>
              </w:rPr>
            </w:pPr>
            <w:r w:rsidRPr="00DB70A3">
              <w:rPr>
                <w:rFonts w:ascii="Calibri" w:hAnsi="Calibri" w:cs="Calibri"/>
                <w:sz w:val="21"/>
                <w:szCs w:val="21"/>
              </w:rPr>
              <w:t xml:space="preserve">16,405,788 </w:t>
            </w:r>
          </w:p>
        </w:tc>
        <w:tc>
          <w:tcPr>
            <w:tcW w:w="1559" w:type="dxa"/>
            <w:vAlign w:val="center"/>
          </w:tcPr>
          <w:p w14:paraId="672BE7CB" w14:textId="265EF9E5" w:rsidR="00DB70A3" w:rsidRPr="00DB70A3" w:rsidRDefault="00DB70A3" w:rsidP="00DB70A3">
            <w:pPr>
              <w:jc w:val="right"/>
              <w:cnfStyle w:val="000000000000" w:firstRow="0" w:lastRow="0" w:firstColumn="0" w:lastColumn="0" w:oddVBand="0" w:evenVBand="0" w:oddHBand="0" w:evenHBand="0" w:firstRowFirstColumn="0" w:firstRowLastColumn="0" w:lastRowFirstColumn="0" w:lastRowLastColumn="0"/>
              <w:rPr>
                <w:sz w:val="21"/>
                <w:szCs w:val="21"/>
              </w:rPr>
            </w:pPr>
            <w:r w:rsidRPr="00DB70A3">
              <w:rPr>
                <w:rFonts w:ascii="Calibri" w:hAnsi="Calibri" w:cs="Calibri"/>
                <w:sz w:val="21"/>
                <w:szCs w:val="21"/>
              </w:rPr>
              <w:t xml:space="preserve">21,417,561 </w:t>
            </w:r>
          </w:p>
        </w:tc>
        <w:tc>
          <w:tcPr>
            <w:tcW w:w="1417" w:type="dxa"/>
            <w:vAlign w:val="center"/>
          </w:tcPr>
          <w:p w14:paraId="390DA5F9" w14:textId="24A591A5" w:rsidR="00DB70A3" w:rsidRPr="00DB70A3" w:rsidRDefault="00DB70A3" w:rsidP="00DB70A3">
            <w:pPr>
              <w:jc w:val="right"/>
              <w:cnfStyle w:val="000000000000" w:firstRow="0" w:lastRow="0" w:firstColumn="0" w:lastColumn="0" w:oddVBand="0" w:evenVBand="0" w:oddHBand="0" w:evenHBand="0" w:firstRowFirstColumn="0" w:firstRowLastColumn="0" w:lastRowFirstColumn="0" w:lastRowLastColumn="0"/>
              <w:rPr>
                <w:sz w:val="21"/>
                <w:szCs w:val="21"/>
              </w:rPr>
            </w:pPr>
            <w:r w:rsidRPr="00DB70A3">
              <w:rPr>
                <w:rFonts w:ascii="Calibri" w:hAnsi="Calibri" w:cs="Calibri"/>
                <w:sz w:val="21"/>
                <w:szCs w:val="21"/>
              </w:rPr>
              <w:t xml:space="preserve">22,299,977 </w:t>
            </w:r>
          </w:p>
        </w:tc>
        <w:tc>
          <w:tcPr>
            <w:tcW w:w="1701" w:type="dxa"/>
            <w:vAlign w:val="center"/>
          </w:tcPr>
          <w:p w14:paraId="1A684F75" w14:textId="552BF747" w:rsidR="00DB70A3" w:rsidRPr="00DB70A3" w:rsidRDefault="00DB70A3" w:rsidP="00DB70A3">
            <w:pPr>
              <w:jc w:val="right"/>
              <w:cnfStyle w:val="000000000000" w:firstRow="0" w:lastRow="0" w:firstColumn="0" w:lastColumn="0" w:oddVBand="0" w:evenVBand="0" w:oddHBand="0" w:evenHBand="0" w:firstRowFirstColumn="0" w:firstRowLastColumn="0" w:lastRowFirstColumn="0" w:lastRowLastColumn="0"/>
              <w:rPr>
                <w:sz w:val="21"/>
                <w:szCs w:val="21"/>
              </w:rPr>
            </w:pPr>
            <w:r w:rsidRPr="00DB70A3">
              <w:rPr>
                <w:rFonts w:ascii="Calibri" w:hAnsi="Calibri" w:cs="Calibri"/>
                <w:sz w:val="21"/>
                <w:szCs w:val="21"/>
              </w:rPr>
              <w:t xml:space="preserve">31,951,016 </w:t>
            </w:r>
          </w:p>
        </w:tc>
        <w:tc>
          <w:tcPr>
            <w:tcW w:w="1418" w:type="dxa"/>
            <w:vAlign w:val="center"/>
          </w:tcPr>
          <w:p w14:paraId="2EBD06E2" w14:textId="6636A743" w:rsidR="00DB70A3" w:rsidRPr="00DB70A3" w:rsidRDefault="4B44DD76" w:rsidP="3B2334D9">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3B2334D9">
              <w:rPr>
                <w:rFonts w:ascii="Calibri" w:hAnsi="Calibri" w:cs="Calibri"/>
                <w:sz w:val="21"/>
                <w:szCs w:val="21"/>
              </w:rPr>
              <w:t>29,839,259</w:t>
            </w:r>
          </w:p>
        </w:tc>
        <w:tc>
          <w:tcPr>
            <w:tcW w:w="1802" w:type="dxa"/>
            <w:vAlign w:val="center"/>
          </w:tcPr>
          <w:p w14:paraId="24BDDB9A" w14:textId="7C7F4DC5" w:rsidR="00DB70A3" w:rsidRPr="00DB70A3" w:rsidRDefault="00DB70A3" w:rsidP="00DB70A3">
            <w:pPr>
              <w:jc w:val="right"/>
              <w:cnfStyle w:val="000000000000" w:firstRow="0" w:lastRow="0" w:firstColumn="0" w:lastColumn="0" w:oddVBand="0" w:evenVBand="0" w:oddHBand="0" w:evenHBand="0" w:firstRowFirstColumn="0" w:firstRowLastColumn="0" w:lastRowFirstColumn="0" w:lastRowLastColumn="0"/>
              <w:rPr>
                <w:sz w:val="21"/>
                <w:szCs w:val="21"/>
              </w:rPr>
            </w:pPr>
            <w:r w:rsidRPr="00DB70A3">
              <w:rPr>
                <w:rFonts w:ascii="Calibri" w:hAnsi="Calibri" w:cs="Calibri"/>
                <w:sz w:val="21"/>
                <w:szCs w:val="21"/>
              </w:rPr>
              <w:t xml:space="preserve">131,585,812 </w:t>
            </w:r>
          </w:p>
        </w:tc>
      </w:tr>
      <w:tr w:rsidR="00DB70A3" w14:paraId="109E511E" w14:textId="77777777" w:rsidTr="3B233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338AEF30" w14:textId="6F9B0FD4" w:rsidR="00DB70A3" w:rsidRPr="005A107D" w:rsidRDefault="00DB70A3" w:rsidP="00DB70A3">
            <w:pPr>
              <w:rPr>
                <w:b w:val="0"/>
                <w:sz w:val="21"/>
                <w:szCs w:val="21"/>
              </w:rPr>
            </w:pPr>
            <w:r w:rsidRPr="005A107D">
              <w:rPr>
                <w:rFonts w:ascii="Calibri" w:eastAsia="Calibri" w:hAnsi="Calibri" w:cs="Calibri"/>
                <w:color w:val="000000" w:themeColor="text1"/>
                <w:sz w:val="21"/>
                <w:szCs w:val="21"/>
              </w:rPr>
              <w:t>Victoria total contribution</w:t>
            </w:r>
            <w:r w:rsidRPr="005A107D">
              <w:rPr>
                <w:rFonts w:ascii="Calibri" w:eastAsia="Calibri" w:hAnsi="Calibri" w:cs="Calibri"/>
                <w:color w:val="000000" w:themeColor="text1"/>
                <w:sz w:val="21"/>
                <w:szCs w:val="21"/>
                <w:lang w:val="en-AU"/>
              </w:rPr>
              <w:t> </w:t>
            </w:r>
          </w:p>
        </w:tc>
        <w:tc>
          <w:tcPr>
            <w:tcW w:w="1417" w:type="dxa"/>
            <w:vAlign w:val="center"/>
          </w:tcPr>
          <w:p w14:paraId="7406C553" w14:textId="2E97E95B" w:rsidR="00DB70A3" w:rsidRPr="00DB70A3" w:rsidRDefault="00DB70A3" w:rsidP="00DB70A3">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21"/>
                <w:szCs w:val="21"/>
              </w:rPr>
            </w:pPr>
            <w:r w:rsidRPr="00DB70A3">
              <w:rPr>
                <w:rFonts w:ascii="Calibri" w:hAnsi="Calibri" w:cs="Calibri"/>
                <w:b/>
                <w:bCs/>
                <w:sz w:val="21"/>
                <w:szCs w:val="21"/>
              </w:rPr>
              <w:t>52,083,928</w:t>
            </w:r>
          </w:p>
        </w:tc>
        <w:tc>
          <w:tcPr>
            <w:tcW w:w="1560" w:type="dxa"/>
            <w:vAlign w:val="center"/>
          </w:tcPr>
          <w:p w14:paraId="42CCE688" w14:textId="4CF9675A" w:rsidR="00DB70A3" w:rsidRPr="00DB70A3" w:rsidRDefault="00DB70A3" w:rsidP="00DB70A3">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21"/>
                <w:szCs w:val="21"/>
              </w:rPr>
            </w:pPr>
            <w:r w:rsidRPr="00DB70A3">
              <w:rPr>
                <w:rFonts w:ascii="Calibri" w:hAnsi="Calibri" w:cs="Calibri"/>
                <w:b/>
                <w:bCs/>
                <w:sz w:val="21"/>
                <w:szCs w:val="21"/>
              </w:rPr>
              <w:t>63,792,085</w:t>
            </w:r>
          </w:p>
        </w:tc>
        <w:tc>
          <w:tcPr>
            <w:tcW w:w="1559" w:type="dxa"/>
            <w:vAlign w:val="center"/>
          </w:tcPr>
          <w:p w14:paraId="49B4C01B" w14:textId="28FCADC0" w:rsidR="00DB70A3" w:rsidRPr="00DB70A3" w:rsidRDefault="00DB70A3" w:rsidP="00DB70A3">
            <w:pPr>
              <w:widowControl/>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1"/>
                <w:szCs w:val="21"/>
                <w:lang w:val="en-AU"/>
              </w:rPr>
            </w:pPr>
            <w:r w:rsidRPr="00DB70A3">
              <w:rPr>
                <w:rFonts w:ascii="Calibri" w:hAnsi="Calibri" w:cs="Calibri"/>
                <w:b/>
                <w:bCs/>
                <w:color w:val="000000"/>
                <w:sz w:val="21"/>
                <w:szCs w:val="21"/>
              </w:rPr>
              <w:t>109,758,900</w:t>
            </w:r>
          </w:p>
        </w:tc>
        <w:tc>
          <w:tcPr>
            <w:tcW w:w="1417" w:type="dxa"/>
            <w:vAlign w:val="center"/>
          </w:tcPr>
          <w:p w14:paraId="394EF515" w14:textId="3FCB74E7" w:rsidR="00DB70A3" w:rsidRPr="00DB70A3" w:rsidRDefault="00DB70A3" w:rsidP="00DB70A3">
            <w:pPr>
              <w:jc w:val="right"/>
              <w:cnfStyle w:val="000000100000" w:firstRow="0" w:lastRow="0" w:firstColumn="0" w:lastColumn="0" w:oddVBand="0" w:evenVBand="0" w:oddHBand="1" w:evenHBand="0" w:firstRowFirstColumn="0" w:firstRowLastColumn="0" w:lastRowFirstColumn="0" w:lastRowLastColumn="0"/>
              <w:rPr>
                <w:b/>
                <w:sz w:val="21"/>
                <w:szCs w:val="21"/>
              </w:rPr>
            </w:pPr>
            <w:r w:rsidRPr="00DB70A3">
              <w:rPr>
                <w:rFonts w:ascii="Calibri" w:hAnsi="Calibri" w:cs="Calibri"/>
                <w:b/>
                <w:bCs/>
                <w:sz w:val="21"/>
                <w:szCs w:val="21"/>
              </w:rPr>
              <w:t>167,681,199</w:t>
            </w:r>
          </w:p>
        </w:tc>
        <w:tc>
          <w:tcPr>
            <w:tcW w:w="1701" w:type="dxa"/>
            <w:vAlign w:val="center"/>
          </w:tcPr>
          <w:p w14:paraId="363A9756" w14:textId="1AD9BBA4" w:rsidR="00DB70A3" w:rsidRPr="00DB70A3" w:rsidRDefault="00DB70A3" w:rsidP="00DB70A3">
            <w:pPr>
              <w:jc w:val="right"/>
              <w:cnfStyle w:val="000000100000" w:firstRow="0" w:lastRow="0" w:firstColumn="0" w:lastColumn="0" w:oddVBand="0" w:evenVBand="0" w:oddHBand="1" w:evenHBand="0" w:firstRowFirstColumn="0" w:firstRowLastColumn="0" w:lastRowFirstColumn="0" w:lastRowLastColumn="0"/>
              <w:rPr>
                <w:b/>
                <w:sz w:val="21"/>
                <w:szCs w:val="21"/>
              </w:rPr>
            </w:pPr>
            <w:r w:rsidRPr="00DB70A3">
              <w:rPr>
                <w:rFonts w:ascii="Calibri" w:eastAsia="Calibri" w:hAnsi="Calibri" w:cs="Calibri"/>
                <w:b/>
                <w:bCs/>
                <w:color w:val="000000" w:themeColor="text1"/>
                <w:sz w:val="21"/>
                <w:szCs w:val="21"/>
                <w:lang w:val="en-AU"/>
              </w:rPr>
              <w:t>173,061,682</w:t>
            </w:r>
          </w:p>
        </w:tc>
        <w:tc>
          <w:tcPr>
            <w:tcW w:w="1418" w:type="dxa"/>
            <w:vAlign w:val="center"/>
          </w:tcPr>
          <w:p w14:paraId="00CC9BAF" w14:textId="4C1CB2A0" w:rsidR="00DB70A3" w:rsidRPr="00DB70A3" w:rsidRDefault="002E3E1C" w:rsidP="00DB70A3">
            <w:pPr>
              <w:jc w:val="right"/>
              <w:cnfStyle w:val="000000100000" w:firstRow="0" w:lastRow="0" w:firstColumn="0" w:lastColumn="0" w:oddVBand="0" w:evenVBand="0" w:oddHBand="1" w:evenHBand="0" w:firstRowFirstColumn="0" w:firstRowLastColumn="0" w:lastRowFirstColumn="0" w:lastRowLastColumn="0"/>
              <w:rPr>
                <w:b/>
                <w:bCs/>
                <w:sz w:val="21"/>
                <w:szCs w:val="21"/>
              </w:rPr>
            </w:pPr>
            <w:r>
              <w:rPr>
                <w:rFonts w:ascii="Calibri" w:eastAsia="Calibri" w:hAnsi="Calibri" w:cs="Calibri"/>
                <w:b/>
                <w:bCs/>
                <w:color w:val="000000" w:themeColor="text1"/>
                <w:sz w:val="21"/>
                <w:szCs w:val="21"/>
                <w:lang w:val="en-AU"/>
              </w:rPr>
              <w:t>168,</w:t>
            </w:r>
            <w:r w:rsidR="0007509A">
              <w:rPr>
                <w:rFonts w:ascii="Calibri" w:eastAsia="Calibri" w:hAnsi="Calibri" w:cs="Calibri"/>
                <w:b/>
                <w:bCs/>
                <w:color w:val="000000" w:themeColor="text1"/>
                <w:sz w:val="21"/>
                <w:szCs w:val="21"/>
                <w:lang w:val="en-AU"/>
              </w:rPr>
              <w:t>099,309</w:t>
            </w:r>
          </w:p>
        </w:tc>
        <w:tc>
          <w:tcPr>
            <w:tcW w:w="1802" w:type="dxa"/>
            <w:vAlign w:val="center"/>
          </w:tcPr>
          <w:p w14:paraId="447D2918" w14:textId="4D63BA3E" w:rsidR="00DB70A3" w:rsidRPr="00DB70A3" w:rsidRDefault="0007509A" w:rsidP="00DB70A3">
            <w:pPr>
              <w:jc w:val="right"/>
              <w:cnfStyle w:val="000000100000" w:firstRow="0" w:lastRow="0" w:firstColumn="0" w:lastColumn="0" w:oddVBand="0" w:evenVBand="0" w:oddHBand="1" w:evenHBand="0" w:firstRowFirstColumn="0" w:firstRowLastColumn="0" w:lastRowFirstColumn="0" w:lastRowLastColumn="0"/>
              <w:rPr>
                <w:sz w:val="21"/>
                <w:szCs w:val="21"/>
              </w:rPr>
            </w:pPr>
            <w:r>
              <w:rPr>
                <w:rFonts w:ascii="Calibri" w:eastAsia="Calibri" w:hAnsi="Calibri" w:cs="Calibri"/>
                <w:b/>
                <w:bCs/>
                <w:color w:val="000000" w:themeColor="text1"/>
                <w:sz w:val="21"/>
                <w:szCs w:val="21"/>
                <w:lang w:val="en-AU"/>
              </w:rPr>
              <w:t>734,477,103</w:t>
            </w:r>
          </w:p>
        </w:tc>
      </w:tr>
      <w:tr w:rsidR="005A107D" w14:paraId="6AD679D2" w14:textId="77777777" w:rsidTr="3B2334D9">
        <w:tc>
          <w:tcPr>
            <w:cnfStyle w:val="001000000000" w:firstRow="0" w:lastRow="0" w:firstColumn="1" w:lastColumn="0" w:oddVBand="0" w:evenVBand="0" w:oddHBand="0" w:evenHBand="0" w:firstRowFirstColumn="0" w:firstRowLastColumn="0" w:lastRowFirstColumn="0" w:lastRowLastColumn="0"/>
            <w:tcW w:w="3686" w:type="dxa"/>
            <w:vAlign w:val="center"/>
          </w:tcPr>
          <w:p w14:paraId="221544F1" w14:textId="410C4B19" w:rsidR="005A107D" w:rsidRPr="005A107D" w:rsidRDefault="005A107D" w:rsidP="005A107D">
            <w:pPr>
              <w:rPr>
                <w:rFonts w:ascii="Calibri" w:eastAsia="Calibri" w:hAnsi="Calibri" w:cs="Calibri"/>
                <w:b w:val="0"/>
                <w:bCs w:val="0"/>
                <w:color w:val="000000" w:themeColor="text1"/>
                <w:sz w:val="21"/>
                <w:szCs w:val="21"/>
              </w:rPr>
            </w:pPr>
            <w:r w:rsidRPr="005A107D">
              <w:rPr>
                <w:rFonts w:ascii="Calibri" w:eastAsia="Calibri" w:hAnsi="Calibri" w:cs="Calibri"/>
                <w:b w:val="0"/>
                <w:bCs w:val="0"/>
                <w:color w:val="000000" w:themeColor="text1"/>
                <w:sz w:val="21"/>
                <w:szCs w:val="21"/>
              </w:rPr>
              <w:t>Victoria financial commitments</w:t>
            </w:r>
            <w:r w:rsidRPr="005A107D">
              <w:rPr>
                <w:rFonts w:ascii="Calibri" w:eastAsia="Calibri" w:hAnsi="Calibri" w:cs="Calibri"/>
                <w:b w:val="0"/>
                <w:bCs w:val="0"/>
                <w:color w:val="000000" w:themeColor="text1"/>
                <w:sz w:val="21"/>
                <w:szCs w:val="21"/>
                <w:lang w:val="en-AU"/>
              </w:rPr>
              <w:t> </w:t>
            </w:r>
          </w:p>
        </w:tc>
        <w:tc>
          <w:tcPr>
            <w:tcW w:w="1417" w:type="dxa"/>
            <w:vAlign w:val="center"/>
          </w:tcPr>
          <w:p w14:paraId="2502A1CD" w14:textId="2B695796" w:rsidR="005A107D" w:rsidRPr="00DB70A3" w:rsidRDefault="005A107D" w:rsidP="003D5721">
            <w:pPr>
              <w:jc w:val="right"/>
              <w:cnfStyle w:val="000000000000" w:firstRow="0" w:lastRow="0" w:firstColumn="0" w:lastColumn="0" w:oddVBand="0" w:evenVBand="0" w:oddHBand="0" w:evenHBand="0" w:firstRowFirstColumn="0" w:firstRowLastColumn="0" w:lastRowFirstColumn="0" w:lastRowLastColumn="0"/>
              <w:rPr>
                <w:b/>
                <w:sz w:val="21"/>
                <w:szCs w:val="21"/>
              </w:rPr>
            </w:pPr>
            <w:r w:rsidRPr="00DB70A3">
              <w:rPr>
                <w:rFonts w:ascii="Calibri" w:hAnsi="Calibri" w:cs="Calibri"/>
                <w:color w:val="000000"/>
                <w:sz w:val="21"/>
                <w:szCs w:val="21"/>
              </w:rPr>
              <w:t>49,533,928</w:t>
            </w:r>
          </w:p>
        </w:tc>
        <w:tc>
          <w:tcPr>
            <w:tcW w:w="1560" w:type="dxa"/>
            <w:vAlign w:val="center"/>
          </w:tcPr>
          <w:p w14:paraId="7105FD8D" w14:textId="6B1F2A54" w:rsidR="005A107D" w:rsidRPr="00DB70A3" w:rsidRDefault="005A107D" w:rsidP="003D5721">
            <w:pPr>
              <w:jc w:val="right"/>
              <w:cnfStyle w:val="000000000000" w:firstRow="0" w:lastRow="0" w:firstColumn="0" w:lastColumn="0" w:oddVBand="0" w:evenVBand="0" w:oddHBand="0" w:evenHBand="0" w:firstRowFirstColumn="0" w:firstRowLastColumn="0" w:lastRowFirstColumn="0" w:lastRowLastColumn="0"/>
              <w:rPr>
                <w:b/>
                <w:sz w:val="21"/>
                <w:szCs w:val="21"/>
              </w:rPr>
            </w:pPr>
            <w:r w:rsidRPr="00DB70A3">
              <w:rPr>
                <w:rFonts w:ascii="Calibri" w:hAnsi="Calibri" w:cs="Calibri"/>
                <w:color w:val="000000"/>
                <w:sz w:val="21"/>
                <w:szCs w:val="21"/>
              </w:rPr>
              <w:t>57,407,297</w:t>
            </w:r>
          </w:p>
        </w:tc>
        <w:tc>
          <w:tcPr>
            <w:tcW w:w="1559" w:type="dxa"/>
            <w:vAlign w:val="center"/>
          </w:tcPr>
          <w:p w14:paraId="0DDD0063" w14:textId="5B3B3843" w:rsidR="005A107D" w:rsidRPr="00DB70A3" w:rsidRDefault="005A107D" w:rsidP="003D5721">
            <w:pPr>
              <w:jc w:val="right"/>
              <w:cnfStyle w:val="000000000000" w:firstRow="0" w:lastRow="0" w:firstColumn="0" w:lastColumn="0" w:oddVBand="0" w:evenVBand="0" w:oddHBand="0" w:evenHBand="0" w:firstRowFirstColumn="0" w:firstRowLastColumn="0" w:lastRowFirstColumn="0" w:lastRowLastColumn="0"/>
              <w:rPr>
                <w:b/>
                <w:sz w:val="21"/>
                <w:szCs w:val="21"/>
              </w:rPr>
            </w:pPr>
            <w:r w:rsidRPr="00DB70A3">
              <w:rPr>
                <w:sz w:val="21"/>
                <w:szCs w:val="21"/>
              </w:rPr>
              <w:t>101,594,339</w:t>
            </w:r>
          </w:p>
        </w:tc>
        <w:tc>
          <w:tcPr>
            <w:tcW w:w="1417" w:type="dxa"/>
            <w:vAlign w:val="center"/>
          </w:tcPr>
          <w:p w14:paraId="72649AAC" w14:textId="09EA5BA7" w:rsidR="005A107D" w:rsidRPr="00DB70A3" w:rsidRDefault="005A107D" w:rsidP="003D5721">
            <w:pPr>
              <w:jc w:val="right"/>
              <w:cnfStyle w:val="000000000000" w:firstRow="0" w:lastRow="0" w:firstColumn="0" w:lastColumn="0" w:oddVBand="0" w:evenVBand="0" w:oddHBand="0" w:evenHBand="0" w:firstRowFirstColumn="0" w:firstRowLastColumn="0" w:lastRowFirstColumn="0" w:lastRowLastColumn="0"/>
              <w:rPr>
                <w:b/>
                <w:sz w:val="21"/>
                <w:szCs w:val="21"/>
              </w:rPr>
            </w:pPr>
            <w:r w:rsidRPr="00DB70A3">
              <w:rPr>
                <w:rFonts w:ascii="Calibri" w:hAnsi="Calibri" w:cs="Calibri"/>
                <w:color w:val="000000"/>
                <w:sz w:val="21"/>
                <w:szCs w:val="21"/>
              </w:rPr>
              <w:t>157,761,638</w:t>
            </w:r>
          </w:p>
        </w:tc>
        <w:tc>
          <w:tcPr>
            <w:tcW w:w="1701" w:type="dxa"/>
            <w:vAlign w:val="center"/>
          </w:tcPr>
          <w:p w14:paraId="188EA7FB" w14:textId="7ECACC10" w:rsidR="005A107D" w:rsidRPr="00DB70A3" w:rsidRDefault="005A107D" w:rsidP="003D5721">
            <w:pPr>
              <w:jc w:val="right"/>
              <w:cnfStyle w:val="000000000000" w:firstRow="0" w:lastRow="0" w:firstColumn="0" w:lastColumn="0" w:oddVBand="0" w:evenVBand="0" w:oddHBand="0" w:evenHBand="0" w:firstRowFirstColumn="0" w:firstRowLastColumn="0" w:lastRowFirstColumn="0" w:lastRowLastColumn="0"/>
              <w:rPr>
                <w:b/>
                <w:sz w:val="21"/>
                <w:szCs w:val="21"/>
              </w:rPr>
            </w:pPr>
            <w:r w:rsidRPr="00DB70A3">
              <w:rPr>
                <w:rFonts w:ascii="Calibri" w:hAnsi="Calibri" w:cs="Calibri"/>
                <w:color w:val="000000"/>
                <w:sz w:val="21"/>
                <w:szCs w:val="21"/>
              </w:rPr>
              <w:t>157,947,121</w:t>
            </w:r>
          </w:p>
        </w:tc>
        <w:tc>
          <w:tcPr>
            <w:tcW w:w="1418" w:type="dxa"/>
            <w:vAlign w:val="center"/>
          </w:tcPr>
          <w:p w14:paraId="33CF0673" w14:textId="7225B0EE" w:rsidR="005A107D" w:rsidRPr="00DB70A3" w:rsidRDefault="00437DA7" w:rsidP="003D5721">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159,266,458</w:t>
            </w:r>
          </w:p>
        </w:tc>
        <w:tc>
          <w:tcPr>
            <w:tcW w:w="1802" w:type="dxa"/>
            <w:vAlign w:val="center"/>
          </w:tcPr>
          <w:p w14:paraId="28374172" w14:textId="342DAC36" w:rsidR="005A107D" w:rsidRPr="00DB70A3" w:rsidRDefault="00B76F41" w:rsidP="003D5721">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683,510,781</w:t>
            </w:r>
          </w:p>
        </w:tc>
      </w:tr>
      <w:tr w:rsidR="005A107D" w14:paraId="47ACD0C3" w14:textId="77777777" w:rsidTr="3B233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6804FCFC" w14:textId="4BD1ACDE" w:rsidR="005A107D" w:rsidRPr="005A107D" w:rsidRDefault="005A107D" w:rsidP="005A107D">
            <w:pPr>
              <w:rPr>
                <w:rFonts w:ascii="Calibri" w:eastAsia="Calibri" w:hAnsi="Calibri" w:cs="Calibri"/>
                <w:b w:val="0"/>
                <w:bCs w:val="0"/>
                <w:color w:val="000000" w:themeColor="text1"/>
                <w:sz w:val="21"/>
                <w:szCs w:val="21"/>
              </w:rPr>
            </w:pPr>
            <w:r w:rsidRPr="005A107D">
              <w:rPr>
                <w:rFonts w:ascii="Calibri" w:eastAsia="Calibri" w:hAnsi="Calibri" w:cs="Calibri"/>
                <w:b w:val="0"/>
                <w:bCs w:val="0"/>
                <w:color w:val="000000" w:themeColor="text1"/>
                <w:sz w:val="21"/>
                <w:szCs w:val="21"/>
              </w:rPr>
              <w:t>Victoria payment to Commonwealth</w:t>
            </w:r>
          </w:p>
        </w:tc>
        <w:tc>
          <w:tcPr>
            <w:tcW w:w="1417" w:type="dxa"/>
            <w:vAlign w:val="center"/>
          </w:tcPr>
          <w:p w14:paraId="226A37C6" w14:textId="0351E6DE" w:rsidR="005A107D" w:rsidRPr="00DB70A3" w:rsidRDefault="005A107D" w:rsidP="003D5721">
            <w:pPr>
              <w:jc w:val="right"/>
              <w:cnfStyle w:val="000000100000" w:firstRow="0" w:lastRow="0" w:firstColumn="0" w:lastColumn="0" w:oddVBand="0" w:evenVBand="0" w:oddHBand="1" w:evenHBand="0" w:firstRowFirstColumn="0" w:firstRowLastColumn="0" w:lastRowFirstColumn="0" w:lastRowLastColumn="0"/>
              <w:rPr>
                <w:b/>
                <w:sz w:val="21"/>
                <w:szCs w:val="21"/>
              </w:rPr>
            </w:pPr>
            <w:r w:rsidRPr="00DB70A3">
              <w:rPr>
                <w:rFonts w:eastAsia="Calibri" w:cstheme="minorHAnsi"/>
                <w:color w:val="000000" w:themeColor="text1"/>
                <w:sz w:val="21"/>
                <w:szCs w:val="21"/>
              </w:rPr>
              <w:t>-</w:t>
            </w:r>
            <w:r w:rsidRPr="00DB70A3">
              <w:rPr>
                <w:rFonts w:eastAsia="Calibri" w:cstheme="minorHAnsi"/>
                <w:color w:val="000000" w:themeColor="text1"/>
                <w:sz w:val="21"/>
                <w:szCs w:val="21"/>
                <w:lang w:val="en-AU"/>
              </w:rPr>
              <w:t> </w:t>
            </w:r>
          </w:p>
        </w:tc>
        <w:tc>
          <w:tcPr>
            <w:tcW w:w="1560" w:type="dxa"/>
            <w:vAlign w:val="center"/>
          </w:tcPr>
          <w:p w14:paraId="5FEA73CE" w14:textId="25A7CAEF" w:rsidR="005A107D" w:rsidRPr="00DB70A3" w:rsidRDefault="005A107D" w:rsidP="003D5721">
            <w:pPr>
              <w:jc w:val="right"/>
              <w:cnfStyle w:val="000000100000" w:firstRow="0" w:lastRow="0" w:firstColumn="0" w:lastColumn="0" w:oddVBand="0" w:evenVBand="0" w:oddHBand="1" w:evenHBand="0" w:firstRowFirstColumn="0" w:firstRowLastColumn="0" w:lastRowFirstColumn="0" w:lastRowLastColumn="0"/>
              <w:rPr>
                <w:b/>
                <w:sz w:val="21"/>
                <w:szCs w:val="21"/>
              </w:rPr>
            </w:pPr>
            <w:r w:rsidRPr="00DB70A3">
              <w:rPr>
                <w:rFonts w:eastAsia="Calibri" w:cstheme="minorHAnsi"/>
                <w:color w:val="000000" w:themeColor="text1"/>
                <w:sz w:val="21"/>
                <w:szCs w:val="21"/>
              </w:rPr>
              <w:t>1,654,788</w:t>
            </w:r>
          </w:p>
        </w:tc>
        <w:tc>
          <w:tcPr>
            <w:tcW w:w="1559" w:type="dxa"/>
            <w:vAlign w:val="center"/>
          </w:tcPr>
          <w:p w14:paraId="40698D9D" w14:textId="45037D12" w:rsidR="005A107D" w:rsidRPr="00DB70A3" w:rsidRDefault="005A107D" w:rsidP="003D5721">
            <w:pPr>
              <w:jc w:val="right"/>
              <w:cnfStyle w:val="000000100000" w:firstRow="0" w:lastRow="0" w:firstColumn="0" w:lastColumn="0" w:oddVBand="0" w:evenVBand="0" w:oddHBand="1" w:evenHBand="0" w:firstRowFirstColumn="0" w:firstRowLastColumn="0" w:lastRowFirstColumn="0" w:lastRowLastColumn="0"/>
              <w:rPr>
                <w:b/>
                <w:sz w:val="21"/>
                <w:szCs w:val="21"/>
              </w:rPr>
            </w:pPr>
            <w:r w:rsidRPr="00DB70A3">
              <w:rPr>
                <w:rFonts w:eastAsia="Calibri" w:cstheme="minorHAnsi"/>
                <w:color w:val="000000" w:themeColor="text1"/>
                <w:sz w:val="21"/>
                <w:szCs w:val="21"/>
              </w:rPr>
              <w:t>1,654,561</w:t>
            </w:r>
          </w:p>
        </w:tc>
        <w:tc>
          <w:tcPr>
            <w:tcW w:w="1417" w:type="dxa"/>
            <w:vAlign w:val="center"/>
          </w:tcPr>
          <w:p w14:paraId="2C6A8977" w14:textId="31E1EDBD" w:rsidR="005A107D" w:rsidRPr="00DB70A3" w:rsidRDefault="005A107D" w:rsidP="003D5721">
            <w:pPr>
              <w:jc w:val="right"/>
              <w:cnfStyle w:val="000000100000" w:firstRow="0" w:lastRow="0" w:firstColumn="0" w:lastColumn="0" w:oddVBand="0" w:evenVBand="0" w:oddHBand="1" w:evenHBand="0" w:firstRowFirstColumn="0" w:firstRowLastColumn="0" w:lastRowFirstColumn="0" w:lastRowLastColumn="0"/>
              <w:rPr>
                <w:b/>
                <w:sz w:val="21"/>
                <w:szCs w:val="21"/>
              </w:rPr>
            </w:pPr>
            <w:r w:rsidRPr="00DB70A3">
              <w:rPr>
                <w:rFonts w:eastAsia="Calibri" w:cstheme="minorHAnsi"/>
                <w:color w:val="000000" w:themeColor="text1"/>
                <w:sz w:val="21"/>
                <w:szCs w:val="21"/>
              </w:rPr>
              <w:t>1,654,561</w:t>
            </w:r>
          </w:p>
        </w:tc>
        <w:tc>
          <w:tcPr>
            <w:tcW w:w="1701" w:type="dxa"/>
            <w:vAlign w:val="center"/>
          </w:tcPr>
          <w:p w14:paraId="0E28745F" w14:textId="6DB10A21" w:rsidR="005A107D" w:rsidRPr="00DB70A3" w:rsidRDefault="00DB70A3" w:rsidP="003D5721">
            <w:pPr>
              <w:jc w:val="right"/>
              <w:cnfStyle w:val="000000100000" w:firstRow="0" w:lastRow="0" w:firstColumn="0" w:lastColumn="0" w:oddVBand="0" w:evenVBand="0" w:oddHBand="1" w:evenHBand="0" w:firstRowFirstColumn="0" w:firstRowLastColumn="0" w:lastRowFirstColumn="0" w:lastRowLastColumn="0"/>
              <w:rPr>
                <w:b/>
                <w:sz w:val="21"/>
                <w:szCs w:val="21"/>
              </w:rPr>
            </w:pPr>
            <w:r w:rsidRPr="00DB70A3">
              <w:rPr>
                <w:rFonts w:ascii="Calibri" w:eastAsia="Calibri" w:hAnsi="Calibri" w:cs="Calibri"/>
                <w:sz w:val="21"/>
                <w:szCs w:val="21"/>
              </w:rPr>
              <w:t>1,654,561</w:t>
            </w:r>
          </w:p>
        </w:tc>
        <w:tc>
          <w:tcPr>
            <w:tcW w:w="1418" w:type="dxa"/>
            <w:vAlign w:val="center"/>
          </w:tcPr>
          <w:p w14:paraId="410527B2" w14:textId="4D0A509C" w:rsidR="005A107D" w:rsidRPr="00DB70A3" w:rsidRDefault="0004402C" w:rsidP="003D5721">
            <w:pPr>
              <w:jc w:val="right"/>
              <w:cnfStyle w:val="000000100000" w:firstRow="0" w:lastRow="0" w:firstColumn="0" w:lastColumn="0" w:oddVBand="0" w:evenVBand="0" w:oddHBand="1" w:evenHBand="0" w:firstRowFirstColumn="0" w:firstRowLastColumn="0" w:lastRowFirstColumn="0" w:lastRowLastColumn="0"/>
              <w:rPr>
                <w:sz w:val="21"/>
                <w:szCs w:val="21"/>
              </w:rPr>
            </w:pPr>
            <w:r w:rsidRPr="00DB70A3">
              <w:rPr>
                <w:sz w:val="21"/>
                <w:szCs w:val="21"/>
              </w:rPr>
              <w:t>1,729,850</w:t>
            </w:r>
          </w:p>
        </w:tc>
        <w:tc>
          <w:tcPr>
            <w:tcW w:w="1802" w:type="dxa"/>
            <w:vAlign w:val="center"/>
          </w:tcPr>
          <w:p w14:paraId="7DD0A091" w14:textId="74D2B84C" w:rsidR="005A107D" w:rsidRPr="00DB70A3" w:rsidRDefault="00DB70A3" w:rsidP="003D5721">
            <w:pPr>
              <w:jc w:val="right"/>
              <w:cnfStyle w:val="000000100000" w:firstRow="0" w:lastRow="0" w:firstColumn="0" w:lastColumn="0" w:oddVBand="0" w:evenVBand="0" w:oddHBand="1" w:evenHBand="0" w:firstRowFirstColumn="0" w:firstRowLastColumn="0" w:lastRowFirstColumn="0" w:lastRowLastColumn="0"/>
              <w:rPr>
                <w:sz w:val="21"/>
                <w:szCs w:val="21"/>
              </w:rPr>
            </w:pPr>
            <w:r w:rsidRPr="00DB70A3">
              <w:rPr>
                <w:rFonts w:ascii="Calibri" w:eastAsia="Calibri" w:hAnsi="Calibri" w:cs="Calibri"/>
                <w:sz w:val="21"/>
                <w:szCs w:val="21"/>
              </w:rPr>
              <w:t>8,348,321</w:t>
            </w:r>
          </w:p>
        </w:tc>
      </w:tr>
      <w:tr w:rsidR="005A107D" w14:paraId="7A7E2A4C" w14:textId="77777777" w:rsidTr="3B2334D9">
        <w:tc>
          <w:tcPr>
            <w:cnfStyle w:val="001000000000" w:firstRow="0" w:lastRow="0" w:firstColumn="1" w:lastColumn="0" w:oddVBand="0" w:evenVBand="0" w:oddHBand="0" w:evenHBand="0" w:firstRowFirstColumn="0" w:firstRowLastColumn="0" w:lastRowFirstColumn="0" w:lastRowLastColumn="0"/>
            <w:tcW w:w="3686" w:type="dxa"/>
          </w:tcPr>
          <w:p w14:paraId="76D0B44A" w14:textId="55299181" w:rsidR="005A107D" w:rsidRPr="005A107D" w:rsidRDefault="005A107D" w:rsidP="005A107D">
            <w:pPr>
              <w:rPr>
                <w:rFonts w:ascii="Calibri" w:eastAsia="Calibri" w:hAnsi="Calibri" w:cs="Calibri"/>
                <w:b w:val="0"/>
                <w:bCs w:val="0"/>
                <w:color w:val="000000" w:themeColor="text1"/>
                <w:sz w:val="21"/>
                <w:szCs w:val="21"/>
              </w:rPr>
            </w:pPr>
            <w:r w:rsidRPr="005A107D">
              <w:rPr>
                <w:rFonts w:ascii="Calibri" w:eastAsia="Calibri" w:hAnsi="Calibri" w:cs="Calibri"/>
                <w:b w:val="0"/>
                <w:bCs w:val="0"/>
                <w:color w:val="000000" w:themeColor="text1"/>
                <w:sz w:val="21"/>
                <w:szCs w:val="21"/>
              </w:rPr>
              <w:t>Victoria total in-kind contribution </w:t>
            </w:r>
            <w:r w:rsidRPr="005A107D">
              <w:rPr>
                <w:rFonts w:ascii="Calibri" w:eastAsia="Calibri" w:hAnsi="Calibri" w:cs="Calibri"/>
                <w:b w:val="0"/>
                <w:bCs w:val="0"/>
                <w:color w:val="000000" w:themeColor="text1"/>
                <w:sz w:val="21"/>
                <w:szCs w:val="21"/>
                <w:lang w:val="en-AU"/>
              </w:rPr>
              <w:t> </w:t>
            </w:r>
          </w:p>
        </w:tc>
        <w:tc>
          <w:tcPr>
            <w:tcW w:w="1417" w:type="dxa"/>
            <w:vAlign w:val="center"/>
          </w:tcPr>
          <w:p w14:paraId="3FA1770A" w14:textId="78129029" w:rsidR="005A107D" w:rsidRPr="00DB70A3" w:rsidRDefault="005A107D" w:rsidP="003D5721">
            <w:pPr>
              <w:jc w:val="right"/>
              <w:cnfStyle w:val="000000000000" w:firstRow="0" w:lastRow="0" w:firstColumn="0" w:lastColumn="0" w:oddVBand="0" w:evenVBand="0" w:oddHBand="0" w:evenHBand="0" w:firstRowFirstColumn="0" w:firstRowLastColumn="0" w:lastRowFirstColumn="0" w:lastRowLastColumn="0"/>
              <w:rPr>
                <w:b/>
                <w:sz w:val="21"/>
                <w:szCs w:val="21"/>
              </w:rPr>
            </w:pPr>
            <w:r w:rsidRPr="00DB70A3">
              <w:rPr>
                <w:rFonts w:eastAsia="Calibri" w:cstheme="minorHAnsi"/>
                <w:bCs/>
                <w:color w:val="000000" w:themeColor="text1"/>
                <w:sz w:val="21"/>
                <w:szCs w:val="21"/>
                <w:lang w:val="en-AU"/>
              </w:rPr>
              <w:t>2,550,000</w:t>
            </w:r>
          </w:p>
        </w:tc>
        <w:tc>
          <w:tcPr>
            <w:tcW w:w="1560" w:type="dxa"/>
            <w:vAlign w:val="center"/>
          </w:tcPr>
          <w:p w14:paraId="306093B9" w14:textId="3120F463" w:rsidR="005A107D" w:rsidRPr="00DB70A3" w:rsidRDefault="005A107D" w:rsidP="003D5721">
            <w:pPr>
              <w:jc w:val="right"/>
              <w:cnfStyle w:val="000000000000" w:firstRow="0" w:lastRow="0" w:firstColumn="0" w:lastColumn="0" w:oddVBand="0" w:evenVBand="0" w:oddHBand="0" w:evenHBand="0" w:firstRowFirstColumn="0" w:firstRowLastColumn="0" w:lastRowFirstColumn="0" w:lastRowLastColumn="0"/>
              <w:rPr>
                <w:b/>
                <w:sz w:val="21"/>
                <w:szCs w:val="21"/>
              </w:rPr>
            </w:pPr>
            <w:r w:rsidRPr="00DB70A3">
              <w:rPr>
                <w:rFonts w:eastAsia="Calibri" w:cstheme="minorHAnsi"/>
                <w:bCs/>
                <w:color w:val="000000" w:themeColor="text1"/>
                <w:sz w:val="21"/>
                <w:szCs w:val="21"/>
                <w:lang w:val="en-AU"/>
              </w:rPr>
              <w:t>4,730,000</w:t>
            </w:r>
          </w:p>
        </w:tc>
        <w:tc>
          <w:tcPr>
            <w:tcW w:w="1559" w:type="dxa"/>
            <w:vAlign w:val="center"/>
          </w:tcPr>
          <w:p w14:paraId="040FF8ED" w14:textId="5AB7A22F" w:rsidR="005A107D" w:rsidRPr="00DB70A3" w:rsidRDefault="005A107D" w:rsidP="003D5721">
            <w:pPr>
              <w:jc w:val="right"/>
              <w:cnfStyle w:val="000000000000" w:firstRow="0" w:lastRow="0" w:firstColumn="0" w:lastColumn="0" w:oddVBand="0" w:evenVBand="0" w:oddHBand="0" w:evenHBand="0" w:firstRowFirstColumn="0" w:firstRowLastColumn="0" w:lastRowFirstColumn="0" w:lastRowLastColumn="0"/>
              <w:rPr>
                <w:b/>
                <w:sz w:val="21"/>
                <w:szCs w:val="21"/>
              </w:rPr>
            </w:pPr>
            <w:r w:rsidRPr="00DB70A3">
              <w:rPr>
                <w:rFonts w:eastAsia="Calibri" w:cstheme="minorHAnsi"/>
                <w:bCs/>
                <w:color w:val="000000" w:themeColor="text1"/>
                <w:sz w:val="21"/>
                <w:szCs w:val="21"/>
                <w:lang w:val="en-AU"/>
              </w:rPr>
              <w:t>6,510,000</w:t>
            </w:r>
          </w:p>
        </w:tc>
        <w:tc>
          <w:tcPr>
            <w:tcW w:w="1417" w:type="dxa"/>
            <w:vAlign w:val="center"/>
          </w:tcPr>
          <w:p w14:paraId="73CD51F8" w14:textId="51D5D9D0" w:rsidR="005A107D" w:rsidRPr="00DB70A3" w:rsidRDefault="005A107D" w:rsidP="003D5721">
            <w:pPr>
              <w:jc w:val="right"/>
              <w:cnfStyle w:val="000000000000" w:firstRow="0" w:lastRow="0" w:firstColumn="0" w:lastColumn="0" w:oddVBand="0" w:evenVBand="0" w:oddHBand="0" w:evenHBand="0" w:firstRowFirstColumn="0" w:firstRowLastColumn="0" w:lastRowFirstColumn="0" w:lastRowLastColumn="0"/>
              <w:rPr>
                <w:b/>
                <w:sz w:val="21"/>
                <w:szCs w:val="21"/>
              </w:rPr>
            </w:pPr>
            <w:r w:rsidRPr="00DB70A3">
              <w:rPr>
                <w:rFonts w:eastAsia="Calibri" w:cstheme="minorHAnsi"/>
                <w:bCs/>
                <w:color w:val="000000" w:themeColor="text1"/>
                <w:sz w:val="21"/>
                <w:szCs w:val="21"/>
                <w:lang w:val="en-AU"/>
              </w:rPr>
              <w:t>8,265,000</w:t>
            </w:r>
          </w:p>
        </w:tc>
        <w:tc>
          <w:tcPr>
            <w:tcW w:w="1701" w:type="dxa"/>
            <w:vAlign w:val="center"/>
          </w:tcPr>
          <w:p w14:paraId="26CE87F0" w14:textId="1411DA41" w:rsidR="005A107D" w:rsidRPr="00DB70A3" w:rsidRDefault="005A107D" w:rsidP="003D5721">
            <w:pPr>
              <w:jc w:val="right"/>
              <w:cnfStyle w:val="000000000000" w:firstRow="0" w:lastRow="0" w:firstColumn="0" w:lastColumn="0" w:oddVBand="0" w:evenVBand="0" w:oddHBand="0" w:evenHBand="0" w:firstRowFirstColumn="0" w:firstRowLastColumn="0" w:lastRowFirstColumn="0" w:lastRowLastColumn="0"/>
              <w:rPr>
                <w:b/>
                <w:sz w:val="21"/>
                <w:szCs w:val="21"/>
              </w:rPr>
            </w:pPr>
            <w:r w:rsidRPr="00DB70A3">
              <w:rPr>
                <w:rFonts w:eastAsia="Calibri" w:cstheme="minorHAnsi"/>
                <w:bCs/>
                <w:color w:val="000000" w:themeColor="text1"/>
                <w:sz w:val="21"/>
                <w:szCs w:val="21"/>
                <w:lang w:val="en-AU"/>
              </w:rPr>
              <w:t>13,460,000</w:t>
            </w:r>
          </w:p>
        </w:tc>
        <w:tc>
          <w:tcPr>
            <w:tcW w:w="1418" w:type="dxa"/>
            <w:vAlign w:val="center"/>
          </w:tcPr>
          <w:p w14:paraId="5C41CAF1" w14:textId="55FB1494" w:rsidR="005A107D" w:rsidRPr="00DB70A3" w:rsidRDefault="68543B67" w:rsidP="003D5721">
            <w:pPr>
              <w:jc w:val="right"/>
              <w:cnfStyle w:val="000000000000" w:firstRow="0" w:lastRow="0" w:firstColumn="0" w:lastColumn="0" w:oddVBand="0" w:evenVBand="0" w:oddHBand="0" w:evenHBand="0" w:firstRowFirstColumn="0" w:firstRowLastColumn="0" w:lastRowFirstColumn="0" w:lastRowLastColumn="0"/>
              <w:rPr>
                <w:sz w:val="21"/>
                <w:szCs w:val="21"/>
              </w:rPr>
            </w:pPr>
            <w:r w:rsidRPr="00DB70A3">
              <w:rPr>
                <w:sz w:val="21"/>
                <w:szCs w:val="21"/>
              </w:rPr>
              <w:t>7,103,000</w:t>
            </w:r>
          </w:p>
        </w:tc>
        <w:tc>
          <w:tcPr>
            <w:tcW w:w="1802" w:type="dxa"/>
            <w:vAlign w:val="center"/>
          </w:tcPr>
          <w:p w14:paraId="631367B3" w14:textId="47F54EB9" w:rsidR="005A107D" w:rsidRPr="00DB70A3" w:rsidRDefault="68543B67" w:rsidP="003D5721">
            <w:pPr>
              <w:jc w:val="right"/>
              <w:cnfStyle w:val="000000000000" w:firstRow="0" w:lastRow="0" w:firstColumn="0" w:lastColumn="0" w:oddVBand="0" w:evenVBand="0" w:oddHBand="0" w:evenHBand="0" w:firstRowFirstColumn="0" w:firstRowLastColumn="0" w:lastRowFirstColumn="0" w:lastRowLastColumn="0"/>
              <w:rPr>
                <w:sz w:val="21"/>
                <w:szCs w:val="21"/>
              </w:rPr>
            </w:pPr>
            <w:r w:rsidRPr="00DB70A3">
              <w:rPr>
                <w:sz w:val="21"/>
                <w:szCs w:val="21"/>
              </w:rPr>
              <w:t>42,618,000</w:t>
            </w:r>
          </w:p>
        </w:tc>
      </w:tr>
      <w:tr w:rsidR="005A107D" w14:paraId="56705C41" w14:textId="77777777" w:rsidTr="3B233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gridSpan w:val="8"/>
            <w:tcBorders>
              <w:top w:val="none" w:sz="0" w:space="0" w:color="auto"/>
              <w:bottom w:val="none" w:sz="0" w:space="0" w:color="auto"/>
            </w:tcBorders>
          </w:tcPr>
          <w:p w14:paraId="40927A6F" w14:textId="77777777" w:rsidR="005A107D" w:rsidRPr="00900863" w:rsidRDefault="005A107D" w:rsidP="005A107D">
            <w:pPr>
              <w:rPr>
                <w:sz w:val="18"/>
                <w:szCs w:val="18"/>
              </w:rPr>
            </w:pPr>
            <w:r w:rsidRPr="00900863">
              <w:rPr>
                <w:sz w:val="18"/>
                <w:szCs w:val="18"/>
              </w:rPr>
              <w:t xml:space="preserve">Notes: </w:t>
            </w:r>
          </w:p>
          <w:p w14:paraId="4E6FD881" w14:textId="77777777" w:rsidR="005A107D" w:rsidRPr="005A107D" w:rsidRDefault="005A107D" w:rsidP="005A107D">
            <w:pPr>
              <w:pStyle w:val="ListParagraph"/>
              <w:numPr>
                <w:ilvl w:val="0"/>
                <w:numId w:val="2"/>
              </w:numPr>
              <w:spacing w:after="0"/>
              <w:rPr>
                <w:b w:val="0"/>
                <w:bCs w:val="0"/>
                <w:sz w:val="18"/>
                <w:szCs w:val="18"/>
              </w:rPr>
            </w:pPr>
            <w:r w:rsidRPr="005A107D">
              <w:rPr>
                <w:b w:val="0"/>
                <w:bCs w:val="0"/>
                <w:sz w:val="18"/>
                <w:szCs w:val="18"/>
              </w:rPr>
              <w:t>Other Commonwealth payments include payments to the Primary Health Network to commission services in support of services and activities funded under this Schedule.</w:t>
            </w:r>
          </w:p>
          <w:p w14:paraId="33D1A115" w14:textId="77777777" w:rsidR="005A107D" w:rsidRPr="005A107D" w:rsidRDefault="005A107D" w:rsidP="005A107D">
            <w:pPr>
              <w:pStyle w:val="ListParagraph"/>
              <w:numPr>
                <w:ilvl w:val="0"/>
                <w:numId w:val="2"/>
              </w:numPr>
              <w:spacing w:after="0"/>
              <w:rPr>
                <w:b w:val="0"/>
                <w:bCs w:val="0"/>
                <w:sz w:val="18"/>
                <w:szCs w:val="18"/>
              </w:rPr>
            </w:pPr>
            <w:r w:rsidRPr="219D5185">
              <w:rPr>
                <w:b w:val="0"/>
                <w:bCs w:val="0"/>
                <w:sz w:val="18"/>
                <w:szCs w:val="18"/>
              </w:rPr>
              <w:t xml:space="preserve">In line with the provisions Addendum to the National Health Reform Agreement 2020-2025, the Commonwealth will not fund patient services through the NHRA if the same service, or any part of the same service, is funded through this Schedule or any other Commonwealth program.  </w:t>
            </w:r>
          </w:p>
          <w:p w14:paraId="6AF525F9" w14:textId="77777777" w:rsidR="005A107D" w:rsidRPr="003D5721" w:rsidRDefault="005A107D" w:rsidP="005A107D">
            <w:pPr>
              <w:pStyle w:val="ListParagraph"/>
              <w:numPr>
                <w:ilvl w:val="0"/>
                <w:numId w:val="2"/>
              </w:numPr>
              <w:spacing w:after="0"/>
              <w:rPr>
                <w:b w:val="0"/>
                <w:bCs w:val="0"/>
              </w:rPr>
            </w:pPr>
            <w:r w:rsidRPr="005A107D">
              <w:rPr>
                <w:b w:val="0"/>
                <w:bCs w:val="0"/>
                <w:sz w:val="18"/>
                <w:szCs w:val="18"/>
              </w:rPr>
              <w:t>As the figures are rounded, there may be some discrepancies with the total figures provided.</w:t>
            </w:r>
            <w:r w:rsidRPr="00AB3BA8">
              <w:rPr>
                <w:sz w:val="18"/>
                <w:szCs w:val="18"/>
              </w:rPr>
              <w:t xml:space="preserve"> </w:t>
            </w:r>
          </w:p>
          <w:p w14:paraId="19912785" w14:textId="77777777" w:rsidR="003D5721" w:rsidRDefault="003D5721" w:rsidP="003D5721">
            <w:pPr>
              <w:spacing w:after="0"/>
              <w:rPr>
                <w:b w:val="0"/>
                <w:bCs w:val="0"/>
              </w:rPr>
            </w:pPr>
          </w:p>
          <w:p w14:paraId="22C863C4" w14:textId="77777777" w:rsidR="003D5721" w:rsidRDefault="003D5721" w:rsidP="003D5721">
            <w:pPr>
              <w:spacing w:after="0"/>
              <w:rPr>
                <w:b w:val="0"/>
                <w:bCs w:val="0"/>
              </w:rPr>
            </w:pPr>
          </w:p>
          <w:p w14:paraId="58E68315" w14:textId="77777777" w:rsidR="003D5721" w:rsidRDefault="003D5721" w:rsidP="003D5721">
            <w:pPr>
              <w:spacing w:after="0"/>
              <w:rPr>
                <w:b w:val="0"/>
                <w:bCs w:val="0"/>
              </w:rPr>
            </w:pPr>
          </w:p>
          <w:p w14:paraId="0CE31893" w14:textId="77777777" w:rsidR="003D5721" w:rsidRDefault="003D5721" w:rsidP="003D5721">
            <w:pPr>
              <w:spacing w:after="0"/>
              <w:rPr>
                <w:b w:val="0"/>
                <w:bCs w:val="0"/>
              </w:rPr>
            </w:pPr>
          </w:p>
          <w:p w14:paraId="4CBBBB6E" w14:textId="77777777" w:rsidR="003D5721" w:rsidRDefault="003D5721" w:rsidP="003D5721">
            <w:pPr>
              <w:spacing w:after="0"/>
            </w:pPr>
          </w:p>
          <w:p w14:paraId="5897571B" w14:textId="77777777" w:rsidR="003D5721" w:rsidRDefault="003D5721" w:rsidP="003D5721">
            <w:pPr>
              <w:spacing w:after="0"/>
              <w:rPr>
                <w:b w:val="0"/>
                <w:bCs w:val="0"/>
              </w:rPr>
            </w:pPr>
          </w:p>
          <w:p w14:paraId="2AE0D56D" w14:textId="77777777" w:rsidR="003D5721" w:rsidRDefault="003D5721" w:rsidP="003D5721">
            <w:pPr>
              <w:spacing w:after="0"/>
              <w:rPr>
                <w:b w:val="0"/>
                <w:bCs w:val="0"/>
              </w:rPr>
            </w:pPr>
          </w:p>
          <w:p w14:paraId="5404C7C3" w14:textId="52827281" w:rsidR="003D5721" w:rsidRPr="005A107D" w:rsidRDefault="003D5721" w:rsidP="003D5721">
            <w:pPr>
              <w:spacing w:after="0"/>
            </w:pPr>
          </w:p>
        </w:tc>
      </w:tr>
    </w:tbl>
    <w:p w14:paraId="7968A085" w14:textId="2F87109F" w:rsidR="00A46C84" w:rsidRPr="00900863" w:rsidRDefault="00A46C84" w:rsidP="00A46C84">
      <w:pPr>
        <w:rPr>
          <w:b/>
          <w:bCs/>
          <w:sz w:val="24"/>
          <w:szCs w:val="24"/>
        </w:rPr>
      </w:pPr>
      <w:r w:rsidRPr="1AD82DA5">
        <w:rPr>
          <w:b/>
          <w:sz w:val="24"/>
          <w:szCs w:val="24"/>
        </w:rPr>
        <w:t>Table 2: Detailed Financial Contributions</w:t>
      </w:r>
    </w:p>
    <w:tbl>
      <w:tblPr>
        <w:tblW w:w="15451" w:type="dxa"/>
        <w:tblInd w:w="-108" w:type="dxa"/>
        <w:tblLayout w:type="fixed"/>
        <w:tblLook w:val="04A0" w:firstRow="1" w:lastRow="0" w:firstColumn="1" w:lastColumn="0" w:noHBand="0" w:noVBand="1"/>
      </w:tblPr>
      <w:tblGrid>
        <w:gridCol w:w="108"/>
        <w:gridCol w:w="5670"/>
        <w:gridCol w:w="1134"/>
        <w:gridCol w:w="567"/>
        <w:gridCol w:w="142"/>
        <w:gridCol w:w="709"/>
        <w:gridCol w:w="1417"/>
        <w:gridCol w:w="1276"/>
        <w:gridCol w:w="1276"/>
        <w:gridCol w:w="1417"/>
        <w:gridCol w:w="1276"/>
        <w:gridCol w:w="459"/>
      </w:tblGrid>
      <w:tr w:rsidR="00AB5030" w14:paraId="4F08C254" w14:textId="77777777" w:rsidTr="7B0FF488">
        <w:trPr>
          <w:gridBefore w:val="1"/>
          <w:gridAfter w:val="1"/>
          <w:wBefore w:w="108" w:type="dxa"/>
          <w:wAfter w:w="459" w:type="dxa"/>
          <w:trHeight w:val="300"/>
        </w:trPr>
        <w:tc>
          <w:tcPr>
            <w:tcW w:w="5670" w:type="dxa"/>
            <w:tcBorders>
              <w:top w:val="single" w:sz="6" w:space="0" w:color="auto"/>
              <w:left w:val="nil"/>
              <w:bottom w:val="single" w:sz="6" w:space="0" w:color="auto"/>
              <w:right w:val="nil"/>
            </w:tcBorders>
            <w:hideMark/>
          </w:tcPr>
          <w:p w14:paraId="3DE30215" w14:textId="77777777" w:rsidR="00DE49FE" w:rsidRDefault="00DE49FE" w:rsidP="00A46C84">
            <w:pPr>
              <w:spacing w:line="256" w:lineRule="auto"/>
              <w:ind w:left="142"/>
              <w:rPr>
                <w:rFonts w:ascii="Calibri" w:eastAsia="Calibri" w:hAnsi="Calibri" w:cs="Calibri"/>
                <w:color w:val="000000" w:themeColor="text1"/>
                <w:sz w:val="21"/>
                <w:szCs w:val="21"/>
              </w:rPr>
            </w:pPr>
            <w:r>
              <w:rPr>
                <w:rFonts w:ascii="Calibri" w:eastAsia="Calibri" w:hAnsi="Calibri" w:cs="Calibri"/>
                <w:b/>
                <w:bCs/>
                <w:color w:val="000000" w:themeColor="text1"/>
                <w:sz w:val="21"/>
                <w:szCs w:val="21"/>
              </w:rPr>
              <w:t>($)</w:t>
            </w:r>
            <w:r>
              <w:rPr>
                <w:rFonts w:ascii="Calibri" w:eastAsia="Calibri" w:hAnsi="Calibri" w:cs="Calibri"/>
                <w:color w:val="000000" w:themeColor="text1"/>
                <w:sz w:val="21"/>
                <w:szCs w:val="21"/>
                <w:lang w:val="en-AU"/>
              </w:rPr>
              <w:t> </w:t>
            </w:r>
          </w:p>
        </w:tc>
        <w:tc>
          <w:tcPr>
            <w:tcW w:w="1134" w:type="dxa"/>
            <w:tcBorders>
              <w:top w:val="single" w:sz="6" w:space="0" w:color="auto"/>
              <w:left w:val="nil"/>
              <w:bottom w:val="single" w:sz="6" w:space="0" w:color="auto"/>
              <w:right w:val="nil"/>
            </w:tcBorders>
            <w:hideMark/>
          </w:tcPr>
          <w:p w14:paraId="48D3AB88" w14:textId="77777777" w:rsidR="00DE49FE" w:rsidRDefault="00DE49FE" w:rsidP="00A46C84">
            <w:pPr>
              <w:spacing w:line="256" w:lineRule="auto"/>
              <w:jc w:val="right"/>
              <w:rPr>
                <w:rFonts w:ascii="Calibri" w:eastAsia="Calibri" w:hAnsi="Calibri" w:cs="Calibri"/>
                <w:color w:val="000000" w:themeColor="text1"/>
                <w:sz w:val="21"/>
                <w:szCs w:val="21"/>
              </w:rPr>
            </w:pPr>
            <w:r>
              <w:rPr>
                <w:rFonts w:ascii="Calibri" w:eastAsia="Calibri" w:hAnsi="Calibri" w:cs="Calibri"/>
                <w:b/>
                <w:bCs/>
                <w:color w:val="000000" w:themeColor="text1"/>
                <w:sz w:val="21"/>
                <w:szCs w:val="21"/>
              </w:rPr>
              <w:t>2021-22</w:t>
            </w:r>
            <w:r>
              <w:rPr>
                <w:rFonts w:ascii="Calibri" w:eastAsia="Calibri" w:hAnsi="Calibri" w:cs="Calibri"/>
                <w:color w:val="000000" w:themeColor="text1"/>
                <w:sz w:val="21"/>
                <w:szCs w:val="21"/>
                <w:lang w:val="en-AU"/>
              </w:rPr>
              <w:t> </w:t>
            </w:r>
          </w:p>
        </w:tc>
        <w:tc>
          <w:tcPr>
            <w:tcW w:w="1418" w:type="dxa"/>
            <w:gridSpan w:val="3"/>
            <w:tcBorders>
              <w:top w:val="single" w:sz="6" w:space="0" w:color="auto"/>
              <w:left w:val="nil"/>
              <w:bottom w:val="single" w:sz="6" w:space="0" w:color="auto"/>
              <w:right w:val="nil"/>
            </w:tcBorders>
            <w:hideMark/>
          </w:tcPr>
          <w:p w14:paraId="7B685A51" w14:textId="77777777" w:rsidR="00DE49FE" w:rsidRDefault="00DE49FE" w:rsidP="00A46C84">
            <w:pPr>
              <w:spacing w:line="256" w:lineRule="auto"/>
              <w:jc w:val="right"/>
              <w:rPr>
                <w:rFonts w:ascii="Calibri" w:eastAsia="Calibri" w:hAnsi="Calibri" w:cs="Calibri"/>
                <w:color w:val="000000" w:themeColor="text1"/>
                <w:sz w:val="21"/>
                <w:szCs w:val="21"/>
              </w:rPr>
            </w:pPr>
            <w:r>
              <w:rPr>
                <w:rFonts w:ascii="Calibri" w:eastAsia="Calibri" w:hAnsi="Calibri" w:cs="Calibri"/>
                <w:b/>
                <w:bCs/>
                <w:color w:val="000000" w:themeColor="text1"/>
                <w:sz w:val="21"/>
                <w:szCs w:val="21"/>
              </w:rPr>
              <w:t>2022-23</w:t>
            </w:r>
            <w:r>
              <w:rPr>
                <w:rFonts w:ascii="Calibri" w:eastAsia="Calibri" w:hAnsi="Calibri" w:cs="Calibri"/>
                <w:color w:val="000000" w:themeColor="text1"/>
                <w:sz w:val="21"/>
                <w:szCs w:val="21"/>
                <w:lang w:val="en-AU"/>
              </w:rPr>
              <w:t> </w:t>
            </w:r>
          </w:p>
        </w:tc>
        <w:tc>
          <w:tcPr>
            <w:tcW w:w="1417" w:type="dxa"/>
            <w:tcBorders>
              <w:top w:val="single" w:sz="6" w:space="0" w:color="auto"/>
              <w:left w:val="nil"/>
              <w:bottom w:val="single" w:sz="6" w:space="0" w:color="auto"/>
              <w:right w:val="nil"/>
            </w:tcBorders>
            <w:hideMark/>
          </w:tcPr>
          <w:p w14:paraId="6D5DD46D" w14:textId="77777777" w:rsidR="00DE49FE" w:rsidRDefault="00DE49FE" w:rsidP="00A46C84">
            <w:pPr>
              <w:spacing w:line="256" w:lineRule="auto"/>
              <w:jc w:val="right"/>
              <w:rPr>
                <w:rFonts w:ascii="Calibri" w:eastAsia="Calibri" w:hAnsi="Calibri" w:cs="Calibri"/>
                <w:color w:val="000000" w:themeColor="text1"/>
                <w:sz w:val="21"/>
                <w:szCs w:val="21"/>
              </w:rPr>
            </w:pPr>
            <w:r>
              <w:rPr>
                <w:rFonts w:ascii="Calibri" w:eastAsia="Calibri" w:hAnsi="Calibri" w:cs="Calibri"/>
                <w:b/>
                <w:bCs/>
                <w:color w:val="000000" w:themeColor="text1"/>
                <w:sz w:val="21"/>
                <w:szCs w:val="21"/>
              </w:rPr>
              <w:t>2023-24</w:t>
            </w:r>
            <w:r>
              <w:rPr>
                <w:rFonts w:ascii="Calibri" w:eastAsia="Calibri" w:hAnsi="Calibri" w:cs="Calibri"/>
                <w:color w:val="000000" w:themeColor="text1"/>
                <w:sz w:val="21"/>
                <w:szCs w:val="21"/>
                <w:lang w:val="en-AU"/>
              </w:rPr>
              <w:t> </w:t>
            </w:r>
          </w:p>
        </w:tc>
        <w:tc>
          <w:tcPr>
            <w:tcW w:w="1276" w:type="dxa"/>
            <w:tcBorders>
              <w:top w:val="single" w:sz="6" w:space="0" w:color="auto"/>
              <w:left w:val="nil"/>
              <w:bottom w:val="single" w:sz="6" w:space="0" w:color="auto"/>
              <w:right w:val="nil"/>
            </w:tcBorders>
            <w:hideMark/>
          </w:tcPr>
          <w:p w14:paraId="43AB554E" w14:textId="77777777" w:rsidR="00DE49FE" w:rsidRDefault="00DE49FE" w:rsidP="00A46C84">
            <w:pPr>
              <w:spacing w:line="256" w:lineRule="auto"/>
              <w:jc w:val="right"/>
              <w:rPr>
                <w:rFonts w:ascii="Calibri" w:eastAsia="Calibri" w:hAnsi="Calibri" w:cs="Calibri"/>
                <w:color w:val="000000" w:themeColor="text1"/>
                <w:sz w:val="21"/>
                <w:szCs w:val="21"/>
              </w:rPr>
            </w:pPr>
            <w:r>
              <w:rPr>
                <w:rFonts w:ascii="Calibri" w:eastAsia="Calibri" w:hAnsi="Calibri" w:cs="Calibri"/>
                <w:b/>
                <w:bCs/>
                <w:color w:val="000000" w:themeColor="text1"/>
                <w:sz w:val="21"/>
                <w:szCs w:val="21"/>
              </w:rPr>
              <w:t>2024-25</w:t>
            </w:r>
            <w:r>
              <w:rPr>
                <w:rFonts w:ascii="Calibri" w:eastAsia="Calibri" w:hAnsi="Calibri" w:cs="Calibri"/>
                <w:color w:val="000000" w:themeColor="text1"/>
                <w:sz w:val="21"/>
                <w:szCs w:val="21"/>
                <w:lang w:val="en-AU"/>
              </w:rPr>
              <w:t> </w:t>
            </w:r>
          </w:p>
        </w:tc>
        <w:tc>
          <w:tcPr>
            <w:tcW w:w="1276" w:type="dxa"/>
            <w:tcBorders>
              <w:top w:val="single" w:sz="6" w:space="0" w:color="auto"/>
              <w:left w:val="nil"/>
              <w:bottom w:val="single" w:sz="6" w:space="0" w:color="auto"/>
              <w:right w:val="nil"/>
            </w:tcBorders>
            <w:hideMark/>
          </w:tcPr>
          <w:p w14:paraId="1EF466FB" w14:textId="77777777" w:rsidR="00DE49FE" w:rsidRDefault="00DE49FE" w:rsidP="00A46C84">
            <w:pPr>
              <w:spacing w:line="256" w:lineRule="auto"/>
              <w:jc w:val="right"/>
              <w:rPr>
                <w:rFonts w:ascii="Calibri" w:eastAsia="Calibri" w:hAnsi="Calibri" w:cs="Calibri"/>
                <w:color w:val="000000" w:themeColor="text1"/>
                <w:sz w:val="21"/>
                <w:szCs w:val="21"/>
              </w:rPr>
            </w:pPr>
            <w:r>
              <w:rPr>
                <w:rFonts w:ascii="Calibri" w:eastAsia="Calibri" w:hAnsi="Calibri" w:cs="Calibri"/>
                <w:b/>
                <w:bCs/>
                <w:color w:val="000000" w:themeColor="text1"/>
                <w:sz w:val="21"/>
                <w:szCs w:val="21"/>
              </w:rPr>
              <w:t>2025-26</w:t>
            </w:r>
            <w:r>
              <w:rPr>
                <w:rFonts w:ascii="Calibri" w:eastAsia="Calibri" w:hAnsi="Calibri" w:cs="Calibri"/>
                <w:color w:val="000000" w:themeColor="text1"/>
                <w:sz w:val="21"/>
                <w:szCs w:val="21"/>
                <w:lang w:val="en-AU"/>
              </w:rPr>
              <w:t> </w:t>
            </w:r>
          </w:p>
        </w:tc>
        <w:tc>
          <w:tcPr>
            <w:tcW w:w="1417" w:type="dxa"/>
            <w:tcBorders>
              <w:top w:val="single" w:sz="6" w:space="0" w:color="auto"/>
              <w:left w:val="nil"/>
              <w:bottom w:val="single" w:sz="6" w:space="0" w:color="auto"/>
              <w:right w:val="nil"/>
            </w:tcBorders>
          </w:tcPr>
          <w:p w14:paraId="0D3F7352" w14:textId="1E65DE05" w:rsidR="00DE49FE" w:rsidRDefault="00202CC3" w:rsidP="00A46C84">
            <w:pPr>
              <w:spacing w:line="256" w:lineRule="auto"/>
              <w:jc w:val="right"/>
              <w:rPr>
                <w:rFonts w:ascii="Calibri" w:eastAsia="Calibri" w:hAnsi="Calibri" w:cs="Calibri"/>
                <w:b/>
                <w:bCs/>
                <w:color w:val="000000" w:themeColor="text1"/>
                <w:sz w:val="21"/>
                <w:szCs w:val="21"/>
              </w:rPr>
            </w:pPr>
            <w:r w:rsidRPr="219D5185">
              <w:rPr>
                <w:rFonts w:ascii="Calibri" w:eastAsia="Calibri" w:hAnsi="Calibri" w:cs="Calibri"/>
                <w:b/>
                <w:bCs/>
                <w:color w:val="000000" w:themeColor="text1"/>
                <w:sz w:val="21"/>
                <w:szCs w:val="21"/>
              </w:rPr>
              <w:t>2026-27</w:t>
            </w:r>
          </w:p>
        </w:tc>
        <w:tc>
          <w:tcPr>
            <w:tcW w:w="1276" w:type="dxa"/>
            <w:tcBorders>
              <w:top w:val="single" w:sz="6" w:space="0" w:color="auto"/>
              <w:left w:val="nil"/>
              <w:bottom w:val="single" w:sz="6" w:space="0" w:color="auto"/>
              <w:right w:val="nil"/>
            </w:tcBorders>
            <w:hideMark/>
          </w:tcPr>
          <w:p w14:paraId="211F7644" w14:textId="0C96B8E2" w:rsidR="00DE49FE" w:rsidRDefault="00DE49FE" w:rsidP="00A46C84">
            <w:pPr>
              <w:spacing w:line="256" w:lineRule="auto"/>
              <w:jc w:val="right"/>
              <w:rPr>
                <w:rFonts w:ascii="Calibri" w:eastAsia="Calibri" w:hAnsi="Calibri" w:cs="Calibri"/>
                <w:color w:val="000000" w:themeColor="text1"/>
                <w:sz w:val="21"/>
                <w:szCs w:val="21"/>
              </w:rPr>
            </w:pPr>
            <w:r>
              <w:rPr>
                <w:rFonts w:ascii="Calibri" w:eastAsia="Calibri" w:hAnsi="Calibri" w:cs="Calibri"/>
                <w:b/>
                <w:bCs/>
                <w:color w:val="000000" w:themeColor="text1"/>
                <w:sz w:val="21"/>
                <w:szCs w:val="21"/>
              </w:rPr>
              <w:t>Total</w:t>
            </w:r>
            <w:r>
              <w:rPr>
                <w:rFonts w:ascii="Calibri" w:eastAsia="Calibri" w:hAnsi="Calibri" w:cs="Calibri"/>
                <w:color w:val="000000" w:themeColor="text1"/>
                <w:sz w:val="21"/>
                <w:szCs w:val="21"/>
                <w:lang w:val="en-AU"/>
              </w:rPr>
              <w:t> </w:t>
            </w:r>
          </w:p>
        </w:tc>
      </w:tr>
      <w:tr w:rsidR="008A599A" w14:paraId="5BA97DE4" w14:textId="77777777" w:rsidTr="7B0FF488">
        <w:trPr>
          <w:gridBefore w:val="1"/>
          <w:gridAfter w:val="1"/>
          <w:wBefore w:w="108" w:type="dxa"/>
          <w:wAfter w:w="459" w:type="dxa"/>
          <w:trHeight w:val="300"/>
        </w:trPr>
        <w:tc>
          <w:tcPr>
            <w:tcW w:w="5670" w:type="dxa"/>
            <w:tcBorders>
              <w:top w:val="single" w:sz="6" w:space="0" w:color="auto"/>
              <w:left w:val="nil"/>
              <w:bottom w:val="single" w:sz="6" w:space="0" w:color="auto"/>
              <w:right w:val="nil"/>
            </w:tcBorders>
            <w:shd w:val="clear" w:color="auto" w:fill="D9D9D9" w:themeFill="background1" w:themeFillShade="D9"/>
            <w:hideMark/>
          </w:tcPr>
          <w:p w14:paraId="1E13F020" w14:textId="77777777" w:rsidR="00DE49FE" w:rsidRDefault="00DE49FE" w:rsidP="00A46C84">
            <w:pPr>
              <w:spacing w:line="256" w:lineRule="auto"/>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Commonwealth contribution</w:t>
            </w:r>
            <w:r>
              <w:rPr>
                <w:rFonts w:ascii="Calibri" w:eastAsia="Calibri" w:hAnsi="Calibri" w:cs="Calibri"/>
                <w:color w:val="000000" w:themeColor="text1"/>
                <w:sz w:val="24"/>
                <w:szCs w:val="24"/>
                <w:lang w:val="en-AU"/>
              </w:rPr>
              <w:t> </w:t>
            </w:r>
          </w:p>
        </w:tc>
        <w:tc>
          <w:tcPr>
            <w:tcW w:w="1134" w:type="dxa"/>
            <w:tcBorders>
              <w:top w:val="single" w:sz="6" w:space="0" w:color="auto"/>
              <w:left w:val="nil"/>
              <w:bottom w:val="single" w:sz="6" w:space="0" w:color="auto"/>
              <w:right w:val="nil"/>
            </w:tcBorders>
            <w:shd w:val="clear" w:color="auto" w:fill="D9D9D9" w:themeFill="background1" w:themeFillShade="D9"/>
            <w:hideMark/>
          </w:tcPr>
          <w:p w14:paraId="7DEFCCC5" w14:textId="77777777" w:rsidR="00DE49FE" w:rsidRDefault="00DE49FE" w:rsidP="00A46C84">
            <w:pPr>
              <w:spacing w:line="256" w:lineRule="auto"/>
              <w:jc w:val="right"/>
              <w:rPr>
                <w:rFonts w:ascii="Calibri" w:eastAsia="Calibri" w:hAnsi="Calibri" w:cs="Calibri"/>
                <w:color w:val="000000" w:themeColor="text1"/>
                <w:sz w:val="21"/>
                <w:szCs w:val="21"/>
              </w:rPr>
            </w:pPr>
            <w:r>
              <w:rPr>
                <w:rFonts w:ascii="Calibri" w:eastAsia="Calibri" w:hAnsi="Calibri" w:cs="Calibri"/>
                <w:b/>
                <w:bCs/>
                <w:color w:val="000000" w:themeColor="text1"/>
                <w:sz w:val="21"/>
                <w:szCs w:val="21"/>
              </w:rPr>
              <w:t>($)</w:t>
            </w:r>
            <w:r>
              <w:rPr>
                <w:rFonts w:ascii="Calibri" w:eastAsia="Calibri" w:hAnsi="Calibri" w:cs="Calibri"/>
                <w:color w:val="000000" w:themeColor="text1"/>
                <w:sz w:val="21"/>
                <w:szCs w:val="21"/>
                <w:lang w:val="en-AU"/>
              </w:rPr>
              <w:t> </w:t>
            </w:r>
          </w:p>
        </w:tc>
        <w:tc>
          <w:tcPr>
            <w:tcW w:w="1418" w:type="dxa"/>
            <w:gridSpan w:val="3"/>
            <w:tcBorders>
              <w:top w:val="single" w:sz="6" w:space="0" w:color="auto"/>
              <w:left w:val="nil"/>
              <w:bottom w:val="single" w:sz="6" w:space="0" w:color="auto"/>
              <w:right w:val="nil"/>
            </w:tcBorders>
            <w:shd w:val="clear" w:color="auto" w:fill="D9D9D9" w:themeFill="background1" w:themeFillShade="D9"/>
            <w:hideMark/>
          </w:tcPr>
          <w:p w14:paraId="738F96E7" w14:textId="77777777" w:rsidR="00DE49FE" w:rsidRDefault="00DE49FE" w:rsidP="00A46C84">
            <w:pPr>
              <w:spacing w:line="256" w:lineRule="auto"/>
              <w:jc w:val="right"/>
              <w:rPr>
                <w:rFonts w:ascii="Calibri" w:eastAsia="Calibri" w:hAnsi="Calibri" w:cs="Calibri"/>
                <w:color w:val="000000" w:themeColor="text1"/>
                <w:sz w:val="21"/>
                <w:szCs w:val="21"/>
              </w:rPr>
            </w:pPr>
            <w:r>
              <w:rPr>
                <w:rFonts w:ascii="Calibri" w:eastAsia="Calibri" w:hAnsi="Calibri" w:cs="Calibri"/>
                <w:b/>
                <w:bCs/>
                <w:color w:val="000000" w:themeColor="text1"/>
                <w:sz w:val="21"/>
                <w:szCs w:val="21"/>
              </w:rPr>
              <w:t>($)</w:t>
            </w:r>
            <w:r>
              <w:rPr>
                <w:rFonts w:ascii="Calibri" w:eastAsia="Calibri" w:hAnsi="Calibri" w:cs="Calibri"/>
                <w:color w:val="000000" w:themeColor="text1"/>
                <w:sz w:val="21"/>
                <w:szCs w:val="21"/>
                <w:lang w:val="en-AU"/>
              </w:rPr>
              <w:t> </w:t>
            </w:r>
          </w:p>
        </w:tc>
        <w:tc>
          <w:tcPr>
            <w:tcW w:w="1417" w:type="dxa"/>
            <w:tcBorders>
              <w:top w:val="single" w:sz="6" w:space="0" w:color="auto"/>
              <w:left w:val="nil"/>
              <w:bottom w:val="single" w:sz="6" w:space="0" w:color="auto"/>
              <w:right w:val="nil"/>
            </w:tcBorders>
            <w:shd w:val="clear" w:color="auto" w:fill="D9D9D9" w:themeFill="background1" w:themeFillShade="D9"/>
            <w:hideMark/>
          </w:tcPr>
          <w:p w14:paraId="669D0723" w14:textId="77777777" w:rsidR="00DE49FE" w:rsidRDefault="00DE49FE" w:rsidP="00A46C84">
            <w:pPr>
              <w:spacing w:line="256" w:lineRule="auto"/>
              <w:jc w:val="right"/>
              <w:rPr>
                <w:rFonts w:ascii="Calibri" w:eastAsia="Calibri" w:hAnsi="Calibri" w:cs="Calibri"/>
                <w:color w:val="000000" w:themeColor="text1"/>
                <w:sz w:val="21"/>
                <w:szCs w:val="21"/>
              </w:rPr>
            </w:pPr>
            <w:r>
              <w:rPr>
                <w:rFonts w:ascii="Calibri" w:eastAsia="Calibri" w:hAnsi="Calibri" w:cs="Calibri"/>
                <w:b/>
                <w:bCs/>
                <w:color w:val="000000" w:themeColor="text1"/>
                <w:sz w:val="21"/>
                <w:szCs w:val="21"/>
              </w:rPr>
              <w:t>($)</w:t>
            </w:r>
            <w:r>
              <w:rPr>
                <w:rFonts w:ascii="Calibri" w:eastAsia="Calibri" w:hAnsi="Calibri" w:cs="Calibri"/>
                <w:color w:val="000000" w:themeColor="text1"/>
                <w:sz w:val="21"/>
                <w:szCs w:val="21"/>
                <w:lang w:val="en-AU"/>
              </w:rPr>
              <w:t> </w:t>
            </w:r>
          </w:p>
        </w:tc>
        <w:tc>
          <w:tcPr>
            <w:tcW w:w="1276" w:type="dxa"/>
            <w:tcBorders>
              <w:top w:val="single" w:sz="6" w:space="0" w:color="auto"/>
              <w:left w:val="nil"/>
              <w:bottom w:val="single" w:sz="6" w:space="0" w:color="auto"/>
              <w:right w:val="nil"/>
            </w:tcBorders>
            <w:shd w:val="clear" w:color="auto" w:fill="D9D9D9" w:themeFill="background1" w:themeFillShade="D9"/>
            <w:hideMark/>
          </w:tcPr>
          <w:p w14:paraId="3127C739" w14:textId="77777777" w:rsidR="00DE49FE" w:rsidRDefault="00DE49FE" w:rsidP="00A46C84">
            <w:pPr>
              <w:spacing w:line="256" w:lineRule="auto"/>
              <w:jc w:val="right"/>
              <w:rPr>
                <w:rFonts w:ascii="Calibri" w:eastAsia="Calibri" w:hAnsi="Calibri" w:cs="Calibri"/>
                <w:color w:val="000000" w:themeColor="text1"/>
                <w:sz w:val="21"/>
                <w:szCs w:val="21"/>
              </w:rPr>
            </w:pPr>
            <w:r>
              <w:rPr>
                <w:rFonts w:ascii="Calibri" w:eastAsia="Calibri" w:hAnsi="Calibri" w:cs="Calibri"/>
                <w:b/>
                <w:bCs/>
                <w:color w:val="000000" w:themeColor="text1"/>
                <w:sz w:val="21"/>
                <w:szCs w:val="21"/>
              </w:rPr>
              <w:t>($)</w:t>
            </w:r>
            <w:r>
              <w:rPr>
                <w:rFonts w:ascii="Calibri" w:eastAsia="Calibri" w:hAnsi="Calibri" w:cs="Calibri"/>
                <w:color w:val="000000" w:themeColor="text1"/>
                <w:sz w:val="21"/>
                <w:szCs w:val="21"/>
                <w:lang w:val="en-AU"/>
              </w:rPr>
              <w:t> </w:t>
            </w:r>
          </w:p>
        </w:tc>
        <w:tc>
          <w:tcPr>
            <w:tcW w:w="1276" w:type="dxa"/>
            <w:tcBorders>
              <w:top w:val="single" w:sz="6" w:space="0" w:color="auto"/>
              <w:left w:val="nil"/>
              <w:bottom w:val="single" w:sz="6" w:space="0" w:color="auto"/>
              <w:right w:val="nil"/>
            </w:tcBorders>
            <w:shd w:val="clear" w:color="auto" w:fill="D9D9D9" w:themeFill="background1" w:themeFillShade="D9"/>
            <w:hideMark/>
          </w:tcPr>
          <w:p w14:paraId="5E1292B2" w14:textId="77777777" w:rsidR="00DE49FE" w:rsidRDefault="00DE49FE" w:rsidP="00A46C84">
            <w:pPr>
              <w:spacing w:line="256" w:lineRule="auto"/>
              <w:jc w:val="right"/>
              <w:rPr>
                <w:rFonts w:ascii="Calibri" w:eastAsia="Calibri" w:hAnsi="Calibri" w:cs="Calibri"/>
                <w:color w:val="000000" w:themeColor="text1"/>
                <w:sz w:val="21"/>
                <w:szCs w:val="21"/>
              </w:rPr>
            </w:pPr>
            <w:r>
              <w:rPr>
                <w:rFonts w:ascii="Calibri" w:eastAsia="Calibri" w:hAnsi="Calibri" w:cs="Calibri"/>
                <w:b/>
                <w:bCs/>
                <w:color w:val="000000" w:themeColor="text1"/>
                <w:sz w:val="21"/>
                <w:szCs w:val="21"/>
              </w:rPr>
              <w:t>($)</w:t>
            </w:r>
            <w:r>
              <w:rPr>
                <w:rFonts w:ascii="Calibri" w:eastAsia="Calibri" w:hAnsi="Calibri" w:cs="Calibri"/>
                <w:color w:val="000000" w:themeColor="text1"/>
                <w:sz w:val="21"/>
                <w:szCs w:val="21"/>
                <w:lang w:val="en-AU"/>
              </w:rPr>
              <w:t> </w:t>
            </w:r>
          </w:p>
        </w:tc>
        <w:tc>
          <w:tcPr>
            <w:tcW w:w="1417" w:type="dxa"/>
            <w:tcBorders>
              <w:top w:val="single" w:sz="6" w:space="0" w:color="auto"/>
              <w:left w:val="nil"/>
              <w:bottom w:val="single" w:sz="6" w:space="0" w:color="auto"/>
              <w:right w:val="nil"/>
            </w:tcBorders>
            <w:shd w:val="clear" w:color="auto" w:fill="D9D9D9" w:themeFill="background1" w:themeFillShade="D9"/>
          </w:tcPr>
          <w:p w14:paraId="2EC16A7F" w14:textId="76279B6F" w:rsidR="00DE49FE" w:rsidRDefault="00202CC3" w:rsidP="00A46C84">
            <w:pPr>
              <w:spacing w:line="256" w:lineRule="auto"/>
              <w:jc w:val="right"/>
              <w:rPr>
                <w:rFonts w:ascii="Calibri" w:eastAsia="Calibri" w:hAnsi="Calibri" w:cs="Calibri"/>
                <w:b/>
                <w:bCs/>
                <w:color w:val="000000" w:themeColor="text1"/>
                <w:sz w:val="21"/>
                <w:szCs w:val="21"/>
              </w:rPr>
            </w:pPr>
            <w:r w:rsidRPr="219D5185">
              <w:rPr>
                <w:rFonts w:ascii="Calibri" w:eastAsia="Calibri" w:hAnsi="Calibri" w:cs="Calibri"/>
                <w:b/>
                <w:bCs/>
                <w:color w:val="000000" w:themeColor="text1"/>
                <w:sz w:val="21"/>
                <w:szCs w:val="21"/>
              </w:rPr>
              <w:t>($)</w:t>
            </w:r>
          </w:p>
        </w:tc>
        <w:tc>
          <w:tcPr>
            <w:tcW w:w="1276" w:type="dxa"/>
            <w:tcBorders>
              <w:top w:val="single" w:sz="6" w:space="0" w:color="auto"/>
              <w:left w:val="nil"/>
              <w:bottom w:val="single" w:sz="6" w:space="0" w:color="auto"/>
              <w:right w:val="nil"/>
            </w:tcBorders>
            <w:shd w:val="clear" w:color="auto" w:fill="D9D9D9" w:themeFill="background1" w:themeFillShade="D9"/>
            <w:hideMark/>
          </w:tcPr>
          <w:p w14:paraId="0992B153" w14:textId="44A2A5DA" w:rsidR="00DE49FE" w:rsidRDefault="00DE49FE" w:rsidP="00A46C84">
            <w:pPr>
              <w:spacing w:line="256" w:lineRule="auto"/>
              <w:jc w:val="right"/>
              <w:rPr>
                <w:rFonts w:ascii="Calibri" w:eastAsia="Calibri" w:hAnsi="Calibri" w:cs="Calibri"/>
                <w:color w:val="000000" w:themeColor="text1"/>
                <w:sz w:val="21"/>
                <w:szCs w:val="21"/>
              </w:rPr>
            </w:pPr>
            <w:r>
              <w:rPr>
                <w:rFonts w:ascii="Calibri" w:eastAsia="Calibri" w:hAnsi="Calibri" w:cs="Calibri"/>
                <w:b/>
                <w:bCs/>
                <w:color w:val="000000" w:themeColor="text1"/>
                <w:sz w:val="21"/>
                <w:szCs w:val="21"/>
              </w:rPr>
              <w:t>($)</w:t>
            </w:r>
            <w:r>
              <w:rPr>
                <w:rFonts w:ascii="Calibri" w:eastAsia="Calibri" w:hAnsi="Calibri" w:cs="Calibri"/>
                <w:color w:val="000000" w:themeColor="text1"/>
                <w:sz w:val="21"/>
                <w:szCs w:val="21"/>
                <w:lang w:val="en-AU"/>
              </w:rPr>
              <w:t> </w:t>
            </w:r>
          </w:p>
        </w:tc>
      </w:tr>
      <w:tr w:rsidR="00AB5030" w14:paraId="09D653E6" w14:textId="77777777" w:rsidTr="7B0FF488">
        <w:trPr>
          <w:gridBefore w:val="1"/>
          <w:gridAfter w:val="1"/>
          <w:wBefore w:w="108" w:type="dxa"/>
          <w:wAfter w:w="459" w:type="dxa"/>
          <w:trHeight w:val="345"/>
        </w:trPr>
        <w:tc>
          <w:tcPr>
            <w:tcW w:w="5670" w:type="dxa"/>
            <w:tcBorders>
              <w:top w:val="single" w:sz="6" w:space="0" w:color="auto"/>
              <w:left w:val="nil"/>
              <w:bottom w:val="nil"/>
              <w:right w:val="nil"/>
            </w:tcBorders>
            <w:vAlign w:val="center"/>
            <w:hideMark/>
          </w:tcPr>
          <w:p w14:paraId="104F6B46" w14:textId="77777777" w:rsidR="00DE49FE" w:rsidRDefault="00DE49FE" w:rsidP="00A46C84">
            <w:pPr>
              <w:spacing w:line="256" w:lineRule="auto"/>
              <w:rPr>
                <w:rFonts w:ascii="Calibri" w:eastAsia="Calibri" w:hAnsi="Calibri" w:cs="Calibri"/>
                <w:color w:val="000000" w:themeColor="text1"/>
                <w:sz w:val="20"/>
              </w:rPr>
            </w:pPr>
            <w:r w:rsidRPr="00AB3BA8">
              <w:rPr>
                <w:rFonts w:ascii="Calibri" w:eastAsia="Calibri" w:hAnsi="Calibri" w:cs="Calibri"/>
                <w:b/>
                <w:bCs/>
                <w:sz w:val="20"/>
              </w:rPr>
              <w:t>Commonwealth payments to Victoria</w:t>
            </w:r>
            <w:r w:rsidRPr="00AB3BA8">
              <w:rPr>
                <w:rFonts w:ascii="Calibri" w:eastAsia="Calibri" w:hAnsi="Calibri" w:cs="Calibri"/>
                <w:sz w:val="20"/>
                <w:lang w:val="en-AU"/>
              </w:rPr>
              <w:t> </w:t>
            </w:r>
          </w:p>
        </w:tc>
        <w:tc>
          <w:tcPr>
            <w:tcW w:w="1134" w:type="dxa"/>
            <w:tcBorders>
              <w:top w:val="single" w:sz="6" w:space="0" w:color="auto"/>
              <w:left w:val="nil"/>
              <w:bottom w:val="nil"/>
              <w:right w:val="nil"/>
            </w:tcBorders>
            <w:vAlign w:val="center"/>
            <w:hideMark/>
          </w:tcPr>
          <w:p w14:paraId="51D30EEE" w14:textId="77777777" w:rsidR="00DE49FE" w:rsidRPr="002652D3" w:rsidRDefault="00DE49FE" w:rsidP="00A46C84">
            <w:pPr>
              <w:spacing w:line="256" w:lineRule="auto"/>
              <w:jc w:val="right"/>
              <w:rPr>
                <w:rFonts w:ascii="Calibri" w:eastAsia="Calibri" w:hAnsi="Calibri" w:cs="Calibri"/>
                <w:b/>
                <w:bCs/>
                <w:sz w:val="20"/>
              </w:rPr>
            </w:pPr>
            <w:r w:rsidRPr="002652D3">
              <w:rPr>
                <w:rFonts w:ascii="Calibri" w:eastAsia="Calibri" w:hAnsi="Calibri" w:cs="Calibri"/>
                <w:b/>
                <w:bCs/>
                <w:sz w:val="20"/>
              </w:rPr>
              <w:t xml:space="preserve">4,709,159 </w:t>
            </w:r>
          </w:p>
        </w:tc>
        <w:tc>
          <w:tcPr>
            <w:tcW w:w="1418" w:type="dxa"/>
            <w:gridSpan w:val="3"/>
            <w:tcBorders>
              <w:top w:val="single" w:sz="6" w:space="0" w:color="auto"/>
              <w:left w:val="nil"/>
              <w:bottom w:val="nil"/>
              <w:right w:val="nil"/>
            </w:tcBorders>
            <w:vAlign w:val="center"/>
            <w:hideMark/>
          </w:tcPr>
          <w:p w14:paraId="28F0AAA3" w14:textId="77777777" w:rsidR="00DE49FE" w:rsidRPr="008F68CB" w:rsidRDefault="00DE49FE" w:rsidP="00A46C84">
            <w:pPr>
              <w:spacing w:line="256" w:lineRule="auto"/>
              <w:jc w:val="right"/>
              <w:rPr>
                <w:rFonts w:ascii="Calibri" w:eastAsia="Calibri" w:hAnsi="Calibri" w:cs="Calibri"/>
                <w:b/>
                <w:bCs/>
                <w:sz w:val="20"/>
              </w:rPr>
            </w:pPr>
            <w:r w:rsidRPr="003E4C6C">
              <w:rPr>
                <w:rFonts w:ascii="Calibri" w:hAnsi="Calibri" w:cs="Calibri"/>
                <w:b/>
                <w:sz w:val="20"/>
              </w:rPr>
              <w:t xml:space="preserve">36,897,242 </w:t>
            </w:r>
          </w:p>
        </w:tc>
        <w:tc>
          <w:tcPr>
            <w:tcW w:w="1417" w:type="dxa"/>
            <w:tcBorders>
              <w:top w:val="single" w:sz="6" w:space="0" w:color="auto"/>
              <w:left w:val="nil"/>
              <w:bottom w:val="nil"/>
              <w:right w:val="nil"/>
            </w:tcBorders>
            <w:vAlign w:val="center"/>
            <w:hideMark/>
          </w:tcPr>
          <w:p w14:paraId="33CEF174" w14:textId="77777777" w:rsidR="00DE49FE" w:rsidRPr="00D13100" w:rsidRDefault="00DE49FE" w:rsidP="00A46C84">
            <w:pPr>
              <w:spacing w:line="256" w:lineRule="auto"/>
              <w:jc w:val="right"/>
              <w:rPr>
                <w:rFonts w:ascii="Calibri" w:eastAsia="Calibri" w:hAnsi="Calibri" w:cs="Calibri"/>
                <w:b/>
                <w:bCs/>
                <w:sz w:val="20"/>
              </w:rPr>
            </w:pPr>
            <w:r w:rsidRPr="0036395C">
              <w:rPr>
                <w:rFonts w:ascii="Calibri" w:hAnsi="Calibri" w:cs="Calibri"/>
                <w:b/>
                <w:sz w:val="20"/>
              </w:rPr>
              <w:t xml:space="preserve">29,677,735 </w:t>
            </w:r>
          </w:p>
        </w:tc>
        <w:tc>
          <w:tcPr>
            <w:tcW w:w="1276" w:type="dxa"/>
            <w:tcBorders>
              <w:top w:val="single" w:sz="6" w:space="0" w:color="auto"/>
              <w:left w:val="nil"/>
              <w:bottom w:val="nil"/>
              <w:right w:val="nil"/>
            </w:tcBorders>
            <w:vAlign w:val="center"/>
            <w:hideMark/>
          </w:tcPr>
          <w:p w14:paraId="2511B87F" w14:textId="77777777" w:rsidR="00DE49FE" w:rsidRPr="00D13100" w:rsidRDefault="00DE49FE" w:rsidP="00A46C84">
            <w:pPr>
              <w:spacing w:line="256" w:lineRule="auto"/>
              <w:jc w:val="right"/>
              <w:rPr>
                <w:rFonts w:ascii="Calibri" w:eastAsia="Calibri" w:hAnsi="Calibri" w:cs="Calibri"/>
                <w:b/>
                <w:bCs/>
                <w:sz w:val="20"/>
              </w:rPr>
            </w:pPr>
            <w:r w:rsidRPr="0036395C">
              <w:rPr>
                <w:rFonts w:ascii="Calibri" w:hAnsi="Calibri" w:cs="Calibri"/>
                <w:b/>
                <w:sz w:val="20"/>
              </w:rPr>
              <w:t xml:space="preserve">39,378,553 </w:t>
            </w:r>
          </w:p>
        </w:tc>
        <w:tc>
          <w:tcPr>
            <w:tcW w:w="1276" w:type="dxa"/>
            <w:tcBorders>
              <w:top w:val="single" w:sz="6" w:space="0" w:color="auto"/>
              <w:left w:val="nil"/>
              <w:bottom w:val="nil"/>
              <w:right w:val="nil"/>
            </w:tcBorders>
            <w:vAlign w:val="center"/>
            <w:hideMark/>
          </w:tcPr>
          <w:p w14:paraId="33DFB34F" w14:textId="3A3998AC" w:rsidR="00DE49FE" w:rsidRPr="00D13100" w:rsidRDefault="00AD1C96" w:rsidP="219D5185">
            <w:pPr>
              <w:spacing w:line="256" w:lineRule="auto"/>
              <w:jc w:val="right"/>
              <w:rPr>
                <w:rFonts w:ascii="Calibri" w:eastAsia="Calibri" w:hAnsi="Calibri" w:cs="Calibri"/>
                <w:b/>
                <w:bCs/>
                <w:sz w:val="20"/>
              </w:rPr>
            </w:pPr>
            <w:r w:rsidRPr="219D5185">
              <w:rPr>
                <w:rFonts w:ascii="Calibri" w:hAnsi="Calibri" w:cs="Calibri"/>
                <w:b/>
                <w:bCs/>
                <w:sz w:val="20"/>
              </w:rPr>
              <w:t>37,107</w:t>
            </w:r>
            <w:r w:rsidR="00F2158B" w:rsidRPr="219D5185">
              <w:rPr>
                <w:rFonts w:ascii="Calibri" w:hAnsi="Calibri" w:cs="Calibri"/>
                <w:b/>
                <w:bCs/>
                <w:sz w:val="20"/>
              </w:rPr>
              <w:t>,069</w:t>
            </w:r>
            <w:r w:rsidR="00DE49FE" w:rsidRPr="219D5185">
              <w:rPr>
                <w:rFonts w:ascii="Calibri" w:hAnsi="Calibri" w:cs="Calibri"/>
                <w:b/>
                <w:bCs/>
                <w:sz w:val="20"/>
              </w:rPr>
              <w:t xml:space="preserve"> </w:t>
            </w:r>
          </w:p>
        </w:tc>
        <w:tc>
          <w:tcPr>
            <w:tcW w:w="1417" w:type="dxa"/>
            <w:tcBorders>
              <w:top w:val="single" w:sz="6" w:space="0" w:color="auto"/>
              <w:left w:val="nil"/>
              <w:bottom w:val="nil"/>
              <w:right w:val="nil"/>
            </w:tcBorders>
          </w:tcPr>
          <w:p w14:paraId="43A1BC38" w14:textId="7F7725A9" w:rsidR="007B3A31" w:rsidRPr="0036395C" w:rsidRDefault="32124834" w:rsidP="7F6F52C8">
            <w:pPr>
              <w:spacing w:line="256" w:lineRule="auto"/>
              <w:jc w:val="right"/>
              <w:rPr>
                <w:rFonts w:ascii="Calibri" w:hAnsi="Calibri" w:cs="Calibri"/>
                <w:b/>
                <w:bCs/>
                <w:sz w:val="20"/>
              </w:rPr>
            </w:pPr>
            <w:r w:rsidRPr="7F6F52C8">
              <w:rPr>
                <w:rFonts w:ascii="Calibri" w:hAnsi="Calibri" w:cs="Calibri"/>
                <w:b/>
                <w:bCs/>
                <w:sz w:val="20"/>
              </w:rPr>
              <w:t>41,</w:t>
            </w:r>
            <w:r w:rsidR="4725A0AB" w:rsidRPr="7F6F52C8">
              <w:rPr>
                <w:rFonts w:ascii="Calibri" w:hAnsi="Calibri" w:cs="Calibri"/>
                <w:b/>
                <w:bCs/>
                <w:sz w:val="20"/>
              </w:rPr>
              <w:t>198,594</w:t>
            </w:r>
          </w:p>
        </w:tc>
        <w:tc>
          <w:tcPr>
            <w:tcW w:w="1276" w:type="dxa"/>
            <w:tcBorders>
              <w:top w:val="single" w:sz="6" w:space="0" w:color="auto"/>
              <w:left w:val="nil"/>
              <w:bottom w:val="nil"/>
              <w:right w:val="nil"/>
            </w:tcBorders>
            <w:vAlign w:val="center"/>
            <w:hideMark/>
          </w:tcPr>
          <w:p w14:paraId="27EEA901" w14:textId="6E05EF2A" w:rsidR="00DE49FE" w:rsidRPr="00D13100" w:rsidRDefault="3483FAFD" w:rsidP="7F6F52C8">
            <w:pPr>
              <w:spacing w:line="256" w:lineRule="auto"/>
              <w:jc w:val="right"/>
              <w:rPr>
                <w:rFonts w:ascii="Calibri" w:eastAsia="Calibri" w:hAnsi="Calibri" w:cs="Calibri"/>
                <w:b/>
                <w:bCs/>
                <w:sz w:val="20"/>
              </w:rPr>
            </w:pPr>
            <w:r w:rsidRPr="7F6F52C8">
              <w:rPr>
                <w:rFonts w:ascii="Calibri" w:hAnsi="Calibri" w:cs="Calibri"/>
                <w:b/>
                <w:bCs/>
                <w:sz w:val="20"/>
              </w:rPr>
              <w:t>18</w:t>
            </w:r>
            <w:r w:rsidR="4D230268" w:rsidRPr="7F6F52C8">
              <w:rPr>
                <w:rFonts w:ascii="Calibri" w:hAnsi="Calibri" w:cs="Calibri"/>
                <w:b/>
                <w:bCs/>
                <w:sz w:val="20"/>
              </w:rPr>
              <w:t>8,968,352</w:t>
            </w:r>
            <w:r w:rsidR="269157B6" w:rsidRPr="7F6F52C8">
              <w:rPr>
                <w:rFonts w:ascii="Calibri" w:hAnsi="Calibri" w:cs="Calibri"/>
                <w:b/>
                <w:bCs/>
                <w:sz w:val="20"/>
              </w:rPr>
              <w:t xml:space="preserve"> </w:t>
            </w:r>
          </w:p>
        </w:tc>
      </w:tr>
      <w:tr w:rsidR="00AB5030" w14:paraId="135174A5" w14:textId="77777777" w:rsidTr="7B0FF488">
        <w:trPr>
          <w:gridBefore w:val="1"/>
          <w:gridAfter w:val="1"/>
          <w:wBefore w:w="108" w:type="dxa"/>
          <w:wAfter w:w="459" w:type="dxa"/>
          <w:trHeight w:val="345"/>
        </w:trPr>
        <w:tc>
          <w:tcPr>
            <w:tcW w:w="5670" w:type="dxa"/>
            <w:vAlign w:val="center"/>
            <w:hideMark/>
          </w:tcPr>
          <w:p w14:paraId="7E5D4B6F" w14:textId="77777777" w:rsidR="00DE49FE" w:rsidRDefault="00DE49FE" w:rsidP="00A46C84">
            <w:pPr>
              <w:spacing w:line="256" w:lineRule="auto"/>
              <w:rPr>
                <w:rFonts w:ascii="Calibri" w:eastAsia="Calibri" w:hAnsi="Calibri" w:cs="Calibri"/>
                <w:color w:val="000000" w:themeColor="text1"/>
                <w:sz w:val="20"/>
              </w:rPr>
            </w:pPr>
            <w:r w:rsidRPr="007A01A9">
              <w:rPr>
                <w:rFonts w:ascii="Calibri" w:eastAsia="Calibri" w:hAnsi="Calibri" w:cs="Calibri"/>
                <w:color w:val="000000" w:themeColor="text1"/>
                <w:sz w:val="20"/>
              </w:rPr>
              <w:t>Perinatal mental health screening</w:t>
            </w:r>
            <w:r w:rsidRPr="007A01A9">
              <w:rPr>
                <w:rFonts w:ascii="Calibri" w:eastAsia="Calibri" w:hAnsi="Calibri" w:cs="Calibri"/>
                <w:color w:val="000000" w:themeColor="text1"/>
                <w:sz w:val="20"/>
                <w:lang w:val="en-AU"/>
              </w:rPr>
              <w:t> </w:t>
            </w:r>
            <w:r>
              <w:rPr>
                <w:rFonts w:ascii="Calibri" w:eastAsia="Calibri" w:hAnsi="Calibri" w:cs="Calibri"/>
                <w:color w:val="000000" w:themeColor="text1"/>
                <w:sz w:val="20"/>
                <w:lang w:val="en-AU"/>
              </w:rPr>
              <w:t xml:space="preserve">- </w:t>
            </w:r>
            <w:r>
              <w:rPr>
                <w:sz w:val="20"/>
                <w:lang w:eastAsia="en-AU"/>
              </w:rPr>
              <w:t>National perinatal mental health check initiative</w:t>
            </w:r>
          </w:p>
        </w:tc>
        <w:tc>
          <w:tcPr>
            <w:tcW w:w="1134" w:type="dxa"/>
            <w:vAlign w:val="center"/>
            <w:hideMark/>
          </w:tcPr>
          <w:p w14:paraId="5C23D9F5" w14:textId="77777777" w:rsidR="00DE49FE" w:rsidRPr="007A01A9" w:rsidRDefault="00DE49FE" w:rsidP="00A46C84">
            <w:pPr>
              <w:spacing w:line="256" w:lineRule="auto"/>
              <w:jc w:val="right"/>
              <w:rPr>
                <w:rFonts w:ascii="Calibri" w:eastAsia="Calibri" w:hAnsi="Calibri" w:cs="Calibri"/>
                <w:sz w:val="20"/>
              </w:rPr>
            </w:pPr>
            <w:r w:rsidRPr="007A01A9">
              <w:rPr>
                <w:rFonts w:ascii="Calibri" w:eastAsia="Calibri" w:hAnsi="Calibri" w:cs="Calibri"/>
                <w:sz w:val="20"/>
              </w:rPr>
              <w:t>875,000</w:t>
            </w:r>
          </w:p>
        </w:tc>
        <w:tc>
          <w:tcPr>
            <w:tcW w:w="1418" w:type="dxa"/>
            <w:gridSpan w:val="3"/>
            <w:vAlign w:val="center"/>
            <w:hideMark/>
          </w:tcPr>
          <w:p w14:paraId="666D76ED" w14:textId="77777777" w:rsidR="00DE49FE" w:rsidRPr="007A01A9" w:rsidRDefault="00DE49FE" w:rsidP="00A46C84">
            <w:pPr>
              <w:spacing w:line="256" w:lineRule="auto"/>
              <w:jc w:val="right"/>
              <w:rPr>
                <w:rFonts w:ascii="Calibri" w:eastAsia="Calibri" w:hAnsi="Calibri" w:cs="Calibri"/>
                <w:sz w:val="20"/>
              </w:rPr>
            </w:pPr>
            <w:r w:rsidRPr="007A01A9">
              <w:rPr>
                <w:rFonts w:ascii="Calibri" w:eastAsia="Calibri" w:hAnsi="Calibri" w:cs="Calibri"/>
                <w:sz w:val="20"/>
              </w:rPr>
              <w:t>875,000</w:t>
            </w:r>
          </w:p>
        </w:tc>
        <w:tc>
          <w:tcPr>
            <w:tcW w:w="1417" w:type="dxa"/>
            <w:vAlign w:val="center"/>
            <w:hideMark/>
          </w:tcPr>
          <w:p w14:paraId="107843A8" w14:textId="77777777" w:rsidR="00DE49FE" w:rsidRPr="007A01A9" w:rsidRDefault="00DE49FE" w:rsidP="00A46C84">
            <w:pPr>
              <w:spacing w:line="256" w:lineRule="auto"/>
              <w:jc w:val="right"/>
              <w:rPr>
                <w:rFonts w:ascii="Calibri" w:eastAsia="Calibri" w:hAnsi="Calibri" w:cs="Calibri"/>
                <w:sz w:val="20"/>
              </w:rPr>
            </w:pPr>
            <w:r w:rsidRPr="007A01A9">
              <w:rPr>
                <w:rFonts w:ascii="Calibri" w:eastAsia="Calibri" w:hAnsi="Calibri" w:cs="Calibri"/>
                <w:sz w:val="20"/>
              </w:rPr>
              <w:t>-</w:t>
            </w:r>
          </w:p>
        </w:tc>
        <w:tc>
          <w:tcPr>
            <w:tcW w:w="1276" w:type="dxa"/>
            <w:vAlign w:val="center"/>
            <w:hideMark/>
          </w:tcPr>
          <w:p w14:paraId="70C84A89" w14:textId="77777777" w:rsidR="00DE49FE" w:rsidRPr="007A01A9" w:rsidRDefault="00DE49FE" w:rsidP="00A46C84">
            <w:pPr>
              <w:spacing w:line="256" w:lineRule="auto"/>
              <w:jc w:val="right"/>
              <w:rPr>
                <w:rFonts w:ascii="Calibri" w:eastAsia="Calibri" w:hAnsi="Calibri" w:cs="Calibri"/>
                <w:sz w:val="20"/>
              </w:rPr>
            </w:pPr>
            <w:r w:rsidRPr="007A01A9">
              <w:rPr>
                <w:rFonts w:ascii="Calibri" w:eastAsia="Calibri" w:hAnsi="Calibri" w:cs="Calibri"/>
                <w:sz w:val="20"/>
              </w:rPr>
              <w:t>-</w:t>
            </w:r>
          </w:p>
        </w:tc>
        <w:tc>
          <w:tcPr>
            <w:tcW w:w="1276" w:type="dxa"/>
            <w:vAlign w:val="center"/>
            <w:hideMark/>
          </w:tcPr>
          <w:p w14:paraId="4EE0670D" w14:textId="77777777" w:rsidR="00DE49FE" w:rsidRPr="007A01A9" w:rsidRDefault="00DE49FE" w:rsidP="00A46C84">
            <w:pPr>
              <w:spacing w:line="256" w:lineRule="auto"/>
              <w:jc w:val="right"/>
              <w:rPr>
                <w:rFonts w:ascii="Calibri" w:eastAsia="Calibri" w:hAnsi="Calibri" w:cs="Calibri"/>
                <w:sz w:val="20"/>
              </w:rPr>
            </w:pPr>
            <w:r w:rsidRPr="007A01A9">
              <w:rPr>
                <w:rFonts w:ascii="Calibri" w:eastAsia="Calibri" w:hAnsi="Calibri" w:cs="Calibri"/>
                <w:sz w:val="20"/>
              </w:rPr>
              <w:t>-</w:t>
            </w:r>
          </w:p>
        </w:tc>
        <w:tc>
          <w:tcPr>
            <w:tcW w:w="1417" w:type="dxa"/>
          </w:tcPr>
          <w:p w14:paraId="5A551466" w14:textId="77777777" w:rsidR="00DE49FE" w:rsidRPr="00EC0D47" w:rsidRDefault="00DE49FE" w:rsidP="00A46C84">
            <w:pPr>
              <w:spacing w:line="256" w:lineRule="auto"/>
              <w:jc w:val="right"/>
              <w:rPr>
                <w:rFonts w:ascii="Calibri" w:eastAsia="Calibri" w:hAnsi="Calibri" w:cs="Calibri"/>
                <w:sz w:val="2"/>
                <w:szCs w:val="2"/>
              </w:rPr>
            </w:pPr>
          </w:p>
          <w:p w14:paraId="098C5B39" w14:textId="6ECEE38F" w:rsidR="004D5FC9" w:rsidRPr="007A01A9" w:rsidRDefault="004D5FC9" w:rsidP="219D5185">
            <w:pPr>
              <w:spacing w:line="256" w:lineRule="auto"/>
              <w:jc w:val="right"/>
              <w:rPr>
                <w:rFonts w:ascii="Calibri" w:eastAsia="Calibri" w:hAnsi="Calibri" w:cs="Calibri"/>
                <w:sz w:val="20"/>
              </w:rPr>
            </w:pPr>
            <w:r w:rsidRPr="219D5185">
              <w:rPr>
                <w:rFonts w:ascii="Calibri" w:eastAsia="Calibri" w:hAnsi="Calibri" w:cs="Calibri"/>
                <w:sz w:val="20"/>
              </w:rPr>
              <w:t>-</w:t>
            </w:r>
          </w:p>
        </w:tc>
        <w:tc>
          <w:tcPr>
            <w:tcW w:w="1276" w:type="dxa"/>
            <w:vAlign w:val="center"/>
            <w:hideMark/>
          </w:tcPr>
          <w:p w14:paraId="11DE2C2D" w14:textId="314D9CFD" w:rsidR="00DE49FE" w:rsidRPr="007A01A9" w:rsidRDefault="00DE49FE" w:rsidP="00A46C84">
            <w:pPr>
              <w:spacing w:line="256" w:lineRule="auto"/>
              <w:jc w:val="right"/>
              <w:rPr>
                <w:rFonts w:ascii="Calibri" w:eastAsia="Calibri" w:hAnsi="Calibri" w:cs="Calibri"/>
                <w:sz w:val="20"/>
              </w:rPr>
            </w:pPr>
            <w:r w:rsidRPr="007A01A9">
              <w:rPr>
                <w:rFonts w:ascii="Calibri" w:eastAsia="Calibri" w:hAnsi="Calibri" w:cs="Calibri"/>
                <w:sz w:val="20"/>
              </w:rPr>
              <w:t>1,750,000</w:t>
            </w:r>
          </w:p>
        </w:tc>
      </w:tr>
      <w:tr w:rsidR="008A599A" w14:paraId="614D3297" w14:textId="77777777" w:rsidTr="7B0FF488">
        <w:trPr>
          <w:trHeight w:val="70"/>
        </w:trPr>
        <w:tc>
          <w:tcPr>
            <w:tcW w:w="7479" w:type="dxa"/>
            <w:gridSpan w:val="4"/>
            <w:vAlign w:val="center"/>
          </w:tcPr>
          <w:p w14:paraId="2CCB4758" w14:textId="211B547F" w:rsidR="008A599A" w:rsidRPr="007A01A9" w:rsidRDefault="008A599A" w:rsidP="219D5185">
            <w:pPr>
              <w:spacing w:line="256" w:lineRule="auto"/>
              <w:rPr>
                <w:rFonts w:ascii="Calibri" w:eastAsia="Calibri" w:hAnsi="Calibri" w:cs="Calibri"/>
                <w:sz w:val="20"/>
              </w:rPr>
            </w:pPr>
            <w:r w:rsidRPr="219D5185">
              <w:rPr>
                <w:rFonts w:ascii="Calibri" w:eastAsia="Calibri" w:hAnsi="Calibri" w:cs="Calibri"/>
                <w:sz w:val="20"/>
              </w:rPr>
              <w:t>Aftercare services for people discharged from hospital after a suicide attempt</w:t>
            </w:r>
            <w:r w:rsidRPr="219D5185">
              <w:rPr>
                <w:rFonts w:ascii="Calibri" w:eastAsia="Calibri" w:hAnsi="Calibri" w:cs="Calibri"/>
                <w:sz w:val="20"/>
                <w:lang w:val="en-AU"/>
              </w:rPr>
              <w:t> </w:t>
            </w:r>
          </w:p>
        </w:tc>
        <w:tc>
          <w:tcPr>
            <w:tcW w:w="7972" w:type="dxa"/>
            <w:gridSpan w:val="8"/>
            <w:vAlign w:val="center"/>
          </w:tcPr>
          <w:p w14:paraId="36F49D8E" w14:textId="1E7CFF6C" w:rsidR="008A599A" w:rsidRPr="007A01A9" w:rsidRDefault="008A599A" w:rsidP="219D5185">
            <w:pPr>
              <w:spacing w:line="256" w:lineRule="auto"/>
              <w:rPr>
                <w:rFonts w:ascii="Calibri" w:eastAsia="Calibri" w:hAnsi="Calibri" w:cs="Calibri"/>
                <w:sz w:val="20"/>
                <w:lang w:val="en-AU"/>
              </w:rPr>
            </w:pPr>
          </w:p>
        </w:tc>
      </w:tr>
      <w:tr w:rsidR="00AB5030" w14:paraId="33AEE855" w14:textId="77777777" w:rsidTr="7B0FF488">
        <w:trPr>
          <w:gridBefore w:val="1"/>
          <w:gridAfter w:val="1"/>
          <w:wBefore w:w="108" w:type="dxa"/>
          <w:wAfter w:w="459" w:type="dxa"/>
          <w:trHeight w:val="345"/>
        </w:trPr>
        <w:tc>
          <w:tcPr>
            <w:tcW w:w="5670" w:type="dxa"/>
            <w:vAlign w:val="center"/>
            <w:hideMark/>
          </w:tcPr>
          <w:p w14:paraId="699ABB2C" w14:textId="77777777" w:rsidR="008A599A" w:rsidRPr="00991588" w:rsidRDefault="008A599A" w:rsidP="008A599A">
            <w:pPr>
              <w:spacing w:line="256" w:lineRule="auto"/>
              <w:ind w:left="315"/>
              <w:rPr>
                <w:rFonts w:ascii="Calibri" w:eastAsia="Calibri" w:hAnsi="Calibri" w:cs="Calibri"/>
                <w:sz w:val="20"/>
              </w:rPr>
            </w:pPr>
            <w:r w:rsidRPr="00991588">
              <w:rPr>
                <w:rFonts w:ascii="Calibri" w:eastAsia="Calibri" w:hAnsi="Calibri" w:cs="Calibri"/>
                <w:sz w:val="20"/>
              </w:rPr>
              <w:t>Aftercare services </w:t>
            </w:r>
            <w:r w:rsidRPr="00991588">
              <w:rPr>
                <w:rFonts w:ascii="Calibri" w:eastAsia="Calibri" w:hAnsi="Calibri" w:cs="Calibri"/>
                <w:sz w:val="20"/>
                <w:lang w:val="en-AU"/>
              </w:rPr>
              <w:t> </w:t>
            </w:r>
          </w:p>
        </w:tc>
        <w:tc>
          <w:tcPr>
            <w:tcW w:w="1134" w:type="dxa"/>
            <w:vAlign w:val="center"/>
            <w:hideMark/>
          </w:tcPr>
          <w:p w14:paraId="700B6B89" w14:textId="77777777" w:rsidR="008A599A" w:rsidRPr="007A01A9" w:rsidRDefault="008A599A" w:rsidP="008A599A">
            <w:pPr>
              <w:spacing w:line="256" w:lineRule="auto"/>
              <w:jc w:val="right"/>
              <w:rPr>
                <w:rFonts w:ascii="Calibri" w:eastAsia="Calibri" w:hAnsi="Calibri" w:cs="Calibri"/>
                <w:sz w:val="20"/>
              </w:rPr>
            </w:pPr>
            <w:r w:rsidRPr="007A01A9">
              <w:rPr>
                <w:rFonts w:ascii="Calibri" w:eastAsia="Calibri" w:hAnsi="Calibri" w:cs="Calibri"/>
                <w:sz w:val="20"/>
              </w:rPr>
              <w:t> -</w:t>
            </w:r>
          </w:p>
        </w:tc>
        <w:tc>
          <w:tcPr>
            <w:tcW w:w="1418" w:type="dxa"/>
            <w:gridSpan w:val="3"/>
            <w:vAlign w:val="center"/>
            <w:hideMark/>
          </w:tcPr>
          <w:p w14:paraId="01295DD6" w14:textId="77777777" w:rsidR="008A599A" w:rsidRPr="007A01A9" w:rsidRDefault="008A599A" w:rsidP="008A599A">
            <w:pPr>
              <w:spacing w:line="256" w:lineRule="auto"/>
              <w:jc w:val="right"/>
              <w:rPr>
                <w:rFonts w:ascii="Calibri" w:eastAsia="Calibri" w:hAnsi="Calibri" w:cs="Calibri"/>
                <w:sz w:val="20"/>
              </w:rPr>
            </w:pPr>
            <w:r w:rsidRPr="007A01A9">
              <w:rPr>
                <w:rFonts w:ascii="Calibri" w:eastAsia="Calibri" w:hAnsi="Calibri" w:cs="Calibri"/>
                <w:sz w:val="20"/>
              </w:rPr>
              <w:t>12,020,933</w:t>
            </w:r>
          </w:p>
        </w:tc>
        <w:tc>
          <w:tcPr>
            <w:tcW w:w="1417" w:type="dxa"/>
            <w:vAlign w:val="center"/>
            <w:hideMark/>
          </w:tcPr>
          <w:p w14:paraId="2B017FFC" w14:textId="77777777" w:rsidR="008A599A" w:rsidRPr="007A01A9" w:rsidRDefault="008A599A" w:rsidP="008A599A">
            <w:pPr>
              <w:spacing w:line="256" w:lineRule="auto"/>
              <w:jc w:val="right"/>
              <w:rPr>
                <w:rFonts w:ascii="Calibri" w:eastAsia="Calibri" w:hAnsi="Calibri" w:cs="Calibri"/>
                <w:sz w:val="20"/>
              </w:rPr>
            </w:pPr>
            <w:r w:rsidRPr="007A01A9">
              <w:rPr>
                <w:rFonts w:ascii="Calibri" w:eastAsia="Calibri" w:hAnsi="Calibri" w:cs="Calibri"/>
                <w:sz w:val="20"/>
              </w:rPr>
              <w:t>9,097,137</w:t>
            </w:r>
          </w:p>
        </w:tc>
        <w:tc>
          <w:tcPr>
            <w:tcW w:w="1276" w:type="dxa"/>
            <w:vAlign w:val="center"/>
            <w:hideMark/>
          </w:tcPr>
          <w:p w14:paraId="7397A496" w14:textId="77777777" w:rsidR="008A599A" w:rsidRPr="007A01A9" w:rsidRDefault="008A599A" w:rsidP="008A599A">
            <w:pPr>
              <w:spacing w:line="256" w:lineRule="auto"/>
              <w:jc w:val="right"/>
              <w:rPr>
                <w:rFonts w:ascii="Calibri" w:eastAsia="Calibri" w:hAnsi="Calibri" w:cs="Calibri"/>
                <w:sz w:val="20"/>
              </w:rPr>
            </w:pPr>
            <w:r w:rsidRPr="007A01A9">
              <w:rPr>
                <w:rFonts w:ascii="Calibri" w:eastAsia="Calibri" w:hAnsi="Calibri" w:cs="Calibri"/>
                <w:sz w:val="20"/>
              </w:rPr>
              <w:t>9,224,464</w:t>
            </w:r>
          </w:p>
        </w:tc>
        <w:tc>
          <w:tcPr>
            <w:tcW w:w="1276" w:type="dxa"/>
            <w:vAlign w:val="center"/>
            <w:hideMark/>
          </w:tcPr>
          <w:p w14:paraId="1B92031F" w14:textId="77777777" w:rsidR="008A599A" w:rsidRPr="007A01A9" w:rsidRDefault="008A599A" w:rsidP="008A599A">
            <w:pPr>
              <w:spacing w:line="256" w:lineRule="auto"/>
              <w:jc w:val="right"/>
              <w:rPr>
                <w:rFonts w:ascii="Calibri" w:eastAsia="Calibri" w:hAnsi="Calibri" w:cs="Calibri"/>
                <w:sz w:val="20"/>
              </w:rPr>
            </w:pPr>
            <w:r w:rsidRPr="007A01A9">
              <w:rPr>
                <w:rFonts w:ascii="Calibri" w:eastAsia="Calibri" w:hAnsi="Calibri" w:cs="Calibri"/>
                <w:sz w:val="20"/>
              </w:rPr>
              <w:t>9,353,606</w:t>
            </w:r>
          </w:p>
        </w:tc>
        <w:tc>
          <w:tcPr>
            <w:tcW w:w="1417" w:type="dxa"/>
          </w:tcPr>
          <w:p w14:paraId="73F91791" w14:textId="417BBA3F" w:rsidR="008A599A" w:rsidRPr="007A01A9" w:rsidRDefault="008A599A" w:rsidP="219D5185">
            <w:pPr>
              <w:spacing w:line="256" w:lineRule="auto"/>
              <w:jc w:val="right"/>
              <w:rPr>
                <w:rFonts w:ascii="Calibri" w:eastAsia="Calibri" w:hAnsi="Calibri" w:cs="Calibri"/>
                <w:sz w:val="20"/>
              </w:rPr>
            </w:pPr>
            <w:r w:rsidRPr="219D5185">
              <w:rPr>
                <w:rFonts w:ascii="Calibri" w:eastAsia="Calibri" w:hAnsi="Calibri" w:cs="Calibri"/>
                <w:sz w:val="20"/>
              </w:rPr>
              <w:t>9,578,093</w:t>
            </w:r>
          </w:p>
        </w:tc>
        <w:tc>
          <w:tcPr>
            <w:tcW w:w="1276" w:type="dxa"/>
            <w:vAlign w:val="center"/>
            <w:hideMark/>
          </w:tcPr>
          <w:p w14:paraId="4B8E786E" w14:textId="3B0853B4" w:rsidR="008A599A" w:rsidRPr="007A01A9" w:rsidRDefault="008A599A" w:rsidP="219D5185">
            <w:pPr>
              <w:spacing w:line="256" w:lineRule="auto"/>
              <w:jc w:val="right"/>
              <w:rPr>
                <w:rFonts w:ascii="Calibri" w:eastAsia="Calibri" w:hAnsi="Calibri" w:cs="Calibri"/>
                <w:sz w:val="20"/>
              </w:rPr>
            </w:pPr>
            <w:r w:rsidRPr="219D5185">
              <w:rPr>
                <w:rFonts w:ascii="Calibri" w:eastAsia="Calibri" w:hAnsi="Calibri" w:cs="Calibri"/>
                <w:sz w:val="20"/>
              </w:rPr>
              <w:t>49,274,233</w:t>
            </w:r>
          </w:p>
        </w:tc>
      </w:tr>
      <w:tr w:rsidR="00AB5030" w14:paraId="147AC31D" w14:textId="77777777" w:rsidTr="7B0FF488">
        <w:trPr>
          <w:gridBefore w:val="1"/>
          <w:gridAfter w:val="1"/>
          <w:wBefore w:w="108" w:type="dxa"/>
          <w:wAfter w:w="459" w:type="dxa"/>
          <w:trHeight w:val="345"/>
        </w:trPr>
        <w:tc>
          <w:tcPr>
            <w:tcW w:w="5670" w:type="dxa"/>
            <w:vAlign w:val="center"/>
            <w:hideMark/>
          </w:tcPr>
          <w:p w14:paraId="5813CC96" w14:textId="77777777" w:rsidR="008A599A" w:rsidRPr="00991588" w:rsidRDefault="008A599A" w:rsidP="008A599A">
            <w:pPr>
              <w:spacing w:line="256" w:lineRule="auto"/>
              <w:ind w:left="315"/>
              <w:rPr>
                <w:rFonts w:ascii="Calibri" w:eastAsia="Calibri" w:hAnsi="Calibri" w:cs="Calibri"/>
                <w:sz w:val="20"/>
              </w:rPr>
            </w:pPr>
            <w:r w:rsidRPr="00991588">
              <w:rPr>
                <w:rFonts w:ascii="Calibri" w:eastAsia="Calibri" w:hAnsi="Calibri" w:cs="Calibri"/>
                <w:sz w:val="20"/>
              </w:rPr>
              <w:t>Outside hospital trial </w:t>
            </w:r>
            <w:r w:rsidRPr="00991588">
              <w:rPr>
                <w:rFonts w:ascii="Calibri" w:eastAsia="Calibri" w:hAnsi="Calibri" w:cs="Calibri"/>
                <w:sz w:val="20"/>
                <w:lang w:val="en-AU"/>
              </w:rPr>
              <w:t> </w:t>
            </w:r>
          </w:p>
        </w:tc>
        <w:tc>
          <w:tcPr>
            <w:tcW w:w="1134" w:type="dxa"/>
            <w:vAlign w:val="center"/>
            <w:hideMark/>
          </w:tcPr>
          <w:p w14:paraId="0A9C69D1" w14:textId="77777777" w:rsidR="008A599A" w:rsidRPr="007A01A9" w:rsidRDefault="008A599A" w:rsidP="008A599A">
            <w:pPr>
              <w:spacing w:line="256" w:lineRule="auto"/>
              <w:jc w:val="right"/>
              <w:rPr>
                <w:rFonts w:ascii="Calibri" w:eastAsia="Calibri" w:hAnsi="Calibri" w:cs="Calibri"/>
                <w:sz w:val="20"/>
              </w:rPr>
            </w:pPr>
            <w:r w:rsidRPr="007A01A9">
              <w:rPr>
                <w:rFonts w:ascii="Calibri" w:eastAsia="Calibri" w:hAnsi="Calibri" w:cs="Calibri"/>
                <w:sz w:val="20"/>
              </w:rPr>
              <w:t> -</w:t>
            </w:r>
          </w:p>
        </w:tc>
        <w:tc>
          <w:tcPr>
            <w:tcW w:w="1418" w:type="dxa"/>
            <w:gridSpan w:val="3"/>
            <w:vAlign w:val="center"/>
            <w:hideMark/>
          </w:tcPr>
          <w:p w14:paraId="2D9429CE" w14:textId="77777777" w:rsidR="008A599A" w:rsidRPr="007A01A9" w:rsidRDefault="008A599A" w:rsidP="008A599A">
            <w:pPr>
              <w:spacing w:line="256" w:lineRule="auto"/>
              <w:jc w:val="right"/>
              <w:rPr>
                <w:rFonts w:ascii="Calibri" w:eastAsia="Calibri" w:hAnsi="Calibri" w:cs="Calibri"/>
                <w:sz w:val="20"/>
              </w:rPr>
            </w:pPr>
            <w:r w:rsidRPr="007A01A9">
              <w:rPr>
                <w:rFonts w:ascii="Calibri" w:eastAsia="Calibri" w:hAnsi="Calibri" w:cs="Calibri"/>
                <w:sz w:val="20"/>
              </w:rPr>
              <w:t>965,048</w:t>
            </w:r>
          </w:p>
        </w:tc>
        <w:tc>
          <w:tcPr>
            <w:tcW w:w="1417" w:type="dxa"/>
            <w:vAlign w:val="center"/>
            <w:hideMark/>
          </w:tcPr>
          <w:p w14:paraId="28148420" w14:textId="77777777" w:rsidR="008A599A" w:rsidRPr="007A01A9" w:rsidRDefault="008A599A" w:rsidP="008A599A">
            <w:pPr>
              <w:spacing w:line="256" w:lineRule="auto"/>
              <w:jc w:val="right"/>
              <w:rPr>
                <w:rFonts w:ascii="Calibri" w:eastAsia="Calibri" w:hAnsi="Calibri" w:cs="Calibri"/>
                <w:sz w:val="20"/>
              </w:rPr>
            </w:pPr>
            <w:r w:rsidRPr="007A01A9">
              <w:rPr>
                <w:rFonts w:ascii="Calibri" w:eastAsia="Calibri" w:hAnsi="Calibri" w:cs="Calibri"/>
                <w:sz w:val="20"/>
              </w:rPr>
              <w:t>620,744</w:t>
            </w:r>
          </w:p>
        </w:tc>
        <w:tc>
          <w:tcPr>
            <w:tcW w:w="1276" w:type="dxa"/>
            <w:vAlign w:val="center"/>
            <w:hideMark/>
          </w:tcPr>
          <w:p w14:paraId="361D939F" w14:textId="77777777" w:rsidR="008A599A" w:rsidRPr="007A01A9" w:rsidRDefault="008A599A" w:rsidP="008A599A">
            <w:pPr>
              <w:spacing w:line="256" w:lineRule="auto"/>
              <w:jc w:val="right"/>
              <w:rPr>
                <w:rFonts w:ascii="Calibri" w:eastAsia="Calibri" w:hAnsi="Calibri" w:cs="Calibri"/>
                <w:sz w:val="20"/>
              </w:rPr>
            </w:pPr>
            <w:r w:rsidRPr="007A01A9">
              <w:rPr>
                <w:rFonts w:ascii="Calibri" w:eastAsia="Calibri" w:hAnsi="Calibri" w:cs="Calibri"/>
                <w:sz w:val="20"/>
              </w:rPr>
              <w:t>629,369</w:t>
            </w:r>
          </w:p>
        </w:tc>
        <w:tc>
          <w:tcPr>
            <w:tcW w:w="1276" w:type="dxa"/>
            <w:vAlign w:val="center"/>
            <w:hideMark/>
          </w:tcPr>
          <w:p w14:paraId="27B505FE" w14:textId="77777777" w:rsidR="008A599A" w:rsidRPr="007A01A9" w:rsidRDefault="008A599A" w:rsidP="008A599A">
            <w:pPr>
              <w:spacing w:line="256" w:lineRule="auto"/>
              <w:jc w:val="right"/>
              <w:rPr>
                <w:rFonts w:ascii="Calibri" w:eastAsia="Calibri" w:hAnsi="Calibri" w:cs="Calibri"/>
                <w:sz w:val="20"/>
              </w:rPr>
            </w:pPr>
            <w:r w:rsidRPr="007A01A9">
              <w:rPr>
                <w:rFonts w:ascii="Calibri" w:eastAsia="Calibri" w:hAnsi="Calibri" w:cs="Calibri"/>
                <w:sz w:val="20"/>
              </w:rPr>
              <w:t>-</w:t>
            </w:r>
          </w:p>
        </w:tc>
        <w:tc>
          <w:tcPr>
            <w:tcW w:w="1417" w:type="dxa"/>
          </w:tcPr>
          <w:p w14:paraId="0249A401" w14:textId="136489A4" w:rsidR="008A599A" w:rsidRPr="007A01A9" w:rsidRDefault="008A599A" w:rsidP="219D5185">
            <w:pPr>
              <w:spacing w:line="256" w:lineRule="auto"/>
              <w:jc w:val="right"/>
              <w:rPr>
                <w:rFonts w:ascii="Calibri" w:eastAsia="Calibri" w:hAnsi="Calibri" w:cs="Calibri"/>
                <w:sz w:val="20"/>
              </w:rPr>
            </w:pPr>
            <w:r w:rsidRPr="219D5185">
              <w:rPr>
                <w:rFonts w:ascii="Calibri" w:eastAsia="Calibri" w:hAnsi="Calibri" w:cs="Calibri"/>
                <w:sz w:val="20"/>
              </w:rPr>
              <w:t>658,008</w:t>
            </w:r>
          </w:p>
        </w:tc>
        <w:tc>
          <w:tcPr>
            <w:tcW w:w="1276" w:type="dxa"/>
            <w:vAlign w:val="center"/>
            <w:hideMark/>
          </w:tcPr>
          <w:p w14:paraId="66B3A2D5" w14:textId="405D6AA1" w:rsidR="008A599A" w:rsidRPr="007A01A9" w:rsidRDefault="008A599A" w:rsidP="219D5185">
            <w:pPr>
              <w:spacing w:line="256" w:lineRule="auto"/>
              <w:jc w:val="right"/>
              <w:rPr>
                <w:rFonts w:ascii="Calibri" w:eastAsia="Calibri" w:hAnsi="Calibri" w:cs="Calibri"/>
                <w:sz w:val="20"/>
              </w:rPr>
            </w:pPr>
            <w:r w:rsidRPr="219D5185">
              <w:rPr>
                <w:rFonts w:ascii="Calibri" w:eastAsia="Calibri" w:hAnsi="Calibri" w:cs="Calibri"/>
                <w:sz w:val="20"/>
              </w:rPr>
              <w:t>2,873,169</w:t>
            </w:r>
          </w:p>
        </w:tc>
      </w:tr>
      <w:tr w:rsidR="00AB5030" w14:paraId="7DCA1FE0" w14:textId="77777777" w:rsidTr="7B0FF488">
        <w:trPr>
          <w:gridBefore w:val="1"/>
          <w:gridAfter w:val="1"/>
          <w:wBefore w:w="108" w:type="dxa"/>
          <w:wAfter w:w="459" w:type="dxa"/>
          <w:trHeight w:val="345"/>
        </w:trPr>
        <w:tc>
          <w:tcPr>
            <w:tcW w:w="5670" w:type="dxa"/>
            <w:vAlign w:val="center"/>
            <w:hideMark/>
          </w:tcPr>
          <w:p w14:paraId="449BDB12" w14:textId="77777777" w:rsidR="008A599A" w:rsidRDefault="008A599A" w:rsidP="008A599A">
            <w:pPr>
              <w:spacing w:line="256" w:lineRule="auto"/>
              <w:rPr>
                <w:rFonts w:ascii="Calibri" w:eastAsia="Calibri" w:hAnsi="Calibri" w:cs="Calibri"/>
                <w:color w:val="000000" w:themeColor="text1"/>
                <w:sz w:val="20"/>
              </w:rPr>
            </w:pPr>
            <w:r>
              <w:rPr>
                <w:rFonts w:ascii="Calibri" w:eastAsia="Calibri" w:hAnsi="Calibri" w:cs="Calibri"/>
                <w:color w:val="000000" w:themeColor="text1"/>
                <w:sz w:val="20"/>
              </w:rPr>
              <w:t>Distress Intervention Trial Program</w:t>
            </w:r>
            <w:r>
              <w:rPr>
                <w:rFonts w:ascii="Calibri" w:eastAsia="Calibri" w:hAnsi="Calibri" w:cs="Calibri"/>
                <w:color w:val="000000" w:themeColor="text1"/>
                <w:sz w:val="20"/>
                <w:lang w:val="en-AU"/>
              </w:rPr>
              <w:t> </w:t>
            </w:r>
          </w:p>
        </w:tc>
        <w:tc>
          <w:tcPr>
            <w:tcW w:w="1134" w:type="dxa"/>
            <w:vAlign w:val="center"/>
            <w:hideMark/>
          </w:tcPr>
          <w:p w14:paraId="2A300979" w14:textId="77777777" w:rsidR="008A599A" w:rsidRPr="007A01A9" w:rsidRDefault="008A599A" w:rsidP="008A599A">
            <w:pPr>
              <w:spacing w:line="256" w:lineRule="auto"/>
              <w:jc w:val="right"/>
              <w:rPr>
                <w:rFonts w:ascii="Calibri" w:eastAsia="Calibri" w:hAnsi="Calibri" w:cs="Calibri"/>
                <w:color w:val="000000" w:themeColor="text1"/>
                <w:sz w:val="20"/>
              </w:rPr>
            </w:pPr>
            <w:r w:rsidRPr="007A01A9">
              <w:rPr>
                <w:rFonts w:ascii="Calibri" w:eastAsia="Calibri" w:hAnsi="Calibri" w:cs="Calibri"/>
                <w:color w:val="000000" w:themeColor="text1"/>
                <w:sz w:val="20"/>
              </w:rPr>
              <w:t>-</w:t>
            </w:r>
          </w:p>
        </w:tc>
        <w:tc>
          <w:tcPr>
            <w:tcW w:w="1418" w:type="dxa"/>
            <w:gridSpan w:val="3"/>
            <w:vAlign w:val="center"/>
            <w:hideMark/>
          </w:tcPr>
          <w:p w14:paraId="0FE828D2" w14:textId="77777777" w:rsidR="008A599A" w:rsidRPr="007A01A9" w:rsidRDefault="008A599A" w:rsidP="008A599A">
            <w:pPr>
              <w:spacing w:line="256" w:lineRule="auto"/>
              <w:jc w:val="right"/>
              <w:rPr>
                <w:rFonts w:ascii="Calibri" w:eastAsia="Calibri" w:hAnsi="Calibri" w:cs="Calibri"/>
                <w:sz w:val="20"/>
              </w:rPr>
            </w:pPr>
            <w:r w:rsidRPr="007A01A9">
              <w:rPr>
                <w:rFonts w:ascii="Calibri" w:eastAsia="Calibri" w:hAnsi="Calibri" w:cs="Calibri"/>
                <w:sz w:val="20"/>
              </w:rPr>
              <w:t>1,207,250</w:t>
            </w:r>
          </w:p>
        </w:tc>
        <w:tc>
          <w:tcPr>
            <w:tcW w:w="1417" w:type="dxa"/>
            <w:vAlign w:val="center"/>
            <w:hideMark/>
          </w:tcPr>
          <w:p w14:paraId="5872CD2A" w14:textId="77777777" w:rsidR="008A599A" w:rsidRPr="007A01A9" w:rsidRDefault="008A599A" w:rsidP="008A599A">
            <w:pPr>
              <w:spacing w:line="256" w:lineRule="auto"/>
              <w:jc w:val="right"/>
              <w:rPr>
                <w:rFonts w:ascii="Calibri" w:eastAsia="Calibri" w:hAnsi="Calibri" w:cs="Calibri"/>
                <w:sz w:val="20"/>
              </w:rPr>
            </w:pPr>
            <w:r w:rsidRPr="007A01A9">
              <w:rPr>
                <w:rFonts w:ascii="Calibri" w:eastAsia="Calibri" w:hAnsi="Calibri" w:cs="Calibri"/>
                <w:sz w:val="20"/>
              </w:rPr>
              <w:t>615,750</w:t>
            </w:r>
          </w:p>
        </w:tc>
        <w:tc>
          <w:tcPr>
            <w:tcW w:w="1276" w:type="dxa"/>
            <w:vAlign w:val="center"/>
            <w:hideMark/>
          </w:tcPr>
          <w:p w14:paraId="4735AC09" w14:textId="77777777" w:rsidR="008A599A" w:rsidRPr="007A01A9" w:rsidRDefault="008A599A" w:rsidP="008A599A">
            <w:pPr>
              <w:spacing w:line="256" w:lineRule="auto"/>
              <w:jc w:val="right"/>
              <w:rPr>
                <w:rFonts w:ascii="Calibri" w:eastAsia="Calibri" w:hAnsi="Calibri" w:cs="Calibri"/>
                <w:sz w:val="20"/>
              </w:rPr>
            </w:pPr>
            <w:r w:rsidRPr="007A01A9">
              <w:rPr>
                <w:rFonts w:ascii="Calibri" w:eastAsia="Calibri" w:hAnsi="Calibri" w:cs="Calibri"/>
                <w:sz w:val="20"/>
              </w:rPr>
              <w:t>624,375</w:t>
            </w:r>
          </w:p>
        </w:tc>
        <w:tc>
          <w:tcPr>
            <w:tcW w:w="1276" w:type="dxa"/>
            <w:vAlign w:val="center"/>
            <w:hideMark/>
          </w:tcPr>
          <w:p w14:paraId="71159EB2" w14:textId="77777777" w:rsidR="008A599A" w:rsidRPr="007A01A9" w:rsidRDefault="008A599A" w:rsidP="008A599A">
            <w:pPr>
              <w:spacing w:line="256" w:lineRule="auto"/>
              <w:jc w:val="right"/>
              <w:rPr>
                <w:rFonts w:ascii="Calibri" w:eastAsia="Calibri" w:hAnsi="Calibri" w:cs="Calibri"/>
                <w:sz w:val="20"/>
              </w:rPr>
            </w:pPr>
            <w:r w:rsidRPr="007A01A9">
              <w:rPr>
                <w:rFonts w:ascii="Calibri" w:eastAsia="Calibri" w:hAnsi="Calibri" w:cs="Calibri"/>
                <w:sz w:val="20"/>
              </w:rPr>
              <w:t>-</w:t>
            </w:r>
          </w:p>
        </w:tc>
        <w:tc>
          <w:tcPr>
            <w:tcW w:w="1417" w:type="dxa"/>
          </w:tcPr>
          <w:p w14:paraId="74B54827" w14:textId="7DE74561" w:rsidR="008A599A" w:rsidRPr="007A01A9" w:rsidRDefault="008A599A" w:rsidP="219D5185">
            <w:pPr>
              <w:spacing w:line="256" w:lineRule="auto"/>
              <w:jc w:val="right"/>
              <w:rPr>
                <w:rFonts w:ascii="Calibri" w:eastAsia="Calibri" w:hAnsi="Calibri" w:cs="Calibri"/>
                <w:sz w:val="20"/>
              </w:rPr>
            </w:pPr>
            <w:r w:rsidRPr="219D5185">
              <w:rPr>
                <w:rFonts w:ascii="Calibri" w:eastAsia="Calibri" w:hAnsi="Calibri" w:cs="Calibri"/>
                <w:sz w:val="20"/>
              </w:rPr>
              <w:t>652,787</w:t>
            </w:r>
          </w:p>
        </w:tc>
        <w:tc>
          <w:tcPr>
            <w:tcW w:w="1276" w:type="dxa"/>
            <w:vAlign w:val="center"/>
            <w:hideMark/>
          </w:tcPr>
          <w:p w14:paraId="6576132A" w14:textId="7C2B2BCC" w:rsidR="008A599A" w:rsidRPr="007A01A9" w:rsidRDefault="008A599A" w:rsidP="219D5185">
            <w:pPr>
              <w:spacing w:line="256" w:lineRule="auto"/>
              <w:jc w:val="right"/>
              <w:rPr>
                <w:rFonts w:ascii="Calibri" w:eastAsia="Calibri" w:hAnsi="Calibri" w:cs="Calibri"/>
                <w:sz w:val="20"/>
              </w:rPr>
            </w:pPr>
            <w:r w:rsidRPr="219D5185">
              <w:rPr>
                <w:rFonts w:ascii="Calibri" w:eastAsia="Calibri" w:hAnsi="Calibri" w:cs="Calibri"/>
                <w:sz w:val="20"/>
              </w:rPr>
              <w:t>3,100,162</w:t>
            </w:r>
          </w:p>
        </w:tc>
      </w:tr>
      <w:tr w:rsidR="00AB5030" w14:paraId="591D9501" w14:textId="77777777" w:rsidTr="7B0FF488">
        <w:trPr>
          <w:gridBefore w:val="1"/>
          <w:gridAfter w:val="1"/>
          <w:wBefore w:w="108" w:type="dxa"/>
          <w:wAfter w:w="459" w:type="dxa"/>
          <w:trHeight w:val="345"/>
        </w:trPr>
        <w:tc>
          <w:tcPr>
            <w:tcW w:w="5670" w:type="dxa"/>
            <w:vAlign w:val="center"/>
          </w:tcPr>
          <w:p w14:paraId="4E35CA9C" w14:textId="77777777" w:rsidR="008A599A" w:rsidRPr="001F52D8" w:rsidRDefault="008A599A" w:rsidP="008A599A">
            <w:pPr>
              <w:spacing w:line="256" w:lineRule="auto"/>
              <w:rPr>
                <w:rFonts w:ascii="Calibri" w:eastAsia="Calibri" w:hAnsi="Calibri" w:cs="Calibri"/>
                <w:color w:val="000000" w:themeColor="text1"/>
                <w:sz w:val="20"/>
                <w:highlight w:val="yellow"/>
              </w:rPr>
            </w:pPr>
            <w:r w:rsidRPr="002652D3">
              <w:rPr>
                <w:rFonts w:ascii="Calibri" w:eastAsia="Calibri" w:hAnsi="Calibri" w:cs="Calibri"/>
                <w:color w:val="000000" w:themeColor="text1"/>
                <w:sz w:val="20"/>
              </w:rPr>
              <w:t>Adult and Older Adult Local Mental Health Services (Adult Locals)</w:t>
            </w:r>
          </w:p>
        </w:tc>
        <w:tc>
          <w:tcPr>
            <w:tcW w:w="1134" w:type="dxa"/>
            <w:vAlign w:val="center"/>
          </w:tcPr>
          <w:p w14:paraId="00AAB4CB" w14:textId="77777777" w:rsidR="008A599A" w:rsidRPr="002652D3" w:rsidRDefault="008A599A" w:rsidP="008A599A">
            <w:pPr>
              <w:spacing w:line="256" w:lineRule="auto"/>
              <w:jc w:val="right"/>
              <w:rPr>
                <w:rFonts w:ascii="Calibri" w:eastAsia="Calibri" w:hAnsi="Calibri" w:cs="Calibri"/>
                <w:color w:val="000000" w:themeColor="text1"/>
                <w:sz w:val="20"/>
              </w:rPr>
            </w:pPr>
            <w:r w:rsidRPr="002652D3">
              <w:rPr>
                <w:rFonts w:ascii="Calibri" w:hAnsi="Calibri" w:cs="Calibri"/>
                <w:color w:val="000000"/>
                <w:sz w:val="20"/>
              </w:rPr>
              <w:t xml:space="preserve">3,834,159 </w:t>
            </w:r>
          </w:p>
        </w:tc>
        <w:tc>
          <w:tcPr>
            <w:tcW w:w="1418" w:type="dxa"/>
            <w:gridSpan w:val="3"/>
            <w:vAlign w:val="center"/>
          </w:tcPr>
          <w:p w14:paraId="2FE6755D" w14:textId="77777777" w:rsidR="008A599A" w:rsidRPr="002652D3" w:rsidRDefault="008A599A" w:rsidP="008A599A">
            <w:pPr>
              <w:spacing w:line="256" w:lineRule="auto"/>
              <w:jc w:val="right"/>
              <w:rPr>
                <w:rFonts w:ascii="Calibri" w:eastAsia="Calibri" w:hAnsi="Calibri" w:cs="Calibri"/>
                <w:sz w:val="20"/>
              </w:rPr>
            </w:pPr>
            <w:r w:rsidRPr="007A01A9">
              <w:rPr>
                <w:rFonts w:ascii="Calibri" w:hAnsi="Calibri" w:cs="Calibri"/>
                <w:sz w:val="20"/>
              </w:rPr>
              <w:t xml:space="preserve">15,698,011 </w:t>
            </w:r>
          </w:p>
        </w:tc>
        <w:tc>
          <w:tcPr>
            <w:tcW w:w="1417" w:type="dxa"/>
            <w:vAlign w:val="center"/>
          </w:tcPr>
          <w:p w14:paraId="37312B4E" w14:textId="77777777" w:rsidR="008A599A" w:rsidRPr="002652D3" w:rsidRDefault="008A599A" w:rsidP="008A599A">
            <w:pPr>
              <w:spacing w:line="256" w:lineRule="auto"/>
              <w:jc w:val="right"/>
              <w:rPr>
                <w:rFonts w:ascii="Calibri" w:eastAsia="Calibri" w:hAnsi="Calibri" w:cs="Calibri"/>
                <w:sz w:val="20"/>
              </w:rPr>
            </w:pPr>
            <w:r>
              <w:rPr>
                <w:rFonts w:ascii="Calibri" w:hAnsi="Calibri" w:cs="Calibri"/>
                <w:sz w:val="20"/>
              </w:rPr>
              <w:t xml:space="preserve">14,029,104 </w:t>
            </w:r>
          </w:p>
        </w:tc>
        <w:tc>
          <w:tcPr>
            <w:tcW w:w="1276" w:type="dxa"/>
            <w:vAlign w:val="center"/>
          </w:tcPr>
          <w:p w14:paraId="74572F5B" w14:textId="77777777" w:rsidR="008A599A" w:rsidRPr="002652D3" w:rsidRDefault="008A599A" w:rsidP="008A599A">
            <w:pPr>
              <w:spacing w:line="256" w:lineRule="auto"/>
              <w:jc w:val="right"/>
              <w:rPr>
                <w:rFonts w:ascii="Calibri" w:eastAsia="Calibri" w:hAnsi="Calibri" w:cs="Calibri"/>
                <w:sz w:val="20"/>
              </w:rPr>
            </w:pPr>
            <w:r>
              <w:rPr>
                <w:rFonts w:ascii="Calibri" w:hAnsi="Calibri" w:cs="Calibri"/>
                <w:sz w:val="20"/>
              </w:rPr>
              <w:t xml:space="preserve">23,510,345 </w:t>
            </w:r>
          </w:p>
        </w:tc>
        <w:tc>
          <w:tcPr>
            <w:tcW w:w="1276" w:type="dxa"/>
            <w:vAlign w:val="center"/>
          </w:tcPr>
          <w:p w14:paraId="4FC09A50" w14:textId="7EE1F839" w:rsidR="008A599A" w:rsidRPr="002652D3" w:rsidRDefault="003E6D98" w:rsidP="219D5185">
            <w:pPr>
              <w:spacing w:line="256" w:lineRule="auto"/>
              <w:jc w:val="right"/>
              <w:rPr>
                <w:rFonts w:ascii="Calibri" w:eastAsia="Calibri" w:hAnsi="Calibri" w:cs="Calibri"/>
                <w:sz w:val="20"/>
              </w:rPr>
            </w:pPr>
            <w:r w:rsidRPr="219D5185">
              <w:rPr>
                <w:rFonts w:ascii="Calibri" w:hAnsi="Calibri" w:cs="Calibri"/>
                <w:sz w:val="20"/>
              </w:rPr>
              <w:t>22,288,</w:t>
            </w:r>
            <w:r w:rsidR="000C11A0" w:rsidRPr="219D5185">
              <w:rPr>
                <w:rFonts w:ascii="Calibri" w:hAnsi="Calibri" w:cs="Calibri"/>
                <w:sz w:val="20"/>
              </w:rPr>
              <w:t>463</w:t>
            </w:r>
            <w:r w:rsidR="008A599A" w:rsidRPr="219D5185">
              <w:rPr>
                <w:rFonts w:ascii="Calibri" w:hAnsi="Calibri" w:cs="Calibri"/>
                <w:sz w:val="20"/>
              </w:rPr>
              <w:t xml:space="preserve"> </w:t>
            </w:r>
          </w:p>
        </w:tc>
        <w:tc>
          <w:tcPr>
            <w:tcW w:w="1417" w:type="dxa"/>
          </w:tcPr>
          <w:p w14:paraId="2AC819D2" w14:textId="2A308E4C" w:rsidR="008A599A" w:rsidRDefault="7DB4386B" w:rsidP="7F6F52C8">
            <w:pPr>
              <w:spacing w:line="256" w:lineRule="auto"/>
              <w:jc w:val="right"/>
              <w:rPr>
                <w:rFonts w:ascii="Calibri" w:hAnsi="Calibri" w:cs="Calibri"/>
                <w:sz w:val="20"/>
              </w:rPr>
            </w:pPr>
            <w:r w:rsidRPr="7F6F52C8">
              <w:rPr>
                <w:rFonts w:ascii="Calibri" w:hAnsi="Calibri" w:cs="Calibri"/>
                <w:sz w:val="20"/>
              </w:rPr>
              <w:t>2</w:t>
            </w:r>
            <w:r w:rsidR="65E9D3B1" w:rsidRPr="7F6F52C8">
              <w:rPr>
                <w:rFonts w:ascii="Calibri" w:hAnsi="Calibri" w:cs="Calibri"/>
                <w:sz w:val="20"/>
              </w:rPr>
              <w:t>4,713,547</w:t>
            </w:r>
          </w:p>
        </w:tc>
        <w:tc>
          <w:tcPr>
            <w:tcW w:w="1276" w:type="dxa"/>
            <w:vAlign w:val="center"/>
          </w:tcPr>
          <w:p w14:paraId="2AECCA67" w14:textId="5A408438" w:rsidR="008A599A" w:rsidRPr="002652D3" w:rsidRDefault="3FABEC6E" w:rsidP="7F6F52C8">
            <w:pPr>
              <w:spacing w:line="256" w:lineRule="auto"/>
              <w:jc w:val="right"/>
              <w:rPr>
                <w:rFonts w:ascii="Calibri" w:eastAsia="Calibri" w:hAnsi="Calibri" w:cs="Calibri"/>
                <w:sz w:val="20"/>
              </w:rPr>
            </w:pPr>
            <w:r w:rsidRPr="7F6F52C8">
              <w:rPr>
                <w:rFonts w:ascii="Calibri" w:hAnsi="Calibri" w:cs="Calibri"/>
                <w:sz w:val="20"/>
              </w:rPr>
              <w:t>104,</w:t>
            </w:r>
            <w:r w:rsidR="4A2C18FD" w:rsidRPr="7F6F52C8">
              <w:rPr>
                <w:rFonts w:ascii="Calibri" w:hAnsi="Calibri" w:cs="Calibri"/>
                <w:sz w:val="20"/>
              </w:rPr>
              <w:t>073,629</w:t>
            </w:r>
            <w:r w:rsidR="483DC8B7" w:rsidRPr="7F6F52C8">
              <w:rPr>
                <w:rFonts w:ascii="Calibri" w:hAnsi="Calibri" w:cs="Calibri"/>
                <w:sz w:val="20"/>
              </w:rPr>
              <w:t xml:space="preserve"> </w:t>
            </w:r>
          </w:p>
        </w:tc>
      </w:tr>
      <w:tr w:rsidR="00AB5030" w14:paraId="465E8EFA" w14:textId="77777777" w:rsidTr="7B0FF488">
        <w:trPr>
          <w:gridBefore w:val="1"/>
          <w:gridAfter w:val="1"/>
          <w:wBefore w:w="108" w:type="dxa"/>
          <w:wAfter w:w="459" w:type="dxa"/>
          <w:trHeight w:val="345"/>
        </w:trPr>
        <w:tc>
          <w:tcPr>
            <w:tcW w:w="5670" w:type="dxa"/>
            <w:vAlign w:val="center"/>
            <w:hideMark/>
          </w:tcPr>
          <w:p w14:paraId="5EEA1B0E" w14:textId="77777777" w:rsidR="008A599A" w:rsidRDefault="008A599A" w:rsidP="008A599A">
            <w:pPr>
              <w:spacing w:line="256" w:lineRule="auto"/>
              <w:rPr>
                <w:rFonts w:ascii="Calibri" w:eastAsia="Calibri" w:hAnsi="Calibri" w:cs="Calibri"/>
                <w:color w:val="000000" w:themeColor="text1"/>
                <w:sz w:val="20"/>
              </w:rPr>
            </w:pPr>
            <w:r w:rsidRPr="00EA4DAD">
              <w:rPr>
                <w:rFonts w:ascii="Calibri" w:eastAsia="Calibri" w:hAnsi="Calibri" w:cs="Calibri"/>
                <w:color w:val="000000" w:themeColor="text1"/>
                <w:sz w:val="20"/>
              </w:rPr>
              <w:t>Infant, child and family health and wellbeing hubs</w:t>
            </w:r>
            <w:r w:rsidRPr="00EA4DAD">
              <w:rPr>
                <w:rFonts w:ascii="Calibri" w:eastAsia="Calibri" w:hAnsi="Calibri" w:cs="Calibri"/>
                <w:color w:val="000000" w:themeColor="text1"/>
                <w:sz w:val="20"/>
                <w:lang w:val="en-AU"/>
              </w:rPr>
              <w:t> </w:t>
            </w:r>
          </w:p>
        </w:tc>
        <w:tc>
          <w:tcPr>
            <w:tcW w:w="1134" w:type="dxa"/>
            <w:vAlign w:val="center"/>
            <w:hideMark/>
          </w:tcPr>
          <w:p w14:paraId="561CE42B" w14:textId="77777777" w:rsidR="008A599A" w:rsidRPr="007A01A9" w:rsidRDefault="008A599A" w:rsidP="008A599A">
            <w:pPr>
              <w:spacing w:line="256" w:lineRule="auto"/>
              <w:jc w:val="right"/>
              <w:rPr>
                <w:rFonts w:ascii="Calibri" w:eastAsia="Calibri" w:hAnsi="Calibri" w:cs="Calibri"/>
                <w:color w:val="0070C0"/>
                <w:sz w:val="20"/>
              </w:rPr>
            </w:pPr>
            <w:r w:rsidRPr="007A01A9">
              <w:rPr>
                <w:rFonts w:ascii="Calibri" w:hAnsi="Calibri" w:cs="Calibri"/>
                <w:color w:val="0070C0"/>
                <w:sz w:val="20"/>
              </w:rPr>
              <w:t>-</w:t>
            </w:r>
          </w:p>
        </w:tc>
        <w:tc>
          <w:tcPr>
            <w:tcW w:w="1418" w:type="dxa"/>
            <w:gridSpan w:val="3"/>
            <w:vAlign w:val="center"/>
            <w:hideMark/>
          </w:tcPr>
          <w:p w14:paraId="2D6A17AB" w14:textId="77777777" w:rsidR="008A599A" w:rsidRPr="007A01A9" w:rsidRDefault="008A599A" w:rsidP="008A599A">
            <w:pPr>
              <w:spacing w:line="256" w:lineRule="auto"/>
              <w:jc w:val="right"/>
              <w:rPr>
                <w:rFonts w:ascii="Calibri" w:eastAsia="Calibri" w:hAnsi="Calibri" w:cs="Calibri"/>
                <w:sz w:val="20"/>
              </w:rPr>
            </w:pPr>
            <w:r w:rsidRPr="007A01A9">
              <w:rPr>
                <w:rFonts w:ascii="Calibri" w:hAnsi="Calibri" w:cs="Calibri"/>
                <w:sz w:val="20"/>
              </w:rPr>
              <w:t>6,131,000</w:t>
            </w:r>
          </w:p>
        </w:tc>
        <w:tc>
          <w:tcPr>
            <w:tcW w:w="1417" w:type="dxa"/>
            <w:vAlign w:val="center"/>
            <w:hideMark/>
          </w:tcPr>
          <w:p w14:paraId="5A1AD0FD" w14:textId="77777777" w:rsidR="008A599A" w:rsidRPr="007A01A9" w:rsidRDefault="008A599A" w:rsidP="008A599A">
            <w:pPr>
              <w:spacing w:line="256" w:lineRule="auto"/>
              <w:jc w:val="right"/>
              <w:rPr>
                <w:rFonts w:ascii="Calibri" w:eastAsia="Calibri" w:hAnsi="Calibri" w:cs="Calibri"/>
                <w:sz w:val="20"/>
              </w:rPr>
            </w:pPr>
            <w:r w:rsidRPr="007A01A9">
              <w:rPr>
                <w:rFonts w:ascii="Calibri" w:hAnsi="Calibri" w:cs="Calibri"/>
                <w:sz w:val="20"/>
              </w:rPr>
              <w:t xml:space="preserve">5,315,000 </w:t>
            </w:r>
          </w:p>
        </w:tc>
        <w:tc>
          <w:tcPr>
            <w:tcW w:w="1276" w:type="dxa"/>
            <w:vAlign w:val="center"/>
            <w:hideMark/>
          </w:tcPr>
          <w:p w14:paraId="51D059E4" w14:textId="77777777" w:rsidR="008A599A" w:rsidRPr="007A01A9" w:rsidRDefault="008A599A" w:rsidP="008A599A">
            <w:pPr>
              <w:spacing w:line="256" w:lineRule="auto"/>
              <w:jc w:val="right"/>
              <w:rPr>
                <w:rFonts w:ascii="Calibri" w:eastAsia="Calibri" w:hAnsi="Calibri" w:cs="Calibri"/>
                <w:sz w:val="20"/>
              </w:rPr>
            </w:pPr>
            <w:r w:rsidRPr="007A01A9">
              <w:rPr>
                <w:rFonts w:ascii="Calibri" w:hAnsi="Calibri" w:cs="Calibri"/>
                <w:sz w:val="20"/>
              </w:rPr>
              <w:t xml:space="preserve">5,390,000 </w:t>
            </w:r>
          </w:p>
        </w:tc>
        <w:tc>
          <w:tcPr>
            <w:tcW w:w="1276" w:type="dxa"/>
            <w:vAlign w:val="center"/>
            <w:hideMark/>
          </w:tcPr>
          <w:p w14:paraId="411573D1" w14:textId="77777777" w:rsidR="008A599A" w:rsidRPr="007A01A9" w:rsidRDefault="008A599A" w:rsidP="008A599A">
            <w:pPr>
              <w:spacing w:line="256" w:lineRule="auto"/>
              <w:jc w:val="right"/>
              <w:rPr>
                <w:rFonts w:ascii="Calibri" w:eastAsia="Calibri" w:hAnsi="Calibri" w:cs="Calibri"/>
                <w:sz w:val="20"/>
              </w:rPr>
            </w:pPr>
            <w:r w:rsidRPr="007A01A9">
              <w:rPr>
                <w:rFonts w:ascii="Calibri" w:hAnsi="Calibri" w:cs="Calibri"/>
                <w:sz w:val="20"/>
              </w:rPr>
              <w:t xml:space="preserve">5,465,000 </w:t>
            </w:r>
          </w:p>
        </w:tc>
        <w:tc>
          <w:tcPr>
            <w:tcW w:w="1417" w:type="dxa"/>
          </w:tcPr>
          <w:p w14:paraId="026F5B74" w14:textId="561F60A3" w:rsidR="008A599A" w:rsidRPr="007A01A9" w:rsidRDefault="008A599A" w:rsidP="219D5185">
            <w:pPr>
              <w:spacing w:line="256" w:lineRule="auto"/>
              <w:jc w:val="right"/>
              <w:rPr>
                <w:rFonts w:ascii="Calibri" w:hAnsi="Calibri" w:cs="Calibri"/>
                <w:sz w:val="20"/>
              </w:rPr>
            </w:pPr>
            <w:r w:rsidRPr="219D5185">
              <w:rPr>
                <w:rFonts w:ascii="Calibri" w:hAnsi="Calibri" w:cs="Calibri"/>
                <w:sz w:val="20"/>
              </w:rPr>
              <w:t>5,596,160</w:t>
            </w:r>
          </w:p>
        </w:tc>
        <w:tc>
          <w:tcPr>
            <w:tcW w:w="1276" w:type="dxa"/>
            <w:vAlign w:val="center"/>
            <w:hideMark/>
          </w:tcPr>
          <w:p w14:paraId="6F08F9A8" w14:textId="76E661B8" w:rsidR="008A599A" w:rsidRPr="007A01A9" w:rsidRDefault="008A599A" w:rsidP="219D5185">
            <w:pPr>
              <w:spacing w:line="256" w:lineRule="auto"/>
              <w:jc w:val="right"/>
              <w:rPr>
                <w:rFonts w:ascii="Calibri" w:eastAsia="Calibri" w:hAnsi="Calibri" w:cs="Calibri"/>
                <w:sz w:val="20"/>
              </w:rPr>
            </w:pPr>
            <w:r w:rsidRPr="219D5185">
              <w:rPr>
                <w:rFonts w:ascii="Calibri" w:hAnsi="Calibri" w:cs="Calibri"/>
                <w:sz w:val="20"/>
              </w:rPr>
              <w:t xml:space="preserve">27,897,160 </w:t>
            </w:r>
          </w:p>
        </w:tc>
      </w:tr>
      <w:tr w:rsidR="00AB5030" w14:paraId="5ACAEB7B" w14:textId="77777777" w:rsidTr="7B0FF488">
        <w:trPr>
          <w:gridBefore w:val="1"/>
          <w:gridAfter w:val="1"/>
          <w:wBefore w:w="108" w:type="dxa"/>
          <w:wAfter w:w="459" w:type="dxa"/>
          <w:trHeight w:val="405"/>
        </w:trPr>
        <w:tc>
          <w:tcPr>
            <w:tcW w:w="5670" w:type="dxa"/>
            <w:tcBorders>
              <w:top w:val="single" w:sz="6" w:space="0" w:color="auto"/>
              <w:left w:val="nil"/>
              <w:bottom w:val="nil"/>
              <w:right w:val="nil"/>
            </w:tcBorders>
            <w:vAlign w:val="bottom"/>
            <w:hideMark/>
          </w:tcPr>
          <w:p w14:paraId="349FEADB" w14:textId="77777777" w:rsidR="008A599A" w:rsidRDefault="008A599A" w:rsidP="008A599A">
            <w:pPr>
              <w:spacing w:line="256" w:lineRule="auto"/>
              <w:ind w:left="30"/>
              <w:rPr>
                <w:rFonts w:ascii="Calibri" w:eastAsia="Calibri" w:hAnsi="Calibri" w:cs="Calibri"/>
                <w:color w:val="000000" w:themeColor="text1"/>
                <w:sz w:val="20"/>
              </w:rPr>
            </w:pPr>
            <w:r>
              <w:rPr>
                <w:rFonts w:ascii="Calibri" w:eastAsia="Calibri" w:hAnsi="Calibri" w:cs="Calibri"/>
                <w:b/>
                <w:bCs/>
                <w:color w:val="000000" w:themeColor="text1"/>
                <w:sz w:val="20"/>
              </w:rPr>
              <w:t>Other Commonwealth payments</w:t>
            </w:r>
            <w:r>
              <w:rPr>
                <w:rFonts w:ascii="Calibri" w:eastAsia="Calibri" w:hAnsi="Calibri" w:cs="Calibri"/>
                <w:color w:val="000000" w:themeColor="text1"/>
                <w:sz w:val="20"/>
                <w:lang w:val="en-AU"/>
              </w:rPr>
              <w:t> </w:t>
            </w:r>
          </w:p>
        </w:tc>
        <w:tc>
          <w:tcPr>
            <w:tcW w:w="1134" w:type="dxa"/>
            <w:tcBorders>
              <w:top w:val="single" w:sz="6" w:space="0" w:color="auto"/>
              <w:left w:val="nil"/>
              <w:bottom w:val="nil"/>
              <w:right w:val="nil"/>
            </w:tcBorders>
            <w:vAlign w:val="center"/>
            <w:hideMark/>
          </w:tcPr>
          <w:p w14:paraId="7601ABD2" w14:textId="77777777" w:rsidR="008A599A" w:rsidRPr="007A01A9" w:rsidRDefault="008A599A" w:rsidP="003D5721">
            <w:pPr>
              <w:spacing w:line="256" w:lineRule="auto"/>
              <w:jc w:val="right"/>
              <w:rPr>
                <w:rFonts w:ascii="Calibri" w:eastAsia="Calibri" w:hAnsi="Calibri" w:cs="Calibri"/>
                <w:b/>
                <w:sz w:val="20"/>
              </w:rPr>
            </w:pPr>
            <w:r w:rsidRPr="002652D3">
              <w:rPr>
                <w:rFonts w:ascii="Calibri" w:hAnsi="Calibri" w:cs="Calibri"/>
                <w:b/>
                <w:sz w:val="20"/>
              </w:rPr>
              <w:t xml:space="preserve">9,672,212 </w:t>
            </w:r>
          </w:p>
        </w:tc>
        <w:tc>
          <w:tcPr>
            <w:tcW w:w="1418" w:type="dxa"/>
            <w:gridSpan w:val="3"/>
            <w:tcBorders>
              <w:top w:val="single" w:sz="6" w:space="0" w:color="auto"/>
              <w:left w:val="nil"/>
              <w:bottom w:val="nil"/>
              <w:right w:val="nil"/>
            </w:tcBorders>
            <w:vAlign w:val="center"/>
            <w:hideMark/>
          </w:tcPr>
          <w:p w14:paraId="39299671" w14:textId="77777777" w:rsidR="008A599A" w:rsidRPr="007A01A9" w:rsidRDefault="008A599A" w:rsidP="003D5721">
            <w:pPr>
              <w:spacing w:line="256" w:lineRule="auto"/>
              <w:jc w:val="right"/>
              <w:rPr>
                <w:rFonts w:ascii="Calibri" w:eastAsia="Calibri" w:hAnsi="Calibri" w:cs="Calibri"/>
                <w:b/>
                <w:bCs/>
                <w:sz w:val="20"/>
                <w:highlight w:val="yellow"/>
              </w:rPr>
            </w:pPr>
            <w:r w:rsidRPr="002652D3">
              <w:rPr>
                <w:rFonts w:ascii="Calibri" w:hAnsi="Calibri" w:cs="Calibri"/>
                <w:b/>
                <w:sz w:val="20"/>
              </w:rPr>
              <w:t xml:space="preserve">16,405,788 </w:t>
            </w:r>
          </w:p>
        </w:tc>
        <w:tc>
          <w:tcPr>
            <w:tcW w:w="1417" w:type="dxa"/>
            <w:tcBorders>
              <w:top w:val="single" w:sz="6" w:space="0" w:color="auto"/>
              <w:left w:val="nil"/>
              <w:bottom w:val="nil"/>
              <w:right w:val="nil"/>
            </w:tcBorders>
            <w:vAlign w:val="center"/>
            <w:hideMark/>
          </w:tcPr>
          <w:p w14:paraId="0B7D5056" w14:textId="77777777" w:rsidR="008A599A" w:rsidRPr="00D13100" w:rsidRDefault="008A599A" w:rsidP="003D5721">
            <w:pPr>
              <w:spacing w:line="256" w:lineRule="auto"/>
              <w:jc w:val="right"/>
              <w:rPr>
                <w:rFonts w:ascii="Calibri" w:eastAsia="Calibri" w:hAnsi="Calibri" w:cs="Calibri"/>
                <w:b/>
                <w:bCs/>
                <w:sz w:val="20"/>
                <w:highlight w:val="yellow"/>
              </w:rPr>
            </w:pPr>
            <w:r w:rsidRPr="0036395C">
              <w:rPr>
                <w:rFonts w:ascii="Calibri" w:hAnsi="Calibri" w:cs="Calibri"/>
                <w:b/>
                <w:sz w:val="20"/>
              </w:rPr>
              <w:t xml:space="preserve">21,417,561 </w:t>
            </w:r>
          </w:p>
        </w:tc>
        <w:tc>
          <w:tcPr>
            <w:tcW w:w="1276" w:type="dxa"/>
            <w:tcBorders>
              <w:top w:val="single" w:sz="6" w:space="0" w:color="auto"/>
              <w:left w:val="nil"/>
              <w:bottom w:val="nil"/>
              <w:right w:val="nil"/>
            </w:tcBorders>
            <w:vAlign w:val="center"/>
            <w:hideMark/>
          </w:tcPr>
          <w:p w14:paraId="617F9A34" w14:textId="77777777" w:rsidR="008A599A" w:rsidRPr="00D13100" w:rsidRDefault="008A599A" w:rsidP="003D5721">
            <w:pPr>
              <w:spacing w:line="256" w:lineRule="auto"/>
              <w:jc w:val="right"/>
              <w:rPr>
                <w:rFonts w:ascii="Calibri" w:eastAsia="Calibri" w:hAnsi="Calibri" w:cs="Calibri"/>
                <w:b/>
                <w:bCs/>
                <w:sz w:val="20"/>
                <w:highlight w:val="yellow"/>
              </w:rPr>
            </w:pPr>
            <w:r w:rsidRPr="0036395C">
              <w:rPr>
                <w:rFonts w:ascii="Calibri" w:hAnsi="Calibri" w:cs="Calibri"/>
                <w:b/>
                <w:sz w:val="20"/>
              </w:rPr>
              <w:t xml:space="preserve">22,299,977 </w:t>
            </w:r>
          </w:p>
        </w:tc>
        <w:tc>
          <w:tcPr>
            <w:tcW w:w="1276" w:type="dxa"/>
            <w:tcBorders>
              <w:top w:val="single" w:sz="6" w:space="0" w:color="auto"/>
              <w:left w:val="nil"/>
              <w:bottom w:val="nil"/>
              <w:right w:val="nil"/>
            </w:tcBorders>
            <w:vAlign w:val="center"/>
            <w:hideMark/>
          </w:tcPr>
          <w:p w14:paraId="774BA81C" w14:textId="7FDD7BE0" w:rsidR="008A599A" w:rsidRPr="00D13100" w:rsidRDefault="00A22AEA" w:rsidP="003D5721">
            <w:pPr>
              <w:spacing w:line="256" w:lineRule="auto"/>
              <w:jc w:val="right"/>
              <w:rPr>
                <w:rFonts w:ascii="Calibri" w:eastAsia="Calibri" w:hAnsi="Calibri" w:cs="Calibri"/>
                <w:b/>
                <w:bCs/>
                <w:sz w:val="20"/>
                <w:highlight w:val="yellow"/>
              </w:rPr>
            </w:pPr>
            <w:r w:rsidRPr="219D5185">
              <w:rPr>
                <w:rFonts w:ascii="Calibri" w:hAnsi="Calibri" w:cs="Calibri"/>
                <w:b/>
                <w:bCs/>
                <w:sz w:val="20"/>
              </w:rPr>
              <w:t>3</w:t>
            </w:r>
            <w:r w:rsidR="00DB70A3">
              <w:rPr>
                <w:rFonts w:ascii="Calibri" w:hAnsi="Calibri" w:cs="Calibri"/>
                <w:b/>
                <w:bCs/>
                <w:sz w:val="20"/>
              </w:rPr>
              <w:t>1,951,016</w:t>
            </w:r>
            <w:r w:rsidR="008A599A" w:rsidRPr="219D5185">
              <w:rPr>
                <w:rFonts w:ascii="Calibri" w:hAnsi="Calibri" w:cs="Calibri"/>
                <w:b/>
                <w:bCs/>
                <w:sz w:val="20"/>
              </w:rPr>
              <w:t xml:space="preserve"> </w:t>
            </w:r>
          </w:p>
        </w:tc>
        <w:tc>
          <w:tcPr>
            <w:tcW w:w="1417" w:type="dxa"/>
            <w:tcBorders>
              <w:top w:val="single" w:sz="6" w:space="0" w:color="auto"/>
              <w:left w:val="nil"/>
              <w:bottom w:val="nil"/>
              <w:right w:val="nil"/>
            </w:tcBorders>
            <w:vAlign w:val="center"/>
          </w:tcPr>
          <w:p w14:paraId="37930729" w14:textId="6C8377B7" w:rsidR="002C465A" w:rsidRPr="0036395C" w:rsidRDefault="75B85207" w:rsidP="3B2334D9">
            <w:pPr>
              <w:spacing w:line="256" w:lineRule="auto"/>
              <w:jc w:val="right"/>
              <w:rPr>
                <w:rFonts w:ascii="Calibri" w:hAnsi="Calibri" w:cs="Calibri"/>
                <w:b/>
                <w:bCs/>
                <w:sz w:val="20"/>
              </w:rPr>
            </w:pPr>
            <w:r w:rsidRPr="3B2334D9">
              <w:rPr>
                <w:rFonts w:ascii="Calibri" w:hAnsi="Calibri" w:cs="Calibri"/>
                <w:b/>
                <w:bCs/>
                <w:sz w:val="20"/>
              </w:rPr>
              <w:t>29,839,259</w:t>
            </w:r>
          </w:p>
        </w:tc>
        <w:tc>
          <w:tcPr>
            <w:tcW w:w="1276" w:type="dxa"/>
            <w:tcBorders>
              <w:top w:val="single" w:sz="6" w:space="0" w:color="auto"/>
              <w:left w:val="nil"/>
              <w:bottom w:val="nil"/>
              <w:right w:val="nil"/>
            </w:tcBorders>
            <w:vAlign w:val="center"/>
            <w:hideMark/>
          </w:tcPr>
          <w:p w14:paraId="2C7D379A" w14:textId="0C612131" w:rsidR="008A599A" w:rsidRPr="00D13100" w:rsidRDefault="00DB70A3" w:rsidP="003D5721">
            <w:pPr>
              <w:spacing w:line="256" w:lineRule="auto"/>
              <w:jc w:val="right"/>
              <w:rPr>
                <w:rFonts w:ascii="Calibri" w:eastAsia="Calibri" w:hAnsi="Calibri" w:cs="Calibri"/>
                <w:b/>
                <w:bCs/>
                <w:sz w:val="20"/>
                <w:highlight w:val="yellow"/>
              </w:rPr>
            </w:pPr>
            <w:r>
              <w:rPr>
                <w:rFonts w:ascii="Calibri" w:hAnsi="Calibri" w:cs="Calibri"/>
                <w:b/>
                <w:bCs/>
                <w:sz w:val="20"/>
              </w:rPr>
              <w:t>131,585,812</w:t>
            </w:r>
            <w:r w:rsidR="008A599A" w:rsidRPr="219D5185">
              <w:rPr>
                <w:rFonts w:ascii="Calibri" w:hAnsi="Calibri" w:cs="Calibri"/>
                <w:b/>
                <w:bCs/>
                <w:sz w:val="20"/>
              </w:rPr>
              <w:t xml:space="preserve"> </w:t>
            </w:r>
          </w:p>
        </w:tc>
      </w:tr>
      <w:tr w:rsidR="00AB5030" w14:paraId="6E02138E" w14:textId="77777777" w:rsidTr="7B0FF488">
        <w:trPr>
          <w:gridBefore w:val="1"/>
          <w:gridAfter w:val="1"/>
          <w:wBefore w:w="108" w:type="dxa"/>
          <w:wAfter w:w="459" w:type="dxa"/>
          <w:trHeight w:val="345"/>
        </w:trPr>
        <w:tc>
          <w:tcPr>
            <w:tcW w:w="5670" w:type="dxa"/>
            <w:vAlign w:val="center"/>
          </w:tcPr>
          <w:p w14:paraId="35B8B409" w14:textId="77777777" w:rsidR="008A599A" w:rsidRDefault="008A599A" w:rsidP="008A599A">
            <w:pPr>
              <w:spacing w:line="256" w:lineRule="auto"/>
              <w:ind w:left="30"/>
              <w:rPr>
                <w:rFonts w:ascii="Calibri" w:eastAsia="Calibri" w:hAnsi="Calibri" w:cs="Calibri"/>
                <w:color w:val="000000" w:themeColor="text1"/>
                <w:sz w:val="20"/>
              </w:rPr>
            </w:pPr>
            <w:r>
              <w:rPr>
                <w:rFonts w:ascii="Calibri" w:eastAsia="Calibri" w:hAnsi="Calibri" w:cs="Calibri"/>
                <w:color w:val="000000" w:themeColor="text1"/>
                <w:sz w:val="20"/>
              </w:rPr>
              <w:t>Postvention   </w:t>
            </w:r>
            <w:r>
              <w:rPr>
                <w:rFonts w:ascii="Calibri" w:eastAsia="Calibri" w:hAnsi="Calibri" w:cs="Calibri"/>
                <w:color w:val="000000" w:themeColor="text1"/>
                <w:sz w:val="20"/>
                <w:lang w:val="en-AU"/>
              </w:rPr>
              <w:t> </w:t>
            </w:r>
          </w:p>
        </w:tc>
        <w:tc>
          <w:tcPr>
            <w:tcW w:w="1134" w:type="dxa"/>
            <w:vAlign w:val="center"/>
          </w:tcPr>
          <w:p w14:paraId="09DF9BC2" w14:textId="77777777" w:rsidR="008A599A" w:rsidRPr="002652D3" w:rsidRDefault="008A599A" w:rsidP="003D5721">
            <w:pPr>
              <w:spacing w:line="256" w:lineRule="auto"/>
              <w:jc w:val="right"/>
              <w:rPr>
                <w:rFonts w:ascii="Times New Roman" w:eastAsia="Times New Roman" w:hAnsi="Times New Roman" w:cs="Times New Roman"/>
                <w:color w:val="000000" w:themeColor="text1"/>
                <w:sz w:val="20"/>
              </w:rPr>
            </w:pPr>
            <w:r w:rsidRPr="007A01A9">
              <w:rPr>
                <w:rFonts w:ascii="Calibri" w:eastAsia="Calibri" w:hAnsi="Calibri" w:cs="Calibri"/>
                <w:color w:val="0070C0"/>
                <w:sz w:val="20"/>
              </w:rPr>
              <w:t>-</w:t>
            </w:r>
          </w:p>
        </w:tc>
        <w:tc>
          <w:tcPr>
            <w:tcW w:w="1418" w:type="dxa"/>
            <w:gridSpan w:val="3"/>
            <w:vAlign w:val="center"/>
          </w:tcPr>
          <w:p w14:paraId="626716D3" w14:textId="77777777" w:rsidR="008A599A" w:rsidRPr="002652D3" w:rsidRDefault="008A599A" w:rsidP="003D5721">
            <w:pPr>
              <w:spacing w:line="256" w:lineRule="auto"/>
              <w:jc w:val="right"/>
              <w:rPr>
                <w:rFonts w:ascii="Times New Roman" w:eastAsia="Times New Roman" w:hAnsi="Times New Roman" w:cs="Times New Roman"/>
                <w:color w:val="000000" w:themeColor="text1"/>
                <w:sz w:val="20"/>
              </w:rPr>
            </w:pPr>
            <w:r w:rsidRPr="007A01A9">
              <w:rPr>
                <w:rFonts w:ascii="Calibri" w:eastAsia="Calibri" w:hAnsi="Calibri" w:cs="Calibri"/>
                <w:sz w:val="20"/>
              </w:rPr>
              <w:t>1,654,788</w:t>
            </w:r>
          </w:p>
        </w:tc>
        <w:tc>
          <w:tcPr>
            <w:tcW w:w="1417" w:type="dxa"/>
            <w:vAlign w:val="center"/>
          </w:tcPr>
          <w:p w14:paraId="27E38315" w14:textId="77777777" w:rsidR="008A599A" w:rsidRPr="002652D3" w:rsidRDefault="008A599A" w:rsidP="003D5721">
            <w:pPr>
              <w:spacing w:line="256" w:lineRule="auto"/>
              <w:jc w:val="right"/>
              <w:rPr>
                <w:rFonts w:ascii="Times New Roman" w:eastAsia="Times New Roman" w:hAnsi="Times New Roman" w:cs="Times New Roman"/>
                <w:color w:val="000000" w:themeColor="text1"/>
                <w:sz w:val="20"/>
              </w:rPr>
            </w:pPr>
            <w:r w:rsidRPr="007A01A9">
              <w:rPr>
                <w:rFonts w:ascii="Calibri" w:eastAsia="Calibri" w:hAnsi="Calibri" w:cs="Calibri"/>
                <w:sz w:val="20"/>
              </w:rPr>
              <w:t>1,654,561</w:t>
            </w:r>
          </w:p>
        </w:tc>
        <w:tc>
          <w:tcPr>
            <w:tcW w:w="1276" w:type="dxa"/>
            <w:vAlign w:val="center"/>
          </w:tcPr>
          <w:p w14:paraId="5E287BB8" w14:textId="77777777" w:rsidR="008A599A" w:rsidRPr="002652D3" w:rsidRDefault="008A599A" w:rsidP="003D5721">
            <w:pPr>
              <w:spacing w:line="256" w:lineRule="auto"/>
              <w:jc w:val="right"/>
              <w:rPr>
                <w:rFonts w:ascii="Times New Roman" w:eastAsia="Times New Roman" w:hAnsi="Times New Roman" w:cs="Times New Roman"/>
                <w:color w:val="000000" w:themeColor="text1"/>
                <w:sz w:val="20"/>
              </w:rPr>
            </w:pPr>
            <w:r w:rsidRPr="007A01A9">
              <w:rPr>
                <w:rFonts w:ascii="Calibri" w:eastAsia="Calibri" w:hAnsi="Calibri" w:cs="Calibri"/>
                <w:sz w:val="20"/>
              </w:rPr>
              <w:t>1,654,561</w:t>
            </w:r>
          </w:p>
        </w:tc>
        <w:tc>
          <w:tcPr>
            <w:tcW w:w="1276" w:type="dxa"/>
            <w:vAlign w:val="center"/>
          </w:tcPr>
          <w:p w14:paraId="521F196F" w14:textId="4DED3ED4" w:rsidR="008A599A" w:rsidRPr="002652D3" w:rsidRDefault="00DB70A3" w:rsidP="003D5721">
            <w:pPr>
              <w:spacing w:line="256" w:lineRule="auto"/>
              <w:jc w:val="right"/>
              <w:rPr>
                <w:rFonts w:ascii="Times New Roman" w:eastAsia="Times New Roman" w:hAnsi="Times New Roman" w:cs="Times New Roman"/>
                <w:color w:val="000000" w:themeColor="text1"/>
                <w:sz w:val="20"/>
              </w:rPr>
            </w:pPr>
            <w:r>
              <w:rPr>
                <w:rFonts w:ascii="Calibri" w:eastAsia="Calibri" w:hAnsi="Calibri" w:cs="Calibri"/>
                <w:sz w:val="20"/>
              </w:rPr>
              <w:t>1,654,561</w:t>
            </w:r>
          </w:p>
        </w:tc>
        <w:tc>
          <w:tcPr>
            <w:tcW w:w="1417" w:type="dxa"/>
            <w:vAlign w:val="center"/>
          </w:tcPr>
          <w:p w14:paraId="4058537B" w14:textId="3D22560D" w:rsidR="008A599A" w:rsidRPr="007A01A9" w:rsidRDefault="008A599A" w:rsidP="003D5721">
            <w:pPr>
              <w:spacing w:line="256" w:lineRule="auto"/>
              <w:jc w:val="right"/>
              <w:rPr>
                <w:rFonts w:ascii="Calibri" w:eastAsia="Calibri" w:hAnsi="Calibri" w:cs="Calibri"/>
                <w:sz w:val="20"/>
              </w:rPr>
            </w:pPr>
            <w:r w:rsidRPr="219D5185">
              <w:rPr>
                <w:rFonts w:ascii="Calibri" w:eastAsia="Calibri" w:hAnsi="Calibri" w:cs="Calibri"/>
                <w:sz w:val="20"/>
              </w:rPr>
              <w:t>1,729,850</w:t>
            </w:r>
          </w:p>
        </w:tc>
        <w:tc>
          <w:tcPr>
            <w:tcW w:w="1276" w:type="dxa"/>
            <w:vAlign w:val="center"/>
          </w:tcPr>
          <w:p w14:paraId="0E1F9E21" w14:textId="417D4403" w:rsidR="008A599A" w:rsidRPr="002652D3" w:rsidRDefault="00DB70A3" w:rsidP="003D5721">
            <w:pPr>
              <w:spacing w:line="256" w:lineRule="auto"/>
              <w:jc w:val="right"/>
              <w:rPr>
                <w:rFonts w:ascii="Times New Roman" w:eastAsia="Times New Roman" w:hAnsi="Times New Roman" w:cs="Times New Roman"/>
                <w:color w:val="000000" w:themeColor="text1"/>
                <w:sz w:val="20"/>
                <w:highlight w:val="magenta"/>
              </w:rPr>
            </w:pPr>
            <w:r>
              <w:rPr>
                <w:rFonts w:ascii="Calibri" w:eastAsia="Calibri" w:hAnsi="Calibri" w:cs="Calibri"/>
                <w:sz w:val="20"/>
              </w:rPr>
              <w:t>8,348,321</w:t>
            </w:r>
          </w:p>
        </w:tc>
      </w:tr>
      <w:tr w:rsidR="00AB5030" w14:paraId="61CF1E02" w14:textId="77777777" w:rsidTr="7B0FF488">
        <w:trPr>
          <w:gridBefore w:val="1"/>
          <w:gridAfter w:val="1"/>
          <w:wBefore w:w="108" w:type="dxa"/>
          <w:wAfter w:w="459" w:type="dxa"/>
          <w:trHeight w:val="345"/>
        </w:trPr>
        <w:tc>
          <w:tcPr>
            <w:tcW w:w="5670" w:type="dxa"/>
            <w:vAlign w:val="center"/>
            <w:hideMark/>
          </w:tcPr>
          <w:p w14:paraId="60B517EF" w14:textId="75F5B6F4" w:rsidR="008A599A" w:rsidRDefault="008B7833" w:rsidP="008A599A">
            <w:pPr>
              <w:spacing w:line="256" w:lineRule="auto"/>
              <w:ind w:left="30"/>
              <w:rPr>
                <w:rFonts w:ascii="Times New Roman" w:eastAsia="Times New Roman" w:hAnsi="Times New Roman" w:cs="Times New Roman"/>
                <w:color w:val="000000" w:themeColor="text1"/>
                <w:sz w:val="24"/>
                <w:szCs w:val="24"/>
              </w:rPr>
            </w:pPr>
            <w:r w:rsidRPr="219D5185">
              <w:rPr>
                <w:rFonts w:ascii="Calibri" w:eastAsia="Calibri" w:hAnsi="Calibri" w:cs="Calibri"/>
                <w:color w:val="000000" w:themeColor="text1"/>
                <w:sz w:val="20"/>
              </w:rPr>
              <w:t>Medicare Mental Health Centre and existing Head to Health clinics</w:t>
            </w:r>
            <w:r w:rsidR="008A599A" w:rsidRPr="219D5185">
              <w:rPr>
                <w:rFonts w:ascii="Calibri" w:eastAsia="Calibri" w:hAnsi="Calibri" w:cs="Calibri"/>
                <w:color w:val="000000" w:themeColor="text1"/>
                <w:sz w:val="20"/>
              </w:rPr>
              <w:t xml:space="preserve"> </w:t>
            </w:r>
          </w:p>
        </w:tc>
        <w:tc>
          <w:tcPr>
            <w:tcW w:w="1134" w:type="dxa"/>
            <w:vAlign w:val="center"/>
          </w:tcPr>
          <w:p w14:paraId="1E6414A7" w14:textId="77777777" w:rsidR="008A599A" w:rsidRPr="002652D3" w:rsidRDefault="008A599A" w:rsidP="003D5721">
            <w:pPr>
              <w:spacing w:line="256" w:lineRule="auto"/>
              <w:jc w:val="right"/>
              <w:rPr>
                <w:rFonts w:ascii="Times New Roman" w:eastAsia="Times New Roman" w:hAnsi="Times New Roman" w:cs="Times New Roman"/>
                <w:color w:val="000000" w:themeColor="text1"/>
                <w:sz w:val="20"/>
              </w:rPr>
            </w:pPr>
          </w:p>
        </w:tc>
        <w:tc>
          <w:tcPr>
            <w:tcW w:w="1418" w:type="dxa"/>
            <w:gridSpan w:val="3"/>
            <w:vAlign w:val="center"/>
          </w:tcPr>
          <w:p w14:paraId="00790292" w14:textId="77777777" w:rsidR="008A599A" w:rsidRPr="002652D3" w:rsidRDefault="008A599A" w:rsidP="003D5721">
            <w:pPr>
              <w:spacing w:line="256" w:lineRule="auto"/>
              <w:jc w:val="right"/>
              <w:rPr>
                <w:rFonts w:ascii="Times New Roman" w:eastAsia="Times New Roman" w:hAnsi="Times New Roman" w:cs="Times New Roman"/>
                <w:color w:val="000000" w:themeColor="text1"/>
                <w:sz w:val="20"/>
              </w:rPr>
            </w:pPr>
          </w:p>
        </w:tc>
        <w:tc>
          <w:tcPr>
            <w:tcW w:w="1417" w:type="dxa"/>
            <w:vAlign w:val="center"/>
          </w:tcPr>
          <w:p w14:paraId="3D643B7C" w14:textId="77777777" w:rsidR="008A599A" w:rsidRPr="002652D3" w:rsidRDefault="008A599A" w:rsidP="003D5721">
            <w:pPr>
              <w:spacing w:line="256" w:lineRule="auto"/>
              <w:jc w:val="right"/>
              <w:rPr>
                <w:rFonts w:ascii="Times New Roman" w:eastAsia="Times New Roman" w:hAnsi="Times New Roman" w:cs="Times New Roman"/>
                <w:color w:val="000000" w:themeColor="text1"/>
                <w:sz w:val="20"/>
              </w:rPr>
            </w:pPr>
          </w:p>
        </w:tc>
        <w:tc>
          <w:tcPr>
            <w:tcW w:w="1276" w:type="dxa"/>
            <w:vAlign w:val="center"/>
          </w:tcPr>
          <w:p w14:paraId="494AD07A" w14:textId="77777777" w:rsidR="008A599A" w:rsidRPr="002652D3" w:rsidRDefault="008A599A" w:rsidP="003D5721">
            <w:pPr>
              <w:spacing w:line="256" w:lineRule="auto"/>
              <w:jc w:val="right"/>
              <w:rPr>
                <w:rFonts w:ascii="Times New Roman" w:eastAsia="Times New Roman" w:hAnsi="Times New Roman" w:cs="Times New Roman"/>
                <w:color w:val="000000" w:themeColor="text1"/>
                <w:sz w:val="20"/>
              </w:rPr>
            </w:pPr>
          </w:p>
        </w:tc>
        <w:tc>
          <w:tcPr>
            <w:tcW w:w="1276" w:type="dxa"/>
            <w:vAlign w:val="center"/>
          </w:tcPr>
          <w:p w14:paraId="562CA1C0" w14:textId="77777777" w:rsidR="008A599A" w:rsidRPr="002652D3" w:rsidRDefault="008A599A" w:rsidP="003D5721">
            <w:pPr>
              <w:spacing w:line="256" w:lineRule="auto"/>
              <w:jc w:val="right"/>
              <w:rPr>
                <w:rFonts w:ascii="Times New Roman" w:eastAsia="Times New Roman" w:hAnsi="Times New Roman" w:cs="Times New Roman"/>
                <w:color w:val="000000" w:themeColor="text1"/>
                <w:sz w:val="20"/>
              </w:rPr>
            </w:pPr>
          </w:p>
        </w:tc>
        <w:tc>
          <w:tcPr>
            <w:tcW w:w="1417" w:type="dxa"/>
            <w:vAlign w:val="center"/>
          </w:tcPr>
          <w:p w14:paraId="19CB4EA4" w14:textId="77777777" w:rsidR="008A599A" w:rsidRPr="002652D3" w:rsidRDefault="008A599A" w:rsidP="003D5721">
            <w:pPr>
              <w:spacing w:line="256" w:lineRule="auto"/>
              <w:jc w:val="right"/>
              <w:rPr>
                <w:rFonts w:ascii="Times New Roman" w:eastAsia="Times New Roman" w:hAnsi="Times New Roman" w:cs="Times New Roman"/>
                <w:color w:val="000000" w:themeColor="text1"/>
                <w:sz w:val="20"/>
                <w:highlight w:val="magenta"/>
              </w:rPr>
            </w:pPr>
          </w:p>
        </w:tc>
        <w:tc>
          <w:tcPr>
            <w:tcW w:w="1276" w:type="dxa"/>
            <w:vAlign w:val="center"/>
          </w:tcPr>
          <w:p w14:paraId="09461CE4" w14:textId="29B82E0C" w:rsidR="008A599A" w:rsidRPr="002652D3" w:rsidRDefault="008A599A" w:rsidP="003D5721">
            <w:pPr>
              <w:spacing w:line="256" w:lineRule="auto"/>
              <w:jc w:val="right"/>
              <w:rPr>
                <w:rFonts w:ascii="Times New Roman" w:eastAsia="Times New Roman" w:hAnsi="Times New Roman" w:cs="Times New Roman"/>
                <w:color w:val="000000" w:themeColor="text1"/>
                <w:sz w:val="20"/>
                <w:highlight w:val="magenta"/>
              </w:rPr>
            </w:pPr>
          </w:p>
        </w:tc>
      </w:tr>
      <w:tr w:rsidR="00AB5030" w:rsidRPr="00141CD4" w14:paraId="3720FBAE" w14:textId="77777777" w:rsidTr="7B0FF488">
        <w:trPr>
          <w:gridBefore w:val="1"/>
          <w:gridAfter w:val="1"/>
          <w:wBefore w:w="108" w:type="dxa"/>
          <w:wAfter w:w="459" w:type="dxa"/>
          <w:trHeight w:val="345"/>
        </w:trPr>
        <w:tc>
          <w:tcPr>
            <w:tcW w:w="5670" w:type="dxa"/>
            <w:vAlign w:val="center"/>
            <w:hideMark/>
          </w:tcPr>
          <w:p w14:paraId="61BF21FE" w14:textId="2CF45AA7" w:rsidR="008A599A" w:rsidRDefault="008B7833" w:rsidP="219D5185">
            <w:pPr>
              <w:spacing w:line="256" w:lineRule="auto"/>
              <w:ind w:left="315"/>
              <w:rPr>
                <w:rFonts w:ascii="Calibri" w:eastAsia="Calibri" w:hAnsi="Calibri" w:cs="Calibri"/>
                <w:color w:val="000000" w:themeColor="text1"/>
                <w:sz w:val="20"/>
              </w:rPr>
            </w:pPr>
            <w:r w:rsidRPr="219D5185">
              <w:rPr>
                <w:rFonts w:ascii="Calibri" w:eastAsia="Calibri" w:hAnsi="Calibri" w:cs="Calibri"/>
                <w:color w:val="000000" w:themeColor="text1"/>
                <w:sz w:val="20"/>
              </w:rPr>
              <w:t>Medicare M</w:t>
            </w:r>
            <w:r w:rsidR="008A599A" w:rsidRPr="219D5185">
              <w:rPr>
                <w:rFonts w:ascii="Calibri" w:eastAsia="Calibri" w:hAnsi="Calibri" w:cs="Calibri"/>
                <w:color w:val="000000" w:themeColor="text1"/>
                <w:sz w:val="20"/>
              </w:rPr>
              <w:t xml:space="preserve">ental </w:t>
            </w:r>
            <w:r w:rsidRPr="219D5185">
              <w:rPr>
                <w:rFonts w:ascii="Calibri" w:eastAsia="Calibri" w:hAnsi="Calibri" w:cs="Calibri"/>
                <w:color w:val="000000" w:themeColor="text1"/>
                <w:sz w:val="20"/>
              </w:rPr>
              <w:t>H</w:t>
            </w:r>
            <w:r w:rsidR="008A599A" w:rsidRPr="219D5185">
              <w:rPr>
                <w:rFonts w:ascii="Calibri" w:eastAsia="Calibri" w:hAnsi="Calibri" w:cs="Calibri"/>
                <w:color w:val="000000" w:themeColor="text1"/>
                <w:sz w:val="20"/>
              </w:rPr>
              <w:t>ealth </w:t>
            </w:r>
            <w:r w:rsidRPr="219D5185">
              <w:rPr>
                <w:rFonts w:ascii="Calibri" w:eastAsia="Calibri" w:hAnsi="Calibri" w:cs="Calibri"/>
                <w:color w:val="000000" w:themeColor="text1"/>
                <w:sz w:val="20"/>
              </w:rPr>
              <w:t>C</w:t>
            </w:r>
            <w:r w:rsidR="008A599A" w:rsidRPr="219D5185">
              <w:rPr>
                <w:rFonts w:ascii="Calibri" w:eastAsia="Calibri" w:hAnsi="Calibri" w:cs="Calibri"/>
                <w:color w:val="000000" w:themeColor="text1"/>
                <w:sz w:val="20"/>
              </w:rPr>
              <w:t>entre (Commonwealth only funded)</w:t>
            </w:r>
            <w:r w:rsidR="008A599A" w:rsidRPr="219D5185">
              <w:rPr>
                <w:rFonts w:ascii="Calibri" w:eastAsia="Calibri" w:hAnsi="Calibri" w:cs="Calibri"/>
                <w:color w:val="000000" w:themeColor="text1"/>
                <w:sz w:val="20"/>
                <w:lang w:val="en-AU"/>
              </w:rPr>
              <w:t> </w:t>
            </w:r>
          </w:p>
        </w:tc>
        <w:tc>
          <w:tcPr>
            <w:tcW w:w="1134" w:type="dxa"/>
            <w:vAlign w:val="center"/>
            <w:hideMark/>
          </w:tcPr>
          <w:p w14:paraId="7C88035B" w14:textId="77777777" w:rsidR="008A599A" w:rsidRPr="007A01A9" w:rsidRDefault="008A599A" w:rsidP="003D5721">
            <w:pPr>
              <w:spacing w:line="256" w:lineRule="auto"/>
              <w:jc w:val="right"/>
              <w:rPr>
                <w:rFonts w:ascii="Calibri" w:eastAsia="Calibri" w:hAnsi="Calibri" w:cs="Calibri"/>
                <w:color w:val="0070C0"/>
                <w:sz w:val="20"/>
              </w:rPr>
            </w:pPr>
            <w:r w:rsidRPr="007A01A9">
              <w:rPr>
                <w:rFonts w:ascii="Calibri" w:hAnsi="Calibri" w:cs="Calibri"/>
                <w:color w:val="0070C0"/>
                <w:sz w:val="20"/>
              </w:rPr>
              <w:t xml:space="preserve">-   </w:t>
            </w:r>
          </w:p>
        </w:tc>
        <w:tc>
          <w:tcPr>
            <w:tcW w:w="1418" w:type="dxa"/>
            <w:gridSpan w:val="3"/>
            <w:vAlign w:val="center"/>
            <w:hideMark/>
          </w:tcPr>
          <w:p w14:paraId="08F5C474" w14:textId="77777777" w:rsidR="008A599A" w:rsidRPr="007A01A9" w:rsidRDefault="008A599A" w:rsidP="003D5721">
            <w:pPr>
              <w:spacing w:line="256" w:lineRule="auto"/>
              <w:jc w:val="right"/>
              <w:rPr>
                <w:rFonts w:ascii="Calibri" w:eastAsia="Calibri" w:hAnsi="Calibri" w:cs="Calibri"/>
                <w:sz w:val="20"/>
              </w:rPr>
            </w:pPr>
            <w:r w:rsidRPr="007A01A9">
              <w:rPr>
                <w:rFonts w:ascii="Calibri" w:hAnsi="Calibri" w:cs="Calibri"/>
                <w:sz w:val="20"/>
              </w:rPr>
              <w:t xml:space="preserve">-   </w:t>
            </w:r>
          </w:p>
        </w:tc>
        <w:tc>
          <w:tcPr>
            <w:tcW w:w="1417" w:type="dxa"/>
            <w:vAlign w:val="center"/>
            <w:hideMark/>
          </w:tcPr>
          <w:p w14:paraId="577E5C7F" w14:textId="77777777" w:rsidR="008A599A" w:rsidRPr="007A01A9" w:rsidRDefault="008A599A" w:rsidP="003D5721">
            <w:pPr>
              <w:spacing w:line="256" w:lineRule="auto"/>
              <w:jc w:val="right"/>
              <w:rPr>
                <w:rFonts w:ascii="Calibri" w:eastAsia="Calibri" w:hAnsi="Calibri" w:cs="Calibri"/>
                <w:sz w:val="20"/>
              </w:rPr>
            </w:pPr>
            <w:r w:rsidRPr="007A01A9">
              <w:rPr>
                <w:rFonts w:ascii="Calibri" w:hAnsi="Calibri" w:cs="Calibri"/>
                <w:sz w:val="20"/>
              </w:rPr>
              <w:t xml:space="preserve">-   </w:t>
            </w:r>
          </w:p>
        </w:tc>
        <w:tc>
          <w:tcPr>
            <w:tcW w:w="1276" w:type="dxa"/>
            <w:vAlign w:val="center"/>
            <w:hideMark/>
          </w:tcPr>
          <w:p w14:paraId="25AF637B" w14:textId="77777777" w:rsidR="008A599A" w:rsidRPr="007A01A9" w:rsidRDefault="008A599A" w:rsidP="003D5721">
            <w:pPr>
              <w:spacing w:line="256" w:lineRule="auto"/>
              <w:jc w:val="right"/>
              <w:rPr>
                <w:rFonts w:ascii="Calibri" w:eastAsia="Calibri" w:hAnsi="Calibri" w:cs="Calibri"/>
                <w:sz w:val="20"/>
              </w:rPr>
            </w:pPr>
            <w:r w:rsidRPr="007A01A9">
              <w:rPr>
                <w:rFonts w:ascii="Calibri" w:hAnsi="Calibri" w:cs="Calibri"/>
                <w:sz w:val="20"/>
              </w:rPr>
              <w:t xml:space="preserve">4,143,415 </w:t>
            </w:r>
          </w:p>
        </w:tc>
        <w:tc>
          <w:tcPr>
            <w:tcW w:w="1276" w:type="dxa"/>
            <w:vAlign w:val="center"/>
            <w:hideMark/>
          </w:tcPr>
          <w:p w14:paraId="54883C60" w14:textId="77777777" w:rsidR="008A599A" w:rsidRPr="007A01A9" w:rsidRDefault="008A599A" w:rsidP="003D5721">
            <w:pPr>
              <w:spacing w:line="256" w:lineRule="auto"/>
              <w:jc w:val="right"/>
              <w:rPr>
                <w:rFonts w:ascii="Calibri" w:eastAsia="Calibri" w:hAnsi="Calibri" w:cs="Calibri"/>
                <w:sz w:val="20"/>
              </w:rPr>
            </w:pPr>
            <w:r w:rsidRPr="007A01A9">
              <w:rPr>
                <w:rFonts w:ascii="Calibri" w:hAnsi="Calibri" w:cs="Calibri"/>
                <w:sz w:val="20"/>
              </w:rPr>
              <w:t xml:space="preserve">4,201,465 </w:t>
            </w:r>
          </w:p>
        </w:tc>
        <w:tc>
          <w:tcPr>
            <w:tcW w:w="1417" w:type="dxa"/>
            <w:vAlign w:val="center"/>
          </w:tcPr>
          <w:p w14:paraId="399AD38C" w14:textId="57E4E164" w:rsidR="008A599A" w:rsidRPr="007A01A9" w:rsidRDefault="008A599A" w:rsidP="003D5721">
            <w:pPr>
              <w:spacing w:line="256" w:lineRule="auto"/>
              <w:jc w:val="right"/>
              <w:rPr>
                <w:rFonts w:ascii="Calibri" w:hAnsi="Calibri" w:cs="Calibri"/>
                <w:sz w:val="20"/>
              </w:rPr>
            </w:pPr>
            <w:r w:rsidRPr="219D5185">
              <w:rPr>
                <w:rFonts w:ascii="Calibri" w:hAnsi="Calibri" w:cs="Calibri"/>
                <w:sz w:val="20"/>
              </w:rPr>
              <w:t>4,302,300</w:t>
            </w:r>
          </w:p>
        </w:tc>
        <w:tc>
          <w:tcPr>
            <w:tcW w:w="1276" w:type="dxa"/>
            <w:vAlign w:val="center"/>
            <w:hideMark/>
          </w:tcPr>
          <w:p w14:paraId="09810EC9" w14:textId="7D0D3482" w:rsidR="008A599A" w:rsidRPr="007A01A9" w:rsidRDefault="008A599A" w:rsidP="003D5721">
            <w:pPr>
              <w:spacing w:line="256" w:lineRule="auto"/>
              <w:jc w:val="right"/>
              <w:rPr>
                <w:rFonts w:ascii="Calibri" w:eastAsia="Calibri" w:hAnsi="Calibri" w:cs="Calibri"/>
                <w:sz w:val="20"/>
              </w:rPr>
            </w:pPr>
            <w:r w:rsidRPr="219D5185">
              <w:rPr>
                <w:rFonts w:ascii="Calibri" w:hAnsi="Calibri" w:cs="Calibri"/>
                <w:sz w:val="20"/>
              </w:rPr>
              <w:t xml:space="preserve">12,647,180 </w:t>
            </w:r>
          </w:p>
        </w:tc>
      </w:tr>
      <w:tr w:rsidR="00AB5030" w:rsidRPr="00141CD4" w14:paraId="580A39CF" w14:textId="77777777" w:rsidTr="7B0FF488">
        <w:trPr>
          <w:gridBefore w:val="1"/>
          <w:gridAfter w:val="1"/>
          <w:wBefore w:w="108" w:type="dxa"/>
          <w:wAfter w:w="459" w:type="dxa"/>
          <w:trHeight w:val="345"/>
        </w:trPr>
        <w:tc>
          <w:tcPr>
            <w:tcW w:w="5670" w:type="dxa"/>
            <w:vAlign w:val="center"/>
            <w:hideMark/>
          </w:tcPr>
          <w:p w14:paraId="076400B4" w14:textId="4DA80E4B" w:rsidR="008A599A" w:rsidRDefault="008A599A" w:rsidP="219D5185">
            <w:pPr>
              <w:spacing w:line="256" w:lineRule="auto"/>
              <w:ind w:left="315"/>
              <w:rPr>
                <w:rFonts w:ascii="Calibri" w:eastAsia="Calibri" w:hAnsi="Calibri" w:cs="Calibri"/>
                <w:color w:val="FF0000"/>
                <w:sz w:val="20"/>
              </w:rPr>
            </w:pPr>
            <w:r w:rsidRPr="219D5185">
              <w:rPr>
                <w:rFonts w:ascii="Calibri" w:eastAsia="Calibri" w:hAnsi="Calibri" w:cs="Calibri"/>
                <w:sz w:val="20"/>
              </w:rPr>
              <w:t xml:space="preserve">Existing </w:t>
            </w:r>
            <w:r w:rsidR="008B7833" w:rsidRPr="219D5185">
              <w:rPr>
                <w:rFonts w:ascii="Calibri" w:eastAsia="Calibri" w:hAnsi="Calibri" w:cs="Calibri"/>
                <w:sz w:val="20"/>
              </w:rPr>
              <w:t>head to</w:t>
            </w:r>
            <w:r w:rsidRPr="219D5185">
              <w:rPr>
                <w:rFonts w:ascii="Calibri" w:eastAsia="Calibri" w:hAnsi="Calibri" w:cs="Calibri"/>
                <w:sz w:val="20"/>
              </w:rPr>
              <w:t xml:space="preserve"> health clinics (Commonwealth only funded)</w:t>
            </w:r>
            <w:r w:rsidRPr="219D5185">
              <w:rPr>
                <w:rFonts w:ascii="Calibri" w:eastAsia="Calibri" w:hAnsi="Calibri" w:cs="Calibri"/>
                <w:sz w:val="20"/>
                <w:lang w:val="en-AU"/>
              </w:rPr>
              <w:t> </w:t>
            </w:r>
          </w:p>
        </w:tc>
        <w:tc>
          <w:tcPr>
            <w:tcW w:w="1134" w:type="dxa"/>
            <w:vAlign w:val="center"/>
            <w:hideMark/>
          </w:tcPr>
          <w:p w14:paraId="227BBF9A" w14:textId="77777777" w:rsidR="008A599A" w:rsidRPr="007A01A9" w:rsidRDefault="008A599A" w:rsidP="003D5721">
            <w:pPr>
              <w:spacing w:line="256" w:lineRule="auto"/>
              <w:jc w:val="right"/>
              <w:rPr>
                <w:rFonts w:ascii="Calibri" w:eastAsia="Calibri" w:hAnsi="Calibri" w:cs="Calibri"/>
                <w:sz w:val="20"/>
              </w:rPr>
            </w:pPr>
            <w:r w:rsidRPr="007A01A9">
              <w:rPr>
                <w:rFonts w:ascii="Calibri" w:hAnsi="Calibri" w:cs="Calibri"/>
                <w:sz w:val="20"/>
              </w:rPr>
              <w:t xml:space="preserve">8,612,212 </w:t>
            </w:r>
          </w:p>
        </w:tc>
        <w:tc>
          <w:tcPr>
            <w:tcW w:w="1418" w:type="dxa"/>
            <w:gridSpan w:val="3"/>
            <w:vAlign w:val="center"/>
            <w:hideMark/>
          </w:tcPr>
          <w:p w14:paraId="007231FE" w14:textId="77777777" w:rsidR="008A599A" w:rsidRPr="007A01A9" w:rsidRDefault="008A599A" w:rsidP="003D5721">
            <w:pPr>
              <w:spacing w:line="256" w:lineRule="auto"/>
              <w:jc w:val="right"/>
              <w:rPr>
                <w:rFonts w:ascii="Calibri" w:eastAsia="Calibri" w:hAnsi="Calibri" w:cs="Calibri"/>
                <w:sz w:val="20"/>
              </w:rPr>
            </w:pPr>
            <w:r w:rsidRPr="007A01A9">
              <w:rPr>
                <w:rFonts w:ascii="Calibri" w:hAnsi="Calibri" w:cs="Calibri"/>
                <w:sz w:val="20"/>
              </w:rPr>
              <w:t xml:space="preserve">4,321,000 </w:t>
            </w:r>
          </w:p>
        </w:tc>
        <w:tc>
          <w:tcPr>
            <w:tcW w:w="1417" w:type="dxa"/>
            <w:vAlign w:val="center"/>
            <w:hideMark/>
          </w:tcPr>
          <w:p w14:paraId="37F495D8" w14:textId="77777777" w:rsidR="008A599A" w:rsidRPr="00D13100" w:rsidRDefault="008A599A" w:rsidP="003D5721">
            <w:pPr>
              <w:spacing w:line="256" w:lineRule="auto"/>
              <w:jc w:val="right"/>
              <w:rPr>
                <w:rFonts w:ascii="Calibri" w:eastAsia="Calibri" w:hAnsi="Calibri" w:cs="Calibri"/>
                <w:sz w:val="20"/>
              </w:rPr>
            </w:pPr>
            <w:r w:rsidRPr="0036395C">
              <w:rPr>
                <w:rFonts w:ascii="Calibri" w:hAnsi="Calibri" w:cs="Calibri"/>
                <w:sz w:val="20"/>
              </w:rPr>
              <w:t>10,053,000</w:t>
            </w:r>
          </w:p>
        </w:tc>
        <w:tc>
          <w:tcPr>
            <w:tcW w:w="1276" w:type="dxa"/>
            <w:vAlign w:val="center"/>
            <w:hideMark/>
          </w:tcPr>
          <w:p w14:paraId="3D255EA1" w14:textId="77777777" w:rsidR="008A599A" w:rsidRPr="00D13100" w:rsidRDefault="008A599A" w:rsidP="003D5721">
            <w:pPr>
              <w:spacing w:line="256" w:lineRule="auto"/>
              <w:jc w:val="right"/>
              <w:rPr>
                <w:rFonts w:ascii="Calibri" w:eastAsia="Calibri" w:hAnsi="Calibri" w:cs="Calibri"/>
                <w:sz w:val="20"/>
              </w:rPr>
            </w:pPr>
            <w:r w:rsidRPr="0036395C">
              <w:rPr>
                <w:rFonts w:ascii="Calibri" w:hAnsi="Calibri" w:cs="Calibri"/>
                <w:sz w:val="20"/>
              </w:rPr>
              <w:t>5,017,000</w:t>
            </w:r>
          </w:p>
        </w:tc>
        <w:tc>
          <w:tcPr>
            <w:tcW w:w="1276" w:type="dxa"/>
            <w:vAlign w:val="center"/>
            <w:hideMark/>
          </w:tcPr>
          <w:p w14:paraId="5DAC1FA7" w14:textId="4BEA72E9" w:rsidR="008A599A" w:rsidRPr="00D13100" w:rsidRDefault="00CE3E08" w:rsidP="003D5721">
            <w:pPr>
              <w:spacing w:line="256" w:lineRule="auto"/>
              <w:jc w:val="right"/>
              <w:rPr>
                <w:rFonts w:ascii="Calibri" w:eastAsia="Calibri" w:hAnsi="Calibri" w:cs="Calibri"/>
                <w:sz w:val="20"/>
              </w:rPr>
            </w:pPr>
            <w:r w:rsidRPr="219D5185">
              <w:rPr>
                <w:rFonts w:ascii="Calibri" w:hAnsi="Calibri" w:cs="Calibri"/>
                <w:sz w:val="20"/>
              </w:rPr>
              <w:t>9,</w:t>
            </w:r>
            <w:r w:rsidR="009665E9" w:rsidRPr="219D5185">
              <w:rPr>
                <w:rFonts w:ascii="Calibri" w:hAnsi="Calibri" w:cs="Calibri"/>
                <w:sz w:val="20"/>
              </w:rPr>
              <w:t>394,990</w:t>
            </w:r>
          </w:p>
        </w:tc>
        <w:tc>
          <w:tcPr>
            <w:tcW w:w="1417" w:type="dxa"/>
            <w:vAlign w:val="center"/>
          </w:tcPr>
          <w:p w14:paraId="3DC74F2B" w14:textId="2A68739B" w:rsidR="008A599A" w:rsidRPr="0036395C" w:rsidRDefault="009665E9" w:rsidP="003D5721">
            <w:pPr>
              <w:spacing w:line="256" w:lineRule="auto"/>
              <w:jc w:val="right"/>
              <w:rPr>
                <w:rFonts w:ascii="Calibri" w:hAnsi="Calibri" w:cs="Calibri"/>
                <w:sz w:val="20"/>
              </w:rPr>
            </w:pPr>
            <w:r w:rsidRPr="219D5185">
              <w:rPr>
                <w:rFonts w:ascii="Calibri" w:hAnsi="Calibri" w:cs="Calibri"/>
                <w:sz w:val="20"/>
              </w:rPr>
              <w:t>7</w:t>
            </w:r>
            <w:r w:rsidR="003E6D98" w:rsidRPr="219D5185">
              <w:rPr>
                <w:rFonts w:ascii="Calibri" w:hAnsi="Calibri" w:cs="Calibri"/>
                <w:sz w:val="20"/>
              </w:rPr>
              <w:t>,730,309</w:t>
            </w:r>
          </w:p>
        </w:tc>
        <w:tc>
          <w:tcPr>
            <w:tcW w:w="1276" w:type="dxa"/>
            <w:vAlign w:val="center"/>
            <w:hideMark/>
          </w:tcPr>
          <w:p w14:paraId="2F47295A" w14:textId="1582D69C" w:rsidR="008A599A" w:rsidRPr="00D13100" w:rsidRDefault="009845EA" w:rsidP="003D5721">
            <w:pPr>
              <w:spacing w:line="256" w:lineRule="auto"/>
              <w:jc w:val="right"/>
              <w:rPr>
                <w:rFonts w:ascii="Calibri" w:eastAsia="Calibri" w:hAnsi="Calibri" w:cs="Calibri"/>
                <w:sz w:val="20"/>
              </w:rPr>
            </w:pPr>
            <w:r w:rsidRPr="219D5185">
              <w:rPr>
                <w:rFonts w:ascii="Calibri" w:hAnsi="Calibri" w:cs="Calibri"/>
                <w:sz w:val="20"/>
              </w:rPr>
              <w:t>45,128,511</w:t>
            </w:r>
          </w:p>
        </w:tc>
      </w:tr>
      <w:tr w:rsidR="00AB5030" w14:paraId="07FE283D" w14:textId="77777777" w:rsidTr="7B0FF488">
        <w:trPr>
          <w:gridBefore w:val="1"/>
          <w:gridAfter w:val="1"/>
          <w:wBefore w:w="108" w:type="dxa"/>
          <w:wAfter w:w="459" w:type="dxa"/>
          <w:trHeight w:val="345"/>
        </w:trPr>
        <w:tc>
          <w:tcPr>
            <w:tcW w:w="5670" w:type="dxa"/>
            <w:vAlign w:val="center"/>
            <w:hideMark/>
          </w:tcPr>
          <w:p w14:paraId="1B58AB6B" w14:textId="77777777" w:rsidR="008A599A" w:rsidRDefault="008A599A" w:rsidP="008A599A">
            <w:pPr>
              <w:spacing w:line="256" w:lineRule="auto"/>
              <w:ind w:left="30"/>
              <w:rPr>
                <w:rFonts w:ascii="Calibri" w:eastAsia="Calibri" w:hAnsi="Calibri" w:cs="Calibri"/>
                <w:color w:val="000000" w:themeColor="text1"/>
                <w:sz w:val="20"/>
              </w:rPr>
            </w:pPr>
            <w:r>
              <w:rPr>
                <w:rFonts w:ascii="Calibri" w:eastAsia="Calibri" w:hAnsi="Calibri" w:cs="Calibri"/>
                <w:color w:val="000000" w:themeColor="text1"/>
                <w:sz w:val="20"/>
              </w:rPr>
              <w:t>Enhancement and expansion of youth mental health services  </w:t>
            </w:r>
            <w:r>
              <w:rPr>
                <w:rFonts w:ascii="Calibri" w:eastAsia="Calibri" w:hAnsi="Calibri" w:cs="Calibri"/>
                <w:color w:val="000000" w:themeColor="text1"/>
                <w:sz w:val="20"/>
                <w:lang w:val="en-AU"/>
              </w:rPr>
              <w:t> </w:t>
            </w:r>
          </w:p>
        </w:tc>
        <w:tc>
          <w:tcPr>
            <w:tcW w:w="1134" w:type="dxa"/>
            <w:vAlign w:val="center"/>
            <w:hideMark/>
          </w:tcPr>
          <w:p w14:paraId="33B4ECF5" w14:textId="77777777" w:rsidR="008A599A" w:rsidRPr="007A01A9" w:rsidRDefault="008A599A" w:rsidP="003D5721">
            <w:pPr>
              <w:spacing w:line="256" w:lineRule="auto"/>
              <w:jc w:val="right"/>
              <w:rPr>
                <w:rFonts w:ascii="Calibri" w:eastAsia="Calibri" w:hAnsi="Calibri" w:cs="Calibri"/>
                <w:color w:val="000000" w:themeColor="text1"/>
                <w:sz w:val="20"/>
              </w:rPr>
            </w:pPr>
            <w:r w:rsidRPr="007A01A9">
              <w:rPr>
                <w:rFonts w:ascii="Calibri" w:eastAsia="Calibri" w:hAnsi="Calibri" w:cs="Calibri"/>
                <w:color w:val="000000" w:themeColor="text1"/>
                <w:sz w:val="20"/>
                <w:lang w:val="en-AU"/>
              </w:rPr>
              <w:t> </w:t>
            </w:r>
          </w:p>
        </w:tc>
        <w:tc>
          <w:tcPr>
            <w:tcW w:w="1418" w:type="dxa"/>
            <w:gridSpan w:val="3"/>
            <w:vAlign w:val="center"/>
            <w:hideMark/>
          </w:tcPr>
          <w:p w14:paraId="3EF3389D" w14:textId="77777777" w:rsidR="008A599A" w:rsidRPr="007A01A9" w:rsidRDefault="008A599A" w:rsidP="003D5721">
            <w:pPr>
              <w:spacing w:line="256" w:lineRule="auto"/>
              <w:jc w:val="right"/>
              <w:rPr>
                <w:rFonts w:ascii="Calibri" w:eastAsia="Calibri" w:hAnsi="Calibri" w:cs="Calibri"/>
                <w:color w:val="000000" w:themeColor="text1"/>
                <w:sz w:val="20"/>
              </w:rPr>
            </w:pPr>
            <w:r w:rsidRPr="007A01A9">
              <w:rPr>
                <w:rFonts w:ascii="Calibri" w:eastAsia="Calibri" w:hAnsi="Calibri" w:cs="Calibri"/>
                <w:color w:val="000000" w:themeColor="text1"/>
                <w:sz w:val="20"/>
                <w:lang w:val="en-AU"/>
              </w:rPr>
              <w:t> </w:t>
            </w:r>
          </w:p>
        </w:tc>
        <w:tc>
          <w:tcPr>
            <w:tcW w:w="1417" w:type="dxa"/>
            <w:vAlign w:val="center"/>
            <w:hideMark/>
          </w:tcPr>
          <w:p w14:paraId="13CFAF10" w14:textId="77777777" w:rsidR="008A599A" w:rsidRPr="007A01A9" w:rsidRDefault="008A599A" w:rsidP="003D5721">
            <w:pPr>
              <w:spacing w:line="256" w:lineRule="auto"/>
              <w:jc w:val="right"/>
              <w:rPr>
                <w:rFonts w:ascii="Calibri" w:eastAsia="Calibri" w:hAnsi="Calibri" w:cs="Calibri"/>
                <w:color w:val="000000" w:themeColor="text1"/>
                <w:sz w:val="20"/>
              </w:rPr>
            </w:pPr>
            <w:r w:rsidRPr="007A01A9">
              <w:rPr>
                <w:rFonts w:ascii="Calibri" w:eastAsia="Calibri" w:hAnsi="Calibri" w:cs="Calibri"/>
                <w:color w:val="000000" w:themeColor="text1"/>
                <w:sz w:val="20"/>
                <w:lang w:val="en-AU"/>
              </w:rPr>
              <w:t> </w:t>
            </w:r>
          </w:p>
        </w:tc>
        <w:tc>
          <w:tcPr>
            <w:tcW w:w="1276" w:type="dxa"/>
            <w:vAlign w:val="center"/>
            <w:hideMark/>
          </w:tcPr>
          <w:p w14:paraId="217BABFE" w14:textId="77777777" w:rsidR="008A599A" w:rsidRPr="007A01A9" w:rsidRDefault="008A599A" w:rsidP="003D5721">
            <w:pPr>
              <w:spacing w:line="256" w:lineRule="auto"/>
              <w:jc w:val="right"/>
              <w:rPr>
                <w:rFonts w:ascii="Calibri" w:eastAsia="Calibri" w:hAnsi="Calibri" w:cs="Calibri"/>
                <w:color w:val="000000" w:themeColor="text1"/>
                <w:sz w:val="20"/>
              </w:rPr>
            </w:pPr>
            <w:r w:rsidRPr="007A01A9">
              <w:rPr>
                <w:rFonts w:ascii="Calibri" w:eastAsia="Calibri" w:hAnsi="Calibri" w:cs="Calibri"/>
                <w:color w:val="000000" w:themeColor="text1"/>
                <w:sz w:val="20"/>
                <w:lang w:val="en-AU"/>
              </w:rPr>
              <w:t> </w:t>
            </w:r>
          </w:p>
        </w:tc>
        <w:tc>
          <w:tcPr>
            <w:tcW w:w="1276" w:type="dxa"/>
            <w:vAlign w:val="center"/>
            <w:hideMark/>
          </w:tcPr>
          <w:p w14:paraId="2081E513" w14:textId="77777777" w:rsidR="008A599A" w:rsidRPr="007A01A9" w:rsidRDefault="008A599A" w:rsidP="003D5721">
            <w:pPr>
              <w:spacing w:line="256" w:lineRule="auto"/>
              <w:jc w:val="right"/>
              <w:rPr>
                <w:rFonts w:ascii="Calibri" w:eastAsia="Calibri" w:hAnsi="Calibri" w:cs="Calibri"/>
                <w:color w:val="000000" w:themeColor="text1"/>
                <w:sz w:val="20"/>
              </w:rPr>
            </w:pPr>
            <w:r w:rsidRPr="007A01A9">
              <w:rPr>
                <w:rFonts w:ascii="Calibri" w:eastAsia="Calibri" w:hAnsi="Calibri" w:cs="Calibri"/>
                <w:color w:val="000000" w:themeColor="text1"/>
                <w:sz w:val="20"/>
                <w:lang w:val="en-AU"/>
              </w:rPr>
              <w:t> </w:t>
            </w:r>
          </w:p>
        </w:tc>
        <w:tc>
          <w:tcPr>
            <w:tcW w:w="1417" w:type="dxa"/>
            <w:vAlign w:val="center"/>
          </w:tcPr>
          <w:p w14:paraId="17A5BB5B" w14:textId="77777777" w:rsidR="008A599A" w:rsidRPr="007A01A9" w:rsidRDefault="008A599A" w:rsidP="003D5721">
            <w:pPr>
              <w:spacing w:line="256" w:lineRule="auto"/>
              <w:jc w:val="right"/>
              <w:rPr>
                <w:rFonts w:ascii="Calibri" w:eastAsia="Calibri" w:hAnsi="Calibri" w:cs="Calibri"/>
                <w:color w:val="000000" w:themeColor="text1"/>
                <w:sz w:val="20"/>
                <w:lang w:val="en-AU"/>
              </w:rPr>
            </w:pPr>
          </w:p>
        </w:tc>
        <w:tc>
          <w:tcPr>
            <w:tcW w:w="1276" w:type="dxa"/>
            <w:vAlign w:val="center"/>
            <w:hideMark/>
          </w:tcPr>
          <w:p w14:paraId="323DCD6A" w14:textId="5254BB64" w:rsidR="008A599A" w:rsidRPr="007A01A9" w:rsidRDefault="008A599A" w:rsidP="003D5721">
            <w:pPr>
              <w:spacing w:line="256" w:lineRule="auto"/>
              <w:jc w:val="right"/>
              <w:rPr>
                <w:rFonts w:ascii="Calibri" w:eastAsia="Calibri" w:hAnsi="Calibri" w:cs="Calibri"/>
                <w:color w:val="000000" w:themeColor="text1"/>
                <w:sz w:val="20"/>
              </w:rPr>
            </w:pPr>
            <w:r w:rsidRPr="007A01A9">
              <w:rPr>
                <w:rFonts w:ascii="Calibri" w:eastAsia="Calibri" w:hAnsi="Calibri" w:cs="Calibri"/>
                <w:color w:val="000000" w:themeColor="text1"/>
                <w:sz w:val="20"/>
                <w:lang w:val="en-AU"/>
              </w:rPr>
              <w:t> </w:t>
            </w:r>
          </w:p>
        </w:tc>
      </w:tr>
      <w:tr w:rsidR="00AB5030" w14:paraId="274A7A6D" w14:textId="77777777" w:rsidTr="7B0FF488">
        <w:trPr>
          <w:gridBefore w:val="1"/>
          <w:gridAfter w:val="1"/>
          <w:wBefore w:w="108" w:type="dxa"/>
          <w:wAfter w:w="459" w:type="dxa"/>
          <w:trHeight w:val="435"/>
        </w:trPr>
        <w:tc>
          <w:tcPr>
            <w:tcW w:w="5670" w:type="dxa"/>
            <w:vAlign w:val="center"/>
            <w:hideMark/>
          </w:tcPr>
          <w:p w14:paraId="3C5A5FA3" w14:textId="77777777" w:rsidR="008A599A" w:rsidRDefault="008A599A" w:rsidP="008A599A">
            <w:pPr>
              <w:spacing w:line="256" w:lineRule="auto"/>
              <w:ind w:left="315"/>
              <w:rPr>
                <w:rFonts w:ascii="Calibri" w:eastAsia="Calibri" w:hAnsi="Calibri" w:cs="Calibri"/>
                <w:color w:val="000000" w:themeColor="text1"/>
                <w:sz w:val="20"/>
              </w:rPr>
            </w:pPr>
            <w:r>
              <w:rPr>
                <w:rFonts w:ascii="Calibri" w:eastAsia="Calibri" w:hAnsi="Calibri" w:cs="Calibri"/>
                <w:color w:val="000000" w:themeColor="text1"/>
                <w:sz w:val="20"/>
              </w:rPr>
              <w:t>Boosting clinical capacity at existing sites</w:t>
            </w:r>
            <w:r>
              <w:rPr>
                <w:rFonts w:ascii="Calibri" w:eastAsia="Calibri" w:hAnsi="Calibri" w:cs="Calibri"/>
                <w:color w:val="000000" w:themeColor="text1"/>
                <w:sz w:val="20"/>
                <w:lang w:val="en-AU"/>
              </w:rPr>
              <w:t> </w:t>
            </w:r>
          </w:p>
        </w:tc>
        <w:tc>
          <w:tcPr>
            <w:tcW w:w="1134" w:type="dxa"/>
            <w:vAlign w:val="center"/>
            <w:hideMark/>
          </w:tcPr>
          <w:p w14:paraId="7213C1E2" w14:textId="77777777" w:rsidR="008A599A" w:rsidRPr="007A01A9" w:rsidRDefault="008A599A" w:rsidP="003D5721">
            <w:pPr>
              <w:spacing w:line="256" w:lineRule="auto"/>
              <w:jc w:val="right"/>
              <w:rPr>
                <w:rFonts w:eastAsia="Calibri" w:cstheme="minorHAnsi"/>
                <w:color w:val="0070C0"/>
                <w:sz w:val="20"/>
              </w:rPr>
            </w:pPr>
            <w:r w:rsidRPr="007A01A9">
              <w:rPr>
                <w:rFonts w:eastAsia="Calibri" w:cstheme="minorHAnsi"/>
                <w:color w:val="0070C0"/>
                <w:sz w:val="20"/>
              </w:rPr>
              <w:t>-</w:t>
            </w:r>
          </w:p>
        </w:tc>
        <w:tc>
          <w:tcPr>
            <w:tcW w:w="1418" w:type="dxa"/>
            <w:gridSpan w:val="3"/>
            <w:vAlign w:val="center"/>
            <w:hideMark/>
          </w:tcPr>
          <w:p w14:paraId="7B01FADA" w14:textId="77777777" w:rsidR="008A599A" w:rsidRPr="007A01A9" w:rsidRDefault="008A599A" w:rsidP="003D5721">
            <w:pPr>
              <w:spacing w:line="256" w:lineRule="auto"/>
              <w:jc w:val="right"/>
              <w:rPr>
                <w:rFonts w:eastAsia="Calibri" w:cstheme="minorHAnsi"/>
                <w:sz w:val="20"/>
              </w:rPr>
            </w:pPr>
            <w:r w:rsidRPr="007A01A9">
              <w:rPr>
                <w:rFonts w:cstheme="minorHAnsi"/>
                <w:sz w:val="20"/>
              </w:rPr>
              <w:t xml:space="preserve">6,850,000 </w:t>
            </w:r>
          </w:p>
        </w:tc>
        <w:tc>
          <w:tcPr>
            <w:tcW w:w="1417" w:type="dxa"/>
            <w:vAlign w:val="center"/>
            <w:hideMark/>
          </w:tcPr>
          <w:p w14:paraId="160171DD" w14:textId="77777777" w:rsidR="008A599A" w:rsidRPr="007A01A9" w:rsidRDefault="008A599A" w:rsidP="003D5721">
            <w:pPr>
              <w:spacing w:line="256" w:lineRule="auto"/>
              <w:jc w:val="right"/>
              <w:rPr>
                <w:rFonts w:eastAsia="Calibri" w:cstheme="minorHAnsi"/>
                <w:sz w:val="20"/>
              </w:rPr>
            </w:pPr>
            <w:r w:rsidRPr="007A01A9">
              <w:rPr>
                <w:rFonts w:eastAsia="Calibri" w:cstheme="minorHAnsi"/>
                <w:sz w:val="20"/>
              </w:rPr>
              <w:t>5,640,000</w:t>
            </w:r>
          </w:p>
        </w:tc>
        <w:tc>
          <w:tcPr>
            <w:tcW w:w="1276" w:type="dxa"/>
            <w:vAlign w:val="center"/>
            <w:hideMark/>
          </w:tcPr>
          <w:p w14:paraId="5079D7B8" w14:textId="77777777" w:rsidR="008A599A" w:rsidRPr="007A01A9" w:rsidRDefault="008A599A" w:rsidP="003D5721">
            <w:pPr>
              <w:spacing w:line="256" w:lineRule="auto"/>
              <w:jc w:val="right"/>
              <w:rPr>
                <w:rFonts w:eastAsia="Calibri" w:cstheme="minorHAnsi"/>
                <w:sz w:val="20"/>
              </w:rPr>
            </w:pPr>
            <w:r w:rsidRPr="007A01A9">
              <w:rPr>
                <w:rFonts w:eastAsia="Calibri" w:cstheme="minorHAnsi"/>
                <w:sz w:val="20"/>
              </w:rPr>
              <w:t>7,375,000</w:t>
            </w:r>
          </w:p>
        </w:tc>
        <w:tc>
          <w:tcPr>
            <w:tcW w:w="1276" w:type="dxa"/>
            <w:vAlign w:val="center"/>
            <w:hideMark/>
          </w:tcPr>
          <w:p w14:paraId="6D557CAA" w14:textId="77777777" w:rsidR="008A599A" w:rsidRPr="007A01A9" w:rsidRDefault="008A599A" w:rsidP="003D5721">
            <w:pPr>
              <w:spacing w:line="256" w:lineRule="auto"/>
              <w:jc w:val="right"/>
              <w:rPr>
                <w:rFonts w:eastAsia="Calibri" w:cstheme="minorHAnsi"/>
                <w:sz w:val="20"/>
              </w:rPr>
            </w:pPr>
            <w:r w:rsidRPr="007A01A9">
              <w:rPr>
                <w:rFonts w:eastAsia="Calibri" w:cstheme="minorHAnsi"/>
                <w:sz w:val="20"/>
              </w:rPr>
              <w:t>12,560,000</w:t>
            </w:r>
          </w:p>
        </w:tc>
        <w:tc>
          <w:tcPr>
            <w:tcW w:w="1417" w:type="dxa"/>
            <w:vAlign w:val="center"/>
          </w:tcPr>
          <w:p w14:paraId="7F905E76" w14:textId="7BBCD7DF" w:rsidR="008A599A" w:rsidRPr="007A01A9" w:rsidRDefault="7F2895E9" w:rsidP="3B2334D9">
            <w:pPr>
              <w:spacing w:line="256" w:lineRule="auto"/>
              <w:jc w:val="right"/>
              <w:rPr>
                <w:rFonts w:eastAsia="Calibri" w:cstheme="minorBidi"/>
                <w:sz w:val="20"/>
              </w:rPr>
            </w:pPr>
            <w:r w:rsidRPr="3B2334D9">
              <w:rPr>
                <w:rFonts w:eastAsia="Calibri" w:cstheme="minorBidi"/>
                <w:sz w:val="20"/>
              </w:rPr>
              <w:t>12,861,44</w:t>
            </w:r>
            <w:r w:rsidR="5DE128A2" w:rsidRPr="3B2334D9">
              <w:rPr>
                <w:rFonts w:eastAsia="Calibri" w:cstheme="minorBidi"/>
                <w:sz w:val="20"/>
              </w:rPr>
              <w:t>0</w:t>
            </w:r>
          </w:p>
        </w:tc>
        <w:tc>
          <w:tcPr>
            <w:tcW w:w="1276" w:type="dxa"/>
            <w:vAlign w:val="center"/>
            <w:hideMark/>
          </w:tcPr>
          <w:p w14:paraId="039C8943" w14:textId="53FC6331" w:rsidR="008A599A" w:rsidRPr="007A01A9" w:rsidRDefault="3F1EEBBE" w:rsidP="3B2334D9">
            <w:pPr>
              <w:spacing w:line="256" w:lineRule="auto"/>
              <w:jc w:val="right"/>
              <w:rPr>
                <w:rFonts w:eastAsia="Calibri" w:cstheme="minorBidi"/>
                <w:sz w:val="20"/>
              </w:rPr>
            </w:pPr>
            <w:r w:rsidRPr="3B2334D9">
              <w:rPr>
                <w:rFonts w:eastAsia="Calibri" w:cstheme="minorBidi"/>
                <w:sz w:val="20"/>
              </w:rPr>
              <w:t>45,286,</w:t>
            </w:r>
            <w:r w:rsidR="24FC8D0A" w:rsidRPr="3B2334D9">
              <w:rPr>
                <w:rFonts w:eastAsia="Calibri" w:cstheme="minorBidi"/>
                <w:sz w:val="20"/>
              </w:rPr>
              <w:t>440</w:t>
            </w:r>
          </w:p>
        </w:tc>
      </w:tr>
      <w:tr w:rsidR="00AB5030" w14:paraId="6BB21B6A" w14:textId="77777777" w:rsidTr="7B0FF488">
        <w:trPr>
          <w:gridBefore w:val="1"/>
          <w:gridAfter w:val="1"/>
          <w:wBefore w:w="108" w:type="dxa"/>
          <w:wAfter w:w="459" w:type="dxa"/>
          <w:trHeight w:val="345"/>
        </w:trPr>
        <w:tc>
          <w:tcPr>
            <w:tcW w:w="5670" w:type="dxa"/>
            <w:vAlign w:val="center"/>
            <w:hideMark/>
          </w:tcPr>
          <w:p w14:paraId="6F476C14" w14:textId="77777777" w:rsidR="008A599A" w:rsidRDefault="008A599A" w:rsidP="008A599A">
            <w:pPr>
              <w:spacing w:line="256" w:lineRule="auto"/>
              <w:ind w:left="315"/>
              <w:rPr>
                <w:rFonts w:ascii="Calibri" w:eastAsia="Calibri" w:hAnsi="Calibri" w:cs="Calibri"/>
                <w:color w:val="000000" w:themeColor="text1"/>
                <w:sz w:val="20"/>
              </w:rPr>
            </w:pPr>
            <w:r>
              <w:rPr>
                <w:rFonts w:ascii="Calibri" w:eastAsia="Calibri" w:hAnsi="Calibri" w:cs="Calibri"/>
                <w:color w:val="000000" w:themeColor="text1"/>
                <w:sz w:val="20"/>
              </w:rPr>
              <w:t>Service delivery costs at new sites</w:t>
            </w:r>
            <w:r>
              <w:rPr>
                <w:rFonts w:ascii="Calibri" w:eastAsia="Calibri" w:hAnsi="Calibri" w:cs="Calibri"/>
                <w:color w:val="000000" w:themeColor="text1"/>
                <w:sz w:val="20"/>
                <w:lang w:val="en-AU"/>
              </w:rPr>
              <w:t> </w:t>
            </w:r>
          </w:p>
        </w:tc>
        <w:tc>
          <w:tcPr>
            <w:tcW w:w="1134" w:type="dxa"/>
            <w:vAlign w:val="center"/>
            <w:hideMark/>
          </w:tcPr>
          <w:p w14:paraId="220A3C38" w14:textId="77777777" w:rsidR="008A599A" w:rsidRPr="007A01A9" w:rsidRDefault="008A599A" w:rsidP="003D5721">
            <w:pPr>
              <w:spacing w:line="256" w:lineRule="auto"/>
              <w:jc w:val="right"/>
              <w:rPr>
                <w:rFonts w:eastAsia="Calibri" w:cstheme="minorHAnsi"/>
                <w:color w:val="0070C0"/>
                <w:sz w:val="20"/>
              </w:rPr>
            </w:pPr>
            <w:r w:rsidRPr="002652D3">
              <w:rPr>
                <w:rFonts w:ascii="Calibri" w:hAnsi="Calibri" w:cs="Calibri"/>
                <w:sz w:val="20"/>
              </w:rPr>
              <w:t xml:space="preserve">1,060,000 </w:t>
            </w:r>
          </w:p>
        </w:tc>
        <w:tc>
          <w:tcPr>
            <w:tcW w:w="1418" w:type="dxa"/>
            <w:gridSpan w:val="3"/>
            <w:vAlign w:val="center"/>
            <w:hideMark/>
          </w:tcPr>
          <w:p w14:paraId="7DB4FB0B" w14:textId="77777777" w:rsidR="008A599A" w:rsidRPr="007A01A9" w:rsidRDefault="008A599A" w:rsidP="003D5721">
            <w:pPr>
              <w:spacing w:line="256" w:lineRule="auto"/>
              <w:jc w:val="right"/>
              <w:rPr>
                <w:rFonts w:eastAsia="Calibri" w:cstheme="minorHAnsi"/>
                <w:sz w:val="20"/>
              </w:rPr>
            </w:pPr>
            <w:r w:rsidRPr="002652D3">
              <w:rPr>
                <w:rFonts w:ascii="Calibri" w:hAnsi="Calibri" w:cs="Calibri"/>
                <w:sz w:val="20"/>
              </w:rPr>
              <w:t xml:space="preserve">2,580,000 </w:t>
            </w:r>
          </w:p>
        </w:tc>
        <w:tc>
          <w:tcPr>
            <w:tcW w:w="1417" w:type="dxa"/>
            <w:vAlign w:val="center"/>
            <w:hideMark/>
          </w:tcPr>
          <w:p w14:paraId="230FD8DF" w14:textId="77777777" w:rsidR="008A599A" w:rsidRPr="007A01A9" w:rsidRDefault="008A599A" w:rsidP="003D5721">
            <w:pPr>
              <w:spacing w:line="256" w:lineRule="auto"/>
              <w:jc w:val="right"/>
              <w:rPr>
                <w:rFonts w:eastAsia="Calibri" w:cstheme="minorHAnsi"/>
                <w:sz w:val="20"/>
              </w:rPr>
            </w:pPr>
            <w:r w:rsidRPr="007A01A9">
              <w:rPr>
                <w:rFonts w:eastAsia="Calibri" w:cstheme="minorHAnsi"/>
                <w:sz w:val="20"/>
              </w:rPr>
              <w:t>3,070,000</w:t>
            </w:r>
          </w:p>
        </w:tc>
        <w:tc>
          <w:tcPr>
            <w:tcW w:w="1276" w:type="dxa"/>
            <w:vAlign w:val="center"/>
            <w:hideMark/>
          </w:tcPr>
          <w:p w14:paraId="31FFB0DD" w14:textId="77777777" w:rsidR="008A599A" w:rsidRPr="007A01A9" w:rsidRDefault="008A599A" w:rsidP="003D5721">
            <w:pPr>
              <w:spacing w:line="256" w:lineRule="auto"/>
              <w:jc w:val="right"/>
              <w:rPr>
                <w:rFonts w:eastAsia="Calibri" w:cstheme="minorHAnsi"/>
                <w:sz w:val="20"/>
              </w:rPr>
            </w:pPr>
            <w:r w:rsidRPr="007A01A9">
              <w:rPr>
                <w:rFonts w:eastAsia="Calibri" w:cstheme="minorHAnsi"/>
                <w:sz w:val="20"/>
              </w:rPr>
              <w:t>3,110,000</w:t>
            </w:r>
          </w:p>
        </w:tc>
        <w:tc>
          <w:tcPr>
            <w:tcW w:w="1276" w:type="dxa"/>
            <w:vAlign w:val="center"/>
            <w:hideMark/>
          </w:tcPr>
          <w:p w14:paraId="3930DD8F" w14:textId="77777777" w:rsidR="008A599A" w:rsidRPr="007A01A9" w:rsidRDefault="008A599A" w:rsidP="003D5721">
            <w:pPr>
              <w:spacing w:line="256" w:lineRule="auto"/>
              <w:jc w:val="right"/>
              <w:rPr>
                <w:rFonts w:eastAsia="Calibri" w:cstheme="minorHAnsi"/>
                <w:sz w:val="20"/>
              </w:rPr>
            </w:pPr>
            <w:r w:rsidRPr="007A01A9">
              <w:rPr>
                <w:rFonts w:eastAsia="Calibri" w:cstheme="minorHAnsi"/>
                <w:sz w:val="20"/>
              </w:rPr>
              <w:t>3,140,000</w:t>
            </w:r>
          </w:p>
        </w:tc>
        <w:tc>
          <w:tcPr>
            <w:tcW w:w="1417" w:type="dxa"/>
            <w:vAlign w:val="center"/>
          </w:tcPr>
          <w:p w14:paraId="6357DED7" w14:textId="03A7D3BB" w:rsidR="008A599A" w:rsidRPr="007A01A9" w:rsidRDefault="00E14E25" w:rsidP="003D5721">
            <w:pPr>
              <w:spacing w:line="256" w:lineRule="auto"/>
              <w:jc w:val="right"/>
              <w:rPr>
                <w:rFonts w:eastAsia="Calibri" w:cstheme="minorBidi"/>
                <w:sz w:val="20"/>
              </w:rPr>
            </w:pPr>
            <w:r w:rsidRPr="219D5185">
              <w:rPr>
                <w:rFonts w:eastAsia="Calibri" w:cstheme="minorBidi"/>
                <w:sz w:val="20"/>
              </w:rPr>
              <w:t>3,215,360</w:t>
            </w:r>
          </w:p>
        </w:tc>
        <w:tc>
          <w:tcPr>
            <w:tcW w:w="1276" w:type="dxa"/>
            <w:vAlign w:val="center"/>
            <w:hideMark/>
          </w:tcPr>
          <w:p w14:paraId="22B09789" w14:textId="34871C6E" w:rsidR="008A599A" w:rsidRPr="007A01A9" w:rsidRDefault="1E4443A0" w:rsidP="3B2334D9">
            <w:pPr>
              <w:spacing w:line="256" w:lineRule="auto"/>
              <w:jc w:val="right"/>
              <w:rPr>
                <w:rFonts w:eastAsia="Calibri" w:cstheme="minorBidi"/>
                <w:sz w:val="20"/>
              </w:rPr>
            </w:pPr>
            <w:r w:rsidRPr="3B2334D9">
              <w:rPr>
                <w:rFonts w:eastAsia="Calibri" w:cstheme="minorBidi"/>
                <w:sz w:val="20"/>
              </w:rPr>
              <w:t>1</w:t>
            </w:r>
            <w:r w:rsidR="2C38C24A" w:rsidRPr="3B2334D9">
              <w:rPr>
                <w:rFonts w:eastAsia="Calibri" w:cstheme="minorBidi"/>
                <w:sz w:val="20"/>
              </w:rPr>
              <w:t>6,175,360</w:t>
            </w:r>
          </w:p>
        </w:tc>
      </w:tr>
      <w:tr w:rsidR="00AB5030" w:rsidRPr="001F52D8" w14:paraId="621A28DB" w14:textId="77777777" w:rsidTr="7B0FF488">
        <w:trPr>
          <w:gridBefore w:val="1"/>
          <w:gridAfter w:val="1"/>
          <w:wBefore w:w="108" w:type="dxa"/>
          <w:wAfter w:w="459" w:type="dxa"/>
          <w:trHeight w:val="345"/>
        </w:trPr>
        <w:tc>
          <w:tcPr>
            <w:tcW w:w="5670" w:type="dxa"/>
            <w:vAlign w:val="center"/>
          </w:tcPr>
          <w:p w14:paraId="2AD297A3" w14:textId="77777777" w:rsidR="008A599A" w:rsidRPr="002652D3" w:rsidRDefault="008A599A" w:rsidP="008A599A">
            <w:pPr>
              <w:spacing w:line="256" w:lineRule="auto"/>
              <w:rPr>
                <w:rFonts w:ascii="Calibri" w:eastAsia="Calibri" w:hAnsi="Calibri" w:cs="Calibri"/>
                <w:color w:val="000000" w:themeColor="text1"/>
                <w:sz w:val="20"/>
              </w:rPr>
            </w:pPr>
            <w:r w:rsidRPr="002652D3">
              <w:rPr>
                <w:rFonts w:ascii="Calibri" w:eastAsia="Calibri" w:hAnsi="Calibri" w:cs="Calibri"/>
                <w:color w:val="000000" w:themeColor="text1"/>
                <w:sz w:val="20"/>
              </w:rPr>
              <w:t>PHN Regional Commissioning and Governance</w:t>
            </w:r>
          </w:p>
        </w:tc>
        <w:tc>
          <w:tcPr>
            <w:tcW w:w="1134" w:type="dxa"/>
            <w:vAlign w:val="center"/>
          </w:tcPr>
          <w:p w14:paraId="6C1011DE" w14:textId="77777777" w:rsidR="008A599A" w:rsidRPr="007A01A9" w:rsidRDefault="008A599A" w:rsidP="003D5721">
            <w:pPr>
              <w:spacing w:line="256" w:lineRule="auto"/>
              <w:jc w:val="right"/>
              <w:rPr>
                <w:rFonts w:eastAsia="Calibri" w:cstheme="minorHAnsi"/>
                <w:color w:val="0070C0"/>
                <w:sz w:val="20"/>
              </w:rPr>
            </w:pPr>
            <w:r w:rsidRPr="007A01A9">
              <w:rPr>
                <w:rFonts w:ascii="Calibri" w:eastAsia="Calibri" w:hAnsi="Calibri" w:cs="Calibri"/>
                <w:color w:val="0070C0"/>
                <w:sz w:val="20"/>
              </w:rPr>
              <w:t>-</w:t>
            </w:r>
          </w:p>
        </w:tc>
        <w:tc>
          <w:tcPr>
            <w:tcW w:w="1418" w:type="dxa"/>
            <w:gridSpan w:val="3"/>
            <w:vAlign w:val="center"/>
          </w:tcPr>
          <w:p w14:paraId="3F8A60B1" w14:textId="77777777" w:rsidR="008A599A" w:rsidRPr="002652D3" w:rsidRDefault="008A599A" w:rsidP="003D5721">
            <w:pPr>
              <w:spacing w:line="256" w:lineRule="auto"/>
              <w:jc w:val="right"/>
              <w:rPr>
                <w:rFonts w:cstheme="minorHAnsi"/>
                <w:sz w:val="20"/>
              </w:rPr>
            </w:pPr>
            <w:r w:rsidRPr="002652D3">
              <w:rPr>
                <w:rFonts w:ascii="Calibri" w:eastAsia="Calibri" w:hAnsi="Calibri" w:cs="Calibri"/>
                <w:sz w:val="20"/>
              </w:rPr>
              <w:t>1,000,000</w:t>
            </w:r>
          </w:p>
        </w:tc>
        <w:tc>
          <w:tcPr>
            <w:tcW w:w="1417" w:type="dxa"/>
            <w:vAlign w:val="center"/>
          </w:tcPr>
          <w:p w14:paraId="3AAC47A2" w14:textId="77777777" w:rsidR="008A599A" w:rsidRPr="002652D3" w:rsidRDefault="008A599A" w:rsidP="003D5721">
            <w:pPr>
              <w:spacing w:line="256" w:lineRule="auto"/>
              <w:jc w:val="right"/>
              <w:rPr>
                <w:rFonts w:eastAsia="Calibri" w:cstheme="minorHAnsi"/>
                <w:sz w:val="20"/>
              </w:rPr>
            </w:pPr>
            <w:r w:rsidRPr="002652D3">
              <w:rPr>
                <w:rFonts w:ascii="Calibri" w:eastAsia="Calibri" w:hAnsi="Calibri" w:cs="Calibri"/>
                <w:sz w:val="20"/>
              </w:rPr>
              <w:t>1,000,000</w:t>
            </w:r>
          </w:p>
        </w:tc>
        <w:tc>
          <w:tcPr>
            <w:tcW w:w="1276" w:type="dxa"/>
            <w:vAlign w:val="center"/>
          </w:tcPr>
          <w:p w14:paraId="7E44E9D0" w14:textId="77777777" w:rsidR="008A599A" w:rsidRPr="002652D3" w:rsidRDefault="008A599A" w:rsidP="003D5721">
            <w:pPr>
              <w:spacing w:line="256" w:lineRule="auto"/>
              <w:jc w:val="right"/>
              <w:rPr>
                <w:rFonts w:eastAsia="Calibri" w:cstheme="minorHAnsi"/>
                <w:sz w:val="20"/>
              </w:rPr>
            </w:pPr>
            <w:r w:rsidRPr="002652D3">
              <w:rPr>
                <w:rFonts w:ascii="Calibri" w:eastAsia="Calibri" w:hAnsi="Calibri" w:cs="Calibri"/>
                <w:sz w:val="20"/>
              </w:rPr>
              <w:t>1,000,000</w:t>
            </w:r>
          </w:p>
        </w:tc>
        <w:tc>
          <w:tcPr>
            <w:tcW w:w="1276" w:type="dxa"/>
            <w:vAlign w:val="center"/>
          </w:tcPr>
          <w:p w14:paraId="34CADA35" w14:textId="77777777" w:rsidR="008A599A" w:rsidRPr="002652D3" w:rsidRDefault="008A599A" w:rsidP="003D5721">
            <w:pPr>
              <w:spacing w:line="256" w:lineRule="auto"/>
              <w:jc w:val="right"/>
              <w:rPr>
                <w:rFonts w:eastAsia="Calibri" w:cstheme="minorHAnsi"/>
                <w:sz w:val="20"/>
              </w:rPr>
            </w:pPr>
            <w:r w:rsidRPr="002652D3">
              <w:rPr>
                <w:rFonts w:ascii="Calibri" w:eastAsia="Calibri" w:hAnsi="Calibri" w:cs="Calibri"/>
                <w:sz w:val="20"/>
              </w:rPr>
              <w:t>1,000,000</w:t>
            </w:r>
          </w:p>
        </w:tc>
        <w:tc>
          <w:tcPr>
            <w:tcW w:w="1417" w:type="dxa"/>
            <w:vAlign w:val="center"/>
          </w:tcPr>
          <w:p w14:paraId="671BF278" w14:textId="420E16C3" w:rsidR="008A599A" w:rsidRPr="002652D3" w:rsidRDefault="00F81DC8" w:rsidP="003D5721">
            <w:pPr>
              <w:spacing w:line="256" w:lineRule="auto"/>
              <w:jc w:val="right"/>
              <w:rPr>
                <w:rFonts w:ascii="Calibri" w:eastAsia="Calibri" w:hAnsi="Calibri" w:cs="Calibri"/>
                <w:sz w:val="20"/>
              </w:rPr>
            </w:pPr>
            <w:r w:rsidRPr="219D5185">
              <w:rPr>
                <w:rFonts w:ascii="Calibri" w:eastAsia="Calibri" w:hAnsi="Calibri" w:cs="Calibri"/>
                <w:sz w:val="20"/>
              </w:rPr>
              <w:t>-</w:t>
            </w:r>
          </w:p>
        </w:tc>
        <w:tc>
          <w:tcPr>
            <w:tcW w:w="1276" w:type="dxa"/>
            <w:vAlign w:val="center"/>
          </w:tcPr>
          <w:p w14:paraId="6521F0A7" w14:textId="5C1D3235" w:rsidR="008A599A" w:rsidRPr="002652D3" w:rsidRDefault="008A599A" w:rsidP="003D5721">
            <w:pPr>
              <w:spacing w:line="256" w:lineRule="auto"/>
              <w:jc w:val="right"/>
              <w:rPr>
                <w:rFonts w:eastAsia="Calibri" w:cstheme="minorHAnsi"/>
                <w:sz w:val="20"/>
              </w:rPr>
            </w:pPr>
            <w:r w:rsidRPr="002652D3">
              <w:rPr>
                <w:rFonts w:ascii="Calibri" w:eastAsia="Calibri" w:hAnsi="Calibri" w:cs="Calibri"/>
                <w:sz w:val="20"/>
              </w:rPr>
              <w:t>4,000,000</w:t>
            </w:r>
          </w:p>
        </w:tc>
      </w:tr>
      <w:tr w:rsidR="00AB5030" w14:paraId="2D5C37DF" w14:textId="77777777" w:rsidTr="7B0FF488">
        <w:trPr>
          <w:gridBefore w:val="1"/>
          <w:gridAfter w:val="1"/>
          <w:wBefore w:w="108" w:type="dxa"/>
          <w:wAfter w:w="459" w:type="dxa"/>
          <w:trHeight w:val="345"/>
        </w:trPr>
        <w:tc>
          <w:tcPr>
            <w:tcW w:w="5670" w:type="dxa"/>
            <w:tcBorders>
              <w:top w:val="single" w:sz="6" w:space="0" w:color="auto"/>
              <w:left w:val="nil"/>
              <w:bottom w:val="single" w:sz="6" w:space="0" w:color="auto"/>
              <w:right w:val="nil"/>
            </w:tcBorders>
            <w:vAlign w:val="bottom"/>
            <w:hideMark/>
          </w:tcPr>
          <w:p w14:paraId="209E52DF" w14:textId="77777777" w:rsidR="008A599A" w:rsidRDefault="008A599A" w:rsidP="008A599A">
            <w:pPr>
              <w:spacing w:line="256" w:lineRule="auto"/>
              <w:ind w:left="30"/>
              <w:rPr>
                <w:rFonts w:ascii="Calibri" w:eastAsia="Calibri" w:hAnsi="Calibri" w:cs="Calibri"/>
                <w:color w:val="000000" w:themeColor="text1"/>
                <w:sz w:val="21"/>
                <w:szCs w:val="21"/>
              </w:rPr>
            </w:pPr>
            <w:r>
              <w:rPr>
                <w:rFonts w:ascii="Calibri" w:eastAsia="Calibri" w:hAnsi="Calibri" w:cs="Calibri"/>
                <w:b/>
                <w:bCs/>
                <w:color w:val="000000" w:themeColor="text1"/>
                <w:sz w:val="21"/>
                <w:szCs w:val="21"/>
              </w:rPr>
              <w:t>Commonwealth total contribution</w:t>
            </w:r>
            <w:r>
              <w:rPr>
                <w:rFonts w:ascii="Calibri" w:eastAsia="Calibri" w:hAnsi="Calibri" w:cs="Calibri"/>
                <w:color w:val="000000" w:themeColor="text1"/>
                <w:sz w:val="21"/>
                <w:szCs w:val="21"/>
                <w:lang w:val="en-AU"/>
              </w:rPr>
              <w:t> </w:t>
            </w:r>
          </w:p>
        </w:tc>
        <w:tc>
          <w:tcPr>
            <w:tcW w:w="1134" w:type="dxa"/>
            <w:tcBorders>
              <w:top w:val="single" w:sz="6" w:space="0" w:color="auto"/>
              <w:left w:val="nil"/>
              <w:bottom w:val="single" w:sz="6" w:space="0" w:color="auto"/>
              <w:right w:val="nil"/>
            </w:tcBorders>
            <w:vAlign w:val="center"/>
            <w:hideMark/>
          </w:tcPr>
          <w:p w14:paraId="74DDEB68" w14:textId="77777777" w:rsidR="008A599A" w:rsidRPr="003D5721" w:rsidRDefault="008A599A" w:rsidP="003D5721">
            <w:pPr>
              <w:spacing w:after="0" w:line="257" w:lineRule="auto"/>
              <w:jc w:val="right"/>
              <w:rPr>
                <w:rFonts w:ascii="Calibri" w:hAnsi="Calibri" w:cs="Calibri"/>
                <w:b/>
                <w:sz w:val="20"/>
              </w:rPr>
            </w:pPr>
            <w:r w:rsidRPr="003D5721">
              <w:rPr>
                <w:rFonts w:ascii="Calibri" w:hAnsi="Calibri" w:cs="Calibri"/>
                <w:b/>
                <w:sz w:val="20"/>
              </w:rPr>
              <w:t xml:space="preserve">14,381,372 </w:t>
            </w:r>
          </w:p>
        </w:tc>
        <w:tc>
          <w:tcPr>
            <w:tcW w:w="1418" w:type="dxa"/>
            <w:gridSpan w:val="3"/>
            <w:tcBorders>
              <w:top w:val="single" w:sz="6" w:space="0" w:color="auto"/>
              <w:left w:val="nil"/>
              <w:bottom w:val="single" w:sz="6" w:space="0" w:color="auto"/>
              <w:right w:val="nil"/>
            </w:tcBorders>
            <w:vAlign w:val="center"/>
            <w:hideMark/>
          </w:tcPr>
          <w:p w14:paraId="009CF00B" w14:textId="77777777" w:rsidR="008A599A" w:rsidRPr="003D5721" w:rsidRDefault="008A599A" w:rsidP="003D5721">
            <w:pPr>
              <w:widowControl/>
              <w:spacing w:after="0" w:line="257" w:lineRule="auto"/>
              <w:jc w:val="right"/>
              <w:rPr>
                <w:rFonts w:ascii="Calibri" w:hAnsi="Calibri" w:cs="Calibri"/>
                <w:b/>
                <w:sz w:val="20"/>
              </w:rPr>
            </w:pPr>
            <w:r w:rsidRPr="003D5721">
              <w:rPr>
                <w:rFonts w:ascii="Calibri" w:hAnsi="Calibri" w:cs="Calibri"/>
                <w:b/>
                <w:sz w:val="20"/>
              </w:rPr>
              <w:t xml:space="preserve">53,303,030 </w:t>
            </w:r>
          </w:p>
        </w:tc>
        <w:tc>
          <w:tcPr>
            <w:tcW w:w="1417" w:type="dxa"/>
            <w:tcBorders>
              <w:top w:val="single" w:sz="6" w:space="0" w:color="auto"/>
              <w:left w:val="nil"/>
              <w:bottom w:val="single" w:sz="6" w:space="0" w:color="auto"/>
              <w:right w:val="nil"/>
            </w:tcBorders>
            <w:vAlign w:val="center"/>
            <w:hideMark/>
          </w:tcPr>
          <w:p w14:paraId="1FB181D5" w14:textId="77777777" w:rsidR="008A599A" w:rsidRPr="003D5721" w:rsidRDefault="008A599A" w:rsidP="003D5721">
            <w:pPr>
              <w:spacing w:after="0" w:line="257" w:lineRule="auto"/>
              <w:jc w:val="right"/>
              <w:rPr>
                <w:rFonts w:ascii="Calibri" w:hAnsi="Calibri" w:cs="Calibri"/>
                <w:b/>
                <w:sz w:val="20"/>
              </w:rPr>
            </w:pPr>
            <w:r w:rsidRPr="003D5721">
              <w:rPr>
                <w:rFonts w:ascii="Calibri" w:hAnsi="Calibri" w:cs="Calibri"/>
                <w:b/>
                <w:sz w:val="20"/>
              </w:rPr>
              <w:t xml:space="preserve">51,095,297 </w:t>
            </w:r>
          </w:p>
        </w:tc>
        <w:tc>
          <w:tcPr>
            <w:tcW w:w="1276" w:type="dxa"/>
            <w:tcBorders>
              <w:top w:val="single" w:sz="6" w:space="0" w:color="auto"/>
              <w:left w:val="nil"/>
              <w:bottom w:val="single" w:sz="6" w:space="0" w:color="auto"/>
              <w:right w:val="nil"/>
            </w:tcBorders>
            <w:vAlign w:val="center"/>
            <w:hideMark/>
          </w:tcPr>
          <w:p w14:paraId="77CE85D1" w14:textId="77777777" w:rsidR="008A599A" w:rsidRPr="003D5721" w:rsidRDefault="008A599A" w:rsidP="003D5721">
            <w:pPr>
              <w:spacing w:after="0" w:line="257" w:lineRule="auto"/>
              <w:jc w:val="right"/>
              <w:rPr>
                <w:rFonts w:ascii="Calibri" w:hAnsi="Calibri" w:cs="Calibri"/>
                <w:b/>
                <w:sz w:val="20"/>
              </w:rPr>
            </w:pPr>
            <w:r w:rsidRPr="003D5721">
              <w:rPr>
                <w:rFonts w:ascii="Calibri" w:hAnsi="Calibri" w:cs="Calibri"/>
                <w:b/>
                <w:sz w:val="20"/>
              </w:rPr>
              <w:t xml:space="preserve">61,678,530 </w:t>
            </w:r>
          </w:p>
        </w:tc>
        <w:tc>
          <w:tcPr>
            <w:tcW w:w="1276" w:type="dxa"/>
            <w:tcBorders>
              <w:top w:val="single" w:sz="6" w:space="0" w:color="auto"/>
              <w:left w:val="nil"/>
              <w:bottom w:val="single" w:sz="6" w:space="0" w:color="auto"/>
              <w:right w:val="nil"/>
            </w:tcBorders>
            <w:vAlign w:val="center"/>
            <w:hideMark/>
          </w:tcPr>
          <w:p w14:paraId="48F0AC88" w14:textId="29057B58" w:rsidR="008A599A" w:rsidRPr="003D5721" w:rsidRDefault="00DB70A3" w:rsidP="003D5721">
            <w:pPr>
              <w:spacing w:after="0" w:line="257" w:lineRule="auto"/>
              <w:jc w:val="right"/>
              <w:rPr>
                <w:rFonts w:ascii="Calibri" w:hAnsi="Calibri" w:cs="Calibri"/>
                <w:b/>
                <w:sz w:val="20"/>
              </w:rPr>
            </w:pPr>
            <w:r>
              <w:rPr>
                <w:rFonts w:ascii="Calibri" w:hAnsi="Calibri" w:cs="Calibri"/>
                <w:b/>
                <w:sz w:val="20"/>
              </w:rPr>
              <w:t>69,058,085</w:t>
            </w:r>
            <w:r w:rsidR="008A599A" w:rsidRPr="003D5721">
              <w:rPr>
                <w:rFonts w:ascii="Calibri" w:hAnsi="Calibri" w:cs="Calibri"/>
                <w:b/>
                <w:sz w:val="20"/>
              </w:rPr>
              <w:t xml:space="preserve"> </w:t>
            </w:r>
          </w:p>
        </w:tc>
        <w:tc>
          <w:tcPr>
            <w:tcW w:w="1417" w:type="dxa"/>
            <w:tcBorders>
              <w:top w:val="single" w:sz="6" w:space="0" w:color="auto"/>
              <w:left w:val="nil"/>
              <w:bottom w:val="single" w:sz="6" w:space="0" w:color="auto"/>
              <w:right w:val="nil"/>
            </w:tcBorders>
            <w:vAlign w:val="center"/>
          </w:tcPr>
          <w:p w14:paraId="14C69D61" w14:textId="4E86C358" w:rsidR="008A599A" w:rsidRPr="003D5721" w:rsidRDefault="0F63313B" w:rsidP="003D5721">
            <w:pPr>
              <w:widowControl/>
              <w:spacing w:after="0" w:line="257" w:lineRule="auto"/>
              <w:jc w:val="right"/>
              <w:rPr>
                <w:rFonts w:ascii="Calibri" w:hAnsi="Calibri" w:cs="Calibri"/>
                <w:b/>
                <w:sz w:val="20"/>
              </w:rPr>
            </w:pPr>
            <w:r w:rsidRPr="003D5721">
              <w:rPr>
                <w:rFonts w:ascii="Calibri" w:hAnsi="Calibri" w:cs="Calibri"/>
                <w:b/>
                <w:sz w:val="20"/>
              </w:rPr>
              <w:t>7</w:t>
            </w:r>
            <w:r w:rsidR="07E36D87" w:rsidRPr="003D5721">
              <w:rPr>
                <w:rFonts w:ascii="Calibri" w:hAnsi="Calibri" w:cs="Calibri"/>
                <w:b/>
                <w:sz w:val="20"/>
              </w:rPr>
              <w:t>1,037,853</w:t>
            </w:r>
          </w:p>
        </w:tc>
        <w:tc>
          <w:tcPr>
            <w:tcW w:w="1276" w:type="dxa"/>
            <w:tcBorders>
              <w:top w:val="single" w:sz="6" w:space="0" w:color="auto"/>
              <w:left w:val="nil"/>
              <w:bottom w:val="single" w:sz="6" w:space="0" w:color="auto"/>
              <w:right w:val="nil"/>
            </w:tcBorders>
            <w:vAlign w:val="center"/>
            <w:hideMark/>
          </w:tcPr>
          <w:p w14:paraId="5417BA8B" w14:textId="10AD64F4" w:rsidR="008A599A" w:rsidRPr="003D5721" w:rsidRDefault="00DB70A3" w:rsidP="003D5721">
            <w:pPr>
              <w:widowControl/>
              <w:spacing w:after="0" w:line="257" w:lineRule="auto"/>
              <w:jc w:val="right"/>
              <w:rPr>
                <w:rFonts w:ascii="Calibri" w:hAnsi="Calibri" w:cs="Calibri"/>
                <w:b/>
                <w:sz w:val="20"/>
              </w:rPr>
            </w:pPr>
            <w:r>
              <w:rPr>
                <w:rFonts w:ascii="Calibri" w:hAnsi="Calibri" w:cs="Calibri"/>
                <w:b/>
                <w:sz w:val="20"/>
              </w:rPr>
              <w:t>320,554,164</w:t>
            </w:r>
            <w:r w:rsidR="483DC8B7" w:rsidRPr="003D5721">
              <w:rPr>
                <w:rFonts w:ascii="Calibri" w:hAnsi="Calibri" w:cs="Calibri"/>
                <w:b/>
                <w:sz w:val="20"/>
              </w:rPr>
              <w:t xml:space="preserve"> </w:t>
            </w:r>
          </w:p>
        </w:tc>
      </w:tr>
      <w:tr w:rsidR="00AB5030" w14:paraId="70898CF2" w14:textId="77777777" w:rsidTr="7B0FF488">
        <w:trPr>
          <w:gridBefore w:val="1"/>
          <w:gridAfter w:val="1"/>
          <w:wBefore w:w="108" w:type="dxa"/>
          <w:wAfter w:w="459" w:type="dxa"/>
          <w:trHeight w:val="345"/>
        </w:trPr>
        <w:tc>
          <w:tcPr>
            <w:tcW w:w="5670" w:type="dxa"/>
            <w:tcBorders>
              <w:top w:val="single" w:sz="6" w:space="0" w:color="auto"/>
              <w:left w:val="nil"/>
              <w:bottom w:val="single" w:sz="6" w:space="0" w:color="auto"/>
              <w:right w:val="nil"/>
            </w:tcBorders>
            <w:vAlign w:val="center"/>
            <w:hideMark/>
          </w:tcPr>
          <w:p w14:paraId="45D82387" w14:textId="77777777" w:rsidR="008A599A" w:rsidRDefault="008A599A" w:rsidP="008A599A">
            <w:pPr>
              <w:spacing w:line="256" w:lineRule="auto"/>
              <w:ind w:left="30"/>
              <w:rPr>
                <w:rFonts w:ascii="Calibri" w:eastAsia="Calibri" w:hAnsi="Calibri" w:cs="Calibri"/>
                <w:color w:val="000000" w:themeColor="text1"/>
                <w:sz w:val="20"/>
              </w:rPr>
            </w:pPr>
            <w:r>
              <w:rPr>
                <w:rFonts w:ascii="Calibri" w:eastAsia="Calibri" w:hAnsi="Calibri" w:cs="Calibri"/>
                <w:color w:val="000000" w:themeColor="text1"/>
                <w:sz w:val="20"/>
                <w:lang w:val="en-AU"/>
              </w:rPr>
              <w:t> </w:t>
            </w:r>
          </w:p>
        </w:tc>
        <w:tc>
          <w:tcPr>
            <w:tcW w:w="1134" w:type="dxa"/>
            <w:tcBorders>
              <w:top w:val="single" w:sz="6" w:space="0" w:color="auto"/>
              <w:left w:val="nil"/>
              <w:bottom w:val="single" w:sz="6" w:space="0" w:color="auto"/>
              <w:right w:val="nil"/>
            </w:tcBorders>
            <w:hideMark/>
          </w:tcPr>
          <w:p w14:paraId="0FD7D0C1" w14:textId="77777777" w:rsidR="008A599A" w:rsidRDefault="008A599A" w:rsidP="008A599A">
            <w:pPr>
              <w:spacing w:line="256" w:lineRule="auto"/>
              <w:jc w:val="right"/>
              <w:rPr>
                <w:rFonts w:ascii="Calibri" w:eastAsia="Calibri" w:hAnsi="Calibri" w:cs="Calibri"/>
                <w:color w:val="000000" w:themeColor="text1"/>
                <w:sz w:val="20"/>
              </w:rPr>
            </w:pPr>
            <w:r>
              <w:rPr>
                <w:rFonts w:ascii="Calibri" w:eastAsia="Calibri" w:hAnsi="Calibri" w:cs="Calibri"/>
                <w:color w:val="000000" w:themeColor="text1"/>
                <w:sz w:val="20"/>
                <w:lang w:val="en-AU"/>
              </w:rPr>
              <w:t> </w:t>
            </w:r>
          </w:p>
        </w:tc>
        <w:tc>
          <w:tcPr>
            <w:tcW w:w="1418" w:type="dxa"/>
            <w:gridSpan w:val="3"/>
            <w:tcBorders>
              <w:top w:val="single" w:sz="6" w:space="0" w:color="auto"/>
              <w:left w:val="nil"/>
              <w:bottom w:val="single" w:sz="6" w:space="0" w:color="auto"/>
              <w:right w:val="nil"/>
            </w:tcBorders>
            <w:hideMark/>
          </w:tcPr>
          <w:p w14:paraId="6570465E" w14:textId="77777777" w:rsidR="008A599A" w:rsidRDefault="008A599A" w:rsidP="008A599A">
            <w:pPr>
              <w:spacing w:line="256" w:lineRule="auto"/>
              <w:jc w:val="right"/>
              <w:rPr>
                <w:rFonts w:ascii="Calibri" w:eastAsia="Calibri" w:hAnsi="Calibri" w:cs="Calibri"/>
                <w:color w:val="000000" w:themeColor="text1"/>
                <w:sz w:val="20"/>
              </w:rPr>
            </w:pPr>
            <w:r>
              <w:rPr>
                <w:rFonts w:ascii="Calibri" w:eastAsia="Calibri" w:hAnsi="Calibri" w:cs="Calibri"/>
                <w:color w:val="000000" w:themeColor="text1"/>
                <w:sz w:val="20"/>
                <w:lang w:val="en-AU"/>
              </w:rPr>
              <w:t> </w:t>
            </w:r>
          </w:p>
          <w:p w14:paraId="1F485E37" w14:textId="77777777" w:rsidR="008A599A" w:rsidRDefault="008A599A" w:rsidP="008A599A">
            <w:pPr>
              <w:spacing w:line="256" w:lineRule="auto"/>
              <w:jc w:val="right"/>
              <w:rPr>
                <w:rFonts w:ascii="Calibri" w:eastAsia="Calibri" w:hAnsi="Calibri" w:cs="Calibri"/>
                <w:color w:val="000000" w:themeColor="text1"/>
                <w:sz w:val="20"/>
              </w:rPr>
            </w:pPr>
            <w:r>
              <w:rPr>
                <w:rFonts w:ascii="Calibri" w:eastAsia="Calibri" w:hAnsi="Calibri" w:cs="Calibri"/>
                <w:color w:val="000000" w:themeColor="text1"/>
                <w:sz w:val="20"/>
                <w:lang w:val="en-AU"/>
              </w:rPr>
              <w:t> </w:t>
            </w:r>
          </w:p>
        </w:tc>
        <w:tc>
          <w:tcPr>
            <w:tcW w:w="1417" w:type="dxa"/>
            <w:tcBorders>
              <w:top w:val="single" w:sz="6" w:space="0" w:color="auto"/>
              <w:left w:val="nil"/>
              <w:bottom w:val="single" w:sz="6" w:space="0" w:color="auto"/>
              <w:right w:val="nil"/>
            </w:tcBorders>
            <w:hideMark/>
          </w:tcPr>
          <w:p w14:paraId="36532432" w14:textId="77777777" w:rsidR="008A599A" w:rsidRDefault="008A599A" w:rsidP="008A599A">
            <w:pPr>
              <w:spacing w:line="256" w:lineRule="auto"/>
              <w:jc w:val="right"/>
              <w:rPr>
                <w:rFonts w:ascii="Calibri" w:eastAsia="Calibri" w:hAnsi="Calibri" w:cs="Calibri"/>
                <w:color w:val="000000" w:themeColor="text1"/>
                <w:sz w:val="20"/>
              </w:rPr>
            </w:pPr>
            <w:r>
              <w:rPr>
                <w:rFonts w:ascii="Calibri" w:eastAsia="Calibri" w:hAnsi="Calibri" w:cs="Calibri"/>
                <w:color w:val="000000" w:themeColor="text1"/>
                <w:sz w:val="20"/>
                <w:lang w:val="en-AU"/>
              </w:rPr>
              <w:t> </w:t>
            </w:r>
          </w:p>
        </w:tc>
        <w:tc>
          <w:tcPr>
            <w:tcW w:w="1276" w:type="dxa"/>
            <w:tcBorders>
              <w:top w:val="single" w:sz="6" w:space="0" w:color="auto"/>
              <w:left w:val="nil"/>
              <w:bottom w:val="single" w:sz="6" w:space="0" w:color="auto"/>
              <w:right w:val="nil"/>
            </w:tcBorders>
            <w:hideMark/>
          </w:tcPr>
          <w:p w14:paraId="2EA05F31" w14:textId="77777777" w:rsidR="008A599A" w:rsidRDefault="008A599A" w:rsidP="008A599A">
            <w:pPr>
              <w:spacing w:line="256" w:lineRule="auto"/>
              <w:jc w:val="right"/>
              <w:rPr>
                <w:rFonts w:ascii="Calibri" w:eastAsia="Calibri" w:hAnsi="Calibri" w:cs="Calibri"/>
                <w:color w:val="000000" w:themeColor="text1"/>
                <w:sz w:val="20"/>
              </w:rPr>
            </w:pPr>
            <w:r>
              <w:rPr>
                <w:rFonts w:ascii="Calibri" w:eastAsia="Calibri" w:hAnsi="Calibri" w:cs="Calibri"/>
                <w:color w:val="000000" w:themeColor="text1"/>
                <w:sz w:val="20"/>
                <w:lang w:val="en-AU"/>
              </w:rPr>
              <w:t> </w:t>
            </w:r>
          </w:p>
        </w:tc>
        <w:tc>
          <w:tcPr>
            <w:tcW w:w="1276" w:type="dxa"/>
            <w:tcBorders>
              <w:top w:val="single" w:sz="6" w:space="0" w:color="auto"/>
              <w:left w:val="nil"/>
              <w:bottom w:val="single" w:sz="6" w:space="0" w:color="auto"/>
              <w:right w:val="nil"/>
            </w:tcBorders>
            <w:hideMark/>
          </w:tcPr>
          <w:p w14:paraId="5970AA26" w14:textId="77777777" w:rsidR="008A599A" w:rsidRDefault="008A599A" w:rsidP="008A599A">
            <w:pPr>
              <w:spacing w:line="256" w:lineRule="auto"/>
              <w:jc w:val="right"/>
              <w:rPr>
                <w:rFonts w:ascii="Calibri" w:eastAsia="Calibri" w:hAnsi="Calibri" w:cs="Calibri"/>
                <w:color w:val="000000" w:themeColor="text1"/>
                <w:sz w:val="20"/>
              </w:rPr>
            </w:pPr>
            <w:r>
              <w:rPr>
                <w:rFonts w:ascii="Calibri" w:eastAsia="Calibri" w:hAnsi="Calibri" w:cs="Calibri"/>
                <w:color w:val="000000" w:themeColor="text1"/>
                <w:sz w:val="20"/>
                <w:lang w:val="en-AU"/>
              </w:rPr>
              <w:t> </w:t>
            </w:r>
          </w:p>
        </w:tc>
        <w:tc>
          <w:tcPr>
            <w:tcW w:w="1417" w:type="dxa"/>
            <w:tcBorders>
              <w:top w:val="single" w:sz="6" w:space="0" w:color="auto"/>
              <w:left w:val="nil"/>
              <w:bottom w:val="single" w:sz="6" w:space="0" w:color="auto"/>
              <w:right w:val="nil"/>
            </w:tcBorders>
          </w:tcPr>
          <w:p w14:paraId="2610BD99" w14:textId="77777777" w:rsidR="008A599A" w:rsidRDefault="008A599A" w:rsidP="008A599A">
            <w:pPr>
              <w:spacing w:line="256" w:lineRule="auto"/>
              <w:jc w:val="right"/>
              <w:rPr>
                <w:rFonts w:ascii="Calibri" w:eastAsia="Calibri" w:hAnsi="Calibri" w:cs="Calibri"/>
                <w:color w:val="000000" w:themeColor="text1"/>
                <w:sz w:val="20"/>
                <w:lang w:val="en-AU"/>
              </w:rPr>
            </w:pPr>
          </w:p>
        </w:tc>
        <w:tc>
          <w:tcPr>
            <w:tcW w:w="1276" w:type="dxa"/>
            <w:tcBorders>
              <w:top w:val="single" w:sz="6" w:space="0" w:color="auto"/>
              <w:left w:val="nil"/>
              <w:bottom w:val="single" w:sz="6" w:space="0" w:color="auto"/>
              <w:right w:val="nil"/>
            </w:tcBorders>
            <w:hideMark/>
          </w:tcPr>
          <w:p w14:paraId="523C5B5B" w14:textId="10B90C12" w:rsidR="008A599A" w:rsidRDefault="008A599A" w:rsidP="008A599A">
            <w:pPr>
              <w:spacing w:line="256" w:lineRule="auto"/>
              <w:jc w:val="right"/>
              <w:rPr>
                <w:rFonts w:ascii="Calibri" w:eastAsia="Calibri" w:hAnsi="Calibri" w:cs="Calibri"/>
                <w:color w:val="000000" w:themeColor="text1"/>
                <w:sz w:val="20"/>
              </w:rPr>
            </w:pPr>
            <w:r>
              <w:rPr>
                <w:rFonts w:ascii="Calibri" w:eastAsia="Calibri" w:hAnsi="Calibri" w:cs="Calibri"/>
                <w:color w:val="000000" w:themeColor="text1"/>
                <w:sz w:val="20"/>
                <w:lang w:val="en-AU"/>
              </w:rPr>
              <w:t> </w:t>
            </w:r>
          </w:p>
        </w:tc>
      </w:tr>
      <w:tr w:rsidR="008A599A" w14:paraId="14A06CBF" w14:textId="77777777" w:rsidTr="7B0FF488">
        <w:trPr>
          <w:gridBefore w:val="1"/>
          <w:gridAfter w:val="1"/>
          <w:wBefore w:w="108" w:type="dxa"/>
          <w:wAfter w:w="459" w:type="dxa"/>
          <w:trHeight w:val="345"/>
        </w:trPr>
        <w:tc>
          <w:tcPr>
            <w:tcW w:w="5670" w:type="dxa"/>
            <w:tcBorders>
              <w:top w:val="single" w:sz="6" w:space="0" w:color="auto"/>
              <w:left w:val="nil"/>
              <w:bottom w:val="single" w:sz="6" w:space="0" w:color="auto"/>
              <w:right w:val="nil"/>
            </w:tcBorders>
            <w:shd w:val="clear" w:color="auto" w:fill="D9D9D9" w:themeFill="background1" w:themeFillShade="D9"/>
            <w:hideMark/>
          </w:tcPr>
          <w:p w14:paraId="67F1066A" w14:textId="77777777" w:rsidR="008A599A" w:rsidRDefault="008A599A" w:rsidP="008A599A">
            <w:pPr>
              <w:spacing w:line="256" w:lineRule="auto"/>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Victoria</w:t>
            </w:r>
            <w:r>
              <w:rPr>
                <w:rFonts w:ascii="Calibri" w:eastAsia="Calibri" w:hAnsi="Calibri" w:cs="Calibri"/>
                <w:b/>
                <w:bCs/>
                <w:color w:val="000000" w:themeColor="text1"/>
                <w:sz w:val="32"/>
                <w:szCs w:val="32"/>
              </w:rPr>
              <w:t> </w:t>
            </w:r>
            <w:r>
              <w:rPr>
                <w:rFonts w:ascii="Calibri" w:eastAsia="Calibri" w:hAnsi="Calibri" w:cs="Calibri"/>
                <w:b/>
                <w:bCs/>
                <w:color w:val="000000" w:themeColor="text1"/>
                <w:sz w:val="24"/>
                <w:szCs w:val="24"/>
              </w:rPr>
              <w:t>contribution</w:t>
            </w:r>
            <w:r>
              <w:rPr>
                <w:rFonts w:ascii="Calibri" w:eastAsia="Calibri" w:hAnsi="Calibri" w:cs="Calibri"/>
                <w:color w:val="000000" w:themeColor="text1"/>
                <w:sz w:val="24"/>
                <w:szCs w:val="24"/>
                <w:lang w:val="en-AU"/>
              </w:rPr>
              <w:t> </w:t>
            </w:r>
          </w:p>
        </w:tc>
        <w:tc>
          <w:tcPr>
            <w:tcW w:w="1134" w:type="dxa"/>
            <w:tcBorders>
              <w:top w:val="single" w:sz="6" w:space="0" w:color="auto"/>
              <w:left w:val="nil"/>
              <w:bottom w:val="single" w:sz="6" w:space="0" w:color="auto"/>
              <w:right w:val="nil"/>
            </w:tcBorders>
            <w:shd w:val="clear" w:color="auto" w:fill="D9D9D9" w:themeFill="background1" w:themeFillShade="D9"/>
            <w:hideMark/>
          </w:tcPr>
          <w:p w14:paraId="248FFCEE" w14:textId="77777777" w:rsidR="008A599A" w:rsidRDefault="008A599A" w:rsidP="008A599A">
            <w:pPr>
              <w:spacing w:line="256" w:lineRule="auto"/>
              <w:jc w:val="right"/>
              <w:rPr>
                <w:rFonts w:ascii="Calibri" w:eastAsia="Calibri" w:hAnsi="Calibri" w:cs="Calibri"/>
                <w:color w:val="000000" w:themeColor="text1"/>
                <w:sz w:val="20"/>
              </w:rPr>
            </w:pPr>
            <w:r>
              <w:rPr>
                <w:rFonts w:ascii="Calibri" w:eastAsia="Calibri" w:hAnsi="Calibri" w:cs="Calibri"/>
                <w:color w:val="000000" w:themeColor="text1"/>
                <w:sz w:val="20"/>
                <w:lang w:val="en-AU"/>
              </w:rPr>
              <w:t> </w:t>
            </w:r>
          </w:p>
        </w:tc>
        <w:tc>
          <w:tcPr>
            <w:tcW w:w="1418" w:type="dxa"/>
            <w:gridSpan w:val="3"/>
            <w:tcBorders>
              <w:top w:val="single" w:sz="6" w:space="0" w:color="auto"/>
              <w:left w:val="nil"/>
              <w:bottom w:val="single" w:sz="6" w:space="0" w:color="auto"/>
              <w:right w:val="nil"/>
            </w:tcBorders>
            <w:shd w:val="clear" w:color="auto" w:fill="D9D9D9" w:themeFill="background1" w:themeFillShade="D9"/>
            <w:hideMark/>
          </w:tcPr>
          <w:p w14:paraId="42E709EE" w14:textId="77777777" w:rsidR="008A599A" w:rsidRDefault="008A599A" w:rsidP="008A599A">
            <w:pPr>
              <w:spacing w:line="256" w:lineRule="auto"/>
              <w:jc w:val="right"/>
              <w:rPr>
                <w:rFonts w:ascii="Calibri" w:eastAsia="Calibri" w:hAnsi="Calibri" w:cs="Calibri"/>
                <w:color w:val="000000" w:themeColor="text1"/>
                <w:sz w:val="20"/>
              </w:rPr>
            </w:pPr>
            <w:r>
              <w:rPr>
                <w:rFonts w:ascii="Calibri" w:eastAsia="Calibri" w:hAnsi="Calibri" w:cs="Calibri"/>
                <w:color w:val="000000" w:themeColor="text1"/>
                <w:sz w:val="20"/>
                <w:lang w:val="en-AU"/>
              </w:rPr>
              <w:t> </w:t>
            </w:r>
          </w:p>
        </w:tc>
        <w:tc>
          <w:tcPr>
            <w:tcW w:w="1417" w:type="dxa"/>
            <w:tcBorders>
              <w:top w:val="single" w:sz="6" w:space="0" w:color="auto"/>
              <w:left w:val="nil"/>
              <w:bottom w:val="single" w:sz="6" w:space="0" w:color="auto"/>
              <w:right w:val="nil"/>
            </w:tcBorders>
            <w:shd w:val="clear" w:color="auto" w:fill="D9D9D9" w:themeFill="background1" w:themeFillShade="D9"/>
            <w:hideMark/>
          </w:tcPr>
          <w:p w14:paraId="3474D6A3" w14:textId="77777777" w:rsidR="008A599A" w:rsidRDefault="008A599A" w:rsidP="008A599A">
            <w:pPr>
              <w:spacing w:line="256" w:lineRule="auto"/>
              <w:jc w:val="right"/>
              <w:rPr>
                <w:rFonts w:ascii="Calibri" w:eastAsia="Calibri" w:hAnsi="Calibri" w:cs="Calibri"/>
                <w:color w:val="000000" w:themeColor="text1"/>
                <w:sz w:val="20"/>
              </w:rPr>
            </w:pPr>
            <w:r>
              <w:rPr>
                <w:rFonts w:ascii="Calibri" w:eastAsia="Calibri" w:hAnsi="Calibri" w:cs="Calibri"/>
                <w:color w:val="000000" w:themeColor="text1"/>
                <w:sz w:val="20"/>
                <w:lang w:val="en-AU"/>
              </w:rPr>
              <w:t> </w:t>
            </w:r>
          </w:p>
        </w:tc>
        <w:tc>
          <w:tcPr>
            <w:tcW w:w="1276" w:type="dxa"/>
            <w:tcBorders>
              <w:top w:val="single" w:sz="6" w:space="0" w:color="auto"/>
              <w:left w:val="nil"/>
              <w:bottom w:val="single" w:sz="6" w:space="0" w:color="auto"/>
              <w:right w:val="nil"/>
            </w:tcBorders>
            <w:shd w:val="clear" w:color="auto" w:fill="D9D9D9" w:themeFill="background1" w:themeFillShade="D9"/>
            <w:hideMark/>
          </w:tcPr>
          <w:p w14:paraId="015B09A1" w14:textId="77777777" w:rsidR="008A599A" w:rsidRDefault="008A599A" w:rsidP="008A599A">
            <w:pPr>
              <w:spacing w:line="256" w:lineRule="auto"/>
              <w:jc w:val="right"/>
              <w:rPr>
                <w:rFonts w:ascii="Calibri" w:eastAsia="Calibri" w:hAnsi="Calibri" w:cs="Calibri"/>
                <w:color w:val="000000" w:themeColor="text1"/>
                <w:sz w:val="20"/>
              </w:rPr>
            </w:pPr>
            <w:r>
              <w:rPr>
                <w:rFonts w:ascii="Calibri" w:eastAsia="Calibri" w:hAnsi="Calibri" w:cs="Calibri"/>
                <w:color w:val="000000" w:themeColor="text1"/>
                <w:sz w:val="20"/>
                <w:lang w:val="en-AU"/>
              </w:rPr>
              <w:t> </w:t>
            </w:r>
          </w:p>
        </w:tc>
        <w:tc>
          <w:tcPr>
            <w:tcW w:w="1276" w:type="dxa"/>
            <w:tcBorders>
              <w:top w:val="single" w:sz="6" w:space="0" w:color="auto"/>
              <w:left w:val="nil"/>
              <w:bottom w:val="single" w:sz="6" w:space="0" w:color="auto"/>
              <w:right w:val="nil"/>
            </w:tcBorders>
            <w:shd w:val="clear" w:color="auto" w:fill="D9D9D9" w:themeFill="background1" w:themeFillShade="D9"/>
            <w:hideMark/>
          </w:tcPr>
          <w:p w14:paraId="1C8D13DF" w14:textId="77777777" w:rsidR="008A599A" w:rsidRDefault="008A599A" w:rsidP="008A599A">
            <w:pPr>
              <w:spacing w:line="256" w:lineRule="auto"/>
              <w:jc w:val="right"/>
              <w:rPr>
                <w:rFonts w:ascii="Calibri" w:eastAsia="Calibri" w:hAnsi="Calibri" w:cs="Calibri"/>
                <w:color w:val="000000" w:themeColor="text1"/>
                <w:sz w:val="20"/>
              </w:rPr>
            </w:pPr>
            <w:r>
              <w:rPr>
                <w:rFonts w:ascii="Calibri" w:eastAsia="Calibri" w:hAnsi="Calibri" w:cs="Calibri"/>
                <w:color w:val="000000" w:themeColor="text1"/>
                <w:sz w:val="20"/>
                <w:lang w:val="en-AU"/>
              </w:rPr>
              <w:t> </w:t>
            </w:r>
          </w:p>
        </w:tc>
        <w:tc>
          <w:tcPr>
            <w:tcW w:w="1417" w:type="dxa"/>
            <w:tcBorders>
              <w:top w:val="single" w:sz="6" w:space="0" w:color="auto"/>
              <w:left w:val="nil"/>
              <w:bottom w:val="single" w:sz="6" w:space="0" w:color="auto"/>
              <w:right w:val="nil"/>
            </w:tcBorders>
            <w:shd w:val="clear" w:color="auto" w:fill="D9D9D9" w:themeFill="background1" w:themeFillShade="D9"/>
          </w:tcPr>
          <w:p w14:paraId="0D866CF1" w14:textId="77777777" w:rsidR="008A599A" w:rsidRDefault="008A599A" w:rsidP="008A599A">
            <w:pPr>
              <w:spacing w:line="256" w:lineRule="auto"/>
              <w:jc w:val="right"/>
              <w:rPr>
                <w:rFonts w:ascii="Calibri" w:eastAsia="Calibri" w:hAnsi="Calibri" w:cs="Calibri"/>
                <w:color w:val="000000" w:themeColor="text1"/>
                <w:sz w:val="20"/>
                <w:lang w:val="en-AU"/>
              </w:rPr>
            </w:pPr>
          </w:p>
        </w:tc>
        <w:tc>
          <w:tcPr>
            <w:tcW w:w="1276" w:type="dxa"/>
            <w:tcBorders>
              <w:top w:val="single" w:sz="6" w:space="0" w:color="auto"/>
              <w:left w:val="nil"/>
              <w:bottom w:val="single" w:sz="6" w:space="0" w:color="auto"/>
              <w:right w:val="nil"/>
            </w:tcBorders>
            <w:shd w:val="clear" w:color="auto" w:fill="D9D9D9" w:themeFill="background1" w:themeFillShade="D9"/>
            <w:hideMark/>
          </w:tcPr>
          <w:p w14:paraId="6B401632" w14:textId="02C9A9DE" w:rsidR="008A599A" w:rsidRDefault="008A599A" w:rsidP="008A599A">
            <w:pPr>
              <w:spacing w:line="256" w:lineRule="auto"/>
              <w:jc w:val="right"/>
              <w:rPr>
                <w:rFonts w:ascii="Calibri" w:eastAsia="Calibri" w:hAnsi="Calibri" w:cs="Calibri"/>
                <w:color w:val="000000" w:themeColor="text1"/>
                <w:sz w:val="20"/>
              </w:rPr>
            </w:pPr>
            <w:r>
              <w:rPr>
                <w:rFonts w:ascii="Calibri" w:eastAsia="Calibri" w:hAnsi="Calibri" w:cs="Calibri"/>
                <w:color w:val="000000" w:themeColor="text1"/>
                <w:sz w:val="20"/>
                <w:lang w:val="en-AU"/>
              </w:rPr>
              <w:t> </w:t>
            </w:r>
          </w:p>
        </w:tc>
      </w:tr>
      <w:tr w:rsidR="00BE0934" w14:paraId="35CB0FF8" w14:textId="77777777" w:rsidTr="7B0FF488">
        <w:trPr>
          <w:gridBefore w:val="1"/>
          <w:gridAfter w:val="1"/>
          <w:wBefore w:w="108" w:type="dxa"/>
          <w:wAfter w:w="459" w:type="dxa"/>
          <w:trHeight w:val="345"/>
        </w:trPr>
        <w:tc>
          <w:tcPr>
            <w:tcW w:w="5670" w:type="dxa"/>
            <w:tcBorders>
              <w:top w:val="single" w:sz="6" w:space="0" w:color="auto"/>
              <w:left w:val="nil"/>
              <w:bottom w:val="nil"/>
              <w:right w:val="nil"/>
            </w:tcBorders>
            <w:vAlign w:val="center"/>
            <w:hideMark/>
          </w:tcPr>
          <w:p w14:paraId="69789EE5" w14:textId="77777777" w:rsidR="00BE0934" w:rsidRDefault="00BE0934" w:rsidP="00BE0934">
            <w:pPr>
              <w:spacing w:line="256" w:lineRule="auto"/>
              <w:ind w:left="30"/>
              <w:rPr>
                <w:rFonts w:ascii="Calibri" w:eastAsia="Calibri" w:hAnsi="Calibri" w:cs="Calibri"/>
                <w:color w:val="000000" w:themeColor="text1"/>
                <w:sz w:val="20"/>
              </w:rPr>
            </w:pPr>
            <w:r>
              <w:rPr>
                <w:rFonts w:ascii="Calibri" w:eastAsia="Calibri" w:hAnsi="Calibri" w:cs="Calibri"/>
                <w:b/>
                <w:bCs/>
                <w:color w:val="000000" w:themeColor="text1"/>
                <w:sz w:val="20"/>
              </w:rPr>
              <w:t>Victoria financial commitments</w:t>
            </w:r>
            <w:r>
              <w:rPr>
                <w:rFonts w:ascii="Calibri" w:eastAsia="Calibri" w:hAnsi="Calibri" w:cs="Calibri"/>
                <w:color w:val="000000" w:themeColor="text1"/>
                <w:sz w:val="20"/>
                <w:lang w:val="en-AU"/>
              </w:rPr>
              <w:t> </w:t>
            </w:r>
          </w:p>
        </w:tc>
        <w:tc>
          <w:tcPr>
            <w:tcW w:w="1134" w:type="dxa"/>
            <w:tcBorders>
              <w:top w:val="single" w:sz="6" w:space="0" w:color="auto"/>
              <w:left w:val="nil"/>
              <w:bottom w:val="nil"/>
              <w:right w:val="nil"/>
            </w:tcBorders>
            <w:hideMark/>
          </w:tcPr>
          <w:p w14:paraId="5374AA48" w14:textId="77777777" w:rsidR="00BE0934" w:rsidRPr="00A46C84" w:rsidRDefault="00BE0934" w:rsidP="003D5721">
            <w:pPr>
              <w:spacing w:after="0" w:line="257" w:lineRule="auto"/>
              <w:jc w:val="right"/>
              <w:rPr>
                <w:rFonts w:eastAsia="Calibri" w:cstheme="minorHAnsi"/>
                <w:b/>
                <w:bCs/>
                <w:color w:val="000000" w:themeColor="text1"/>
                <w:sz w:val="20"/>
              </w:rPr>
            </w:pPr>
            <w:r w:rsidRPr="00A46C84">
              <w:rPr>
                <w:b/>
                <w:bCs/>
                <w:sz w:val="20"/>
              </w:rPr>
              <w:t>49,533,928</w:t>
            </w:r>
          </w:p>
        </w:tc>
        <w:tc>
          <w:tcPr>
            <w:tcW w:w="1418" w:type="dxa"/>
            <w:gridSpan w:val="3"/>
            <w:tcBorders>
              <w:top w:val="single" w:sz="6" w:space="0" w:color="auto"/>
              <w:left w:val="nil"/>
              <w:bottom w:val="nil"/>
              <w:right w:val="nil"/>
            </w:tcBorders>
            <w:hideMark/>
          </w:tcPr>
          <w:p w14:paraId="3DB565FF" w14:textId="77777777" w:rsidR="00BE0934" w:rsidRPr="00A46C84" w:rsidRDefault="00BE0934" w:rsidP="003D5721">
            <w:pPr>
              <w:spacing w:after="0" w:line="257" w:lineRule="auto"/>
              <w:jc w:val="right"/>
              <w:rPr>
                <w:rFonts w:eastAsia="Calibri" w:cstheme="minorHAnsi"/>
                <w:b/>
                <w:bCs/>
                <w:color w:val="000000" w:themeColor="text1"/>
                <w:sz w:val="20"/>
              </w:rPr>
            </w:pPr>
            <w:r w:rsidRPr="00A46C84">
              <w:rPr>
                <w:b/>
                <w:bCs/>
                <w:sz w:val="20"/>
              </w:rPr>
              <w:t>57,407,297</w:t>
            </w:r>
          </w:p>
        </w:tc>
        <w:tc>
          <w:tcPr>
            <w:tcW w:w="1417" w:type="dxa"/>
            <w:tcBorders>
              <w:top w:val="single" w:sz="6" w:space="0" w:color="auto"/>
              <w:left w:val="nil"/>
              <w:bottom w:val="nil"/>
              <w:right w:val="nil"/>
            </w:tcBorders>
            <w:hideMark/>
          </w:tcPr>
          <w:p w14:paraId="7316B94E" w14:textId="77777777" w:rsidR="00BE0934" w:rsidRPr="00A46C84" w:rsidRDefault="00BE0934" w:rsidP="003D5721">
            <w:pPr>
              <w:spacing w:after="0" w:line="257" w:lineRule="auto"/>
              <w:jc w:val="right"/>
              <w:rPr>
                <w:rFonts w:eastAsia="Calibri" w:cstheme="minorHAnsi"/>
                <w:b/>
                <w:bCs/>
                <w:color w:val="000000" w:themeColor="text1"/>
                <w:sz w:val="20"/>
              </w:rPr>
            </w:pPr>
            <w:r w:rsidRPr="00A46C84">
              <w:rPr>
                <w:b/>
                <w:bCs/>
                <w:sz w:val="20"/>
              </w:rPr>
              <w:t>101,594,339</w:t>
            </w:r>
          </w:p>
        </w:tc>
        <w:tc>
          <w:tcPr>
            <w:tcW w:w="1276" w:type="dxa"/>
            <w:tcBorders>
              <w:top w:val="single" w:sz="6" w:space="0" w:color="auto"/>
              <w:left w:val="nil"/>
              <w:bottom w:val="nil"/>
              <w:right w:val="nil"/>
            </w:tcBorders>
            <w:hideMark/>
          </w:tcPr>
          <w:p w14:paraId="49CFE517" w14:textId="77777777" w:rsidR="00BE0934" w:rsidRPr="00A46C84" w:rsidRDefault="00BE0934" w:rsidP="003D5721">
            <w:pPr>
              <w:spacing w:after="0" w:line="257" w:lineRule="auto"/>
              <w:jc w:val="right"/>
              <w:rPr>
                <w:rFonts w:eastAsia="Calibri" w:cstheme="minorHAnsi"/>
                <w:b/>
                <w:bCs/>
                <w:color w:val="000000" w:themeColor="text1"/>
                <w:sz w:val="20"/>
              </w:rPr>
            </w:pPr>
            <w:r w:rsidRPr="00A46C84">
              <w:rPr>
                <w:b/>
                <w:bCs/>
                <w:sz w:val="20"/>
              </w:rPr>
              <w:t>157,761,638</w:t>
            </w:r>
          </w:p>
        </w:tc>
        <w:tc>
          <w:tcPr>
            <w:tcW w:w="1276" w:type="dxa"/>
            <w:tcBorders>
              <w:top w:val="single" w:sz="6" w:space="0" w:color="auto"/>
              <w:left w:val="nil"/>
              <w:bottom w:val="nil"/>
              <w:right w:val="nil"/>
            </w:tcBorders>
            <w:hideMark/>
          </w:tcPr>
          <w:p w14:paraId="479471A8" w14:textId="77777777" w:rsidR="00BE0934" w:rsidRPr="00A46C84" w:rsidRDefault="00BE0934" w:rsidP="003D5721">
            <w:pPr>
              <w:spacing w:after="0" w:line="257" w:lineRule="auto"/>
              <w:jc w:val="right"/>
              <w:rPr>
                <w:rFonts w:eastAsia="Calibri" w:cstheme="minorHAnsi"/>
                <w:b/>
                <w:bCs/>
                <w:color w:val="000000" w:themeColor="text1"/>
                <w:sz w:val="20"/>
              </w:rPr>
            </w:pPr>
            <w:r w:rsidRPr="00A46C84">
              <w:rPr>
                <w:b/>
                <w:bCs/>
                <w:sz w:val="20"/>
              </w:rPr>
              <w:t>157,947,121</w:t>
            </w:r>
          </w:p>
        </w:tc>
        <w:tc>
          <w:tcPr>
            <w:tcW w:w="1417" w:type="dxa"/>
            <w:tcBorders>
              <w:top w:val="single" w:sz="6" w:space="0" w:color="auto"/>
              <w:left w:val="nil"/>
              <w:bottom w:val="nil"/>
              <w:right w:val="nil"/>
            </w:tcBorders>
          </w:tcPr>
          <w:p w14:paraId="7848904E" w14:textId="5C5F11AB" w:rsidR="00BE0934" w:rsidRPr="00BE0934" w:rsidRDefault="00C977E2" w:rsidP="003D5721">
            <w:pPr>
              <w:spacing w:after="0" w:line="257" w:lineRule="auto"/>
              <w:jc w:val="right"/>
              <w:rPr>
                <w:b/>
                <w:bCs/>
                <w:sz w:val="20"/>
              </w:rPr>
            </w:pPr>
            <w:r>
              <w:rPr>
                <w:b/>
                <w:bCs/>
                <w:sz w:val="20"/>
              </w:rPr>
              <w:t>159,266,458</w:t>
            </w:r>
          </w:p>
        </w:tc>
        <w:tc>
          <w:tcPr>
            <w:tcW w:w="1276" w:type="dxa"/>
            <w:tcBorders>
              <w:top w:val="single" w:sz="6" w:space="0" w:color="auto"/>
              <w:left w:val="nil"/>
              <w:bottom w:val="nil"/>
              <w:right w:val="nil"/>
            </w:tcBorders>
            <w:hideMark/>
          </w:tcPr>
          <w:p w14:paraId="24D90CC1" w14:textId="72095CB8" w:rsidR="00BE0934" w:rsidRPr="00BE0934" w:rsidRDefault="00C977E2" w:rsidP="003D5721">
            <w:pPr>
              <w:spacing w:after="0" w:line="257" w:lineRule="auto"/>
              <w:jc w:val="right"/>
              <w:rPr>
                <w:b/>
                <w:bCs/>
                <w:sz w:val="20"/>
              </w:rPr>
            </w:pPr>
            <w:r>
              <w:rPr>
                <w:b/>
                <w:bCs/>
                <w:sz w:val="20"/>
              </w:rPr>
              <w:t>683,510,781</w:t>
            </w:r>
          </w:p>
        </w:tc>
      </w:tr>
      <w:tr w:rsidR="00BE0934" w14:paraId="416C13B1" w14:textId="77777777" w:rsidTr="7B0FF488">
        <w:trPr>
          <w:gridBefore w:val="1"/>
          <w:gridAfter w:val="1"/>
          <w:wBefore w:w="108" w:type="dxa"/>
          <w:wAfter w:w="459" w:type="dxa"/>
          <w:trHeight w:val="345"/>
        </w:trPr>
        <w:tc>
          <w:tcPr>
            <w:tcW w:w="7513" w:type="dxa"/>
            <w:gridSpan w:val="4"/>
          </w:tcPr>
          <w:p w14:paraId="3E95CC77" w14:textId="6ED7A814" w:rsidR="00BE0934" w:rsidRPr="00EC0D47" w:rsidRDefault="00BE0934" w:rsidP="219D5185">
            <w:pPr>
              <w:spacing w:line="256" w:lineRule="auto"/>
              <w:ind w:left="30"/>
              <w:rPr>
                <w:rFonts w:ascii="Calibri" w:eastAsia="Calibri" w:hAnsi="Calibri" w:cs="Calibri"/>
                <w:b/>
                <w:bCs/>
                <w:color w:val="000000" w:themeColor="text1"/>
                <w:sz w:val="20"/>
              </w:rPr>
            </w:pPr>
            <w:r w:rsidRPr="219D5185">
              <w:rPr>
                <w:rFonts w:ascii="Calibri" w:eastAsia="Calibri" w:hAnsi="Calibri" w:cs="Calibri"/>
                <w:color w:val="000000" w:themeColor="text1"/>
                <w:sz w:val="20"/>
              </w:rPr>
              <w:t>Aftercare services for people discharged from hospital after a suicide attempt</w:t>
            </w:r>
          </w:p>
        </w:tc>
        <w:tc>
          <w:tcPr>
            <w:tcW w:w="7371" w:type="dxa"/>
            <w:gridSpan w:val="6"/>
            <w:vAlign w:val="center"/>
            <w:hideMark/>
          </w:tcPr>
          <w:p w14:paraId="4A307E5A" w14:textId="7CC119E5" w:rsidR="00BE0934" w:rsidRPr="00A46C84" w:rsidRDefault="00BE0934" w:rsidP="219D5185">
            <w:pPr>
              <w:spacing w:line="256" w:lineRule="auto"/>
              <w:ind w:left="30"/>
              <w:rPr>
                <w:rFonts w:ascii="Calibri" w:eastAsia="Calibri" w:hAnsi="Calibri" w:cs="Calibri"/>
                <w:color w:val="000000" w:themeColor="text1"/>
                <w:sz w:val="20"/>
              </w:rPr>
            </w:pPr>
          </w:p>
        </w:tc>
      </w:tr>
      <w:tr w:rsidR="00BE0934" w14:paraId="1637B2A5" w14:textId="77777777" w:rsidTr="7B0FF488">
        <w:trPr>
          <w:gridBefore w:val="1"/>
          <w:gridAfter w:val="1"/>
          <w:wBefore w:w="108" w:type="dxa"/>
          <w:wAfter w:w="459" w:type="dxa"/>
          <w:trHeight w:val="345"/>
        </w:trPr>
        <w:tc>
          <w:tcPr>
            <w:tcW w:w="5670" w:type="dxa"/>
            <w:vAlign w:val="center"/>
          </w:tcPr>
          <w:p w14:paraId="6A3C54B3" w14:textId="77777777" w:rsidR="00BE0934" w:rsidRDefault="00BE0934" w:rsidP="00BE0934">
            <w:pPr>
              <w:spacing w:line="256" w:lineRule="auto"/>
              <w:ind w:left="315"/>
              <w:rPr>
                <w:rFonts w:ascii="Calibri" w:eastAsia="Calibri" w:hAnsi="Calibri" w:cs="Calibri"/>
                <w:color w:val="000000" w:themeColor="text1"/>
                <w:sz w:val="20"/>
              </w:rPr>
            </w:pPr>
            <w:r>
              <w:rPr>
                <w:rFonts w:ascii="Calibri" w:eastAsia="Calibri" w:hAnsi="Calibri" w:cs="Calibri"/>
                <w:color w:val="000000" w:themeColor="text1"/>
                <w:sz w:val="20"/>
              </w:rPr>
              <w:t>Aftercare services</w:t>
            </w:r>
            <w:r>
              <w:rPr>
                <w:rFonts w:ascii="Calibri" w:eastAsia="Calibri" w:hAnsi="Calibri" w:cs="Calibri"/>
                <w:color w:val="000000" w:themeColor="text1"/>
                <w:sz w:val="20"/>
                <w:lang w:val="en-AU"/>
              </w:rPr>
              <w:t> </w:t>
            </w:r>
          </w:p>
        </w:tc>
        <w:tc>
          <w:tcPr>
            <w:tcW w:w="1134" w:type="dxa"/>
            <w:vAlign w:val="center"/>
          </w:tcPr>
          <w:p w14:paraId="278A4A58" w14:textId="77777777" w:rsidR="00BE0934" w:rsidRPr="00A46C84" w:rsidRDefault="00BE0934" w:rsidP="003D5721">
            <w:pPr>
              <w:spacing w:after="0" w:line="257" w:lineRule="auto"/>
              <w:jc w:val="right"/>
              <w:rPr>
                <w:rFonts w:ascii="Calibri" w:hAnsi="Calibri" w:cs="Calibri"/>
                <w:color w:val="000000"/>
                <w:sz w:val="20"/>
              </w:rPr>
            </w:pPr>
            <w:r w:rsidRPr="00A46C84">
              <w:rPr>
                <w:rFonts w:ascii="Calibri" w:hAnsi="Calibri" w:cs="Calibri"/>
                <w:color w:val="000000"/>
                <w:sz w:val="20"/>
              </w:rPr>
              <w:t>43,670,000</w:t>
            </w:r>
          </w:p>
        </w:tc>
        <w:tc>
          <w:tcPr>
            <w:tcW w:w="1418" w:type="dxa"/>
            <w:gridSpan w:val="3"/>
            <w:vAlign w:val="center"/>
          </w:tcPr>
          <w:p w14:paraId="7F52DA59" w14:textId="77777777" w:rsidR="00BE0934" w:rsidRPr="00A46C84" w:rsidRDefault="00BE0934" w:rsidP="003D5721">
            <w:pPr>
              <w:spacing w:after="0" w:line="257" w:lineRule="auto"/>
              <w:jc w:val="right"/>
              <w:rPr>
                <w:rFonts w:ascii="Calibri" w:hAnsi="Calibri" w:cs="Calibri"/>
                <w:color w:val="000000"/>
                <w:sz w:val="20"/>
              </w:rPr>
            </w:pPr>
            <w:r w:rsidRPr="00A46C84">
              <w:rPr>
                <w:rFonts w:ascii="Calibri" w:hAnsi="Calibri" w:cs="Calibri"/>
                <w:color w:val="000000"/>
                <w:sz w:val="20"/>
              </w:rPr>
              <w:t>27,826,067</w:t>
            </w:r>
          </w:p>
        </w:tc>
        <w:tc>
          <w:tcPr>
            <w:tcW w:w="1417" w:type="dxa"/>
            <w:vAlign w:val="center"/>
          </w:tcPr>
          <w:p w14:paraId="288F7401" w14:textId="77777777" w:rsidR="00BE0934" w:rsidRPr="00A46C84" w:rsidRDefault="00BE0934" w:rsidP="003D5721">
            <w:pPr>
              <w:spacing w:after="0" w:line="257" w:lineRule="auto"/>
              <w:jc w:val="right"/>
              <w:rPr>
                <w:rFonts w:ascii="Calibri" w:hAnsi="Calibri" w:cs="Calibri"/>
                <w:color w:val="000000"/>
                <w:sz w:val="20"/>
              </w:rPr>
            </w:pPr>
            <w:r w:rsidRPr="00A46C84">
              <w:rPr>
                <w:rFonts w:ascii="Calibri" w:hAnsi="Calibri" w:cs="Calibri"/>
                <w:color w:val="000000"/>
                <w:sz w:val="20"/>
              </w:rPr>
              <w:t>28,648,863</w:t>
            </w:r>
          </w:p>
        </w:tc>
        <w:tc>
          <w:tcPr>
            <w:tcW w:w="1276" w:type="dxa"/>
            <w:vAlign w:val="center"/>
          </w:tcPr>
          <w:p w14:paraId="226224F4" w14:textId="77777777" w:rsidR="00BE0934" w:rsidRPr="00A46C84" w:rsidRDefault="00BE0934" w:rsidP="003D5721">
            <w:pPr>
              <w:spacing w:after="0" w:line="257" w:lineRule="auto"/>
              <w:jc w:val="right"/>
              <w:rPr>
                <w:rFonts w:ascii="Calibri" w:hAnsi="Calibri" w:cs="Calibri"/>
                <w:color w:val="000000"/>
                <w:sz w:val="20"/>
              </w:rPr>
            </w:pPr>
            <w:r w:rsidRPr="00A46C84">
              <w:rPr>
                <w:rFonts w:ascii="Calibri" w:hAnsi="Calibri" w:cs="Calibri"/>
                <w:color w:val="000000"/>
                <w:sz w:val="20"/>
              </w:rPr>
              <w:t>29,461,536</w:t>
            </w:r>
          </w:p>
        </w:tc>
        <w:tc>
          <w:tcPr>
            <w:tcW w:w="1276" w:type="dxa"/>
            <w:vAlign w:val="center"/>
          </w:tcPr>
          <w:p w14:paraId="2A306F45" w14:textId="77777777" w:rsidR="00BE0934" w:rsidRPr="00A46C84" w:rsidRDefault="00BE0934" w:rsidP="003D5721">
            <w:pPr>
              <w:spacing w:after="0" w:line="257" w:lineRule="auto"/>
              <w:jc w:val="right"/>
              <w:rPr>
                <w:rFonts w:ascii="Calibri" w:hAnsi="Calibri" w:cs="Calibri"/>
                <w:color w:val="000000"/>
                <w:sz w:val="20"/>
              </w:rPr>
            </w:pPr>
            <w:r w:rsidRPr="00A46C84">
              <w:rPr>
                <w:rFonts w:ascii="Calibri" w:hAnsi="Calibri" w:cs="Calibri"/>
                <w:color w:val="000000"/>
                <w:sz w:val="20"/>
              </w:rPr>
              <w:t>30,130,394</w:t>
            </w:r>
          </w:p>
        </w:tc>
        <w:tc>
          <w:tcPr>
            <w:tcW w:w="1417" w:type="dxa"/>
            <w:vAlign w:val="center"/>
          </w:tcPr>
          <w:p w14:paraId="4CC81B57" w14:textId="4220262C" w:rsidR="00BE0934" w:rsidRPr="00A46C84" w:rsidRDefault="005F1239" w:rsidP="003D5721">
            <w:pPr>
              <w:spacing w:after="0" w:line="257" w:lineRule="auto"/>
              <w:jc w:val="right"/>
              <w:rPr>
                <w:rFonts w:ascii="Calibri" w:hAnsi="Calibri" w:cs="Calibri"/>
                <w:color w:val="000000"/>
                <w:sz w:val="20"/>
              </w:rPr>
            </w:pPr>
            <w:r w:rsidRPr="219D5185">
              <w:rPr>
                <w:rFonts w:ascii="Calibri" w:hAnsi="Calibri" w:cs="Calibri"/>
                <w:color w:val="000000" w:themeColor="text1"/>
                <w:sz w:val="20"/>
              </w:rPr>
              <w:t>30,</w:t>
            </w:r>
            <w:r w:rsidR="00226D81" w:rsidRPr="219D5185">
              <w:rPr>
                <w:rFonts w:ascii="Calibri" w:hAnsi="Calibri" w:cs="Calibri"/>
                <w:color w:val="000000" w:themeColor="text1"/>
                <w:sz w:val="20"/>
              </w:rPr>
              <w:t>853,523</w:t>
            </w:r>
          </w:p>
        </w:tc>
        <w:tc>
          <w:tcPr>
            <w:tcW w:w="1276" w:type="dxa"/>
            <w:vAlign w:val="center"/>
          </w:tcPr>
          <w:p w14:paraId="1F29809C" w14:textId="338B2DA9" w:rsidR="00BE0934" w:rsidRPr="00A46C84" w:rsidRDefault="00226D81" w:rsidP="003D5721">
            <w:pPr>
              <w:spacing w:after="0" w:line="257" w:lineRule="auto"/>
              <w:jc w:val="right"/>
              <w:rPr>
                <w:rFonts w:ascii="Calibri" w:hAnsi="Calibri" w:cs="Calibri"/>
                <w:color w:val="000000"/>
                <w:sz w:val="20"/>
              </w:rPr>
            </w:pPr>
            <w:r w:rsidRPr="219D5185">
              <w:rPr>
                <w:rFonts w:ascii="Calibri" w:hAnsi="Calibri" w:cs="Calibri"/>
                <w:color w:val="000000" w:themeColor="text1"/>
                <w:sz w:val="20"/>
              </w:rPr>
              <w:t>190,590,383</w:t>
            </w:r>
          </w:p>
        </w:tc>
      </w:tr>
      <w:tr w:rsidR="00BE0934" w14:paraId="22E6581E" w14:textId="77777777" w:rsidTr="7B0FF488">
        <w:trPr>
          <w:gridBefore w:val="1"/>
          <w:gridAfter w:val="1"/>
          <w:wBefore w:w="108" w:type="dxa"/>
          <w:wAfter w:w="459" w:type="dxa"/>
          <w:trHeight w:val="345"/>
        </w:trPr>
        <w:tc>
          <w:tcPr>
            <w:tcW w:w="5670" w:type="dxa"/>
            <w:vAlign w:val="center"/>
          </w:tcPr>
          <w:p w14:paraId="71CD32D7" w14:textId="77777777" w:rsidR="00BE0934" w:rsidRDefault="00BE0934" w:rsidP="00BE0934">
            <w:pPr>
              <w:spacing w:line="256" w:lineRule="auto"/>
              <w:ind w:left="315"/>
              <w:rPr>
                <w:rFonts w:ascii="Calibri" w:eastAsia="Calibri" w:hAnsi="Calibri" w:cs="Calibri"/>
                <w:color w:val="000000" w:themeColor="text1"/>
                <w:sz w:val="20"/>
              </w:rPr>
            </w:pPr>
            <w:r w:rsidRPr="0036395C">
              <w:rPr>
                <w:rFonts w:ascii="Calibri" w:eastAsia="Calibri" w:hAnsi="Calibri" w:cs="Calibri"/>
                <w:color w:val="000000" w:themeColor="text1"/>
                <w:sz w:val="20"/>
              </w:rPr>
              <w:t>Outside</w:t>
            </w:r>
            <w:r w:rsidRPr="00991588">
              <w:rPr>
                <w:rFonts w:ascii="Calibri" w:eastAsia="Calibri" w:hAnsi="Calibri" w:cs="Calibri"/>
                <w:sz w:val="20"/>
              </w:rPr>
              <w:t xml:space="preserve"> hospital trial </w:t>
            </w:r>
            <w:r w:rsidRPr="00991588">
              <w:rPr>
                <w:rFonts w:ascii="Calibri" w:eastAsia="Calibri" w:hAnsi="Calibri" w:cs="Calibri"/>
                <w:sz w:val="20"/>
                <w:lang w:val="en-AU"/>
              </w:rPr>
              <w:t> </w:t>
            </w:r>
          </w:p>
        </w:tc>
        <w:tc>
          <w:tcPr>
            <w:tcW w:w="1134" w:type="dxa"/>
            <w:vAlign w:val="center"/>
          </w:tcPr>
          <w:p w14:paraId="68244635" w14:textId="77777777" w:rsidR="00BE0934" w:rsidRPr="00A46C84" w:rsidRDefault="00BE0934" w:rsidP="003D5721">
            <w:pPr>
              <w:spacing w:after="0" w:line="257" w:lineRule="auto"/>
              <w:jc w:val="right"/>
              <w:rPr>
                <w:rFonts w:ascii="Calibri" w:hAnsi="Calibri" w:cs="Calibri"/>
                <w:color w:val="000000"/>
                <w:sz w:val="20"/>
              </w:rPr>
            </w:pPr>
            <w:r w:rsidRPr="00A46C84">
              <w:rPr>
                <w:rFonts w:ascii="Calibri" w:hAnsi="Calibri" w:cs="Calibri"/>
                <w:color w:val="000000"/>
                <w:sz w:val="20"/>
              </w:rPr>
              <w:t> -</w:t>
            </w:r>
          </w:p>
        </w:tc>
        <w:tc>
          <w:tcPr>
            <w:tcW w:w="1418" w:type="dxa"/>
            <w:gridSpan w:val="3"/>
            <w:vAlign w:val="center"/>
          </w:tcPr>
          <w:p w14:paraId="52A652DE" w14:textId="77777777" w:rsidR="00BE0934" w:rsidRPr="00A46C84" w:rsidRDefault="00BE0934" w:rsidP="003D5721">
            <w:pPr>
              <w:spacing w:after="0" w:line="257" w:lineRule="auto"/>
              <w:jc w:val="right"/>
              <w:rPr>
                <w:rFonts w:ascii="Calibri" w:hAnsi="Calibri" w:cs="Calibri"/>
                <w:color w:val="000000"/>
                <w:sz w:val="20"/>
              </w:rPr>
            </w:pPr>
            <w:r w:rsidRPr="00A46C84">
              <w:rPr>
                <w:rFonts w:ascii="Calibri" w:hAnsi="Calibri" w:cs="Calibri"/>
                <w:color w:val="000000"/>
                <w:sz w:val="20"/>
              </w:rPr>
              <w:t>965,048</w:t>
            </w:r>
          </w:p>
        </w:tc>
        <w:tc>
          <w:tcPr>
            <w:tcW w:w="1417" w:type="dxa"/>
            <w:vAlign w:val="center"/>
          </w:tcPr>
          <w:p w14:paraId="51C5F2E7" w14:textId="77777777" w:rsidR="00BE0934" w:rsidRPr="00A46C84" w:rsidRDefault="00BE0934" w:rsidP="003D5721">
            <w:pPr>
              <w:spacing w:after="0" w:line="257" w:lineRule="auto"/>
              <w:jc w:val="right"/>
              <w:rPr>
                <w:rFonts w:ascii="Calibri" w:hAnsi="Calibri" w:cs="Calibri"/>
                <w:color w:val="000000"/>
                <w:sz w:val="20"/>
              </w:rPr>
            </w:pPr>
            <w:r w:rsidRPr="00A46C84">
              <w:rPr>
                <w:rFonts w:ascii="Calibri" w:hAnsi="Calibri" w:cs="Calibri"/>
                <w:color w:val="000000"/>
                <w:sz w:val="20"/>
              </w:rPr>
              <w:t>620,744</w:t>
            </w:r>
          </w:p>
        </w:tc>
        <w:tc>
          <w:tcPr>
            <w:tcW w:w="1276" w:type="dxa"/>
            <w:vAlign w:val="center"/>
          </w:tcPr>
          <w:p w14:paraId="3204631B" w14:textId="77777777" w:rsidR="00BE0934" w:rsidRPr="00A46C84" w:rsidRDefault="00BE0934" w:rsidP="003D5721">
            <w:pPr>
              <w:spacing w:after="0" w:line="257" w:lineRule="auto"/>
              <w:jc w:val="right"/>
              <w:rPr>
                <w:rFonts w:ascii="Calibri" w:hAnsi="Calibri" w:cs="Calibri"/>
                <w:color w:val="000000"/>
                <w:sz w:val="20"/>
              </w:rPr>
            </w:pPr>
            <w:r w:rsidRPr="00A46C84">
              <w:rPr>
                <w:rFonts w:ascii="Calibri" w:hAnsi="Calibri" w:cs="Calibri"/>
                <w:color w:val="000000"/>
                <w:sz w:val="20"/>
              </w:rPr>
              <w:t>629,369</w:t>
            </w:r>
          </w:p>
        </w:tc>
        <w:tc>
          <w:tcPr>
            <w:tcW w:w="1276" w:type="dxa"/>
            <w:vAlign w:val="center"/>
          </w:tcPr>
          <w:p w14:paraId="6D5ADED1" w14:textId="77777777" w:rsidR="00BE0934" w:rsidRPr="00A46C84" w:rsidRDefault="00BE0934" w:rsidP="003D5721">
            <w:pPr>
              <w:spacing w:after="0" w:line="257" w:lineRule="auto"/>
              <w:jc w:val="right"/>
              <w:rPr>
                <w:rFonts w:ascii="Calibri" w:hAnsi="Calibri" w:cs="Calibri"/>
                <w:color w:val="000000"/>
                <w:sz w:val="20"/>
              </w:rPr>
            </w:pPr>
            <w:r w:rsidRPr="00A46C84">
              <w:rPr>
                <w:rFonts w:ascii="Calibri" w:hAnsi="Calibri" w:cs="Calibri"/>
                <w:color w:val="000000"/>
                <w:sz w:val="20"/>
              </w:rPr>
              <w:t>-</w:t>
            </w:r>
          </w:p>
        </w:tc>
        <w:tc>
          <w:tcPr>
            <w:tcW w:w="1417" w:type="dxa"/>
            <w:vAlign w:val="center"/>
          </w:tcPr>
          <w:p w14:paraId="0E3B50C5" w14:textId="5EC49A44" w:rsidR="00BE0934" w:rsidRPr="00A46C84" w:rsidRDefault="00226D81" w:rsidP="003D5721">
            <w:pPr>
              <w:spacing w:after="0" w:line="257" w:lineRule="auto"/>
              <w:jc w:val="right"/>
              <w:rPr>
                <w:rFonts w:ascii="Calibri" w:hAnsi="Calibri" w:cs="Calibri"/>
                <w:color w:val="000000"/>
                <w:sz w:val="20"/>
              </w:rPr>
            </w:pPr>
            <w:r w:rsidRPr="219D5185">
              <w:rPr>
                <w:rFonts w:ascii="Calibri" w:hAnsi="Calibri" w:cs="Calibri"/>
                <w:color w:val="000000" w:themeColor="text1"/>
                <w:sz w:val="20"/>
              </w:rPr>
              <w:t>658,008</w:t>
            </w:r>
          </w:p>
        </w:tc>
        <w:tc>
          <w:tcPr>
            <w:tcW w:w="1276" w:type="dxa"/>
            <w:vAlign w:val="center"/>
          </w:tcPr>
          <w:p w14:paraId="5222FA3A" w14:textId="429300F1" w:rsidR="00BE0934" w:rsidRPr="00A46C84" w:rsidRDefault="0024386F" w:rsidP="003D5721">
            <w:pPr>
              <w:spacing w:after="0" w:line="257" w:lineRule="auto"/>
              <w:jc w:val="right"/>
              <w:rPr>
                <w:rFonts w:ascii="Calibri" w:hAnsi="Calibri" w:cs="Calibri"/>
                <w:color w:val="000000"/>
                <w:sz w:val="20"/>
              </w:rPr>
            </w:pPr>
            <w:r w:rsidRPr="219D5185">
              <w:rPr>
                <w:rFonts w:ascii="Calibri" w:hAnsi="Calibri" w:cs="Calibri"/>
                <w:color w:val="000000" w:themeColor="text1"/>
                <w:sz w:val="20"/>
              </w:rPr>
              <w:t>2,873</w:t>
            </w:r>
            <w:r w:rsidR="000150A6" w:rsidRPr="219D5185">
              <w:rPr>
                <w:rFonts w:ascii="Calibri" w:hAnsi="Calibri" w:cs="Calibri"/>
                <w:color w:val="000000" w:themeColor="text1"/>
                <w:sz w:val="20"/>
              </w:rPr>
              <w:t>,169</w:t>
            </w:r>
          </w:p>
        </w:tc>
      </w:tr>
      <w:tr w:rsidR="00BE0934" w14:paraId="74835A9E" w14:textId="77777777" w:rsidTr="7B0FF488">
        <w:trPr>
          <w:gridBefore w:val="1"/>
          <w:gridAfter w:val="1"/>
          <w:wBefore w:w="108" w:type="dxa"/>
          <w:wAfter w:w="459" w:type="dxa"/>
          <w:trHeight w:val="345"/>
        </w:trPr>
        <w:tc>
          <w:tcPr>
            <w:tcW w:w="5670" w:type="dxa"/>
            <w:vAlign w:val="center"/>
            <w:hideMark/>
          </w:tcPr>
          <w:p w14:paraId="79CF3097" w14:textId="77777777" w:rsidR="00BE0934" w:rsidRDefault="00BE0934" w:rsidP="00BE0934">
            <w:pPr>
              <w:spacing w:line="256" w:lineRule="auto"/>
              <w:ind w:left="30"/>
              <w:rPr>
                <w:rFonts w:ascii="Calibri" w:eastAsia="Calibri" w:hAnsi="Calibri" w:cs="Calibri"/>
                <w:color w:val="000000" w:themeColor="text1"/>
                <w:sz w:val="20"/>
              </w:rPr>
            </w:pPr>
            <w:r>
              <w:rPr>
                <w:rFonts w:ascii="Calibri" w:eastAsia="Calibri" w:hAnsi="Calibri" w:cs="Calibri"/>
                <w:color w:val="000000" w:themeColor="text1"/>
                <w:sz w:val="20"/>
              </w:rPr>
              <w:t>Distress Intervention Trial Program</w:t>
            </w:r>
            <w:r>
              <w:rPr>
                <w:rFonts w:ascii="Calibri" w:eastAsia="Calibri" w:hAnsi="Calibri" w:cs="Calibri"/>
                <w:color w:val="000000" w:themeColor="text1"/>
                <w:sz w:val="20"/>
                <w:lang w:val="en-AU"/>
              </w:rPr>
              <w:t> </w:t>
            </w:r>
          </w:p>
        </w:tc>
        <w:tc>
          <w:tcPr>
            <w:tcW w:w="1134" w:type="dxa"/>
            <w:vAlign w:val="center"/>
            <w:hideMark/>
          </w:tcPr>
          <w:p w14:paraId="1C880BD1" w14:textId="77777777" w:rsidR="00BE0934" w:rsidRPr="00A46C84" w:rsidRDefault="00BE0934" w:rsidP="003D5721">
            <w:pPr>
              <w:spacing w:after="0" w:line="257" w:lineRule="auto"/>
              <w:jc w:val="right"/>
              <w:rPr>
                <w:rFonts w:ascii="Calibri" w:hAnsi="Calibri" w:cs="Calibri"/>
                <w:color w:val="000000"/>
                <w:sz w:val="20"/>
              </w:rPr>
            </w:pPr>
            <w:r w:rsidRPr="00A46C84">
              <w:rPr>
                <w:rFonts w:ascii="Calibri" w:hAnsi="Calibri" w:cs="Calibri"/>
                <w:color w:val="000000"/>
                <w:sz w:val="20"/>
              </w:rPr>
              <w:t>911,000</w:t>
            </w:r>
          </w:p>
        </w:tc>
        <w:tc>
          <w:tcPr>
            <w:tcW w:w="1418" w:type="dxa"/>
            <w:gridSpan w:val="3"/>
            <w:vAlign w:val="center"/>
            <w:hideMark/>
          </w:tcPr>
          <w:p w14:paraId="2A3A0740" w14:textId="77777777" w:rsidR="00BE0934" w:rsidRPr="00A46C84" w:rsidRDefault="00BE0934" w:rsidP="003D5721">
            <w:pPr>
              <w:spacing w:after="0" w:line="257" w:lineRule="auto"/>
              <w:jc w:val="right"/>
              <w:rPr>
                <w:rFonts w:ascii="Calibri" w:hAnsi="Calibri" w:cs="Calibri"/>
                <w:color w:val="000000"/>
                <w:sz w:val="20"/>
              </w:rPr>
            </w:pPr>
            <w:r w:rsidRPr="00A46C84">
              <w:rPr>
                <w:rFonts w:ascii="Calibri" w:hAnsi="Calibri" w:cs="Calibri"/>
                <w:color w:val="000000"/>
                <w:sz w:val="20"/>
              </w:rPr>
              <w:t>1,683,750</w:t>
            </w:r>
          </w:p>
        </w:tc>
        <w:tc>
          <w:tcPr>
            <w:tcW w:w="1417" w:type="dxa"/>
            <w:vAlign w:val="center"/>
            <w:hideMark/>
          </w:tcPr>
          <w:p w14:paraId="0F34F02E" w14:textId="77777777" w:rsidR="00BE0934" w:rsidRPr="00A46C84" w:rsidRDefault="00BE0934" w:rsidP="003D5721">
            <w:pPr>
              <w:spacing w:after="0" w:line="257" w:lineRule="auto"/>
              <w:jc w:val="right"/>
              <w:rPr>
                <w:rFonts w:ascii="Calibri" w:hAnsi="Calibri" w:cs="Calibri"/>
                <w:color w:val="000000"/>
                <w:sz w:val="20"/>
              </w:rPr>
            </w:pPr>
            <w:r w:rsidRPr="00A46C84">
              <w:rPr>
                <w:rFonts w:ascii="Calibri" w:hAnsi="Calibri" w:cs="Calibri"/>
                <w:color w:val="000000"/>
                <w:sz w:val="20"/>
              </w:rPr>
              <w:t>721,250</w:t>
            </w:r>
          </w:p>
        </w:tc>
        <w:tc>
          <w:tcPr>
            <w:tcW w:w="1276" w:type="dxa"/>
            <w:vAlign w:val="center"/>
            <w:hideMark/>
          </w:tcPr>
          <w:p w14:paraId="7CEEC496" w14:textId="77777777" w:rsidR="00BE0934" w:rsidRPr="00A46C84" w:rsidRDefault="00BE0934" w:rsidP="003D5721">
            <w:pPr>
              <w:spacing w:after="0" w:line="257" w:lineRule="auto"/>
              <w:jc w:val="right"/>
              <w:rPr>
                <w:rFonts w:ascii="Calibri" w:hAnsi="Calibri" w:cs="Calibri"/>
                <w:color w:val="000000"/>
                <w:sz w:val="20"/>
              </w:rPr>
            </w:pPr>
            <w:r w:rsidRPr="00A46C84">
              <w:rPr>
                <w:rFonts w:ascii="Calibri" w:hAnsi="Calibri" w:cs="Calibri"/>
                <w:color w:val="000000"/>
                <w:sz w:val="20"/>
              </w:rPr>
              <w:t>-</w:t>
            </w:r>
          </w:p>
        </w:tc>
        <w:tc>
          <w:tcPr>
            <w:tcW w:w="1276" w:type="dxa"/>
            <w:vAlign w:val="center"/>
            <w:hideMark/>
          </w:tcPr>
          <w:p w14:paraId="6EF8B151" w14:textId="77777777" w:rsidR="00BE0934" w:rsidRPr="00A46C84" w:rsidRDefault="00BE0934" w:rsidP="003D5721">
            <w:pPr>
              <w:spacing w:after="0" w:line="257" w:lineRule="auto"/>
              <w:jc w:val="right"/>
              <w:rPr>
                <w:rFonts w:ascii="Calibri" w:hAnsi="Calibri" w:cs="Calibri"/>
                <w:color w:val="000000"/>
                <w:sz w:val="20"/>
              </w:rPr>
            </w:pPr>
            <w:r w:rsidRPr="00A46C84">
              <w:rPr>
                <w:rFonts w:ascii="Calibri" w:hAnsi="Calibri" w:cs="Calibri"/>
                <w:color w:val="000000"/>
                <w:sz w:val="20"/>
              </w:rPr>
              <w:t>-</w:t>
            </w:r>
          </w:p>
        </w:tc>
        <w:tc>
          <w:tcPr>
            <w:tcW w:w="1417" w:type="dxa"/>
            <w:vAlign w:val="center"/>
          </w:tcPr>
          <w:p w14:paraId="1F69144D" w14:textId="51B5D597" w:rsidR="00BE0934" w:rsidRPr="00A46C84" w:rsidRDefault="007B7E17" w:rsidP="003D5721">
            <w:pPr>
              <w:spacing w:after="0" w:line="257" w:lineRule="auto"/>
              <w:jc w:val="right"/>
              <w:rPr>
                <w:rFonts w:ascii="Calibri" w:hAnsi="Calibri" w:cs="Calibri"/>
                <w:color w:val="000000"/>
                <w:sz w:val="20"/>
              </w:rPr>
            </w:pPr>
            <w:r w:rsidRPr="219D5185">
              <w:rPr>
                <w:rFonts w:ascii="Calibri" w:hAnsi="Calibri" w:cs="Calibri"/>
                <w:color w:val="000000" w:themeColor="text1"/>
                <w:sz w:val="20"/>
              </w:rPr>
              <w:t>769,905</w:t>
            </w:r>
          </w:p>
        </w:tc>
        <w:tc>
          <w:tcPr>
            <w:tcW w:w="1276" w:type="dxa"/>
            <w:vAlign w:val="center"/>
            <w:hideMark/>
          </w:tcPr>
          <w:p w14:paraId="55B74FF5" w14:textId="36CB79A1" w:rsidR="00BE0934" w:rsidRPr="00A46C84" w:rsidRDefault="0024386F" w:rsidP="003D5721">
            <w:pPr>
              <w:spacing w:after="0" w:line="257" w:lineRule="auto"/>
              <w:jc w:val="right"/>
              <w:rPr>
                <w:rFonts w:ascii="Calibri" w:hAnsi="Calibri" w:cs="Calibri"/>
                <w:color w:val="000000"/>
                <w:sz w:val="20"/>
              </w:rPr>
            </w:pPr>
            <w:r w:rsidRPr="219D5185">
              <w:rPr>
                <w:rFonts w:ascii="Calibri" w:hAnsi="Calibri" w:cs="Calibri"/>
                <w:color w:val="000000" w:themeColor="text1"/>
                <w:sz w:val="20"/>
              </w:rPr>
              <w:t>4,085,905</w:t>
            </w:r>
            <w:r w:rsidR="00BE0934" w:rsidRPr="219D5185">
              <w:rPr>
                <w:rFonts w:ascii="Calibri" w:hAnsi="Calibri" w:cs="Calibri"/>
                <w:color w:val="000000" w:themeColor="text1"/>
                <w:sz w:val="20"/>
              </w:rPr>
              <w:t xml:space="preserve"> </w:t>
            </w:r>
          </w:p>
        </w:tc>
      </w:tr>
      <w:tr w:rsidR="00BE0934" w14:paraId="4F15BEEA" w14:textId="77777777" w:rsidTr="7B0FF488">
        <w:trPr>
          <w:gridBefore w:val="1"/>
          <w:gridAfter w:val="1"/>
          <w:wBefore w:w="108" w:type="dxa"/>
          <w:wAfter w:w="459" w:type="dxa"/>
          <w:trHeight w:val="345"/>
        </w:trPr>
        <w:tc>
          <w:tcPr>
            <w:tcW w:w="5670" w:type="dxa"/>
            <w:vAlign w:val="center"/>
          </w:tcPr>
          <w:p w14:paraId="6E385FD3" w14:textId="77777777" w:rsidR="00BE0934" w:rsidRDefault="00BE0934" w:rsidP="00BE0934">
            <w:pPr>
              <w:spacing w:line="256" w:lineRule="auto"/>
              <w:ind w:left="30"/>
              <w:rPr>
                <w:rFonts w:ascii="Calibri" w:eastAsia="Calibri" w:hAnsi="Calibri" w:cs="Calibri"/>
                <w:color w:val="000000" w:themeColor="text1"/>
                <w:sz w:val="20"/>
              </w:rPr>
            </w:pPr>
            <w:r>
              <w:rPr>
                <w:rFonts w:ascii="Calibri" w:eastAsia="Calibri" w:hAnsi="Calibri" w:cs="Calibri"/>
                <w:color w:val="000000" w:themeColor="text1"/>
                <w:sz w:val="20"/>
              </w:rPr>
              <w:t>Adult and Older Adult Local Mental Health Services (Adult Locals)</w:t>
            </w:r>
          </w:p>
        </w:tc>
        <w:tc>
          <w:tcPr>
            <w:tcW w:w="1134" w:type="dxa"/>
            <w:vAlign w:val="center"/>
          </w:tcPr>
          <w:p w14:paraId="03C10862" w14:textId="438118AA" w:rsidR="00BE0934" w:rsidRPr="003D5721" w:rsidRDefault="00BE0934" w:rsidP="003D5721">
            <w:pPr>
              <w:spacing w:after="0" w:line="257" w:lineRule="auto"/>
              <w:jc w:val="right"/>
              <w:rPr>
                <w:rFonts w:ascii="Calibri" w:hAnsi="Calibri" w:cs="Calibri"/>
                <w:color w:val="000000" w:themeColor="text1"/>
                <w:sz w:val="20"/>
              </w:rPr>
            </w:pPr>
            <w:r w:rsidRPr="003D5721">
              <w:rPr>
                <w:rFonts w:ascii="Calibri" w:hAnsi="Calibri" w:cs="Calibri"/>
                <w:color w:val="000000" w:themeColor="text1"/>
                <w:sz w:val="20"/>
              </w:rPr>
              <w:t xml:space="preserve">  2,091,731 </w:t>
            </w:r>
          </w:p>
        </w:tc>
        <w:tc>
          <w:tcPr>
            <w:tcW w:w="1418" w:type="dxa"/>
            <w:gridSpan w:val="3"/>
            <w:vAlign w:val="center"/>
          </w:tcPr>
          <w:p w14:paraId="1F6B4C47" w14:textId="77777777" w:rsidR="00BE0934" w:rsidRPr="003D5721" w:rsidRDefault="00BE0934" w:rsidP="003D5721">
            <w:pPr>
              <w:spacing w:after="0" w:line="257" w:lineRule="auto"/>
              <w:jc w:val="right"/>
              <w:rPr>
                <w:rFonts w:ascii="Calibri" w:hAnsi="Calibri" w:cs="Calibri"/>
                <w:color w:val="000000" w:themeColor="text1"/>
                <w:sz w:val="20"/>
              </w:rPr>
            </w:pPr>
            <w:r w:rsidRPr="003D5721">
              <w:rPr>
                <w:rFonts w:ascii="Calibri" w:hAnsi="Calibri" w:cs="Calibri"/>
                <w:color w:val="000000" w:themeColor="text1"/>
                <w:sz w:val="20"/>
              </w:rPr>
              <w:t xml:space="preserve">    20,574,432 </w:t>
            </w:r>
          </w:p>
        </w:tc>
        <w:tc>
          <w:tcPr>
            <w:tcW w:w="1417" w:type="dxa"/>
            <w:vAlign w:val="center"/>
          </w:tcPr>
          <w:p w14:paraId="725A0DDE" w14:textId="77777777" w:rsidR="00BE0934" w:rsidRPr="003D5721" w:rsidRDefault="00BE0934" w:rsidP="003D5721">
            <w:pPr>
              <w:spacing w:after="0" w:line="257" w:lineRule="auto"/>
              <w:jc w:val="right"/>
              <w:rPr>
                <w:rFonts w:ascii="Calibri" w:hAnsi="Calibri" w:cs="Calibri"/>
                <w:color w:val="000000" w:themeColor="text1"/>
                <w:sz w:val="20"/>
              </w:rPr>
            </w:pPr>
            <w:r w:rsidRPr="003D5721">
              <w:rPr>
                <w:rFonts w:ascii="Calibri" w:hAnsi="Calibri" w:cs="Calibri"/>
                <w:color w:val="000000" w:themeColor="text1"/>
                <w:sz w:val="20"/>
              </w:rPr>
              <w:t xml:space="preserve">    64,105,482 </w:t>
            </w:r>
          </w:p>
        </w:tc>
        <w:tc>
          <w:tcPr>
            <w:tcW w:w="1276" w:type="dxa"/>
            <w:vAlign w:val="center"/>
          </w:tcPr>
          <w:p w14:paraId="03D2E1D5" w14:textId="007EE022" w:rsidR="00BE0934" w:rsidRPr="003D5721" w:rsidRDefault="00BE0934" w:rsidP="003D5721">
            <w:pPr>
              <w:spacing w:after="0" w:line="257" w:lineRule="auto"/>
              <w:jc w:val="right"/>
              <w:rPr>
                <w:rFonts w:ascii="Calibri" w:hAnsi="Calibri" w:cs="Calibri"/>
                <w:color w:val="000000" w:themeColor="text1"/>
                <w:sz w:val="20"/>
              </w:rPr>
            </w:pPr>
            <w:r w:rsidRPr="003D5721">
              <w:rPr>
                <w:rFonts w:ascii="Calibri" w:hAnsi="Calibri" w:cs="Calibri"/>
                <w:color w:val="000000" w:themeColor="text1"/>
                <w:sz w:val="20"/>
              </w:rPr>
              <w:t xml:space="preserve">119,917,733 </w:t>
            </w:r>
          </w:p>
        </w:tc>
        <w:tc>
          <w:tcPr>
            <w:tcW w:w="1276" w:type="dxa"/>
            <w:vAlign w:val="center"/>
          </w:tcPr>
          <w:p w14:paraId="4C2E564F" w14:textId="2BC5B0BF" w:rsidR="00BE0934" w:rsidRPr="003D5721" w:rsidRDefault="00BE0934" w:rsidP="003D5721">
            <w:pPr>
              <w:spacing w:after="0" w:line="257" w:lineRule="auto"/>
              <w:jc w:val="right"/>
              <w:rPr>
                <w:rFonts w:ascii="Calibri" w:hAnsi="Calibri" w:cs="Calibri"/>
                <w:color w:val="000000" w:themeColor="text1"/>
                <w:sz w:val="20"/>
              </w:rPr>
            </w:pPr>
            <w:r w:rsidRPr="003D5721">
              <w:rPr>
                <w:rFonts w:ascii="Calibri" w:hAnsi="Calibri" w:cs="Calibri"/>
                <w:color w:val="000000" w:themeColor="text1"/>
                <w:sz w:val="20"/>
              </w:rPr>
              <w:t xml:space="preserve"> 120,138,727 </w:t>
            </w:r>
          </w:p>
        </w:tc>
        <w:tc>
          <w:tcPr>
            <w:tcW w:w="1417" w:type="dxa"/>
            <w:vAlign w:val="center"/>
          </w:tcPr>
          <w:p w14:paraId="0305C5DB" w14:textId="2A583579" w:rsidR="000150A6" w:rsidRPr="003D5721" w:rsidRDefault="00C977E2" w:rsidP="003D5721">
            <w:pPr>
              <w:spacing w:after="0" w:line="257" w:lineRule="auto"/>
              <w:jc w:val="right"/>
              <w:rPr>
                <w:rFonts w:ascii="Calibri" w:hAnsi="Calibri" w:cs="Calibri"/>
                <w:color w:val="000000" w:themeColor="text1"/>
                <w:sz w:val="20"/>
              </w:rPr>
            </w:pPr>
            <w:r>
              <w:rPr>
                <w:rFonts w:ascii="Calibri" w:hAnsi="Calibri" w:cs="Calibri"/>
                <w:color w:val="000000" w:themeColor="text1"/>
                <w:sz w:val="20"/>
              </w:rPr>
              <w:t>119,122,750</w:t>
            </w:r>
          </w:p>
        </w:tc>
        <w:tc>
          <w:tcPr>
            <w:tcW w:w="1276" w:type="dxa"/>
            <w:vAlign w:val="center"/>
          </w:tcPr>
          <w:p w14:paraId="28B1FBCD" w14:textId="1DD19A65" w:rsidR="00BE0934" w:rsidRPr="003D5721" w:rsidRDefault="00BE0934" w:rsidP="003D5721">
            <w:pPr>
              <w:spacing w:after="0" w:line="257" w:lineRule="auto"/>
              <w:jc w:val="right"/>
              <w:rPr>
                <w:rFonts w:ascii="Calibri" w:hAnsi="Calibri" w:cs="Calibri"/>
                <w:color w:val="000000" w:themeColor="text1"/>
                <w:sz w:val="20"/>
              </w:rPr>
            </w:pPr>
            <w:r w:rsidRPr="219D5185">
              <w:rPr>
                <w:rFonts w:ascii="Calibri" w:hAnsi="Calibri" w:cs="Calibri"/>
                <w:color w:val="000000" w:themeColor="text1"/>
                <w:sz w:val="20"/>
              </w:rPr>
              <w:t xml:space="preserve"> </w:t>
            </w:r>
            <w:r w:rsidR="00C977E2">
              <w:rPr>
                <w:rFonts w:ascii="Calibri" w:hAnsi="Calibri" w:cs="Calibri"/>
                <w:color w:val="000000" w:themeColor="text1"/>
                <w:sz w:val="20"/>
              </w:rPr>
              <w:t>445,950,855</w:t>
            </w:r>
            <w:r w:rsidRPr="219D5185">
              <w:rPr>
                <w:rFonts w:ascii="Calibri" w:hAnsi="Calibri" w:cs="Calibri"/>
                <w:color w:val="000000" w:themeColor="text1"/>
                <w:sz w:val="20"/>
              </w:rPr>
              <w:t xml:space="preserve"> </w:t>
            </w:r>
          </w:p>
        </w:tc>
      </w:tr>
      <w:tr w:rsidR="00BE0934" w14:paraId="3B94F1FD" w14:textId="77777777" w:rsidTr="7B0FF488">
        <w:trPr>
          <w:gridBefore w:val="1"/>
          <w:gridAfter w:val="1"/>
          <w:wBefore w:w="108" w:type="dxa"/>
          <w:wAfter w:w="459" w:type="dxa"/>
          <w:trHeight w:val="345"/>
        </w:trPr>
        <w:tc>
          <w:tcPr>
            <w:tcW w:w="5670" w:type="dxa"/>
            <w:tcBorders>
              <w:bottom w:val="single" w:sz="4" w:space="0" w:color="auto"/>
            </w:tcBorders>
            <w:vAlign w:val="center"/>
          </w:tcPr>
          <w:p w14:paraId="1049EFE0" w14:textId="77777777" w:rsidR="00BE0934" w:rsidRDefault="00BE0934" w:rsidP="00BE0934">
            <w:pPr>
              <w:spacing w:line="256" w:lineRule="auto"/>
              <w:rPr>
                <w:rFonts w:ascii="Calibri" w:eastAsia="Calibri" w:hAnsi="Calibri" w:cs="Calibri"/>
                <w:color w:val="000000" w:themeColor="text1"/>
                <w:sz w:val="20"/>
              </w:rPr>
            </w:pPr>
            <w:r w:rsidRPr="00EA4DAD">
              <w:rPr>
                <w:rFonts w:ascii="Calibri" w:eastAsia="Calibri" w:hAnsi="Calibri" w:cs="Calibri"/>
                <w:color w:val="000000" w:themeColor="text1"/>
                <w:sz w:val="20"/>
              </w:rPr>
              <w:t>Infant, child and family health and wellbeing hubs</w:t>
            </w:r>
            <w:r w:rsidRPr="00EA4DAD">
              <w:rPr>
                <w:rFonts w:ascii="Calibri" w:eastAsia="Calibri" w:hAnsi="Calibri" w:cs="Calibri"/>
                <w:color w:val="000000" w:themeColor="text1"/>
                <w:sz w:val="20"/>
                <w:lang w:val="en-AU"/>
              </w:rPr>
              <w:t> </w:t>
            </w:r>
          </w:p>
        </w:tc>
        <w:tc>
          <w:tcPr>
            <w:tcW w:w="1134" w:type="dxa"/>
            <w:tcBorders>
              <w:bottom w:val="single" w:sz="4" w:space="0" w:color="auto"/>
            </w:tcBorders>
            <w:vAlign w:val="center"/>
          </w:tcPr>
          <w:p w14:paraId="7F84282E" w14:textId="77777777" w:rsidR="00BE0934" w:rsidRPr="003D5721" w:rsidRDefault="00BE0934" w:rsidP="003D5721">
            <w:pPr>
              <w:spacing w:after="0" w:line="257" w:lineRule="auto"/>
              <w:jc w:val="right"/>
              <w:rPr>
                <w:rFonts w:ascii="Calibri" w:hAnsi="Calibri" w:cs="Calibri"/>
                <w:color w:val="000000" w:themeColor="text1"/>
                <w:sz w:val="20"/>
              </w:rPr>
            </w:pPr>
            <w:r w:rsidRPr="003D5721">
              <w:rPr>
                <w:rFonts w:ascii="Calibri" w:hAnsi="Calibri" w:cs="Calibri"/>
                <w:color w:val="000000" w:themeColor="text1"/>
                <w:sz w:val="20"/>
              </w:rPr>
              <w:t xml:space="preserve">2,861,197 </w:t>
            </w:r>
          </w:p>
        </w:tc>
        <w:tc>
          <w:tcPr>
            <w:tcW w:w="1418" w:type="dxa"/>
            <w:gridSpan w:val="3"/>
            <w:tcBorders>
              <w:bottom w:val="single" w:sz="4" w:space="0" w:color="auto"/>
            </w:tcBorders>
            <w:vAlign w:val="center"/>
          </w:tcPr>
          <w:p w14:paraId="0C067BAD" w14:textId="77777777" w:rsidR="00BE0934" w:rsidRPr="003D5721" w:rsidRDefault="00BE0934" w:rsidP="003D5721">
            <w:pPr>
              <w:spacing w:after="0" w:line="257" w:lineRule="auto"/>
              <w:jc w:val="right"/>
              <w:rPr>
                <w:rFonts w:ascii="Calibri" w:hAnsi="Calibri" w:cs="Calibri"/>
                <w:color w:val="000000" w:themeColor="text1"/>
                <w:sz w:val="20"/>
              </w:rPr>
            </w:pPr>
            <w:r w:rsidRPr="003D5721">
              <w:rPr>
                <w:rFonts w:ascii="Calibri" w:hAnsi="Calibri" w:cs="Calibri"/>
                <w:color w:val="000000" w:themeColor="text1"/>
                <w:sz w:val="20"/>
              </w:rPr>
              <w:t>6,358,000</w:t>
            </w:r>
          </w:p>
        </w:tc>
        <w:tc>
          <w:tcPr>
            <w:tcW w:w="1417" w:type="dxa"/>
            <w:tcBorders>
              <w:bottom w:val="single" w:sz="4" w:space="0" w:color="auto"/>
            </w:tcBorders>
            <w:vAlign w:val="center"/>
          </w:tcPr>
          <w:p w14:paraId="6FC36533" w14:textId="77777777" w:rsidR="00BE0934" w:rsidRPr="003D5721" w:rsidRDefault="00BE0934" w:rsidP="003D5721">
            <w:pPr>
              <w:spacing w:after="0" w:line="257" w:lineRule="auto"/>
              <w:jc w:val="right"/>
              <w:rPr>
                <w:rFonts w:ascii="Calibri" w:hAnsi="Calibri" w:cs="Calibri"/>
                <w:color w:val="000000" w:themeColor="text1"/>
                <w:sz w:val="20"/>
              </w:rPr>
            </w:pPr>
            <w:r w:rsidRPr="003D5721">
              <w:rPr>
                <w:rFonts w:ascii="Calibri" w:hAnsi="Calibri" w:cs="Calibri"/>
                <w:color w:val="000000" w:themeColor="text1"/>
                <w:sz w:val="20"/>
              </w:rPr>
              <w:t xml:space="preserve">7,498,000 </w:t>
            </w:r>
          </w:p>
        </w:tc>
        <w:tc>
          <w:tcPr>
            <w:tcW w:w="1276" w:type="dxa"/>
            <w:tcBorders>
              <w:bottom w:val="single" w:sz="4" w:space="0" w:color="auto"/>
            </w:tcBorders>
            <w:vAlign w:val="center"/>
          </w:tcPr>
          <w:p w14:paraId="360E4F10" w14:textId="77777777" w:rsidR="00BE0934" w:rsidRPr="003D5721" w:rsidRDefault="00BE0934" w:rsidP="003D5721">
            <w:pPr>
              <w:spacing w:after="0" w:line="257" w:lineRule="auto"/>
              <w:jc w:val="right"/>
              <w:rPr>
                <w:rFonts w:ascii="Calibri" w:hAnsi="Calibri" w:cs="Calibri"/>
                <w:color w:val="000000" w:themeColor="text1"/>
                <w:sz w:val="20"/>
              </w:rPr>
            </w:pPr>
            <w:r w:rsidRPr="003D5721">
              <w:rPr>
                <w:rFonts w:ascii="Calibri" w:hAnsi="Calibri" w:cs="Calibri"/>
                <w:color w:val="000000" w:themeColor="text1"/>
                <w:sz w:val="20"/>
              </w:rPr>
              <w:t xml:space="preserve">7,753,000 </w:t>
            </w:r>
          </w:p>
        </w:tc>
        <w:tc>
          <w:tcPr>
            <w:tcW w:w="1276" w:type="dxa"/>
            <w:tcBorders>
              <w:bottom w:val="single" w:sz="4" w:space="0" w:color="auto"/>
            </w:tcBorders>
            <w:vAlign w:val="center"/>
          </w:tcPr>
          <w:p w14:paraId="5DFBE444" w14:textId="77777777" w:rsidR="00BE0934" w:rsidRPr="003D5721" w:rsidRDefault="00BE0934" w:rsidP="003D5721">
            <w:pPr>
              <w:spacing w:after="0" w:line="257" w:lineRule="auto"/>
              <w:jc w:val="right"/>
              <w:rPr>
                <w:rFonts w:ascii="Calibri" w:hAnsi="Calibri" w:cs="Calibri"/>
                <w:color w:val="000000" w:themeColor="text1"/>
                <w:sz w:val="20"/>
              </w:rPr>
            </w:pPr>
            <w:r w:rsidRPr="003D5721">
              <w:rPr>
                <w:rFonts w:ascii="Calibri" w:hAnsi="Calibri" w:cs="Calibri"/>
                <w:color w:val="000000" w:themeColor="text1"/>
                <w:sz w:val="20"/>
              </w:rPr>
              <w:t xml:space="preserve">7,678,000  </w:t>
            </w:r>
          </w:p>
        </w:tc>
        <w:tc>
          <w:tcPr>
            <w:tcW w:w="1417" w:type="dxa"/>
            <w:tcBorders>
              <w:bottom w:val="single" w:sz="4" w:space="0" w:color="auto"/>
            </w:tcBorders>
            <w:vAlign w:val="center"/>
          </w:tcPr>
          <w:p w14:paraId="669D51C2" w14:textId="242B2A4F" w:rsidR="00BE0934" w:rsidRPr="003D5721" w:rsidRDefault="00E102EF" w:rsidP="003D5721">
            <w:pPr>
              <w:spacing w:after="0" w:line="257" w:lineRule="auto"/>
              <w:jc w:val="right"/>
              <w:rPr>
                <w:rFonts w:ascii="Calibri" w:hAnsi="Calibri" w:cs="Calibri"/>
                <w:color w:val="000000" w:themeColor="text1"/>
                <w:sz w:val="20"/>
              </w:rPr>
            </w:pPr>
            <w:r w:rsidRPr="219D5185">
              <w:rPr>
                <w:rFonts w:ascii="Calibri" w:hAnsi="Calibri" w:cs="Calibri"/>
                <w:color w:val="000000" w:themeColor="text1"/>
                <w:sz w:val="20"/>
              </w:rPr>
              <w:t>7,862,272</w:t>
            </w:r>
          </w:p>
        </w:tc>
        <w:tc>
          <w:tcPr>
            <w:tcW w:w="1276" w:type="dxa"/>
            <w:tcBorders>
              <w:bottom w:val="single" w:sz="4" w:space="0" w:color="auto"/>
            </w:tcBorders>
            <w:vAlign w:val="center"/>
          </w:tcPr>
          <w:p w14:paraId="2370DB2C" w14:textId="167135EE" w:rsidR="00BE0934" w:rsidRPr="003D5721" w:rsidRDefault="420E6EDE" w:rsidP="5DCA236D">
            <w:pPr>
              <w:spacing w:after="0" w:line="257" w:lineRule="auto"/>
              <w:jc w:val="right"/>
              <w:rPr>
                <w:rFonts w:ascii="Calibri" w:hAnsi="Calibri" w:cs="Calibri"/>
                <w:color w:val="000000" w:themeColor="text1"/>
                <w:sz w:val="20"/>
              </w:rPr>
            </w:pPr>
            <w:r w:rsidRPr="5DCA236D">
              <w:rPr>
                <w:rFonts w:ascii="Calibri" w:hAnsi="Calibri" w:cs="Calibri"/>
                <w:color w:val="000000" w:themeColor="text1"/>
                <w:sz w:val="20"/>
              </w:rPr>
              <w:t>40,010,469</w:t>
            </w:r>
          </w:p>
        </w:tc>
      </w:tr>
      <w:tr w:rsidR="00BE0934" w14:paraId="213FE56F" w14:textId="77777777" w:rsidTr="7B0FF488">
        <w:trPr>
          <w:gridBefore w:val="1"/>
          <w:gridAfter w:val="1"/>
          <w:wBefore w:w="108" w:type="dxa"/>
          <w:wAfter w:w="459" w:type="dxa"/>
          <w:trHeight w:val="345"/>
        </w:trPr>
        <w:tc>
          <w:tcPr>
            <w:tcW w:w="5670" w:type="dxa"/>
            <w:tcBorders>
              <w:top w:val="single" w:sz="4" w:space="0" w:color="auto"/>
            </w:tcBorders>
            <w:vAlign w:val="center"/>
          </w:tcPr>
          <w:p w14:paraId="5C1449EE" w14:textId="77777777" w:rsidR="00BE0934" w:rsidRPr="00960BAA" w:rsidRDefault="00BE0934" w:rsidP="00BE0934">
            <w:pPr>
              <w:spacing w:line="256" w:lineRule="auto"/>
              <w:ind w:left="30"/>
              <w:rPr>
                <w:rFonts w:ascii="Calibri" w:eastAsia="Calibri" w:hAnsi="Calibri" w:cs="Calibri"/>
                <w:b/>
                <w:bCs/>
                <w:color w:val="000000" w:themeColor="text1"/>
                <w:sz w:val="20"/>
              </w:rPr>
            </w:pPr>
            <w:r w:rsidRPr="00214BD7">
              <w:rPr>
                <w:rFonts w:ascii="Calibri" w:eastAsia="Calibri" w:hAnsi="Calibri" w:cs="Calibri"/>
                <w:b/>
                <w:bCs/>
                <w:color w:val="000000" w:themeColor="text1"/>
                <w:sz w:val="20"/>
              </w:rPr>
              <w:t>Victoria payment to Commonwealth</w:t>
            </w:r>
          </w:p>
        </w:tc>
        <w:tc>
          <w:tcPr>
            <w:tcW w:w="1134" w:type="dxa"/>
            <w:tcBorders>
              <w:top w:val="single" w:sz="4" w:space="0" w:color="auto"/>
            </w:tcBorders>
            <w:vAlign w:val="center"/>
          </w:tcPr>
          <w:p w14:paraId="11651332" w14:textId="77777777" w:rsidR="00BE0934" w:rsidRPr="007A01A9" w:rsidRDefault="00BE0934" w:rsidP="003D5721">
            <w:pPr>
              <w:spacing w:line="256" w:lineRule="auto"/>
              <w:jc w:val="right"/>
              <w:rPr>
                <w:rFonts w:ascii="Calibri" w:eastAsia="Calibri" w:hAnsi="Calibri" w:cs="Calibri"/>
                <w:b/>
                <w:color w:val="000000" w:themeColor="text1"/>
                <w:sz w:val="20"/>
              </w:rPr>
            </w:pPr>
            <w:r w:rsidRPr="007A01A9">
              <w:rPr>
                <w:rFonts w:ascii="Calibri" w:eastAsia="Calibri" w:hAnsi="Calibri" w:cs="Calibri"/>
                <w:b/>
                <w:color w:val="000000" w:themeColor="text1"/>
                <w:sz w:val="20"/>
              </w:rPr>
              <w:t>-</w:t>
            </w:r>
            <w:r w:rsidRPr="007A01A9">
              <w:rPr>
                <w:rFonts w:ascii="Calibri" w:eastAsia="Calibri" w:hAnsi="Calibri" w:cs="Calibri"/>
                <w:b/>
                <w:color w:val="000000" w:themeColor="text1"/>
                <w:sz w:val="20"/>
                <w:lang w:val="en-AU"/>
              </w:rPr>
              <w:t> </w:t>
            </w:r>
          </w:p>
        </w:tc>
        <w:tc>
          <w:tcPr>
            <w:tcW w:w="1418" w:type="dxa"/>
            <w:gridSpan w:val="3"/>
            <w:tcBorders>
              <w:top w:val="single" w:sz="4" w:space="0" w:color="auto"/>
            </w:tcBorders>
            <w:vAlign w:val="center"/>
          </w:tcPr>
          <w:p w14:paraId="6D9E0F92" w14:textId="77777777" w:rsidR="00BE0934" w:rsidRPr="007A01A9" w:rsidRDefault="00BE0934" w:rsidP="003D5721">
            <w:pPr>
              <w:spacing w:line="256" w:lineRule="auto"/>
              <w:jc w:val="right"/>
              <w:rPr>
                <w:rFonts w:ascii="Calibri" w:eastAsia="Calibri" w:hAnsi="Calibri" w:cs="Calibri"/>
                <w:b/>
                <w:color w:val="000000" w:themeColor="text1"/>
                <w:sz w:val="20"/>
              </w:rPr>
            </w:pPr>
            <w:r w:rsidRPr="007A01A9">
              <w:rPr>
                <w:rFonts w:ascii="Calibri" w:eastAsia="Calibri" w:hAnsi="Calibri" w:cs="Calibri"/>
                <w:b/>
                <w:color w:val="000000" w:themeColor="text1"/>
                <w:sz w:val="20"/>
              </w:rPr>
              <w:t>1,654,788</w:t>
            </w:r>
          </w:p>
        </w:tc>
        <w:tc>
          <w:tcPr>
            <w:tcW w:w="1417" w:type="dxa"/>
            <w:tcBorders>
              <w:top w:val="single" w:sz="4" w:space="0" w:color="auto"/>
            </w:tcBorders>
            <w:vAlign w:val="center"/>
          </w:tcPr>
          <w:p w14:paraId="63C84CE6" w14:textId="77777777" w:rsidR="00BE0934" w:rsidRPr="007A01A9" w:rsidRDefault="00BE0934" w:rsidP="003D5721">
            <w:pPr>
              <w:spacing w:line="256" w:lineRule="auto"/>
              <w:jc w:val="right"/>
              <w:rPr>
                <w:rFonts w:ascii="Calibri" w:eastAsia="Calibri" w:hAnsi="Calibri" w:cs="Calibri"/>
                <w:b/>
                <w:color w:val="000000" w:themeColor="text1"/>
                <w:sz w:val="20"/>
              </w:rPr>
            </w:pPr>
            <w:r w:rsidRPr="007A01A9">
              <w:rPr>
                <w:rFonts w:ascii="Calibri" w:eastAsia="Calibri" w:hAnsi="Calibri" w:cs="Calibri"/>
                <w:b/>
                <w:color w:val="000000" w:themeColor="text1"/>
                <w:sz w:val="20"/>
              </w:rPr>
              <w:t>1,654,561</w:t>
            </w:r>
          </w:p>
        </w:tc>
        <w:tc>
          <w:tcPr>
            <w:tcW w:w="1276" w:type="dxa"/>
            <w:tcBorders>
              <w:top w:val="single" w:sz="4" w:space="0" w:color="auto"/>
            </w:tcBorders>
            <w:vAlign w:val="center"/>
          </w:tcPr>
          <w:p w14:paraId="163AECF2" w14:textId="77777777" w:rsidR="00BE0934" w:rsidRPr="007A01A9" w:rsidRDefault="00BE0934" w:rsidP="003D5721">
            <w:pPr>
              <w:spacing w:line="256" w:lineRule="auto"/>
              <w:jc w:val="right"/>
              <w:rPr>
                <w:rFonts w:ascii="Calibri" w:eastAsia="Calibri" w:hAnsi="Calibri" w:cs="Calibri"/>
                <w:b/>
                <w:color w:val="000000" w:themeColor="text1"/>
                <w:sz w:val="20"/>
              </w:rPr>
            </w:pPr>
            <w:r w:rsidRPr="007A01A9">
              <w:rPr>
                <w:rFonts w:ascii="Calibri" w:eastAsia="Calibri" w:hAnsi="Calibri" w:cs="Calibri"/>
                <w:b/>
                <w:color w:val="000000" w:themeColor="text1"/>
                <w:sz w:val="20"/>
              </w:rPr>
              <w:t>1,654,561</w:t>
            </w:r>
          </w:p>
        </w:tc>
        <w:tc>
          <w:tcPr>
            <w:tcW w:w="1276" w:type="dxa"/>
            <w:tcBorders>
              <w:top w:val="single" w:sz="4" w:space="0" w:color="auto"/>
            </w:tcBorders>
            <w:vAlign w:val="center"/>
          </w:tcPr>
          <w:p w14:paraId="6DA0CE23" w14:textId="1CF3565E" w:rsidR="00BE0934" w:rsidRPr="007A01A9" w:rsidRDefault="00DB70A3" w:rsidP="003D5721">
            <w:pPr>
              <w:spacing w:line="256" w:lineRule="auto"/>
              <w:jc w:val="right"/>
              <w:rPr>
                <w:rFonts w:ascii="Calibri" w:eastAsia="Calibri" w:hAnsi="Calibri" w:cs="Calibri"/>
                <w:b/>
                <w:color w:val="000000" w:themeColor="text1"/>
                <w:sz w:val="20"/>
              </w:rPr>
            </w:pPr>
            <w:r>
              <w:rPr>
                <w:rFonts w:ascii="Calibri" w:eastAsia="Calibri" w:hAnsi="Calibri" w:cs="Calibri"/>
                <w:b/>
                <w:color w:val="000000" w:themeColor="text1"/>
                <w:sz w:val="20"/>
              </w:rPr>
              <w:t>1,654,561</w:t>
            </w:r>
          </w:p>
        </w:tc>
        <w:tc>
          <w:tcPr>
            <w:tcW w:w="1417" w:type="dxa"/>
            <w:tcBorders>
              <w:top w:val="single" w:sz="4" w:space="0" w:color="auto"/>
            </w:tcBorders>
            <w:vAlign w:val="center"/>
          </w:tcPr>
          <w:p w14:paraId="2BCAEDFB" w14:textId="3631DB4E" w:rsidR="00BE0934" w:rsidRPr="007A01A9" w:rsidRDefault="00BE0934" w:rsidP="003D5721">
            <w:pPr>
              <w:spacing w:line="256" w:lineRule="auto"/>
              <w:jc w:val="right"/>
              <w:rPr>
                <w:rFonts w:ascii="Calibri" w:eastAsia="Calibri" w:hAnsi="Calibri" w:cs="Calibri"/>
                <w:b/>
                <w:bCs/>
                <w:color w:val="000000" w:themeColor="text1"/>
                <w:sz w:val="20"/>
              </w:rPr>
            </w:pPr>
            <w:r w:rsidRPr="219D5185">
              <w:rPr>
                <w:rFonts w:ascii="Calibri" w:eastAsia="Calibri" w:hAnsi="Calibri" w:cs="Calibri"/>
                <w:b/>
                <w:bCs/>
                <w:color w:val="000000" w:themeColor="text1"/>
                <w:sz w:val="20"/>
              </w:rPr>
              <w:t>1,729,850</w:t>
            </w:r>
          </w:p>
        </w:tc>
        <w:tc>
          <w:tcPr>
            <w:tcW w:w="1276" w:type="dxa"/>
            <w:tcBorders>
              <w:top w:val="single" w:sz="4" w:space="0" w:color="auto"/>
            </w:tcBorders>
            <w:vAlign w:val="center"/>
          </w:tcPr>
          <w:p w14:paraId="4D1106D5" w14:textId="529B2D47" w:rsidR="00BE0934" w:rsidRPr="007A01A9" w:rsidRDefault="00DB70A3" w:rsidP="003D5721">
            <w:pPr>
              <w:spacing w:line="256" w:lineRule="auto"/>
              <w:jc w:val="right"/>
              <w:rPr>
                <w:rFonts w:ascii="Calibri" w:eastAsia="Calibri" w:hAnsi="Calibri" w:cs="Calibri"/>
                <w:b/>
                <w:bCs/>
                <w:color w:val="000000" w:themeColor="text1"/>
                <w:sz w:val="20"/>
              </w:rPr>
            </w:pPr>
            <w:r>
              <w:rPr>
                <w:rFonts w:ascii="Calibri" w:eastAsia="Calibri" w:hAnsi="Calibri" w:cs="Calibri"/>
                <w:b/>
                <w:bCs/>
                <w:color w:val="000000" w:themeColor="text1"/>
                <w:sz w:val="20"/>
              </w:rPr>
              <w:t>8,348,321</w:t>
            </w:r>
          </w:p>
        </w:tc>
      </w:tr>
      <w:tr w:rsidR="00BE0934" w14:paraId="7CB9A39F" w14:textId="77777777" w:rsidTr="7B0FF488">
        <w:trPr>
          <w:gridBefore w:val="1"/>
          <w:gridAfter w:val="1"/>
          <w:wBefore w:w="108" w:type="dxa"/>
          <w:wAfter w:w="459" w:type="dxa"/>
          <w:trHeight w:val="345"/>
        </w:trPr>
        <w:tc>
          <w:tcPr>
            <w:tcW w:w="5670" w:type="dxa"/>
            <w:tcBorders>
              <w:bottom w:val="single" w:sz="6" w:space="0" w:color="auto"/>
            </w:tcBorders>
            <w:vAlign w:val="center"/>
            <w:hideMark/>
          </w:tcPr>
          <w:p w14:paraId="2B5194D0" w14:textId="77777777" w:rsidR="00BE0934" w:rsidRDefault="00BE0934" w:rsidP="00BE0934">
            <w:pPr>
              <w:spacing w:line="256" w:lineRule="auto"/>
              <w:ind w:left="30"/>
              <w:rPr>
                <w:rFonts w:ascii="Calibri" w:eastAsia="Calibri" w:hAnsi="Calibri" w:cs="Calibri"/>
                <w:color w:val="000000" w:themeColor="text1"/>
                <w:sz w:val="20"/>
              </w:rPr>
            </w:pPr>
            <w:r>
              <w:rPr>
                <w:rFonts w:ascii="Calibri" w:eastAsia="Calibri" w:hAnsi="Calibri" w:cs="Calibri"/>
                <w:color w:val="000000" w:themeColor="text1"/>
                <w:sz w:val="20"/>
              </w:rPr>
              <w:t>Postvention </w:t>
            </w:r>
            <w:r>
              <w:rPr>
                <w:rFonts w:ascii="Calibri" w:eastAsia="Calibri" w:hAnsi="Calibri" w:cs="Calibri"/>
                <w:color w:val="000000" w:themeColor="text1"/>
                <w:sz w:val="20"/>
                <w:lang w:val="en-AU"/>
              </w:rPr>
              <w:t> </w:t>
            </w:r>
          </w:p>
        </w:tc>
        <w:tc>
          <w:tcPr>
            <w:tcW w:w="1134" w:type="dxa"/>
            <w:tcBorders>
              <w:bottom w:val="single" w:sz="6" w:space="0" w:color="auto"/>
            </w:tcBorders>
            <w:vAlign w:val="center"/>
            <w:hideMark/>
          </w:tcPr>
          <w:p w14:paraId="73C6BFF5" w14:textId="77777777" w:rsidR="00BE0934" w:rsidRPr="007A01A9" w:rsidRDefault="00BE0934" w:rsidP="003D5721">
            <w:pPr>
              <w:spacing w:line="256" w:lineRule="auto"/>
              <w:jc w:val="right"/>
              <w:rPr>
                <w:rFonts w:ascii="Calibri" w:eastAsia="Calibri" w:hAnsi="Calibri" w:cs="Calibri"/>
                <w:color w:val="000000" w:themeColor="text1"/>
                <w:sz w:val="20"/>
              </w:rPr>
            </w:pPr>
            <w:r w:rsidRPr="007A01A9">
              <w:rPr>
                <w:rFonts w:ascii="Calibri" w:eastAsia="Calibri" w:hAnsi="Calibri" w:cs="Calibri"/>
                <w:color w:val="000000" w:themeColor="text1"/>
                <w:sz w:val="20"/>
              </w:rPr>
              <w:t>-</w:t>
            </w:r>
            <w:r w:rsidRPr="007A01A9">
              <w:rPr>
                <w:rFonts w:ascii="Calibri" w:eastAsia="Calibri" w:hAnsi="Calibri" w:cs="Calibri"/>
                <w:color w:val="000000" w:themeColor="text1"/>
                <w:sz w:val="20"/>
                <w:lang w:val="en-AU"/>
              </w:rPr>
              <w:t> </w:t>
            </w:r>
          </w:p>
        </w:tc>
        <w:tc>
          <w:tcPr>
            <w:tcW w:w="1418" w:type="dxa"/>
            <w:gridSpan w:val="3"/>
            <w:tcBorders>
              <w:bottom w:val="single" w:sz="6" w:space="0" w:color="auto"/>
            </w:tcBorders>
            <w:vAlign w:val="center"/>
            <w:hideMark/>
          </w:tcPr>
          <w:p w14:paraId="2ABF1663" w14:textId="77777777" w:rsidR="00BE0934" w:rsidRPr="007A01A9" w:rsidRDefault="00BE0934" w:rsidP="003D5721">
            <w:pPr>
              <w:spacing w:line="256" w:lineRule="auto"/>
              <w:jc w:val="right"/>
              <w:rPr>
                <w:rFonts w:ascii="Calibri" w:eastAsia="Calibri" w:hAnsi="Calibri" w:cs="Calibri"/>
                <w:color w:val="000000" w:themeColor="text1"/>
                <w:sz w:val="20"/>
              </w:rPr>
            </w:pPr>
            <w:r w:rsidRPr="007A01A9">
              <w:rPr>
                <w:rFonts w:ascii="Calibri" w:eastAsia="Calibri" w:hAnsi="Calibri" w:cs="Calibri"/>
                <w:color w:val="000000" w:themeColor="text1"/>
                <w:sz w:val="20"/>
              </w:rPr>
              <w:t>1,654,788</w:t>
            </w:r>
          </w:p>
        </w:tc>
        <w:tc>
          <w:tcPr>
            <w:tcW w:w="1417" w:type="dxa"/>
            <w:tcBorders>
              <w:bottom w:val="single" w:sz="6" w:space="0" w:color="auto"/>
            </w:tcBorders>
            <w:vAlign w:val="center"/>
            <w:hideMark/>
          </w:tcPr>
          <w:p w14:paraId="7FCA9B85" w14:textId="77777777" w:rsidR="00BE0934" w:rsidRPr="007A01A9" w:rsidRDefault="00BE0934" w:rsidP="003D5721">
            <w:pPr>
              <w:spacing w:line="256" w:lineRule="auto"/>
              <w:jc w:val="right"/>
              <w:rPr>
                <w:rFonts w:ascii="Calibri" w:eastAsia="Calibri" w:hAnsi="Calibri" w:cs="Calibri"/>
                <w:color w:val="000000" w:themeColor="text1"/>
                <w:sz w:val="20"/>
              </w:rPr>
            </w:pPr>
            <w:r w:rsidRPr="007A01A9">
              <w:rPr>
                <w:rFonts w:ascii="Calibri" w:eastAsia="Calibri" w:hAnsi="Calibri" w:cs="Calibri"/>
                <w:color w:val="000000" w:themeColor="text1"/>
                <w:sz w:val="20"/>
              </w:rPr>
              <w:t>1,654,561</w:t>
            </w:r>
          </w:p>
        </w:tc>
        <w:tc>
          <w:tcPr>
            <w:tcW w:w="1276" w:type="dxa"/>
            <w:tcBorders>
              <w:bottom w:val="single" w:sz="6" w:space="0" w:color="auto"/>
            </w:tcBorders>
            <w:vAlign w:val="center"/>
            <w:hideMark/>
          </w:tcPr>
          <w:p w14:paraId="1ABD2911" w14:textId="77777777" w:rsidR="00BE0934" w:rsidRPr="007A01A9" w:rsidRDefault="00BE0934" w:rsidP="003D5721">
            <w:pPr>
              <w:spacing w:line="256" w:lineRule="auto"/>
              <w:jc w:val="right"/>
              <w:rPr>
                <w:rFonts w:ascii="Calibri" w:eastAsia="Calibri" w:hAnsi="Calibri" w:cs="Calibri"/>
                <w:color w:val="000000" w:themeColor="text1"/>
                <w:sz w:val="20"/>
              </w:rPr>
            </w:pPr>
            <w:r w:rsidRPr="007A01A9">
              <w:rPr>
                <w:rFonts w:ascii="Calibri" w:eastAsia="Calibri" w:hAnsi="Calibri" w:cs="Calibri"/>
                <w:color w:val="000000" w:themeColor="text1"/>
                <w:sz w:val="20"/>
              </w:rPr>
              <w:t>1,654,561</w:t>
            </w:r>
          </w:p>
        </w:tc>
        <w:tc>
          <w:tcPr>
            <w:tcW w:w="1276" w:type="dxa"/>
            <w:tcBorders>
              <w:bottom w:val="single" w:sz="6" w:space="0" w:color="auto"/>
            </w:tcBorders>
            <w:vAlign w:val="center"/>
            <w:hideMark/>
          </w:tcPr>
          <w:p w14:paraId="65DD2C71" w14:textId="0F3E7CA0" w:rsidR="00BE0934" w:rsidRPr="007A01A9" w:rsidRDefault="00DB70A3" w:rsidP="003D5721">
            <w:pPr>
              <w:spacing w:line="256" w:lineRule="auto"/>
              <w:jc w:val="right"/>
              <w:rPr>
                <w:rFonts w:ascii="Calibri" w:eastAsia="Calibri" w:hAnsi="Calibri" w:cs="Calibri"/>
                <w:color w:val="000000" w:themeColor="text1"/>
                <w:sz w:val="20"/>
              </w:rPr>
            </w:pPr>
            <w:r>
              <w:rPr>
                <w:rFonts w:ascii="Calibri" w:eastAsia="Calibri" w:hAnsi="Calibri" w:cs="Calibri"/>
                <w:color w:val="000000" w:themeColor="text1"/>
                <w:sz w:val="20"/>
              </w:rPr>
              <w:t>1,654,561</w:t>
            </w:r>
          </w:p>
        </w:tc>
        <w:tc>
          <w:tcPr>
            <w:tcW w:w="1417" w:type="dxa"/>
            <w:tcBorders>
              <w:bottom w:val="single" w:sz="6" w:space="0" w:color="auto"/>
            </w:tcBorders>
            <w:vAlign w:val="center"/>
          </w:tcPr>
          <w:p w14:paraId="694F6783" w14:textId="4E482AAD" w:rsidR="00BE0934" w:rsidRPr="007A01A9" w:rsidRDefault="00BE0934" w:rsidP="003D5721">
            <w:pPr>
              <w:spacing w:line="256" w:lineRule="auto"/>
              <w:jc w:val="right"/>
              <w:rPr>
                <w:rFonts w:ascii="Calibri" w:eastAsia="Calibri" w:hAnsi="Calibri" w:cs="Calibri"/>
                <w:color w:val="000000" w:themeColor="text1"/>
                <w:sz w:val="20"/>
              </w:rPr>
            </w:pPr>
            <w:r w:rsidRPr="219D5185">
              <w:rPr>
                <w:rFonts w:ascii="Calibri" w:eastAsia="Calibri" w:hAnsi="Calibri" w:cs="Calibri"/>
                <w:color w:val="000000" w:themeColor="text1"/>
                <w:sz w:val="20"/>
              </w:rPr>
              <w:t>1,729,850</w:t>
            </w:r>
          </w:p>
        </w:tc>
        <w:tc>
          <w:tcPr>
            <w:tcW w:w="1276" w:type="dxa"/>
            <w:tcBorders>
              <w:bottom w:val="single" w:sz="6" w:space="0" w:color="auto"/>
            </w:tcBorders>
            <w:vAlign w:val="center"/>
            <w:hideMark/>
          </w:tcPr>
          <w:p w14:paraId="70FEDEE3" w14:textId="6B50CF68" w:rsidR="00BE0934" w:rsidRPr="007A01A9" w:rsidRDefault="00DB70A3" w:rsidP="003D5721">
            <w:pPr>
              <w:spacing w:line="256" w:lineRule="auto"/>
              <w:jc w:val="right"/>
              <w:rPr>
                <w:rFonts w:ascii="Calibri" w:eastAsia="Calibri" w:hAnsi="Calibri" w:cs="Calibri"/>
                <w:color w:val="000000" w:themeColor="text1"/>
                <w:sz w:val="20"/>
              </w:rPr>
            </w:pPr>
            <w:r>
              <w:rPr>
                <w:rFonts w:ascii="Calibri" w:eastAsia="Calibri" w:hAnsi="Calibri" w:cs="Calibri"/>
                <w:sz w:val="20"/>
              </w:rPr>
              <w:t>8,348,321</w:t>
            </w:r>
          </w:p>
        </w:tc>
      </w:tr>
      <w:tr w:rsidR="00BE0934" w14:paraId="2DB670B3" w14:textId="77777777" w:rsidTr="7B0FF488">
        <w:trPr>
          <w:gridBefore w:val="1"/>
          <w:gridAfter w:val="1"/>
          <w:wBefore w:w="108" w:type="dxa"/>
          <w:wAfter w:w="459" w:type="dxa"/>
          <w:trHeight w:val="345"/>
        </w:trPr>
        <w:tc>
          <w:tcPr>
            <w:tcW w:w="5670" w:type="dxa"/>
            <w:tcBorders>
              <w:top w:val="single" w:sz="6" w:space="0" w:color="auto"/>
              <w:left w:val="nil"/>
              <w:bottom w:val="nil"/>
              <w:right w:val="nil"/>
            </w:tcBorders>
            <w:hideMark/>
          </w:tcPr>
          <w:p w14:paraId="78C70005" w14:textId="77777777" w:rsidR="00BE0934" w:rsidRDefault="00BE0934" w:rsidP="00BE0934">
            <w:pPr>
              <w:spacing w:line="256" w:lineRule="auto"/>
              <w:ind w:left="30"/>
              <w:rPr>
                <w:rFonts w:ascii="Calibri" w:eastAsia="Calibri" w:hAnsi="Calibri" w:cs="Calibri"/>
                <w:color w:val="000000" w:themeColor="text1"/>
                <w:sz w:val="20"/>
              </w:rPr>
            </w:pPr>
            <w:r>
              <w:rPr>
                <w:rFonts w:ascii="Calibri" w:eastAsia="Calibri" w:hAnsi="Calibri" w:cs="Calibri"/>
                <w:b/>
                <w:bCs/>
                <w:color w:val="000000" w:themeColor="text1"/>
                <w:sz w:val="20"/>
              </w:rPr>
              <w:t>Victoria total in-kind contribution </w:t>
            </w:r>
            <w:r>
              <w:rPr>
                <w:rFonts w:ascii="Calibri" w:eastAsia="Calibri" w:hAnsi="Calibri" w:cs="Calibri"/>
                <w:color w:val="000000" w:themeColor="text1"/>
                <w:sz w:val="20"/>
                <w:lang w:val="en-AU"/>
              </w:rPr>
              <w:t> </w:t>
            </w:r>
          </w:p>
        </w:tc>
        <w:tc>
          <w:tcPr>
            <w:tcW w:w="1134" w:type="dxa"/>
            <w:tcBorders>
              <w:top w:val="single" w:sz="6" w:space="0" w:color="auto"/>
              <w:left w:val="nil"/>
              <w:bottom w:val="nil"/>
              <w:right w:val="nil"/>
            </w:tcBorders>
            <w:vAlign w:val="center"/>
            <w:hideMark/>
          </w:tcPr>
          <w:p w14:paraId="0558CA5D" w14:textId="77777777" w:rsidR="00BE0934" w:rsidRPr="007A01A9" w:rsidRDefault="00BE0934" w:rsidP="003D5721">
            <w:pPr>
              <w:spacing w:after="0" w:line="257" w:lineRule="auto"/>
              <w:jc w:val="right"/>
              <w:rPr>
                <w:rFonts w:ascii="Calibri" w:eastAsia="Calibri" w:hAnsi="Calibri" w:cs="Calibri"/>
                <w:color w:val="000000" w:themeColor="text1"/>
                <w:sz w:val="20"/>
              </w:rPr>
            </w:pPr>
            <w:r w:rsidRPr="007A01A9">
              <w:rPr>
                <w:rFonts w:ascii="Calibri" w:eastAsia="Calibri" w:hAnsi="Calibri" w:cs="Calibri"/>
                <w:b/>
                <w:bCs/>
                <w:color w:val="000000" w:themeColor="text1"/>
                <w:sz w:val="20"/>
                <w:lang w:val="en-AU"/>
              </w:rPr>
              <w:t>2,550,000</w:t>
            </w:r>
          </w:p>
        </w:tc>
        <w:tc>
          <w:tcPr>
            <w:tcW w:w="1418" w:type="dxa"/>
            <w:gridSpan w:val="3"/>
            <w:tcBorders>
              <w:top w:val="single" w:sz="6" w:space="0" w:color="auto"/>
              <w:left w:val="nil"/>
              <w:bottom w:val="nil"/>
              <w:right w:val="nil"/>
            </w:tcBorders>
            <w:vAlign w:val="center"/>
            <w:hideMark/>
          </w:tcPr>
          <w:p w14:paraId="3A57FFB8" w14:textId="77777777" w:rsidR="00BE0934" w:rsidRPr="007A01A9" w:rsidRDefault="00BE0934" w:rsidP="003D5721">
            <w:pPr>
              <w:spacing w:after="0" w:line="257" w:lineRule="auto"/>
              <w:jc w:val="right"/>
              <w:rPr>
                <w:rFonts w:ascii="Calibri" w:eastAsia="Calibri" w:hAnsi="Calibri" w:cs="Calibri"/>
                <w:color w:val="000000" w:themeColor="text1"/>
                <w:sz w:val="20"/>
              </w:rPr>
            </w:pPr>
            <w:r w:rsidRPr="007A01A9">
              <w:rPr>
                <w:rFonts w:ascii="Calibri" w:eastAsia="Calibri" w:hAnsi="Calibri" w:cs="Calibri"/>
                <w:b/>
                <w:bCs/>
                <w:color w:val="000000" w:themeColor="text1"/>
                <w:sz w:val="20"/>
                <w:lang w:val="en-AU"/>
              </w:rPr>
              <w:t>4,730,000</w:t>
            </w:r>
          </w:p>
        </w:tc>
        <w:tc>
          <w:tcPr>
            <w:tcW w:w="1417" w:type="dxa"/>
            <w:tcBorders>
              <w:top w:val="single" w:sz="6" w:space="0" w:color="auto"/>
              <w:left w:val="nil"/>
              <w:bottom w:val="nil"/>
              <w:right w:val="nil"/>
            </w:tcBorders>
            <w:vAlign w:val="center"/>
            <w:hideMark/>
          </w:tcPr>
          <w:p w14:paraId="5CF9F695" w14:textId="77777777" w:rsidR="00BE0934" w:rsidRPr="007A01A9" w:rsidRDefault="00BE0934" w:rsidP="003D5721">
            <w:pPr>
              <w:spacing w:after="0" w:line="257" w:lineRule="auto"/>
              <w:jc w:val="right"/>
              <w:rPr>
                <w:rFonts w:ascii="Calibri" w:eastAsia="Calibri" w:hAnsi="Calibri" w:cs="Calibri"/>
                <w:color w:val="000000" w:themeColor="text1"/>
                <w:sz w:val="20"/>
              </w:rPr>
            </w:pPr>
            <w:r w:rsidRPr="007A01A9">
              <w:rPr>
                <w:rFonts w:ascii="Calibri" w:eastAsia="Calibri" w:hAnsi="Calibri" w:cs="Calibri"/>
                <w:b/>
                <w:bCs/>
                <w:color w:val="000000" w:themeColor="text1"/>
                <w:sz w:val="20"/>
                <w:lang w:val="en-AU"/>
              </w:rPr>
              <w:t>6,510,000</w:t>
            </w:r>
          </w:p>
        </w:tc>
        <w:tc>
          <w:tcPr>
            <w:tcW w:w="1276" w:type="dxa"/>
            <w:tcBorders>
              <w:top w:val="single" w:sz="6" w:space="0" w:color="auto"/>
              <w:left w:val="nil"/>
              <w:bottom w:val="nil"/>
              <w:right w:val="nil"/>
            </w:tcBorders>
            <w:vAlign w:val="center"/>
            <w:hideMark/>
          </w:tcPr>
          <w:p w14:paraId="7C758991" w14:textId="77777777" w:rsidR="00BE0934" w:rsidRPr="007A01A9" w:rsidRDefault="00BE0934" w:rsidP="003D5721">
            <w:pPr>
              <w:spacing w:after="0" w:line="257" w:lineRule="auto"/>
              <w:jc w:val="right"/>
              <w:rPr>
                <w:rFonts w:ascii="Calibri" w:eastAsia="Calibri" w:hAnsi="Calibri" w:cs="Calibri"/>
                <w:color w:val="000000" w:themeColor="text1"/>
                <w:sz w:val="20"/>
              </w:rPr>
            </w:pPr>
            <w:r w:rsidRPr="007A01A9">
              <w:rPr>
                <w:rFonts w:ascii="Calibri" w:eastAsia="Calibri" w:hAnsi="Calibri" w:cs="Calibri"/>
                <w:b/>
                <w:bCs/>
                <w:color w:val="000000" w:themeColor="text1"/>
                <w:sz w:val="20"/>
                <w:lang w:val="en-AU"/>
              </w:rPr>
              <w:t>8,265,000</w:t>
            </w:r>
          </w:p>
        </w:tc>
        <w:tc>
          <w:tcPr>
            <w:tcW w:w="1276" w:type="dxa"/>
            <w:tcBorders>
              <w:top w:val="single" w:sz="6" w:space="0" w:color="auto"/>
              <w:left w:val="nil"/>
              <w:bottom w:val="nil"/>
              <w:right w:val="nil"/>
            </w:tcBorders>
            <w:vAlign w:val="center"/>
            <w:hideMark/>
          </w:tcPr>
          <w:p w14:paraId="442B7EE7" w14:textId="77777777" w:rsidR="00BE0934" w:rsidRPr="007A01A9" w:rsidRDefault="00BE0934" w:rsidP="003D5721">
            <w:pPr>
              <w:spacing w:after="0" w:line="257" w:lineRule="auto"/>
              <w:jc w:val="right"/>
              <w:rPr>
                <w:rFonts w:ascii="Calibri" w:eastAsia="Calibri" w:hAnsi="Calibri" w:cs="Calibri"/>
                <w:color w:val="000000" w:themeColor="text1"/>
                <w:sz w:val="20"/>
              </w:rPr>
            </w:pPr>
            <w:r w:rsidRPr="007A01A9">
              <w:rPr>
                <w:rFonts w:ascii="Calibri" w:eastAsia="Calibri" w:hAnsi="Calibri" w:cs="Calibri"/>
                <w:b/>
                <w:bCs/>
                <w:color w:val="000000" w:themeColor="text1"/>
                <w:sz w:val="20"/>
                <w:lang w:val="en-AU"/>
              </w:rPr>
              <w:t>13,460,000</w:t>
            </w:r>
          </w:p>
        </w:tc>
        <w:tc>
          <w:tcPr>
            <w:tcW w:w="1417" w:type="dxa"/>
            <w:tcBorders>
              <w:top w:val="single" w:sz="6" w:space="0" w:color="auto"/>
              <w:left w:val="nil"/>
              <w:bottom w:val="nil"/>
              <w:right w:val="nil"/>
            </w:tcBorders>
            <w:vAlign w:val="center"/>
          </w:tcPr>
          <w:p w14:paraId="7CE7231A" w14:textId="2AAEB30E" w:rsidR="00BE0934" w:rsidRPr="007A01A9" w:rsidRDefault="65D03FB5" w:rsidP="003D5721">
            <w:pPr>
              <w:spacing w:after="0" w:line="257" w:lineRule="auto"/>
              <w:jc w:val="right"/>
            </w:pPr>
            <w:r w:rsidRPr="449C7B81">
              <w:rPr>
                <w:rFonts w:ascii="Calibri" w:eastAsia="Calibri" w:hAnsi="Calibri" w:cs="Calibri"/>
                <w:b/>
                <w:bCs/>
                <w:color w:val="000000" w:themeColor="text1"/>
                <w:sz w:val="20"/>
                <w:lang w:val="en-AU"/>
              </w:rPr>
              <w:t>7,103,000</w:t>
            </w:r>
          </w:p>
        </w:tc>
        <w:tc>
          <w:tcPr>
            <w:tcW w:w="1276" w:type="dxa"/>
            <w:tcBorders>
              <w:top w:val="single" w:sz="6" w:space="0" w:color="auto"/>
              <w:left w:val="nil"/>
              <w:bottom w:val="nil"/>
              <w:right w:val="nil"/>
            </w:tcBorders>
            <w:vAlign w:val="center"/>
            <w:hideMark/>
          </w:tcPr>
          <w:p w14:paraId="53B04E3E" w14:textId="639F5689" w:rsidR="00BE0934" w:rsidRPr="007A01A9" w:rsidRDefault="65D03FB5" w:rsidP="003D5721">
            <w:pPr>
              <w:spacing w:after="0" w:line="257" w:lineRule="auto"/>
              <w:jc w:val="right"/>
            </w:pPr>
            <w:r w:rsidRPr="5D6D9AD5">
              <w:rPr>
                <w:rFonts w:ascii="Calibri" w:eastAsia="Calibri" w:hAnsi="Calibri" w:cs="Calibri"/>
                <w:b/>
                <w:bCs/>
                <w:color w:val="000000" w:themeColor="text1"/>
                <w:sz w:val="20"/>
                <w:lang w:val="en-AU"/>
              </w:rPr>
              <w:t>42,618,000</w:t>
            </w:r>
          </w:p>
        </w:tc>
      </w:tr>
      <w:tr w:rsidR="00BE0934" w14:paraId="32351C4F" w14:textId="77777777" w:rsidTr="7B0FF488">
        <w:trPr>
          <w:gridBefore w:val="1"/>
          <w:gridAfter w:val="1"/>
          <w:wBefore w:w="108" w:type="dxa"/>
          <w:wAfter w:w="459" w:type="dxa"/>
          <w:trHeight w:val="345"/>
        </w:trPr>
        <w:tc>
          <w:tcPr>
            <w:tcW w:w="5670" w:type="dxa"/>
            <w:vAlign w:val="center"/>
            <w:hideMark/>
          </w:tcPr>
          <w:p w14:paraId="4B0E4424" w14:textId="77777777" w:rsidR="00BE0934" w:rsidRDefault="00BE0934" w:rsidP="00BE0934">
            <w:pPr>
              <w:spacing w:line="256" w:lineRule="auto"/>
              <w:ind w:left="30"/>
              <w:rPr>
                <w:rFonts w:ascii="Calibri" w:eastAsia="Calibri" w:hAnsi="Calibri" w:cs="Calibri"/>
                <w:color w:val="000000" w:themeColor="text1"/>
                <w:sz w:val="20"/>
              </w:rPr>
            </w:pPr>
            <w:r>
              <w:rPr>
                <w:rFonts w:ascii="Calibri" w:eastAsia="Calibri" w:hAnsi="Calibri" w:cs="Calibri"/>
                <w:color w:val="000000" w:themeColor="text1"/>
                <w:sz w:val="20"/>
              </w:rPr>
              <w:t>Enhancement and expansion of youth mental health services  </w:t>
            </w:r>
            <w:r>
              <w:rPr>
                <w:rFonts w:ascii="Calibri" w:eastAsia="Calibri" w:hAnsi="Calibri" w:cs="Calibri"/>
                <w:color w:val="000000" w:themeColor="text1"/>
                <w:sz w:val="20"/>
                <w:lang w:val="en-AU"/>
              </w:rPr>
              <w:t> </w:t>
            </w:r>
          </w:p>
        </w:tc>
        <w:tc>
          <w:tcPr>
            <w:tcW w:w="1134" w:type="dxa"/>
            <w:vAlign w:val="center"/>
            <w:hideMark/>
          </w:tcPr>
          <w:p w14:paraId="7D58ECFF" w14:textId="77777777" w:rsidR="00BE0934" w:rsidRPr="007A01A9" w:rsidRDefault="00BE0934" w:rsidP="003D5721">
            <w:pPr>
              <w:spacing w:after="0" w:line="257" w:lineRule="auto"/>
              <w:jc w:val="right"/>
              <w:rPr>
                <w:rFonts w:ascii="Calibri" w:eastAsia="Calibri" w:hAnsi="Calibri" w:cs="Calibri"/>
                <w:color w:val="000000" w:themeColor="text1"/>
                <w:sz w:val="20"/>
              </w:rPr>
            </w:pPr>
            <w:r w:rsidRPr="007A01A9">
              <w:rPr>
                <w:rFonts w:ascii="Calibri" w:eastAsia="Calibri" w:hAnsi="Calibri" w:cs="Calibri"/>
                <w:color w:val="000000" w:themeColor="text1"/>
                <w:sz w:val="20"/>
              </w:rPr>
              <w:t>2,550,000</w:t>
            </w:r>
          </w:p>
        </w:tc>
        <w:tc>
          <w:tcPr>
            <w:tcW w:w="1418" w:type="dxa"/>
            <w:gridSpan w:val="3"/>
            <w:vAlign w:val="center"/>
            <w:hideMark/>
          </w:tcPr>
          <w:p w14:paraId="5788DD42" w14:textId="77777777" w:rsidR="00BE0934" w:rsidRPr="007A01A9" w:rsidRDefault="00BE0934" w:rsidP="003D5721">
            <w:pPr>
              <w:spacing w:after="0" w:line="257" w:lineRule="auto"/>
              <w:jc w:val="right"/>
              <w:rPr>
                <w:rFonts w:ascii="Calibri" w:eastAsia="Calibri" w:hAnsi="Calibri" w:cs="Calibri"/>
                <w:color w:val="000000" w:themeColor="text1"/>
                <w:sz w:val="20"/>
              </w:rPr>
            </w:pPr>
            <w:r w:rsidRPr="007A01A9">
              <w:rPr>
                <w:rFonts w:ascii="Calibri" w:eastAsia="Calibri" w:hAnsi="Calibri" w:cs="Calibri"/>
                <w:color w:val="000000" w:themeColor="text1"/>
                <w:sz w:val="20"/>
              </w:rPr>
              <w:t>4,730,000</w:t>
            </w:r>
          </w:p>
        </w:tc>
        <w:tc>
          <w:tcPr>
            <w:tcW w:w="1417" w:type="dxa"/>
            <w:vAlign w:val="center"/>
            <w:hideMark/>
          </w:tcPr>
          <w:p w14:paraId="389D1919" w14:textId="77777777" w:rsidR="00BE0934" w:rsidRPr="007A01A9" w:rsidRDefault="00BE0934" w:rsidP="003D5721">
            <w:pPr>
              <w:spacing w:after="0" w:line="257" w:lineRule="auto"/>
              <w:jc w:val="right"/>
              <w:rPr>
                <w:rFonts w:ascii="Calibri" w:eastAsia="Calibri" w:hAnsi="Calibri" w:cs="Calibri"/>
                <w:color w:val="000000" w:themeColor="text1"/>
                <w:sz w:val="20"/>
              </w:rPr>
            </w:pPr>
            <w:r w:rsidRPr="007A01A9">
              <w:rPr>
                <w:rFonts w:ascii="Calibri" w:eastAsia="Calibri" w:hAnsi="Calibri" w:cs="Calibri"/>
                <w:color w:val="000000" w:themeColor="text1"/>
                <w:sz w:val="20"/>
              </w:rPr>
              <w:t>6,510,000</w:t>
            </w:r>
          </w:p>
        </w:tc>
        <w:tc>
          <w:tcPr>
            <w:tcW w:w="1276" w:type="dxa"/>
            <w:vAlign w:val="center"/>
            <w:hideMark/>
          </w:tcPr>
          <w:p w14:paraId="7DD8B20A" w14:textId="77777777" w:rsidR="00BE0934" w:rsidRPr="007A01A9" w:rsidRDefault="00BE0934" w:rsidP="003D5721">
            <w:pPr>
              <w:spacing w:after="0" w:line="257" w:lineRule="auto"/>
              <w:jc w:val="right"/>
              <w:rPr>
                <w:rFonts w:ascii="Calibri" w:eastAsia="Calibri" w:hAnsi="Calibri" w:cs="Calibri"/>
                <w:color w:val="000000" w:themeColor="text1"/>
                <w:sz w:val="20"/>
              </w:rPr>
            </w:pPr>
            <w:r w:rsidRPr="007A01A9">
              <w:rPr>
                <w:rFonts w:ascii="Calibri" w:eastAsia="Calibri" w:hAnsi="Calibri" w:cs="Calibri"/>
                <w:color w:val="000000" w:themeColor="text1"/>
                <w:sz w:val="20"/>
              </w:rPr>
              <w:t>8,265,000</w:t>
            </w:r>
          </w:p>
        </w:tc>
        <w:tc>
          <w:tcPr>
            <w:tcW w:w="1276" w:type="dxa"/>
            <w:vAlign w:val="center"/>
            <w:hideMark/>
          </w:tcPr>
          <w:p w14:paraId="7D33214A" w14:textId="77777777" w:rsidR="00BE0934" w:rsidRPr="007A01A9" w:rsidRDefault="00BE0934" w:rsidP="003D5721">
            <w:pPr>
              <w:spacing w:after="0" w:line="257" w:lineRule="auto"/>
              <w:jc w:val="right"/>
              <w:rPr>
                <w:rFonts w:ascii="Calibri" w:eastAsia="Calibri" w:hAnsi="Calibri" w:cs="Calibri"/>
                <w:color w:val="000000" w:themeColor="text1"/>
                <w:sz w:val="20"/>
              </w:rPr>
            </w:pPr>
            <w:r w:rsidRPr="007A01A9">
              <w:rPr>
                <w:rFonts w:ascii="Calibri" w:eastAsia="Calibri" w:hAnsi="Calibri" w:cs="Calibri"/>
                <w:color w:val="000000" w:themeColor="text1"/>
                <w:sz w:val="20"/>
              </w:rPr>
              <w:t>13,460,000</w:t>
            </w:r>
          </w:p>
        </w:tc>
        <w:tc>
          <w:tcPr>
            <w:tcW w:w="1417" w:type="dxa"/>
            <w:vAlign w:val="center"/>
          </w:tcPr>
          <w:p w14:paraId="1F825ACF" w14:textId="1168DBB9" w:rsidR="00BE0934" w:rsidRPr="007A01A9" w:rsidRDefault="7CA8C03E" w:rsidP="003D5721">
            <w:pPr>
              <w:spacing w:after="0" w:line="257" w:lineRule="auto"/>
              <w:jc w:val="right"/>
            </w:pPr>
            <w:r w:rsidRPr="449C7B81">
              <w:rPr>
                <w:rFonts w:ascii="Calibri" w:eastAsia="Calibri" w:hAnsi="Calibri" w:cs="Calibri"/>
                <w:color w:val="000000" w:themeColor="text1"/>
                <w:sz w:val="20"/>
              </w:rPr>
              <w:t>7,103,000</w:t>
            </w:r>
          </w:p>
        </w:tc>
        <w:tc>
          <w:tcPr>
            <w:tcW w:w="1276" w:type="dxa"/>
            <w:vAlign w:val="center"/>
            <w:hideMark/>
          </w:tcPr>
          <w:p w14:paraId="2D91173C" w14:textId="0F8B2408" w:rsidR="00BE0934" w:rsidRPr="007A01A9" w:rsidRDefault="7CA8C03E" w:rsidP="003D5721">
            <w:pPr>
              <w:spacing w:after="0" w:line="257" w:lineRule="auto"/>
              <w:jc w:val="right"/>
            </w:pPr>
            <w:r w:rsidRPr="449C7B81">
              <w:rPr>
                <w:rFonts w:ascii="Calibri" w:eastAsia="Calibri" w:hAnsi="Calibri" w:cs="Calibri"/>
                <w:color w:val="000000" w:themeColor="text1"/>
                <w:sz w:val="20"/>
              </w:rPr>
              <w:t>42,618,000</w:t>
            </w:r>
          </w:p>
        </w:tc>
      </w:tr>
      <w:tr w:rsidR="00BE0934" w:rsidRPr="00D42864" w14:paraId="6AD43AA2" w14:textId="77777777" w:rsidTr="7B0FF488">
        <w:trPr>
          <w:gridBefore w:val="1"/>
          <w:gridAfter w:val="1"/>
          <w:wBefore w:w="108" w:type="dxa"/>
          <w:wAfter w:w="459" w:type="dxa"/>
          <w:trHeight w:val="345"/>
        </w:trPr>
        <w:tc>
          <w:tcPr>
            <w:tcW w:w="5670" w:type="dxa"/>
            <w:tcBorders>
              <w:top w:val="single" w:sz="6" w:space="0" w:color="auto"/>
              <w:left w:val="nil"/>
              <w:bottom w:val="single" w:sz="6" w:space="0" w:color="auto"/>
              <w:right w:val="nil"/>
            </w:tcBorders>
            <w:vAlign w:val="bottom"/>
            <w:hideMark/>
          </w:tcPr>
          <w:p w14:paraId="3A8BCF6D" w14:textId="77777777" w:rsidR="00BE0934" w:rsidRPr="00EC0D47" w:rsidRDefault="00BE0934" w:rsidP="219D5185">
            <w:pPr>
              <w:spacing w:line="256" w:lineRule="auto"/>
              <w:rPr>
                <w:rFonts w:ascii="Calibri" w:eastAsia="Calibri" w:hAnsi="Calibri" w:cs="Calibri"/>
                <w:color w:val="000000" w:themeColor="text1"/>
                <w:sz w:val="20"/>
              </w:rPr>
            </w:pPr>
            <w:r w:rsidRPr="219D5185">
              <w:rPr>
                <w:rFonts w:ascii="Calibri" w:eastAsia="Calibri" w:hAnsi="Calibri" w:cs="Calibri"/>
                <w:b/>
                <w:bCs/>
                <w:color w:val="000000" w:themeColor="text1"/>
                <w:sz w:val="20"/>
              </w:rPr>
              <w:t>Victoria total contribution</w:t>
            </w:r>
            <w:r w:rsidRPr="219D5185">
              <w:rPr>
                <w:rFonts w:ascii="Calibri" w:eastAsia="Calibri" w:hAnsi="Calibri" w:cs="Calibri"/>
                <w:color w:val="000000" w:themeColor="text1"/>
                <w:sz w:val="20"/>
                <w:lang w:val="en-AU"/>
              </w:rPr>
              <w:t> </w:t>
            </w:r>
          </w:p>
        </w:tc>
        <w:tc>
          <w:tcPr>
            <w:tcW w:w="1134" w:type="dxa"/>
            <w:tcBorders>
              <w:top w:val="single" w:sz="6" w:space="0" w:color="auto"/>
              <w:left w:val="nil"/>
              <w:bottom w:val="single" w:sz="6" w:space="0" w:color="auto"/>
              <w:right w:val="nil"/>
            </w:tcBorders>
            <w:vAlign w:val="center"/>
            <w:hideMark/>
          </w:tcPr>
          <w:p w14:paraId="20A16270" w14:textId="77777777" w:rsidR="00BE0934" w:rsidRPr="003D5721" w:rsidRDefault="00BE0934" w:rsidP="003D5721">
            <w:pPr>
              <w:spacing w:after="0" w:line="257" w:lineRule="auto"/>
              <w:jc w:val="right"/>
              <w:rPr>
                <w:rFonts w:ascii="Calibri" w:eastAsia="Calibri" w:hAnsi="Calibri" w:cs="Calibri"/>
                <w:b/>
                <w:bCs/>
                <w:color w:val="000000" w:themeColor="text1"/>
                <w:sz w:val="20"/>
                <w:lang w:val="en-AU"/>
              </w:rPr>
            </w:pPr>
            <w:r w:rsidRPr="003D5721">
              <w:rPr>
                <w:rFonts w:ascii="Calibri" w:eastAsia="Calibri" w:hAnsi="Calibri" w:cs="Calibri"/>
                <w:b/>
                <w:bCs/>
                <w:color w:val="000000" w:themeColor="text1"/>
                <w:sz w:val="20"/>
                <w:lang w:val="en-AU"/>
              </w:rPr>
              <w:t>52,083,928</w:t>
            </w:r>
          </w:p>
        </w:tc>
        <w:tc>
          <w:tcPr>
            <w:tcW w:w="1418" w:type="dxa"/>
            <w:gridSpan w:val="3"/>
            <w:tcBorders>
              <w:top w:val="single" w:sz="6" w:space="0" w:color="auto"/>
              <w:left w:val="nil"/>
              <w:bottom w:val="single" w:sz="6" w:space="0" w:color="auto"/>
              <w:right w:val="nil"/>
            </w:tcBorders>
            <w:vAlign w:val="center"/>
            <w:hideMark/>
          </w:tcPr>
          <w:p w14:paraId="3BC786D0" w14:textId="34962A71" w:rsidR="00BE0934" w:rsidRPr="003D5721" w:rsidRDefault="00BE0934" w:rsidP="003D5721">
            <w:pPr>
              <w:widowControl/>
              <w:spacing w:after="0" w:line="257" w:lineRule="auto"/>
              <w:jc w:val="right"/>
              <w:rPr>
                <w:rFonts w:ascii="Calibri" w:eastAsia="Calibri" w:hAnsi="Calibri" w:cs="Calibri"/>
                <w:b/>
                <w:bCs/>
                <w:color w:val="000000" w:themeColor="text1"/>
                <w:sz w:val="20"/>
                <w:lang w:val="en-AU"/>
              </w:rPr>
            </w:pPr>
            <w:r w:rsidRPr="003D5721">
              <w:rPr>
                <w:rFonts w:ascii="Calibri" w:eastAsia="Calibri" w:hAnsi="Calibri" w:cs="Calibri"/>
                <w:b/>
                <w:bCs/>
                <w:color w:val="000000" w:themeColor="text1"/>
                <w:sz w:val="20"/>
                <w:lang w:val="en-AU"/>
              </w:rPr>
              <w:t>63,792,085</w:t>
            </w:r>
          </w:p>
        </w:tc>
        <w:tc>
          <w:tcPr>
            <w:tcW w:w="1417" w:type="dxa"/>
            <w:tcBorders>
              <w:top w:val="single" w:sz="6" w:space="0" w:color="auto"/>
              <w:left w:val="nil"/>
              <w:bottom w:val="single" w:sz="6" w:space="0" w:color="auto"/>
              <w:right w:val="nil"/>
            </w:tcBorders>
            <w:vAlign w:val="center"/>
          </w:tcPr>
          <w:p w14:paraId="708BA7C9" w14:textId="77777777" w:rsidR="00BE0934" w:rsidRPr="003D5721" w:rsidRDefault="00BE0934" w:rsidP="003D5721">
            <w:pPr>
              <w:spacing w:after="0" w:line="257" w:lineRule="auto"/>
              <w:jc w:val="right"/>
              <w:rPr>
                <w:rFonts w:ascii="Calibri" w:eastAsia="Calibri" w:hAnsi="Calibri" w:cs="Calibri"/>
                <w:b/>
                <w:bCs/>
                <w:color w:val="000000" w:themeColor="text1"/>
                <w:sz w:val="20"/>
                <w:lang w:val="en-AU"/>
              </w:rPr>
            </w:pPr>
            <w:r w:rsidRPr="003D5721">
              <w:rPr>
                <w:rFonts w:ascii="Calibri" w:eastAsia="Calibri" w:hAnsi="Calibri" w:cs="Calibri"/>
                <w:b/>
                <w:bCs/>
                <w:color w:val="000000" w:themeColor="text1"/>
                <w:sz w:val="20"/>
                <w:lang w:val="en-AU"/>
              </w:rPr>
              <w:t>109,758,900</w:t>
            </w:r>
          </w:p>
        </w:tc>
        <w:tc>
          <w:tcPr>
            <w:tcW w:w="1276" w:type="dxa"/>
            <w:tcBorders>
              <w:top w:val="single" w:sz="6" w:space="0" w:color="auto"/>
              <w:left w:val="nil"/>
              <w:bottom w:val="single" w:sz="6" w:space="0" w:color="auto"/>
              <w:right w:val="nil"/>
            </w:tcBorders>
            <w:vAlign w:val="center"/>
          </w:tcPr>
          <w:p w14:paraId="38B0BC23" w14:textId="77777777" w:rsidR="00BE0934" w:rsidRPr="003D5721" w:rsidRDefault="00BE0934" w:rsidP="003D5721">
            <w:pPr>
              <w:spacing w:after="0" w:line="257" w:lineRule="auto"/>
              <w:jc w:val="right"/>
              <w:rPr>
                <w:rFonts w:ascii="Calibri" w:eastAsia="Calibri" w:hAnsi="Calibri" w:cs="Calibri"/>
                <w:b/>
                <w:bCs/>
                <w:color w:val="000000" w:themeColor="text1"/>
                <w:sz w:val="20"/>
                <w:lang w:val="en-AU"/>
              </w:rPr>
            </w:pPr>
            <w:r w:rsidRPr="003D5721">
              <w:rPr>
                <w:rFonts w:ascii="Calibri" w:eastAsia="Calibri" w:hAnsi="Calibri" w:cs="Calibri"/>
                <w:b/>
                <w:bCs/>
                <w:color w:val="000000" w:themeColor="text1"/>
                <w:sz w:val="20"/>
                <w:lang w:val="en-AU"/>
              </w:rPr>
              <w:t>167,681,199</w:t>
            </w:r>
          </w:p>
        </w:tc>
        <w:tc>
          <w:tcPr>
            <w:tcW w:w="1276" w:type="dxa"/>
            <w:tcBorders>
              <w:top w:val="single" w:sz="6" w:space="0" w:color="auto"/>
              <w:left w:val="nil"/>
              <w:bottom w:val="single" w:sz="6" w:space="0" w:color="auto"/>
              <w:right w:val="nil"/>
            </w:tcBorders>
            <w:vAlign w:val="center"/>
          </w:tcPr>
          <w:p w14:paraId="6F2E56C4" w14:textId="4F2C4EC8" w:rsidR="00BE0934" w:rsidRPr="003D5721" w:rsidRDefault="00DB70A3" w:rsidP="003D5721">
            <w:pPr>
              <w:spacing w:after="0" w:line="257" w:lineRule="auto"/>
              <w:jc w:val="right"/>
              <w:rPr>
                <w:rFonts w:ascii="Calibri" w:eastAsia="Calibri" w:hAnsi="Calibri" w:cs="Calibri"/>
                <w:b/>
                <w:bCs/>
                <w:color w:val="000000" w:themeColor="text1"/>
                <w:sz w:val="20"/>
                <w:lang w:val="en-AU"/>
              </w:rPr>
            </w:pPr>
            <w:r>
              <w:rPr>
                <w:rFonts w:ascii="Calibri" w:eastAsia="Calibri" w:hAnsi="Calibri" w:cs="Calibri"/>
                <w:b/>
                <w:bCs/>
                <w:color w:val="000000" w:themeColor="text1"/>
                <w:sz w:val="20"/>
                <w:lang w:val="en-AU"/>
              </w:rPr>
              <w:t>173,061,682</w:t>
            </w:r>
          </w:p>
        </w:tc>
        <w:tc>
          <w:tcPr>
            <w:tcW w:w="1417" w:type="dxa"/>
            <w:tcBorders>
              <w:top w:val="single" w:sz="6" w:space="0" w:color="auto"/>
              <w:left w:val="nil"/>
              <w:bottom w:val="single" w:sz="6" w:space="0" w:color="auto"/>
              <w:right w:val="nil"/>
            </w:tcBorders>
            <w:vAlign w:val="center"/>
          </w:tcPr>
          <w:p w14:paraId="27C2A5A5" w14:textId="4CCA8113" w:rsidR="00BE0934" w:rsidRPr="003D5721" w:rsidRDefault="00B6344B" w:rsidP="003D5721">
            <w:pPr>
              <w:spacing w:after="0" w:line="257" w:lineRule="auto"/>
              <w:jc w:val="right"/>
              <w:rPr>
                <w:rFonts w:ascii="Calibri" w:eastAsia="Calibri" w:hAnsi="Calibri" w:cs="Calibri"/>
                <w:b/>
                <w:bCs/>
                <w:color w:val="000000" w:themeColor="text1"/>
                <w:sz w:val="20"/>
                <w:lang w:val="en-AU"/>
              </w:rPr>
            </w:pPr>
            <w:r>
              <w:rPr>
                <w:rFonts w:ascii="Calibri" w:eastAsia="Calibri" w:hAnsi="Calibri" w:cs="Calibri"/>
                <w:b/>
                <w:bCs/>
                <w:color w:val="000000" w:themeColor="text1"/>
                <w:sz w:val="20"/>
                <w:lang w:val="en-AU"/>
              </w:rPr>
              <w:t>168,099,309</w:t>
            </w:r>
          </w:p>
        </w:tc>
        <w:tc>
          <w:tcPr>
            <w:tcW w:w="1276" w:type="dxa"/>
            <w:tcBorders>
              <w:top w:val="single" w:sz="6" w:space="0" w:color="auto"/>
              <w:left w:val="nil"/>
              <w:bottom w:val="single" w:sz="6" w:space="0" w:color="auto"/>
              <w:right w:val="nil"/>
            </w:tcBorders>
            <w:vAlign w:val="center"/>
          </w:tcPr>
          <w:p w14:paraId="5FC3850D" w14:textId="535CE7B1" w:rsidR="00BE0934" w:rsidRPr="003D5721" w:rsidRDefault="00B6344B" w:rsidP="003D5721">
            <w:pPr>
              <w:spacing w:after="0" w:line="257" w:lineRule="auto"/>
              <w:jc w:val="right"/>
              <w:rPr>
                <w:rFonts w:ascii="Calibri" w:eastAsia="Calibri" w:hAnsi="Calibri" w:cs="Calibri"/>
                <w:b/>
                <w:bCs/>
                <w:color w:val="000000" w:themeColor="text1"/>
                <w:sz w:val="20"/>
                <w:lang w:val="en-AU"/>
              </w:rPr>
            </w:pPr>
            <w:r>
              <w:rPr>
                <w:rFonts w:ascii="Calibri" w:eastAsia="Calibri" w:hAnsi="Calibri" w:cs="Calibri"/>
                <w:b/>
                <w:bCs/>
                <w:color w:val="000000" w:themeColor="text1"/>
                <w:sz w:val="20"/>
                <w:lang w:val="en-AU"/>
              </w:rPr>
              <w:t>734,477,103</w:t>
            </w:r>
          </w:p>
        </w:tc>
      </w:tr>
    </w:tbl>
    <w:p w14:paraId="6ADA3CCE" w14:textId="77777777" w:rsidR="00A46C84" w:rsidRPr="00900863" w:rsidRDefault="00A46C84" w:rsidP="00A46C84">
      <w:pPr>
        <w:rPr>
          <w:b/>
          <w:bCs/>
          <w:sz w:val="24"/>
          <w:szCs w:val="24"/>
        </w:rPr>
      </w:pPr>
      <w:r>
        <w:br/>
      </w:r>
    </w:p>
    <w:p w14:paraId="2BA3C869" w14:textId="1A4A6F22" w:rsidR="006E4B45" w:rsidRPr="00900863" w:rsidRDefault="006E4B45" w:rsidP="00A46C84">
      <w:pPr>
        <w:rPr>
          <w:b/>
          <w:bCs/>
          <w:sz w:val="24"/>
          <w:szCs w:val="24"/>
        </w:rPr>
      </w:pPr>
    </w:p>
    <w:p w14:paraId="454C2F86" w14:textId="77777777" w:rsidR="006E4B45" w:rsidRPr="00900863" w:rsidRDefault="006E4B45" w:rsidP="006E4B45">
      <w:pPr>
        <w:pStyle w:val="Heading1"/>
        <w:rPr>
          <w:rFonts w:cstheme="minorBidi"/>
          <w:b w:val="0"/>
        </w:rPr>
      </w:pPr>
      <w:r>
        <w:rPr>
          <w:rFonts w:cstheme="minorHAnsi"/>
        </w:rPr>
        <w:br w:type="column"/>
      </w:r>
      <w:r w:rsidRPr="0B0714C1">
        <w:rPr>
          <w:rFonts w:cstheme="minorBidi"/>
          <w:b w:val="0"/>
        </w:rPr>
        <w:t>Annex B: Reporting requirements and payments</w:t>
      </w:r>
    </w:p>
    <w:p w14:paraId="16C7F72E" w14:textId="77777777" w:rsidR="006E4B45" w:rsidRPr="00D2447A" w:rsidRDefault="006E4B45" w:rsidP="219D5185">
      <w:pPr>
        <w:rPr>
          <w:rFonts w:cstheme="minorBidi"/>
          <w:b/>
          <w:bCs/>
          <w:sz w:val="24"/>
          <w:szCs w:val="24"/>
        </w:rPr>
      </w:pPr>
      <w:r w:rsidRPr="219D5185">
        <w:rPr>
          <w:rFonts w:cstheme="minorBidi"/>
          <w:b/>
          <w:bCs/>
          <w:sz w:val="24"/>
          <w:szCs w:val="24"/>
        </w:rPr>
        <w:t>Table 3: Reporting requirements, due dates and payment summary</w:t>
      </w:r>
    </w:p>
    <w:tbl>
      <w:tblPr>
        <w:tblW w:w="1450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4778"/>
        <w:gridCol w:w="6047"/>
        <w:gridCol w:w="1972"/>
        <w:gridCol w:w="1710"/>
      </w:tblGrid>
      <w:tr w:rsidR="006E4B45" w:rsidRPr="00900863" w14:paraId="1BE8F80C" w14:textId="77777777" w:rsidTr="7F6F52C8">
        <w:trPr>
          <w:trHeight w:val="300"/>
          <w:tblHeader/>
        </w:trPr>
        <w:tc>
          <w:tcPr>
            <w:tcW w:w="4778" w:type="dxa"/>
            <w:shd w:val="clear" w:color="auto" w:fill="F2F2F2" w:themeFill="background1" w:themeFillShade="F2"/>
          </w:tcPr>
          <w:p w14:paraId="10626ED7" w14:textId="77777777" w:rsidR="006E4B45" w:rsidRPr="00900863" w:rsidRDefault="006E4B45" w:rsidP="000324F4">
            <w:pPr>
              <w:pStyle w:val="Tableformat"/>
              <w:rPr>
                <w:rFonts w:asciiTheme="minorHAnsi" w:hAnsiTheme="minorHAnsi" w:cstheme="minorHAnsi"/>
                <w:b w:val="0"/>
              </w:rPr>
            </w:pPr>
            <w:r w:rsidRPr="00900863">
              <w:rPr>
                <w:rFonts w:asciiTheme="minorHAnsi" w:hAnsiTheme="minorHAnsi" w:cstheme="minorHAnsi"/>
              </w:rPr>
              <w:t xml:space="preserve">Report </w:t>
            </w:r>
            <w:r w:rsidRPr="00900863">
              <w:rPr>
                <w:rFonts w:asciiTheme="minorHAnsi" w:hAnsiTheme="minorHAnsi" w:cstheme="minorHAnsi"/>
              </w:rPr>
              <w:br/>
            </w:r>
            <w:r w:rsidRPr="00900863">
              <w:rPr>
                <w:rFonts w:asciiTheme="minorHAnsi" w:hAnsiTheme="minorHAnsi" w:cstheme="minorHAnsi"/>
                <w:sz w:val="18"/>
                <w:szCs w:val="18"/>
              </w:rPr>
              <w:t>(delete if the schedule has one output only)</w:t>
            </w:r>
          </w:p>
        </w:tc>
        <w:tc>
          <w:tcPr>
            <w:tcW w:w="6047" w:type="dxa"/>
            <w:shd w:val="clear" w:color="auto" w:fill="F2F2F2" w:themeFill="background1" w:themeFillShade="F2"/>
          </w:tcPr>
          <w:p w14:paraId="2B42DA64" w14:textId="77777777" w:rsidR="006E4B45" w:rsidRPr="00900863" w:rsidRDefault="006E4B45" w:rsidP="000324F4">
            <w:pPr>
              <w:pStyle w:val="Tableformat"/>
              <w:rPr>
                <w:rFonts w:asciiTheme="minorHAnsi" w:hAnsiTheme="minorHAnsi" w:cstheme="minorHAnsi"/>
                <w:b w:val="0"/>
              </w:rPr>
            </w:pPr>
            <w:r w:rsidRPr="00900863">
              <w:rPr>
                <w:rFonts w:asciiTheme="minorHAnsi" w:hAnsiTheme="minorHAnsi" w:cstheme="minorHAnsi"/>
              </w:rPr>
              <w:t xml:space="preserve">Requirements </w:t>
            </w:r>
          </w:p>
        </w:tc>
        <w:tc>
          <w:tcPr>
            <w:tcW w:w="1972" w:type="dxa"/>
            <w:shd w:val="clear" w:color="auto" w:fill="F2F2F2" w:themeFill="background1" w:themeFillShade="F2"/>
          </w:tcPr>
          <w:p w14:paraId="3EC0EF37" w14:textId="77777777" w:rsidR="006E4B45" w:rsidRPr="00900863" w:rsidRDefault="006E4B45" w:rsidP="000324F4">
            <w:pPr>
              <w:pStyle w:val="Tableformat"/>
              <w:rPr>
                <w:rFonts w:asciiTheme="minorHAnsi" w:hAnsiTheme="minorHAnsi" w:cstheme="minorHAnsi"/>
                <w:b w:val="0"/>
              </w:rPr>
            </w:pPr>
            <w:r w:rsidRPr="00900863">
              <w:rPr>
                <w:rFonts w:asciiTheme="minorHAnsi" w:hAnsiTheme="minorHAnsi" w:cstheme="minorHAnsi"/>
              </w:rPr>
              <w:t>Report due</w:t>
            </w:r>
          </w:p>
        </w:tc>
        <w:tc>
          <w:tcPr>
            <w:tcW w:w="1710" w:type="dxa"/>
            <w:shd w:val="clear" w:color="auto" w:fill="F2F2F2" w:themeFill="background1" w:themeFillShade="F2"/>
          </w:tcPr>
          <w:p w14:paraId="0AA5F65D" w14:textId="77777777" w:rsidR="006E4B45" w:rsidRPr="00900863" w:rsidRDefault="006E4B45" w:rsidP="000324F4">
            <w:pPr>
              <w:pStyle w:val="Tableformat"/>
              <w:rPr>
                <w:rFonts w:asciiTheme="minorHAnsi" w:hAnsiTheme="minorHAnsi" w:cstheme="minorHAnsi"/>
                <w:b w:val="0"/>
              </w:rPr>
            </w:pPr>
            <w:r w:rsidRPr="00900863">
              <w:rPr>
                <w:rFonts w:asciiTheme="minorHAnsi" w:hAnsiTheme="minorHAnsi" w:cstheme="minorHAnsi"/>
              </w:rPr>
              <w:t>Payment</w:t>
            </w:r>
          </w:p>
        </w:tc>
      </w:tr>
      <w:tr w:rsidR="006E4B45" w:rsidRPr="00900863" w14:paraId="66672E8A" w14:textId="77777777" w:rsidTr="7F6F52C8">
        <w:trPr>
          <w:trHeight w:val="514"/>
        </w:trPr>
        <w:tc>
          <w:tcPr>
            <w:tcW w:w="4778" w:type="dxa"/>
          </w:tcPr>
          <w:p w14:paraId="5380A8EB" w14:textId="79406695" w:rsidR="006E4B45" w:rsidRPr="00900863" w:rsidRDefault="0067494D" w:rsidP="219D5185">
            <w:pPr>
              <w:pStyle w:val="Milestonetable"/>
              <w:rPr>
                <w:rFonts w:asciiTheme="minorHAnsi" w:hAnsiTheme="minorHAnsi" w:cstheme="minorBidi"/>
              </w:rPr>
            </w:pPr>
            <w:r w:rsidRPr="219D5185">
              <w:rPr>
                <w:rFonts w:asciiTheme="minorHAnsi" w:hAnsiTheme="minorHAnsi" w:cstheme="minorBidi"/>
              </w:rPr>
              <w:t>Medicare Mental</w:t>
            </w:r>
            <w:r w:rsidR="006E4B45" w:rsidRPr="219D5185">
              <w:rPr>
                <w:rFonts w:asciiTheme="minorHAnsi" w:hAnsiTheme="minorHAnsi" w:cstheme="minorBidi"/>
              </w:rPr>
              <w:t xml:space="preserve"> Health </w:t>
            </w:r>
            <w:r w:rsidR="00DD1480" w:rsidRPr="219D5185">
              <w:rPr>
                <w:rFonts w:asciiTheme="minorHAnsi" w:hAnsiTheme="minorHAnsi" w:cstheme="minorBidi"/>
              </w:rPr>
              <w:t xml:space="preserve">Kids </w:t>
            </w:r>
            <w:r w:rsidR="006E4B45" w:rsidRPr="219D5185">
              <w:rPr>
                <w:rFonts w:asciiTheme="minorHAnsi" w:hAnsiTheme="minorHAnsi" w:cstheme="minorBidi"/>
              </w:rPr>
              <w:t>Hubs Model</w:t>
            </w:r>
          </w:p>
        </w:tc>
        <w:tc>
          <w:tcPr>
            <w:tcW w:w="6047" w:type="dxa"/>
          </w:tcPr>
          <w:p w14:paraId="09DD20EE" w14:textId="2E5C1138" w:rsidR="006E4B45" w:rsidRPr="54CB3774" w:rsidRDefault="006E4B45" w:rsidP="219D5185">
            <w:pPr>
              <w:pStyle w:val="Milestonetable"/>
              <w:rPr>
                <w:rFonts w:asciiTheme="minorHAnsi" w:hAnsiTheme="minorHAnsi" w:cstheme="minorBidi"/>
                <w:b w:val="0"/>
                <w:bCs w:val="0"/>
              </w:rPr>
            </w:pPr>
            <w:r w:rsidRPr="219D5185">
              <w:rPr>
                <w:rFonts w:asciiTheme="minorHAnsi" w:hAnsiTheme="minorHAnsi" w:cstheme="minorBidi"/>
                <w:b w:val="0"/>
                <w:bCs w:val="0"/>
              </w:rPr>
              <w:t xml:space="preserve">Victoria to provide feedback on the proposed draft </w:t>
            </w:r>
            <w:r w:rsidR="00DD1480" w:rsidRPr="219D5185">
              <w:rPr>
                <w:rFonts w:asciiTheme="minorHAnsi" w:hAnsiTheme="minorHAnsi" w:cstheme="minorBidi"/>
                <w:b w:val="0"/>
                <w:bCs w:val="0"/>
              </w:rPr>
              <w:t>Medicare Mental Health</w:t>
            </w:r>
            <w:r w:rsidRPr="219D5185">
              <w:rPr>
                <w:rFonts w:asciiTheme="minorHAnsi" w:hAnsiTheme="minorHAnsi" w:cstheme="minorBidi"/>
                <w:b w:val="0"/>
                <w:bCs w:val="0"/>
              </w:rPr>
              <w:t xml:space="preserve"> </w:t>
            </w:r>
            <w:r w:rsidR="00DD1480" w:rsidRPr="219D5185">
              <w:rPr>
                <w:rFonts w:asciiTheme="minorHAnsi" w:hAnsiTheme="minorHAnsi" w:cstheme="minorBidi"/>
                <w:b w:val="0"/>
                <w:bCs w:val="0"/>
              </w:rPr>
              <w:t>Kids</w:t>
            </w:r>
            <w:r w:rsidRPr="219D5185">
              <w:rPr>
                <w:rFonts w:asciiTheme="minorHAnsi" w:hAnsiTheme="minorHAnsi" w:cstheme="minorBidi"/>
                <w:b w:val="0"/>
                <w:bCs w:val="0"/>
              </w:rPr>
              <w:t xml:space="preserve"> Hubs model. </w:t>
            </w:r>
          </w:p>
        </w:tc>
        <w:tc>
          <w:tcPr>
            <w:tcW w:w="1972" w:type="dxa"/>
          </w:tcPr>
          <w:p w14:paraId="034510F9" w14:textId="77777777" w:rsidR="006E4B45" w:rsidRDefault="006E4B45" w:rsidP="000324F4">
            <w:pPr>
              <w:pStyle w:val="Milestonetable"/>
              <w:rPr>
                <w:rFonts w:asciiTheme="minorHAnsi" w:hAnsiTheme="minorHAnsi" w:cstheme="minorBidi"/>
                <w:b w:val="0"/>
                <w:bCs w:val="0"/>
              </w:rPr>
            </w:pPr>
            <w:r>
              <w:rPr>
                <w:rFonts w:asciiTheme="minorHAnsi" w:hAnsiTheme="minorHAnsi" w:cstheme="minorBidi"/>
                <w:b w:val="0"/>
                <w:bCs w:val="0"/>
              </w:rPr>
              <w:t>Within two months of execution of this schedule</w:t>
            </w:r>
          </w:p>
        </w:tc>
        <w:tc>
          <w:tcPr>
            <w:tcW w:w="1710" w:type="dxa"/>
          </w:tcPr>
          <w:p w14:paraId="0BA8D104" w14:textId="77777777" w:rsidR="006E4B45" w:rsidRPr="001D1342" w:rsidRDefault="006E4B45" w:rsidP="000324F4">
            <w:pPr>
              <w:pStyle w:val="Milestonetable"/>
              <w:jc w:val="right"/>
              <w:rPr>
                <w:rFonts w:asciiTheme="minorHAnsi" w:hAnsiTheme="minorHAnsi" w:cstheme="minorBidi"/>
                <w:b w:val="0"/>
                <w:bCs w:val="0"/>
              </w:rPr>
            </w:pPr>
            <w:r w:rsidRPr="002E5575">
              <w:rPr>
                <w:rFonts w:asciiTheme="minorHAnsi" w:hAnsiTheme="minorHAnsi" w:cstheme="minorBidi"/>
                <w:b w:val="0"/>
                <w:bCs w:val="0"/>
              </w:rPr>
              <w:t>$</w:t>
            </w:r>
            <w:r w:rsidRPr="002652D3">
              <w:rPr>
                <w:rFonts w:ascii="Calibri" w:hAnsi="Calibri" w:cs="Calibri"/>
                <w:b w:val="0"/>
              </w:rPr>
              <w:t>4,709,159</w:t>
            </w:r>
            <w:r>
              <w:br/>
            </w:r>
            <w:r w:rsidRPr="54CB3774">
              <w:rPr>
                <w:rFonts w:asciiTheme="minorHAnsi" w:hAnsiTheme="minorHAnsi" w:cstheme="minorBidi"/>
                <w:b w:val="0"/>
                <w:bCs w:val="0"/>
              </w:rPr>
              <w:t>(</w:t>
            </w:r>
            <w:r>
              <w:rPr>
                <w:rFonts w:asciiTheme="minorHAnsi" w:hAnsiTheme="minorHAnsi" w:cstheme="minorBidi"/>
                <w:b w:val="0"/>
                <w:bCs w:val="0"/>
              </w:rPr>
              <w:t xml:space="preserve">Commonwealth payment to Victoria for </w:t>
            </w:r>
            <w:r w:rsidRPr="54CB3774">
              <w:rPr>
                <w:rFonts w:asciiTheme="minorHAnsi" w:hAnsiTheme="minorHAnsi" w:cstheme="minorBidi"/>
                <w:b w:val="0"/>
                <w:bCs w:val="0"/>
              </w:rPr>
              <w:t xml:space="preserve">Perinatal </w:t>
            </w:r>
            <w:r>
              <w:rPr>
                <w:rFonts w:asciiTheme="minorHAnsi" w:hAnsiTheme="minorHAnsi" w:cstheme="minorBidi"/>
                <w:b w:val="0"/>
                <w:bCs w:val="0"/>
              </w:rPr>
              <w:t>I</w:t>
            </w:r>
            <w:r w:rsidRPr="54CB3774">
              <w:rPr>
                <w:rFonts w:asciiTheme="minorHAnsi" w:hAnsiTheme="minorHAnsi" w:cstheme="minorBidi"/>
                <w:b w:val="0"/>
                <w:bCs w:val="0"/>
              </w:rPr>
              <w:t>nitiative</w:t>
            </w:r>
            <w:r>
              <w:rPr>
                <w:rFonts w:asciiTheme="minorHAnsi" w:hAnsiTheme="minorHAnsi" w:cstheme="minorBidi"/>
                <w:b w:val="0"/>
                <w:bCs w:val="0"/>
              </w:rPr>
              <w:t xml:space="preserve"> and </w:t>
            </w:r>
            <w:r>
              <w:rPr>
                <w:rFonts w:ascii="Calibri" w:hAnsi="Calibri" w:cs="Calibri"/>
                <w:b w:val="0"/>
                <w:bCs w:val="0"/>
                <w:color w:val="000000"/>
              </w:rPr>
              <w:t>Adult Locals</w:t>
            </w:r>
            <w:r w:rsidRPr="54CB3774">
              <w:rPr>
                <w:rFonts w:asciiTheme="minorHAnsi" w:hAnsiTheme="minorHAnsi" w:cstheme="minorBidi"/>
                <w:b w:val="0"/>
                <w:bCs w:val="0"/>
              </w:rPr>
              <w:t xml:space="preserve">) </w:t>
            </w:r>
          </w:p>
        </w:tc>
      </w:tr>
      <w:tr w:rsidR="006E4B45" w:rsidRPr="00900863" w14:paraId="6E5331ED" w14:textId="77777777" w:rsidTr="7F6F52C8">
        <w:trPr>
          <w:trHeight w:val="514"/>
        </w:trPr>
        <w:tc>
          <w:tcPr>
            <w:tcW w:w="4778" w:type="dxa"/>
          </w:tcPr>
          <w:p w14:paraId="1F715BC9" w14:textId="77777777" w:rsidR="006E4B45" w:rsidRPr="00900863" w:rsidRDefault="006E4B45" w:rsidP="000324F4">
            <w:pPr>
              <w:pStyle w:val="Milestonetable"/>
              <w:rPr>
                <w:rFonts w:asciiTheme="minorHAnsi" w:hAnsiTheme="minorHAnsi" w:cstheme="minorHAnsi"/>
              </w:rPr>
            </w:pPr>
            <w:r w:rsidRPr="00900863">
              <w:rPr>
                <w:rFonts w:asciiTheme="minorHAnsi" w:hAnsiTheme="minorHAnsi" w:cstheme="minorHAnsi"/>
              </w:rPr>
              <w:t>Joint Commonwealth-</w:t>
            </w:r>
            <w:r>
              <w:rPr>
                <w:rFonts w:asciiTheme="minorHAnsi" w:hAnsiTheme="minorHAnsi" w:cstheme="minorHAnsi"/>
              </w:rPr>
              <w:t>Victoria</w:t>
            </w:r>
            <w:r w:rsidRPr="00900863">
              <w:rPr>
                <w:rFonts w:asciiTheme="minorHAnsi" w:hAnsiTheme="minorHAnsi" w:cstheme="minorHAnsi"/>
              </w:rPr>
              <w:t xml:space="preserve"> Implementation plan</w:t>
            </w:r>
          </w:p>
        </w:tc>
        <w:tc>
          <w:tcPr>
            <w:tcW w:w="6047" w:type="dxa"/>
          </w:tcPr>
          <w:p w14:paraId="5ADAFBA5" w14:textId="77777777" w:rsidR="006E4B45" w:rsidRPr="00900863" w:rsidRDefault="006E4B45" w:rsidP="219D5185">
            <w:pPr>
              <w:pStyle w:val="Milestonetable"/>
              <w:rPr>
                <w:rFonts w:asciiTheme="minorHAnsi" w:hAnsiTheme="minorHAnsi" w:cstheme="minorBidi"/>
                <w:b w:val="0"/>
                <w:bCs w:val="0"/>
              </w:rPr>
            </w:pPr>
            <w:r w:rsidRPr="219D5185">
              <w:rPr>
                <w:rFonts w:asciiTheme="minorHAnsi" w:hAnsiTheme="minorHAnsi" w:cstheme="minorBidi"/>
                <w:b w:val="0"/>
                <w:bCs w:val="0"/>
              </w:rPr>
              <w:t>Joint Commonwealth-Victoria Implementation plan including key deliverables, proposed service model and timeframes.</w:t>
            </w:r>
          </w:p>
        </w:tc>
        <w:tc>
          <w:tcPr>
            <w:tcW w:w="1972" w:type="dxa"/>
          </w:tcPr>
          <w:p w14:paraId="1DF4C9AD" w14:textId="77777777" w:rsidR="006E4B45" w:rsidRPr="00900863" w:rsidRDefault="006E4B45" w:rsidP="000324F4">
            <w:pPr>
              <w:pStyle w:val="Milestonetable"/>
              <w:rPr>
                <w:rFonts w:asciiTheme="minorHAnsi" w:hAnsiTheme="minorHAnsi" w:cstheme="minorBidi"/>
                <w:b w:val="0"/>
                <w:bCs w:val="0"/>
              </w:rPr>
            </w:pPr>
            <w:r>
              <w:rPr>
                <w:rFonts w:asciiTheme="minorHAnsi" w:hAnsiTheme="minorHAnsi" w:cstheme="minorBidi"/>
                <w:b w:val="0"/>
                <w:bCs w:val="0"/>
              </w:rPr>
              <w:t xml:space="preserve">Four months </w:t>
            </w:r>
            <w:proofErr w:type="gramStart"/>
            <w:r>
              <w:rPr>
                <w:rFonts w:asciiTheme="minorHAnsi" w:hAnsiTheme="minorHAnsi" w:cstheme="minorBidi"/>
                <w:b w:val="0"/>
                <w:bCs w:val="0"/>
              </w:rPr>
              <w:t>from</w:t>
            </w:r>
            <w:proofErr w:type="gramEnd"/>
            <w:r>
              <w:rPr>
                <w:rFonts w:asciiTheme="minorHAnsi" w:hAnsiTheme="minorHAnsi" w:cstheme="minorBidi"/>
                <w:b w:val="0"/>
                <w:bCs w:val="0"/>
              </w:rPr>
              <w:t xml:space="preserve"> the </w:t>
            </w:r>
            <w:r w:rsidRPr="69DC12FF">
              <w:rPr>
                <w:rFonts w:asciiTheme="minorHAnsi" w:hAnsiTheme="minorHAnsi" w:cstheme="minorBidi"/>
                <w:b w:val="0"/>
                <w:bCs w:val="0"/>
              </w:rPr>
              <w:t>date of execution of this schedule</w:t>
            </w:r>
          </w:p>
        </w:tc>
        <w:tc>
          <w:tcPr>
            <w:tcW w:w="1710" w:type="dxa"/>
          </w:tcPr>
          <w:p w14:paraId="52E9B86E" w14:textId="77777777" w:rsidR="006E4B45" w:rsidRDefault="006E4B45" w:rsidP="000324F4">
            <w:pPr>
              <w:pStyle w:val="Milestonetable"/>
              <w:jc w:val="right"/>
              <w:rPr>
                <w:rFonts w:asciiTheme="minorHAnsi" w:hAnsiTheme="minorHAnsi" w:cstheme="minorBidi"/>
                <w:b w:val="0"/>
                <w:bCs w:val="0"/>
              </w:rPr>
            </w:pPr>
            <w:r w:rsidRPr="00E9770E">
              <w:rPr>
                <w:rFonts w:ascii="Calibri" w:eastAsia="Calibri" w:hAnsi="Calibri" w:cs="Calibri"/>
                <w:b w:val="0"/>
                <w:bCs w:val="0"/>
              </w:rPr>
              <w:t>$</w:t>
            </w:r>
            <w:r w:rsidRPr="00E9770E">
              <w:rPr>
                <w:rFonts w:ascii="Calibri" w:hAnsi="Calibri" w:cs="Calibri"/>
                <w:b w:val="0"/>
                <w:color w:val="000000"/>
              </w:rPr>
              <w:t>36,022,242</w:t>
            </w:r>
            <w:r>
              <w:rPr>
                <w:rFonts w:ascii="Calibri" w:eastAsia="Calibri" w:hAnsi="Calibri" w:cs="Calibri"/>
                <w:b w:val="0"/>
              </w:rPr>
              <w:br/>
            </w:r>
            <w:r>
              <w:rPr>
                <w:rFonts w:asciiTheme="minorHAnsi" w:hAnsiTheme="minorHAnsi" w:cstheme="minorBidi"/>
                <w:b w:val="0"/>
                <w:bCs w:val="0"/>
              </w:rPr>
              <w:t>(Commonwealth payment to Victoria for Infant, Child and Family Health and Wellbeing Hubs; Adult Locals; Universal Aftercare and Distress Brief Intervention Trial)</w:t>
            </w:r>
          </w:p>
          <w:p w14:paraId="6B5531D8" w14:textId="77777777" w:rsidR="006E4B45" w:rsidRDefault="006E4B45" w:rsidP="000324F4">
            <w:pPr>
              <w:pStyle w:val="Milestonetable"/>
              <w:jc w:val="right"/>
              <w:rPr>
                <w:rFonts w:ascii="Calibri" w:hAnsi="Calibri" w:cs="Calibri"/>
                <w:b w:val="0"/>
                <w:bCs w:val="0"/>
                <w:color w:val="000000"/>
              </w:rPr>
            </w:pPr>
          </w:p>
          <w:p w14:paraId="3E661C29" w14:textId="77777777" w:rsidR="006E4B45" w:rsidRPr="002652D3" w:rsidRDefault="006E4B45" w:rsidP="000324F4">
            <w:pPr>
              <w:pStyle w:val="Milestonetable"/>
              <w:jc w:val="right"/>
              <w:rPr>
                <w:rFonts w:ascii="Calibri" w:hAnsi="Calibri" w:cs="Calibri"/>
                <w:b w:val="0"/>
                <w:bCs w:val="0"/>
                <w:color w:val="000000"/>
              </w:rPr>
            </w:pPr>
            <w:r w:rsidRPr="002652D3">
              <w:rPr>
                <w:rFonts w:ascii="Calibri" w:hAnsi="Calibri" w:cs="Calibri"/>
                <w:b w:val="0"/>
                <w:bCs w:val="0"/>
                <w:color w:val="000000"/>
              </w:rPr>
              <w:t>$1,654,788  </w:t>
            </w:r>
            <w:r>
              <w:rPr>
                <w:rFonts w:ascii="Calibri" w:hAnsi="Calibri" w:cs="Calibri"/>
                <w:b w:val="0"/>
                <w:bCs w:val="0"/>
                <w:color w:val="000000"/>
              </w:rPr>
              <w:br/>
            </w:r>
            <w:r w:rsidRPr="002652D3">
              <w:rPr>
                <w:rFonts w:ascii="Calibri" w:hAnsi="Calibri" w:cs="Calibri"/>
                <w:b w:val="0"/>
                <w:iCs w:val="0"/>
                <w:color w:val="000000"/>
              </w:rPr>
              <w:t>(Victoria payment to the Commonwealth for Postvention)</w:t>
            </w:r>
            <w:r>
              <w:rPr>
                <w:rFonts w:ascii="Calibri" w:hAnsi="Calibri" w:cs="Calibri"/>
                <w:b w:val="0"/>
                <w:bCs w:val="0"/>
                <w:color w:val="000000"/>
              </w:rPr>
              <w:t xml:space="preserve"> </w:t>
            </w:r>
          </w:p>
        </w:tc>
      </w:tr>
      <w:tr w:rsidR="006E4B45" w:rsidRPr="00900863" w14:paraId="08764C7B" w14:textId="77777777" w:rsidTr="7F6F52C8">
        <w:trPr>
          <w:trHeight w:val="514"/>
        </w:trPr>
        <w:tc>
          <w:tcPr>
            <w:tcW w:w="4778" w:type="dxa"/>
          </w:tcPr>
          <w:p w14:paraId="08AF338F" w14:textId="77777777" w:rsidR="006E4B45" w:rsidRPr="00900863" w:rsidRDefault="006E4B45" w:rsidP="000324F4">
            <w:pPr>
              <w:pStyle w:val="Milestonetable"/>
              <w:rPr>
                <w:rFonts w:asciiTheme="minorHAnsi" w:hAnsiTheme="minorHAnsi" w:cstheme="minorHAnsi"/>
              </w:rPr>
            </w:pPr>
            <w:r w:rsidRPr="00C12D83">
              <w:rPr>
                <w:rFonts w:asciiTheme="minorHAnsi" w:hAnsiTheme="minorHAnsi" w:cstheme="minorHAnsi"/>
                <w:lang w:eastAsia="en-US"/>
              </w:rPr>
              <w:t>Agreed Minimum Data Specifications</w:t>
            </w:r>
          </w:p>
        </w:tc>
        <w:tc>
          <w:tcPr>
            <w:tcW w:w="6047" w:type="dxa"/>
          </w:tcPr>
          <w:p w14:paraId="44599C23" w14:textId="3F4F4529" w:rsidR="006E4B45" w:rsidRPr="00900863" w:rsidRDefault="006E4B45" w:rsidP="219D5185">
            <w:pPr>
              <w:pStyle w:val="Milestonetable"/>
              <w:rPr>
                <w:rFonts w:asciiTheme="minorHAnsi" w:hAnsiTheme="minorHAnsi" w:cstheme="minorBidi"/>
                <w:b w:val="0"/>
                <w:bCs w:val="0"/>
              </w:rPr>
            </w:pPr>
            <w:r w:rsidRPr="219D5185">
              <w:rPr>
                <w:rFonts w:asciiTheme="minorHAnsi" w:hAnsiTheme="minorHAnsi" w:cstheme="minorBidi"/>
                <w:b w:val="0"/>
                <w:bCs w:val="0"/>
                <w:lang w:eastAsia="en-US"/>
              </w:rPr>
              <w:t xml:space="preserve">Victoria and the Commonwealth will </w:t>
            </w:r>
            <w:proofErr w:type="gramStart"/>
            <w:r w:rsidRPr="219D5185">
              <w:rPr>
                <w:rFonts w:asciiTheme="minorHAnsi" w:hAnsiTheme="minorHAnsi" w:cstheme="minorBidi"/>
                <w:b w:val="0"/>
                <w:bCs w:val="0"/>
                <w:lang w:eastAsia="en-US"/>
              </w:rPr>
              <w:t>agree</w:t>
            </w:r>
            <w:proofErr w:type="gramEnd"/>
            <w:r w:rsidRPr="219D5185">
              <w:rPr>
                <w:rFonts w:asciiTheme="minorHAnsi" w:hAnsiTheme="minorHAnsi" w:cstheme="minorBidi"/>
                <w:b w:val="0"/>
                <w:bCs w:val="0"/>
                <w:lang w:eastAsia="en-US"/>
              </w:rPr>
              <w:t xml:space="preserve"> the minimum data specifications and reporting process to monitor service activity for co-funded activities under this </w:t>
            </w:r>
            <w:proofErr w:type="gramStart"/>
            <w:r w:rsidRPr="219D5185">
              <w:rPr>
                <w:rFonts w:asciiTheme="minorHAnsi" w:hAnsiTheme="minorHAnsi" w:cstheme="minorBidi"/>
                <w:b w:val="0"/>
                <w:bCs w:val="0"/>
                <w:lang w:eastAsia="en-US"/>
              </w:rPr>
              <w:t>Schedule, and</w:t>
            </w:r>
            <w:proofErr w:type="gramEnd"/>
            <w:r w:rsidRPr="219D5185">
              <w:rPr>
                <w:rFonts w:asciiTheme="minorHAnsi" w:hAnsiTheme="minorHAnsi" w:cstheme="minorBidi"/>
                <w:b w:val="0"/>
                <w:bCs w:val="0"/>
                <w:lang w:eastAsia="en-US"/>
              </w:rPr>
              <w:t xml:space="preserve"> achieve optimal workforce planning at the regional level. Where appropriate, data collection will use the commissioning </w:t>
            </w:r>
            <w:proofErr w:type="spellStart"/>
            <w:r w:rsidRPr="219D5185">
              <w:rPr>
                <w:rFonts w:asciiTheme="minorHAnsi" w:hAnsiTheme="minorHAnsi" w:cstheme="minorBidi"/>
                <w:b w:val="0"/>
                <w:bCs w:val="0"/>
                <w:lang w:eastAsia="en-US"/>
              </w:rPr>
              <w:t>organisation’s</w:t>
            </w:r>
            <w:proofErr w:type="spellEnd"/>
            <w:r w:rsidRPr="219D5185">
              <w:rPr>
                <w:rFonts w:asciiTheme="minorHAnsi" w:hAnsiTheme="minorHAnsi" w:cstheme="minorBidi"/>
                <w:b w:val="0"/>
                <w:bCs w:val="0"/>
                <w:lang w:eastAsia="en-US"/>
              </w:rPr>
              <w:t xml:space="preserve"> existing data collection and reporting processes. </w:t>
            </w:r>
          </w:p>
        </w:tc>
        <w:tc>
          <w:tcPr>
            <w:tcW w:w="1972" w:type="dxa"/>
          </w:tcPr>
          <w:p w14:paraId="3CC7C47B" w14:textId="77777777" w:rsidR="006E4B45" w:rsidRPr="00900863" w:rsidRDefault="006E4B45" w:rsidP="000324F4">
            <w:pPr>
              <w:pStyle w:val="Milestonetable"/>
              <w:rPr>
                <w:rFonts w:asciiTheme="minorHAnsi" w:hAnsiTheme="minorHAnsi" w:cstheme="minorBidi"/>
                <w:b w:val="0"/>
                <w:bCs w:val="0"/>
              </w:rPr>
            </w:pPr>
            <w:r w:rsidRPr="2C392BD9">
              <w:rPr>
                <w:rFonts w:asciiTheme="minorHAnsi" w:hAnsiTheme="minorHAnsi" w:cstheme="minorBidi"/>
                <w:b w:val="0"/>
                <w:bCs w:val="0"/>
                <w:lang w:eastAsia="en-US"/>
              </w:rPr>
              <w:t>Six months from the date of execution of this schedule</w:t>
            </w:r>
          </w:p>
        </w:tc>
        <w:tc>
          <w:tcPr>
            <w:tcW w:w="1710" w:type="dxa"/>
          </w:tcPr>
          <w:p w14:paraId="56C96D63" w14:textId="77777777" w:rsidR="006E4B45" w:rsidRPr="00900863" w:rsidRDefault="006E4B45" w:rsidP="000324F4">
            <w:pPr>
              <w:pStyle w:val="Milestonetable"/>
              <w:jc w:val="right"/>
              <w:rPr>
                <w:rFonts w:asciiTheme="minorHAnsi" w:hAnsiTheme="minorHAnsi" w:cstheme="minorHAnsi"/>
                <w:b w:val="0"/>
                <w:bCs w:val="0"/>
              </w:rPr>
            </w:pPr>
            <w:r>
              <w:rPr>
                <w:rFonts w:asciiTheme="minorHAnsi" w:hAnsiTheme="minorHAnsi" w:cstheme="minorHAnsi"/>
                <w:b w:val="0"/>
                <w:bCs w:val="0"/>
                <w:lang w:eastAsia="en-US"/>
              </w:rPr>
              <w:t>Nil</w:t>
            </w:r>
          </w:p>
        </w:tc>
      </w:tr>
      <w:tr w:rsidR="006E4B45" w:rsidRPr="00900863" w14:paraId="35EB7222" w14:textId="77777777" w:rsidTr="7F6F52C8">
        <w:trPr>
          <w:trHeight w:val="514"/>
        </w:trPr>
        <w:tc>
          <w:tcPr>
            <w:tcW w:w="4778" w:type="dxa"/>
          </w:tcPr>
          <w:p w14:paraId="3D60B22C" w14:textId="77777777" w:rsidR="006E4B45" w:rsidRPr="00315805" w:rsidRDefault="006E4B45" w:rsidP="000324F4">
            <w:pPr>
              <w:pStyle w:val="Milestonetable"/>
              <w:rPr>
                <w:rFonts w:asciiTheme="minorHAnsi" w:hAnsiTheme="minorHAnsi" w:cstheme="minorHAnsi"/>
                <w:lang w:eastAsia="en-US"/>
              </w:rPr>
            </w:pPr>
            <w:r>
              <w:rPr>
                <w:rFonts w:asciiTheme="minorHAnsi" w:hAnsiTheme="minorHAnsi" w:cstheme="minorHAnsi"/>
                <w:lang w:eastAsia="en-US"/>
              </w:rPr>
              <w:t>Joint Regional Mental Health and Suicide Prevention, Wellbeing Service and Capital</w:t>
            </w:r>
            <w:r w:rsidRPr="00315805">
              <w:rPr>
                <w:rFonts w:asciiTheme="minorHAnsi" w:hAnsiTheme="minorHAnsi" w:cstheme="minorHAnsi"/>
                <w:lang w:eastAsia="en-US"/>
              </w:rPr>
              <w:t xml:space="preserve"> Plan</w:t>
            </w:r>
            <w:r>
              <w:rPr>
                <w:rFonts w:asciiTheme="minorHAnsi" w:hAnsiTheme="minorHAnsi" w:cstheme="minorHAnsi"/>
                <w:lang w:eastAsia="en-US"/>
              </w:rPr>
              <w:t>s</w:t>
            </w:r>
          </w:p>
        </w:tc>
        <w:tc>
          <w:tcPr>
            <w:tcW w:w="6047" w:type="dxa"/>
          </w:tcPr>
          <w:p w14:paraId="41A01142" w14:textId="51A6ECFD" w:rsidR="006E4B45" w:rsidRPr="00315805" w:rsidRDefault="006E4B45" w:rsidP="000324F4">
            <w:pPr>
              <w:pStyle w:val="Milestonetable"/>
              <w:rPr>
                <w:rFonts w:asciiTheme="minorHAnsi" w:hAnsiTheme="minorHAnsi" w:cstheme="minorBidi"/>
                <w:b w:val="0"/>
                <w:bCs w:val="0"/>
                <w:lang w:eastAsia="en-US"/>
              </w:rPr>
            </w:pPr>
            <w:r>
              <w:rPr>
                <w:rFonts w:asciiTheme="minorHAnsi" w:hAnsiTheme="minorHAnsi" w:cstheme="minorBidi"/>
                <w:b w:val="0"/>
                <w:bCs w:val="0"/>
                <w:lang w:eastAsia="en-US"/>
              </w:rPr>
              <w:t xml:space="preserve">By the end of 2023, </w:t>
            </w:r>
            <w:r w:rsidRPr="54CB3774">
              <w:rPr>
                <w:rFonts w:asciiTheme="minorHAnsi" w:hAnsiTheme="minorHAnsi" w:cstheme="minorBidi"/>
                <w:b w:val="0"/>
                <w:bCs w:val="0"/>
                <w:lang w:eastAsia="en-US"/>
              </w:rPr>
              <w:t>Victoria</w:t>
            </w:r>
            <w:r>
              <w:rPr>
                <w:rFonts w:asciiTheme="minorHAnsi" w:hAnsiTheme="minorHAnsi" w:cstheme="minorBidi"/>
                <w:b w:val="0"/>
                <w:bCs w:val="0"/>
                <w:lang w:eastAsia="en-US"/>
              </w:rPr>
              <w:t xml:space="preserve"> will develop a regional plan for each region </w:t>
            </w:r>
            <w:r w:rsidR="000676C9">
              <w:rPr>
                <w:rFonts w:asciiTheme="minorHAnsi" w:hAnsiTheme="minorHAnsi" w:cstheme="minorBidi"/>
                <w:b w:val="0"/>
                <w:bCs w:val="0"/>
                <w:lang w:eastAsia="en-US"/>
              </w:rPr>
              <w:t xml:space="preserve">in collaboration </w:t>
            </w:r>
            <w:r>
              <w:rPr>
                <w:rFonts w:asciiTheme="minorHAnsi" w:hAnsiTheme="minorHAnsi" w:cstheme="minorBidi"/>
                <w:b w:val="0"/>
                <w:bCs w:val="0"/>
                <w:lang w:eastAsia="en-US"/>
              </w:rPr>
              <w:t xml:space="preserve">with the Commonwealth (through the Victorian </w:t>
            </w:r>
            <w:proofErr w:type="gramStart"/>
            <w:r>
              <w:rPr>
                <w:rFonts w:asciiTheme="minorHAnsi" w:hAnsiTheme="minorHAnsi" w:cstheme="minorBidi"/>
                <w:b w:val="0"/>
                <w:bCs w:val="0"/>
                <w:lang w:eastAsia="en-US"/>
              </w:rPr>
              <w:t>Primary Health</w:t>
            </w:r>
            <w:proofErr w:type="gramEnd"/>
            <w:r>
              <w:rPr>
                <w:rFonts w:asciiTheme="minorHAnsi" w:hAnsiTheme="minorHAnsi" w:cstheme="minorBidi"/>
                <w:b w:val="0"/>
                <w:bCs w:val="0"/>
                <w:lang w:eastAsia="en-US"/>
              </w:rPr>
              <w:t xml:space="preserve"> Networks) </w:t>
            </w:r>
            <w:r w:rsidR="000676C9">
              <w:rPr>
                <w:rFonts w:asciiTheme="minorHAnsi" w:hAnsiTheme="minorHAnsi" w:cstheme="minorBidi"/>
                <w:b w:val="0"/>
                <w:bCs w:val="0"/>
                <w:lang w:eastAsia="en-US"/>
              </w:rPr>
              <w:t>and</w:t>
            </w:r>
            <w:r>
              <w:rPr>
                <w:rFonts w:asciiTheme="minorHAnsi" w:hAnsiTheme="minorHAnsi" w:cstheme="minorBidi"/>
                <w:b w:val="0"/>
                <w:bCs w:val="0"/>
                <w:lang w:eastAsia="en-US"/>
              </w:rPr>
              <w:t xml:space="preserve"> Interim Regional Bodies</w:t>
            </w:r>
            <w:r w:rsidRPr="54CB3774">
              <w:rPr>
                <w:rFonts w:asciiTheme="minorHAnsi" w:hAnsiTheme="minorHAnsi" w:cstheme="minorBidi"/>
                <w:b w:val="0"/>
                <w:bCs w:val="0"/>
                <w:lang w:eastAsia="en-US"/>
              </w:rPr>
              <w:t>.</w:t>
            </w:r>
          </w:p>
        </w:tc>
        <w:tc>
          <w:tcPr>
            <w:tcW w:w="1972" w:type="dxa"/>
          </w:tcPr>
          <w:p w14:paraId="34C2F18F" w14:textId="249950D8" w:rsidR="006E4B45" w:rsidRPr="00315805" w:rsidRDefault="006E4B45" w:rsidP="000324F4">
            <w:pPr>
              <w:pStyle w:val="Milestonetable"/>
              <w:rPr>
                <w:rFonts w:asciiTheme="minorHAnsi" w:hAnsiTheme="minorHAnsi" w:cstheme="minorHAnsi"/>
                <w:b w:val="0"/>
                <w:bCs w:val="0"/>
                <w:lang w:eastAsia="en-US"/>
              </w:rPr>
            </w:pPr>
            <w:r>
              <w:rPr>
                <w:rFonts w:asciiTheme="minorHAnsi" w:hAnsiTheme="minorHAnsi" w:cstheme="minorHAnsi"/>
                <w:b w:val="0"/>
                <w:bCs w:val="0"/>
                <w:lang w:eastAsia="en-US"/>
              </w:rPr>
              <w:t>On or after 31 December 2023</w:t>
            </w:r>
          </w:p>
        </w:tc>
        <w:tc>
          <w:tcPr>
            <w:tcW w:w="1710" w:type="dxa"/>
          </w:tcPr>
          <w:p w14:paraId="35B9D9F6" w14:textId="77777777" w:rsidR="006E4B45" w:rsidRPr="00315805" w:rsidRDefault="006E4B45" w:rsidP="000324F4">
            <w:pPr>
              <w:pStyle w:val="Milestonetable"/>
              <w:jc w:val="right"/>
              <w:rPr>
                <w:rFonts w:asciiTheme="minorHAnsi" w:hAnsiTheme="minorHAnsi" w:cstheme="minorHAnsi"/>
                <w:b w:val="0"/>
                <w:bCs w:val="0"/>
                <w:lang w:eastAsia="en-US"/>
              </w:rPr>
            </w:pPr>
            <w:r w:rsidRPr="00315805">
              <w:rPr>
                <w:rFonts w:asciiTheme="minorHAnsi" w:hAnsiTheme="minorHAnsi" w:cstheme="minorHAnsi"/>
                <w:b w:val="0"/>
                <w:bCs w:val="0"/>
                <w:lang w:eastAsia="en-US"/>
              </w:rPr>
              <w:t>Nil</w:t>
            </w:r>
          </w:p>
        </w:tc>
      </w:tr>
      <w:tr w:rsidR="006E4B45" w:rsidRPr="009C5DB6" w14:paraId="1966BAB5" w14:textId="77777777" w:rsidTr="7F6F52C8">
        <w:trPr>
          <w:trHeight w:val="514"/>
        </w:trPr>
        <w:tc>
          <w:tcPr>
            <w:tcW w:w="4778" w:type="dxa"/>
          </w:tcPr>
          <w:p w14:paraId="24864BEF" w14:textId="3D28FE4E" w:rsidR="006E4B45" w:rsidRPr="00315805" w:rsidRDefault="006E4B45" w:rsidP="000324F4">
            <w:pPr>
              <w:pStyle w:val="Milestonetable"/>
              <w:rPr>
                <w:rFonts w:asciiTheme="minorHAnsi" w:hAnsiTheme="minorHAnsi" w:cstheme="minorHAnsi"/>
              </w:rPr>
            </w:pPr>
            <w:r w:rsidRPr="00315805">
              <w:rPr>
                <w:rFonts w:asciiTheme="minorHAnsi" w:hAnsiTheme="minorHAnsi" w:cstheme="minorHAnsi"/>
              </w:rPr>
              <w:t xml:space="preserve">Data for Perinatal mental health </w:t>
            </w:r>
          </w:p>
        </w:tc>
        <w:tc>
          <w:tcPr>
            <w:tcW w:w="6047" w:type="dxa"/>
          </w:tcPr>
          <w:p w14:paraId="4F1BD189" w14:textId="77777777" w:rsidR="006E4B45" w:rsidRPr="001870A5" w:rsidRDefault="006E4B45" w:rsidP="000324F4">
            <w:pPr>
              <w:pStyle w:val="Milestonetable"/>
              <w:rPr>
                <w:b w:val="0"/>
                <w:bCs w:val="0"/>
              </w:rPr>
            </w:pPr>
            <w:r>
              <w:rPr>
                <w:b w:val="0"/>
                <w:bCs w:val="0"/>
              </w:rPr>
              <w:t xml:space="preserve">Work towards nationally agreed, consistent </w:t>
            </w:r>
            <w:r w:rsidRPr="00315805">
              <w:rPr>
                <w:b w:val="0"/>
                <w:bCs w:val="0"/>
              </w:rPr>
              <w:t xml:space="preserve">perinatal mental health data provided </w:t>
            </w:r>
            <w:r>
              <w:rPr>
                <w:b w:val="0"/>
                <w:bCs w:val="0"/>
              </w:rPr>
              <w:t xml:space="preserve">via agreed mechanisms </w:t>
            </w:r>
            <w:r w:rsidRPr="00315805">
              <w:rPr>
                <w:b w:val="0"/>
                <w:bCs w:val="0"/>
              </w:rPr>
              <w:t>to the Australian Institute of Health and Welfare</w:t>
            </w:r>
            <w:r>
              <w:rPr>
                <w:b w:val="0"/>
                <w:bCs w:val="0"/>
              </w:rPr>
              <w:t xml:space="preserve"> (or evidence that working toward data provision) </w:t>
            </w:r>
          </w:p>
        </w:tc>
        <w:tc>
          <w:tcPr>
            <w:tcW w:w="1972" w:type="dxa"/>
          </w:tcPr>
          <w:p w14:paraId="79425A12" w14:textId="77777777" w:rsidR="006E4B45" w:rsidRPr="00315805" w:rsidRDefault="006E4B45" w:rsidP="000324F4">
            <w:pPr>
              <w:pStyle w:val="Milestonetable"/>
              <w:rPr>
                <w:rFonts w:asciiTheme="minorHAnsi" w:hAnsiTheme="minorHAnsi" w:cstheme="minorHAnsi"/>
                <w:b w:val="0"/>
                <w:bCs w:val="0"/>
              </w:rPr>
            </w:pPr>
            <w:r>
              <w:rPr>
                <w:rFonts w:asciiTheme="minorHAnsi" w:hAnsiTheme="minorHAnsi" w:cstheme="minorHAnsi"/>
                <w:b w:val="0"/>
                <w:bCs w:val="0"/>
              </w:rPr>
              <w:t xml:space="preserve">Within 12 months of execution of this Schedule </w:t>
            </w:r>
          </w:p>
        </w:tc>
        <w:tc>
          <w:tcPr>
            <w:tcW w:w="1710" w:type="dxa"/>
          </w:tcPr>
          <w:p w14:paraId="01865490" w14:textId="77777777" w:rsidR="006E4B45" w:rsidRPr="00315805" w:rsidRDefault="006E4B45" w:rsidP="000324F4">
            <w:pPr>
              <w:pStyle w:val="Milestonetable"/>
              <w:jc w:val="right"/>
              <w:rPr>
                <w:rFonts w:asciiTheme="minorHAnsi" w:hAnsiTheme="minorHAnsi" w:cstheme="minorBidi"/>
                <w:b w:val="0"/>
                <w:bCs w:val="0"/>
              </w:rPr>
            </w:pPr>
            <w:r w:rsidRPr="005D62CA">
              <w:rPr>
                <w:rFonts w:asciiTheme="minorHAnsi" w:hAnsiTheme="minorHAnsi" w:cstheme="minorBidi"/>
                <w:b w:val="0"/>
                <w:bCs w:val="0"/>
              </w:rPr>
              <w:t>$</w:t>
            </w:r>
            <w:r>
              <w:rPr>
                <w:rFonts w:asciiTheme="minorHAnsi" w:hAnsiTheme="minorHAnsi" w:cstheme="minorBidi"/>
                <w:b w:val="0"/>
                <w:bCs w:val="0"/>
              </w:rPr>
              <w:t>875,000</w:t>
            </w:r>
            <w:r w:rsidRPr="003E4C6C">
              <w:rPr>
                <w:rFonts w:asciiTheme="minorHAnsi" w:hAnsiTheme="minorHAnsi" w:cstheme="minorBidi"/>
                <w:b w:val="0"/>
                <w:bCs w:val="0"/>
              </w:rPr>
              <w:t xml:space="preserve"> </w:t>
            </w:r>
            <w:r w:rsidRPr="54CB3774">
              <w:rPr>
                <w:rFonts w:asciiTheme="minorHAnsi" w:hAnsiTheme="minorHAnsi" w:cstheme="minorBidi"/>
                <w:b w:val="0"/>
                <w:bCs w:val="0"/>
              </w:rPr>
              <w:t>(</w:t>
            </w:r>
            <w:r>
              <w:rPr>
                <w:rFonts w:asciiTheme="minorHAnsi" w:hAnsiTheme="minorHAnsi" w:cstheme="minorBidi"/>
                <w:b w:val="0"/>
                <w:bCs w:val="0"/>
              </w:rPr>
              <w:t xml:space="preserve">Commonwealth payment to Victoria for </w:t>
            </w:r>
            <w:r w:rsidRPr="54CB3774">
              <w:rPr>
                <w:rFonts w:asciiTheme="minorHAnsi" w:hAnsiTheme="minorHAnsi" w:cstheme="minorBidi"/>
                <w:b w:val="0"/>
                <w:bCs w:val="0"/>
              </w:rPr>
              <w:t xml:space="preserve">Perinatal </w:t>
            </w:r>
            <w:r>
              <w:rPr>
                <w:rFonts w:asciiTheme="minorHAnsi" w:hAnsiTheme="minorHAnsi" w:cstheme="minorBidi"/>
                <w:b w:val="0"/>
                <w:bCs w:val="0"/>
              </w:rPr>
              <w:t>I</w:t>
            </w:r>
            <w:r w:rsidRPr="54CB3774">
              <w:rPr>
                <w:rFonts w:asciiTheme="minorHAnsi" w:hAnsiTheme="minorHAnsi" w:cstheme="minorBidi"/>
                <w:b w:val="0"/>
                <w:bCs w:val="0"/>
              </w:rPr>
              <w:t xml:space="preserve">nitiative) </w:t>
            </w:r>
          </w:p>
        </w:tc>
      </w:tr>
      <w:tr w:rsidR="006E4B45" w:rsidRPr="00900863" w14:paraId="161B64F5" w14:textId="77777777" w:rsidTr="7F6F52C8">
        <w:trPr>
          <w:trHeight w:val="513"/>
        </w:trPr>
        <w:tc>
          <w:tcPr>
            <w:tcW w:w="4778" w:type="dxa"/>
          </w:tcPr>
          <w:p w14:paraId="1515738C" w14:textId="77777777" w:rsidR="006E4B45" w:rsidRPr="00900863" w:rsidRDefault="006E4B45" w:rsidP="000324F4">
            <w:pPr>
              <w:pStyle w:val="Milestonetable"/>
              <w:rPr>
                <w:rFonts w:asciiTheme="minorHAnsi" w:hAnsiTheme="minorHAnsi" w:cstheme="minorHAnsi"/>
              </w:rPr>
            </w:pPr>
            <w:r w:rsidRPr="00900863">
              <w:rPr>
                <w:rFonts w:asciiTheme="minorHAnsi" w:hAnsiTheme="minorHAnsi" w:cstheme="minorHAnsi"/>
              </w:rPr>
              <w:t xml:space="preserve">Annual performance report  </w:t>
            </w:r>
          </w:p>
        </w:tc>
        <w:tc>
          <w:tcPr>
            <w:tcW w:w="6047" w:type="dxa"/>
          </w:tcPr>
          <w:p w14:paraId="72FE6CE7" w14:textId="77777777" w:rsidR="006E4B45" w:rsidRPr="00900863" w:rsidRDefault="006E4B45" w:rsidP="000324F4">
            <w:pPr>
              <w:pStyle w:val="Milestonetable"/>
              <w:rPr>
                <w:rFonts w:asciiTheme="minorHAnsi" w:hAnsiTheme="minorHAnsi" w:cstheme="minorBidi"/>
                <w:b w:val="0"/>
                <w:bCs w:val="0"/>
              </w:rPr>
            </w:pPr>
            <w:r w:rsidRPr="54CB3774">
              <w:rPr>
                <w:rFonts w:asciiTheme="minorHAnsi" w:hAnsiTheme="minorHAnsi" w:cstheme="minorBidi"/>
                <w:b w:val="0"/>
                <w:bCs w:val="0"/>
              </w:rPr>
              <w:t>Performance report against the Joint Commonwealth-Victoria Implementation Plan and key deliverables for the period from 01/07/2022 to 30/06/2023.</w:t>
            </w:r>
          </w:p>
          <w:p w14:paraId="25A4D477" w14:textId="77777777" w:rsidR="006E4B45" w:rsidRPr="00900863" w:rsidRDefault="006E4B45" w:rsidP="219D5185">
            <w:pPr>
              <w:pStyle w:val="Milestonetable"/>
              <w:rPr>
                <w:rFonts w:asciiTheme="minorHAnsi" w:hAnsiTheme="minorHAnsi" w:cstheme="minorBidi"/>
                <w:b w:val="0"/>
                <w:bCs w:val="0"/>
              </w:rPr>
            </w:pPr>
            <w:r w:rsidRPr="219D5185">
              <w:rPr>
                <w:rFonts w:asciiTheme="minorHAnsi" w:hAnsiTheme="minorHAnsi" w:cstheme="minorBidi"/>
                <w:b w:val="0"/>
                <w:bCs w:val="0"/>
              </w:rPr>
              <w:t>Refer to Table 4 for detail of the requirements.</w:t>
            </w:r>
          </w:p>
        </w:tc>
        <w:tc>
          <w:tcPr>
            <w:tcW w:w="1972" w:type="dxa"/>
          </w:tcPr>
          <w:p w14:paraId="3F77A2BC" w14:textId="77777777" w:rsidR="006E4B45" w:rsidRPr="00900863" w:rsidRDefault="006E4B45" w:rsidP="000324F4">
            <w:pPr>
              <w:pStyle w:val="Milestonetable"/>
              <w:rPr>
                <w:rFonts w:asciiTheme="minorHAnsi" w:hAnsiTheme="minorHAnsi" w:cstheme="minorHAnsi"/>
                <w:b w:val="0"/>
                <w:bCs w:val="0"/>
              </w:rPr>
            </w:pPr>
            <w:r w:rsidRPr="00900863">
              <w:rPr>
                <w:rFonts w:asciiTheme="minorHAnsi" w:hAnsiTheme="minorHAnsi" w:cstheme="minorHAnsi"/>
                <w:b w:val="0"/>
                <w:bCs w:val="0"/>
              </w:rPr>
              <w:t>31/08/2023</w:t>
            </w:r>
          </w:p>
        </w:tc>
        <w:tc>
          <w:tcPr>
            <w:tcW w:w="1710" w:type="dxa"/>
          </w:tcPr>
          <w:p w14:paraId="6BAAE767" w14:textId="68B0D711" w:rsidR="006E4B45" w:rsidRPr="003E4C6C" w:rsidRDefault="006E4B45" w:rsidP="000324F4">
            <w:pPr>
              <w:widowControl/>
              <w:spacing w:after="0"/>
              <w:jc w:val="right"/>
              <w:rPr>
                <w:rFonts w:ascii="Calibri" w:hAnsi="Calibri" w:cs="Calibri"/>
                <w:sz w:val="20"/>
                <w:lang w:val="en-AU"/>
              </w:rPr>
            </w:pPr>
            <w:r w:rsidRPr="009D46B7">
              <w:rPr>
                <w:rFonts w:eastAsia="Times New Roman" w:cstheme="minorBidi"/>
                <w:iCs/>
                <w:sz w:val="20"/>
                <w:lang w:eastAsia="en-AU"/>
              </w:rPr>
              <w:t>$</w:t>
            </w:r>
            <w:r w:rsidR="00D13100" w:rsidRPr="00BD7947">
              <w:rPr>
                <w:rFonts w:ascii="Calibri" w:hAnsi="Calibri" w:cs="Calibri"/>
                <w:sz w:val="20"/>
              </w:rPr>
              <w:t>29,677,735</w:t>
            </w:r>
          </w:p>
          <w:p w14:paraId="167C43D8" w14:textId="77777777" w:rsidR="006E4B45" w:rsidRPr="00E320CA" w:rsidRDefault="006E4B45" w:rsidP="000324F4">
            <w:pPr>
              <w:pStyle w:val="Milestonetable"/>
              <w:jc w:val="right"/>
              <w:rPr>
                <w:rFonts w:asciiTheme="minorHAnsi" w:hAnsiTheme="minorHAnsi" w:cstheme="minorBidi"/>
                <w:b w:val="0"/>
                <w:bCs w:val="0"/>
              </w:rPr>
            </w:pPr>
            <w:r w:rsidRPr="005D62CA" w:rsidDel="009D46B7">
              <w:rPr>
                <w:rFonts w:cstheme="minorBidi"/>
              </w:rPr>
              <w:t xml:space="preserve"> </w:t>
            </w:r>
            <w:r>
              <w:rPr>
                <w:rFonts w:asciiTheme="minorHAnsi" w:hAnsiTheme="minorHAnsi" w:cstheme="minorBidi"/>
                <w:b w:val="0"/>
                <w:bCs w:val="0"/>
              </w:rPr>
              <w:t>(Commonwealth payment to Victoria for Infant, Child and Family Health and Wellbeing Hubs; Adult Locals; Universal Aftercare and Distress Brief Intervention Trial</w:t>
            </w:r>
            <w:r w:rsidRPr="005D62CA">
              <w:rPr>
                <w:rFonts w:asciiTheme="minorHAnsi" w:hAnsiTheme="minorHAnsi" w:cstheme="minorBidi"/>
                <w:b w:val="0"/>
                <w:bCs w:val="0"/>
              </w:rPr>
              <w:t>)</w:t>
            </w:r>
          </w:p>
          <w:p w14:paraId="38437ED3" w14:textId="77777777" w:rsidR="006E4B45" w:rsidRPr="003E4C6C" w:rsidRDefault="006E4B45" w:rsidP="000324F4">
            <w:pPr>
              <w:widowControl/>
              <w:spacing w:after="0"/>
              <w:jc w:val="right"/>
              <w:rPr>
                <w:rFonts w:eastAsia="Times New Roman" w:cstheme="minorBidi"/>
                <w:iCs/>
                <w:sz w:val="20"/>
                <w:lang w:eastAsia="en-AU"/>
              </w:rPr>
            </w:pPr>
          </w:p>
          <w:p w14:paraId="106537D3" w14:textId="77777777" w:rsidR="006E4B45" w:rsidRPr="003E4C6C" w:rsidRDefault="006E4B45" w:rsidP="000324F4">
            <w:pPr>
              <w:jc w:val="right"/>
              <w:rPr>
                <w:rFonts w:eastAsia="Times New Roman" w:cstheme="minorBidi"/>
                <w:iCs/>
                <w:sz w:val="20"/>
                <w:lang w:eastAsia="en-AU"/>
              </w:rPr>
            </w:pPr>
            <w:r w:rsidRPr="003E4C6C">
              <w:rPr>
                <w:rFonts w:eastAsia="Times New Roman" w:cstheme="minorBidi"/>
                <w:iCs/>
                <w:sz w:val="20"/>
                <w:lang w:eastAsia="en-AU"/>
              </w:rPr>
              <w:t>$1,654,561 </w:t>
            </w:r>
            <w:r w:rsidRPr="003E4C6C">
              <w:rPr>
                <w:rFonts w:eastAsia="Times New Roman" w:cstheme="minorBidi"/>
                <w:iCs/>
                <w:sz w:val="20"/>
                <w:lang w:eastAsia="en-AU"/>
              </w:rPr>
              <w:br/>
              <w:t>(Victoria payment to the Commonwealth for Postvention)</w:t>
            </w:r>
          </w:p>
        </w:tc>
      </w:tr>
      <w:tr w:rsidR="006E4B45" w:rsidRPr="009D46B7" w14:paraId="712891E3" w14:textId="77777777" w:rsidTr="7F6F52C8">
        <w:trPr>
          <w:trHeight w:val="513"/>
        </w:trPr>
        <w:tc>
          <w:tcPr>
            <w:tcW w:w="4778" w:type="dxa"/>
          </w:tcPr>
          <w:p w14:paraId="33FCD389" w14:textId="77777777" w:rsidR="006E4B45" w:rsidRPr="00900863" w:rsidRDefault="006E4B45" w:rsidP="000324F4">
            <w:pPr>
              <w:pStyle w:val="Milestonetable"/>
              <w:rPr>
                <w:rFonts w:asciiTheme="minorHAnsi" w:hAnsiTheme="minorHAnsi" w:cstheme="minorHAnsi"/>
              </w:rPr>
            </w:pPr>
            <w:r w:rsidRPr="00900863">
              <w:rPr>
                <w:rFonts w:asciiTheme="minorHAnsi" w:hAnsiTheme="minorHAnsi" w:cstheme="minorHAnsi"/>
              </w:rPr>
              <w:t xml:space="preserve">Annual performance report  </w:t>
            </w:r>
          </w:p>
        </w:tc>
        <w:tc>
          <w:tcPr>
            <w:tcW w:w="6047" w:type="dxa"/>
          </w:tcPr>
          <w:p w14:paraId="054C0205" w14:textId="77777777" w:rsidR="006E4B45" w:rsidRPr="00900863" w:rsidRDefault="006E4B45" w:rsidP="000324F4">
            <w:pPr>
              <w:pStyle w:val="Milestonetable"/>
              <w:rPr>
                <w:rFonts w:asciiTheme="minorHAnsi" w:hAnsiTheme="minorHAnsi" w:cstheme="minorHAnsi"/>
                <w:b w:val="0"/>
                <w:bCs w:val="0"/>
              </w:rPr>
            </w:pPr>
            <w:r w:rsidRPr="00900863">
              <w:rPr>
                <w:rFonts w:asciiTheme="minorHAnsi" w:hAnsiTheme="minorHAnsi" w:cstheme="minorHAnsi"/>
                <w:b w:val="0"/>
                <w:bCs w:val="0"/>
              </w:rPr>
              <w:t>Performance report against the Joint Commonwealth-</w:t>
            </w:r>
            <w:r>
              <w:rPr>
                <w:rFonts w:asciiTheme="minorHAnsi" w:hAnsiTheme="minorHAnsi" w:cstheme="minorHAnsi"/>
                <w:b w:val="0"/>
                <w:bCs w:val="0"/>
              </w:rPr>
              <w:t>Victoria</w:t>
            </w:r>
            <w:r w:rsidRPr="00900863">
              <w:rPr>
                <w:rFonts w:asciiTheme="minorHAnsi" w:hAnsiTheme="minorHAnsi" w:cstheme="minorHAnsi"/>
                <w:b w:val="0"/>
                <w:bCs w:val="0"/>
              </w:rPr>
              <w:t xml:space="preserve"> Implementation Plan and key deliverables for the period from 01/07/2023 to 30/06/2024.</w:t>
            </w:r>
          </w:p>
          <w:p w14:paraId="4FF625B9" w14:textId="77777777" w:rsidR="006E4B45" w:rsidRPr="00900863" w:rsidRDefault="006E4B45" w:rsidP="219D5185">
            <w:pPr>
              <w:pStyle w:val="Milestonetable"/>
              <w:rPr>
                <w:rFonts w:asciiTheme="minorHAnsi" w:hAnsiTheme="minorHAnsi" w:cstheme="minorBidi"/>
                <w:b w:val="0"/>
                <w:bCs w:val="0"/>
              </w:rPr>
            </w:pPr>
            <w:r w:rsidRPr="219D5185">
              <w:rPr>
                <w:rFonts w:asciiTheme="minorHAnsi" w:hAnsiTheme="minorHAnsi" w:cstheme="minorBidi"/>
                <w:b w:val="0"/>
                <w:bCs w:val="0"/>
              </w:rPr>
              <w:t>Refer to Table 4 for detail of the requirements.</w:t>
            </w:r>
          </w:p>
        </w:tc>
        <w:tc>
          <w:tcPr>
            <w:tcW w:w="1972" w:type="dxa"/>
          </w:tcPr>
          <w:p w14:paraId="311214FB" w14:textId="77777777" w:rsidR="006E4B45" w:rsidRPr="00900863" w:rsidRDefault="006E4B45" w:rsidP="000324F4">
            <w:pPr>
              <w:pStyle w:val="Milestonetable"/>
              <w:rPr>
                <w:rFonts w:asciiTheme="minorHAnsi" w:hAnsiTheme="minorHAnsi" w:cstheme="minorBidi"/>
                <w:b w:val="0"/>
                <w:bCs w:val="0"/>
              </w:rPr>
            </w:pPr>
            <w:r w:rsidRPr="2C392BD9">
              <w:rPr>
                <w:rFonts w:asciiTheme="minorHAnsi" w:hAnsiTheme="minorHAnsi" w:cstheme="minorBidi"/>
                <w:b w:val="0"/>
                <w:bCs w:val="0"/>
              </w:rPr>
              <w:t>31/08/2024</w:t>
            </w:r>
          </w:p>
        </w:tc>
        <w:tc>
          <w:tcPr>
            <w:tcW w:w="1710" w:type="dxa"/>
          </w:tcPr>
          <w:p w14:paraId="1DBBB4CE" w14:textId="6337941F" w:rsidR="006E4B45" w:rsidRPr="003E4C6C" w:rsidRDefault="006E4B45" w:rsidP="000324F4">
            <w:pPr>
              <w:widowControl/>
              <w:spacing w:after="0"/>
              <w:jc w:val="right"/>
              <w:rPr>
                <w:rFonts w:cstheme="minorBidi"/>
                <w:b/>
                <w:bCs/>
              </w:rPr>
            </w:pPr>
            <w:r w:rsidRPr="003E4C6C">
              <w:rPr>
                <w:rFonts w:eastAsia="Times New Roman" w:cstheme="minorBidi"/>
                <w:bCs/>
                <w:sz w:val="20"/>
              </w:rPr>
              <w:t>$</w:t>
            </w:r>
            <w:r w:rsidR="00D13100" w:rsidRPr="00BD7947">
              <w:rPr>
                <w:rFonts w:ascii="Calibri" w:hAnsi="Calibri" w:cs="Calibri"/>
                <w:sz w:val="20"/>
              </w:rPr>
              <w:t>39,378,553</w:t>
            </w:r>
            <w:r w:rsidRPr="003E4C6C">
              <w:rPr>
                <w:rFonts w:cstheme="minorBidi"/>
                <w:bCs/>
                <w:sz w:val="20"/>
              </w:rPr>
              <w:br/>
            </w:r>
            <w:r w:rsidRPr="003E4C6C">
              <w:rPr>
                <w:rFonts w:eastAsia="Times New Roman" w:cstheme="minorBidi"/>
                <w:bCs/>
                <w:sz w:val="20"/>
              </w:rPr>
              <w:t>(</w:t>
            </w:r>
            <w:r w:rsidRPr="003E4C6C">
              <w:rPr>
                <w:rFonts w:cstheme="minorBidi"/>
                <w:bCs/>
                <w:sz w:val="20"/>
              </w:rPr>
              <w:t>Commonwealth payment to Victoria for Infant, Child and Family Health and Wellbeing Hubs; Adult Locals; Universal Aftercare and Distress Brief Intervention Trial)</w:t>
            </w:r>
          </w:p>
          <w:p w14:paraId="45141196" w14:textId="77777777" w:rsidR="006E4B45" w:rsidRPr="003E4C6C" w:rsidRDefault="006E4B45" w:rsidP="000324F4">
            <w:pPr>
              <w:widowControl/>
              <w:spacing w:after="0"/>
              <w:jc w:val="right"/>
              <w:rPr>
                <w:rFonts w:eastAsia="Times New Roman" w:cstheme="minorBidi"/>
                <w:iCs/>
                <w:sz w:val="20"/>
                <w:lang w:eastAsia="en-AU"/>
              </w:rPr>
            </w:pPr>
          </w:p>
          <w:p w14:paraId="2DF37DA9" w14:textId="77777777" w:rsidR="006E4B45" w:rsidRPr="003E4C6C" w:rsidRDefault="006E4B45" w:rsidP="000324F4">
            <w:pPr>
              <w:widowControl/>
              <w:spacing w:after="0"/>
              <w:jc w:val="right"/>
              <w:rPr>
                <w:rFonts w:eastAsia="Times New Roman" w:cstheme="minorBidi"/>
                <w:iCs/>
                <w:sz w:val="20"/>
                <w:lang w:eastAsia="en-AU"/>
              </w:rPr>
            </w:pPr>
            <w:r w:rsidRPr="003E4C6C">
              <w:rPr>
                <w:rFonts w:eastAsia="Times New Roman" w:cstheme="minorBidi"/>
                <w:iCs/>
                <w:sz w:val="20"/>
                <w:lang w:eastAsia="en-AU"/>
              </w:rPr>
              <w:t>$1,654,561 </w:t>
            </w:r>
            <w:r w:rsidRPr="003E4C6C">
              <w:rPr>
                <w:rFonts w:eastAsia="Times New Roman" w:cstheme="minorBidi"/>
                <w:iCs/>
                <w:sz w:val="20"/>
                <w:lang w:eastAsia="en-AU"/>
              </w:rPr>
              <w:br/>
              <w:t>(Victoria payment to the Commonwealth for Postvention)</w:t>
            </w:r>
          </w:p>
        </w:tc>
      </w:tr>
      <w:tr w:rsidR="006E4B45" w:rsidRPr="00900863" w14:paraId="67AC7731" w14:textId="77777777" w:rsidTr="7F6F52C8">
        <w:trPr>
          <w:trHeight w:val="513"/>
        </w:trPr>
        <w:tc>
          <w:tcPr>
            <w:tcW w:w="4778" w:type="dxa"/>
          </w:tcPr>
          <w:p w14:paraId="3C7194F8" w14:textId="77777777" w:rsidR="006E4B45" w:rsidRPr="00900863" w:rsidRDefault="006E4B45" w:rsidP="000324F4">
            <w:pPr>
              <w:pStyle w:val="Milestonetable"/>
              <w:rPr>
                <w:rFonts w:asciiTheme="minorHAnsi" w:hAnsiTheme="minorHAnsi" w:cstheme="minorHAnsi"/>
              </w:rPr>
            </w:pPr>
            <w:r w:rsidRPr="00900863">
              <w:rPr>
                <w:rFonts w:asciiTheme="minorHAnsi" w:hAnsiTheme="minorHAnsi" w:cstheme="minorHAnsi"/>
              </w:rPr>
              <w:t xml:space="preserve">Annual performance report  </w:t>
            </w:r>
          </w:p>
        </w:tc>
        <w:tc>
          <w:tcPr>
            <w:tcW w:w="6047" w:type="dxa"/>
          </w:tcPr>
          <w:p w14:paraId="6C6CD053" w14:textId="77777777" w:rsidR="006E4B45" w:rsidRPr="00900863" w:rsidRDefault="006E4B45" w:rsidP="000324F4">
            <w:pPr>
              <w:pStyle w:val="Milestonetable"/>
              <w:rPr>
                <w:rFonts w:asciiTheme="minorHAnsi" w:hAnsiTheme="minorHAnsi" w:cstheme="minorHAnsi"/>
                <w:b w:val="0"/>
                <w:bCs w:val="0"/>
              </w:rPr>
            </w:pPr>
            <w:r w:rsidRPr="00900863">
              <w:rPr>
                <w:rFonts w:asciiTheme="minorHAnsi" w:hAnsiTheme="minorHAnsi" w:cstheme="minorHAnsi"/>
                <w:b w:val="0"/>
                <w:bCs w:val="0"/>
              </w:rPr>
              <w:t>Performance report against the Joint Commonwealth-</w:t>
            </w:r>
            <w:r>
              <w:rPr>
                <w:rFonts w:asciiTheme="minorHAnsi" w:hAnsiTheme="minorHAnsi" w:cstheme="minorHAnsi"/>
                <w:b w:val="0"/>
                <w:bCs w:val="0"/>
              </w:rPr>
              <w:t xml:space="preserve">Victoria </w:t>
            </w:r>
            <w:r w:rsidRPr="00900863">
              <w:rPr>
                <w:rFonts w:asciiTheme="minorHAnsi" w:hAnsiTheme="minorHAnsi" w:cstheme="minorHAnsi"/>
                <w:b w:val="0"/>
                <w:bCs w:val="0"/>
              </w:rPr>
              <w:t>Implementation Plan and key deliverables for the period from 01/07/2024 to 30/06/2025.</w:t>
            </w:r>
          </w:p>
          <w:p w14:paraId="2580DF03" w14:textId="77777777" w:rsidR="006E4B45" w:rsidRPr="00900863" w:rsidRDefault="006E4B45" w:rsidP="219D5185">
            <w:pPr>
              <w:pStyle w:val="Milestonetable"/>
              <w:rPr>
                <w:rFonts w:asciiTheme="minorHAnsi" w:hAnsiTheme="minorHAnsi" w:cstheme="minorBidi"/>
                <w:b w:val="0"/>
                <w:bCs w:val="0"/>
              </w:rPr>
            </w:pPr>
            <w:r w:rsidRPr="219D5185">
              <w:rPr>
                <w:rFonts w:asciiTheme="minorHAnsi" w:hAnsiTheme="minorHAnsi" w:cstheme="minorBidi"/>
                <w:b w:val="0"/>
                <w:bCs w:val="0"/>
              </w:rPr>
              <w:t>Refer to Table 4 for detail of the requirements.</w:t>
            </w:r>
          </w:p>
        </w:tc>
        <w:tc>
          <w:tcPr>
            <w:tcW w:w="1972" w:type="dxa"/>
          </w:tcPr>
          <w:p w14:paraId="5BF84E6E" w14:textId="77777777" w:rsidR="006E4B45" w:rsidRPr="00900863" w:rsidRDefault="006E4B45" w:rsidP="000324F4">
            <w:pPr>
              <w:pStyle w:val="Milestonetable"/>
              <w:rPr>
                <w:rFonts w:asciiTheme="minorHAnsi" w:hAnsiTheme="minorHAnsi" w:cstheme="minorBidi"/>
                <w:b w:val="0"/>
                <w:bCs w:val="0"/>
              </w:rPr>
            </w:pPr>
            <w:r w:rsidRPr="2C392BD9">
              <w:rPr>
                <w:rFonts w:asciiTheme="minorHAnsi" w:hAnsiTheme="minorHAnsi" w:cstheme="minorBidi"/>
                <w:b w:val="0"/>
                <w:bCs w:val="0"/>
              </w:rPr>
              <w:t>31/</w:t>
            </w:r>
            <w:r>
              <w:rPr>
                <w:rFonts w:asciiTheme="minorHAnsi" w:hAnsiTheme="minorHAnsi" w:cstheme="minorBidi"/>
                <w:b w:val="0"/>
                <w:bCs w:val="0"/>
              </w:rPr>
              <w:t>08</w:t>
            </w:r>
            <w:r w:rsidRPr="2C392BD9">
              <w:rPr>
                <w:rFonts w:asciiTheme="minorHAnsi" w:hAnsiTheme="minorHAnsi" w:cstheme="minorBidi"/>
                <w:b w:val="0"/>
                <w:bCs w:val="0"/>
              </w:rPr>
              <w:t>/2025</w:t>
            </w:r>
          </w:p>
        </w:tc>
        <w:tc>
          <w:tcPr>
            <w:tcW w:w="1710" w:type="dxa"/>
          </w:tcPr>
          <w:p w14:paraId="5FE5B1B8" w14:textId="3DAA8B31" w:rsidR="006E4B45" w:rsidRPr="003E4C6C" w:rsidRDefault="006E4B45" w:rsidP="219D5185">
            <w:pPr>
              <w:widowControl/>
              <w:spacing w:after="0"/>
              <w:jc w:val="right"/>
              <w:rPr>
                <w:rFonts w:eastAsia="Times New Roman" w:cstheme="minorBidi"/>
                <w:sz w:val="20"/>
                <w:lang w:eastAsia="en-AU"/>
              </w:rPr>
            </w:pPr>
            <w:r w:rsidRPr="219D5185">
              <w:rPr>
                <w:rFonts w:eastAsia="Times New Roman" w:cstheme="minorBidi"/>
                <w:sz w:val="20"/>
                <w:lang w:eastAsia="en-AU"/>
              </w:rPr>
              <w:t>$</w:t>
            </w:r>
            <w:r w:rsidR="00B50760" w:rsidRPr="219D5185">
              <w:rPr>
                <w:rFonts w:ascii="Calibri" w:hAnsi="Calibri" w:cs="Calibri"/>
                <w:sz w:val="20"/>
              </w:rPr>
              <w:t>37,107,069</w:t>
            </w:r>
          </w:p>
          <w:p w14:paraId="09DFBEEE" w14:textId="77777777" w:rsidR="006E4B45" w:rsidRPr="003E4C6C" w:rsidRDefault="006E4B45" w:rsidP="000324F4">
            <w:pPr>
              <w:widowControl/>
              <w:spacing w:after="0"/>
              <w:jc w:val="right"/>
              <w:rPr>
                <w:rFonts w:eastAsia="Times New Roman" w:cstheme="minorBidi"/>
                <w:iCs/>
                <w:sz w:val="20"/>
                <w:lang w:eastAsia="en-AU"/>
              </w:rPr>
            </w:pPr>
            <w:r w:rsidRPr="003E4C6C">
              <w:rPr>
                <w:rFonts w:eastAsia="Times New Roman" w:cstheme="minorBidi"/>
                <w:iCs/>
                <w:sz w:val="20"/>
                <w:lang w:eastAsia="en-AU"/>
              </w:rPr>
              <w:t>(Commonwealth payment to Victoria for Infant, Child and Family Health and Wellbeing Hubs; Adult Locals and Universal Aftercare)</w:t>
            </w:r>
          </w:p>
        </w:tc>
      </w:tr>
      <w:tr w:rsidR="006E4B45" w:rsidRPr="00900863" w14:paraId="7D24C517" w14:textId="77777777" w:rsidTr="7F6F52C8">
        <w:trPr>
          <w:trHeight w:val="513"/>
        </w:trPr>
        <w:tc>
          <w:tcPr>
            <w:tcW w:w="4778" w:type="dxa"/>
          </w:tcPr>
          <w:p w14:paraId="5E657E9F" w14:textId="429DEA50" w:rsidR="006E4B45" w:rsidRPr="009B729B" w:rsidRDefault="006E4B45" w:rsidP="219D5185">
            <w:pPr>
              <w:pStyle w:val="Milestonetable"/>
              <w:rPr>
                <w:rFonts w:asciiTheme="minorHAnsi" w:hAnsiTheme="minorHAnsi" w:cstheme="minorBidi"/>
              </w:rPr>
            </w:pPr>
            <w:r w:rsidRPr="219D5185">
              <w:rPr>
                <w:rFonts w:asciiTheme="minorHAnsi" w:hAnsiTheme="minorHAnsi" w:cstheme="minorBidi"/>
              </w:rPr>
              <w:t xml:space="preserve">Distress </w:t>
            </w:r>
            <w:r w:rsidR="00645A97" w:rsidRPr="219D5185">
              <w:rPr>
                <w:rFonts w:asciiTheme="minorHAnsi" w:hAnsiTheme="minorHAnsi" w:cstheme="minorBidi"/>
              </w:rPr>
              <w:t>Brief Support</w:t>
            </w:r>
            <w:r w:rsidR="00040E25" w:rsidRPr="219D5185">
              <w:rPr>
                <w:rFonts w:asciiTheme="minorHAnsi" w:hAnsiTheme="minorHAnsi" w:cstheme="minorBidi"/>
              </w:rPr>
              <w:t xml:space="preserve"> Trial</w:t>
            </w:r>
            <w:r w:rsidRPr="219D5185">
              <w:rPr>
                <w:rFonts w:asciiTheme="minorHAnsi" w:hAnsiTheme="minorHAnsi" w:cstheme="minorBidi"/>
              </w:rPr>
              <w:t xml:space="preserve"> Evaluation </w:t>
            </w:r>
          </w:p>
        </w:tc>
        <w:tc>
          <w:tcPr>
            <w:tcW w:w="6047" w:type="dxa"/>
          </w:tcPr>
          <w:p w14:paraId="76B78235" w14:textId="77777777" w:rsidR="006E4B45" w:rsidRPr="009B729B" w:rsidRDefault="006E4B45" w:rsidP="219D5185">
            <w:pPr>
              <w:pStyle w:val="Milestonetable"/>
              <w:rPr>
                <w:rFonts w:asciiTheme="minorHAnsi" w:hAnsiTheme="minorHAnsi" w:cstheme="minorBidi"/>
                <w:b w:val="0"/>
                <w:bCs w:val="0"/>
              </w:rPr>
            </w:pPr>
            <w:r w:rsidRPr="219D5185">
              <w:rPr>
                <w:rFonts w:asciiTheme="minorHAnsi" w:hAnsiTheme="minorHAnsi" w:cstheme="minorBidi"/>
                <w:b w:val="0"/>
                <w:bCs w:val="0"/>
              </w:rPr>
              <w:t>National evaluation of Distress Intervention Trial conducted by independent party to inform future service provision.</w:t>
            </w:r>
          </w:p>
        </w:tc>
        <w:tc>
          <w:tcPr>
            <w:tcW w:w="1972" w:type="dxa"/>
          </w:tcPr>
          <w:p w14:paraId="790B3365" w14:textId="77777777" w:rsidR="006E4B45" w:rsidRPr="009B729B" w:rsidRDefault="006E4B45" w:rsidP="000324F4">
            <w:pPr>
              <w:pStyle w:val="Milestonetable"/>
              <w:rPr>
                <w:rFonts w:asciiTheme="minorHAnsi" w:hAnsiTheme="minorHAnsi" w:cstheme="minorHAnsi"/>
                <w:b w:val="0"/>
                <w:bCs w:val="0"/>
              </w:rPr>
            </w:pPr>
            <w:r w:rsidRPr="009B729B">
              <w:rPr>
                <w:rFonts w:asciiTheme="minorHAnsi" w:hAnsiTheme="minorHAnsi" w:cstheme="minorHAnsi"/>
                <w:b w:val="0"/>
                <w:bCs w:val="0"/>
              </w:rPr>
              <w:t>01/07/202</w:t>
            </w:r>
            <w:r>
              <w:rPr>
                <w:rFonts w:asciiTheme="minorHAnsi" w:hAnsiTheme="minorHAnsi" w:cstheme="minorHAnsi"/>
                <w:b w:val="0"/>
                <w:bCs w:val="0"/>
              </w:rPr>
              <w:t>6</w:t>
            </w:r>
          </w:p>
        </w:tc>
        <w:tc>
          <w:tcPr>
            <w:tcW w:w="1710" w:type="dxa"/>
          </w:tcPr>
          <w:p w14:paraId="3DBFAB8B" w14:textId="77777777" w:rsidR="006E4B45" w:rsidRPr="00E320CA" w:rsidRDefault="006E4B45" w:rsidP="000324F4">
            <w:pPr>
              <w:pStyle w:val="Milestonetable"/>
              <w:jc w:val="right"/>
              <w:rPr>
                <w:rFonts w:asciiTheme="minorHAnsi" w:hAnsiTheme="minorHAnsi" w:cstheme="minorBidi"/>
                <w:b w:val="0"/>
                <w:bCs w:val="0"/>
              </w:rPr>
            </w:pPr>
            <w:r w:rsidRPr="005D62CA">
              <w:rPr>
                <w:rFonts w:asciiTheme="minorHAnsi" w:hAnsiTheme="minorHAnsi" w:cstheme="minorBidi"/>
                <w:b w:val="0"/>
                <w:bCs w:val="0"/>
              </w:rPr>
              <w:t>Nil</w:t>
            </w:r>
          </w:p>
        </w:tc>
      </w:tr>
      <w:tr w:rsidR="006E4B45" w:rsidRPr="00900863" w14:paraId="1E0464A8" w14:textId="77777777" w:rsidTr="7F6F52C8">
        <w:trPr>
          <w:trHeight w:val="513"/>
        </w:trPr>
        <w:tc>
          <w:tcPr>
            <w:tcW w:w="4778" w:type="dxa"/>
          </w:tcPr>
          <w:p w14:paraId="06A9FC25" w14:textId="77777777" w:rsidR="006E4B45" w:rsidRPr="00900863" w:rsidRDefault="006E4B45" w:rsidP="000324F4">
            <w:pPr>
              <w:pStyle w:val="Milestonetable"/>
              <w:rPr>
                <w:rFonts w:asciiTheme="minorHAnsi" w:hAnsiTheme="minorHAnsi" w:cstheme="minorHAnsi"/>
              </w:rPr>
            </w:pPr>
            <w:r w:rsidRPr="00900863">
              <w:rPr>
                <w:rFonts w:asciiTheme="minorHAnsi" w:hAnsiTheme="minorHAnsi" w:cstheme="minorHAnsi"/>
              </w:rPr>
              <w:t xml:space="preserve">Annual performance report  </w:t>
            </w:r>
          </w:p>
        </w:tc>
        <w:tc>
          <w:tcPr>
            <w:tcW w:w="6047" w:type="dxa"/>
          </w:tcPr>
          <w:p w14:paraId="423AC36D" w14:textId="77777777" w:rsidR="006E4B45" w:rsidRPr="00900863" w:rsidRDefault="006E4B45" w:rsidP="000324F4">
            <w:pPr>
              <w:pStyle w:val="Milestonetable"/>
              <w:rPr>
                <w:rFonts w:asciiTheme="minorHAnsi" w:hAnsiTheme="minorHAnsi" w:cstheme="minorHAnsi"/>
                <w:b w:val="0"/>
                <w:bCs w:val="0"/>
              </w:rPr>
            </w:pPr>
            <w:r w:rsidRPr="00900863">
              <w:rPr>
                <w:rFonts w:asciiTheme="minorHAnsi" w:hAnsiTheme="minorHAnsi" w:cstheme="minorHAnsi"/>
                <w:b w:val="0"/>
                <w:bCs w:val="0"/>
              </w:rPr>
              <w:t>Performance report against the Joint Commonwealth-</w:t>
            </w:r>
            <w:r>
              <w:rPr>
                <w:rFonts w:asciiTheme="minorHAnsi" w:hAnsiTheme="minorHAnsi" w:cstheme="minorHAnsi"/>
                <w:b w:val="0"/>
                <w:bCs w:val="0"/>
              </w:rPr>
              <w:t xml:space="preserve">Victoria </w:t>
            </w:r>
            <w:r w:rsidRPr="00900863">
              <w:rPr>
                <w:rFonts w:asciiTheme="minorHAnsi" w:hAnsiTheme="minorHAnsi" w:cstheme="minorHAnsi"/>
                <w:b w:val="0"/>
                <w:bCs w:val="0"/>
              </w:rPr>
              <w:t>Implementation Plan and key deliverables for the period from 01/07/2025 to 30/06/2026.</w:t>
            </w:r>
          </w:p>
          <w:p w14:paraId="6367F7F9" w14:textId="77777777" w:rsidR="006E4B45" w:rsidRPr="00900863" w:rsidRDefault="006E4B45" w:rsidP="219D5185">
            <w:pPr>
              <w:pStyle w:val="Milestonetable"/>
              <w:rPr>
                <w:rFonts w:asciiTheme="minorHAnsi" w:hAnsiTheme="minorHAnsi" w:cstheme="minorBidi"/>
                <w:b w:val="0"/>
                <w:bCs w:val="0"/>
              </w:rPr>
            </w:pPr>
            <w:r w:rsidRPr="219D5185">
              <w:rPr>
                <w:rFonts w:asciiTheme="minorHAnsi" w:hAnsiTheme="minorHAnsi" w:cstheme="minorBidi"/>
                <w:b w:val="0"/>
                <w:bCs w:val="0"/>
              </w:rPr>
              <w:t>Refer to Table 4 for detail of the requirements.</w:t>
            </w:r>
          </w:p>
        </w:tc>
        <w:tc>
          <w:tcPr>
            <w:tcW w:w="1972" w:type="dxa"/>
          </w:tcPr>
          <w:p w14:paraId="26A10152" w14:textId="77777777" w:rsidR="006E4B45" w:rsidRPr="00900863" w:rsidRDefault="006E4B45" w:rsidP="000324F4">
            <w:pPr>
              <w:pStyle w:val="Milestonetable"/>
              <w:rPr>
                <w:rFonts w:asciiTheme="minorHAnsi" w:hAnsiTheme="minorHAnsi" w:cstheme="minorBidi"/>
                <w:b w:val="0"/>
                <w:bCs w:val="0"/>
              </w:rPr>
            </w:pPr>
            <w:r w:rsidRPr="2C392BD9">
              <w:rPr>
                <w:rFonts w:asciiTheme="minorHAnsi" w:hAnsiTheme="minorHAnsi" w:cstheme="minorBidi"/>
                <w:b w:val="0"/>
                <w:bCs w:val="0"/>
              </w:rPr>
              <w:t>31/</w:t>
            </w:r>
            <w:r>
              <w:rPr>
                <w:rFonts w:asciiTheme="minorHAnsi" w:hAnsiTheme="minorHAnsi" w:cstheme="minorBidi"/>
                <w:b w:val="0"/>
                <w:bCs w:val="0"/>
              </w:rPr>
              <w:t>08</w:t>
            </w:r>
            <w:r w:rsidRPr="2C392BD9">
              <w:rPr>
                <w:rFonts w:asciiTheme="minorHAnsi" w:hAnsiTheme="minorHAnsi" w:cstheme="minorBidi"/>
                <w:b w:val="0"/>
                <w:bCs w:val="0"/>
              </w:rPr>
              <w:t>/2026</w:t>
            </w:r>
          </w:p>
        </w:tc>
        <w:tc>
          <w:tcPr>
            <w:tcW w:w="1710" w:type="dxa"/>
          </w:tcPr>
          <w:p w14:paraId="4CB26FF4" w14:textId="4E814049" w:rsidR="006E4B45" w:rsidRPr="003E4C6C" w:rsidRDefault="073A470F" w:rsidP="7F6F52C8">
            <w:pPr>
              <w:widowControl/>
              <w:spacing w:after="0"/>
              <w:jc w:val="right"/>
              <w:rPr>
                <w:rFonts w:eastAsia="Times New Roman" w:cstheme="minorBidi"/>
                <w:sz w:val="20"/>
                <w:lang w:eastAsia="en-AU"/>
              </w:rPr>
            </w:pPr>
            <w:r w:rsidRPr="7F6F52C8">
              <w:rPr>
                <w:rFonts w:eastAsia="Times New Roman" w:cstheme="minorBidi"/>
                <w:sz w:val="20"/>
                <w:lang w:eastAsia="en-AU"/>
              </w:rPr>
              <w:t>$</w:t>
            </w:r>
            <w:r w:rsidR="1AF31943" w:rsidRPr="7F6F52C8">
              <w:rPr>
                <w:rFonts w:eastAsia="Times New Roman" w:cstheme="minorBidi"/>
                <w:sz w:val="20"/>
                <w:lang w:eastAsia="en-AU"/>
              </w:rPr>
              <w:t>41,198,594</w:t>
            </w:r>
            <w:r w:rsidR="240C7CE1" w:rsidRPr="7F6F52C8">
              <w:rPr>
                <w:rFonts w:eastAsia="Times New Roman" w:cstheme="minorBidi"/>
                <w:sz w:val="20"/>
                <w:lang w:eastAsia="en-AU"/>
              </w:rPr>
              <w:t xml:space="preserve"> </w:t>
            </w:r>
            <w:r w:rsidR="522D4C4A" w:rsidRPr="7F6F52C8">
              <w:rPr>
                <w:rFonts w:eastAsia="Times New Roman" w:cstheme="minorBidi"/>
                <w:sz w:val="20"/>
                <w:lang w:eastAsia="en-AU"/>
              </w:rPr>
              <w:t xml:space="preserve">(Commonwealth payment to Victoria for Additional Aftercare Services, Adult and Older Adult Local Mental Health Services, Distress Intervention Trial Program, Infant, Child and Family Health and Wellbeing hubs, </w:t>
            </w:r>
            <w:r w:rsidR="2657CB7D" w:rsidRPr="7F6F52C8">
              <w:rPr>
                <w:rFonts w:eastAsia="Times New Roman" w:cstheme="minorBidi"/>
                <w:sz w:val="20"/>
                <w:lang w:eastAsia="en-AU"/>
              </w:rPr>
              <w:t>and Outside Hospital Trial)</w:t>
            </w:r>
          </w:p>
          <w:p w14:paraId="2DEA50CD" w14:textId="4688C30F" w:rsidR="006E4B45" w:rsidRPr="003E4C6C" w:rsidRDefault="006E4B45" w:rsidP="219D5185">
            <w:pPr>
              <w:widowControl/>
              <w:spacing w:after="0"/>
              <w:jc w:val="right"/>
              <w:rPr>
                <w:rFonts w:eastAsia="Times New Roman" w:cstheme="minorBidi"/>
                <w:sz w:val="20"/>
                <w:lang w:eastAsia="en-AU"/>
              </w:rPr>
            </w:pPr>
          </w:p>
          <w:p w14:paraId="09BC75EB" w14:textId="09FF0A06" w:rsidR="006E4B45" w:rsidRPr="003E4C6C" w:rsidRDefault="2852AC37" w:rsidP="219D5185">
            <w:pPr>
              <w:widowControl/>
              <w:spacing w:after="0"/>
              <w:jc w:val="right"/>
              <w:rPr>
                <w:rFonts w:eastAsia="Times New Roman" w:cstheme="minorBidi"/>
                <w:sz w:val="20"/>
                <w:lang w:eastAsia="en-AU"/>
              </w:rPr>
            </w:pPr>
            <w:r w:rsidRPr="219D5185">
              <w:rPr>
                <w:rFonts w:eastAsia="Times New Roman" w:cstheme="minorBidi"/>
                <w:sz w:val="20"/>
                <w:lang w:eastAsia="en-AU"/>
              </w:rPr>
              <w:t>$1,729,850 (Victoria payment to the Commonwealth for postvention)</w:t>
            </w:r>
          </w:p>
        </w:tc>
      </w:tr>
      <w:tr w:rsidR="00040E25" w:rsidRPr="00900863" w14:paraId="18DDBBCC" w14:textId="77777777" w:rsidTr="7F6F52C8">
        <w:trPr>
          <w:trHeight w:val="513"/>
        </w:trPr>
        <w:tc>
          <w:tcPr>
            <w:tcW w:w="4778" w:type="dxa"/>
          </w:tcPr>
          <w:p w14:paraId="634E4663" w14:textId="6A9D5F61" w:rsidR="00040E25" w:rsidRPr="00900863" w:rsidRDefault="00040E25" w:rsidP="219D5185">
            <w:pPr>
              <w:pStyle w:val="Milestonetable"/>
              <w:rPr>
                <w:rFonts w:asciiTheme="minorHAnsi" w:hAnsiTheme="minorHAnsi" w:cstheme="minorBidi"/>
              </w:rPr>
            </w:pPr>
            <w:r w:rsidRPr="219D5185">
              <w:rPr>
                <w:rFonts w:asciiTheme="minorHAnsi" w:hAnsiTheme="minorHAnsi" w:cstheme="minorBidi"/>
              </w:rPr>
              <w:t xml:space="preserve">Annual performance report  </w:t>
            </w:r>
          </w:p>
        </w:tc>
        <w:tc>
          <w:tcPr>
            <w:tcW w:w="6047" w:type="dxa"/>
          </w:tcPr>
          <w:p w14:paraId="3260FE6E" w14:textId="3C92D09E" w:rsidR="00040E25" w:rsidRPr="00900863" w:rsidRDefault="00040E25" w:rsidP="219D5185">
            <w:pPr>
              <w:pStyle w:val="Milestonetable"/>
              <w:rPr>
                <w:rFonts w:asciiTheme="minorHAnsi" w:hAnsiTheme="minorHAnsi" w:cstheme="minorBidi"/>
                <w:b w:val="0"/>
                <w:bCs w:val="0"/>
              </w:rPr>
            </w:pPr>
            <w:r w:rsidRPr="219D5185">
              <w:rPr>
                <w:rFonts w:asciiTheme="minorHAnsi" w:hAnsiTheme="minorHAnsi" w:cstheme="minorBidi"/>
                <w:b w:val="0"/>
                <w:bCs w:val="0"/>
              </w:rPr>
              <w:t>Performance report against the Joint Commonwealth-Victoria Implementation Plan and key deliverables for the period from 01/07/2026 to 30/06/2027.</w:t>
            </w:r>
          </w:p>
          <w:p w14:paraId="4CEF27D8" w14:textId="4E0D94E8" w:rsidR="00040E25" w:rsidRPr="00900863" w:rsidRDefault="00040E25" w:rsidP="219D5185">
            <w:pPr>
              <w:pStyle w:val="Milestonetable"/>
              <w:rPr>
                <w:rFonts w:asciiTheme="minorHAnsi" w:hAnsiTheme="minorHAnsi" w:cstheme="minorBidi"/>
                <w:b w:val="0"/>
                <w:bCs w:val="0"/>
              </w:rPr>
            </w:pPr>
            <w:r w:rsidRPr="219D5185">
              <w:rPr>
                <w:rFonts w:asciiTheme="minorHAnsi" w:hAnsiTheme="minorHAnsi" w:cstheme="minorBidi"/>
                <w:b w:val="0"/>
                <w:bCs w:val="0"/>
              </w:rPr>
              <w:t>Refer to Table 4 for detail of the requirements.</w:t>
            </w:r>
          </w:p>
        </w:tc>
        <w:tc>
          <w:tcPr>
            <w:tcW w:w="1972" w:type="dxa"/>
          </w:tcPr>
          <w:p w14:paraId="0DD8682E" w14:textId="7A16650A" w:rsidR="00040E25" w:rsidRPr="2C392BD9" w:rsidRDefault="00040E25" w:rsidP="219D5185">
            <w:pPr>
              <w:pStyle w:val="Milestonetable"/>
              <w:rPr>
                <w:rFonts w:asciiTheme="minorHAnsi" w:hAnsiTheme="minorHAnsi" w:cstheme="minorBidi"/>
                <w:b w:val="0"/>
                <w:bCs w:val="0"/>
              </w:rPr>
            </w:pPr>
            <w:r w:rsidRPr="219D5185">
              <w:rPr>
                <w:rFonts w:asciiTheme="minorHAnsi" w:hAnsiTheme="minorHAnsi" w:cstheme="minorBidi"/>
                <w:b w:val="0"/>
                <w:bCs w:val="0"/>
              </w:rPr>
              <w:t>31/08/2026</w:t>
            </w:r>
          </w:p>
        </w:tc>
        <w:tc>
          <w:tcPr>
            <w:tcW w:w="1710" w:type="dxa"/>
          </w:tcPr>
          <w:p w14:paraId="422176F7" w14:textId="482F2BE4" w:rsidR="00040E25" w:rsidRPr="003E4C6C" w:rsidRDefault="00040E25" w:rsidP="219D5185">
            <w:pPr>
              <w:widowControl/>
              <w:spacing w:after="0"/>
              <w:jc w:val="right"/>
              <w:rPr>
                <w:rFonts w:eastAsia="Times New Roman" w:cstheme="minorBidi"/>
                <w:sz w:val="20"/>
                <w:lang w:eastAsia="en-AU"/>
              </w:rPr>
            </w:pPr>
            <w:r w:rsidRPr="219D5185">
              <w:rPr>
                <w:rFonts w:eastAsia="Times New Roman" w:cstheme="minorBidi"/>
                <w:sz w:val="20"/>
                <w:lang w:eastAsia="en-AU"/>
              </w:rPr>
              <w:t>Nil</w:t>
            </w:r>
          </w:p>
        </w:tc>
      </w:tr>
      <w:tr w:rsidR="006E4B45" w:rsidRPr="00900863" w14:paraId="35342497" w14:textId="77777777" w:rsidTr="7F6F52C8">
        <w:trPr>
          <w:trHeight w:val="513"/>
        </w:trPr>
        <w:tc>
          <w:tcPr>
            <w:tcW w:w="4778" w:type="dxa"/>
          </w:tcPr>
          <w:p w14:paraId="299641EC" w14:textId="77777777" w:rsidR="006E4B45" w:rsidRPr="00900863" w:rsidRDefault="006E4B45" w:rsidP="000324F4">
            <w:pPr>
              <w:pStyle w:val="Milestonetable"/>
              <w:rPr>
                <w:rFonts w:asciiTheme="minorHAnsi" w:hAnsiTheme="minorHAnsi" w:cstheme="minorHAnsi"/>
              </w:rPr>
            </w:pPr>
            <w:r w:rsidRPr="00900863">
              <w:rPr>
                <w:rFonts w:asciiTheme="minorHAnsi" w:hAnsiTheme="minorHAnsi" w:cstheme="minorHAnsi"/>
              </w:rPr>
              <w:t xml:space="preserve">Final report </w:t>
            </w:r>
          </w:p>
        </w:tc>
        <w:tc>
          <w:tcPr>
            <w:tcW w:w="6047" w:type="dxa"/>
          </w:tcPr>
          <w:p w14:paraId="046BB9C1" w14:textId="278415CE" w:rsidR="006E4B45" w:rsidRPr="00C12D83" w:rsidRDefault="006E4B45" w:rsidP="219D5185">
            <w:pPr>
              <w:pStyle w:val="Milestonetable"/>
              <w:rPr>
                <w:rFonts w:asciiTheme="minorHAnsi" w:hAnsiTheme="minorHAnsi" w:cstheme="minorBidi"/>
                <w:b w:val="0"/>
                <w:bCs w:val="0"/>
              </w:rPr>
            </w:pPr>
            <w:r w:rsidRPr="219D5185">
              <w:rPr>
                <w:rFonts w:asciiTheme="minorHAnsi" w:hAnsiTheme="minorHAnsi" w:cstheme="minorBidi"/>
                <w:b w:val="0"/>
                <w:bCs w:val="0"/>
              </w:rPr>
              <w:t>Final report for the period from execution of this Schedule to 30/06/202</w:t>
            </w:r>
            <w:r w:rsidR="00040E25" w:rsidRPr="219D5185">
              <w:rPr>
                <w:rFonts w:asciiTheme="minorHAnsi" w:hAnsiTheme="minorHAnsi" w:cstheme="minorBidi"/>
                <w:b w:val="0"/>
                <w:bCs w:val="0"/>
              </w:rPr>
              <w:t>7</w:t>
            </w:r>
            <w:r w:rsidRPr="219D5185">
              <w:rPr>
                <w:rFonts w:asciiTheme="minorHAnsi" w:hAnsiTheme="minorHAnsi" w:cstheme="minorBidi"/>
                <w:b w:val="0"/>
                <w:bCs w:val="0"/>
              </w:rPr>
              <w:t xml:space="preserve">. </w:t>
            </w:r>
          </w:p>
          <w:p w14:paraId="33C1CB60" w14:textId="77777777" w:rsidR="006E4B45" w:rsidRPr="00900863" w:rsidRDefault="006E4B45" w:rsidP="219D5185">
            <w:pPr>
              <w:pStyle w:val="Milestonetable"/>
              <w:rPr>
                <w:rFonts w:asciiTheme="minorHAnsi" w:hAnsiTheme="minorHAnsi" w:cstheme="minorBidi"/>
                <w:b w:val="0"/>
                <w:bCs w:val="0"/>
              </w:rPr>
            </w:pPr>
            <w:r w:rsidRPr="219D5185">
              <w:rPr>
                <w:rFonts w:asciiTheme="minorHAnsi" w:hAnsiTheme="minorHAnsi" w:cstheme="minorBidi"/>
                <w:b w:val="0"/>
                <w:bCs w:val="0"/>
              </w:rPr>
              <w:t xml:space="preserve">Refer to Table 5 for detail of the requirements. </w:t>
            </w:r>
          </w:p>
        </w:tc>
        <w:tc>
          <w:tcPr>
            <w:tcW w:w="1972" w:type="dxa"/>
          </w:tcPr>
          <w:p w14:paraId="2CA3E670" w14:textId="11E1AB62" w:rsidR="006E4B45" w:rsidRPr="00900863" w:rsidRDefault="006E4B45" w:rsidP="219D5185">
            <w:pPr>
              <w:pStyle w:val="Milestonetable"/>
              <w:rPr>
                <w:rFonts w:asciiTheme="minorHAnsi" w:hAnsiTheme="minorHAnsi" w:cstheme="minorBidi"/>
                <w:b w:val="0"/>
                <w:bCs w:val="0"/>
              </w:rPr>
            </w:pPr>
            <w:r w:rsidRPr="219D5185">
              <w:rPr>
                <w:rFonts w:asciiTheme="minorHAnsi" w:hAnsiTheme="minorHAnsi" w:cstheme="minorBidi"/>
                <w:b w:val="0"/>
                <w:bCs w:val="0"/>
              </w:rPr>
              <w:t>31/08/202</w:t>
            </w:r>
            <w:r w:rsidR="00040E25" w:rsidRPr="219D5185">
              <w:rPr>
                <w:rFonts w:asciiTheme="minorHAnsi" w:hAnsiTheme="minorHAnsi" w:cstheme="minorBidi"/>
                <w:b w:val="0"/>
                <w:bCs w:val="0"/>
              </w:rPr>
              <w:t>7</w:t>
            </w:r>
          </w:p>
          <w:p w14:paraId="26CC11E2" w14:textId="77777777" w:rsidR="006E4B45" w:rsidRPr="00900863" w:rsidRDefault="006E4B45" w:rsidP="000324F4">
            <w:pPr>
              <w:pStyle w:val="Milestonetable"/>
              <w:rPr>
                <w:rFonts w:asciiTheme="minorHAnsi" w:hAnsiTheme="minorHAnsi" w:cstheme="minorHAnsi"/>
                <w:b w:val="0"/>
                <w:bCs w:val="0"/>
              </w:rPr>
            </w:pPr>
          </w:p>
        </w:tc>
        <w:tc>
          <w:tcPr>
            <w:tcW w:w="1710" w:type="dxa"/>
          </w:tcPr>
          <w:p w14:paraId="7DD6D19B" w14:textId="77777777" w:rsidR="006E4B45" w:rsidRPr="00E320CA" w:rsidRDefault="006E4B45" w:rsidP="000324F4">
            <w:pPr>
              <w:pStyle w:val="Milestonetable"/>
              <w:jc w:val="right"/>
              <w:rPr>
                <w:rFonts w:asciiTheme="minorHAnsi" w:hAnsiTheme="minorHAnsi" w:cstheme="minorBidi"/>
                <w:b w:val="0"/>
                <w:bCs w:val="0"/>
              </w:rPr>
            </w:pPr>
            <w:r w:rsidRPr="005D62CA">
              <w:rPr>
                <w:rFonts w:asciiTheme="minorHAnsi" w:hAnsiTheme="minorHAnsi" w:cstheme="minorBidi"/>
                <w:b w:val="0"/>
                <w:bCs w:val="0"/>
              </w:rPr>
              <w:t>Nil</w:t>
            </w:r>
          </w:p>
        </w:tc>
      </w:tr>
    </w:tbl>
    <w:p w14:paraId="454852E0" w14:textId="77777777" w:rsidR="005D62CA" w:rsidRDefault="005D62CA" w:rsidP="005D62CA">
      <w:pPr>
        <w:rPr>
          <w:rFonts w:cstheme="minorHAnsi"/>
          <w:b/>
          <w:sz w:val="24"/>
          <w:szCs w:val="24"/>
        </w:rPr>
        <w:sectPr w:rsidR="005D62CA" w:rsidSect="00305112">
          <w:pgSz w:w="16838" w:h="11906" w:orient="landscape" w:code="9"/>
          <w:pgMar w:top="567" w:right="1134" w:bottom="1134" w:left="1134" w:header="709" w:footer="709" w:gutter="0"/>
          <w:pgNumType w:chapStyle="9"/>
          <w:cols w:space="708"/>
          <w:titlePg/>
          <w:docGrid w:linePitch="360"/>
        </w:sectPr>
      </w:pPr>
    </w:p>
    <w:p w14:paraId="4974B062" w14:textId="32AB5359" w:rsidR="001069A2" w:rsidRPr="00900863" w:rsidRDefault="1E265CED" w:rsidP="54CB3774">
      <w:pPr>
        <w:rPr>
          <w:b/>
          <w:bCs/>
          <w:sz w:val="24"/>
          <w:szCs w:val="24"/>
        </w:rPr>
      </w:pPr>
      <w:r w:rsidRPr="54CB3774">
        <w:rPr>
          <w:rFonts w:cstheme="minorBidi"/>
          <w:b/>
          <w:bCs/>
          <w:sz w:val="24"/>
          <w:szCs w:val="24"/>
        </w:rPr>
        <w:t xml:space="preserve">Table </w:t>
      </w:r>
      <w:r w:rsidR="6AC56C22" w:rsidRPr="54CB3774">
        <w:rPr>
          <w:rFonts w:cstheme="minorBidi"/>
          <w:b/>
          <w:bCs/>
          <w:sz w:val="24"/>
          <w:szCs w:val="24"/>
        </w:rPr>
        <w:t>4</w:t>
      </w:r>
      <w:r w:rsidRPr="54CB3774">
        <w:rPr>
          <w:rFonts w:cstheme="minorBidi"/>
          <w:b/>
          <w:bCs/>
          <w:sz w:val="24"/>
          <w:szCs w:val="24"/>
        </w:rPr>
        <w:t xml:space="preserve">: Performance reporting requirements  </w:t>
      </w:r>
    </w:p>
    <w:tbl>
      <w:tblPr>
        <w:tblW w:w="5448"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967"/>
        <w:gridCol w:w="7513"/>
      </w:tblGrid>
      <w:tr w:rsidR="00523EC8" w:rsidRPr="00263CF9" w14:paraId="6A33247B" w14:textId="77777777" w:rsidTr="00536E6A">
        <w:trPr>
          <w:tblHeader/>
        </w:trPr>
        <w:tc>
          <w:tcPr>
            <w:tcW w:w="2967" w:type="dxa"/>
            <w:shd w:val="clear" w:color="auto" w:fill="F2F2F2" w:themeFill="background1" w:themeFillShade="F2"/>
          </w:tcPr>
          <w:p w14:paraId="6A521CF8" w14:textId="77777777" w:rsidR="00523EC8" w:rsidRPr="00900863" w:rsidRDefault="00523EC8" w:rsidP="00536E6A">
            <w:pPr>
              <w:pStyle w:val="Tableformat"/>
              <w:rPr>
                <w:rFonts w:asciiTheme="minorHAnsi" w:hAnsiTheme="minorHAnsi" w:cstheme="minorHAnsi"/>
                <w:b w:val="0"/>
                <w:sz w:val="20"/>
                <w:szCs w:val="20"/>
              </w:rPr>
            </w:pPr>
            <w:r w:rsidRPr="00900863">
              <w:rPr>
                <w:rFonts w:asciiTheme="minorHAnsi" w:hAnsiTheme="minorHAnsi" w:cstheme="minorHAnsi"/>
                <w:sz w:val="20"/>
                <w:szCs w:val="20"/>
              </w:rPr>
              <w:t xml:space="preserve">Initiative </w:t>
            </w:r>
          </w:p>
        </w:tc>
        <w:tc>
          <w:tcPr>
            <w:tcW w:w="7513" w:type="dxa"/>
            <w:shd w:val="clear" w:color="auto" w:fill="F2F2F2" w:themeFill="background1" w:themeFillShade="F2"/>
          </w:tcPr>
          <w:p w14:paraId="6B2E4C54" w14:textId="77777777" w:rsidR="00523EC8" w:rsidRPr="00900863" w:rsidRDefault="00523EC8" w:rsidP="00536E6A">
            <w:pPr>
              <w:pStyle w:val="Tableformat"/>
              <w:rPr>
                <w:rFonts w:asciiTheme="minorHAnsi" w:hAnsiTheme="minorHAnsi" w:cstheme="minorHAnsi"/>
                <w:b w:val="0"/>
                <w:sz w:val="20"/>
                <w:szCs w:val="20"/>
              </w:rPr>
            </w:pPr>
            <w:r w:rsidRPr="00900863">
              <w:rPr>
                <w:rFonts w:asciiTheme="minorHAnsi" w:hAnsiTheme="minorHAnsi" w:cstheme="minorHAnsi"/>
                <w:sz w:val="20"/>
                <w:szCs w:val="20"/>
              </w:rPr>
              <w:t xml:space="preserve">Requirements </w:t>
            </w:r>
          </w:p>
        </w:tc>
      </w:tr>
      <w:tr w:rsidR="00523EC8" w:rsidRPr="00263CF9" w14:paraId="1DAACC45" w14:textId="77777777" w:rsidTr="00536E6A">
        <w:trPr>
          <w:trHeight w:val="514"/>
        </w:trPr>
        <w:tc>
          <w:tcPr>
            <w:tcW w:w="2967" w:type="dxa"/>
            <w:tcBorders>
              <w:top w:val="single" w:sz="8" w:space="0" w:color="4F81BD"/>
              <w:left w:val="single" w:sz="8" w:space="0" w:color="4F81BD"/>
              <w:right w:val="single" w:sz="8" w:space="0" w:color="4F81BD"/>
            </w:tcBorders>
          </w:tcPr>
          <w:p w14:paraId="470B672A" w14:textId="70B2879C" w:rsidR="00523EC8" w:rsidRPr="00263CF9" w:rsidRDefault="001A7AB7" w:rsidP="00536E6A">
            <w:pPr>
              <w:pStyle w:val="Milestonetable"/>
              <w:rPr>
                <w:rFonts w:asciiTheme="minorHAnsi" w:hAnsiTheme="minorHAnsi" w:cstheme="minorHAnsi"/>
              </w:rPr>
            </w:pPr>
            <w:r w:rsidRPr="00495CF7">
              <w:rPr>
                <w:rFonts w:asciiTheme="minorHAnsi" w:hAnsiTheme="minorHAnsi" w:cstheme="minorHAnsi"/>
              </w:rPr>
              <w:t>New community-based mental health and wellbeing services for adults</w:t>
            </w:r>
            <w:r w:rsidR="002479A9" w:rsidRPr="00495CF7">
              <w:rPr>
                <w:rFonts w:asciiTheme="minorHAnsi" w:hAnsiTheme="minorHAnsi" w:cstheme="minorHAnsi"/>
              </w:rPr>
              <w:t xml:space="preserve"> </w:t>
            </w:r>
          </w:p>
        </w:tc>
        <w:tc>
          <w:tcPr>
            <w:tcW w:w="7513" w:type="dxa"/>
            <w:tcBorders>
              <w:top w:val="single" w:sz="8" w:space="0" w:color="4F81BD"/>
              <w:left w:val="single" w:sz="8" w:space="0" w:color="4F81BD"/>
              <w:bottom w:val="single" w:sz="8" w:space="0" w:color="4F81BD"/>
              <w:right w:val="single" w:sz="8" w:space="0" w:color="4F81BD"/>
            </w:tcBorders>
          </w:tcPr>
          <w:p w14:paraId="1B817FFD" w14:textId="692B7173" w:rsidR="00523EC8" w:rsidRDefault="00523EC8" w:rsidP="003D5721">
            <w:pPr>
              <w:pStyle w:val="Milestonetable"/>
              <w:numPr>
                <w:ilvl w:val="0"/>
                <w:numId w:val="6"/>
              </w:numPr>
              <w:ind w:left="455"/>
              <w:rPr>
                <w:rFonts w:asciiTheme="minorHAnsi" w:hAnsiTheme="minorHAnsi" w:cstheme="minorHAnsi"/>
                <w:b w:val="0"/>
              </w:rPr>
            </w:pPr>
            <w:r w:rsidRPr="00E213EE">
              <w:rPr>
                <w:rFonts w:asciiTheme="minorHAnsi" w:hAnsiTheme="minorHAnsi" w:cstheme="minorHAnsi"/>
                <w:b w:val="0"/>
              </w:rPr>
              <w:t>Performance report against key deliverables</w:t>
            </w:r>
            <w:r>
              <w:rPr>
                <w:rFonts w:asciiTheme="minorHAnsi" w:hAnsiTheme="minorHAnsi" w:cstheme="minorHAnsi"/>
                <w:b w:val="0"/>
              </w:rPr>
              <w:t xml:space="preserve"> </w:t>
            </w:r>
            <w:r w:rsidRPr="00E213EE">
              <w:rPr>
                <w:rFonts w:asciiTheme="minorHAnsi" w:hAnsiTheme="minorHAnsi" w:cstheme="minorHAnsi"/>
                <w:b w:val="0"/>
              </w:rPr>
              <w:t xml:space="preserve">and timeframes as outlined in the Joint Commonwealth-Victoria Implementation Plan. </w:t>
            </w:r>
          </w:p>
          <w:p w14:paraId="5217DC8F" w14:textId="0C0969C8" w:rsidR="00523EC8" w:rsidRPr="00E213EE" w:rsidDel="005666E8" w:rsidRDefault="00523EC8" w:rsidP="003D5721">
            <w:pPr>
              <w:pStyle w:val="Milestonetable"/>
              <w:numPr>
                <w:ilvl w:val="0"/>
                <w:numId w:val="6"/>
              </w:numPr>
              <w:ind w:left="455"/>
              <w:rPr>
                <w:rFonts w:asciiTheme="minorHAnsi" w:hAnsiTheme="minorHAnsi" w:cstheme="minorHAnsi"/>
                <w:b w:val="0"/>
              </w:rPr>
            </w:pPr>
            <w:r w:rsidRPr="00E213EE" w:rsidDel="005666E8">
              <w:rPr>
                <w:rFonts w:asciiTheme="minorHAnsi" w:hAnsiTheme="minorHAnsi" w:cstheme="minorHAnsi"/>
                <w:b w:val="0"/>
              </w:rPr>
              <w:t>Performance reports against Key Performance Indicators developed through the National Agreement</w:t>
            </w:r>
            <w:r w:rsidR="00C14831">
              <w:rPr>
                <w:rFonts w:asciiTheme="minorHAnsi" w:hAnsiTheme="minorHAnsi" w:cstheme="minorHAnsi"/>
                <w:b w:val="0"/>
              </w:rPr>
              <w:t xml:space="preserve"> when available</w:t>
            </w:r>
            <w:r w:rsidR="004B360E">
              <w:rPr>
                <w:rFonts w:asciiTheme="minorHAnsi" w:hAnsiTheme="minorHAnsi" w:cstheme="minorHAnsi"/>
                <w:b w:val="0"/>
              </w:rPr>
              <w:t xml:space="preserve"> and consistent with Primary Mental Health Care Minimum Da</w:t>
            </w:r>
            <w:r w:rsidR="00E320CA">
              <w:rPr>
                <w:rFonts w:asciiTheme="minorHAnsi" w:hAnsiTheme="minorHAnsi" w:cstheme="minorHAnsi"/>
                <w:b w:val="0"/>
              </w:rPr>
              <w:t>t</w:t>
            </w:r>
            <w:r w:rsidR="004B360E">
              <w:rPr>
                <w:rFonts w:asciiTheme="minorHAnsi" w:hAnsiTheme="minorHAnsi" w:cstheme="minorHAnsi"/>
                <w:b w:val="0"/>
              </w:rPr>
              <w:t>a Set (PMHC MDS)</w:t>
            </w:r>
            <w:r w:rsidRPr="00E213EE" w:rsidDel="005666E8">
              <w:rPr>
                <w:rFonts w:asciiTheme="minorHAnsi" w:hAnsiTheme="minorHAnsi" w:cstheme="minorHAnsi"/>
                <w:b w:val="0"/>
              </w:rPr>
              <w:t>, including:</w:t>
            </w:r>
          </w:p>
          <w:p w14:paraId="0CA021DA" w14:textId="725DC462" w:rsidR="00523EC8" w:rsidRPr="00CA4171" w:rsidDel="005666E8" w:rsidRDefault="00523EC8" w:rsidP="00CA4171">
            <w:pPr>
              <w:pStyle w:val="TableParagraph"/>
              <w:numPr>
                <w:ilvl w:val="1"/>
                <w:numId w:val="6"/>
              </w:numPr>
              <w:spacing w:before="57" w:line="252" w:lineRule="auto"/>
              <w:ind w:left="1022" w:right="740"/>
              <w:rPr>
                <w:sz w:val="20"/>
                <w:szCs w:val="20"/>
              </w:rPr>
            </w:pPr>
            <w:r w:rsidRPr="00CA4171" w:rsidDel="005666E8">
              <w:rPr>
                <w:sz w:val="20"/>
                <w:szCs w:val="20"/>
              </w:rPr>
              <w:t xml:space="preserve">100% of clients at risk of suicide followed up within 7 days, </w:t>
            </w:r>
          </w:p>
          <w:p w14:paraId="763F6722" w14:textId="0C9D7992" w:rsidR="00523EC8" w:rsidRPr="00CA4171" w:rsidRDefault="00523EC8" w:rsidP="00CA4171">
            <w:pPr>
              <w:pStyle w:val="TableParagraph"/>
              <w:numPr>
                <w:ilvl w:val="1"/>
                <w:numId w:val="6"/>
              </w:numPr>
              <w:spacing w:before="57" w:line="252" w:lineRule="auto"/>
              <w:ind w:left="1022" w:right="740"/>
              <w:rPr>
                <w:sz w:val="20"/>
                <w:szCs w:val="20"/>
              </w:rPr>
            </w:pPr>
            <w:r w:rsidRPr="00CA4171" w:rsidDel="005666E8">
              <w:rPr>
                <w:sz w:val="20"/>
                <w:szCs w:val="20"/>
              </w:rPr>
              <w:t>70% of completed episodes of care have recorded valid outcome measures at Episode Start and Episode End</w:t>
            </w:r>
            <w:r w:rsidRPr="00CA4171">
              <w:rPr>
                <w:sz w:val="20"/>
                <w:szCs w:val="20"/>
              </w:rPr>
              <w:t>.</w:t>
            </w:r>
          </w:p>
          <w:p w14:paraId="7964735E" w14:textId="77777777" w:rsidR="00523EC8" w:rsidRPr="00900863" w:rsidRDefault="00523EC8" w:rsidP="00CA4171">
            <w:pPr>
              <w:pStyle w:val="TableParagraph"/>
              <w:numPr>
                <w:ilvl w:val="1"/>
                <w:numId w:val="6"/>
              </w:numPr>
              <w:spacing w:before="57" w:line="252" w:lineRule="auto"/>
              <w:ind w:left="1022" w:right="740"/>
              <w:rPr>
                <w:rFonts w:asciiTheme="minorHAnsi" w:hAnsiTheme="minorHAnsi" w:cstheme="minorHAnsi"/>
                <w:b/>
                <w:bCs/>
              </w:rPr>
            </w:pPr>
            <w:r w:rsidRPr="00CA4171">
              <w:rPr>
                <w:sz w:val="20"/>
                <w:szCs w:val="20"/>
              </w:rPr>
              <w:t xml:space="preserve">Progress against evaluation and all evaluation findings have been made available to the Commonwealth and Victoria within a month of the </w:t>
            </w:r>
            <w:proofErr w:type="gramStart"/>
            <w:r w:rsidRPr="00CA4171">
              <w:rPr>
                <w:sz w:val="20"/>
                <w:szCs w:val="20"/>
              </w:rPr>
              <w:t>evaluations</w:t>
            </w:r>
            <w:proofErr w:type="gramEnd"/>
            <w:r w:rsidRPr="00CA4171">
              <w:rPr>
                <w:sz w:val="20"/>
                <w:szCs w:val="20"/>
              </w:rPr>
              <w:t xml:space="preserve"> completion.</w:t>
            </w:r>
          </w:p>
        </w:tc>
      </w:tr>
      <w:tr w:rsidR="00523EC8" w:rsidRPr="00263CF9" w14:paraId="3A81C46A" w14:textId="77777777" w:rsidTr="00536E6A">
        <w:trPr>
          <w:trHeight w:val="514"/>
        </w:trPr>
        <w:tc>
          <w:tcPr>
            <w:tcW w:w="2967" w:type="dxa"/>
            <w:tcBorders>
              <w:top w:val="single" w:sz="8" w:space="0" w:color="4F81BD"/>
              <w:left w:val="single" w:sz="8" w:space="0" w:color="4F81BD"/>
              <w:right w:val="single" w:sz="8" w:space="0" w:color="4F81BD"/>
            </w:tcBorders>
          </w:tcPr>
          <w:p w14:paraId="3C6B34EE" w14:textId="5DE5CFC7" w:rsidR="00523EC8" w:rsidRPr="00E213EE" w:rsidRDefault="002479A9" w:rsidP="00536E6A">
            <w:pPr>
              <w:pStyle w:val="Milestonetable"/>
              <w:rPr>
                <w:rFonts w:asciiTheme="minorHAnsi" w:hAnsiTheme="minorHAnsi" w:cstheme="minorHAnsi"/>
              </w:rPr>
            </w:pPr>
            <w:r w:rsidRPr="00495CF7">
              <w:rPr>
                <w:rFonts w:asciiTheme="minorHAnsi" w:hAnsiTheme="minorHAnsi" w:cstheme="minorHAnsi"/>
              </w:rPr>
              <w:t xml:space="preserve">New community-based health and wellbeing services for infants, children and families </w:t>
            </w:r>
          </w:p>
        </w:tc>
        <w:tc>
          <w:tcPr>
            <w:tcW w:w="7513" w:type="dxa"/>
            <w:tcBorders>
              <w:top w:val="single" w:sz="8" w:space="0" w:color="4F81BD"/>
              <w:left w:val="single" w:sz="8" w:space="0" w:color="4F81BD"/>
              <w:bottom w:val="single" w:sz="8" w:space="0" w:color="4F81BD"/>
              <w:right w:val="single" w:sz="8" w:space="0" w:color="4F81BD"/>
            </w:tcBorders>
          </w:tcPr>
          <w:p w14:paraId="77DA5B56" w14:textId="5460DCF5" w:rsidR="00523EC8" w:rsidRPr="009B7C24" w:rsidDel="001B2BFF" w:rsidRDefault="00523EC8" w:rsidP="003D5721">
            <w:pPr>
              <w:pStyle w:val="Milestonetable"/>
              <w:numPr>
                <w:ilvl w:val="0"/>
                <w:numId w:val="6"/>
              </w:numPr>
              <w:ind w:left="455"/>
              <w:rPr>
                <w:rFonts w:asciiTheme="minorHAnsi" w:hAnsiTheme="minorHAnsi" w:cstheme="minorHAnsi"/>
                <w:b w:val="0"/>
              </w:rPr>
            </w:pPr>
            <w:r w:rsidRPr="00E213EE">
              <w:rPr>
                <w:rFonts w:asciiTheme="minorHAnsi" w:hAnsiTheme="minorHAnsi" w:cstheme="minorHAnsi"/>
                <w:b w:val="0"/>
              </w:rPr>
              <w:t>Performance report against key deliverables, proposed service models and timeframes as outlined in the Joint Commonwealth-Victoria Implementation</w:t>
            </w:r>
            <w:r w:rsidRPr="009B7C24">
              <w:rPr>
                <w:rFonts w:asciiTheme="minorHAnsi" w:hAnsiTheme="minorHAnsi" w:cstheme="minorHAnsi"/>
                <w:b w:val="0"/>
              </w:rPr>
              <w:t xml:space="preserve"> Plan. </w:t>
            </w:r>
            <w:r w:rsidRPr="009B7C24" w:rsidDel="001B2BFF">
              <w:rPr>
                <w:rFonts w:asciiTheme="minorHAnsi" w:hAnsiTheme="minorHAnsi" w:cstheme="minorHAnsi"/>
                <w:b w:val="0"/>
              </w:rPr>
              <w:t>Performance reports against Key Performance Indicators developed through the National Agreement</w:t>
            </w:r>
            <w:r w:rsidR="004B360E">
              <w:rPr>
                <w:rFonts w:asciiTheme="minorHAnsi" w:hAnsiTheme="minorHAnsi" w:cstheme="minorHAnsi"/>
                <w:b w:val="0"/>
              </w:rPr>
              <w:t xml:space="preserve"> and consistent with Primary Mental Health Care Minimum Da</w:t>
            </w:r>
            <w:r w:rsidR="006D0189">
              <w:rPr>
                <w:rFonts w:asciiTheme="minorHAnsi" w:hAnsiTheme="minorHAnsi" w:cstheme="minorHAnsi"/>
                <w:b w:val="0"/>
              </w:rPr>
              <w:t>t</w:t>
            </w:r>
            <w:r w:rsidR="004B360E">
              <w:rPr>
                <w:rFonts w:asciiTheme="minorHAnsi" w:hAnsiTheme="minorHAnsi" w:cstheme="minorHAnsi"/>
                <w:b w:val="0"/>
              </w:rPr>
              <w:t>a Set (PMHC MDS)</w:t>
            </w:r>
            <w:r w:rsidRPr="009B7C24" w:rsidDel="001B2BFF">
              <w:rPr>
                <w:rFonts w:asciiTheme="minorHAnsi" w:hAnsiTheme="minorHAnsi" w:cstheme="minorHAnsi"/>
                <w:b w:val="0"/>
              </w:rPr>
              <w:t>, including:</w:t>
            </w:r>
          </w:p>
          <w:p w14:paraId="354F4F9E" w14:textId="60799C03" w:rsidR="00523EC8" w:rsidRPr="00CA4171" w:rsidDel="001B2BFF" w:rsidRDefault="00523EC8" w:rsidP="00CA4171">
            <w:pPr>
              <w:pStyle w:val="TableParagraph"/>
              <w:numPr>
                <w:ilvl w:val="1"/>
                <w:numId w:val="6"/>
              </w:numPr>
              <w:spacing w:before="57" w:line="252" w:lineRule="auto"/>
              <w:ind w:left="1022" w:right="740"/>
              <w:rPr>
                <w:sz w:val="20"/>
                <w:szCs w:val="20"/>
              </w:rPr>
            </w:pPr>
            <w:r w:rsidRPr="00CA4171" w:rsidDel="001B2BFF">
              <w:rPr>
                <w:sz w:val="20"/>
                <w:szCs w:val="20"/>
              </w:rPr>
              <w:t>70% of completed episodes of care have recorded valid outcome measures at Episode Start and Episode End</w:t>
            </w:r>
            <w:r w:rsidR="005F341B" w:rsidRPr="00CA4171">
              <w:rPr>
                <w:sz w:val="20"/>
                <w:szCs w:val="20"/>
              </w:rPr>
              <w:t>, when this data is available</w:t>
            </w:r>
            <w:r w:rsidRPr="00CA4171" w:rsidDel="001B2BFF">
              <w:rPr>
                <w:sz w:val="20"/>
                <w:szCs w:val="20"/>
              </w:rPr>
              <w:t>.</w:t>
            </w:r>
          </w:p>
          <w:p w14:paraId="3EAE29AE" w14:textId="2987C0AC" w:rsidR="00523EC8" w:rsidRPr="00263CF9" w:rsidRDefault="00523EC8" w:rsidP="00CA4171">
            <w:pPr>
              <w:pStyle w:val="TableParagraph"/>
              <w:numPr>
                <w:ilvl w:val="1"/>
                <w:numId w:val="6"/>
              </w:numPr>
              <w:spacing w:before="57" w:line="252" w:lineRule="auto"/>
              <w:ind w:left="1022" w:right="740"/>
              <w:rPr>
                <w:rFonts w:asciiTheme="minorHAnsi" w:hAnsiTheme="minorHAnsi" w:cstheme="minorHAnsi"/>
                <w:b/>
              </w:rPr>
            </w:pPr>
            <w:r w:rsidRPr="00CA4171">
              <w:rPr>
                <w:sz w:val="20"/>
                <w:szCs w:val="20"/>
              </w:rPr>
              <w:t>Progress against evaluation and all evaluation findings have been made available to the Commonwealth and Victoria within a month of the evaluation’s completion.</w:t>
            </w:r>
          </w:p>
        </w:tc>
      </w:tr>
      <w:tr w:rsidR="00523EC8" w:rsidRPr="00263CF9" w14:paraId="592B7F67" w14:textId="77777777" w:rsidTr="00536E6A">
        <w:trPr>
          <w:trHeight w:val="514"/>
        </w:trPr>
        <w:tc>
          <w:tcPr>
            <w:tcW w:w="2967" w:type="dxa"/>
            <w:tcBorders>
              <w:top w:val="single" w:sz="8" w:space="0" w:color="4F81BD"/>
              <w:left w:val="single" w:sz="8" w:space="0" w:color="4F81BD"/>
              <w:right w:val="single" w:sz="8" w:space="0" w:color="4F81BD"/>
            </w:tcBorders>
          </w:tcPr>
          <w:p w14:paraId="1F58E5EF" w14:textId="77777777" w:rsidR="00523EC8" w:rsidRPr="00E45496" w:rsidRDefault="00523EC8" w:rsidP="00536E6A">
            <w:pPr>
              <w:pStyle w:val="Milestonetable"/>
              <w:rPr>
                <w:rFonts w:asciiTheme="minorHAnsi" w:hAnsiTheme="minorHAnsi" w:cstheme="minorHAnsi"/>
              </w:rPr>
            </w:pPr>
            <w:r w:rsidRPr="00900863">
              <w:rPr>
                <w:rFonts w:asciiTheme="minorHAnsi" w:hAnsiTheme="minorHAnsi" w:cstheme="minorHAnsi"/>
              </w:rPr>
              <w:t>Enhancement and Integration of headspace services</w:t>
            </w:r>
          </w:p>
        </w:tc>
        <w:tc>
          <w:tcPr>
            <w:tcW w:w="7513" w:type="dxa"/>
            <w:tcBorders>
              <w:top w:val="single" w:sz="8" w:space="0" w:color="4F81BD"/>
              <w:left w:val="single" w:sz="8" w:space="0" w:color="4F81BD"/>
              <w:bottom w:val="single" w:sz="8" w:space="0" w:color="4F81BD"/>
              <w:right w:val="single" w:sz="8" w:space="0" w:color="4F81BD"/>
            </w:tcBorders>
          </w:tcPr>
          <w:p w14:paraId="3079C9FB" w14:textId="77777777" w:rsidR="00523EC8" w:rsidRPr="00E213EE" w:rsidRDefault="00523EC8" w:rsidP="003D5721">
            <w:pPr>
              <w:pStyle w:val="Milestonetable"/>
              <w:numPr>
                <w:ilvl w:val="0"/>
                <w:numId w:val="6"/>
              </w:numPr>
              <w:ind w:left="455"/>
              <w:rPr>
                <w:rFonts w:asciiTheme="minorHAnsi" w:hAnsiTheme="minorHAnsi" w:cstheme="minorHAnsi"/>
                <w:b w:val="0"/>
              </w:rPr>
            </w:pPr>
            <w:r w:rsidRPr="00E213EE">
              <w:rPr>
                <w:rFonts w:asciiTheme="minorHAnsi" w:hAnsiTheme="minorHAnsi" w:cstheme="minorHAnsi"/>
                <w:b w:val="0"/>
              </w:rPr>
              <w:t>Performance report against key deliverables, proposed service models and timeframes as outlined in the Joint Commonwealth-Victoria Implementation Plan.</w:t>
            </w:r>
          </w:p>
          <w:p w14:paraId="4B4678F3" w14:textId="77777777" w:rsidR="00523EC8" w:rsidRPr="00E213EE" w:rsidRDefault="00523EC8" w:rsidP="003D5721">
            <w:pPr>
              <w:pStyle w:val="Milestonetable"/>
              <w:numPr>
                <w:ilvl w:val="0"/>
                <w:numId w:val="6"/>
              </w:numPr>
              <w:ind w:left="455"/>
              <w:rPr>
                <w:rFonts w:asciiTheme="minorHAnsi" w:hAnsiTheme="minorHAnsi" w:cstheme="minorHAnsi"/>
                <w:b w:val="0"/>
              </w:rPr>
            </w:pPr>
            <w:r w:rsidRPr="00E213EE">
              <w:rPr>
                <w:rFonts w:asciiTheme="minorHAnsi" w:hAnsiTheme="minorHAnsi" w:cstheme="minorHAnsi"/>
                <w:b w:val="0"/>
              </w:rPr>
              <w:t xml:space="preserve">Quantification of financial and in-kind contributions </w:t>
            </w:r>
          </w:p>
          <w:p w14:paraId="699AE927" w14:textId="77777777" w:rsidR="00523EC8" w:rsidRPr="003D5721" w:rsidRDefault="00523EC8" w:rsidP="003D5721">
            <w:pPr>
              <w:pStyle w:val="Milestonetable"/>
              <w:numPr>
                <w:ilvl w:val="0"/>
                <w:numId w:val="6"/>
              </w:numPr>
              <w:ind w:left="455"/>
              <w:rPr>
                <w:rFonts w:asciiTheme="minorHAnsi" w:hAnsiTheme="minorHAnsi" w:cstheme="minorHAnsi"/>
                <w:b w:val="0"/>
              </w:rPr>
            </w:pPr>
            <w:r w:rsidRPr="00E213EE">
              <w:rPr>
                <w:rFonts w:asciiTheme="minorHAnsi" w:hAnsiTheme="minorHAnsi" w:cstheme="minorHAnsi"/>
                <w:b w:val="0"/>
              </w:rPr>
              <w:t>R</w:t>
            </w:r>
            <w:r w:rsidRPr="00263CF9">
              <w:rPr>
                <w:rFonts w:asciiTheme="minorHAnsi" w:hAnsiTheme="minorHAnsi" w:cstheme="minorHAnsi"/>
                <w:b w:val="0"/>
              </w:rPr>
              <w:t>egular engagement to monitor implementation.</w:t>
            </w:r>
          </w:p>
          <w:p w14:paraId="76EF6611" w14:textId="57F74E7D" w:rsidR="00523EC8" w:rsidRPr="003D5721" w:rsidRDefault="00523EC8" w:rsidP="003D5721">
            <w:pPr>
              <w:pStyle w:val="Milestonetable"/>
              <w:numPr>
                <w:ilvl w:val="0"/>
                <w:numId w:val="6"/>
              </w:numPr>
              <w:ind w:left="455"/>
              <w:rPr>
                <w:rFonts w:asciiTheme="minorHAnsi" w:hAnsiTheme="minorHAnsi" w:cstheme="minorHAnsi"/>
                <w:b w:val="0"/>
              </w:rPr>
            </w:pPr>
            <w:r w:rsidRPr="00263CF9">
              <w:rPr>
                <w:rFonts w:asciiTheme="minorHAnsi" w:hAnsiTheme="minorHAnsi" w:cstheme="minorHAnsi"/>
                <w:b w:val="0"/>
              </w:rPr>
              <w:t>Progress against evaluation and all evaluation findings have been made available to the Commonwealth and Victoria within a month of the evaluation’s completion.</w:t>
            </w:r>
          </w:p>
        </w:tc>
      </w:tr>
      <w:tr w:rsidR="00523EC8" w:rsidRPr="00263CF9" w14:paraId="1266B1A4" w14:textId="77777777" w:rsidTr="00536E6A">
        <w:trPr>
          <w:trHeight w:val="514"/>
        </w:trPr>
        <w:tc>
          <w:tcPr>
            <w:tcW w:w="2967" w:type="dxa"/>
            <w:tcBorders>
              <w:top w:val="single" w:sz="8" w:space="0" w:color="4F81BD"/>
              <w:left w:val="single" w:sz="8" w:space="0" w:color="4F81BD"/>
              <w:right w:val="single" w:sz="8" w:space="0" w:color="4F81BD"/>
            </w:tcBorders>
          </w:tcPr>
          <w:p w14:paraId="74C37B8A" w14:textId="51F4A629" w:rsidR="00523EC8" w:rsidRPr="00263CF9" w:rsidRDefault="00523EC8" w:rsidP="00536E6A">
            <w:pPr>
              <w:pStyle w:val="Milestonetable"/>
              <w:rPr>
                <w:rFonts w:asciiTheme="minorHAnsi" w:hAnsiTheme="minorHAnsi" w:cstheme="minorHAnsi"/>
              </w:rPr>
            </w:pPr>
            <w:r w:rsidRPr="00263CF9">
              <w:rPr>
                <w:rFonts w:asciiTheme="minorHAnsi" w:hAnsiTheme="minorHAnsi" w:cstheme="minorHAnsi"/>
              </w:rPr>
              <w:t>Universal Aftercare S</w:t>
            </w:r>
            <w:r w:rsidRPr="00E45496">
              <w:rPr>
                <w:rFonts w:asciiTheme="minorHAnsi" w:hAnsiTheme="minorHAnsi" w:cstheme="minorHAnsi"/>
              </w:rPr>
              <w:t xml:space="preserve">ervices </w:t>
            </w:r>
          </w:p>
        </w:tc>
        <w:tc>
          <w:tcPr>
            <w:tcW w:w="7513" w:type="dxa"/>
            <w:tcBorders>
              <w:top w:val="single" w:sz="8" w:space="0" w:color="4F81BD"/>
              <w:left w:val="single" w:sz="8" w:space="0" w:color="4F81BD"/>
              <w:bottom w:val="single" w:sz="8" w:space="0" w:color="4F81BD"/>
              <w:right w:val="single" w:sz="8" w:space="0" w:color="4F81BD"/>
            </w:tcBorders>
          </w:tcPr>
          <w:p w14:paraId="0A675745" w14:textId="53B82C77" w:rsidR="00523EC8" w:rsidRPr="003D5721" w:rsidRDefault="00523EC8" w:rsidP="003D5721">
            <w:pPr>
              <w:pStyle w:val="Milestonetable"/>
              <w:numPr>
                <w:ilvl w:val="0"/>
                <w:numId w:val="6"/>
              </w:numPr>
              <w:ind w:left="455"/>
              <w:rPr>
                <w:rFonts w:asciiTheme="minorHAnsi" w:hAnsiTheme="minorHAnsi" w:cstheme="minorHAnsi"/>
                <w:b w:val="0"/>
              </w:rPr>
            </w:pPr>
            <w:r w:rsidRPr="003D5721">
              <w:rPr>
                <w:rFonts w:asciiTheme="minorHAnsi" w:hAnsiTheme="minorHAnsi" w:cstheme="minorHAnsi"/>
                <w:b w:val="0"/>
              </w:rPr>
              <w:t>Performance report against key deliverables, proposed service models and timeframes as outlined in the Joint Commonwealth-Victoria Implementation Plan.</w:t>
            </w:r>
          </w:p>
          <w:p w14:paraId="398BA88A" w14:textId="43859DF3" w:rsidR="00523EC8" w:rsidRPr="003D5721" w:rsidRDefault="00523EC8" w:rsidP="003D5721">
            <w:pPr>
              <w:pStyle w:val="Milestonetable"/>
              <w:numPr>
                <w:ilvl w:val="0"/>
                <w:numId w:val="6"/>
              </w:numPr>
              <w:ind w:left="455"/>
              <w:rPr>
                <w:rFonts w:asciiTheme="minorHAnsi" w:hAnsiTheme="minorHAnsi" w:cstheme="minorHAnsi"/>
                <w:b w:val="0"/>
              </w:rPr>
            </w:pPr>
            <w:r w:rsidRPr="003D5721">
              <w:rPr>
                <w:rFonts w:asciiTheme="minorHAnsi" w:hAnsiTheme="minorHAnsi" w:cstheme="minorHAnsi"/>
                <w:b w:val="0"/>
              </w:rPr>
              <w:t>Evaluation plan.</w:t>
            </w:r>
          </w:p>
          <w:p w14:paraId="3DCD91FF" w14:textId="04CC77B5" w:rsidR="00523EC8" w:rsidRPr="003D5721" w:rsidRDefault="00523EC8" w:rsidP="003D5721">
            <w:pPr>
              <w:pStyle w:val="Milestonetable"/>
              <w:numPr>
                <w:ilvl w:val="0"/>
                <w:numId w:val="6"/>
              </w:numPr>
              <w:ind w:left="455"/>
              <w:rPr>
                <w:rFonts w:asciiTheme="minorHAnsi" w:hAnsiTheme="minorHAnsi" w:cstheme="minorHAnsi"/>
                <w:b w:val="0"/>
              </w:rPr>
            </w:pPr>
            <w:r w:rsidRPr="00263CF9">
              <w:rPr>
                <w:rFonts w:asciiTheme="minorHAnsi" w:hAnsiTheme="minorHAnsi" w:cstheme="minorHAnsi"/>
                <w:b w:val="0"/>
              </w:rPr>
              <w:t>Progress against evaluation and all evaluation findings have been made available to the Commonwealth and Victoria within a month of the evaluation’s completion.</w:t>
            </w:r>
          </w:p>
        </w:tc>
      </w:tr>
      <w:tr w:rsidR="00523EC8" w:rsidRPr="00263CF9" w14:paraId="50AABEF2" w14:textId="77777777" w:rsidTr="00536E6A">
        <w:trPr>
          <w:trHeight w:val="513"/>
        </w:trPr>
        <w:tc>
          <w:tcPr>
            <w:tcW w:w="2967" w:type="dxa"/>
            <w:tcBorders>
              <w:left w:val="single" w:sz="8" w:space="0" w:color="4F81BD"/>
              <w:right w:val="single" w:sz="8" w:space="0" w:color="4F81BD"/>
            </w:tcBorders>
          </w:tcPr>
          <w:p w14:paraId="08B9976E" w14:textId="41EF2E75" w:rsidR="00523EC8" w:rsidRPr="00900863" w:rsidRDefault="00523EC8" w:rsidP="00536E6A">
            <w:pPr>
              <w:pStyle w:val="Milestonetable"/>
              <w:rPr>
                <w:rFonts w:asciiTheme="minorHAnsi" w:hAnsiTheme="minorHAnsi" w:cstheme="minorHAnsi"/>
              </w:rPr>
            </w:pPr>
            <w:r w:rsidRPr="00263CF9">
              <w:rPr>
                <w:rFonts w:asciiTheme="minorHAnsi" w:hAnsiTheme="minorHAnsi" w:cstheme="minorHAnsi"/>
              </w:rPr>
              <w:t>Regional Planning and Commissioning</w:t>
            </w:r>
          </w:p>
        </w:tc>
        <w:tc>
          <w:tcPr>
            <w:tcW w:w="7513" w:type="dxa"/>
            <w:tcBorders>
              <w:top w:val="single" w:sz="8" w:space="0" w:color="4F81BD"/>
              <w:left w:val="single" w:sz="8" w:space="0" w:color="4F81BD"/>
              <w:bottom w:val="single" w:sz="8" w:space="0" w:color="4F81BD"/>
              <w:right w:val="single" w:sz="8" w:space="0" w:color="4F81BD"/>
            </w:tcBorders>
          </w:tcPr>
          <w:p w14:paraId="52F308F0" w14:textId="77777777" w:rsidR="00523EC8" w:rsidRPr="00E213EE" w:rsidRDefault="00523EC8" w:rsidP="003D5721">
            <w:pPr>
              <w:pStyle w:val="Milestonetable"/>
              <w:numPr>
                <w:ilvl w:val="0"/>
                <w:numId w:val="6"/>
              </w:numPr>
              <w:ind w:left="455"/>
              <w:rPr>
                <w:rFonts w:asciiTheme="minorHAnsi" w:hAnsiTheme="minorHAnsi" w:cstheme="minorHAnsi"/>
                <w:b w:val="0"/>
              </w:rPr>
            </w:pPr>
            <w:r w:rsidRPr="003D5721">
              <w:rPr>
                <w:rFonts w:asciiTheme="minorHAnsi" w:hAnsiTheme="minorHAnsi" w:cstheme="minorHAnsi"/>
                <w:b w:val="0"/>
              </w:rPr>
              <w:t xml:space="preserve">Performance report on support and engagement provided to the joint regional planning processes by </w:t>
            </w:r>
            <w:r w:rsidRPr="00E213EE">
              <w:rPr>
                <w:rFonts w:asciiTheme="minorHAnsi" w:hAnsiTheme="minorHAnsi" w:cstheme="minorHAnsi"/>
                <w:b w:val="0"/>
              </w:rPr>
              <w:t xml:space="preserve">Victoria and the Victorian PHNs. </w:t>
            </w:r>
          </w:p>
        </w:tc>
      </w:tr>
      <w:tr w:rsidR="00523EC8" w:rsidRPr="00263CF9" w14:paraId="7162EB4A" w14:textId="77777777" w:rsidTr="00536E6A">
        <w:trPr>
          <w:trHeight w:val="514"/>
        </w:trPr>
        <w:tc>
          <w:tcPr>
            <w:tcW w:w="2967" w:type="dxa"/>
            <w:tcBorders>
              <w:top w:val="single" w:sz="8" w:space="0" w:color="4F81BD"/>
              <w:left w:val="single" w:sz="8" w:space="0" w:color="4F81BD"/>
              <w:right w:val="single" w:sz="8" w:space="0" w:color="4F81BD"/>
            </w:tcBorders>
          </w:tcPr>
          <w:p w14:paraId="416C2900" w14:textId="238E17E9" w:rsidR="00523EC8" w:rsidRPr="00E45496" w:rsidRDefault="00523EC8" w:rsidP="00536E6A">
            <w:pPr>
              <w:pStyle w:val="Milestonetable"/>
              <w:rPr>
                <w:rFonts w:asciiTheme="minorHAnsi" w:hAnsiTheme="minorHAnsi" w:cstheme="minorHAnsi"/>
              </w:rPr>
            </w:pPr>
            <w:r w:rsidRPr="00900863">
              <w:rPr>
                <w:rFonts w:asciiTheme="minorHAnsi" w:hAnsiTheme="minorHAnsi" w:cstheme="minorHAnsi"/>
              </w:rPr>
              <w:t xml:space="preserve">Distress </w:t>
            </w:r>
            <w:r w:rsidR="00187699">
              <w:rPr>
                <w:rFonts w:asciiTheme="minorHAnsi" w:hAnsiTheme="minorHAnsi" w:cstheme="minorHAnsi"/>
              </w:rPr>
              <w:t>support Brief</w:t>
            </w:r>
            <w:r w:rsidR="00187699" w:rsidRPr="00900863">
              <w:rPr>
                <w:rFonts w:asciiTheme="minorHAnsi" w:hAnsiTheme="minorHAnsi" w:cstheme="minorHAnsi"/>
              </w:rPr>
              <w:t xml:space="preserve"> </w:t>
            </w:r>
            <w:r w:rsidRPr="00900863">
              <w:rPr>
                <w:rFonts w:asciiTheme="minorHAnsi" w:hAnsiTheme="minorHAnsi" w:cstheme="minorHAnsi"/>
              </w:rPr>
              <w:t>Trial Program</w:t>
            </w:r>
          </w:p>
        </w:tc>
        <w:tc>
          <w:tcPr>
            <w:tcW w:w="7513" w:type="dxa"/>
            <w:tcBorders>
              <w:top w:val="single" w:sz="8" w:space="0" w:color="4F81BD"/>
              <w:left w:val="single" w:sz="8" w:space="0" w:color="4F81BD"/>
              <w:bottom w:val="single" w:sz="8" w:space="0" w:color="4F81BD"/>
              <w:right w:val="single" w:sz="8" w:space="0" w:color="4F81BD"/>
            </w:tcBorders>
          </w:tcPr>
          <w:p w14:paraId="32737785" w14:textId="77777777" w:rsidR="004B360E" w:rsidRPr="003D5721" w:rsidRDefault="004B360E" w:rsidP="003D5721">
            <w:pPr>
              <w:pStyle w:val="Milestonetable"/>
              <w:numPr>
                <w:ilvl w:val="0"/>
                <w:numId w:val="6"/>
              </w:numPr>
              <w:ind w:left="455"/>
              <w:rPr>
                <w:rFonts w:asciiTheme="minorHAnsi" w:hAnsiTheme="minorHAnsi" w:cstheme="minorHAnsi"/>
                <w:b w:val="0"/>
              </w:rPr>
            </w:pPr>
            <w:r w:rsidRPr="003D5721">
              <w:rPr>
                <w:rFonts w:asciiTheme="minorHAnsi" w:hAnsiTheme="minorHAnsi" w:cstheme="minorHAnsi"/>
                <w:b w:val="0"/>
              </w:rPr>
              <w:t>Performance report against key deliverables, proposed service models and timeframes as outlined in the Joint Commonwealth-Victorian Implementation Plan.</w:t>
            </w:r>
          </w:p>
          <w:p w14:paraId="12BD03E8" w14:textId="5765D340" w:rsidR="004B360E" w:rsidRPr="003D5721" w:rsidRDefault="004B360E" w:rsidP="003D5721">
            <w:pPr>
              <w:pStyle w:val="Milestonetable"/>
              <w:numPr>
                <w:ilvl w:val="0"/>
                <w:numId w:val="6"/>
              </w:numPr>
              <w:ind w:left="455"/>
              <w:rPr>
                <w:rFonts w:asciiTheme="minorHAnsi" w:hAnsiTheme="minorHAnsi" w:cstheme="minorHAnsi"/>
                <w:b w:val="0"/>
              </w:rPr>
            </w:pPr>
            <w:r w:rsidRPr="003D5721">
              <w:rPr>
                <w:rFonts w:asciiTheme="minorHAnsi" w:hAnsiTheme="minorHAnsi" w:cstheme="minorHAnsi"/>
                <w:b w:val="0"/>
              </w:rPr>
              <w:t xml:space="preserve">Progress report </w:t>
            </w:r>
            <w:proofErr w:type="gramStart"/>
            <w:r w:rsidRPr="003D5721">
              <w:rPr>
                <w:rFonts w:asciiTheme="minorHAnsi" w:hAnsiTheme="minorHAnsi" w:cstheme="minorHAnsi"/>
                <w:b w:val="0"/>
              </w:rPr>
              <w:t>against</w:t>
            </w:r>
            <w:proofErr w:type="gramEnd"/>
            <w:r w:rsidRPr="003D5721">
              <w:rPr>
                <w:rFonts w:asciiTheme="minorHAnsi" w:hAnsiTheme="minorHAnsi" w:cstheme="minorHAnsi"/>
                <w:b w:val="0"/>
              </w:rPr>
              <w:t xml:space="preserve"> key program outcomes</w:t>
            </w:r>
            <w:r w:rsidR="00DD6171" w:rsidRPr="003D5721">
              <w:rPr>
                <w:rFonts w:asciiTheme="minorHAnsi" w:hAnsiTheme="minorHAnsi" w:cstheme="minorHAnsi"/>
                <w:b w:val="0"/>
              </w:rPr>
              <w:t xml:space="preserve"> when available</w:t>
            </w:r>
            <w:r w:rsidRPr="003D5721">
              <w:rPr>
                <w:rFonts w:asciiTheme="minorHAnsi" w:hAnsiTheme="minorHAnsi" w:cstheme="minorHAnsi"/>
                <w:b w:val="0"/>
              </w:rPr>
              <w:t>, including:</w:t>
            </w:r>
          </w:p>
          <w:p w14:paraId="784BA5E8" w14:textId="77777777" w:rsidR="004B360E" w:rsidRPr="005E685E" w:rsidRDefault="004B360E" w:rsidP="003D5721">
            <w:pPr>
              <w:pStyle w:val="TableParagraph"/>
              <w:numPr>
                <w:ilvl w:val="1"/>
                <w:numId w:val="6"/>
              </w:numPr>
              <w:spacing w:before="57" w:line="252" w:lineRule="auto"/>
              <w:ind w:left="1022" w:right="740"/>
              <w:rPr>
                <w:rFonts w:eastAsia="Times New Roman"/>
                <w:iCs/>
                <w:sz w:val="20"/>
                <w:szCs w:val="20"/>
                <w:lang w:val="en-US" w:eastAsia="en-AU"/>
              </w:rPr>
            </w:pPr>
            <w:r w:rsidRPr="005E685E">
              <w:rPr>
                <w:rFonts w:eastAsia="Times New Roman"/>
                <w:iCs/>
                <w:sz w:val="20"/>
                <w:szCs w:val="20"/>
                <w:lang w:val="en-US" w:eastAsia="en-AU"/>
              </w:rPr>
              <w:t>Reduction of psychological distress in consumers.</w:t>
            </w:r>
          </w:p>
          <w:p w14:paraId="3F234E83" w14:textId="77777777" w:rsidR="002F2FE6" w:rsidRPr="00BD7947" w:rsidRDefault="004B360E" w:rsidP="003D5721">
            <w:pPr>
              <w:pStyle w:val="TableParagraph"/>
              <w:numPr>
                <w:ilvl w:val="1"/>
                <w:numId w:val="6"/>
              </w:numPr>
              <w:spacing w:before="57" w:line="252" w:lineRule="auto"/>
              <w:ind w:left="1022" w:right="740"/>
              <w:rPr>
                <w:sz w:val="20"/>
                <w:szCs w:val="20"/>
              </w:rPr>
            </w:pPr>
            <w:r w:rsidRPr="005E685E">
              <w:rPr>
                <w:rFonts w:eastAsia="Times New Roman"/>
                <w:iCs/>
                <w:sz w:val="20"/>
                <w:szCs w:val="20"/>
                <w:lang w:val="en-US" w:eastAsia="en-AU"/>
              </w:rPr>
              <w:t xml:space="preserve">Increased service system capability to identify and respond to distress when and where it </w:t>
            </w:r>
            <w:proofErr w:type="gramStart"/>
            <w:r w:rsidRPr="005E685E">
              <w:rPr>
                <w:rFonts w:eastAsia="Times New Roman"/>
                <w:iCs/>
                <w:sz w:val="20"/>
                <w:szCs w:val="20"/>
                <w:lang w:val="en-US" w:eastAsia="en-AU"/>
              </w:rPr>
              <w:t>presents;</w:t>
            </w:r>
            <w:proofErr w:type="gramEnd"/>
          </w:p>
          <w:p w14:paraId="101E31A3" w14:textId="563B61C9" w:rsidR="00523EC8" w:rsidRPr="00855597" w:rsidRDefault="004B360E" w:rsidP="003D5721">
            <w:pPr>
              <w:pStyle w:val="TableParagraph"/>
              <w:numPr>
                <w:ilvl w:val="1"/>
                <w:numId w:val="6"/>
              </w:numPr>
              <w:spacing w:before="57" w:line="252" w:lineRule="auto"/>
              <w:ind w:left="1022" w:right="740"/>
              <w:rPr>
                <w:sz w:val="20"/>
                <w:szCs w:val="20"/>
              </w:rPr>
            </w:pPr>
            <w:r w:rsidRPr="00855597">
              <w:rPr>
                <w:sz w:val="20"/>
                <w:szCs w:val="20"/>
              </w:rPr>
              <w:t>Progress against evaluation and all evaluation findings have been made available to the Commonwealth and Vic within a month of the evaluation’s completion.</w:t>
            </w:r>
          </w:p>
        </w:tc>
      </w:tr>
      <w:tr w:rsidR="00523EC8" w:rsidRPr="00263CF9" w14:paraId="63E4AB28" w14:textId="77777777" w:rsidTr="00536E6A">
        <w:trPr>
          <w:trHeight w:val="513"/>
        </w:trPr>
        <w:tc>
          <w:tcPr>
            <w:tcW w:w="2967" w:type="dxa"/>
            <w:tcBorders>
              <w:left w:val="single" w:sz="8" w:space="0" w:color="4F81BD"/>
              <w:right w:val="single" w:sz="8" w:space="0" w:color="4F81BD"/>
            </w:tcBorders>
          </w:tcPr>
          <w:p w14:paraId="7AE9751C" w14:textId="77777777" w:rsidR="00523EC8" w:rsidRPr="00900863" w:rsidRDefault="00523EC8" w:rsidP="00536E6A">
            <w:pPr>
              <w:pStyle w:val="Milestonetable"/>
              <w:rPr>
                <w:rFonts w:asciiTheme="minorHAnsi" w:hAnsiTheme="minorHAnsi" w:cstheme="minorHAnsi"/>
              </w:rPr>
            </w:pPr>
            <w:r w:rsidRPr="00900863">
              <w:rPr>
                <w:rFonts w:asciiTheme="minorHAnsi" w:hAnsiTheme="minorHAnsi" w:cstheme="minorHAnsi"/>
              </w:rPr>
              <w:t xml:space="preserve">Postvention Support </w:t>
            </w:r>
          </w:p>
          <w:p w14:paraId="693E9D7E" w14:textId="77777777" w:rsidR="00523EC8" w:rsidRPr="00495CF7" w:rsidRDefault="00523EC8" w:rsidP="00536E6A">
            <w:pPr>
              <w:pStyle w:val="Milestonetable"/>
              <w:rPr>
                <w:rFonts w:asciiTheme="minorHAnsi" w:hAnsiTheme="minorHAnsi" w:cstheme="minorHAnsi"/>
              </w:rPr>
            </w:pPr>
          </w:p>
        </w:tc>
        <w:tc>
          <w:tcPr>
            <w:tcW w:w="7513" w:type="dxa"/>
            <w:tcBorders>
              <w:top w:val="single" w:sz="8" w:space="0" w:color="4F81BD"/>
              <w:left w:val="single" w:sz="8" w:space="0" w:color="4F81BD"/>
              <w:bottom w:val="single" w:sz="8" w:space="0" w:color="4F81BD"/>
              <w:right w:val="single" w:sz="8" w:space="0" w:color="4F81BD"/>
            </w:tcBorders>
          </w:tcPr>
          <w:p w14:paraId="222CE163" w14:textId="77777777" w:rsidR="00523EC8" w:rsidRPr="003D5721" w:rsidRDefault="00523EC8" w:rsidP="003D5721">
            <w:pPr>
              <w:pStyle w:val="Milestonetable"/>
              <w:numPr>
                <w:ilvl w:val="0"/>
                <w:numId w:val="6"/>
              </w:numPr>
              <w:ind w:left="455"/>
              <w:rPr>
                <w:rFonts w:asciiTheme="minorHAnsi" w:hAnsiTheme="minorHAnsi" w:cstheme="minorHAnsi"/>
                <w:b w:val="0"/>
              </w:rPr>
            </w:pPr>
            <w:r w:rsidRPr="003D5721">
              <w:rPr>
                <w:rFonts w:asciiTheme="minorHAnsi" w:hAnsiTheme="minorHAnsi" w:cstheme="minorHAnsi"/>
                <w:b w:val="0"/>
              </w:rPr>
              <w:t>Performance report against key deliverables, proposed service models and timeframes as outlined in the Joint Commonwealth-Victoria Implementation Plan.</w:t>
            </w:r>
          </w:p>
          <w:p w14:paraId="2ECF5B0C" w14:textId="60809EEB" w:rsidR="00523EC8" w:rsidRPr="003D5721" w:rsidRDefault="00523EC8" w:rsidP="003D5721">
            <w:pPr>
              <w:pStyle w:val="Milestonetable"/>
              <w:numPr>
                <w:ilvl w:val="0"/>
                <w:numId w:val="6"/>
              </w:numPr>
              <w:ind w:left="455"/>
              <w:rPr>
                <w:rFonts w:asciiTheme="minorHAnsi" w:hAnsiTheme="minorHAnsi" w:cstheme="minorHAnsi"/>
                <w:b w:val="0"/>
              </w:rPr>
            </w:pPr>
            <w:r w:rsidRPr="00263CF9">
              <w:rPr>
                <w:rFonts w:asciiTheme="minorHAnsi" w:hAnsiTheme="minorHAnsi" w:cstheme="minorHAnsi"/>
                <w:b w:val="0"/>
              </w:rPr>
              <w:t>Progress against evaluation and all evaluation findings have been made available to the Commonwealth and Victoria within a month of the evaluation’s completion.</w:t>
            </w:r>
          </w:p>
        </w:tc>
      </w:tr>
      <w:tr w:rsidR="00523EC8" w:rsidRPr="00263CF9" w14:paraId="42A306E4" w14:textId="77777777" w:rsidTr="00536E6A">
        <w:trPr>
          <w:trHeight w:val="513"/>
        </w:trPr>
        <w:tc>
          <w:tcPr>
            <w:tcW w:w="2967" w:type="dxa"/>
            <w:tcBorders>
              <w:left w:val="single" w:sz="8" w:space="0" w:color="4F81BD"/>
              <w:right w:val="single" w:sz="8" w:space="0" w:color="4F81BD"/>
            </w:tcBorders>
          </w:tcPr>
          <w:p w14:paraId="56870887" w14:textId="77777777" w:rsidR="00523EC8" w:rsidRPr="00900863" w:rsidRDefault="00523EC8" w:rsidP="00536E6A">
            <w:pPr>
              <w:pStyle w:val="Milestonetable"/>
              <w:rPr>
                <w:rFonts w:asciiTheme="minorHAnsi" w:hAnsiTheme="minorHAnsi" w:cstheme="minorHAnsi"/>
              </w:rPr>
            </w:pPr>
            <w:r w:rsidRPr="00900863">
              <w:rPr>
                <w:rFonts w:asciiTheme="minorHAnsi" w:hAnsiTheme="minorHAnsi" w:cstheme="minorHAnsi"/>
              </w:rPr>
              <w:t xml:space="preserve">Perinatal mental health screening </w:t>
            </w:r>
          </w:p>
        </w:tc>
        <w:tc>
          <w:tcPr>
            <w:tcW w:w="7513" w:type="dxa"/>
            <w:tcBorders>
              <w:top w:val="single" w:sz="8" w:space="0" w:color="4F81BD"/>
              <w:left w:val="single" w:sz="8" w:space="0" w:color="4F81BD"/>
              <w:bottom w:val="single" w:sz="8" w:space="0" w:color="4F81BD"/>
              <w:right w:val="single" w:sz="8" w:space="0" w:color="4F81BD"/>
            </w:tcBorders>
          </w:tcPr>
          <w:p w14:paraId="155F0B92" w14:textId="2FE57426" w:rsidR="00523EC8" w:rsidRPr="00E213EE" w:rsidRDefault="00523EC8" w:rsidP="003D5721">
            <w:pPr>
              <w:pStyle w:val="Milestonetable"/>
              <w:numPr>
                <w:ilvl w:val="0"/>
                <w:numId w:val="6"/>
              </w:numPr>
              <w:ind w:left="455"/>
              <w:rPr>
                <w:rFonts w:asciiTheme="minorHAnsi" w:hAnsiTheme="minorHAnsi" w:cstheme="minorHAnsi"/>
                <w:b w:val="0"/>
              </w:rPr>
            </w:pPr>
            <w:r w:rsidRPr="00E213EE">
              <w:rPr>
                <w:rFonts w:asciiTheme="minorHAnsi" w:hAnsiTheme="minorHAnsi" w:cstheme="minorHAnsi"/>
                <w:b w:val="0"/>
              </w:rPr>
              <w:t>Performance report against key deliverables and timeframes as outlined in the Joint Commonwealth-Victoria Implementation Plan</w:t>
            </w:r>
            <w:r w:rsidR="00160DF7">
              <w:rPr>
                <w:rFonts w:asciiTheme="minorHAnsi" w:hAnsiTheme="minorHAnsi" w:cstheme="minorHAnsi"/>
                <w:b w:val="0"/>
              </w:rPr>
              <w:t xml:space="preserve"> and provision of nationally agreed perinatal mental health data via agreed mechanisms </w:t>
            </w:r>
            <w:r w:rsidR="006C0CC6">
              <w:rPr>
                <w:rFonts w:asciiTheme="minorHAnsi" w:hAnsiTheme="minorHAnsi" w:cstheme="minorHAnsi"/>
                <w:b w:val="0"/>
              </w:rPr>
              <w:t>to the Austr</w:t>
            </w:r>
            <w:r w:rsidR="008F3CC3">
              <w:rPr>
                <w:rFonts w:asciiTheme="minorHAnsi" w:hAnsiTheme="minorHAnsi" w:cstheme="minorHAnsi"/>
                <w:b w:val="0"/>
              </w:rPr>
              <w:t xml:space="preserve">alian Institute </w:t>
            </w:r>
            <w:r w:rsidR="00BF68E0">
              <w:rPr>
                <w:rFonts w:asciiTheme="minorHAnsi" w:hAnsiTheme="minorHAnsi" w:cstheme="minorHAnsi"/>
                <w:b w:val="0"/>
              </w:rPr>
              <w:t>of Health and Welfare.</w:t>
            </w:r>
          </w:p>
          <w:p w14:paraId="7A4BA26C" w14:textId="2EAE9B6D" w:rsidR="00523EC8" w:rsidRPr="003D5721" w:rsidRDefault="00523EC8" w:rsidP="003D5721">
            <w:pPr>
              <w:pStyle w:val="Milestonetable"/>
              <w:numPr>
                <w:ilvl w:val="0"/>
                <w:numId w:val="6"/>
              </w:numPr>
              <w:ind w:left="455"/>
              <w:rPr>
                <w:rFonts w:asciiTheme="minorHAnsi" w:hAnsiTheme="minorHAnsi" w:cstheme="minorHAnsi"/>
                <w:b w:val="0"/>
              </w:rPr>
            </w:pPr>
            <w:r w:rsidRPr="00263CF9" w:rsidDel="00B96586">
              <w:rPr>
                <w:rFonts w:asciiTheme="minorHAnsi" w:hAnsiTheme="minorHAnsi" w:cstheme="minorHAnsi"/>
                <w:b w:val="0"/>
              </w:rPr>
              <w:t>Progress against evaluation and all evaluation findings have been made available to the Commonwealth and Victoria within a month of the evaluation</w:t>
            </w:r>
            <w:r w:rsidR="005330BB">
              <w:rPr>
                <w:rFonts w:asciiTheme="minorHAnsi" w:hAnsiTheme="minorHAnsi" w:cstheme="minorHAnsi"/>
                <w:b w:val="0"/>
              </w:rPr>
              <w:t>’</w:t>
            </w:r>
            <w:r w:rsidRPr="00263CF9" w:rsidDel="00B96586">
              <w:rPr>
                <w:rFonts w:asciiTheme="minorHAnsi" w:hAnsiTheme="minorHAnsi" w:cstheme="minorHAnsi"/>
                <w:b w:val="0"/>
              </w:rPr>
              <w:t>s completion.</w:t>
            </w:r>
          </w:p>
        </w:tc>
      </w:tr>
      <w:tr w:rsidR="00523EC8" w:rsidRPr="00263CF9" w14:paraId="082FADCA" w14:textId="77777777" w:rsidTr="00536E6A">
        <w:trPr>
          <w:trHeight w:val="513"/>
        </w:trPr>
        <w:tc>
          <w:tcPr>
            <w:tcW w:w="2967" w:type="dxa"/>
            <w:tcBorders>
              <w:left w:val="single" w:sz="8" w:space="0" w:color="4F81BD"/>
              <w:right w:val="single" w:sz="8" w:space="0" w:color="4F81BD"/>
            </w:tcBorders>
          </w:tcPr>
          <w:p w14:paraId="034C23D6" w14:textId="77777777" w:rsidR="00523EC8" w:rsidRPr="00263CF9" w:rsidRDefault="00523EC8" w:rsidP="00536E6A">
            <w:pPr>
              <w:pStyle w:val="Milestonetable"/>
              <w:rPr>
                <w:rFonts w:asciiTheme="minorHAnsi" w:hAnsiTheme="minorHAnsi" w:cstheme="minorHAnsi"/>
              </w:rPr>
            </w:pPr>
            <w:r>
              <w:rPr>
                <w:rFonts w:asciiTheme="minorHAnsi" w:hAnsiTheme="minorHAnsi" w:cstheme="minorHAnsi"/>
              </w:rPr>
              <w:t>Initial</w:t>
            </w:r>
            <w:r w:rsidRPr="00900863">
              <w:rPr>
                <w:rFonts w:asciiTheme="minorHAnsi" w:hAnsiTheme="minorHAnsi" w:cstheme="minorHAnsi"/>
              </w:rPr>
              <w:t xml:space="preserve"> Assessment and Referral </w:t>
            </w:r>
            <w:r w:rsidRPr="00263CF9">
              <w:rPr>
                <w:rFonts w:asciiTheme="minorHAnsi" w:hAnsiTheme="minorHAnsi" w:cstheme="minorHAnsi"/>
              </w:rPr>
              <w:t>tool</w:t>
            </w:r>
          </w:p>
        </w:tc>
        <w:tc>
          <w:tcPr>
            <w:tcW w:w="7513" w:type="dxa"/>
            <w:tcBorders>
              <w:top w:val="single" w:sz="8" w:space="0" w:color="4F81BD"/>
              <w:left w:val="single" w:sz="8" w:space="0" w:color="4F81BD"/>
              <w:bottom w:val="single" w:sz="8" w:space="0" w:color="4F81BD"/>
              <w:right w:val="single" w:sz="8" w:space="0" w:color="4F81BD"/>
            </w:tcBorders>
          </w:tcPr>
          <w:p w14:paraId="1B077567" w14:textId="77777777" w:rsidR="00523EC8" w:rsidRPr="00E213EE" w:rsidRDefault="00523EC8" w:rsidP="003D5721">
            <w:pPr>
              <w:pStyle w:val="Milestonetable"/>
              <w:numPr>
                <w:ilvl w:val="0"/>
                <w:numId w:val="6"/>
              </w:numPr>
              <w:ind w:left="455"/>
              <w:rPr>
                <w:rFonts w:asciiTheme="minorHAnsi" w:hAnsiTheme="minorHAnsi" w:cstheme="minorHAnsi"/>
                <w:b w:val="0"/>
              </w:rPr>
            </w:pPr>
            <w:r w:rsidRPr="00E213EE">
              <w:rPr>
                <w:rFonts w:asciiTheme="minorHAnsi" w:hAnsiTheme="minorHAnsi" w:cstheme="minorHAnsi"/>
                <w:b w:val="0"/>
              </w:rPr>
              <w:t>Performance report against key deliverables and timeframes as outlined in the Joint Commonwealth-Victoria Implementation Plan.</w:t>
            </w:r>
          </w:p>
        </w:tc>
      </w:tr>
    </w:tbl>
    <w:p w14:paraId="4257C3AB" w14:textId="77777777" w:rsidR="001069A2" w:rsidRPr="00900863" w:rsidRDefault="001069A2">
      <w:pPr>
        <w:rPr>
          <w:b/>
          <w:bCs/>
          <w:iCs/>
        </w:rPr>
      </w:pPr>
    </w:p>
    <w:p w14:paraId="73473FAC" w14:textId="77777777" w:rsidR="00BD7947" w:rsidRDefault="00BD7947">
      <w:pPr>
        <w:widowControl/>
        <w:spacing w:after="160" w:line="259" w:lineRule="auto"/>
        <w:rPr>
          <w:rFonts w:cstheme="minorHAnsi"/>
          <w:b/>
          <w:sz w:val="24"/>
          <w:szCs w:val="24"/>
        </w:rPr>
      </w:pPr>
      <w:r>
        <w:rPr>
          <w:rFonts w:cstheme="minorHAnsi"/>
          <w:b/>
          <w:sz w:val="24"/>
          <w:szCs w:val="24"/>
        </w:rPr>
        <w:br w:type="page"/>
      </w:r>
    </w:p>
    <w:p w14:paraId="3BFA4246" w14:textId="0D28DA31" w:rsidR="00F72F40" w:rsidRDefault="00F72F40" w:rsidP="00F72F40">
      <w:pPr>
        <w:rPr>
          <w:rFonts w:cstheme="minorHAnsi"/>
          <w:b/>
          <w:sz w:val="24"/>
          <w:szCs w:val="24"/>
        </w:rPr>
      </w:pPr>
      <w:r w:rsidRPr="00900863">
        <w:rPr>
          <w:rFonts w:cstheme="minorHAnsi"/>
          <w:b/>
          <w:sz w:val="24"/>
          <w:szCs w:val="24"/>
        </w:rPr>
        <w:t xml:space="preserve">Table </w:t>
      </w:r>
      <w:r w:rsidR="0095696E" w:rsidRPr="00900863">
        <w:rPr>
          <w:rFonts w:cstheme="minorHAnsi"/>
          <w:b/>
          <w:sz w:val="24"/>
          <w:szCs w:val="24"/>
        </w:rPr>
        <w:t>5</w:t>
      </w:r>
      <w:r w:rsidRPr="00900863">
        <w:rPr>
          <w:rFonts w:cstheme="minorHAnsi"/>
          <w:b/>
          <w:sz w:val="24"/>
          <w:szCs w:val="24"/>
        </w:rPr>
        <w:t xml:space="preserve">: Final Report requirements  </w:t>
      </w:r>
    </w:p>
    <w:tbl>
      <w:tblPr>
        <w:tblW w:w="5448"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967"/>
        <w:gridCol w:w="7513"/>
      </w:tblGrid>
      <w:tr w:rsidR="00264327" w:rsidRPr="00900863" w14:paraId="107A32DC" w14:textId="77777777" w:rsidTr="00480E19">
        <w:trPr>
          <w:tblHeader/>
        </w:trPr>
        <w:tc>
          <w:tcPr>
            <w:tcW w:w="2967" w:type="dxa"/>
            <w:shd w:val="clear" w:color="auto" w:fill="F2F2F2" w:themeFill="background1" w:themeFillShade="F2"/>
          </w:tcPr>
          <w:p w14:paraId="2B131E6C" w14:textId="77777777" w:rsidR="00264327" w:rsidRPr="00900863" w:rsidRDefault="00264327" w:rsidP="00480E19">
            <w:pPr>
              <w:pStyle w:val="Tableformat"/>
              <w:rPr>
                <w:rFonts w:asciiTheme="minorHAnsi" w:hAnsiTheme="minorHAnsi" w:cstheme="minorHAnsi"/>
                <w:b w:val="0"/>
                <w:sz w:val="20"/>
                <w:szCs w:val="20"/>
              </w:rPr>
            </w:pPr>
            <w:r w:rsidRPr="00900863">
              <w:rPr>
                <w:rFonts w:asciiTheme="minorHAnsi" w:hAnsiTheme="minorHAnsi" w:cstheme="minorHAnsi"/>
                <w:sz w:val="20"/>
                <w:szCs w:val="20"/>
              </w:rPr>
              <w:t xml:space="preserve">Initiative </w:t>
            </w:r>
          </w:p>
        </w:tc>
        <w:tc>
          <w:tcPr>
            <w:tcW w:w="7513" w:type="dxa"/>
            <w:shd w:val="clear" w:color="auto" w:fill="F2F2F2" w:themeFill="background1" w:themeFillShade="F2"/>
          </w:tcPr>
          <w:p w14:paraId="1782D035" w14:textId="77777777" w:rsidR="00264327" w:rsidRPr="00900863" w:rsidRDefault="00264327" w:rsidP="00480E19">
            <w:pPr>
              <w:pStyle w:val="Tableformat"/>
              <w:rPr>
                <w:rFonts w:asciiTheme="minorHAnsi" w:hAnsiTheme="minorHAnsi" w:cstheme="minorHAnsi"/>
                <w:b w:val="0"/>
                <w:sz w:val="20"/>
                <w:szCs w:val="20"/>
              </w:rPr>
            </w:pPr>
            <w:r w:rsidRPr="00900863">
              <w:rPr>
                <w:rFonts w:asciiTheme="minorHAnsi" w:hAnsiTheme="minorHAnsi" w:cstheme="minorHAnsi"/>
                <w:sz w:val="20"/>
                <w:szCs w:val="20"/>
              </w:rPr>
              <w:t xml:space="preserve">Requirements </w:t>
            </w:r>
          </w:p>
        </w:tc>
      </w:tr>
      <w:tr w:rsidR="00264327" w:rsidRPr="00900863" w14:paraId="76BA5AA5" w14:textId="77777777" w:rsidTr="00326C03">
        <w:trPr>
          <w:trHeight w:val="1990"/>
        </w:trPr>
        <w:tc>
          <w:tcPr>
            <w:tcW w:w="2967" w:type="dxa"/>
            <w:tcBorders>
              <w:top w:val="single" w:sz="8" w:space="0" w:color="4F81BD"/>
              <w:left w:val="single" w:sz="8" w:space="0" w:color="4F81BD"/>
              <w:right w:val="single" w:sz="8" w:space="0" w:color="4F81BD"/>
            </w:tcBorders>
          </w:tcPr>
          <w:p w14:paraId="3AFDDED7" w14:textId="7AD3B517" w:rsidR="00264327" w:rsidRPr="00211B4B" w:rsidRDefault="00A32AC2" w:rsidP="00480E19">
            <w:pPr>
              <w:pStyle w:val="Milestonetable"/>
              <w:rPr>
                <w:rFonts w:asciiTheme="minorHAnsi" w:hAnsiTheme="minorHAnsi" w:cstheme="minorHAnsi"/>
              </w:rPr>
            </w:pPr>
            <w:r w:rsidRPr="00495CF7">
              <w:rPr>
                <w:rFonts w:asciiTheme="minorHAnsi" w:hAnsiTheme="minorHAnsi" w:cstheme="minorHAnsi"/>
              </w:rPr>
              <w:t xml:space="preserve">New community-based mental health and wellbeing services for adults </w:t>
            </w:r>
          </w:p>
        </w:tc>
        <w:tc>
          <w:tcPr>
            <w:tcW w:w="7513" w:type="dxa"/>
            <w:tcBorders>
              <w:top w:val="single" w:sz="8" w:space="0" w:color="4F81BD"/>
              <w:left w:val="single" w:sz="8" w:space="0" w:color="4F81BD"/>
              <w:bottom w:val="single" w:sz="8" w:space="0" w:color="4F81BD"/>
              <w:right w:val="single" w:sz="8" w:space="0" w:color="4F81BD"/>
            </w:tcBorders>
          </w:tcPr>
          <w:p w14:paraId="385AAB6F"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Confirmation of total expenditure</w:t>
            </w:r>
          </w:p>
          <w:p w14:paraId="096F8630" w14:textId="77777777" w:rsidR="00264327" w:rsidRPr="00CA4171" w:rsidDel="00EA5BE4" w:rsidRDefault="00264327" w:rsidP="00CA4171">
            <w:pPr>
              <w:pStyle w:val="Milestonetable"/>
              <w:numPr>
                <w:ilvl w:val="0"/>
                <w:numId w:val="6"/>
              </w:numPr>
              <w:ind w:left="455"/>
              <w:rPr>
                <w:rFonts w:asciiTheme="minorHAnsi" w:hAnsiTheme="minorHAnsi" w:cstheme="minorHAnsi"/>
                <w:b w:val="0"/>
              </w:rPr>
            </w:pPr>
            <w:r w:rsidRPr="00CA4171" w:rsidDel="00EA5BE4">
              <w:rPr>
                <w:rFonts w:asciiTheme="minorHAnsi" w:hAnsiTheme="minorHAnsi" w:cstheme="minorHAnsi"/>
                <w:b w:val="0"/>
              </w:rPr>
              <w:t>Assessment of integration approach, including referral in and out of Head to Health</w:t>
            </w:r>
          </w:p>
          <w:p w14:paraId="167B9025" w14:textId="77777777" w:rsidR="00264327" w:rsidRPr="00CA4171" w:rsidDel="00EA5BE4" w:rsidRDefault="00264327" w:rsidP="00CA4171">
            <w:pPr>
              <w:pStyle w:val="Milestonetable"/>
              <w:numPr>
                <w:ilvl w:val="0"/>
                <w:numId w:val="6"/>
              </w:numPr>
              <w:ind w:left="455"/>
              <w:rPr>
                <w:rFonts w:asciiTheme="minorHAnsi" w:hAnsiTheme="minorHAnsi" w:cstheme="minorHAnsi"/>
                <w:b w:val="0"/>
              </w:rPr>
            </w:pPr>
            <w:r w:rsidRPr="00CA4171" w:rsidDel="00EA5BE4">
              <w:rPr>
                <w:rFonts w:asciiTheme="minorHAnsi" w:hAnsiTheme="minorHAnsi" w:cstheme="minorHAnsi"/>
                <w:b w:val="0"/>
              </w:rPr>
              <w:t>Assessment of outcomes at start and end of episode</w:t>
            </w:r>
          </w:p>
          <w:p w14:paraId="1D559178" w14:textId="5C63DD64" w:rsidR="00264327" w:rsidRPr="00CA4171" w:rsidRDefault="00264327" w:rsidP="00CA4171">
            <w:pPr>
              <w:pStyle w:val="Milestonetable"/>
              <w:numPr>
                <w:ilvl w:val="0"/>
                <w:numId w:val="6"/>
              </w:numPr>
              <w:ind w:left="455"/>
              <w:rPr>
                <w:rFonts w:asciiTheme="minorHAnsi" w:hAnsiTheme="minorHAnsi" w:cstheme="minorHAnsi"/>
                <w:b w:val="0"/>
              </w:rPr>
            </w:pPr>
            <w:r w:rsidRPr="00CA4171" w:rsidDel="008D1F93">
              <w:rPr>
                <w:rFonts w:asciiTheme="minorHAnsi" w:hAnsiTheme="minorHAnsi" w:cstheme="minorHAnsi"/>
                <w:b w:val="0"/>
              </w:rPr>
              <w:t>Progress against evaluation and all</w:t>
            </w:r>
            <w:r w:rsidRPr="00CA4171">
              <w:rPr>
                <w:rFonts w:asciiTheme="minorHAnsi" w:hAnsiTheme="minorHAnsi" w:cstheme="minorHAnsi"/>
                <w:b w:val="0"/>
              </w:rPr>
              <w:t xml:space="preserve"> evaluation findings have been made available to the Commonwealth and Victoria by the end of this </w:t>
            </w:r>
            <w:r w:rsidR="008B3230" w:rsidRPr="00CA4171">
              <w:rPr>
                <w:rFonts w:asciiTheme="minorHAnsi" w:hAnsiTheme="minorHAnsi" w:cstheme="minorHAnsi"/>
                <w:b w:val="0"/>
              </w:rPr>
              <w:t>Schedule</w:t>
            </w:r>
            <w:r w:rsidRPr="00CA4171">
              <w:rPr>
                <w:rFonts w:asciiTheme="minorHAnsi" w:hAnsiTheme="minorHAnsi" w:cstheme="minorHAnsi"/>
                <w:b w:val="0"/>
              </w:rPr>
              <w:t>.</w:t>
            </w:r>
          </w:p>
        </w:tc>
      </w:tr>
      <w:tr w:rsidR="00264327" w:rsidRPr="00900863" w14:paraId="426D219B" w14:textId="77777777" w:rsidTr="00480E19">
        <w:trPr>
          <w:trHeight w:val="514"/>
        </w:trPr>
        <w:tc>
          <w:tcPr>
            <w:tcW w:w="2967" w:type="dxa"/>
            <w:tcBorders>
              <w:top w:val="single" w:sz="8" w:space="0" w:color="4F81BD"/>
              <w:left w:val="single" w:sz="8" w:space="0" w:color="4F81BD"/>
              <w:right w:val="single" w:sz="8" w:space="0" w:color="4F81BD"/>
            </w:tcBorders>
          </w:tcPr>
          <w:p w14:paraId="663452AB" w14:textId="630CAD43" w:rsidR="00264327" w:rsidRPr="00211B4B" w:rsidRDefault="00A32AC2" w:rsidP="00480E19">
            <w:pPr>
              <w:pStyle w:val="Milestonetable"/>
              <w:rPr>
                <w:rFonts w:asciiTheme="minorHAnsi" w:hAnsiTheme="minorHAnsi" w:cstheme="minorHAnsi"/>
              </w:rPr>
            </w:pPr>
            <w:r w:rsidRPr="00495CF7">
              <w:rPr>
                <w:rFonts w:asciiTheme="minorHAnsi" w:hAnsiTheme="minorHAnsi" w:cstheme="minorHAnsi"/>
              </w:rPr>
              <w:t xml:space="preserve">New community-based health and wellbeing services for infants, children and families </w:t>
            </w:r>
          </w:p>
        </w:tc>
        <w:tc>
          <w:tcPr>
            <w:tcW w:w="7513" w:type="dxa"/>
            <w:tcBorders>
              <w:top w:val="single" w:sz="8" w:space="0" w:color="4F81BD"/>
              <w:left w:val="single" w:sz="8" w:space="0" w:color="4F81BD"/>
              <w:bottom w:val="single" w:sz="8" w:space="0" w:color="4F81BD"/>
              <w:right w:val="single" w:sz="8" w:space="0" w:color="4F81BD"/>
            </w:tcBorders>
          </w:tcPr>
          <w:p w14:paraId="0054452A"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Confirmation of total expenditure</w:t>
            </w:r>
          </w:p>
          <w:p w14:paraId="3BEE03F8" w14:textId="785FD288" w:rsidR="00264327" w:rsidRPr="00CA4171" w:rsidDel="00EA5BE4" w:rsidRDefault="00264327" w:rsidP="00CA4171">
            <w:pPr>
              <w:pStyle w:val="Milestonetable"/>
              <w:numPr>
                <w:ilvl w:val="0"/>
                <w:numId w:val="6"/>
              </w:numPr>
              <w:ind w:left="455"/>
              <w:rPr>
                <w:rFonts w:asciiTheme="minorHAnsi" w:hAnsiTheme="minorHAnsi" w:cstheme="minorHAnsi"/>
                <w:b w:val="0"/>
              </w:rPr>
            </w:pPr>
            <w:r w:rsidRPr="00CA4171" w:rsidDel="00EA5BE4">
              <w:rPr>
                <w:rFonts w:asciiTheme="minorHAnsi" w:hAnsiTheme="minorHAnsi" w:cstheme="minorHAnsi"/>
                <w:b w:val="0"/>
              </w:rPr>
              <w:t xml:space="preserve">Assessment of integration approach, including referral in and out of </w:t>
            </w:r>
            <w:r w:rsidR="00A427C0" w:rsidRPr="00CA4171">
              <w:rPr>
                <w:rFonts w:asciiTheme="minorHAnsi" w:hAnsiTheme="minorHAnsi" w:cstheme="minorHAnsi"/>
                <w:b w:val="0"/>
              </w:rPr>
              <w:t>Victoria’s Infant, Child and Family Hubs</w:t>
            </w:r>
          </w:p>
          <w:p w14:paraId="351B2546" w14:textId="546A1B6E" w:rsidR="00264327" w:rsidRPr="00CA4171" w:rsidDel="00EA5BE4" w:rsidRDefault="00264327" w:rsidP="00CA4171">
            <w:pPr>
              <w:pStyle w:val="Milestonetable"/>
              <w:numPr>
                <w:ilvl w:val="0"/>
                <w:numId w:val="6"/>
              </w:numPr>
              <w:ind w:left="455"/>
              <w:rPr>
                <w:rFonts w:asciiTheme="minorHAnsi" w:hAnsiTheme="minorHAnsi" w:cstheme="minorHAnsi"/>
                <w:b w:val="0"/>
              </w:rPr>
            </w:pPr>
            <w:r w:rsidRPr="00CA4171" w:rsidDel="00EA5BE4">
              <w:rPr>
                <w:rFonts w:asciiTheme="minorHAnsi" w:hAnsiTheme="minorHAnsi" w:cstheme="minorHAnsi"/>
                <w:b w:val="0"/>
              </w:rPr>
              <w:t>Assessment of outcomes at start and end of episode</w:t>
            </w:r>
          </w:p>
          <w:p w14:paraId="6D71D108" w14:textId="09A87503"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 xml:space="preserve">Progress against evaluation and all evaluation findings have been made available to the Commonwealth and Victoria by the end of this </w:t>
            </w:r>
            <w:r w:rsidR="008B3230" w:rsidRPr="00CA4171">
              <w:rPr>
                <w:rFonts w:asciiTheme="minorHAnsi" w:hAnsiTheme="minorHAnsi" w:cstheme="minorHAnsi"/>
                <w:b w:val="0"/>
              </w:rPr>
              <w:t>Schedule</w:t>
            </w:r>
            <w:r w:rsidRPr="00CA4171">
              <w:rPr>
                <w:rFonts w:asciiTheme="minorHAnsi" w:hAnsiTheme="minorHAnsi" w:cstheme="minorHAnsi"/>
                <w:b w:val="0"/>
              </w:rPr>
              <w:t>.</w:t>
            </w:r>
          </w:p>
        </w:tc>
      </w:tr>
      <w:tr w:rsidR="00264327" w:rsidRPr="00900863" w14:paraId="06E7067E" w14:textId="77777777" w:rsidTr="00480E19">
        <w:trPr>
          <w:trHeight w:val="514"/>
        </w:trPr>
        <w:tc>
          <w:tcPr>
            <w:tcW w:w="2967" w:type="dxa"/>
            <w:tcBorders>
              <w:top w:val="single" w:sz="8" w:space="0" w:color="4F81BD"/>
              <w:left w:val="single" w:sz="8" w:space="0" w:color="4F81BD"/>
              <w:right w:val="single" w:sz="8" w:space="0" w:color="4F81BD"/>
            </w:tcBorders>
          </w:tcPr>
          <w:p w14:paraId="6FAF2154" w14:textId="77777777" w:rsidR="00264327" w:rsidRPr="00900863" w:rsidRDefault="00264327" w:rsidP="00480E19">
            <w:pPr>
              <w:pStyle w:val="Milestonetable"/>
              <w:rPr>
                <w:rFonts w:asciiTheme="minorHAnsi" w:hAnsiTheme="minorHAnsi" w:cstheme="minorHAnsi"/>
              </w:rPr>
            </w:pPr>
            <w:r w:rsidRPr="00900863">
              <w:rPr>
                <w:rFonts w:asciiTheme="minorHAnsi" w:hAnsiTheme="minorHAnsi" w:cstheme="minorHAnsi"/>
              </w:rPr>
              <w:t>Enhancement and Integration of youth mental health services</w:t>
            </w:r>
          </w:p>
        </w:tc>
        <w:tc>
          <w:tcPr>
            <w:tcW w:w="7513" w:type="dxa"/>
            <w:tcBorders>
              <w:top w:val="single" w:sz="8" w:space="0" w:color="4F81BD"/>
              <w:left w:val="single" w:sz="8" w:space="0" w:color="4F81BD"/>
              <w:bottom w:val="single" w:sz="8" w:space="0" w:color="4F81BD"/>
              <w:right w:val="single" w:sz="8" w:space="0" w:color="4F81BD"/>
            </w:tcBorders>
          </w:tcPr>
          <w:p w14:paraId="2C9E948B"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Progress of implementation against jointly developed plan.</w:t>
            </w:r>
          </w:p>
          <w:p w14:paraId="5AB56A3E"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 xml:space="preserve">Assessment of initiative outcomes.  </w:t>
            </w:r>
          </w:p>
          <w:p w14:paraId="7CB9ACE1"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 xml:space="preserve">Confirmation of total expenditure. </w:t>
            </w:r>
          </w:p>
          <w:p w14:paraId="7A2A2434"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Assessment of integration approach</w:t>
            </w:r>
          </w:p>
          <w:p w14:paraId="3DBBD175"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Identification of ongoing activities to maintain integration of services</w:t>
            </w:r>
          </w:p>
          <w:p w14:paraId="695F4500" w14:textId="55F2F0D5"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 xml:space="preserve">Progress against evaluation and all evaluation findings have been made available to the Commonwealth and Victoria by the end of this </w:t>
            </w:r>
            <w:r w:rsidR="008B3230" w:rsidRPr="00CA4171">
              <w:rPr>
                <w:rFonts w:asciiTheme="minorHAnsi" w:hAnsiTheme="minorHAnsi" w:cstheme="minorHAnsi"/>
                <w:b w:val="0"/>
              </w:rPr>
              <w:t>Schedule</w:t>
            </w:r>
            <w:r w:rsidRPr="00CA4171">
              <w:rPr>
                <w:rFonts w:asciiTheme="minorHAnsi" w:hAnsiTheme="minorHAnsi" w:cstheme="minorHAnsi"/>
                <w:b w:val="0"/>
              </w:rPr>
              <w:t>.</w:t>
            </w:r>
          </w:p>
        </w:tc>
      </w:tr>
      <w:tr w:rsidR="00264327" w:rsidRPr="00900863" w14:paraId="35CAA03D" w14:textId="77777777" w:rsidTr="00480E19">
        <w:trPr>
          <w:trHeight w:val="514"/>
        </w:trPr>
        <w:tc>
          <w:tcPr>
            <w:tcW w:w="2967" w:type="dxa"/>
            <w:tcBorders>
              <w:top w:val="single" w:sz="8" w:space="0" w:color="4F81BD"/>
              <w:left w:val="single" w:sz="8" w:space="0" w:color="4F81BD"/>
              <w:right w:val="single" w:sz="8" w:space="0" w:color="4F81BD"/>
            </w:tcBorders>
          </w:tcPr>
          <w:p w14:paraId="67F0BC0E" w14:textId="77777777" w:rsidR="00264327" w:rsidRPr="00900863" w:rsidRDefault="00264327" w:rsidP="00480E19">
            <w:pPr>
              <w:pStyle w:val="Milestonetable"/>
              <w:rPr>
                <w:rFonts w:asciiTheme="minorHAnsi" w:hAnsiTheme="minorHAnsi" w:cstheme="minorHAnsi"/>
              </w:rPr>
            </w:pPr>
            <w:r>
              <w:rPr>
                <w:rFonts w:asciiTheme="minorHAnsi" w:hAnsiTheme="minorHAnsi" w:cstheme="minorHAnsi"/>
              </w:rPr>
              <w:t>Universal Aftercare Services</w:t>
            </w:r>
          </w:p>
        </w:tc>
        <w:tc>
          <w:tcPr>
            <w:tcW w:w="7513" w:type="dxa"/>
            <w:tcBorders>
              <w:top w:val="single" w:sz="8" w:space="0" w:color="4F81BD"/>
              <w:left w:val="single" w:sz="8" w:space="0" w:color="4F81BD"/>
              <w:bottom w:val="single" w:sz="8" w:space="0" w:color="4F81BD"/>
              <w:right w:val="single" w:sz="8" w:space="0" w:color="4F81BD"/>
            </w:tcBorders>
          </w:tcPr>
          <w:p w14:paraId="196B4C57"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Progress of implementation against jointly developed plan.</w:t>
            </w:r>
          </w:p>
          <w:p w14:paraId="445C649F"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 xml:space="preserve">Assessment of initiative outcomes.  </w:t>
            </w:r>
          </w:p>
          <w:p w14:paraId="278CF863"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 xml:space="preserve">Confirmation of total expenditure. </w:t>
            </w:r>
          </w:p>
          <w:p w14:paraId="6621B286" w14:textId="7117FF3D"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 xml:space="preserve">Progress against evaluation and all evaluation findings have been made available to the Commonwealth and Victoria by the end of this </w:t>
            </w:r>
            <w:r w:rsidR="008B3230" w:rsidRPr="00CA4171">
              <w:rPr>
                <w:rFonts w:asciiTheme="minorHAnsi" w:hAnsiTheme="minorHAnsi" w:cstheme="minorHAnsi"/>
                <w:b w:val="0"/>
              </w:rPr>
              <w:t>Schedule</w:t>
            </w:r>
            <w:r w:rsidRPr="00CA4171">
              <w:rPr>
                <w:rFonts w:asciiTheme="minorHAnsi" w:hAnsiTheme="minorHAnsi" w:cstheme="minorHAnsi"/>
                <w:b w:val="0"/>
              </w:rPr>
              <w:t>.</w:t>
            </w:r>
          </w:p>
        </w:tc>
      </w:tr>
      <w:tr w:rsidR="00264327" w:rsidRPr="00900863" w14:paraId="0277BFA7" w14:textId="77777777" w:rsidTr="00480E19">
        <w:trPr>
          <w:trHeight w:val="513"/>
        </w:trPr>
        <w:tc>
          <w:tcPr>
            <w:tcW w:w="2967" w:type="dxa"/>
            <w:tcBorders>
              <w:left w:val="single" w:sz="8" w:space="0" w:color="4F81BD"/>
              <w:right w:val="single" w:sz="8" w:space="0" w:color="4F81BD"/>
            </w:tcBorders>
          </w:tcPr>
          <w:p w14:paraId="39720AAB" w14:textId="7143B121" w:rsidR="00264327" w:rsidRPr="00900863" w:rsidRDefault="00264327" w:rsidP="00480E19">
            <w:pPr>
              <w:pStyle w:val="Milestonetable"/>
              <w:rPr>
                <w:rFonts w:asciiTheme="minorHAnsi" w:hAnsiTheme="minorHAnsi" w:cstheme="minorHAnsi"/>
              </w:rPr>
            </w:pPr>
            <w:r w:rsidRPr="00263CF9">
              <w:rPr>
                <w:rFonts w:asciiTheme="minorHAnsi" w:hAnsiTheme="minorHAnsi" w:cstheme="minorHAnsi"/>
              </w:rPr>
              <w:t>Regional Planning and Commissioning</w:t>
            </w:r>
          </w:p>
        </w:tc>
        <w:tc>
          <w:tcPr>
            <w:tcW w:w="7513" w:type="dxa"/>
            <w:tcBorders>
              <w:top w:val="single" w:sz="8" w:space="0" w:color="4F81BD"/>
              <w:left w:val="single" w:sz="8" w:space="0" w:color="4F81BD"/>
              <w:bottom w:val="single" w:sz="8" w:space="0" w:color="4F81BD"/>
              <w:right w:val="single" w:sz="8" w:space="0" w:color="4F81BD"/>
            </w:tcBorders>
          </w:tcPr>
          <w:p w14:paraId="67101909" w14:textId="75E03BA4"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Ongoing collaboration, implementation and governance in line with comprehensive statewide plan for each region, with identified priorities and actions.</w:t>
            </w:r>
          </w:p>
          <w:p w14:paraId="6F9D6315" w14:textId="75CE1A78"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 xml:space="preserve">Progress towards co-commissioning trials to improve integration between Commonwealth and State funded services.  </w:t>
            </w:r>
          </w:p>
          <w:p w14:paraId="03EEFD4A"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Identified priorities and actions should inform further reform and planning processes.</w:t>
            </w:r>
          </w:p>
        </w:tc>
      </w:tr>
      <w:tr w:rsidR="00264327" w:rsidRPr="00900863" w14:paraId="77D993CF" w14:textId="77777777" w:rsidTr="00480E19">
        <w:trPr>
          <w:trHeight w:val="514"/>
        </w:trPr>
        <w:tc>
          <w:tcPr>
            <w:tcW w:w="2967" w:type="dxa"/>
            <w:tcBorders>
              <w:top w:val="single" w:sz="8" w:space="0" w:color="4F81BD"/>
              <w:left w:val="single" w:sz="8" w:space="0" w:color="4F81BD"/>
              <w:right w:val="single" w:sz="8" w:space="0" w:color="4F81BD"/>
            </w:tcBorders>
          </w:tcPr>
          <w:p w14:paraId="47000CE2" w14:textId="1D380317" w:rsidR="00264327" w:rsidRPr="00900863" w:rsidRDefault="00264327" w:rsidP="00480E19">
            <w:pPr>
              <w:pStyle w:val="Milestonetable"/>
              <w:rPr>
                <w:rFonts w:asciiTheme="minorHAnsi" w:hAnsiTheme="minorHAnsi" w:cstheme="minorHAnsi"/>
              </w:rPr>
            </w:pPr>
            <w:r w:rsidRPr="00900863">
              <w:rPr>
                <w:rFonts w:ascii="Calibri" w:hAnsi="Calibri"/>
                <w:lang w:eastAsia="en-US"/>
              </w:rPr>
              <w:t>Distress</w:t>
            </w:r>
            <w:r w:rsidR="008A196E">
              <w:rPr>
                <w:rFonts w:ascii="Calibri" w:hAnsi="Calibri"/>
                <w:lang w:eastAsia="en-US"/>
              </w:rPr>
              <w:t xml:space="preserve"> </w:t>
            </w:r>
            <w:r w:rsidR="00AB1D3C">
              <w:rPr>
                <w:rFonts w:ascii="Calibri" w:hAnsi="Calibri"/>
                <w:lang w:eastAsia="en-US"/>
              </w:rPr>
              <w:t>Support Brief</w:t>
            </w:r>
            <w:r w:rsidRPr="00900863">
              <w:rPr>
                <w:rFonts w:ascii="Calibri" w:hAnsi="Calibri"/>
                <w:lang w:eastAsia="en-US"/>
              </w:rPr>
              <w:t xml:space="preserve"> Trial Program</w:t>
            </w:r>
          </w:p>
        </w:tc>
        <w:tc>
          <w:tcPr>
            <w:tcW w:w="7513" w:type="dxa"/>
            <w:tcBorders>
              <w:top w:val="single" w:sz="8" w:space="0" w:color="4F81BD"/>
              <w:left w:val="single" w:sz="8" w:space="0" w:color="4F81BD"/>
              <w:bottom w:val="single" w:sz="8" w:space="0" w:color="4F81BD"/>
              <w:right w:val="single" w:sz="8" w:space="0" w:color="4F81BD"/>
            </w:tcBorders>
          </w:tcPr>
          <w:p w14:paraId="67FB222D"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Progress of implementation against jointly developed plan.</w:t>
            </w:r>
          </w:p>
          <w:p w14:paraId="285B14A8"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 xml:space="preserve">Assessment of initiative outcomes.  </w:t>
            </w:r>
          </w:p>
          <w:p w14:paraId="4934319F"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Confirmation of total expenditure.</w:t>
            </w:r>
          </w:p>
          <w:p w14:paraId="72606A43" w14:textId="1AFA0FC6"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 xml:space="preserve">Progress against evaluation and all evaluation findings have been made available to the Commonwealth and Victoria by the end of this </w:t>
            </w:r>
            <w:r w:rsidR="008B3230" w:rsidRPr="00CA4171">
              <w:rPr>
                <w:rFonts w:asciiTheme="minorHAnsi" w:hAnsiTheme="minorHAnsi" w:cstheme="minorHAnsi"/>
                <w:b w:val="0"/>
              </w:rPr>
              <w:t>Schedule</w:t>
            </w:r>
            <w:r w:rsidRPr="00CA4171">
              <w:rPr>
                <w:rFonts w:asciiTheme="minorHAnsi" w:hAnsiTheme="minorHAnsi" w:cstheme="minorHAnsi"/>
                <w:b w:val="0"/>
              </w:rPr>
              <w:t>.</w:t>
            </w:r>
          </w:p>
        </w:tc>
      </w:tr>
      <w:tr w:rsidR="00264327" w:rsidRPr="00900863" w14:paraId="1743A860" w14:textId="77777777" w:rsidTr="00480E19">
        <w:trPr>
          <w:trHeight w:val="513"/>
        </w:trPr>
        <w:tc>
          <w:tcPr>
            <w:tcW w:w="2967" w:type="dxa"/>
            <w:tcBorders>
              <w:left w:val="single" w:sz="8" w:space="0" w:color="4F81BD"/>
              <w:right w:val="single" w:sz="8" w:space="0" w:color="4F81BD"/>
            </w:tcBorders>
          </w:tcPr>
          <w:p w14:paraId="7108559F" w14:textId="77777777" w:rsidR="00264327" w:rsidRPr="00900863" w:rsidRDefault="00264327" w:rsidP="00480E19">
            <w:pPr>
              <w:pStyle w:val="Milestonetable"/>
              <w:rPr>
                <w:rFonts w:asciiTheme="minorHAnsi" w:hAnsiTheme="minorHAnsi" w:cstheme="minorHAnsi"/>
                <w:b w:val="0"/>
                <w:bCs w:val="0"/>
              </w:rPr>
            </w:pPr>
            <w:r w:rsidRPr="00900863">
              <w:rPr>
                <w:rFonts w:ascii="Calibri" w:hAnsi="Calibri"/>
                <w:lang w:eastAsia="en-US"/>
              </w:rPr>
              <w:t xml:space="preserve">Postvention Support </w:t>
            </w:r>
          </w:p>
        </w:tc>
        <w:tc>
          <w:tcPr>
            <w:tcW w:w="7513" w:type="dxa"/>
            <w:tcBorders>
              <w:top w:val="single" w:sz="8" w:space="0" w:color="4F81BD"/>
              <w:left w:val="single" w:sz="8" w:space="0" w:color="4F81BD"/>
              <w:bottom w:val="single" w:sz="8" w:space="0" w:color="4F81BD"/>
              <w:right w:val="single" w:sz="8" w:space="0" w:color="4F81BD"/>
            </w:tcBorders>
          </w:tcPr>
          <w:p w14:paraId="67C9A47A"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Progress of implementation against jointly developed plan.</w:t>
            </w:r>
          </w:p>
          <w:p w14:paraId="3DB7D5EE"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 xml:space="preserve">Assessment of initiative outcomes.  </w:t>
            </w:r>
          </w:p>
          <w:p w14:paraId="5096DDBB"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Confirmation of total expenditure.</w:t>
            </w:r>
          </w:p>
          <w:p w14:paraId="46C539B5" w14:textId="2133F468"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 xml:space="preserve">Progress against evaluation and all evaluation findings have been made available to the Commonwealth and Victoria by the end of this </w:t>
            </w:r>
            <w:r w:rsidR="008B3230" w:rsidRPr="00CA4171">
              <w:rPr>
                <w:rFonts w:asciiTheme="minorHAnsi" w:hAnsiTheme="minorHAnsi" w:cstheme="minorHAnsi"/>
                <w:b w:val="0"/>
              </w:rPr>
              <w:t>Schedule</w:t>
            </w:r>
            <w:r w:rsidRPr="00CA4171">
              <w:rPr>
                <w:rFonts w:asciiTheme="minorHAnsi" w:hAnsiTheme="minorHAnsi" w:cstheme="minorHAnsi"/>
                <w:b w:val="0"/>
              </w:rPr>
              <w:t>.</w:t>
            </w:r>
          </w:p>
        </w:tc>
      </w:tr>
      <w:tr w:rsidR="00264327" w:rsidRPr="00900863" w14:paraId="5C884845" w14:textId="77777777" w:rsidTr="00480E19">
        <w:trPr>
          <w:trHeight w:val="513"/>
        </w:trPr>
        <w:tc>
          <w:tcPr>
            <w:tcW w:w="2967" w:type="dxa"/>
            <w:tcBorders>
              <w:left w:val="single" w:sz="8" w:space="0" w:color="4F81BD"/>
              <w:right w:val="single" w:sz="8" w:space="0" w:color="4F81BD"/>
            </w:tcBorders>
          </w:tcPr>
          <w:p w14:paraId="199F39A1" w14:textId="77777777" w:rsidR="00264327" w:rsidRPr="00900863" w:rsidRDefault="00264327" w:rsidP="00480E19">
            <w:pPr>
              <w:pStyle w:val="Milestonetable"/>
              <w:rPr>
                <w:rFonts w:asciiTheme="minorHAnsi" w:hAnsiTheme="minorHAnsi" w:cstheme="minorHAnsi"/>
              </w:rPr>
            </w:pPr>
            <w:r w:rsidRPr="00900863">
              <w:rPr>
                <w:rFonts w:ascii="Calibri" w:hAnsi="Calibri"/>
                <w:lang w:eastAsia="en-US"/>
              </w:rPr>
              <w:t xml:space="preserve">Perinatal mental health screening </w:t>
            </w:r>
          </w:p>
        </w:tc>
        <w:tc>
          <w:tcPr>
            <w:tcW w:w="7513" w:type="dxa"/>
            <w:tcBorders>
              <w:top w:val="single" w:sz="8" w:space="0" w:color="4F81BD"/>
              <w:left w:val="single" w:sz="8" w:space="0" w:color="4F81BD"/>
              <w:bottom w:val="single" w:sz="8" w:space="0" w:color="4F81BD"/>
              <w:right w:val="single" w:sz="8" w:space="0" w:color="4F81BD"/>
            </w:tcBorders>
          </w:tcPr>
          <w:p w14:paraId="0C72854C" w14:textId="6B3B7E0A"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Progress of implementation against jointly developed plan, including national reporting of</w:t>
            </w:r>
            <w:r w:rsidR="00285837" w:rsidRPr="00CA4171">
              <w:rPr>
                <w:rFonts w:asciiTheme="minorHAnsi" w:hAnsiTheme="minorHAnsi" w:cstheme="minorHAnsi"/>
                <w:b w:val="0"/>
              </w:rPr>
              <w:t xml:space="preserve"> nationally agreed</w:t>
            </w:r>
            <w:r w:rsidRPr="00CA4171">
              <w:rPr>
                <w:rFonts w:asciiTheme="minorHAnsi" w:hAnsiTheme="minorHAnsi" w:cstheme="minorHAnsi"/>
                <w:b w:val="0"/>
              </w:rPr>
              <w:t xml:space="preserve"> perinatal mental health data to the AIHW</w:t>
            </w:r>
            <w:r w:rsidR="00E53830" w:rsidRPr="00CA4171">
              <w:rPr>
                <w:rFonts w:asciiTheme="minorHAnsi" w:hAnsiTheme="minorHAnsi" w:cstheme="minorHAnsi"/>
                <w:b w:val="0"/>
              </w:rPr>
              <w:t xml:space="preserve"> via agreed mechanisms</w:t>
            </w:r>
            <w:r w:rsidRPr="00CA4171">
              <w:rPr>
                <w:rFonts w:asciiTheme="minorHAnsi" w:hAnsiTheme="minorHAnsi" w:cstheme="minorHAnsi"/>
                <w:b w:val="0"/>
              </w:rPr>
              <w:t>.</w:t>
            </w:r>
          </w:p>
          <w:p w14:paraId="207063BE"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 xml:space="preserve">Assessment of initiative outcomes.  </w:t>
            </w:r>
          </w:p>
          <w:p w14:paraId="6564867D" w14:textId="47B1714F"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Confirmation of total expenditure.</w:t>
            </w:r>
          </w:p>
        </w:tc>
      </w:tr>
      <w:tr w:rsidR="00264327" w:rsidRPr="00900863" w14:paraId="6419896F" w14:textId="77777777" w:rsidTr="00480E19">
        <w:trPr>
          <w:trHeight w:val="513"/>
        </w:trPr>
        <w:tc>
          <w:tcPr>
            <w:tcW w:w="2967" w:type="dxa"/>
            <w:tcBorders>
              <w:left w:val="single" w:sz="8" w:space="0" w:color="4F81BD"/>
              <w:right w:val="single" w:sz="8" w:space="0" w:color="4F81BD"/>
            </w:tcBorders>
          </w:tcPr>
          <w:p w14:paraId="73495741" w14:textId="00AE2C82" w:rsidR="00264327" w:rsidRPr="00900863" w:rsidRDefault="00264327" w:rsidP="00480E19">
            <w:pPr>
              <w:pStyle w:val="Milestonetable"/>
              <w:rPr>
                <w:rFonts w:asciiTheme="minorHAnsi" w:hAnsiTheme="minorHAnsi" w:cstheme="minorHAnsi"/>
              </w:rPr>
            </w:pPr>
            <w:r>
              <w:rPr>
                <w:rFonts w:asciiTheme="minorHAnsi" w:hAnsiTheme="minorHAnsi" w:cstheme="minorHAnsi"/>
              </w:rPr>
              <w:t>Initial</w:t>
            </w:r>
            <w:r w:rsidRPr="00900863">
              <w:rPr>
                <w:rFonts w:asciiTheme="minorHAnsi" w:hAnsiTheme="minorHAnsi" w:cstheme="minorHAnsi"/>
              </w:rPr>
              <w:t xml:space="preserve"> Assessment and Referral </w:t>
            </w:r>
          </w:p>
        </w:tc>
        <w:tc>
          <w:tcPr>
            <w:tcW w:w="7513" w:type="dxa"/>
            <w:tcBorders>
              <w:top w:val="single" w:sz="8" w:space="0" w:color="4F81BD"/>
              <w:left w:val="single" w:sz="8" w:space="0" w:color="4F81BD"/>
              <w:bottom w:val="single" w:sz="8" w:space="0" w:color="4F81BD"/>
              <w:right w:val="single" w:sz="8" w:space="0" w:color="4F81BD"/>
            </w:tcBorders>
          </w:tcPr>
          <w:p w14:paraId="5FA550CC" w14:textId="77777777" w:rsidR="00264327" w:rsidRPr="00CA4171" w:rsidRDefault="00264327" w:rsidP="00CA4171">
            <w:pPr>
              <w:pStyle w:val="Milestonetable"/>
              <w:numPr>
                <w:ilvl w:val="0"/>
                <w:numId w:val="6"/>
              </w:numPr>
              <w:ind w:left="455"/>
              <w:rPr>
                <w:rFonts w:asciiTheme="minorHAnsi" w:hAnsiTheme="minorHAnsi" w:cstheme="minorHAnsi"/>
                <w:b w:val="0"/>
              </w:rPr>
            </w:pPr>
            <w:r w:rsidRPr="00CA4171">
              <w:rPr>
                <w:rFonts w:asciiTheme="minorHAnsi" w:hAnsiTheme="minorHAnsi" w:cstheme="minorHAnsi"/>
                <w:b w:val="0"/>
              </w:rPr>
              <w:t xml:space="preserve">Report on any remaining State-funded services and clinical services that </w:t>
            </w:r>
            <w:proofErr w:type="gramStart"/>
            <w:r w:rsidRPr="00CA4171">
              <w:rPr>
                <w:rFonts w:asciiTheme="minorHAnsi" w:hAnsiTheme="minorHAnsi" w:cstheme="minorHAnsi"/>
                <w:b w:val="0"/>
              </w:rPr>
              <w:t>has</w:t>
            </w:r>
            <w:proofErr w:type="gramEnd"/>
            <w:r w:rsidRPr="00CA4171">
              <w:rPr>
                <w:rFonts w:asciiTheme="minorHAnsi" w:hAnsiTheme="minorHAnsi" w:cstheme="minorHAnsi"/>
                <w:b w:val="0"/>
              </w:rPr>
              <w:t xml:space="preserve"> not adopted the Initial Assessment and Referral tool. </w:t>
            </w:r>
          </w:p>
        </w:tc>
      </w:tr>
    </w:tbl>
    <w:p w14:paraId="60D8624B" w14:textId="77777777" w:rsidR="00264327" w:rsidRPr="00900863" w:rsidRDefault="00264327" w:rsidP="00F72F40">
      <w:pPr>
        <w:rPr>
          <w:b/>
          <w:iCs/>
          <w:sz w:val="24"/>
          <w:szCs w:val="24"/>
        </w:rPr>
      </w:pPr>
    </w:p>
    <w:p w14:paraId="2769D493" w14:textId="77777777" w:rsidR="00BD7947" w:rsidRDefault="00BD7947">
      <w:pPr>
        <w:widowControl/>
        <w:spacing w:after="160" w:line="259" w:lineRule="auto"/>
        <w:rPr>
          <w:rFonts w:ascii="Corbel" w:eastAsiaTheme="majorEastAsia" w:hAnsi="Corbel"/>
          <w:b/>
          <w:bCs/>
          <w:color w:val="1F4E79" w:themeColor="accent1" w:themeShade="80"/>
          <w:sz w:val="32"/>
          <w:szCs w:val="32"/>
        </w:rPr>
      </w:pPr>
      <w:r>
        <w:br w:type="page"/>
      </w:r>
    </w:p>
    <w:p w14:paraId="6E66FE17" w14:textId="425DE6BE" w:rsidR="006E67A2" w:rsidRPr="00900863" w:rsidRDefault="006E67A2" w:rsidP="006E67A2">
      <w:pPr>
        <w:pStyle w:val="Heading1"/>
      </w:pPr>
      <w:r w:rsidRPr="00900863">
        <w:t xml:space="preserve">Annex </w:t>
      </w:r>
      <w:r>
        <w:t>C</w:t>
      </w:r>
      <w:r w:rsidRPr="00900863">
        <w:t xml:space="preserve">: </w:t>
      </w:r>
      <w:r>
        <w:t xml:space="preserve">Regional Planning and Commissioning Framework </w:t>
      </w:r>
    </w:p>
    <w:p w14:paraId="002EA707" w14:textId="77777777" w:rsidR="006E67A2" w:rsidRDefault="006E67A2" w:rsidP="006E67A2">
      <w:pPr>
        <w:rPr>
          <w:rFonts w:cstheme="minorHAnsi"/>
          <w:b/>
          <w:sz w:val="24"/>
          <w:szCs w:val="24"/>
        </w:rPr>
      </w:pPr>
    </w:p>
    <w:p w14:paraId="18CA75F6" w14:textId="7D54AD20" w:rsidR="006E67A2" w:rsidRPr="00F92904" w:rsidRDefault="006E67A2" w:rsidP="674EB8DE">
      <w:pPr>
        <w:pStyle w:val="Body"/>
        <w:rPr>
          <w:rFonts w:asciiTheme="minorHAnsi" w:hAnsiTheme="minorHAnsi" w:cstheme="minorBidi"/>
          <w:sz w:val="20"/>
          <w:lang w:val="en-US"/>
        </w:rPr>
      </w:pPr>
      <w:r w:rsidRPr="674EB8DE">
        <w:rPr>
          <w:rFonts w:asciiTheme="minorHAnsi" w:hAnsiTheme="minorHAnsi" w:cstheme="minorBidi"/>
          <w:sz w:val="20"/>
          <w:lang w:val="en-US"/>
        </w:rPr>
        <w:t>The regional planning and commissioning framework articulates governance instruments and mechanisms at state, regional and initiative levels (</w:t>
      </w:r>
      <w:r w:rsidRPr="674EB8DE">
        <w:rPr>
          <w:rFonts w:asciiTheme="minorHAnsi" w:hAnsiTheme="minorHAnsi" w:cstheme="minorBidi"/>
          <w:b/>
          <w:bCs/>
          <w:sz w:val="20"/>
          <w:lang w:val="en-US"/>
        </w:rPr>
        <w:t xml:space="preserve">Table </w:t>
      </w:r>
      <w:r w:rsidR="005330BB" w:rsidRPr="674EB8DE">
        <w:rPr>
          <w:rFonts w:asciiTheme="minorHAnsi" w:hAnsiTheme="minorHAnsi" w:cstheme="minorBidi"/>
          <w:b/>
          <w:bCs/>
          <w:sz w:val="20"/>
          <w:lang w:val="en-US"/>
        </w:rPr>
        <w:t>6</w:t>
      </w:r>
      <w:r w:rsidRPr="674EB8DE">
        <w:rPr>
          <w:rFonts w:asciiTheme="minorHAnsi" w:hAnsiTheme="minorHAnsi" w:cstheme="minorBidi"/>
          <w:sz w:val="20"/>
          <w:lang w:val="en-US"/>
        </w:rPr>
        <w:t xml:space="preserve">). </w:t>
      </w:r>
    </w:p>
    <w:p w14:paraId="2A1C1D9C" w14:textId="2B56BEDD" w:rsidR="006E67A2" w:rsidRPr="00F92904" w:rsidRDefault="006E67A2" w:rsidP="006E67A2">
      <w:pPr>
        <w:pStyle w:val="Bullet1"/>
        <w:numPr>
          <w:ilvl w:val="0"/>
          <w:numId w:val="0"/>
        </w:numPr>
        <w:ind w:left="284" w:hanging="284"/>
        <w:rPr>
          <w:rFonts w:asciiTheme="minorHAnsi" w:hAnsiTheme="minorHAnsi" w:cstheme="minorHAnsi"/>
          <w:sz w:val="20"/>
        </w:rPr>
      </w:pPr>
      <w:r w:rsidRPr="00F92904">
        <w:rPr>
          <w:rFonts w:asciiTheme="minorHAnsi" w:hAnsiTheme="minorHAnsi" w:cstheme="minorHAnsi"/>
          <w:sz w:val="20"/>
        </w:rPr>
        <w:t xml:space="preserve">At each level of this framework, all </w:t>
      </w:r>
      <w:r w:rsidR="001F654F">
        <w:rPr>
          <w:rFonts w:asciiTheme="minorHAnsi" w:hAnsiTheme="minorHAnsi" w:cstheme="minorHAnsi"/>
          <w:sz w:val="20"/>
        </w:rPr>
        <w:t>P</w:t>
      </w:r>
      <w:r w:rsidRPr="00F92904">
        <w:rPr>
          <w:rFonts w:asciiTheme="minorHAnsi" w:hAnsiTheme="minorHAnsi" w:cstheme="minorHAnsi"/>
          <w:sz w:val="20"/>
        </w:rPr>
        <w:t>arties agree to:</w:t>
      </w:r>
    </w:p>
    <w:p w14:paraId="13A8B735" w14:textId="10353FB7" w:rsidR="006E67A2" w:rsidRPr="00F92904" w:rsidRDefault="006E67A2" w:rsidP="00CA5339">
      <w:pPr>
        <w:pStyle w:val="Bullet1"/>
        <w:ind w:left="709" w:hanging="360"/>
        <w:rPr>
          <w:rFonts w:asciiTheme="minorHAnsi" w:hAnsiTheme="minorHAnsi" w:cstheme="minorHAnsi"/>
          <w:sz w:val="20"/>
        </w:rPr>
      </w:pPr>
      <w:r w:rsidRPr="00F92904">
        <w:rPr>
          <w:rFonts w:asciiTheme="minorHAnsi" w:hAnsiTheme="minorHAnsi" w:cstheme="minorHAnsi"/>
          <w:sz w:val="20"/>
        </w:rPr>
        <w:t xml:space="preserve">align with national guidelines on regional planning and commissioning (to be jointly developed by all </w:t>
      </w:r>
      <w:r w:rsidR="001F654F">
        <w:rPr>
          <w:rFonts w:asciiTheme="minorHAnsi" w:hAnsiTheme="minorHAnsi" w:cstheme="minorHAnsi"/>
          <w:sz w:val="20"/>
        </w:rPr>
        <w:t>P</w:t>
      </w:r>
      <w:r w:rsidRPr="00F92904">
        <w:rPr>
          <w:rFonts w:asciiTheme="minorHAnsi" w:hAnsiTheme="minorHAnsi" w:cstheme="minorHAnsi"/>
          <w:sz w:val="20"/>
        </w:rPr>
        <w:t>arties to the National Agreement)</w:t>
      </w:r>
    </w:p>
    <w:p w14:paraId="4A892786" w14:textId="77777777" w:rsidR="006E67A2" w:rsidRPr="00F92904" w:rsidRDefault="006E67A2" w:rsidP="00CA5339">
      <w:pPr>
        <w:pStyle w:val="Bullet1"/>
        <w:ind w:left="709" w:hanging="360"/>
        <w:rPr>
          <w:rFonts w:asciiTheme="minorHAnsi" w:hAnsiTheme="minorHAnsi" w:cstheme="minorHAnsi"/>
          <w:sz w:val="20"/>
        </w:rPr>
      </w:pPr>
      <w:r w:rsidRPr="00F92904">
        <w:rPr>
          <w:rFonts w:asciiTheme="minorHAnsi" w:hAnsiTheme="minorHAnsi" w:cstheme="minorHAnsi"/>
          <w:sz w:val="20"/>
        </w:rPr>
        <w:t xml:space="preserve">develop agreed referral pathways, shared care protocols and consistent intake and assessment processes </w:t>
      </w:r>
    </w:p>
    <w:p w14:paraId="0ABE0D29" w14:textId="77777777" w:rsidR="006E67A2" w:rsidRPr="00F92904" w:rsidRDefault="006E67A2" w:rsidP="00CA5339">
      <w:pPr>
        <w:pStyle w:val="Bullet1"/>
        <w:ind w:left="709" w:hanging="360"/>
        <w:rPr>
          <w:rFonts w:asciiTheme="minorHAnsi" w:hAnsiTheme="minorHAnsi" w:cstheme="minorHAnsi"/>
          <w:sz w:val="20"/>
        </w:rPr>
      </w:pPr>
      <w:r w:rsidRPr="00F92904">
        <w:rPr>
          <w:rFonts w:asciiTheme="minorHAnsi" w:hAnsiTheme="minorHAnsi" w:cstheme="minorHAnsi"/>
          <w:sz w:val="20"/>
        </w:rPr>
        <w:t>share service and outcomes data</w:t>
      </w:r>
    </w:p>
    <w:p w14:paraId="380B8A54" w14:textId="65230B63" w:rsidR="006E67A2" w:rsidRPr="00F92904" w:rsidRDefault="006E67A2" w:rsidP="00CA5339">
      <w:pPr>
        <w:pStyle w:val="Bullet1"/>
        <w:ind w:left="709" w:hanging="360"/>
        <w:rPr>
          <w:rFonts w:asciiTheme="minorHAnsi" w:hAnsiTheme="minorHAnsi" w:cstheme="minorHAnsi"/>
          <w:sz w:val="20"/>
        </w:rPr>
      </w:pPr>
      <w:r w:rsidRPr="00F92904">
        <w:rPr>
          <w:rFonts w:asciiTheme="minorHAnsi" w:hAnsiTheme="minorHAnsi" w:cstheme="minorHAnsi"/>
          <w:sz w:val="20"/>
        </w:rPr>
        <w:t xml:space="preserve">collaborate on joint capability building activities such as workforce training, secondary consultation, and communities </w:t>
      </w:r>
      <w:r w:rsidR="001F654F">
        <w:rPr>
          <w:rFonts w:asciiTheme="minorHAnsi" w:hAnsiTheme="minorHAnsi" w:cstheme="minorHAnsi"/>
          <w:sz w:val="20"/>
        </w:rPr>
        <w:t>o</w:t>
      </w:r>
      <w:r w:rsidRPr="00F92904">
        <w:rPr>
          <w:rFonts w:asciiTheme="minorHAnsi" w:hAnsiTheme="minorHAnsi" w:cstheme="minorHAnsi"/>
          <w:sz w:val="20"/>
        </w:rPr>
        <w:t>f practice.</w:t>
      </w:r>
    </w:p>
    <w:p w14:paraId="2DC68757" w14:textId="3482A521" w:rsidR="006E67A2" w:rsidRPr="00F92904" w:rsidRDefault="006E67A2" w:rsidP="006E67A2">
      <w:pPr>
        <w:pStyle w:val="Tablecaption"/>
        <w:rPr>
          <w:rFonts w:asciiTheme="minorHAnsi" w:hAnsiTheme="minorHAnsi" w:cstheme="minorHAnsi"/>
          <w:sz w:val="20"/>
        </w:rPr>
      </w:pPr>
      <w:r w:rsidRPr="00F92904">
        <w:rPr>
          <w:rFonts w:asciiTheme="minorHAnsi" w:hAnsiTheme="minorHAnsi" w:cstheme="minorHAnsi"/>
          <w:sz w:val="20"/>
        </w:rPr>
        <w:t xml:space="preserve">Table </w:t>
      </w:r>
      <w:r w:rsidR="005330BB">
        <w:rPr>
          <w:rFonts w:asciiTheme="minorHAnsi" w:hAnsiTheme="minorHAnsi" w:cstheme="minorHAnsi"/>
          <w:sz w:val="20"/>
        </w:rPr>
        <w:t>6</w:t>
      </w:r>
      <w:r w:rsidRPr="00F92904">
        <w:rPr>
          <w:rFonts w:asciiTheme="minorHAnsi" w:hAnsiTheme="minorHAnsi" w:cstheme="minorHAnsi"/>
          <w:sz w:val="20"/>
        </w:rPr>
        <w:t>: Regional commissioning framework between Victoria and the Commonwealth Government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96"/>
        <w:gridCol w:w="1913"/>
        <w:gridCol w:w="2812"/>
        <w:gridCol w:w="3609"/>
      </w:tblGrid>
      <w:tr w:rsidR="00F13315" w:rsidRPr="00F92904" w14:paraId="5E4D2984" w14:textId="77777777" w:rsidTr="00CA4171">
        <w:trPr>
          <w:trHeight w:val="570"/>
        </w:trPr>
        <w:tc>
          <w:tcPr>
            <w:tcW w:w="1296" w:type="dxa"/>
          </w:tcPr>
          <w:p w14:paraId="09693D44" w14:textId="77777777" w:rsidR="00F13315" w:rsidRPr="00F92904" w:rsidRDefault="00F13315" w:rsidP="00F6444F">
            <w:pPr>
              <w:rPr>
                <w:rFonts w:cstheme="minorHAnsi"/>
                <w:sz w:val="20"/>
              </w:rPr>
            </w:pPr>
            <w:r w:rsidRPr="00F92904">
              <w:rPr>
                <w:rFonts w:eastAsia="Arial" w:cstheme="minorHAnsi"/>
                <w:b/>
                <w:bCs/>
                <w:sz w:val="20"/>
              </w:rPr>
              <w:t>System level</w:t>
            </w:r>
          </w:p>
        </w:tc>
        <w:tc>
          <w:tcPr>
            <w:tcW w:w="1913" w:type="dxa"/>
          </w:tcPr>
          <w:p w14:paraId="25600BAF" w14:textId="77777777" w:rsidR="00F13315" w:rsidRPr="00F92904" w:rsidRDefault="00F13315" w:rsidP="00F6444F">
            <w:pPr>
              <w:rPr>
                <w:rFonts w:cstheme="minorHAnsi"/>
                <w:sz w:val="20"/>
              </w:rPr>
            </w:pPr>
            <w:r w:rsidRPr="00F92904">
              <w:rPr>
                <w:rFonts w:eastAsia="Arial" w:cstheme="minorHAnsi"/>
                <w:b/>
                <w:bCs/>
                <w:sz w:val="20"/>
              </w:rPr>
              <w:t>Governance Instrument</w:t>
            </w:r>
          </w:p>
        </w:tc>
        <w:tc>
          <w:tcPr>
            <w:tcW w:w="2812" w:type="dxa"/>
          </w:tcPr>
          <w:p w14:paraId="70ACF1F7" w14:textId="77777777" w:rsidR="00F13315" w:rsidRPr="00F92904" w:rsidRDefault="00F13315" w:rsidP="00F6444F">
            <w:pPr>
              <w:rPr>
                <w:rFonts w:cstheme="minorHAnsi"/>
                <w:sz w:val="20"/>
              </w:rPr>
            </w:pPr>
            <w:r w:rsidRPr="00F92904">
              <w:rPr>
                <w:rFonts w:eastAsia="Arial" w:cstheme="minorHAnsi"/>
                <w:b/>
                <w:bCs/>
                <w:sz w:val="20"/>
              </w:rPr>
              <w:t>Governance group (frequency)</w:t>
            </w:r>
          </w:p>
        </w:tc>
        <w:tc>
          <w:tcPr>
            <w:tcW w:w="3609" w:type="dxa"/>
          </w:tcPr>
          <w:p w14:paraId="35CB962E" w14:textId="77777777" w:rsidR="00F13315" w:rsidRPr="00F92904" w:rsidRDefault="00F13315" w:rsidP="00F6444F">
            <w:pPr>
              <w:rPr>
                <w:rFonts w:cstheme="minorHAnsi"/>
                <w:sz w:val="20"/>
              </w:rPr>
            </w:pPr>
            <w:r w:rsidRPr="00F92904">
              <w:rPr>
                <w:rFonts w:eastAsia="Arial" w:cstheme="minorHAnsi"/>
                <w:b/>
                <w:bCs/>
                <w:sz w:val="20"/>
              </w:rPr>
              <w:t>Objective</w:t>
            </w:r>
          </w:p>
        </w:tc>
      </w:tr>
      <w:tr w:rsidR="00F13315" w:rsidRPr="00F92904" w14:paraId="4DE81581" w14:textId="77777777" w:rsidTr="00CA4171">
        <w:trPr>
          <w:trHeight w:val="570"/>
        </w:trPr>
        <w:tc>
          <w:tcPr>
            <w:tcW w:w="1296" w:type="dxa"/>
            <w:vMerge w:val="restart"/>
          </w:tcPr>
          <w:p w14:paraId="513E9FBE" w14:textId="77777777" w:rsidR="00F13315" w:rsidRPr="00F92904" w:rsidRDefault="00F13315" w:rsidP="00F6444F">
            <w:pPr>
              <w:rPr>
                <w:rFonts w:cstheme="minorHAnsi"/>
                <w:sz w:val="20"/>
              </w:rPr>
            </w:pPr>
            <w:r w:rsidRPr="00F92904">
              <w:rPr>
                <w:rFonts w:eastAsia="Arial" w:cstheme="minorHAnsi"/>
                <w:sz w:val="20"/>
              </w:rPr>
              <w:t>Statewide</w:t>
            </w:r>
          </w:p>
        </w:tc>
        <w:tc>
          <w:tcPr>
            <w:tcW w:w="1913" w:type="dxa"/>
          </w:tcPr>
          <w:p w14:paraId="6A83205A" w14:textId="4D11FB00" w:rsidR="00F13315" w:rsidRPr="00F92904" w:rsidRDefault="00F13315" w:rsidP="00F6444F">
            <w:pPr>
              <w:rPr>
                <w:rFonts w:cstheme="minorHAnsi"/>
                <w:sz w:val="20"/>
              </w:rPr>
            </w:pPr>
            <w:r w:rsidRPr="00F92904">
              <w:rPr>
                <w:rFonts w:eastAsia="Arial" w:cstheme="minorHAnsi"/>
                <w:sz w:val="20"/>
              </w:rPr>
              <w:t xml:space="preserve">Bilateral </w:t>
            </w:r>
            <w:r w:rsidR="00BD7947">
              <w:rPr>
                <w:rFonts w:eastAsia="Arial" w:cstheme="minorHAnsi"/>
                <w:sz w:val="20"/>
              </w:rPr>
              <w:t>Schedule</w:t>
            </w:r>
            <w:r w:rsidRPr="00F92904">
              <w:rPr>
                <w:rFonts w:eastAsia="Arial" w:cstheme="minorHAnsi"/>
                <w:sz w:val="20"/>
              </w:rPr>
              <w:t xml:space="preserve"> between Victoria and the Commonwealth and associated implementation plan</w:t>
            </w:r>
          </w:p>
        </w:tc>
        <w:tc>
          <w:tcPr>
            <w:tcW w:w="2812" w:type="dxa"/>
          </w:tcPr>
          <w:p w14:paraId="437CFEDA" w14:textId="45D708C4" w:rsidR="00F13315" w:rsidRPr="00F92904" w:rsidRDefault="00F13315" w:rsidP="00F6444F">
            <w:pPr>
              <w:rPr>
                <w:rFonts w:cstheme="minorHAnsi"/>
                <w:sz w:val="20"/>
              </w:rPr>
            </w:pPr>
            <w:r w:rsidRPr="00F92904">
              <w:rPr>
                <w:rFonts w:eastAsia="Arial" w:cstheme="minorHAnsi"/>
                <w:sz w:val="20"/>
              </w:rPr>
              <w:t xml:space="preserve">Bilateral </w:t>
            </w:r>
            <w:r w:rsidR="00BD7947">
              <w:rPr>
                <w:rFonts w:eastAsia="Arial" w:cstheme="minorHAnsi"/>
                <w:sz w:val="20"/>
              </w:rPr>
              <w:t>schedule</w:t>
            </w:r>
            <w:r w:rsidR="00BD7947" w:rsidRPr="00F92904">
              <w:rPr>
                <w:rFonts w:eastAsia="Arial" w:cstheme="minorHAnsi"/>
                <w:sz w:val="20"/>
              </w:rPr>
              <w:t xml:space="preserve"> </w:t>
            </w:r>
            <w:r w:rsidRPr="00F92904">
              <w:rPr>
                <w:rFonts w:eastAsia="Arial" w:cstheme="minorHAnsi"/>
                <w:sz w:val="20"/>
              </w:rPr>
              <w:t>strategic oversight: Commonwealth and Victorian Departments of Health (</w:t>
            </w:r>
            <w:r w:rsidR="00B8294B" w:rsidRPr="00F92904">
              <w:rPr>
                <w:rFonts w:eastAsia="Arial" w:cstheme="minorHAnsi"/>
                <w:sz w:val="20"/>
              </w:rPr>
              <w:t>quarterly</w:t>
            </w:r>
            <w:r w:rsidRPr="00F92904">
              <w:rPr>
                <w:rFonts w:eastAsia="Arial" w:cstheme="minorHAnsi"/>
                <w:sz w:val="20"/>
              </w:rPr>
              <w:t>)</w:t>
            </w:r>
          </w:p>
        </w:tc>
        <w:tc>
          <w:tcPr>
            <w:tcW w:w="3609" w:type="dxa"/>
          </w:tcPr>
          <w:p w14:paraId="2D49C916" w14:textId="214BE537" w:rsidR="00F13315" w:rsidRPr="00F92904" w:rsidRDefault="00F13315" w:rsidP="00F6444F">
            <w:pPr>
              <w:rPr>
                <w:rFonts w:cstheme="minorHAnsi"/>
                <w:sz w:val="20"/>
              </w:rPr>
            </w:pPr>
            <w:r w:rsidRPr="00F92904">
              <w:rPr>
                <w:rFonts w:eastAsia="Arial" w:cstheme="minorHAnsi"/>
                <w:sz w:val="20"/>
              </w:rPr>
              <w:t>Oversight of the</w:t>
            </w:r>
            <w:r w:rsidR="008B3230">
              <w:rPr>
                <w:rFonts w:eastAsia="Arial" w:cstheme="minorHAnsi"/>
                <w:sz w:val="20"/>
              </w:rPr>
              <w:t xml:space="preserve"> Schedule</w:t>
            </w:r>
            <w:r w:rsidRPr="00F92904">
              <w:rPr>
                <w:rFonts w:eastAsia="Arial" w:cstheme="minorHAnsi"/>
                <w:sz w:val="20"/>
              </w:rPr>
              <w:t xml:space="preserve"> through regular reporting</w:t>
            </w:r>
          </w:p>
          <w:p w14:paraId="02B42D4F" w14:textId="77777777" w:rsidR="00F13315" w:rsidRPr="00F92904" w:rsidRDefault="00F13315" w:rsidP="00F6444F">
            <w:pPr>
              <w:rPr>
                <w:rFonts w:cstheme="minorHAnsi"/>
                <w:sz w:val="20"/>
              </w:rPr>
            </w:pPr>
            <w:r w:rsidRPr="00F92904">
              <w:rPr>
                <w:rFonts w:eastAsia="Arial" w:cstheme="minorHAnsi"/>
                <w:sz w:val="20"/>
              </w:rPr>
              <w:t>Collaboration on service design, proportionate to investment</w:t>
            </w:r>
          </w:p>
          <w:p w14:paraId="553ADAC8" w14:textId="77777777" w:rsidR="00F13315" w:rsidRPr="00F92904" w:rsidRDefault="00F13315" w:rsidP="00F6444F">
            <w:pPr>
              <w:rPr>
                <w:rFonts w:cstheme="minorHAnsi"/>
                <w:sz w:val="20"/>
              </w:rPr>
            </w:pPr>
            <w:r w:rsidRPr="00F92904">
              <w:rPr>
                <w:rFonts w:eastAsia="Arial" w:cstheme="minorHAnsi"/>
                <w:sz w:val="20"/>
              </w:rPr>
              <w:t>Issue resolution</w:t>
            </w:r>
          </w:p>
        </w:tc>
      </w:tr>
      <w:tr w:rsidR="00F13315" w:rsidRPr="00F92904" w14:paraId="0B838C16" w14:textId="77777777" w:rsidTr="00CA4171">
        <w:trPr>
          <w:trHeight w:val="570"/>
        </w:trPr>
        <w:tc>
          <w:tcPr>
            <w:tcW w:w="1296" w:type="dxa"/>
            <w:vMerge/>
            <w:vAlign w:val="center"/>
          </w:tcPr>
          <w:p w14:paraId="5B8DE774" w14:textId="77777777" w:rsidR="00F13315" w:rsidRPr="00F92904" w:rsidRDefault="00F13315" w:rsidP="00F6444F">
            <w:pPr>
              <w:rPr>
                <w:rFonts w:cstheme="minorHAnsi"/>
                <w:sz w:val="20"/>
              </w:rPr>
            </w:pPr>
          </w:p>
        </w:tc>
        <w:tc>
          <w:tcPr>
            <w:tcW w:w="1913" w:type="dxa"/>
          </w:tcPr>
          <w:p w14:paraId="6DF53510" w14:textId="77777777" w:rsidR="00F13315" w:rsidRPr="00F92904" w:rsidRDefault="00F13315" w:rsidP="00F6444F">
            <w:pPr>
              <w:rPr>
                <w:rFonts w:cstheme="minorHAnsi"/>
                <w:sz w:val="20"/>
              </w:rPr>
            </w:pPr>
            <w:r w:rsidRPr="00F92904">
              <w:rPr>
                <w:rFonts w:eastAsia="Arial" w:cstheme="minorHAnsi"/>
                <w:sz w:val="20"/>
              </w:rPr>
              <w:t>Bilateral Implementation Plan</w:t>
            </w:r>
          </w:p>
        </w:tc>
        <w:tc>
          <w:tcPr>
            <w:tcW w:w="2812" w:type="dxa"/>
          </w:tcPr>
          <w:p w14:paraId="7301A48A" w14:textId="77777777" w:rsidR="00F13315" w:rsidRPr="00F92904" w:rsidRDefault="00F13315" w:rsidP="00F6444F">
            <w:pPr>
              <w:rPr>
                <w:rFonts w:cstheme="minorHAnsi"/>
                <w:sz w:val="20"/>
              </w:rPr>
            </w:pPr>
            <w:r w:rsidRPr="00F92904">
              <w:rPr>
                <w:rFonts w:eastAsia="Arial" w:cstheme="minorHAnsi"/>
                <w:sz w:val="20"/>
              </w:rPr>
              <w:t xml:space="preserve">Victorian Department of Health and VTPHNA forum (twice yearly) </w:t>
            </w:r>
          </w:p>
        </w:tc>
        <w:tc>
          <w:tcPr>
            <w:tcW w:w="3609" w:type="dxa"/>
          </w:tcPr>
          <w:p w14:paraId="21123A8B" w14:textId="77777777" w:rsidR="00F13315" w:rsidRPr="00F92904" w:rsidRDefault="00F13315" w:rsidP="00F6444F">
            <w:pPr>
              <w:rPr>
                <w:rFonts w:cstheme="minorHAnsi"/>
                <w:sz w:val="20"/>
              </w:rPr>
            </w:pPr>
            <w:r w:rsidRPr="00F92904">
              <w:rPr>
                <w:rFonts w:eastAsia="Arial" w:cstheme="minorHAnsi"/>
                <w:sz w:val="20"/>
              </w:rPr>
              <w:t>Provide advice on bilateral implementation successes and challenges</w:t>
            </w:r>
          </w:p>
          <w:p w14:paraId="535CBC70" w14:textId="77777777" w:rsidR="00F13315" w:rsidRPr="00F92904" w:rsidRDefault="00F13315" w:rsidP="00F6444F">
            <w:pPr>
              <w:rPr>
                <w:rFonts w:cstheme="minorHAnsi"/>
                <w:sz w:val="20"/>
              </w:rPr>
            </w:pPr>
            <w:r w:rsidRPr="00F92904">
              <w:rPr>
                <w:rFonts w:eastAsia="Arial" w:cstheme="minorHAnsi"/>
                <w:sz w:val="20"/>
              </w:rPr>
              <w:t>Share learnings</w:t>
            </w:r>
          </w:p>
          <w:p w14:paraId="27B5FBA4" w14:textId="77777777" w:rsidR="00F13315" w:rsidRPr="00F92904" w:rsidRDefault="00F13315" w:rsidP="00F6444F">
            <w:pPr>
              <w:rPr>
                <w:rFonts w:cstheme="minorHAnsi"/>
                <w:sz w:val="20"/>
              </w:rPr>
            </w:pPr>
            <w:r w:rsidRPr="00F92904">
              <w:rPr>
                <w:rFonts w:eastAsia="Arial" w:cstheme="minorHAnsi"/>
                <w:sz w:val="20"/>
              </w:rPr>
              <w:t>Issue resolution</w:t>
            </w:r>
          </w:p>
        </w:tc>
      </w:tr>
      <w:tr w:rsidR="00F13315" w:rsidRPr="00F92904" w14:paraId="4F3C87CF" w14:textId="77777777" w:rsidTr="00CA4171">
        <w:trPr>
          <w:trHeight w:val="570"/>
        </w:trPr>
        <w:tc>
          <w:tcPr>
            <w:tcW w:w="1296" w:type="dxa"/>
          </w:tcPr>
          <w:p w14:paraId="50A1E2BC" w14:textId="77777777" w:rsidR="00F13315" w:rsidRPr="00F92904" w:rsidRDefault="00F13315" w:rsidP="00F6444F">
            <w:pPr>
              <w:rPr>
                <w:rFonts w:cstheme="minorHAnsi"/>
                <w:sz w:val="20"/>
              </w:rPr>
            </w:pPr>
            <w:r w:rsidRPr="00F92904">
              <w:rPr>
                <w:rFonts w:eastAsia="Arial" w:cstheme="minorHAnsi"/>
                <w:sz w:val="20"/>
              </w:rPr>
              <w:t>Regional</w:t>
            </w:r>
          </w:p>
        </w:tc>
        <w:tc>
          <w:tcPr>
            <w:tcW w:w="1913" w:type="dxa"/>
          </w:tcPr>
          <w:p w14:paraId="6D842FB8" w14:textId="279DD57F" w:rsidR="00F13315" w:rsidRPr="00F92904" w:rsidRDefault="00F13315" w:rsidP="00F6444F">
            <w:pPr>
              <w:rPr>
                <w:rFonts w:cstheme="minorHAnsi"/>
                <w:sz w:val="20"/>
              </w:rPr>
            </w:pPr>
            <w:r w:rsidRPr="00F92904">
              <w:rPr>
                <w:rFonts w:eastAsia="Arial" w:cstheme="minorHAnsi"/>
                <w:sz w:val="20"/>
              </w:rPr>
              <w:t>Regional</w:t>
            </w:r>
            <w:r w:rsidR="006F5810" w:rsidRPr="00F92904">
              <w:rPr>
                <w:rFonts w:eastAsia="Arial" w:cstheme="minorHAnsi"/>
                <w:sz w:val="20"/>
              </w:rPr>
              <w:t xml:space="preserve"> </w:t>
            </w:r>
            <w:r w:rsidR="001C261B" w:rsidRPr="00F92904">
              <w:rPr>
                <w:rFonts w:eastAsia="Arial" w:cstheme="minorHAnsi"/>
                <w:sz w:val="20"/>
              </w:rPr>
              <w:t>planning</w:t>
            </w:r>
            <w:r w:rsidRPr="00F92904" w:rsidDel="001C261B">
              <w:rPr>
                <w:rFonts w:eastAsia="Arial" w:cstheme="minorHAnsi"/>
                <w:sz w:val="20"/>
              </w:rPr>
              <w:t xml:space="preserve"> </w:t>
            </w:r>
          </w:p>
        </w:tc>
        <w:tc>
          <w:tcPr>
            <w:tcW w:w="2812" w:type="dxa"/>
          </w:tcPr>
          <w:p w14:paraId="0327957E" w14:textId="77748C28" w:rsidR="00F13315" w:rsidRPr="00F92904" w:rsidRDefault="00041BF3" w:rsidP="00F6444F">
            <w:pPr>
              <w:rPr>
                <w:rFonts w:cstheme="minorHAnsi"/>
                <w:sz w:val="20"/>
              </w:rPr>
            </w:pPr>
            <w:r w:rsidRPr="00F92904">
              <w:rPr>
                <w:rFonts w:eastAsia="Arial" w:cstheme="minorHAnsi"/>
                <w:sz w:val="20"/>
              </w:rPr>
              <w:t xml:space="preserve">Propose </w:t>
            </w:r>
            <w:r w:rsidR="00F13315" w:rsidRPr="00F92904">
              <w:rPr>
                <w:rFonts w:eastAsia="Arial" w:cstheme="minorHAnsi"/>
                <w:sz w:val="20"/>
              </w:rPr>
              <w:t>Regional</w:t>
            </w:r>
            <w:r w:rsidR="0033221F" w:rsidRPr="00F92904">
              <w:rPr>
                <w:rFonts w:eastAsia="Arial" w:cstheme="minorHAnsi"/>
                <w:sz w:val="20"/>
              </w:rPr>
              <w:t xml:space="preserve"> planning</w:t>
            </w:r>
            <w:r w:rsidR="00F13315" w:rsidRPr="00F92904">
              <w:rPr>
                <w:rFonts w:eastAsia="Arial" w:cstheme="minorHAnsi"/>
                <w:sz w:val="20"/>
              </w:rPr>
              <w:t xml:space="preserve"> </w:t>
            </w:r>
            <w:r w:rsidR="00EC4C0F" w:rsidRPr="00F92904">
              <w:rPr>
                <w:rFonts w:eastAsia="Arial" w:cstheme="minorHAnsi"/>
                <w:sz w:val="20"/>
              </w:rPr>
              <w:t xml:space="preserve">advisory </w:t>
            </w:r>
            <w:r w:rsidR="00F13315" w:rsidRPr="00F92904">
              <w:rPr>
                <w:rFonts w:eastAsia="Arial" w:cstheme="minorHAnsi"/>
                <w:sz w:val="20"/>
              </w:rPr>
              <w:t>committee: PHN representative, Interim Regional B</w:t>
            </w:r>
            <w:r w:rsidR="00C74E3C" w:rsidRPr="00F92904">
              <w:rPr>
                <w:rFonts w:eastAsia="Arial" w:cstheme="minorHAnsi"/>
                <w:sz w:val="20"/>
              </w:rPr>
              <w:t>ody representative</w:t>
            </w:r>
            <w:r w:rsidR="00EC4C0F" w:rsidRPr="00F92904">
              <w:rPr>
                <w:rFonts w:eastAsia="Arial" w:cstheme="minorHAnsi"/>
                <w:sz w:val="20"/>
              </w:rPr>
              <w:t>, HSP</w:t>
            </w:r>
            <w:r w:rsidR="00F13315" w:rsidRPr="00F92904">
              <w:rPr>
                <w:rFonts w:eastAsia="Arial" w:cstheme="minorHAnsi"/>
                <w:sz w:val="20"/>
              </w:rPr>
              <w:t xml:space="preserve"> </w:t>
            </w:r>
            <w:r w:rsidR="005F17D7" w:rsidRPr="00F92904">
              <w:rPr>
                <w:rFonts w:eastAsia="Arial" w:cstheme="minorHAnsi"/>
                <w:sz w:val="20"/>
              </w:rPr>
              <w:t>Chair,</w:t>
            </w:r>
            <w:r w:rsidR="00F13315" w:rsidRPr="00F92904" w:rsidDel="00EC4C0F">
              <w:rPr>
                <w:rFonts w:eastAsia="Arial" w:cstheme="minorHAnsi"/>
                <w:sz w:val="20"/>
              </w:rPr>
              <w:t xml:space="preserve"> </w:t>
            </w:r>
            <w:r w:rsidRPr="00F92904">
              <w:rPr>
                <w:rFonts w:eastAsia="Arial" w:cstheme="minorHAnsi"/>
                <w:sz w:val="20"/>
              </w:rPr>
              <w:t>Lived Experience</w:t>
            </w:r>
            <w:r w:rsidR="59274C1D" w:rsidRPr="00F92904">
              <w:rPr>
                <w:rFonts w:eastAsia="Arial" w:cstheme="minorHAnsi"/>
                <w:sz w:val="20"/>
              </w:rPr>
              <w:t xml:space="preserve"> representative</w:t>
            </w:r>
            <w:r w:rsidRPr="00F92904">
              <w:rPr>
                <w:rFonts w:eastAsia="Arial" w:cstheme="minorHAnsi"/>
                <w:sz w:val="20"/>
              </w:rPr>
              <w:t xml:space="preserve">, </w:t>
            </w:r>
            <w:r w:rsidR="00F13315" w:rsidRPr="00F92904">
              <w:rPr>
                <w:rFonts w:eastAsia="Arial" w:cstheme="minorHAnsi"/>
                <w:sz w:val="20"/>
              </w:rPr>
              <w:t xml:space="preserve">key health service providers. </w:t>
            </w:r>
            <w:r w:rsidR="00EE15CC" w:rsidRPr="00F92904">
              <w:rPr>
                <w:rFonts w:eastAsia="Arial" w:cstheme="minorHAnsi"/>
                <w:sz w:val="20"/>
              </w:rPr>
              <w:t xml:space="preserve">Frequency to be </w:t>
            </w:r>
            <w:r w:rsidR="00C93321" w:rsidRPr="00F92904">
              <w:rPr>
                <w:rFonts w:eastAsia="Arial" w:cstheme="minorHAnsi"/>
                <w:sz w:val="20"/>
              </w:rPr>
              <w:t>determined</w:t>
            </w:r>
            <w:r w:rsidR="00EE15CC" w:rsidRPr="00F92904">
              <w:rPr>
                <w:rFonts w:eastAsia="Arial" w:cstheme="minorHAnsi"/>
                <w:sz w:val="20"/>
              </w:rPr>
              <w:t xml:space="preserve">. </w:t>
            </w:r>
          </w:p>
        </w:tc>
        <w:tc>
          <w:tcPr>
            <w:tcW w:w="3609" w:type="dxa"/>
          </w:tcPr>
          <w:p w14:paraId="209EA8C4" w14:textId="10460E43" w:rsidR="00F13315" w:rsidRPr="00F92904" w:rsidRDefault="00F13315" w:rsidP="00F6444F">
            <w:pPr>
              <w:rPr>
                <w:rFonts w:cstheme="minorHAnsi"/>
                <w:sz w:val="20"/>
              </w:rPr>
            </w:pPr>
            <w:r w:rsidRPr="00F92904">
              <w:rPr>
                <w:rFonts w:eastAsia="Arial" w:cstheme="minorHAnsi"/>
                <w:sz w:val="20"/>
              </w:rPr>
              <w:t xml:space="preserve">Work towards aligning PHN and </w:t>
            </w:r>
            <w:r w:rsidR="00EE15CC" w:rsidRPr="00F92904">
              <w:rPr>
                <w:rFonts w:eastAsia="Arial" w:cstheme="minorHAnsi"/>
                <w:sz w:val="20"/>
              </w:rPr>
              <w:t>State Government Regional Planning</w:t>
            </w:r>
            <w:r w:rsidRPr="00F92904">
              <w:rPr>
                <w:rFonts w:eastAsia="Arial" w:cstheme="minorHAnsi"/>
                <w:sz w:val="20"/>
              </w:rPr>
              <w:t xml:space="preserve"> (IRB to provide advice to Vic </w:t>
            </w:r>
            <w:proofErr w:type="spellStart"/>
            <w:r w:rsidRPr="00F92904">
              <w:rPr>
                <w:rFonts w:eastAsia="Arial" w:cstheme="minorHAnsi"/>
                <w:sz w:val="20"/>
              </w:rPr>
              <w:t>DoH</w:t>
            </w:r>
            <w:proofErr w:type="spellEnd"/>
            <w:r w:rsidRPr="00F92904">
              <w:rPr>
                <w:rFonts w:eastAsia="Arial" w:cstheme="minorHAnsi"/>
                <w:sz w:val="20"/>
              </w:rPr>
              <w:t>)</w:t>
            </w:r>
          </w:p>
          <w:p w14:paraId="01BD1E35" w14:textId="3D698300" w:rsidR="00F13315" w:rsidRPr="00F92904" w:rsidRDefault="00F13315" w:rsidP="00F6444F">
            <w:pPr>
              <w:rPr>
                <w:rFonts w:cstheme="minorHAnsi"/>
                <w:sz w:val="20"/>
              </w:rPr>
            </w:pPr>
            <w:r w:rsidRPr="00F92904">
              <w:rPr>
                <w:rFonts w:eastAsia="Arial" w:cstheme="minorHAnsi"/>
                <w:sz w:val="20"/>
              </w:rPr>
              <w:t>Collaborat</w:t>
            </w:r>
            <w:r w:rsidR="00A50535" w:rsidRPr="00F92904">
              <w:rPr>
                <w:rFonts w:eastAsia="Arial" w:cstheme="minorHAnsi"/>
                <w:sz w:val="20"/>
              </w:rPr>
              <w:t>ion</w:t>
            </w:r>
            <w:r w:rsidRPr="00F92904">
              <w:rPr>
                <w:rFonts w:eastAsia="Arial" w:cstheme="minorHAnsi"/>
                <w:sz w:val="20"/>
              </w:rPr>
              <w:t xml:space="preserve"> </w:t>
            </w:r>
            <w:r w:rsidR="0004742A" w:rsidRPr="00F92904">
              <w:rPr>
                <w:rFonts w:eastAsia="Arial" w:cstheme="minorHAnsi"/>
                <w:sz w:val="20"/>
              </w:rPr>
              <w:t>and sharing of</w:t>
            </w:r>
            <w:r w:rsidRPr="00F92904">
              <w:rPr>
                <w:rFonts w:eastAsia="Arial" w:cstheme="minorHAnsi"/>
                <w:sz w:val="20"/>
              </w:rPr>
              <w:t xml:space="preserve"> needs analysis, data sharing for regional service and capital planning</w:t>
            </w:r>
            <w:r w:rsidR="00A50535" w:rsidRPr="00F92904">
              <w:rPr>
                <w:rFonts w:eastAsia="Arial" w:cstheme="minorHAnsi"/>
                <w:sz w:val="20"/>
              </w:rPr>
              <w:t>.</w:t>
            </w:r>
          </w:p>
        </w:tc>
      </w:tr>
      <w:tr w:rsidR="00F13315" w:rsidRPr="00F92904" w14:paraId="6153B506" w14:textId="77777777" w:rsidTr="00CA4171">
        <w:trPr>
          <w:trHeight w:val="570"/>
        </w:trPr>
        <w:tc>
          <w:tcPr>
            <w:tcW w:w="1296" w:type="dxa"/>
          </w:tcPr>
          <w:p w14:paraId="6032DEA6" w14:textId="77777777" w:rsidR="00F13315" w:rsidRPr="00F92904" w:rsidRDefault="00F13315" w:rsidP="00F6444F">
            <w:pPr>
              <w:rPr>
                <w:rFonts w:cstheme="minorHAnsi"/>
                <w:sz w:val="20"/>
              </w:rPr>
            </w:pPr>
            <w:r w:rsidRPr="00F92904">
              <w:rPr>
                <w:rFonts w:eastAsia="Arial" w:cstheme="minorHAnsi"/>
                <w:sz w:val="20"/>
              </w:rPr>
              <w:t>Initiative</w:t>
            </w:r>
          </w:p>
        </w:tc>
        <w:tc>
          <w:tcPr>
            <w:tcW w:w="1913" w:type="dxa"/>
          </w:tcPr>
          <w:p w14:paraId="1A947DF8" w14:textId="77777777" w:rsidR="00F13315" w:rsidRPr="00F92904" w:rsidRDefault="00F13315" w:rsidP="00F6444F">
            <w:pPr>
              <w:rPr>
                <w:rFonts w:cstheme="minorHAnsi"/>
                <w:sz w:val="20"/>
              </w:rPr>
            </w:pPr>
            <w:r w:rsidRPr="00F92904">
              <w:rPr>
                <w:rFonts w:eastAsia="Arial" w:cstheme="minorHAnsi"/>
                <w:sz w:val="20"/>
              </w:rPr>
              <w:t>Program guidance</w:t>
            </w:r>
          </w:p>
        </w:tc>
        <w:tc>
          <w:tcPr>
            <w:tcW w:w="2812" w:type="dxa"/>
          </w:tcPr>
          <w:p w14:paraId="4DB149A4" w14:textId="77777777" w:rsidR="00F13315" w:rsidRPr="00F92904" w:rsidRDefault="00F13315" w:rsidP="00F6444F">
            <w:pPr>
              <w:rPr>
                <w:rFonts w:cstheme="minorHAnsi"/>
                <w:sz w:val="20"/>
              </w:rPr>
            </w:pPr>
            <w:r w:rsidRPr="00F92904">
              <w:rPr>
                <w:rFonts w:eastAsia="Arial" w:cstheme="minorHAnsi"/>
                <w:sz w:val="20"/>
              </w:rPr>
              <w:t>Initiative level governance structures such as steering committees (as needs basis)</w:t>
            </w:r>
          </w:p>
        </w:tc>
        <w:tc>
          <w:tcPr>
            <w:tcW w:w="3609" w:type="dxa"/>
          </w:tcPr>
          <w:p w14:paraId="2562FB69" w14:textId="77777777" w:rsidR="00F13315" w:rsidRPr="00F92904" w:rsidRDefault="00F13315" w:rsidP="00F6444F">
            <w:pPr>
              <w:rPr>
                <w:rFonts w:cstheme="minorHAnsi"/>
                <w:sz w:val="20"/>
              </w:rPr>
            </w:pPr>
            <w:r w:rsidRPr="00F92904">
              <w:rPr>
                <w:rFonts w:eastAsia="Arial" w:cstheme="minorHAnsi"/>
                <w:sz w:val="20"/>
              </w:rPr>
              <w:t xml:space="preserve">Engagement between PHNs, IRBs and commissioned </w:t>
            </w:r>
            <w:proofErr w:type="spellStart"/>
            <w:r w:rsidRPr="00F92904">
              <w:rPr>
                <w:rFonts w:eastAsia="Arial" w:cstheme="minorHAnsi"/>
                <w:sz w:val="20"/>
              </w:rPr>
              <w:t>organisations</w:t>
            </w:r>
            <w:proofErr w:type="spellEnd"/>
            <w:r w:rsidRPr="00F92904">
              <w:rPr>
                <w:rFonts w:eastAsia="Arial" w:cstheme="minorHAnsi"/>
                <w:sz w:val="20"/>
              </w:rPr>
              <w:t xml:space="preserve"> to drive service integration</w:t>
            </w:r>
          </w:p>
        </w:tc>
      </w:tr>
    </w:tbl>
    <w:p w14:paraId="2044B5D7" w14:textId="0700CB3B" w:rsidR="00F13315" w:rsidRPr="00F92904" w:rsidRDefault="00F13315" w:rsidP="00F13315">
      <w:pPr>
        <w:pStyle w:val="Body"/>
        <w:rPr>
          <w:rFonts w:asciiTheme="minorHAnsi" w:hAnsiTheme="minorHAnsi" w:cstheme="minorHAnsi"/>
          <w:sz w:val="20"/>
        </w:rPr>
      </w:pPr>
    </w:p>
    <w:p w14:paraId="44814CE8" w14:textId="2F703C25" w:rsidR="00F13315" w:rsidRPr="00F92904" w:rsidRDefault="00F13315" w:rsidP="00F13315">
      <w:pPr>
        <w:pStyle w:val="Body"/>
        <w:rPr>
          <w:rFonts w:asciiTheme="minorHAnsi" w:hAnsiTheme="minorHAnsi" w:cstheme="minorHAnsi"/>
          <w:sz w:val="20"/>
        </w:rPr>
      </w:pPr>
    </w:p>
    <w:p w14:paraId="7FC02570" w14:textId="77777777" w:rsidR="00F13315" w:rsidRPr="00F92904" w:rsidRDefault="00F13315" w:rsidP="006E0426">
      <w:pPr>
        <w:pStyle w:val="Body"/>
        <w:rPr>
          <w:rFonts w:asciiTheme="minorHAnsi" w:hAnsiTheme="minorHAnsi" w:cstheme="minorHAnsi"/>
          <w:sz w:val="20"/>
        </w:rPr>
      </w:pPr>
    </w:p>
    <w:p w14:paraId="3E28BD8D" w14:textId="77777777" w:rsidR="00715289" w:rsidRPr="00900863" w:rsidRDefault="00715289" w:rsidP="00EA74D0">
      <w:pPr>
        <w:rPr>
          <w:lang w:val="en-GB"/>
        </w:rPr>
        <w:sectPr w:rsidR="00715289" w:rsidRPr="00900863" w:rsidSect="0095696E">
          <w:pgSz w:w="11906" w:h="16838" w:code="9"/>
          <w:pgMar w:top="1134" w:right="1134" w:bottom="1134" w:left="1134" w:header="709" w:footer="709" w:gutter="0"/>
          <w:pgNumType w:chapStyle="9"/>
          <w:cols w:space="708"/>
          <w:titlePg/>
          <w:docGrid w:linePitch="360"/>
        </w:sectPr>
      </w:pPr>
    </w:p>
    <w:p w14:paraId="3BFCAD94" w14:textId="77777777" w:rsidR="00C91B5F" w:rsidRPr="00900863" w:rsidRDefault="00C91B5F" w:rsidP="00EA74D0">
      <w:pPr>
        <w:rPr>
          <w:lang w:val="en-GB"/>
        </w:rPr>
      </w:pPr>
      <w:r w:rsidRPr="00900863">
        <w:rPr>
          <w:lang w:val="en-GB"/>
        </w:rPr>
        <w:t xml:space="preserve">The </w:t>
      </w:r>
      <w:r w:rsidRPr="00900863">
        <w:rPr>
          <w:sz w:val="24"/>
          <w:szCs w:val="24"/>
        </w:rPr>
        <w:t>Parties</w:t>
      </w:r>
      <w:r w:rsidRPr="00900863">
        <w:rPr>
          <w:lang w:val="en-GB"/>
        </w:rPr>
        <w:t xml:space="preserve"> have confirmed their commitment to this schedule as follows:</w:t>
      </w:r>
    </w:p>
    <w:p w14:paraId="679BDB0F" w14:textId="77777777" w:rsidR="00C91B5F" w:rsidRPr="00900863" w:rsidRDefault="00C91B5F" w:rsidP="00EA74D0">
      <w:pPr>
        <w:rPr>
          <w:lang w:val="en-GB"/>
        </w:rPr>
      </w:pPr>
    </w:p>
    <w:tbl>
      <w:tblPr>
        <w:tblW w:w="10065" w:type="dxa"/>
        <w:jc w:val="center"/>
        <w:tblLayout w:type="fixed"/>
        <w:tblLook w:val="01E0" w:firstRow="1" w:lastRow="1" w:firstColumn="1" w:lastColumn="1" w:noHBand="0" w:noVBand="0"/>
      </w:tblPr>
      <w:tblGrid>
        <w:gridCol w:w="4253"/>
        <w:gridCol w:w="1701"/>
        <w:gridCol w:w="4111"/>
      </w:tblGrid>
      <w:tr w:rsidR="00C91B5F" w:rsidRPr="00045F7E" w14:paraId="228713BA" w14:textId="77777777" w:rsidTr="00354CFF">
        <w:trPr>
          <w:cantSplit/>
          <w:jc w:val="center"/>
        </w:trPr>
        <w:tc>
          <w:tcPr>
            <w:tcW w:w="4253" w:type="dxa"/>
          </w:tcPr>
          <w:p w14:paraId="612FB58D" w14:textId="77777777" w:rsidR="00C91B5F" w:rsidRPr="00900863" w:rsidRDefault="00C91B5F" w:rsidP="00EA74D0">
            <w:pPr>
              <w:pStyle w:val="Signed"/>
              <w:rPr>
                <w:rFonts w:asciiTheme="minorHAnsi" w:hAnsiTheme="minorHAnsi" w:cstheme="minorHAnsi"/>
                <w:sz w:val="24"/>
                <w:szCs w:val="24"/>
              </w:rPr>
            </w:pPr>
            <w:r w:rsidRPr="00900863">
              <w:rPr>
                <w:rStyle w:val="SignedBold"/>
                <w:rFonts w:asciiTheme="minorHAnsi" w:hAnsiTheme="minorHAnsi" w:cstheme="minorHAnsi"/>
                <w:sz w:val="24"/>
                <w:szCs w:val="24"/>
              </w:rPr>
              <w:t>Signed</w:t>
            </w:r>
            <w:r w:rsidRPr="00900863">
              <w:rPr>
                <w:rFonts w:asciiTheme="minorHAnsi" w:hAnsiTheme="minorHAnsi" w:cstheme="minorHAnsi"/>
                <w:sz w:val="24"/>
                <w:szCs w:val="24"/>
              </w:rPr>
              <w:t xml:space="preserve"> for and on behalf of the Commonwealth of Australia by</w:t>
            </w:r>
          </w:p>
          <w:p w14:paraId="7E54B9A9" w14:textId="77777777" w:rsidR="00354CFF" w:rsidRPr="00900863" w:rsidRDefault="00354CFF" w:rsidP="00EA74D0">
            <w:pPr>
              <w:pStyle w:val="LineForSignature"/>
              <w:rPr>
                <w:rFonts w:asciiTheme="minorHAnsi" w:hAnsiTheme="minorHAnsi" w:cstheme="minorHAnsi"/>
                <w:sz w:val="24"/>
                <w:szCs w:val="24"/>
              </w:rPr>
            </w:pPr>
          </w:p>
          <w:p w14:paraId="136387A0" w14:textId="77777777" w:rsidR="00C91B5F" w:rsidRPr="00900863" w:rsidRDefault="00C91B5F" w:rsidP="00EA74D0">
            <w:pPr>
              <w:pStyle w:val="LineForSignature"/>
              <w:rPr>
                <w:rFonts w:asciiTheme="minorHAnsi" w:hAnsiTheme="minorHAnsi" w:cstheme="minorHAnsi"/>
                <w:sz w:val="24"/>
                <w:szCs w:val="24"/>
              </w:rPr>
            </w:pPr>
            <w:r w:rsidRPr="00900863">
              <w:rPr>
                <w:rFonts w:asciiTheme="minorHAnsi" w:hAnsiTheme="minorHAnsi" w:cstheme="minorHAnsi"/>
                <w:sz w:val="24"/>
                <w:szCs w:val="24"/>
              </w:rPr>
              <w:br/>
            </w:r>
            <w:r w:rsidRPr="00900863">
              <w:rPr>
                <w:rFonts w:asciiTheme="minorHAnsi" w:hAnsiTheme="minorHAnsi" w:cstheme="minorHAnsi"/>
                <w:sz w:val="24"/>
                <w:szCs w:val="24"/>
              </w:rPr>
              <w:tab/>
            </w:r>
          </w:p>
          <w:p w14:paraId="6C56C915" w14:textId="08DB3ABD" w:rsidR="00C91B5F" w:rsidRPr="00900863" w:rsidRDefault="00C91B5F" w:rsidP="00EA74D0">
            <w:pPr>
              <w:pStyle w:val="SingleParagraph"/>
              <w:rPr>
                <w:rStyle w:val="Bold"/>
                <w:rFonts w:asciiTheme="minorHAnsi" w:hAnsiTheme="minorHAnsi" w:cstheme="minorHAnsi"/>
                <w:sz w:val="24"/>
                <w:szCs w:val="24"/>
              </w:rPr>
            </w:pPr>
            <w:r w:rsidRPr="00900863">
              <w:rPr>
                <w:rStyle w:val="Bold"/>
                <w:rFonts w:asciiTheme="minorHAnsi" w:hAnsiTheme="minorHAnsi" w:cstheme="minorHAnsi"/>
                <w:sz w:val="24"/>
                <w:szCs w:val="24"/>
              </w:rPr>
              <w:t>The Honourable</w:t>
            </w:r>
            <w:r w:rsidR="002B1107" w:rsidRPr="00900863">
              <w:rPr>
                <w:rStyle w:val="Bold"/>
                <w:rFonts w:asciiTheme="minorHAnsi" w:hAnsiTheme="minorHAnsi" w:cstheme="minorHAnsi"/>
                <w:sz w:val="24"/>
                <w:szCs w:val="24"/>
              </w:rPr>
              <w:t xml:space="preserve"> </w:t>
            </w:r>
            <w:r w:rsidR="00FC4A90">
              <w:rPr>
                <w:rStyle w:val="Bold"/>
                <w:rFonts w:asciiTheme="minorHAnsi" w:hAnsiTheme="minorHAnsi" w:cstheme="minorHAnsi"/>
                <w:sz w:val="24"/>
                <w:szCs w:val="24"/>
              </w:rPr>
              <w:t>Mark Butler</w:t>
            </w:r>
            <w:r w:rsidRPr="00900863">
              <w:rPr>
                <w:rStyle w:val="Bold"/>
                <w:rFonts w:asciiTheme="minorHAnsi" w:hAnsiTheme="minorHAnsi" w:cstheme="minorHAnsi"/>
                <w:sz w:val="24"/>
                <w:szCs w:val="24"/>
              </w:rPr>
              <w:t xml:space="preserve"> MP</w:t>
            </w:r>
          </w:p>
          <w:p w14:paraId="038077D2" w14:textId="77777777" w:rsidR="00CA4171" w:rsidRDefault="00C91B5F" w:rsidP="00EA74D0">
            <w:pPr>
              <w:pStyle w:val="Position"/>
              <w:rPr>
                <w:rFonts w:asciiTheme="minorHAnsi" w:hAnsiTheme="minorHAnsi" w:cstheme="minorHAnsi"/>
                <w:sz w:val="24"/>
                <w:szCs w:val="24"/>
              </w:rPr>
            </w:pPr>
            <w:r w:rsidRPr="00900863">
              <w:rPr>
                <w:rFonts w:asciiTheme="minorHAnsi" w:hAnsiTheme="minorHAnsi" w:cstheme="minorHAnsi"/>
                <w:sz w:val="24"/>
                <w:szCs w:val="24"/>
              </w:rPr>
              <w:t xml:space="preserve">Minister for </w:t>
            </w:r>
            <w:r w:rsidR="002B1107" w:rsidRPr="00900863">
              <w:rPr>
                <w:rFonts w:asciiTheme="minorHAnsi" w:hAnsiTheme="minorHAnsi" w:cstheme="minorHAnsi"/>
                <w:sz w:val="24"/>
                <w:szCs w:val="24"/>
              </w:rPr>
              <w:t>Health</w:t>
            </w:r>
            <w:r w:rsidR="00FC4A90">
              <w:rPr>
                <w:rFonts w:asciiTheme="minorHAnsi" w:hAnsiTheme="minorHAnsi" w:cstheme="minorHAnsi"/>
                <w:sz w:val="24"/>
                <w:szCs w:val="24"/>
              </w:rPr>
              <w:t>, Disability and Ag</w:t>
            </w:r>
            <w:r w:rsidR="00CA4171">
              <w:rPr>
                <w:rFonts w:asciiTheme="minorHAnsi" w:hAnsiTheme="minorHAnsi" w:cstheme="minorHAnsi"/>
                <w:sz w:val="24"/>
                <w:szCs w:val="24"/>
              </w:rPr>
              <w:t>e</w:t>
            </w:r>
            <w:r w:rsidR="00FC4A90">
              <w:rPr>
                <w:rFonts w:asciiTheme="minorHAnsi" w:hAnsiTheme="minorHAnsi" w:cstheme="minorHAnsi"/>
                <w:sz w:val="24"/>
                <w:szCs w:val="24"/>
              </w:rPr>
              <w:t>ing</w:t>
            </w:r>
          </w:p>
          <w:p w14:paraId="586D212A" w14:textId="30D80ADB" w:rsidR="00C91B5F" w:rsidRPr="00900863" w:rsidRDefault="00CA4171" w:rsidP="00EA74D0">
            <w:pPr>
              <w:pStyle w:val="Position"/>
              <w:rPr>
                <w:rFonts w:asciiTheme="minorHAnsi" w:hAnsiTheme="minorHAnsi" w:cstheme="minorHAnsi"/>
                <w:sz w:val="24"/>
                <w:szCs w:val="24"/>
              </w:rPr>
            </w:pPr>
            <w:r>
              <w:rPr>
                <w:rFonts w:asciiTheme="minorHAnsi" w:hAnsiTheme="minorHAnsi" w:cstheme="minorHAnsi"/>
                <w:sz w:val="24"/>
                <w:szCs w:val="24"/>
              </w:rPr>
              <w:t>Minister for Disability and the National Disability Insurance Scheme</w:t>
            </w:r>
            <w:r w:rsidR="002B1107" w:rsidRPr="00900863">
              <w:rPr>
                <w:rFonts w:asciiTheme="minorHAnsi" w:hAnsiTheme="minorHAnsi" w:cstheme="minorHAnsi"/>
                <w:sz w:val="24"/>
                <w:szCs w:val="24"/>
              </w:rPr>
              <w:t xml:space="preserve"> </w:t>
            </w:r>
          </w:p>
          <w:p w14:paraId="6D9E2FE2" w14:textId="77777777" w:rsidR="00C91B5F" w:rsidRPr="00900863" w:rsidRDefault="00C91B5F" w:rsidP="00EA74D0">
            <w:pPr>
              <w:pStyle w:val="SingleParagraph"/>
              <w:rPr>
                <w:rFonts w:asciiTheme="minorHAnsi" w:hAnsiTheme="minorHAnsi" w:cstheme="minorHAnsi"/>
                <w:b/>
                <w:sz w:val="24"/>
                <w:szCs w:val="24"/>
              </w:rPr>
            </w:pPr>
            <w:r w:rsidRPr="00900863">
              <w:rPr>
                <w:rFonts w:asciiTheme="minorHAnsi" w:hAnsiTheme="minorHAnsi" w:cstheme="minorHAnsi"/>
                <w:sz w:val="24"/>
                <w:szCs w:val="24"/>
              </w:rPr>
              <w:t>[</w:t>
            </w:r>
            <w:proofErr w:type="gramStart"/>
            <w:r w:rsidRPr="00900863">
              <w:rPr>
                <w:rFonts w:asciiTheme="minorHAnsi" w:hAnsiTheme="minorHAnsi" w:cstheme="minorHAnsi"/>
                <w:sz w:val="24"/>
                <w:szCs w:val="24"/>
              </w:rPr>
              <w:t>Day]  [Month]  [</w:t>
            </w:r>
            <w:proofErr w:type="gramEnd"/>
            <w:r w:rsidRPr="00900863">
              <w:rPr>
                <w:rFonts w:asciiTheme="minorHAnsi" w:hAnsiTheme="minorHAnsi" w:cstheme="minorHAnsi"/>
                <w:sz w:val="24"/>
                <w:szCs w:val="24"/>
              </w:rPr>
              <w:t>Year]</w:t>
            </w:r>
          </w:p>
        </w:tc>
        <w:tc>
          <w:tcPr>
            <w:tcW w:w="1701" w:type="dxa"/>
            <w:tcMar>
              <w:left w:w="0" w:type="dxa"/>
              <w:right w:w="0" w:type="dxa"/>
            </w:tcMar>
          </w:tcPr>
          <w:p w14:paraId="689FD2F5" w14:textId="77777777" w:rsidR="00C91B5F" w:rsidRPr="00900863" w:rsidRDefault="00C91B5F" w:rsidP="00EA74D0">
            <w:pPr>
              <w:rPr>
                <w:rFonts w:cstheme="minorHAnsi"/>
                <w:sz w:val="24"/>
                <w:szCs w:val="24"/>
                <w:lang w:val="en-GB"/>
              </w:rPr>
            </w:pPr>
          </w:p>
        </w:tc>
        <w:tc>
          <w:tcPr>
            <w:tcW w:w="4111" w:type="dxa"/>
          </w:tcPr>
          <w:p w14:paraId="566CE389" w14:textId="632CFC9F" w:rsidR="00C91B5F" w:rsidRPr="00900863" w:rsidRDefault="00C91B5F" w:rsidP="00EA74D0">
            <w:pPr>
              <w:pStyle w:val="Signed"/>
              <w:rPr>
                <w:rFonts w:asciiTheme="minorHAnsi" w:hAnsiTheme="minorHAnsi" w:cstheme="minorHAnsi"/>
                <w:sz w:val="24"/>
                <w:szCs w:val="24"/>
              </w:rPr>
            </w:pPr>
            <w:r w:rsidRPr="00900863">
              <w:rPr>
                <w:rStyle w:val="SignedBold"/>
                <w:rFonts w:asciiTheme="minorHAnsi" w:hAnsiTheme="minorHAnsi" w:cstheme="minorHAnsi"/>
                <w:sz w:val="24"/>
                <w:szCs w:val="24"/>
              </w:rPr>
              <w:t>Signed</w:t>
            </w:r>
            <w:r w:rsidRPr="00900863">
              <w:rPr>
                <w:rFonts w:asciiTheme="minorHAnsi" w:hAnsiTheme="minorHAnsi" w:cstheme="minorHAnsi"/>
                <w:sz w:val="24"/>
                <w:szCs w:val="24"/>
              </w:rPr>
              <w:t xml:space="preserve"> for and on behalf of the </w:t>
            </w:r>
            <w:r w:rsidRPr="00900863">
              <w:rPr>
                <w:rFonts w:asciiTheme="minorHAnsi" w:hAnsiTheme="minorHAnsi" w:cstheme="minorHAnsi"/>
                <w:sz w:val="24"/>
                <w:szCs w:val="24"/>
              </w:rPr>
              <w:br/>
            </w:r>
            <w:r w:rsidR="00040A97">
              <w:rPr>
                <w:rFonts w:asciiTheme="minorHAnsi" w:hAnsiTheme="minorHAnsi" w:cstheme="minorHAnsi"/>
                <w:sz w:val="24"/>
                <w:szCs w:val="24"/>
              </w:rPr>
              <w:t>Victoria</w:t>
            </w:r>
            <w:r w:rsidRPr="00900863">
              <w:rPr>
                <w:rFonts w:asciiTheme="minorHAnsi" w:hAnsiTheme="minorHAnsi" w:cstheme="minorHAnsi"/>
                <w:sz w:val="24"/>
                <w:szCs w:val="24"/>
              </w:rPr>
              <w:t xml:space="preserve"> by</w:t>
            </w:r>
          </w:p>
          <w:p w14:paraId="2A61D324" w14:textId="77777777" w:rsidR="00354CFF" w:rsidRPr="00900863" w:rsidRDefault="00354CFF" w:rsidP="00EA74D0">
            <w:pPr>
              <w:pStyle w:val="LineForSignature"/>
              <w:rPr>
                <w:rFonts w:asciiTheme="minorHAnsi" w:hAnsiTheme="minorHAnsi" w:cstheme="minorHAnsi"/>
                <w:sz w:val="24"/>
                <w:szCs w:val="24"/>
              </w:rPr>
            </w:pPr>
          </w:p>
          <w:p w14:paraId="05EDD3CA" w14:textId="77777777" w:rsidR="00C91B5F" w:rsidRPr="00900863" w:rsidRDefault="00C91B5F" w:rsidP="00EA74D0">
            <w:pPr>
              <w:pStyle w:val="LineForSignature"/>
              <w:rPr>
                <w:rFonts w:asciiTheme="minorHAnsi" w:hAnsiTheme="minorHAnsi" w:cstheme="minorHAnsi"/>
                <w:sz w:val="24"/>
                <w:szCs w:val="24"/>
              </w:rPr>
            </w:pPr>
            <w:r w:rsidRPr="00900863">
              <w:rPr>
                <w:rFonts w:asciiTheme="minorHAnsi" w:hAnsiTheme="minorHAnsi" w:cstheme="minorHAnsi"/>
                <w:sz w:val="24"/>
                <w:szCs w:val="24"/>
              </w:rPr>
              <w:br/>
            </w:r>
            <w:r w:rsidRPr="00900863">
              <w:rPr>
                <w:rFonts w:asciiTheme="minorHAnsi" w:hAnsiTheme="minorHAnsi" w:cstheme="minorHAnsi"/>
                <w:sz w:val="24"/>
                <w:szCs w:val="24"/>
              </w:rPr>
              <w:tab/>
            </w:r>
          </w:p>
          <w:p w14:paraId="0FE29958" w14:textId="0D320E16" w:rsidR="00C91B5F" w:rsidRPr="00900863" w:rsidRDefault="00C91B5F" w:rsidP="00EA74D0">
            <w:pPr>
              <w:pStyle w:val="SingleParagraph"/>
              <w:rPr>
                <w:rStyle w:val="Bold"/>
                <w:rFonts w:asciiTheme="minorHAnsi" w:hAnsiTheme="minorHAnsi" w:cstheme="minorHAnsi"/>
                <w:sz w:val="24"/>
                <w:szCs w:val="24"/>
              </w:rPr>
            </w:pPr>
            <w:r w:rsidRPr="00900863">
              <w:rPr>
                <w:rStyle w:val="Bold"/>
                <w:rFonts w:asciiTheme="minorHAnsi" w:hAnsiTheme="minorHAnsi" w:cstheme="minorHAnsi"/>
                <w:sz w:val="24"/>
                <w:szCs w:val="24"/>
              </w:rPr>
              <w:t xml:space="preserve">The Honourable </w:t>
            </w:r>
            <w:r w:rsidR="00497986">
              <w:rPr>
                <w:rStyle w:val="Bold"/>
                <w:rFonts w:asciiTheme="minorHAnsi" w:hAnsiTheme="minorHAnsi" w:cstheme="minorHAnsi"/>
                <w:sz w:val="24"/>
                <w:szCs w:val="24"/>
              </w:rPr>
              <w:t>Ingrit Stitt</w:t>
            </w:r>
            <w:r w:rsidR="00DD39C4">
              <w:rPr>
                <w:rStyle w:val="Bold"/>
                <w:rFonts w:asciiTheme="minorHAnsi" w:hAnsiTheme="minorHAnsi" w:cstheme="minorHAnsi"/>
                <w:sz w:val="24"/>
                <w:szCs w:val="24"/>
              </w:rPr>
              <w:t xml:space="preserve"> </w:t>
            </w:r>
            <w:r w:rsidR="00900863" w:rsidRPr="00900863">
              <w:rPr>
                <w:rStyle w:val="Bold"/>
                <w:rFonts w:asciiTheme="minorHAnsi" w:hAnsiTheme="minorHAnsi" w:cstheme="minorHAnsi"/>
                <w:sz w:val="24"/>
                <w:szCs w:val="24"/>
              </w:rPr>
              <w:t>MP</w:t>
            </w:r>
          </w:p>
          <w:p w14:paraId="032177D9" w14:textId="0D7AFC09" w:rsidR="00C37416" w:rsidRPr="00900863" w:rsidRDefault="00C37416" w:rsidP="00EA74D0">
            <w:pPr>
              <w:rPr>
                <w:rFonts w:eastAsia="Times New Roman" w:cstheme="minorHAnsi"/>
                <w:bCs/>
                <w:color w:val="000000"/>
                <w:sz w:val="24"/>
                <w:szCs w:val="24"/>
                <w:lang w:val="en-AU" w:eastAsia="en-AU"/>
              </w:rPr>
            </w:pPr>
            <w:r w:rsidRPr="00900863">
              <w:rPr>
                <w:rFonts w:eastAsia="Times New Roman" w:cstheme="minorHAnsi"/>
                <w:bCs/>
                <w:color w:val="000000"/>
                <w:sz w:val="24"/>
                <w:szCs w:val="24"/>
                <w:lang w:val="en-AU" w:eastAsia="en-AU"/>
              </w:rPr>
              <w:t xml:space="preserve">Minister for </w:t>
            </w:r>
            <w:r w:rsidR="006E7C58">
              <w:rPr>
                <w:rFonts w:eastAsia="Times New Roman" w:cstheme="minorHAnsi"/>
                <w:bCs/>
                <w:color w:val="000000"/>
                <w:sz w:val="24"/>
                <w:szCs w:val="24"/>
                <w:lang w:val="en-AU" w:eastAsia="en-AU"/>
              </w:rPr>
              <w:t xml:space="preserve">Mental </w:t>
            </w:r>
            <w:r w:rsidRPr="00900863">
              <w:rPr>
                <w:rFonts w:eastAsia="Times New Roman" w:cstheme="minorHAnsi"/>
                <w:bCs/>
                <w:color w:val="000000"/>
                <w:sz w:val="24"/>
                <w:szCs w:val="24"/>
                <w:lang w:val="en-AU" w:eastAsia="en-AU"/>
              </w:rPr>
              <w:t>Health</w:t>
            </w:r>
            <w:r w:rsidR="00900863" w:rsidRPr="00900863">
              <w:rPr>
                <w:rFonts w:eastAsia="Times New Roman" w:cstheme="minorHAnsi"/>
                <w:bCs/>
                <w:color w:val="000000"/>
                <w:sz w:val="24"/>
                <w:szCs w:val="24"/>
                <w:lang w:val="en-AU" w:eastAsia="en-AU"/>
              </w:rPr>
              <w:t xml:space="preserve"> </w:t>
            </w:r>
            <w:r w:rsidR="006E7C58">
              <w:rPr>
                <w:rFonts w:eastAsia="Times New Roman" w:cstheme="minorHAnsi"/>
                <w:bCs/>
                <w:color w:val="000000"/>
                <w:sz w:val="24"/>
                <w:szCs w:val="24"/>
                <w:lang w:val="en-AU" w:eastAsia="en-AU"/>
              </w:rPr>
              <w:t xml:space="preserve">Ageing and </w:t>
            </w:r>
            <w:r w:rsidR="00B8747A">
              <w:rPr>
                <w:rFonts w:eastAsia="Times New Roman" w:cstheme="minorHAnsi"/>
                <w:bCs/>
                <w:color w:val="000000"/>
                <w:sz w:val="24"/>
                <w:szCs w:val="24"/>
                <w:lang w:val="en-AU" w:eastAsia="en-AU"/>
              </w:rPr>
              <w:t>Multicultural Affairs</w:t>
            </w:r>
          </w:p>
          <w:p w14:paraId="35FF801F" w14:textId="77777777" w:rsidR="00C91B5F" w:rsidRPr="00354CFF" w:rsidRDefault="00C91B5F" w:rsidP="00EA74D0">
            <w:pPr>
              <w:rPr>
                <w:rFonts w:cstheme="minorHAnsi"/>
                <w:sz w:val="24"/>
                <w:szCs w:val="24"/>
                <w:lang w:val="en-GB"/>
              </w:rPr>
            </w:pPr>
            <w:r w:rsidRPr="00900863">
              <w:rPr>
                <w:rFonts w:cstheme="minorHAnsi"/>
                <w:sz w:val="24"/>
                <w:szCs w:val="24"/>
                <w:lang w:val="en-GB"/>
              </w:rPr>
              <w:t>[</w:t>
            </w:r>
            <w:proofErr w:type="gramStart"/>
            <w:r w:rsidRPr="00900863">
              <w:rPr>
                <w:rFonts w:cstheme="minorHAnsi"/>
                <w:sz w:val="24"/>
                <w:szCs w:val="24"/>
                <w:lang w:val="en-GB"/>
              </w:rPr>
              <w:t>Day]  [Month]  [</w:t>
            </w:r>
            <w:proofErr w:type="gramEnd"/>
            <w:r w:rsidRPr="00900863">
              <w:rPr>
                <w:rFonts w:cstheme="minorHAnsi"/>
                <w:sz w:val="24"/>
                <w:szCs w:val="24"/>
                <w:lang w:val="en-GB"/>
              </w:rPr>
              <w:t>Year]</w:t>
            </w:r>
          </w:p>
          <w:p w14:paraId="25E2F943" w14:textId="77777777" w:rsidR="00A12523" w:rsidRPr="00354CFF" w:rsidRDefault="00A12523" w:rsidP="00EA74D0">
            <w:pPr>
              <w:rPr>
                <w:rFonts w:cstheme="minorHAnsi"/>
                <w:sz w:val="24"/>
                <w:szCs w:val="24"/>
                <w:lang w:val="en-GB"/>
              </w:rPr>
            </w:pPr>
          </w:p>
          <w:p w14:paraId="0F813B36" w14:textId="77777777" w:rsidR="00A12523" w:rsidRPr="00354CFF" w:rsidRDefault="00A12523" w:rsidP="00EA74D0">
            <w:pPr>
              <w:rPr>
                <w:rFonts w:cstheme="minorHAnsi"/>
                <w:sz w:val="24"/>
                <w:szCs w:val="24"/>
                <w:lang w:val="en-GB"/>
              </w:rPr>
            </w:pPr>
          </w:p>
          <w:p w14:paraId="6BC93F1C" w14:textId="77777777" w:rsidR="00A12523" w:rsidRPr="00354CFF" w:rsidRDefault="00A12523" w:rsidP="00EA74D0">
            <w:pPr>
              <w:rPr>
                <w:rFonts w:cstheme="minorHAnsi"/>
                <w:sz w:val="24"/>
                <w:szCs w:val="24"/>
                <w:lang w:val="en-GB"/>
              </w:rPr>
            </w:pPr>
          </w:p>
        </w:tc>
      </w:tr>
    </w:tbl>
    <w:p w14:paraId="330C9878" w14:textId="77777777" w:rsidR="00884E8F" w:rsidRPr="00045F7E" w:rsidRDefault="00C91B5F" w:rsidP="00EA74D0">
      <w:r w:rsidRPr="00045F7E">
        <w:rPr>
          <w:lang w:val="en-GB"/>
        </w:rPr>
        <w:t xml:space="preserve"> </w:t>
      </w:r>
    </w:p>
    <w:sectPr w:rsidR="00884E8F" w:rsidRPr="00045F7E" w:rsidSect="00884E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632B" w14:textId="77777777" w:rsidR="0008543C" w:rsidRDefault="0008543C" w:rsidP="00EA74D0">
      <w:r>
        <w:separator/>
      </w:r>
    </w:p>
  </w:endnote>
  <w:endnote w:type="continuationSeparator" w:id="0">
    <w:p w14:paraId="522E80EF" w14:textId="77777777" w:rsidR="0008543C" w:rsidRDefault="0008543C" w:rsidP="00EA74D0">
      <w:r>
        <w:continuationSeparator/>
      </w:r>
    </w:p>
  </w:endnote>
  <w:endnote w:type="continuationNotice" w:id="1">
    <w:p w14:paraId="1190DC3C" w14:textId="77777777" w:rsidR="0008543C" w:rsidRDefault="000854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E7E6" w14:textId="77777777" w:rsidR="00DB70A3" w:rsidRDefault="00DB70A3" w:rsidP="00386026">
    <w:pPr>
      <w:pStyle w:val="Footer"/>
      <w:pBdr>
        <w:top w:val="single" w:sz="8" w:space="1" w:color="808080" w:themeColor="background1" w:themeShade="80"/>
      </w:pBdr>
      <w:rPr>
        <w:sz w:val="16"/>
        <w:szCs w:val="16"/>
      </w:rPr>
    </w:pPr>
    <w:r>
      <w:rPr>
        <w:noProof/>
        <w:sz w:val="16"/>
        <w:szCs w:val="16"/>
      </w:rPr>
      <mc:AlternateContent>
        <mc:Choice Requires="wps">
          <w:drawing>
            <wp:anchor distT="0" distB="0" distL="0" distR="0" simplePos="0" relativeHeight="251662338" behindDoc="0" locked="0" layoutInCell="1" allowOverlap="1" wp14:anchorId="0F93B1F0" wp14:editId="301E07ED">
              <wp:simplePos x="635" y="635"/>
              <wp:positionH relativeFrom="page">
                <wp:align>center</wp:align>
              </wp:positionH>
              <wp:positionV relativeFrom="page">
                <wp:align>bottom</wp:align>
              </wp:positionV>
              <wp:extent cx="609600" cy="381000"/>
              <wp:effectExtent l="0" t="0" r="0" b="0"/>
              <wp:wrapNone/>
              <wp:docPr id="19912098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DDDA44B" w14:textId="77777777" w:rsidR="00DB70A3" w:rsidRPr="00EC0D47" w:rsidRDefault="00DB70A3" w:rsidP="00EC0D47">
                          <w:pPr>
                            <w:spacing w:after="0"/>
                            <w:rPr>
                              <w:rFonts w:ascii="Aptos" w:eastAsia="Aptos" w:hAnsi="Aptos" w:cs="Aptos"/>
                              <w:noProof/>
                              <w:color w:val="FF0000"/>
                              <w:sz w:val="24"/>
                              <w:szCs w:val="24"/>
                            </w:rPr>
                          </w:pPr>
                          <w:r w:rsidRPr="00EC0D4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93B1F0" id="_x0000_t202" coordsize="21600,21600" o:spt="202" path="m,l,21600r21600,l21600,xe">
              <v:stroke joinstyle="miter"/>
              <v:path gradientshapeok="t" o:connecttype="rect"/>
            </v:shapetype>
            <v:shape id="Text Box 6" o:spid="_x0000_s1026" type="#_x0000_t202" alt="OFFICIAL" style="position:absolute;margin-left:0;margin-top:0;width:48pt;height:30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" filled="f" stroked="f">
              <v:textbox style="mso-fit-shape-to-text:t" inset="0,0,0,15pt">
                <w:txbxContent>
                  <w:p w14:paraId="7DDDA44B" w14:textId="77777777" w:rsidR="00DB70A3" w:rsidRPr="00EC0D47" w:rsidRDefault="00DB70A3" w:rsidP="00EC0D47">
                    <w:pPr>
                      <w:spacing w:after="0"/>
                      <w:rPr>
                        <w:rFonts w:ascii="Aptos" w:eastAsia="Aptos" w:hAnsi="Aptos" w:cs="Aptos"/>
                        <w:noProof/>
                        <w:color w:val="FF0000"/>
                        <w:sz w:val="24"/>
                        <w:szCs w:val="24"/>
                      </w:rPr>
                    </w:pPr>
                    <w:r w:rsidRPr="00EC0D47">
                      <w:rPr>
                        <w:rFonts w:ascii="Aptos" w:eastAsia="Aptos" w:hAnsi="Aptos" w:cs="Aptos"/>
                        <w:noProof/>
                        <w:color w:val="FF0000"/>
                        <w:sz w:val="24"/>
                        <w:szCs w:val="24"/>
                      </w:rPr>
                      <w:t>OFFICIAL</w:t>
                    </w:r>
                  </w:p>
                </w:txbxContent>
              </v:textbox>
              <w10:wrap anchorx="page" anchory="page"/>
            </v:shape>
          </w:pict>
        </mc:Fallback>
      </mc:AlternateContent>
    </w:r>
    <w:r w:rsidRPr="00386026">
      <w:rPr>
        <w:sz w:val="16"/>
        <w:szCs w:val="16"/>
      </w:rPr>
      <w:t xml:space="preserve"> Mental Health and Suicide Prevention Bilateral </w:t>
    </w:r>
    <w:r>
      <w:rPr>
        <w:sz w:val="16"/>
        <w:szCs w:val="16"/>
      </w:rPr>
      <w:t>Schedule</w:t>
    </w:r>
    <w:r w:rsidRPr="00386026">
      <w:rPr>
        <w:sz w:val="16"/>
        <w:szCs w:val="16"/>
      </w:rPr>
      <w:t xml:space="preserve"> with </w:t>
    </w:r>
    <w:r>
      <w:rPr>
        <w:sz w:val="16"/>
        <w:szCs w:val="16"/>
      </w:rPr>
      <w:t>Victoria</w:t>
    </w:r>
    <w:r w:rsidRPr="00386026">
      <w:rPr>
        <w:sz w:val="16"/>
        <w:szCs w:val="16"/>
      </w:rPr>
      <w:tab/>
      <w:t xml:space="preserve">Page </w:t>
    </w:r>
    <w:r w:rsidRPr="00386026">
      <w:rPr>
        <w:sz w:val="16"/>
        <w:szCs w:val="16"/>
      </w:rPr>
      <w:fldChar w:fldCharType="begin"/>
    </w:r>
    <w:r w:rsidRPr="00386026">
      <w:rPr>
        <w:sz w:val="16"/>
        <w:szCs w:val="16"/>
      </w:rPr>
      <w:instrText xml:space="preserve"> PAGE  \* Arabic  \* MERGEFORMAT </w:instrText>
    </w:r>
    <w:r w:rsidRPr="00386026">
      <w:rPr>
        <w:sz w:val="16"/>
        <w:szCs w:val="16"/>
      </w:rPr>
      <w:fldChar w:fldCharType="separate"/>
    </w:r>
    <w:r>
      <w:rPr>
        <w:noProof/>
        <w:sz w:val="16"/>
        <w:szCs w:val="16"/>
      </w:rPr>
      <w:t>4</w:t>
    </w:r>
    <w:r w:rsidRPr="00386026">
      <w:rPr>
        <w:sz w:val="16"/>
        <w:szCs w:val="16"/>
      </w:rPr>
      <w:fldChar w:fldCharType="end"/>
    </w:r>
    <w:r w:rsidRPr="00386026">
      <w:rPr>
        <w:sz w:val="16"/>
        <w:szCs w:val="16"/>
      </w:rPr>
      <w:t xml:space="preserve"> of </w:t>
    </w:r>
    <w:r w:rsidRPr="00386026">
      <w:rPr>
        <w:sz w:val="16"/>
        <w:szCs w:val="16"/>
      </w:rPr>
      <w:fldChar w:fldCharType="begin"/>
    </w:r>
    <w:r w:rsidRPr="00386026">
      <w:rPr>
        <w:sz w:val="16"/>
        <w:szCs w:val="16"/>
      </w:rPr>
      <w:instrText xml:space="preserve"> NUMPAGES  \* Arabic  \* MERGEFORMAT </w:instrText>
    </w:r>
    <w:r w:rsidRPr="00386026">
      <w:rPr>
        <w:sz w:val="16"/>
        <w:szCs w:val="16"/>
      </w:rPr>
      <w:fldChar w:fldCharType="separate"/>
    </w:r>
    <w:r>
      <w:rPr>
        <w:noProof/>
        <w:sz w:val="16"/>
        <w:szCs w:val="16"/>
      </w:rPr>
      <w:t>28</w:t>
    </w:r>
    <w:r w:rsidRPr="00386026">
      <w:rPr>
        <w:sz w:val="16"/>
        <w:szCs w:val="16"/>
      </w:rPr>
      <w:fldChar w:fldCharType="end"/>
    </w:r>
  </w:p>
  <w:p w14:paraId="6A1A574A" w14:textId="77777777" w:rsidR="00DB70A3" w:rsidRPr="00386026" w:rsidRDefault="00DB70A3" w:rsidP="005B0FCD">
    <w:pPr>
      <w:pStyle w:val="Footer"/>
      <w:pBdr>
        <w:top w:val="single" w:sz="8" w:space="1" w:color="808080" w:themeColor="background1" w:themeShade="80"/>
      </w:pBdr>
      <w:jc w:val="center"/>
      <w:rPr>
        <w:color w:val="FF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CAC4" w14:textId="77777777" w:rsidR="00DB70A3" w:rsidRDefault="00DB70A3" w:rsidP="00386026">
    <w:pPr>
      <w:pStyle w:val="Footer"/>
      <w:pBdr>
        <w:top w:val="single" w:sz="8" w:space="1" w:color="808080" w:themeColor="background1" w:themeShade="80"/>
      </w:pBdr>
      <w:rPr>
        <w:sz w:val="16"/>
        <w:szCs w:val="16"/>
      </w:rPr>
    </w:pPr>
    <w:r>
      <w:rPr>
        <w:noProof/>
        <w:sz w:val="16"/>
        <w:szCs w:val="16"/>
      </w:rPr>
      <mc:AlternateContent>
        <mc:Choice Requires="wps">
          <w:drawing>
            <wp:anchor distT="0" distB="0" distL="0" distR="0" simplePos="0" relativeHeight="251664386" behindDoc="0" locked="0" layoutInCell="1" allowOverlap="1" wp14:anchorId="4E79FA91" wp14:editId="388E743A">
              <wp:simplePos x="635" y="635"/>
              <wp:positionH relativeFrom="page">
                <wp:align>center</wp:align>
              </wp:positionH>
              <wp:positionV relativeFrom="page">
                <wp:align>bottom</wp:align>
              </wp:positionV>
              <wp:extent cx="609600" cy="381000"/>
              <wp:effectExtent l="0" t="0" r="0" b="0"/>
              <wp:wrapNone/>
              <wp:docPr id="4280699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AEB85DA" w14:textId="77777777" w:rsidR="00DB70A3" w:rsidRPr="00EC0D47" w:rsidRDefault="00DB70A3" w:rsidP="00EC0D47">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79FA91" id="_x0000_t202" coordsize="21600,21600" o:spt="202" path="m,l,21600r21600,l21600,xe">
              <v:stroke joinstyle="miter"/>
              <v:path gradientshapeok="t" o:connecttype="rect"/>
            </v:shapetype>
            <v:shape id="Text Box 4" o:spid="_x0000_s1028" type="#_x0000_t202" alt="OFFICIAL" style="position:absolute;margin-left:0;margin-top:0;width:48pt;height:30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textbox style="mso-fit-shape-to-text:t" inset="0,0,0,15pt">
                <w:txbxContent>
                  <w:p w14:paraId="1AEB85DA" w14:textId="77777777" w:rsidR="00DB70A3" w:rsidRPr="00EC0D47" w:rsidRDefault="00DB70A3" w:rsidP="00EC0D47">
                    <w:pPr>
                      <w:spacing w:after="0"/>
                      <w:rPr>
                        <w:rFonts w:ascii="Aptos" w:eastAsia="Aptos" w:hAnsi="Aptos" w:cs="Aptos"/>
                        <w:noProof/>
                        <w:color w:val="FF0000"/>
                        <w:sz w:val="24"/>
                        <w:szCs w:val="24"/>
                      </w:rPr>
                    </w:pPr>
                  </w:p>
                </w:txbxContent>
              </v:textbox>
              <w10:wrap anchorx="page" anchory="page"/>
            </v:shape>
          </w:pict>
        </mc:Fallback>
      </mc:AlternateContent>
    </w:r>
    <w:r w:rsidRPr="00386026">
      <w:rPr>
        <w:sz w:val="16"/>
        <w:szCs w:val="16"/>
      </w:rPr>
      <w:t xml:space="preserve">Mental Health and Suicide Prevention Bilateral </w:t>
    </w:r>
    <w:r>
      <w:rPr>
        <w:sz w:val="16"/>
        <w:szCs w:val="16"/>
      </w:rPr>
      <w:t>Schedule</w:t>
    </w:r>
    <w:r w:rsidRPr="00386026">
      <w:rPr>
        <w:sz w:val="16"/>
        <w:szCs w:val="16"/>
      </w:rPr>
      <w:t xml:space="preserve"> with </w:t>
    </w:r>
    <w:r>
      <w:rPr>
        <w:sz w:val="16"/>
        <w:szCs w:val="16"/>
      </w:rPr>
      <w:t>Victoria</w:t>
    </w:r>
    <w:r w:rsidRPr="00386026">
      <w:rPr>
        <w:sz w:val="16"/>
        <w:szCs w:val="16"/>
      </w:rPr>
      <w:tab/>
      <w:t xml:space="preserve">Page </w:t>
    </w:r>
    <w:r w:rsidRPr="00386026">
      <w:rPr>
        <w:sz w:val="16"/>
        <w:szCs w:val="16"/>
      </w:rPr>
      <w:fldChar w:fldCharType="begin"/>
    </w:r>
    <w:r w:rsidRPr="00386026">
      <w:rPr>
        <w:sz w:val="16"/>
        <w:szCs w:val="16"/>
      </w:rPr>
      <w:instrText xml:space="preserve"> PAGE  \* Arabic  \* MERGEFORMAT </w:instrText>
    </w:r>
    <w:r w:rsidRPr="00386026">
      <w:rPr>
        <w:sz w:val="16"/>
        <w:szCs w:val="16"/>
      </w:rPr>
      <w:fldChar w:fldCharType="separate"/>
    </w:r>
    <w:r>
      <w:rPr>
        <w:noProof/>
        <w:sz w:val="16"/>
        <w:szCs w:val="16"/>
      </w:rPr>
      <w:t>1</w:t>
    </w:r>
    <w:r w:rsidRPr="00386026">
      <w:rPr>
        <w:sz w:val="16"/>
        <w:szCs w:val="16"/>
      </w:rPr>
      <w:fldChar w:fldCharType="end"/>
    </w:r>
    <w:r w:rsidRPr="00386026">
      <w:rPr>
        <w:sz w:val="16"/>
        <w:szCs w:val="16"/>
      </w:rPr>
      <w:t xml:space="preserve"> of </w:t>
    </w:r>
    <w:r w:rsidRPr="00386026">
      <w:rPr>
        <w:sz w:val="16"/>
        <w:szCs w:val="16"/>
      </w:rPr>
      <w:fldChar w:fldCharType="begin"/>
    </w:r>
    <w:r w:rsidRPr="00386026">
      <w:rPr>
        <w:sz w:val="16"/>
        <w:szCs w:val="16"/>
      </w:rPr>
      <w:instrText xml:space="preserve"> NUMPAGES  \* Arabic  \* MERGEFORMAT </w:instrText>
    </w:r>
    <w:r w:rsidRPr="00386026">
      <w:rPr>
        <w:sz w:val="16"/>
        <w:szCs w:val="16"/>
      </w:rPr>
      <w:fldChar w:fldCharType="separate"/>
    </w:r>
    <w:r>
      <w:rPr>
        <w:noProof/>
        <w:sz w:val="16"/>
        <w:szCs w:val="16"/>
      </w:rPr>
      <w:t>28</w:t>
    </w:r>
    <w:r w:rsidRPr="00386026">
      <w:rPr>
        <w:sz w:val="16"/>
        <w:szCs w:val="16"/>
      </w:rPr>
      <w:fldChar w:fldCharType="end"/>
    </w:r>
  </w:p>
  <w:p w14:paraId="1A01B498" w14:textId="77777777" w:rsidR="00DB70A3" w:rsidRPr="00386026" w:rsidRDefault="00DB70A3" w:rsidP="00386026">
    <w:pPr>
      <w:pStyle w:val="Footer"/>
      <w:pBdr>
        <w:top w:val="single" w:sz="8" w:space="1" w:color="808080" w:themeColor="background1" w:themeShade="80"/>
      </w:pBdr>
      <w:jc w:val="center"/>
      <w:rPr>
        <w:color w:val="FF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A753" w14:textId="77777777" w:rsidR="0008543C" w:rsidRDefault="0008543C" w:rsidP="00EA74D0">
      <w:r>
        <w:separator/>
      </w:r>
    </w:p>
  </w:footnote>
  <w:footnote w:type="continuationSeparator" w:id="0">
    <w:p w14:paraId="51DE7987" w14:textId="77777777" w:rsidR="0008543C" w:rsidRDefault="0008543C" w:rsidP="00EA74D0">
      <w:r>
        <w:continuationSeparator/>
      </w:r>
    </w:p>
  </w:footnote>
  <w:footnote w:type="continuationNotice" w:id="1">
    <w:p w14:paraId="310F8807" w14:textId="77777777" w:rsidR="0008543C" w:rsidRDefault="000854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6245" w14:textId="77777777" w:rsidR="00326C03" w:rsidRPr="00386026" w:rsidRDefault="00326C03" w:rsidP="00386026">
    <w:pPr>
      <w:pStyle w:val="Header"/>
      <w:jc w:val="center"/>
      <w:rPr>
        <w:color w:val="FF0000"/>
      </w:rPr>
    </w:pPr>
    <w:r>
      <w:rPr>
        <w:noProof/>
        <w:color w:val="FF0000"/>
      </w:rPr>
      <mc:AlternateContent>
        <mc:Choice Requires="wps">
          <w:drawing>
            <wp:anchor distT="0" distB="0" distL="0" distR="0" simplePos="0" relativeHeight="251660290" behindDoc="0" locked="0" layoutInCell="1" allowOverlap="1" wp14:anchorId="259BE67B" wp14:editId="68E5C85C">
              <wp:simplePos x="635" y="635"/>
              <wp:positionH relativeFrom="page">
                <wp:align>center</wp:align>
              </wp:positionH>
              <wp:positionV relativeFrom="page">
                <wp:align>top</wp:align>
              </wp:positionV>
              <wp:extent cx="609600" cy="381000"/>
              <wp:effectExtent l="0" t="0" r="0" b="0"/>
              <wp:wrapNone/>
              <wp:docPr id="13262090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559748F" w14:textId="77777777" w:rsidR="00326C03" w:rsidRPr="00EC0D47" w:rsidRDefault="00326C03" w:rsidP="00EC0D47">
                          <w:pPr>
                            <w:spacing w:after="0"/>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BE67B" id="_x0000_t202" coordsize="21600,21600" o:spt="202" path="m,l,21600r21600,l21600,xe">
              <v:stroke joinstyle="miter"/>
              <v:path gradientshapeok="t" o:connecttype="rect"/>
            </v:shapetype>
            <v:shape id="Text Box 1" o:spid="_x0000_s1027" type="#_x0000_t202" alt="OFFICIAL" style="position:absolute;left:0;text-align:left;margin-left:0;margin-top:0;width:48pt;height:30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5559748F" w14:textId="77777777" w:rsidR="00326C03" w:rsidRPr="00EC0D47" w:rsidRDefault="00326C03" w:rsidP="00EC0D47">
                    <w:pPr>
                      <w:spacing w:after="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14EA84"/>
    <w:lvl w:ilvl="0">
      <w:start w:val="1"/>
      <w:numFmt w:val="bullet"/>
      <w:pStyle w:val="Normalnumbered"/>
      <w:lvlText w:val=""/>
      <w:lvlJc w:val="left"/>
      <w:pPr>
        <w:tabs>
          <w:tab w:val="num" w:pos="360"/>
        </w:tabs>
        <w:ind w:left="360" w:hanging="360"/>
      </w:pPr>
      <w:rPr>
        <w:rFonts w:ascii="Symbol" w:hAnsi="Symbol" w:hint="default"/>
      </w:rPr>
    </w:lvl>
  </w:abstractNum>
  <w:abstractNum w:abstractNumId="1" w15:restartNumberingAfterBreak="0">
    <w:nsid w:val="006266A1"/>
    <w:multiLevelType w:val="hybridMultilevel"/>
    <w:tmpl w:val="88B407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3C01D1"/>
    <w:multiLevelType w:val="multilevel"/>
    <w:tmpl w:val="AB02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0B43E1"/>
    <w:multiLevelType w:val="multilevel"/>
    <w:tmpl w:val="967E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4420CF"/>
    <w:multiLevelType w:val="hybridMultilevel"/>
    <w:tmpl w:val="CF42AD94"/>
    <w:lvl w:ilvl="0" w:tplc="6B54EA24">
      <w:start w:val="1"/>
      <w:numFmt w:val="decimal"/>
      <w:lvlText w:val="%1."/>
      <w:lvlJc w:val="left"/>
      <w:pPr>
        <w:ind w:left="720" w:hanging="36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8D43DB"/>
    <w:multiLevelType w:val="multilevel"/>
    <w:tmpl w:val="1D06E7FE"/>
    <w:numStyleLink w:val="ZZNumbersdigit"/>
  </w:abstractNum>
  <w:abstractNum w:abstractNumId="6" w15:restartNumberingAfterBreak="0">
    <w:nsid w:val="0F862FAD"/>
    <w:multiLevelType w:val="multilevel"/>
    <w:tmpl w:val="63F0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733868"/>
    <w:multiLevelType w:val="multilevel"/>
    <w:tmpl w:val="5F4A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8314AF"/>
    <w:multiLevelType w:val="hybridMultilevel"/>
    <w:tmpl w:val="607AA96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5E0D01"/>
    <w:multiLevelType w:val="multilevel"/>
    <w:tmpl w:val="10BE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0B2AEF"/>
    <w:multiLevelType w:val="hybridMultilevel"/>
    <w:tmpl w:val="FFFFFFFF"/>
    <w:lvl w:ilvl="0" w:tplc="9230DBFC">
      <w:start w:val="1"/>
      <w:numFmt w:val="decimal"/>
      <w:lvlText w:val="%1."/>
      <w:lvlJc w:val="left"/>
      <w:pPr>
        <w:ind w:left="720" w:hanging="360"/>
      </w:pPr>
    </w:lvl>
    <w:lvl w:ilvl="1" w:tplc="F0D00B22">
      <w:start w:val="1"/>
      <w:numFmt w:val="lowerRoman"/>
      <w:lvlText w:val="%2."/>
      <w:lvlJc w:val="right"/>
      <w:pPr>
        <w:ind w:left="1440" w:hanging="360"/>
      </w:pPr>
    </w:lvl>
    <w:lvl w:ilvl="2" w:tplc="8B9EAA92">
      <w:start w:val="1"/>
      <w:numFmt w:val="lowerRoman"/>
      <w:lvlText w:val="%3."/>
      <w:lvlJc w:val="right"/>
      <w:pPr>
        <w:ind w:left="2160" w:hanging="180"/>
      </w:pPr>
    </w:lvl>
    <w:lvl w:ilvl="3" w:tplc="38CA0F46">
      <w:start w:val="1"/>
      <w:numFmt w:val="decimal"/>
      <w:lvlText w:val="%4."/>
      <w:lvlJc w:val="left"/>
      <w:pPr>
        <w:ind w:left="2880" w:hanging="360"/>
      </w:pPr>
    </w:lvl>
    <w:lvl w:ilvl="4" w:tplc="58F2B046">
      <w:start w:val="1"/>
      <w:numFmt w:val="lowerLetter"/>
      <w:lvlText w:val="%5."/>
      <w:lvlJc w:val="left"/>
      <w:pPr>
        <w:ind w:left="3600" w:hanging="360"/>
      </w:pPr>
    </w:lvl>
    <w:lvl w:ilvl="5" w:tplc="E5D84ED8">
      <w:start w:val="1"/>
      <w:numFmt w:val="lowerRoman"/>
      <w:lvlText w:val="%6."/>
      <w:lvlJc w:val="right"/>
      <w:pPr>
        <w:ind w:left="4320" w:hanging="180"/>
      </w:pPr>
    </w:lvl>
    <w:lvl w:ilvl="6" w:tplc="12F8F30A">
      <w:start w:val="1"/>
      <w:numFmt w:val="decimal"/>
      <w:lvlText w:val="%7."/>
      <w:lvlJc w:val="left"/>
      <w:pPr>
        <w:ind w:left="5040" w:hanging="360"/>
      </w:pPr>
    </w:lvl>
    <w:lvl w:ilvl="7" w:tplc="5FDABEEC">
      <w:start w:val="1"/>
      <w:numFmt w:val="lowerLetter"/>
      <w:lvlText w:val="%8."/>
      <w:lvlJc w:val="left"/>
      <w:pPr>
        <w:ind w:left="5760" w:hanging="360"/>
      </w:pPr>
    </w:lvl>
    <w:lvl w:ilvl="8" w:tplc="16423FD6">
      <w:start w:val="1"/>
      <w:numFmt w:val="lowerRoman"/>
      <w:lvlText w:val="%9."/>
      <w:lvlJc w:val="right"/>
      <w:pPr>
        <w:ind w:left="6480" w:hanging="180"/>
      </w:pPr>
    </w:lvl>
  </w:abstractNum>
  <w:abstractNum w:abstractNumId="11" w15:restartNumberingAfterBreak="0">
    <w:nsid w:val="3C345475"/>
    <w:multiLevelType w:val="hybridMultilevel"/>
    <w:tmpl w:val="C7D4B642"/>
    <w:lvl w:ilvl="0" w:tplc="0C090019">
      <w:start w:val="1"/>
      <w:numFmt w:val="lowerLetter"/>
      <w:lvlText w:val="%1."/>
      <w:lvlJc w:val="left"/>
      <w:pPr>
        <w:ind w:left="720" w:hanging="360"/>
      </w:pPr>
    </w:lvl>
    <w:lvl w:ilvl="1" w:tplc="FE383448">
      <w:start w:val="1"/>
      <w:numFmt w:val="lowerLetter"/>
      <w:lvlText w:val="%2."/>
      <w:lvlJc w:val="left"/>
      <w:pPr>
        <w:ind w:left="1440" w:hanging="360"/>
      </w:pPr>
    </w:lvl>
    <w:lvl w:ilvl="2" w:tplc="36A825D8">
      <w:start w:val="1"/>
      <w:numFmt w:val="lowerRoman"/>
      <w:lvlText w:val="%3."/>
      <w:lvlJc w:val="right"/>
      <w:pPr>
        <w:ind w:left="2160" w:hanging="180"/>
      </w:pPr>
    </w:lvl>
    <w:lvl w:ilvl="3" w:tplc="160413D0">
      <w:start w:val="1"/>
      <w:numFmt w:val="decimal"/>
      <w:lvlText w:val="%4."/>
      <w:lvlJc w:val="left"/>
      <w:pPr>
        <w:ind w:left="2880" w:hanging="360"/>
      </w:pPr>
    </w:lvl>
    <w:lvl w:ilvl="4" w:tplc="9A2615AA">
      <w:start w:val="1"/>
      <w:numFmt w:val="lowerLetter"/>
      <w:lvlText w:val="%5."/>
      <w:lvlJc w:val="left"/>
      <w:pPr>
        <w:ind w:left="3600" w:hanging="360"/>
      </w:pPr>
    </w:lvl>
    <w:lvl w:ilvl="5" w:tplc="5B66D052">
      <w:start w:val="1"/>
      <w:numFmt w:val="lowerRoman"/>
      <w:lvlText w:val="%6."/>
      <w:lvlJc w:val="right"/>
      <w:pPr>
        <w:ind w:left="4320" w:hanging="180"/>
      </w:pPr>
    </w:lvl>
    <w:lvl w:ilvl="6" w:tplc="837A5D06">
      <w:start w:val="1"/>
      <w:numFmt w:val="decimal"/>
      <w:lvlText w:val="%7."/>
      <w:lvlJc w:val="left"/>
      <w:pPr>
        <w:ind w:left="5040" w:hanging="360"/>
      </w:pPr>
    </w:lvl>
    <w:lvl w:ilvl="7" w:tplc="0414C038">
      <w:start w:val="1"/>
      <w:numFmt w:val="lowerLetter"/>
      <w:lvlText w:val="%8."/>
      <w:lvlJc w:val="left"/>
      <w:pPr>
        <w:ind w:left="5760" w:hanging="360"/>
      </w:pPr>
    </w:lvl>
    <w:lvl w:ilvl="8" w:tplc="CB9CC19E">
      <w:start w:val="1"/>
      <w:numFmt w:val="lowerRoman"/>
      <w:lvlText w:val="%9."/>
      <w:lvlJc w:val="right"/>
      <w:pPr>
        <w:ind w:left="6480" w:hanging="180"/>
      </w:pPr>
    </w:lvl>
  </w:abstractNum>
  <w:abstractNum w:abstractNumId="12" w15:restartNumberingAfterBreak="0">
    <w:nsid w:val="3C8B650A"/>
    <w:multiLevelType w:val="multilevel"/>
    <w:tmpl w:val="EF1C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F027DB9"/>
    <w:multiLevelType w:val="multilevel"/>
    <w:tmpl w:val="D5E2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FE1CA6"/>
    <w:multiLevelType w:val="hybridMultilevel"/>
    <w:tmpl w:val="126AD664"/>
    <w:lvl w:ilvl="0" w:tplc="B6DE05E4">
      <w:start w:val="1"/>
      <w:numFmt w:val="decimal"/>
      <w:lvlText w:val="%1."/>
      <w:lvlJc w:val="left"/>
      <w:pPr>
        <w:ind w:left="1080" w:hanging="360"/>
      </w:pPr>
      <w:rPr>
        <w:rFonts w:hint="default"/>
        <w:b w:val="0"/>
        <w:bCs/>
      </w:rPr>
    </w:lvl>
    <w:lvl w:ilvl="1" w:tplc="C37AB424">
      <w:start w:val="1"/>
      <w:numFmt w:val="lowerLetter"/>
      <w:lvlText w:val="%2."/>
      <w:lvlJc w:val="left"/>
      <w:pPr>
        <w:ind w:left="1800" w:hanging="360"/>
      </w:pPr>
      <w:rPr>
        <w:b w:val="0"/>
        <w:bCs w:val="0"/>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80E7D7D"/>
    <w:multiLevelType w:val="multilevel"/>
    <w:tmpl w:val="9E48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677885"/>
    <w:multiLevelType w:val="multilevel"/>
    <w:tmpl w:val="8C64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3722F6"/>
    <w:multiLevelType w:val="multilevel"/>
    <w:tmpl w:val="EC4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AAD598F"/>
    <w:multiLevelType w:val="hybridMultilevel"/>
    <w:tmpl w:val="DFECF0AC"/>
    <w:lvl w:ilvl="0" w:tplc="9BEC56F6">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335783"/>
    <w:multiLevelType w:val="hybridMultilevel"/>
    <w:tmpl w:val="EED04DC0"/>
    <w:lvl w:ilvl="0" w:tplc="F0D00B22">
      <w:start w:val="1"/>
      <w:numFmt w:val="lowerRoman"/>
      <w:lvlText w:val="%1."/>
      <w:lvlJc w:val="right"/>
      <w:pPr>
        <w:ind w:left="252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5E0A6F8D"/>
    <w:multiLevelType w:val="multilevel"/>
    <w:tmpl w:val="51941ED6"/>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23" w15:restartNumberingAfterBreak="0">
    <w:nsid w:val="62DE2F1E"/>
    <w:multiLevelType w:val="multilevel"/>
    <w:tmpl w:val="7A2E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F710E0"/>
    <w:multiLevelType w:val="multilevel"/>
    <w:tmpl w:val="1E4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708988705">
    <w:abstractNumId w:val="25"/>
  </w:num>
  <w:num w:numId="2" w16cid:durableId="699664107">
    <w:abstractNumId w:val="20"/>
  </w:num>
  <w:num w:numId="3" w16cid:durableId="394931929">
    <w:abstractNumId w:val="0"/>
  </w:num>
  <w:num w:numId="4" w16cid:durableId="823669268">
    <w:abstractNumId w:val="15"/>
  </w:num>
  <w:num w:numId="5" w16cid:durableId="733895783">
    <w:abstractNumId w:val="8"/>
  </w:num>
  <w:num w:numId="6" w16cid:durableId="515268847">
    <w:abstractNumId w:val="1"/>
  </w:num>
  <w:num w:numId="7" w16cid:durableId="1432551770">
    <w:abstractNumId w:val="22"/>
  </w:num>
  <w:num w:numId="8" w16cid:durableId="15912358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7189790">
    <w:abstractNumId w:val="13"/>
  </w:num>
  <w:num w:numId="10" w16cid:durableId="7555925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8312543">
    <w:abstractNumId w:val="19"/>
  </w:num>
  <w:num w:numId="12" w16cid:durableId="344526644">
    <w:abstractNumId w:val="11"/>
  </w:num>
  <w:num w:numId="13" w16cid:durableId="2020623793">
    <w:abstractNumId w:val="10"/>
  </w:num>
  <w:num w:numId="14" w16cid:durableId="727218924">
    <w:abstractNumId w:val="4"/>
  </w:num>
  <w:num w:numId="15" w16cid:durableId="1358657031">
    <w:abstractNumId w:val="21"/>
  </w:num>
  <w:num w:numId="16" w16cid:durableId="451364288">
    <w:abstractNumId w:val="12"/>
  </w:num>
  <w:num w:numId="17" w16cid:durableId="1173228906">
    <w:abstractNumId w:val="2"/>
  </w:num>
  <w:num w:numId="18" w16cid:durableId="326136327">
    <w:abstractNumId w:val="23"/>
  </w:num>
  <w:num w:numId="19" w16cid:durableId="772898375">
    <w:abstractNumId w:val="17"/>
  </w:num>
  <w:num w:numId="20" w16cid:durableId="675183301">
    <w:abstractNumId w:val="24"/>
  </w:num>
  <w:num w:numId="21" w16cid:durableId="1498156232">
    <w:abstractNumId w:val="7"/>
  </w:num>
  <w:num w:numId="22" w16cid:durableId="360670002">
    <w:abstractNumId w:val="14"/>
  </w:num>
  <w:num w:numId="23" w16cid:durableId="2093507931">
    <w:abstractNumId w:val="9"/>
  </w:num>
  <w:num w:numId="24" w16cid:durableId="1182471256">
    <w:abstractNumId w:val="3"/>
  </w:num>
  <w:num w:numId="25" w16cid:durableId="573051069">
    <w:abstractNumId w:val="6"/>
  </w:num>
  <w:num w:numId="26" w16cid:durableId="1953004923">
    <w:abstractNumId w:val="18"/>
  </w:num>
  <w:num w:numId="27" w16cid:durableId="190802734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B5F"/>
    <w:rsid w:val="0000019D"/>
    <w:rsid w:val="000005A6"/>
    <w:rsid w:val="00000899"/>
    <w:rsid w:val="000009B8"/>
    <w:rsid w:val="00000F54"/>
    <w:rsid w:val="0000121F"/>
    <w:rsid w:val="00001449"/>
    <w:rsid w:val="00001F79"/>
    <w:rsid w:val="00002D4B"/>
    <w:rsid w:val="00002D6B"/>
    <w:rsid w:val="00002E72"/>
    <w:rsid w:val="000042FE"/>
    <w:rsid w:val="0000431A"/>
    <w:rsid w:val="000054EB"/>
    <w:rsid w:val="00005554"/>
    <w:rsid w:val="000055C9"/>
    <w:rsid w:val="00005C07"/>
    <w:rsid w:val="00006535"/>
    <w:rsid w:val="00006C78"/>
    <w:rsid w:val="00007151"/>
    <w:rsid w:val="000073D8"/>
    <w:rsid w:val="00007938"/>
    <w:rsid w:val="00007EDA"/>
    <w:rsid w:val="00010C6C"/>
    <w:rsid w:val="00010F98"/>
    <w:rsid w:val="0001263B"/>
    <w:rsid w:val="00012A09"/>
    <w:rsid w:val="00013BD8"/>
    <w:rsid w:val="00014B9B"/>
    <w:rsid w:val="000150A6"/>
    <w:rsid w:val="000153E4"/>
    <w:rsid w:val="0001552E"/>
    <w:rsid w:val="00015D52"/>
    <w:rsid w:val="00015DAD"/>
    <w:rsid w:val="0001750B"/>
    <w:rsid w:val="0001774F"/>
    <w:rsid w:val="00017D42"/>
    <w:rsid w:val="0002015F"/>
    <w:rsid w:val="00020683"/>
    <w:rsid w:val="00020B19"/>
    <w:rsid w:val="00020F03"/>
    <w:rsid w:val="000210B4"/>
    <w:rsid w:val="000213FD"/>
    <w:rsid w:val="00021F1D"/>
    <w:rsid w:val="00022085"/>
    <w:rsid w:val="00023C73"/>
    <w:rsid w:val="000243BA"/>
    <w:rsid w:val="0002453F"/>
    <w:rsid w:val="000247FE"/>
    <w:rsid w:val="000248E8"/>
    <w:rsid w:val="0002510C"/>
    <w:rsid w:val="000255F2"/>
    <w:rsid w:val="00027047"/>
    <w:rsid w:val="000305C6"/>
    <w:rsid w:val="0003063A"/>
    <w:rsid w:val="00031B74"/>
    <w:rsid w:val="00031BF2"/>
    <w:rsid w:val="00031DBB"/>
    <w:rsid w:val="00032333"/>
    <w:rsid w:val="000324F4"/>
    <w:rsid w:val="00032DB2"/>
    <w:rsid w:val="000332FB"/>
    <w:rsid w:val="000339D3"/>
    <w:rsid w:val="00035263"/>
    <w:rsid w:val="000355D9"/>
    <w:rsid w:val="00035AF2"/>
    <w:rsid w:val="00035E8F"/>
    <w:rsid w:val="000369DE"/>
    <w:rsid w:val="00037553"/>
    <w:rsid w:val="00037674"/>
    <w:rsid w:val="00037B7C"/>
    <w:rsid w:val="00037FD9"/>
    <w:rsid w:val="00040A97"/>
    <w:rsid w:val="00040E25"/>
    <w:rsid w:val="00041140"/>
    <w:rsid w:val="00041975"/>
    <w:rsid w:val="00041BF3"/>
    <w:rsid w:val="00042987"/>
    <w:rsid w:val="000431AF"/>
    <w:rsid w:val="00043597"/>
    <w:rsid w:val="000438DF"/>
    <w:rsid w:val="0004402C"/>
    <w:rsid w:val="00044327"/>
    <w:rsid w:val="000445D2"/>
    <w:rsid w:val="000447A1"/>
    <w:rsid w:val="0004564A"/>
    <w:rsid w:val="00045A9B"/>
    <w:rsid w:val="00045CF6"/>
    <w:rsid w:val="00045F7E"/>
    <w:rsid w:val="00046E46"/>
    <w:rsid w:val="0004742A"/>
    <w:rsid w:val="00047706"/>
    <w:rsid w:val="000479C3"/>
    <w:rsid w:val="00047DCB"/>
    <w:rsid w:val="00052047"/>
    <w:rsid w:val="00052C13"/>
    <w:rsid w:val="000535EA"/>
    <w:rsid w:val="00053858"/>
    <w:rsid w:val="00054B06"/>
    <w:rsid w:val="00055F52"/>
    <w:rsid w:val="0005641E"/>
    <w:rsid w:val="00056606"/>
    <w:rsid w:val="000579F7"/>
    <w:rsid w:val="00060BE8"/>
    <w:rsid w:val="00061469"/>
    <w:rsid w:val="00061C19"/>
    <w:rsid w:val="00061DBA"/>
    <w:rsid w:val="0006425F"/>
    <w:rsid w:val="000645FB"/>
    <w:rsid w:val="00064A00"/>
    <w:rsid w:val="00064D65"/>
    <w:rsid w:val="00064D90"/>
    <w:rsid w:val="00065BE8"/>
    <w:rsid w:val="00066D26"/>
    <w:rsid w:val="00066F8A"/>
    <w:rsid w:val="000676C9"/>
    <w:rsid w:val="00067A0F"/>
    <w:rsid w:val="00067B76"/>
    <w:rsid w:val="00067BBE"/>
    <w:rsid w:val="0007075E"/>
    <w:rsid w:val="000714E8"/>
    <w:rsid w:val="00071A12"/>
    <w:rsid w:val="00071FF4"/>
    <w:rsid w:val="000727E9"/>
    <w:rsid w:val="00073126"/>
    <w:rsid w:val="00074095"/>
    <w:rsid w:val="00074C51"/>
    <w:rsid w:val="0007509A"/>
    <w:rsid w:val="000755C3"/>
    <w:rsid w:val="00075B21"/>
    <w:rsid w:val="000765AF"/>
    <w:rsid w:val="000769D8"/>
    <w:rsid w:val="00077198"/>
    <w:rsid w:val="000771CE"/>
    <w:rsid w:val="00077C2C"/>
    <w:rsid w:val="000801A6"/>
    <w:rsid w:val="00082021"/>
    <w:rsid w:val="00082AE8"/>
    <w:rsid w:val="000830EB"/>
    <w:rsid w:val="00084454"/>
    <w:rsid w:val="00084D5E"/>
    <w:rsid w:val="00085195"/>
    <w:rsid w:val="0008543C"/>
    <w:rsid w:val="000862EC"/>
    <w:rsid w:val="000864B1"/>
    <w:rsid w:val="000868D4"/>
    <w:rsid w:val="00086DB4"/>
    <w:rsid w:val="000878CF"/>
    <w:rsid w:val="0009092A"/>
    <w:rsid w:val="00090C6F"/>
    <w:rsid w:val="00091056"/>
    <w:rsid w:val="00091D31"/>
    <w:rsid w:val="00092615"/>
    <w:rsid w:val="00092E66"/>
    <w:rsid w:val="00093E22"/>
    <w:rsid w:val="00095819"/>
    <w:rsid w:val="00096680"/>
    <w:rsid w:val="00096856"/>
    <w:rsid w:val="00096CAB"/>
    <w:rsid w:val="00097742"/>
    <w:rsid w:val="000A05CB"/>
    <w:rsid w:val="000A08BD"/>
    <w:rsid w:val="000A0EB1"/>
    <w:rsid w:val="000A1801"/>
    <w:rsid w:val="000A1C3D"/>
    <w:rsid w:val="000A2086"/>
    <w:rsid w:val="000A24A8"/>
    <w:rsid w:val="000A2A51"/>
    <w:rsid w:val="000A2CB5"/>
    <w:rsid w:val="000A2CF5"/>
    <w:rsid w:val="000A332C"/>
    <w:rsid w:val="000A34D3"/>
    <w:rsid w:val="000A38DF"/>
    <w:rsid w:val="000A392E"/>
    <w:rsid w:val="000A3A19"/>
    <w:rsid w:val="000A40D2"/>
    <w:rsid w:val="000A4522"/>
    <w:rsid w:val="000A4573"/>
    <w:rsid w:val="000A4736"/>
    <w:rsid w:val="000A4C7C"/>
    <w:rsid w:val="000A4ED1"/>
    <w:rsid w:val="000A4EF3"/>
    <w:rsid w:val="000A5373"/>
    <w:rsid w:val="000A5388"/>
    <w:rsid w:val="000A5957"/>
    <w:rsid w:val="000A5E4E"/>
    <w:rsid w:val="000A6A10"/>
    <w:rsid w:val="000A6E7C"/>
    <w:rsid w:val="000A718D"/>
    <w:rsid w:val="000A7BA2"/>
    <w:rsid w:val="000B0004"/>
    <w:rsid w:val="000B03C8"/>
    <w:rsid w:val="000B06AB"/>
    <w:rsid w:val="000B0960"/>
    <w:rsid w:val="000B1079"/>
    <w:rsid w:val="000B1679"/>
    <w:rsid w:val="000B1C82"/>
    <w:rsid w:val="000B2A84"/>
    <w:rsid w:val="000B311A"/>
    <w:rsid w:val="000B3459"/>
    <w:rsid w:val="000B4C9E"/>
    <w:rsid w:val="000B5789"/>
    <w:rsid w:val="000B740B"/>
    <w:rsid w:val="000C01B1"/>
    <w:rsid w:val="000C11A0"/>
    <w:rsid w:val="000C237F"/>
    <w:rsid w:val="000C278E"/>
    <w:rsid w:val="000C2B6D"/>
    <w:rsid w:val="000C3B26"/>
    <w:rsid w:val="000C42BD"/>
    <w:rsid w:val="000C49DD"/>
    <w:rsid w:val="000C4C53"/>
    <w:rsid w:val="000C4CED"/>
    <w:rsid w:val="000C4E60"/>
    <w:rsid w:val="000C6C5E"/>
    <w:rsid w:val="000C73CB"/>
    <w:rsid w:val="000D0780"/>
    <w:rsid w:val="000D2218"/>
    <w:rsid w:val="000D2630"/>
    <w:rsid w:val="000D282D"/>
    <w:rsid w:val="000D3872"/>
    <w:rsid w:val="000D4CDC"/>
    <w:rsid w:val="000D59B1"/>
    <w:rsid w:val="000D5F54"/>
    <w:rsid w:val="000D6422"/>
    <w:rsid w:val="000D6E27"/>
    <w:rsid w:val="000D74C8"/>
    <w:rsid w:val="000D7BC2"/>
    <w:rsid w:val="000E0888"/>
    <w:rsid w:val="000E0EF9"/>
    <w:rsid w:val="000E12DC"/>
    <w:rsid w:val="000E1569"/>
    <w:rsid w:val="000E2E37"/>
    <w:rsid w:val="000E2F93"/>
    <w:rsid w:val="000E3708"/>
    <w:rsid w:val="000E3EB3"/>
    <w:rsid w:val="000E3FE5"/>
    <w:rsid w:val="000E40A8"/>
    <w:rsid w:val="000E4538"/>
    <w:rsid w:val="000E51C4"/>
    <w:rsid w:val="000E5A20"/>
    <w:rsid w:val="000E5E09"/>
    <w:rsid w:val="000E65F6"/>
    <w:rsid w:val="000E77E6"/>
    <w:rsid w:val="000E7883"/>
    <w:rsid w:val="000F06EF"/>
    <w:rsid w:val="000F0D48"/>
    <w:rsid w:val="000F1135"/>
    <w:rsid w:val="000F184B"/>
    <w:rsid w:val="000F25B7"/>
    <w:rsid w:val="000F2CBA"/>
    <w:rsid w:val="000F2F29"/>
    <w:rsid w:val="000F3529"/>
    <w:rsid w:val="000F361E"/>
    <w:rsid w:val="000F37D6"/>
    <w:rsid w:val="000F4EBD"/>
    <w:rsid w:val="000F5418"/>
    <w:rsid w:val="000F6505"/>
    <w:rsid w:val="000F7435"/>
    <w:rsid w:val="001004E1"/>
    <w:rsid w:val="001013B4"/>
    <w:rsid w:val="00101EA6"/>
    <w:rsid w:val="00102825"/>
    <w:rsid w:val="0010305A"/>
    <w:rsid w:val="00103352"/>
    <w:rsid w:val="0010376C"/>
    <w:rsid w:val="00103ECE"/>
    <w:rsid w:val="0010433E"/>
    <w:rsid w:val="00104702"/>
    <w:rsid w:val="0010493D"/>
    <w:rsid w:val="00104A11"/>
    <w:rsid w:val="00105322"/>
    <w:rsid w:val="001068A8"/>
    <w:rsid w:val="001069A2"/>
    <w:rsid w:val="001069F5"/>
    <w:rsid w:val="00106B6E"/>
    <w:rsid w:val="001075CD"/>
    <w:rsid w:val="00107CEC"/>
    <w:rsid w:val="001101D4"/>
    <w:rsid w:val="001109A3"/>
    <w:rsid w:val="0011169E"/>
    <w:rsid w:val="001117A5"/>
    <w:rsid w:val="00111A68"/>
    <w:rsid w:val="00111E87"/>
    <w:rsid w:val="00111E9F"/>
    <w:rsid w:val="001120A1"/>
    <w:rsid w:val="00113B24"/>
    <w:rsid w:val="00113B90"/>
    <w:rsid w:val="00113F83"/>
    <w:rsid w:val="001140DE"/>
    <w:rsid w:val="00116076"/>
    <w:rsid w:val="001160B0"/>
    <w:rsid w:val="00116372"/>
    <w:rsid w:val="00117047"/>
    <w:rsid w:val="00117691"/>
    <w:rsid w:val="00117C5A"/>
    <w:rsid w:val="00120971"/>
    <w:rsid w:val="001213CF"/>
    <w:rsid w:val="001215E7"/>
    <w:rsid w:val="00121B97"/>
    <w:rsid w:val="00121F46"/>
    <w:rsid w:val="001222CB"/>
    <w:rsid w:val="001229BA"/>
    <w:rsid w:val="001241FA"/>
    <w:rsid w:val="00124FF0"/>
    <w:rsid w:val="001272E3"/>
    <w:rsid w:val="00127859"/>
    <w:rsid w:val="00127BBE"/>
    <w:rsid w:val="001301A2"/>
    <w:rsid w:val="001308D7"/>
    <w:rsid w:val="00130E37"/>
    <w:rsid w:val="00130E88"/>
    <w:rsid w:val="00130E8F"/>
    <w:rsid w:val="00131986"/>
    <w:rsid w:val="00131DB5"/>
    <w:rsid w:val="00131EFC"/>
    <w:rsid w:val="001324A2"/>
    <w:rsid w:val="001339D6"/>
    <w:rsid w:val="001343CE"/>
    <w:rsid w:val="00134803"/>
    <w:rsid w:val="00134C0C"/>
    <w:rsid w:val="00134EF6"/>
    <w:rsid w:val="00135DAA"/>
    <w:rsid w:val="00136864"/>
    <w:rsid w:val="001372ED"/>
    <w:rsid w:val="00140078"/>
    <w:rsid w:val="00140A10"/>
    <w:rsid w:val="00140A58"/>
    <w:rsid w:val="0014186B"/>
    <w:rsid w:val="00141883"/>
    <w:rsid w:val="0014198B"/>
    <w:rsid w:val="00141CD4"/>
    <w:rsid w:val="00141ECA"/>
    <w:rsid w:val="00142210"/>
    <w:rsid w:val="00142FC0"/>
    <w:rsid w:val="001433DD"/>
    <w:rsid w:val="0014348C"/>
    <w:rsid w:val="001435E4"/>
    <w:rsid w:val="001437C3"/>
    <w:rsid w:val="001442B8"/>
    <w:rsid w:val="001445E1"/>
    <w:rsid w:val="0014520F"/>
    <w:rsid w:val="0014539C"/>
    <w:rsid w:val="00145E3C"/>
    <w:rsid w:val="001502B3"/>
    <w:rsid w:val="00150397"/>
    <w:rsid w:val="00150899"/>
    <w:rsid w:val="00150AD4"/>
    <w:rsid w:val="00150AD6"/>
    <w:rsid w:val="00151CF3"/>
    <w:rsid w:val="00151EA9"/>
    <w:rsid w:val="001526AF"/>
    <w:rsid w:val="001538DB"/>
    <w:rsid w:val="00153B27"/>
    <w:rsid w:val="00153F58"/>
    <w:rsid w:val="00154DE6"/>
    <w:rsid w:val="00154E1F"/>
    <w:rsid w:val="00155350"/>
    <w:rsid w:val="001557DD"/>
    <w:rsid w:val="00155FD5"/>
    <w:rsid w:val="0015734B"/>
    <w:rsid w:val="001603FE"/>
    <w:rsid w:val="00160640"/>
    <w:rsid w:val="00160DF7"/>
    <w:rsid w:val="00161836"/>
    <w:rsid w:val="0016198B"/>
    <w:rsid w:val="00163173"/>
    <w:rsid w:val="00163AA7"/>
    <w:rsid w:val="00163F46"/>
    <w:rsid w:val="0016400A"/>
    <w:rsid w:val="00164365"/>
    <w:rsid w:val="00164583"/>
    <w:rsid w:val="001649F4"/>
    <w:rsid w:val="00165283"/>
    <w:rsid w:val="00165493"/>
    <w:rsid w:val="0016564F"/>
    <w:rsid w:val="0017049B"/>
    <w:rsid w:val="001705C7"/>
    <w:rsid w:val="00170B63"/>
    <w:rsid w:val="00171591"/>
    <w:rsid w:val="0017169B"/>
    <w:rsid w:val="001729F6"/>
    <w:rsid w:val="00172D83"/>
    <w:rsid w:val="0017358F"/>
    <w:rsid w:val="00173874"/>
    <w:rsid w:val="00173A41"/>
    <w:rsid w:val="00174D36"/>
    <w:rsid w:val="00174D67"/>
    <w:rsid w:val="0017541B"/>
    <w:rsid w:val="0017548B"/>
    <w:rsid w:val="001758CA"/>
    <w:rsid w:val="00176317"/>
    <w:rsid w:val="00176EC7"/>
    <w:rsid w:val="00176EE9"/>
    <w:rsid w:val="001771A0"/>
    <w:rsid w:val="00180511"/>
    <w:rsid w:val="00181283"/>
    <w:rsid w:val="00181828"/>
    <w:rsid w:val="001835E9"/>
    <w:rsid w:val="00183E55"/>
    <w:rsid w:val="00183F12"/>
    <w:rsid w:val="00184600"/>
    <w:rsid w:val="001846D6"/>
    <w:rsid w:val="00185101"/>
    <w:rsid w:val="00185363"/>
    <w:rsid w:val="00185900"/>
    <w:rsid w:val="001859C9"/>
    <w:rsid w:val="00186081"/>
    <w:rsid w:val="00186794"/>
    <w:rsid w:val="00186CE2"/>
    <w:rsid w:val="00186E10"/>
    <w:rsid w:val="00186EBA"/>
    <w:rsid w:val="001870A5"/>
    <w:rsid w:val="00187699"/>
    <w:rsid w:val="001876EC"/>
    <w:rsid w:val="0019283B"/>
    <w:rsid w:val="00193A83"/>
    <w:rsid w:val="00193B44"/>
    <w:rsid w:val="00194006"/>
    <w:rsid w:val="001950DF"/>
    <w:rsid w:val="00196B00"/>
    <w:rsid w:val="00196C68"/>
    <w:rsid w:val="00196E9E"/>
    <w:rsid w:val="00197020"/>
    <w:rsid w:val="00197374"/>
    <w:rsid w:val="0019744F"/>
    <w:rsid w:val="00197E8D"/>
    <w:rsid w:val="00197EDF"/>
    <w:rsid w:val="00197F27"/>
    <w:rsid w:val="001A0A29"/>
    <w:rsid w:val="001A0B97"/>
    <w:rsid w:val="001A0D04"/>
    <w:rsid w:val="001A0EDB"/>
    <w:rsid w:val="001A1191"/>
    <w:rsid w:val="001A12E8"/>
    <w:rsid w:val="001A1A72"/>
    <w:rsid w:val="001A1EEB"/>
    <w:rsid w:val="001A2901"/>
    <w:rsid w:val="001A3A16"/>
    <w:rsid w:val="001A3B55"/>
    <w:rsid w:val="001A4139"/>
    <w:rsid w:val="001A4580"/>
    <w:rsid w:val="001A4D48"/>
    <w:rsid w:val="001A5397"/>
    <w:rsid w:val="001A612E"/>
    <w:rsid w:val="001A6156"/>
    <w:rsid w:val="001A64AE"/>
    <w:rsid w:val="001A6579"/>
    <w:rsid w:val="001A68E8"/>
    <w:rsid w:val="001A6D10"/>
    <w:rsid w:val="001A7AB7"/>
    <w:rsid w:val="001B02B2"/>
    <w:rsid w:val="001B1AF7"/>
    <w:rsid w:val="001B2A73"/>
    <w:rsid w:val="001B2BFF"/>
    <w:rsid w:val="001B335C"/>
    <w:rsid w:val="001B35C3"/>
    <w:rsid w:val="001B3DDA"/>
    <w:rsid w:val="001B4559"/>
    <w:rsid w:val="001B47C4"/>
    <w:rsid w:val="001B65A3"/>
    <w:rsid w:val="001B67CB"/>
    <w:rsid w:val="001B7EBE"/>
    <w:rsid w:val="001C1946"/>
    <w:rsid w:val="001C1F21"/>
    <w:rsid w:val="001C261B"/>
    <w:rsid w:val="001C2A97"/>
    <w:rsid w:val="001C329A"/>
    <w:rsid w:val="001C3EF2"/>
    <w:rsid w:val="001C4D5A"/>
    <w:rsid w:val="001C6787"/>
    <w:rsid w:val="001C718D"/>
    <w:rsid w:val="001C7C39"/>
    <w:rsid w:val="001C7F23"/>
    <w:rsid w:val="001D1302"/>
    <w:rsid w:val="001D1893"/>
    <w:rsid w:val="001D1A16"/>
    <w:rsid w:val="001D2732"/>
    <w:rsid w:val="001D276F"/>
    <w:rsid w:val="001D2BFC"/>
    <w:rsid w:val="001D3170"/>
    <w:rsid w:val="001D4CFA"/>
    <w:rsid w:val="001D5308"/>
    <w:rsid w:val="001D69B9"/>
    <w:rsid w:val="001D6F76"/>
    <w:rsid w:val="001D70BC"/>
    <w:rsid w:val="001D7920"/>
    <w:rsid w:val="001D7CA8"/>
    <w:rsid w:val="001E079D"/>
    <w:rsid w:val="001E0BEB"/>
    <w:rsid w:val="001E1544"/>
    <w:rsid w:val="001E2178"/>
    <w:rsid w:val="001E24EE"/>
    <w:rsid w:val="001E2865"/>
    <w:rsid w:val="001E2B8E"/>
    <w:rsid w:val="001E3538"/>
    <w:rsid w:val="001E380F"/>
    <w:rsid w:val="001E3A97"/>
    <w:rsid w:val="001E3E81"/>
    <w:rsid w:val="001E4D73"/>
    <w:rsid w:val="001E4F4C"/>
    <w:rsid w:val="001E50B6"/>
    <w:rsid w:val="001E5939"/>
    <w:rsid w:val="001E5A26"/>
    <w:rsid w:val="001E6CEF"/>
    <w:rsid w:val="001F0F42"/>
    <w:rsid w:val="001F120C"/>
    <w:rsid w:val="001F17A4"/>
    <w:rsid w:val="001F21A1"/>
    <w:rsid w:val="001F2360"/>
    <w:rsid w:val="001F2EFF"/>
    <w:rsid w:val="001F4630"/>
    <w:rsid w:val="001F4F90"/>
    <w:rsid w:val="001F5112"/>
    <w:rsid w:val="001F52D8"/>
    <w:rsid w:val="001F548A"/>
    <w:rsid w:val="001F5E95"/>
    <w:rsid w:val="001F63D2"/>
    <w:rsid w:val="001F654F"/>
    <w:rsid w:val="001F746D"/>
    <w:rsid w:val="001F76B6"/>
    <w:rsid w:val="00200696"/>
    <w:rsid w:val="002015F5"/>
    <w:rsid w:val="00201F29"/>
    <w:rsid w:val="00202CC3"/>
    <w:rsid w:val="00202F85"/>
    <w:rsid w:val="00203148"/>
    <w:rsid w:val="0020331F"/>
    <w:rsid w:val="002033A0"/>
    <w:rsid w:val="0020453C"/>
    <w:rsid w:val="00204812"/>
    <w:rsid w:val="00204F3D"/>
    <w:rsid w:val="0020577C"/>
    <w:rsid w:val="00205B62"/>
    <w:rsid w:val="00205E5C"/>
    <w:rsid w:val="00206B10"/>
    <w:rsid w:val="00206FAB"/>
    <w:rsid w:val="002079B4"/>
    <w:rsid w:val="00207B31"/>
    <w:rsid w:val="00210136"/>
    <w:rsid w:val="00210317"/>
    <w:rsid w:val="00210548"/>
    <w:rsid w:val="00211B4B"/>
    <w:rsid w:val="002130E9"/>
    <w:rsid w:val="00213C9C"/>
    <w:rsid w:val="00214BD7"/>
    <w:rsid w:val="00220EED"/>
    <w:rsid w:val="00221C45"/>
    <w:rsid w:val="00221CBB"/>
    <w:rsid w:val="00223AF8"/>
    <w:rsid w:val="00223D79"/>
    <w:rsid w:val="0022414B"/>
    <w:rsid w:val="00224FB6"/>
    <w:rsid w:val="0022511E"/>
    <w:rsid w:val="00225499"/>
    <w:rsid w:val="002255D2"/>
    <w:rsid w:val="002257D8"/>
    <w:rsid w:val="00226088"/>
    <w:rsid w:val="00226D81"/>
    <w:rsid w:val="00227812"/>
    <w:rsid w:val="00227A3F"/>
    <w:rsid w:val="00227E1C"/>
    <w:rsid w:val="00232E16"/>
    <w:rsid w:val="002340F1"/>
    <w:rsid w:val="002344A2"/>
    <w:rsid w:val="00235018"/>
    <w:rsid w:val="00235300"/>
    <w:rsid w:val="00235A38"/>
    <w:rsid w:val="002364D7"/>
    <w:rsid w:val="002402E7"/>
    <w:rsid w:val="00240BFC"/>
    <w:rsid w:val="002423A5"/>
    <w:rsid w:val="00242EEB"/>
    <w:rsid w:val="00243039"/>
    <w:rsid w:val="0024386F"/>
    <w:rsid w:val="00244711"/>
    <w:rsid w:val="00244835"/>
    <w:rsid w:val="002469A9"/>
    <w:rsid w:val="002469D2"/>
    <w:rsid w:val="00246A69"/>
    <w:rsid w:val="00247382"/>
    <w:rsid w:val="00247977"/>
    <w:rsid w:val="002479A9"/>
    <w:rsid w:val="00250660"/>
    <w:rsid w:val="002509FF"/>
    <w:rsid w:val="00250E93"/>
    <w:rsid w:val="00252097"/>
    <w:rsid w:val="00252E2A"/>
    <w:rsid w:val="002530D8"/>
    <w:rsid w:val="00253936"/>
    <w:rsid w:val="00253BF2"/>
    <w:rsid w:val="00253C19"/>
    <w:rsid w:val="00254076"/>
    <w:rsid w:val="00254BBF"/>
    <w:rsid w:val="00255829"/>
    <w:rsid w:val="00255E4C"/>
    <w:rsid w:val="00256800"/>
    <w:rsid w:val="0025790F"/>
    <w:rsid w:val="00261DFF"/>
    <w:rsid w:val="00262148"/>
    <w:rsid w:val="00263A51"/>
    <w:rsid w:val="00263CF9"/>
    <w:rsid w:val="00264327"/>
    <w:rsid w:val="00264B1B"/>
    <w:rsid w:val="00264E4C"/>
    <w:rsid w:val="00265FDB"/>
    <w:rsid w:val="00266431"/>
    <w:rsid w:val="002701F9"/>
    <w:rsid w:val="00271B20"/>
    <w:rsid w:val="0027221E"/>
    <w:rsid w:val="0027240E"/>
    <w:rsid w:val="0027253F"/>
    <w:rsid w:val="0027358D"/>
    <w:rsid w:val="00273618"/>
    <w:rsid w:val="00273C0D"/>
    <w:rsid w:val="00274481"/>
    <w:rsid w:val="0027449B"/>
    <w:rsid w:val="0027486C"/>
    <w:rsid w:val="00275338"/>
    <w:rsid w:val="002753E3"/>
    <w:rsid w:val="00275EA7"/>
    <w:rsid w:val="00276FCA"/>
    <w:rsid w:val="0027745F"/>
    <w:rsid w:val="0027763E"/>
    <w:rsid w:val="00277B4A"/>
    <w:rsid w:val="00277C92"/>
    <w:rsid w:val="002812F4"/>
    <w:rsid w:val="0028210B"/>
    <w:rsid w:val="002829B2"/>
    <w:rsid w:val="00282AC2"/>
    <w:rsid w:val="00282D17"/>
    <w:rsid w:val="00284873"/>
    <w:rsid w:val="0028533D"/>
    <w:rsid w:val="002854D5"/>
    <w:rsid w:val="00285837"/>
    <w:rsid w:val="00285C63"/>
    <w:rsid w:val="0028650C"/>
    <w:rsid w:val="002868E4"/>
    <w:rsid w:val="002904EC"/>
    <w:rsid w:val="00290A58"/>
    <w:rsid w:val="002920F2"/>
    <w:rsid w:val="002924AE"/>
    <w:rsid w:val="00293BA2"/>
    <w:rsid w:val="002962AF"/>
    <w:rsid w:val="002963DF"/>
    <w:rsid w:val="00296767"/>
    <w:rsid w:val="00296CA6"/>
    <w:rsid w:val="002972AF"/>
    <w:rsid w:val="00297A4D"/>
    <w:rsid w:val="00297D41"/>
    <w:rsid w:val="002A051F"/>
    <w:rsid w:val="002A25A7"/>
    <w:rsid w:val="002A2FF3"/>
    <w:rsid w:val="002A3A8A"/>
    <w:rsid w:val="002A4575"/>
    <w:rsid w:val="002A472F"/>
    <w:rsid w:val="002A6AF1"/>
    <w:rsid w:val="002A70AA"/>
    <w:rsid w:val="002B04F9"/>
    <w:rsid w:val="002B0D11"/>
    <w:rsid w:val="002B1107"/>
    <w:rsid w:val="002B11E1"/>
    <w:rsid w:val="002B12F2"/>
    <w:rsid w:val="002B13FD"/>
    <w:rsid w:val="002B1ED3"/>
    <w:rsid w:val="002B2C05"/>
    <w:rsid w:val="002B33F7"/>
    <w:rsid w:val="002B3511"/>
    <w:rsid w:val="002B3A91"/>
    <w:rsid w:val="002B3BFF"/>
    <w:rsid w:val="002B3CC7"/>
    <w:rsid w:val="002B4018"/>
    <w:rsid w:val="002B4B8D"/>
    <w:rsid w:val="002B4F07"/>
    <w:rsid w:val="002B5DD4"/>
    <w:rsid w:val="002B64BF"/>
    <w:rsid w:val="002B6599"/>
    <w:rsid w:val="002B6D6A"/>
    <w:rsid w:val="002B6DD1"/>
    <w:rsid w:val="002B767E"/>
    <w:rsid w:val="002B79DB"/>
    <w:rsid w:val="002C09D0"/>
    <w:rsid w:val="002C1AD9"/>
    <w:rsid w:val="002C23D5"/>
    <w:rsid w:val="002C2DFE"/>
    <w:rsid w:val="002C3828"/>
    <w:rsid w:val="002C4111"/>
    <w:rsid w:val="002C465A"/>
    <w:rsid w:val="002C5012"/>
    <w:rsid w:val="002C5558"/>
    <w:rsid w:val="002C6BCB"/>
    <w:rsid w:val="002C6C27"/>
    <w:rsid w:val="002C714E"/>
    <w:rsid w:val="002C74AA"/>
    <w:rsid w:val="002D01FB"/>
    <w:rsid w:val="002D026B"/>
    <w:rsid w:val="002D04CF"/>
    <w:rsid w:val="002D053E"/>
    <w:rsid w:val="002D101E"/>
    <w:rsid w:val="002D144C"/>
    <w:rsid w:val="002D16A9"/>
    <w:rsid w:val="002D1890"/>
    <w:rsid w:val="002D27B1"/>
    <w:rsid w:val="002D4C60"/>
    <w:rsid w:val="002D4CF9"/>
    <w:rsid w:val="002D4F48"/>
    <w:rsid w:val="002D4FDE"/>
    <w:rsid w:val="002D5506"/>
    <w:rsid w:val="002D5BD4"/>
    <w:rsid w:val="002D7120"/>
    <w:rsid w:val="002D7767"/>
    <w:rsid w:val="002E09FA"/>
    <w:rsid w:val="002E0E98"/>
    <w:rsid w:val="002E11FB"/>
    <w:rsid w:val="002E1F98"/>
    <w:rsid w:val="002E21C9"/>
    <w:rsid w:val="002E288B"/>
    <w:rsid w:val="002E39CF"/>
    <w:rsid w:val="002E3BA9"/>
    <w:rsid w:val="002E3E1C"/>
    <w:rsid w:val="002E3F63"/>
    <w:rsid w:val="002E4ACE"/>
    <w:rsid w:val="002E5722"/>
    <w:rsid w:val="002E6431"/>
    <w:rsid w:val="002E699E"/>
    <w:rsid w:val="002E6AE3"/>
    <w:rsid w:val="002E726D"/>
    <w:rsid w:val="002E7EB4"/>
    <w:rsid w:val="002E7F0C"/>
    <w:rsid w:val="002E7FF9"/>
    <w:rsid w:val="002F1563"/>
    <w:rsid w:val="002F2691"/>
    <w:rsid w:val="002F2BAB"/>
    <w:rsid w:val="002F2FE6"/>
    <w:rsid w:val="002F3344"/>
    <w:rsid w:val="002F36D0"/>
    <w:rsid w:val="002F3B55"/>
    <w:rsid w:val="002F3CD3"/>
    <w:rsid w:val="002F3F81"/>
    <w:rsid w:val="002F40BE"/>
    <w:rsid w:val="002F47FF"/>
    <w:rsid w:val="002F4C6A"/>
    <w:rsid w:val="002F4DCE"/>
    <w:rsid w:val="002F5F3B"/>
    <w:rsid w:val="002F6608"/>
    <w:rsid w:val="002F6894"/>
    <w:rsid w:val="002F68D1"/>
    <w:rsid w:val="002F75AA"/>
    <w:rsid w:val="002F7807"/>
    <w:rsid w:val="0030015D"/>
    <w:rsid w:val="00300621"/>
    <w:rsid w:val="00300895"/>
    <w:rsid w:val="003011B8"/>
    <w:rsid w:val="00301E5D"/>
    <w:rsid w:val="00302116"/>
    <w:rsid w:val="00302356"/>
    <w:rsid w:val="0030256E"/>
    <w:rsid w:val="00302F98"/>
    <w:rsid w:val="00303689"/>
    <w:rsid w:val="00303737"/>
    <w:rsid w:val="003044AF"/>
    <w:rsid w:val="003046F6"/>
    <w:rsid w:val="00305112"/>
    <w:rsid w:val="003053A2"/>
    <w:rsid w:val="00307580"/>
    <w:rsid w:val="00307ACA"/>
    <w:rsid w:val="00307B7A"/>
    <w:rsid w:val="00307D41"/>
    <w:rsid w:val="00310452"/>
    <w:rsid w:val="003107E5"/>
    <w:rsid w:val="003109D3"/>
    <w:rsid w:val="00311B10"/>
    <w:rsid w:val="00313EDA"/>
    <w:rsid w:val="00314E43"/>
    <w:rsid w:val="00315805"/>
    <w:rsid w:val="00315C8A"/>
    <w:rsid w:val="00316D93"/>
    <w:rsid w:val="00316EFB"/>
    <w:rsid w:val="00316F68"/>
    <w:rsid w:val="00317FB3"/>
    <w:rsid w:val="00320C1E"/>
    <w:rsid w:val="00321B17"/>
    <w:rsid w:val="00322407"/>
    <w:rsid w:val="00323F80"/>
    <w:rsid w:val="003248E0"/>
    <w:rsid w:val="00325A35"/>
    <w:rsid w:val="00326C03"/>
    <w:rsid w:val="00327148"/>
    <w:rsid w:val="003278C5"/>
    <w:rsid w:val="00327CC5"/>
    <w:rsid w:val="00327E59"/>
    <w:rsid w:val="0033037E"/>
    <w:rsid w:val="00330762"/>
    <w:rsid w:val="00331475"/>
    <w:rsid w:val="003316EB"/>
    <w:rsid w:val="0033221F"/>
    <w:rsid w:val="00332722"/>
    <w:rsid w:val="003327C3"/>
    <w:rsid w:val="00332E15"/>
    <w:rsid w:val="00333070"/>
    <w:rsid w:val="0033328F"/>
    <w:rsid w:val="00333610"/>
    <w:rsid w:val="003341C9"/>
    <w:rsid w:val="003342A7"/>
    <w:rsid w:val="00334F78"/>
    <w:rsid w:val="00335338"/>
    <w:rsid w:val="0033649A"/>
    <w:rsid w:val="00336A9A"/>
    <w:rsid w:val="00336F37"/>
    <w:rsid w:val="003379E7"/>
    <w:rsid w:val="00337C3D"/>
    <w:rsid w:val="00340906"/>
    <w:rsid w:val="00340F3E"/>
    <w:rsid w:val="00342F0D"/>
    <w:rsid w:val="00345816"/>
    <w:rsid w:val="0034591B"/>
    <w:rsid w:val="00345BDA"/>
    <w:rsid w:val="00345F0C"/>
    <w:rsid w:val="0034697E"/>
    <w:rsid w:val="00346B21"/>
    <w:rsid w:val="00346E61"/>
    <w:rsid w:val="00347AE8"/>
    <w:rsid w:val="0035006D"/>
    <w:rsid w:val="003501C3"/>
    <w:rsid w:val="00350441"/>
    <w:rsid w:val="00350540"/>
    <w:rsid w:val="003507D7"/>
    <w:rsid w:val="00350E00"/>
    <w:rsid w:val="00350F62"/>
    <w:rsid w:val="0035141B"/>
    <w:rsid w:val="00351E55"/>
    <w:rsid w:val="0035297D"/>
    <w:rsid w:val="00352FE9"/>
    <w:rsid w:val="00354CFF"/>
    <w:rsid w:val="003602EB"/>
    <w:rsid w:val="00360678"/>
    <w:rsid w:val="0036092E"/>
    <w:rsid w:val="00360F8D"/>
    <w:rsid w:val="003614B0"/>
    <w:rsid w:val="003616F4"/>
    <w:rsid w:val="0036199D"/>
    <w:rsid w:val="00361DCE"/>
    <w:rsid w:val="0036212C"/>
    <w:rsid w:val="00362246"/>
    <w:rsid w:val="0036260B"/>
    <w:rsid w:val="00362846"/>
    <w:rsid w:val="00362FE4"/>
    <w:rsid w:val="003637A6"/>
    <w:rsid w:val="003641EB"/>
    <w:rsid w:val="00364267"/>
    <w:rsid w:val="00364488"/>
    <w:rsid w:val="003657DD"/>
    <w:rsid w:val="00365875"/>
    <w:rsid w:val="003660EF"/>
    <w:rsid w:val="00366BC0"/>
    <w:rsid w:val="00366D0E"/>
    <w:rsid w:val="00367C6C"/>
    <w:rsid w:val="0037016B"/>
    <w:rsid w:val="003706F7"/>
    <w:rsid w:val="003713B6"/>
    <w:rsid w:val="00371527"/>
    <w:rsid w:val="00372512"/>
    <w:rsid w:val="00372C79"/>
    <w:rsid w:val="00372F95"/>
    <w:rsid w:val="00374287"/>
    <w:rsid w:val="003753F4"/>
    <w:rsid w:val="00375522"/>
    <w:rsid w:val="00375585"/>
    <w:rsid w:val="00376089"/>
    <w:rsid w:val="0037623E"/>
    <w:rsid w:val="003765C5"/>
    <w:rsid w:val="00376A1F"/>
    <w:rsid w:val="003772AC"/>
    <w:rsid w:val="00381BBF"/>
    <w:rsid w:val="00381BF8"/>
    <w:rsid w:val="003820C8"/>
    <w:rsid w:val="0038358B"/>
    <w:rsid w:val="00384129"/>
    <w:rsid w:val="003846E5"/>
    <w:rsid w:val="003848B4"/>
    <w:rsid w:val="00384BF3"/>
    <w:rsid w:val="00386026"/>
    <w:rsid w:val="0038681A"/>
    <w:rsid w:val="00390549"/>
    <w:rsid w:val="0039244C"/>
    <w:rsid w:val="00392822"/>
    <w:rsid w:val="00392906"/>
    <w:rsid w:val="00392C70"/>
    <w:rsid w:val="00392D52"/>
    <w:rsid w:val="003933A1"/>
    <w:rsid w:val="003936E1"/>
    <w:rsid w:val="003939AE"/>
    <w:rsid w:val="003946F6"/>
    <w:rsid w:val="00394F18"/>
    <w:rsid w:val="003969DB"/>
    <w:rsid w:val="0039734A"/>
    <w:rsid w:val="00397E1A"/>
    <w:rsid w:val="003A0619"/>
    <w:rsid w:val="003A0778"/>
    <w:rsid w:val="003A10B2"/>
    <w:rsid w:val="003A196C"/>
    <w:rsid w:val="003A22C1"/>
    <w:rsid w:val="003A232E"/>
    <w:rsid w:val="003A4A9C"/>
    <w:rsid w:val="003A56EC"/>
    <w:rsid w:val="003A62C9"/>
    <w:rsid w:val="003A6641"/>
    <w:rsid w:val="003A664E"/>
    <w:rsid w:val="003A6BA2"/>
    <w:rsid w:val="003A6F9C"/>
    <w:rsid w:val="003A771F"/>
    <w:rsid w:val="003B0204"/>
    <w:rsid w:val="003B051E"/>
    <w:rsid w:val="003B07BA"/>
    <w:rsid w:val="003B164F"/>
    <w:rsid w:val="003B1966"/>
    <w:rsid w:val="003B1B53"/>
    <w:rsid w:val="003B1E25"/>
    <w:rsid w:val="003B1E79"/>
    <w:rsid w:val="003B20F1"/>
    <w:rsid w:val="003B24A3"/>
    <w:rsid w:val="003B312D"/>
    <w:rsid w:val="003B4554"/>
    <w:rsid w:val="003B4719"/>
    <w:rsid w:val="003B48E4"/>
    <w:rsid w:val="003B605C"/>
    <w:rsid w:val="003B6250"/>
    <w:rsid w:val="003B7185"/>
    <w:rsid w:val="003B72F3"/>
    <w:rsid w:val="003B7393"/>
    <w:rsid w:val="003C0288"/>
    <w:rsid w:val="003C06E5"/>
    <w:rsid w:val="003C08FF"/>
    <w:rsid w:val="003C0F66"/>
    <w:rsid w:val="003C10AF"/>
    <w:rsid w:val="003C14A8"/>
    <w:rsid w:val="003C1C51"/>
    <w:rsid w:val="003C235A"/>
    <w:rsid w:val="003C2378"/>
    <w:rsid w:val="003C40CA"/>
    <w:rsid w:val="003C485B"/>
    <w:rsid w:val="003C5D6D"/>
    <w:rsid w:val="003C5E66"/>
    <w:rsid w:val="003C6645"/>
    <w:rsid w:val="003C6DC0"/>
    <w:rsid w:val="003C7877"/>
    <w:rsid w:val="003C7DC5"/>
    <w:rsid w:val="003C7E76"/>
    <w:rsid w:val="003D00AC"/>
    <w:rsid w:val="003D0C38"/>
    <w:rsid w:val="003D1C57"/>
    <w:rsid w:val="003D2545"/>
    <w:rsid w:val="003D2E4A"/>
    <w:rsid w:val="003D4000"/>
    <w:rsid w:val="003D464E"/>
    <w:rsid w:val="003D4C03"/>
    <w:rsid w:val="003D50CF"/>
    <w:rsid w:val="003D50D9"/>
    <w:rsid w:val="003D5721"/>
    <w:rsid w:val="003D5AA4"/>
    <w:rsid w:val="003D66BA"/>
    <w:rsid w:val="003D6780"/>
    <w:rsid w:val="003D779B"/>
    <w:rsid w:val="003D7B5C"/>
    <w:rsid w:val="003E04D8"/>
    <w:rsid w:val="003E0BD0"/>
    <w:rsid w:val="003E0E3B"/>
    <w:rsid w:val="003E105F"/>
    <w:rsid w:val="003E1BC5"/>
    <w:rsid w:val="003E1DD9"/>
    <w:rsid w:val="003E2CC8"/>
    <w:rsid w:val="003E2E16"/>
    <w:rsid w:val="003E4666"/>
    <w:rsid w:val="003E56C5"/>
    <w:rsid w:val="003E5C2A"/>
    <w:rsid w:val="003E5E3B"/>
    <w:rsid w:val="003E6401"/>
    <w:rsid w:val="003E676B"/>
    <w:rsid w:val="003E6D98"/>
    <w:rsid w:val="003F05AA"/>
    <w:rsid w:val="003F0BC4"/>
    <w:rsid w:val="003F0BDB"/>
    <w:rsid w:val="003F0EFA"/>
    <w:rsid w:val="003F1014"/>
    <w:rsid w:val="003F2908"/>
    <w:rsid w:val="003F297F"/>
    <w:rsid w:val="003F3117"/>
    <w:rsid w:val="003F36AD"/>
    <w:rsid w:val="003F3B4B"/>
    <w:rsid w:val="003F4E22"/>
    <w:rsid w:val="003F52E0"/>
    <w:rsid w:val="003F6C27"/>
    <w:rsid w:val="003F6E7F"/>
    <w:rsid w:val="003F6F54"/>
    <w:rsid w:val="0040013D"/>
    <w:rsid w:val="00401048"/>
    <w:rsid w:val="00401510"/>
    <w:rsid w:val="00401788"/>
    <w:rsid w:val="00402543"/>
    <w:rsid w:val="0040292E"/>
    <w:rsid w:val="00402AF2"/>
    <w:rsid w:val="00402C61"/>
    <w:rsid w:val="004030A5"/>
    <w:rsid w:val="00403B05"/>
    <w:rsid w:val="00403F57"/>
    <w:rsid w:val="004052D2"/>
    <w:rsid w:val="004061C7"/>
    <w:rsid w:val="004068DD"/>
    <w:rsid w:val="0040696B"/>
    <w:rsid w:val="00410740"/>
    <w:rsid w:val="00410BF6"/>
    <w:rsid w:val="0041174D"/>
    <w:rsid w:val="00411F85"/>
    <w:rsid w:val="00412E8C"/>
    <w:rsid w:val="00413818"/>
    <w:rsid w:val="00413D22"/>
    <w:rsid w:val="004142DA"/>
    <w:rsid w:val="0041575E"/>
    <w:rsid w:val="00415947"/>
    <w:rsid w:val="00416698"/>
    <w:rsid w:val="00417253"/>
    <w:rsid w:val="0042037F"/>
    <w:rsid w:val="004203DA"/>
    <w:rsid w:val="00420FE4"/>
    <w:rsid w:val="0042179F"/>
    <w:rsid w:val="00423390"/>
    <w:rsid w:val="00424204"/>
    <w:rsid w:val="0042462A"/>
    <w:rsid w:val="00425262"/>
    <w:rsid w:val="004259BD"/>
    <w:rsid w:val="00425AC2"/>
    <w:rsid w:val="004262A9"/>
    <w:rsid w:val="00426412"/>
    <w:rsid w:val="00426728"/>
    <w:rsid w:val="004275AB"/>
    <w:rsid w:val="00427B6D"/>
    <w:rsid w:val="0043014E"/>
    <w:rsid w:val="00430D87"/>
    <w:rsid w:val="0043148A"/>
    <w:rsid w:val="00431665"/>
    <w:rsid w:val="0043172A"/>
    <w:rsid w:val="00431D3E"/>
    <w:rsid w:val="00432830"/>
    <w:rsid w:val="00432A07"/>
    <w:rsid w:val="00432E7E"/>
    <w:rsid w:val="00432F08"/>
    <w:rsid w:val="004330BA"/>
    <w:rsid w:val="00433C58"/>
    <w:rsid w:val="004341EF"/>
    <w:rsid w:val="0043455D"/>
    <w:rsid w:val="00434A9B"/>
    <w:rsid w:val="00435054"/>
    <w:rsid w:val="00435319"/>
    <w:rsid w:val="00435694"/>
    <w:rsid w:val="00435ACA"/>
    <w:rsid w:val="00435C89"/>
    <w:rsid w:val="00435EDC"/>
    <w:rsid w:val="004364FE"/>
    <w:rsid w:val="004367C7"/>
    <w:rsid w:val="004375C3"/>
    <w:rsid w:val="00437DA7"/>
    <w:rsid w:val="00440119"/>
    <w:rsid w:val="00440196"/>
    <w:rsid w:val="00441BC6"/>
    <w:rsid w:val="004435F9"/>
    <w:rsid w:val="0044373B"/>
    <w:rsid w:val="004438D5"/>
    <w:rsid w:val="0044467F"/>
    <w:rsid w:val="0044477E"/>
    <w:rsid w:val="00444ADA"/>
    <w:rsid w:val="00445AF2"/>
    <w:rsid w:val="00446B08"/>
    <w:rsid w:val="00447600"/>
    <w:rsid w:val="00450A4C"/>
    <w:rsid w:val="00451300"/>
    <w:rsid w:val="00451313"/>
    <w:rsid w:val="0045298C"/>
    <w:rsid w:val="004536B3"/>
    <w:rsid w:val="00453F47"/>
    <w:rsid w:val="004545D0"/>
    <w:rsid w:val="00454613"/>
    <w:rsid w:val="00454AC8"/>
    <w:rsid w:val="00454D56"/>
    <w:rsid w:val="00454F2C"/>
    <w:rsid w:val="00455461"/>
    <w:rsid w:val="0045582F"/>
    <w:rsid w:val="0045597D"/>
    <w:rsid w:val="00456D69"/>
    <w:rsid w:val="00456F13"/>
    <w:rsid w:val="0045767B"/>
    <w:rsid w:val="00457A43"/>
    <w:rsid w:val="00460D89"/>
    <w:rsid w:val="00461FF3"/>
    <w:rsid w:val="0046234E"/>
    <w:rsid w:val="00462848"/>
    <w:rsid w:val="004630F4"/>
    <w:rsid w:val="0046326E"/>
    <w:rsid w:val="004632EF"/>
    <w:rsid w:val="00463412"/>
    <w:rsid w:val="004641D3"/>
    <w:rsid w:val="00464C4D"/>
    <w:rsid w:val="00464D4C"/>
    <w:rsid w:val="00464DDD"/>
    <w:rsid w:val="00465385"/>
    <w:rsid w:val="004657AE"/>
    <w:rsid w:val="00465B64"/>
    <w:rsid w:val="00465F36"/>
    <w:rsid w:val="004675AD"/>
    <w:rsid w:val="0046783A"/>
    <w:rsid w:val="00467938"/>
    <w:rsid w:val="00467FF5"/>
    <w:rsid w:val="00470295"/>
    <w:rsid w:val="004704C7"/>
    <w:rsid w:val="004708FC"/>
    <w:rsid w:val="00470B0E"/>
    <w:rsid w:val="00470FC3"/>
    <w:rsid w:val="0047316D"/>
    <w:rsid w:val="00473898"/>
    <w:rsid w:val="00473F25"/>
    <w:rsid w:val="00475534"/>
    <w:rsid w:val="00475ABD"/>
    <w:rsid w:val="00475BEB"/>
    <w:rsid w:val="004766F9"/>
    <w:rsid w:val="0047705D"/>
    <w:rsid w:val="004773B9"/>
    <w:rsid w:val="00477C53"/>
    <w:rsid w:val="004806CC"/>
    <w:rsid w:val="00480E19"/>
    <w:rsid w:val="00481A01"/>
    <w:rsid w:val="0048290D"/>
    <w:rsid w:val="004838BF"/>
    <w:rsid w:val="00483F5D"/>
    <w:rsid w:val="004842FA"/>
    <w:rsid w:val="0048444B"/>
    <w:rsid w:val="00484B93"/>
    <w:rsid w:val="00484C70"/>
    <w:rsid w:val="00486370"/>
    <w:rsid w:val="00486828"/>
    <w:rsid w:val="004873AC"/>
    <w:rsid w:val="0049018A"/>
    <w:rsid w:val="004902A2"/>
    <w:rsid w:val="004915E2"/>
    <w:rsid w:val="00492160"/>
    <w:rsid w:val="004927FC"/>
    <w:rsid w:val="00492860"/>
    <w:rsid w:val="00492913"/>
    <w:rsid w:val="00492A21"/>
    <w:rsid w:val="00493160"/>
    <w:rsid w:val="00493C9C"/>
    <w:rsid w:val="00493CE2"/>
    <w:rsid w:val="004944CE"/>
    <w:rsid w:val="00494612"/>
    <w:rsid w:val="00494EE4"/>
    <w:rsid w:val="00495CF7"/>
    <w:rsid w:val="004960B5"/>
    <w:rsid w:val="004969A7"/>
    <w:rsid w:val="004972E8"/>
    <w:rsid w:val="00497602"/>
    <w:rsid w:val="00497986"/>
    <w:rsid w:val="004A12C7"/>
    <w:rsid w:val="004A1C67"/>
    <w:rsid w:val="004A2857"/>
    <w:rsid w:val="004A2961"/>
    <w:rsid w:val="004A2EDD"/>
    <w:rsid w:val="004A31A9"/>
    <w:rsid w:val="004A4027"/>
    <w:rsid w:val="004A41E0"/>
    <w:rsid w:val="004A4880"/>
    <w:rsid w:val="004A51B5"/>
    <w:rsid w:val="004A54BE"/>
    <w:rsid w:val="004A6863"/>
    <w:rsid w:val="004A7552"/>
    <w:rsid w:val="004B0286"/>
    <w:rsid w:val="004B0720"/>
    <w:rsid w:val="004B13C5"/>
    <w:rsid w:val="004B1D43"/>
    <w:rsid w:val="004B2C6E"/>
    <w:rsid w:val="004B360E"/>
    <w:rsid w:val="004B3E75"/>
    <w:rsid w:val="004B41DE"/>
    <w:rsid w:val="004B49C8"/>
    <w:rsid w:val="004B6573"/>
    <w:rsid w:val="004B6D61"/>
    <w:rsid w:val="004B7530"/>
    <w:rsid w:val="004C090F"/>
    <w:rsid w:val="004C0A8A"/>
    <w:rsid w:val="004C0CA2"/>
    <w:rsid w:val="004C0DCD"/>
    <w:rsid w:val="004C1926"/>
    <w:rsid w:val="004C1BD2"/>
    <w:rsid w:val="004C1D0F"/>
    <w:rsid w:val="004C2204"/>
    <w:rsid w:val="004C3556"/>
    <w:rsid w:val="004C4A05"/>
    <w:rsid w:val="004C4FDD"/>
    <w:rsid w:val="004C5481"/>
    <w:rsid w:val="004C5A62"/>
    <w:rsid w:val="004C615F"/>
    <w:rsid w:val="004C6817"/>
    <w:rsid w:val="004C69FC"/>
    <w:rsid w:val="004C7804"/>
    <w:rsid w:val="004C7C11"/>
    <w:rsid w:val="004C7CB7"/>
    <w:rsid w:val="004D02EB"/>
    <w:rsid w:val="004D09D9"/>
    <w:rsid w:val="004D0CD1"/>
    <w:rsid w:val="004D1921"/>
    <w:rsid w:val="004D1F04"/>
    <w:rsid w:val="004D239C"/>
    <w:rsid w:val="004D282A"/>
    <w:rsid w:val="004D2E45"/>
    <w:rsid w:val="004D3B21"/>
    <w:rsid w:val="004D471D"/>
    <w:rsid w:val="004D5ABB"/>
    <w:rsid w:val="004D5C16"/>
    <w:rsid w:val="004D5FC9"/>
    <w:rsid w:val="004D65C6"/>
    <w:rsid w:val="004E05DB"/>
    <w:rsid w:val="004E0745"/>
    <w:rsid w:val="004E11AC"/>
    <w:rsid w:val="004E1F6B"/>
    <w:rsid w:val="004E2CE1"/>
    <w:rsid w:val="004E39BF"/>
    <w:rsid w:val="004E45E6"/>
    <w:rsid w:val="004E51D2"/>
    <w:rsid w:val="004E5D3C"/>
    <w:rsid w:val="004E68B1"/>
    <w:rsid w:val="004E6B9C"/>
    <w:rsid w:val="004E6D31"/>
    <w:rsid w:val="004E6D8B"/>
    <w:rsid w:val="004E7035"/>
    <w:rsid w:val="004E7264"/>
    <w:rsid w:val="004E73CF"/>
    <w:rsid w:val="004E75C4"/>
    <w:rsid w:val="004E7A4A"/>
    <w:rsid w:val="004F0015"/>
    <w:rsid w:val="004F0389"/>
    <w:rsid w:val="004F0783"/>
    <w:rsid w:val="004F126B"/>
    <w:rsid w:val="004F1592"/>
    <w:rsid w:val="004F1AF6"/>
    <w:rsid w:val="004F2F88"/>
    <w:rsid w:val="004F40CD"/>
    <w:rsid w:val="004F48EB"/>
    <w:rsid w:val="004F51C2"/>
    <w:rsid w:val="004F5550"/>
    <w:rsid w:val="004F5FC4"/>
    <w:rsid w:val="004F61D9"/>
    <w:rsid w:val="004F6620"/>
    <w:rsid w:val="004F6CD3"/>
    <w:rsid w:val="004F76BA"/>
    <w:rsid w:val="004F7921"/>
    <w:rsid w:val="004F7C3D"/>
    <w:rsid w:val="004FD412"/>
    <w:rsid w:val="005001E4"/>
    <w:rsid w:val="00500533"/>
    <w:rsid w:val="00500FFA"/>
    <w:rsid w:val="0050170F"/>
    <w:rsid w:val="00501C39"/>
    <w:rsid w:val="00502391"/>
    <w:rsid w:val="00503B3C"/>
    <w:rsid w:val="00503CA1"/>
    <w:rsid w:val="005043C9"/>
    <w:rsid w:val="00505649"/>
    <w:rsid w:val="005057FE"/>
    <w:rsid w:val="00505F24"/>
    <w:rsid w:val="00506306"/>
    <w:rsid w:val="0051008E"/>
    <w:rsid w:val="00510192"/>
    <w:rsid w:val="00510920"/>
    <w:rsid w:val="00512D1E"/>
    <w:rsid w:val="00513294"/>
    <w:rsid w:val="0051339B"/>
    <w:rsid w:val="00513C9D"/>
    <w:rsid w:val="00514CD1"/>
    <w:rsid w:val="00514D34"/>
    <w:rsid w:val="00514E50"/>
    <w:rsid w:val="00514FFC"/>
    <w:rsid w:val="00515D9F"/>
    <w:rsid w:val="00515DCB"/>
    <w:rsid w:val="00517934"/>
    <w:rsid w:val="00517A81"/>
    <w:rsid w:val="0052022C"/>
    <w:rsid w:val="0052045D"/>
    <w:rsid w:val="00520E2C"/>
    <w:rsid w:val="005219B1"/>
    <w:rsid w:val="00521C4E"/>
    <w:rsid w:val="00522655"/>
    <w:rsid w:val="005238AA"/>
    <w:rsid w:val="00523EC8"/>
    <w:rsid w:val="00524DB2"/>
    <w:rsid w:val="00525D71"/>
    <w:rsid w:val="00527610"/>
    <w:rsid w:val="005303C2"/>
    <w:rsid w:val="005309EA"/>
    <w:rsid w:val="00531A7A"/>
    <w:rsid w:val="0053225B"/>
    <w:rsid w:val="005330BB"/>
    <w:rsid w:val="0053409F"/>
    <w:rsid w:val="005343C4"/>
    <w:rsid w:val="00536B9B"/>
    <w:rsid w:val="00536E6A"/>
    <w:rsid w:val="005375F0"/>
    <w:rsid w:val="0053798D"/>
    <w:rsid w:val="00540179"/>
    <w:rsid w:val="005408D8"/>
    <w:rsid w:val="00541862"/>
    <w:rsid w:val="00542F80"/>
    <w:rsid w:val="00543336"/>
    <w:rsid w:val="00543805"/>
    <w:rsid w:val="00543DB5"/>
    <w:rsid w:val="00544F9E"/>
    <w:rsid w:val="005457F7"/>
    <w:rsid w:val="00545B03"/>
    <w:rsid w:val="00546AD1"/>
    <w:rsid w:val="0054725A"/>
    <w:rsid w:val="0054732C"/>
    <w:rsid w:val="005479F0"/>
    <w:rsid w:val="00551C55"/>
    <w:rsid w:val="00551DC7"/>
    <w:rsid w:val="00551E20"/>
    <w:rsid w:val="00553D74"/>
    <w:rsid w:val="0055425D"/>
    <w:rsid w:val="005546B8"/>
    <w:rsid w:val="0055495D"/>
    <w:rsid w:val="00554F77"/>
    <w:rsid w:val="0055510A"/>
    <w:rsid w:val="0055581A"/>
    <w:rsid w:val="00556103"/>
    <w:rsid w:val="0055622E"/>
    <w:rsid w:val="005567AF"/>
    <w:rsid w:val="00556E8D"/>
    <w:rsid w:val="0056057F"/>
    <w:rsid w:val="00560796"/>
    <w:rsid w:val="00560C10"/>
    <w:rsid w:val="005613EC"/>
    <w:rsid w:val="0056154F"/>
    <w:rsid w:val="00561F08"/>
    <w:rsid w:val="005623DC"/>
    <w:rsid w:val="00562F25"/>
    <w:rsid w:val="005639DE"/>
    <w:rsid w:val="00564C95"/>
    <w:rsid w:val="005653A3"/>
    <w:rsid w:val="005656CA"/>
    <w:rsid w:val="0056571C"/>
    <w:rsid w:val="005666E8"/>
    <w:rsid w:val="00566DE5"/>
    <w:rsid w:val="00566DEF"/>
    <w:rsid w:val="00566F42"/>
    <w:rsid w:val="00567399"/>
    <w:rsid w:val="005674F9"/>
    <w:rsid w:val="00567CA9"/>
    <w:rsid w:val="00570469"/>
    <w:rsid w:val="00570584"/>
    <w:rsid w:val="00570AB5"/>
    <w:rsid w:val="005728DA"/>
    <w:rsid w:val="00573D86"/>
    <w:rsid w:val="00575506"/>
    <w:rsid w:val="00575581"/>
    <w:rsid w:val="0057597B"/>
    <w:rsid w:val="005765C1"/>
    <w:rsid w:val="00576612"/>
    <w:rsid w:val="00576B7F"/>
    <w:rsid w:val="00576DA4"/>
    <w:rsid w:val="0057709C"/>
    <w:rsid w:val="005805F2"/>
    <w:rsid w:val="00581104"/>
    <w:rsid w:val="00581541"/>
    <w:rsid w:val="0058177C"/>
    <w:rsid w:val="00581DA9"/>
    <w:rsid w:val="005820DE"/>
    <w:rsid w:val="005837B8"/>
    <w:rsid w:val="00585118"/>
    <w:rsid w:val="005852D6"/>
    <w:rsid w:val="0058571E"/>
    <w:rsid w:val="00585815"/>
    <w:rsid w:val="00586BF7"/>
    <w:rsid w:val="0058744E"/>
    <w:rsid w:val="005915B4"/>
    <w:rsid w:val="00591988"/>
    <w:rsid w:val="005922F3"/>
    <w:rsid w:val="00592378"/>
    <w:rsid w:val="0059274F"/>
    <w:rsid w:val="00592A46"/>
    <w:rsid w:val="00593957"/>
    <w:rsid w:val="00593C94"/>
    <w:rsid w:val="005951A3"/>
    <w:rsid w:val="0059632B"/>
    <w:rsid w:val="005973EA"/>
    <w:rsid w:val="0059743D"/>
    <w:rsid w:val="005A0495"/>
    <w:rsid w:val="005A087C"/>
    <w:rsid w:val="005A107D"/>
    <w:rsid w:val="005A11DD"/>
    <w:rsid w:val="005A12F1"/>
    <w:rsid w:val="005A1B10"/>
    <w:rsid w:val="005A1FF2"/>
    <w:rsid w:val="005A2291"/>
    <w:rsid w:val="005A2339"/>
    <w:rsid w:val="005A2D08"/>
    <w:rsid w:val="005A2F1A"/>
    <w:rsid w:val="005A3272"/>
    <w:rsid w:val="005A41C1"/>
    <w:rsid w:val="005A4B6C"/>
    <w:rsid w:val="005A56D1"/>
    <w:rsid w:val="005A617E"/>
    <w:rsid w:val="005A6243"/>
    <w:rsid w:val="005A632A"/>
    <w:rsid w:val="005B0734"/>
    <w:rsid w:val="005B0963"/>
    <w:rsid w:val="005B0FCD"/>
    <w:rsid w:val="005B14C6"/>
    <w:rsid w:val="005B1845"/>
    <w:rsid w:val="005B27BC"/>
    <w:rsid w:val="005B3518"/>
    <w:rsid w:val="005B3A49"/>
    <w:rsid w:val="005B3A83"/>
    <w:rsid w:val="005B6A54"/>
    <w:rsid w:val="005B6E81"/>
    <w:rsid w:val="005C0F69"/>
    <w:rsid w:val="005C109E"/>
    <w:rsid w:val="005C142A"/>
    <w:rsid w:val="005C14A6"/>
    <w:rsid w:val="005C1B22"/>
    <w:rsid w:val="005C26AD"/>
    <w:rsid w:val="005C2FFF"/>
    <w:rsid w:val="005C307F"/>
    <w:rsid w:val="005C30D4"/>
    <w:rsid w:val="005C390B"/>
    <w:rsid w:val="005C3B83"/>
    <w:rsid w:val="005C449D"/>
    <w:rsid w:val="005C4A52"/>
    <w:rsid w:val="005C56A9"/>
    <w:rsid w:val="005C59AD"/>
    <w:rsid w:val="005C7870"/>
    <w:rsid w:val="005C7B88"/>
    <w:rsid w:val="005C7E1B"/>
    <w:rsid w:val="005D136D"/>
    <w:rsid w:val="005D1370"/>
    <w:rsid w:val="005D20CC"/>
    <w:rsid w:val="005D2D0A"/>
    <w:rsid w:val="005D2F0D"/>
    <w:rsid w:val="005D3213"/>
    <w:rsid w:val="005D3503"/>
    <w:rsid w:val="005D3606"/>
    <w:rsid w:val="005D37A7"/>
    <w:rsid w:val="005D4218"/>
    <w:rsid w:val="005D45B6"/>
    <w:rsid w:val="005D4767"/>
    <w:rsid w:val="005D54EC"/>
    <w:rsid w:val="005D5B19"/>
    <w:rsid w:val="005D60C0"/>
    <w:rsid w:val="005D60CA"/>
    <w:rsid w:val="005D62CA"/>
    <w:rsid w:val="005D6744"/>
    <w:rsid w:val="005D67E0"/>
    <w:rsid w:val="005D7DDC"/>
    <w:rsid w:val="005D7E67"/>
    <w:rsid w:val="005E134A"/>
    <w:rsid w:val="005E14DA"/>
    <w:rsid w:val="005E1DEC"/>
    <w:rsid w:val="005E1DED"/>
    <w:rsid w:val="005E1EF8"/>
    <w:rsid w:val="005E2479"/>
    <w:rsid w:val="005E282D"/>
    <w:rsid w:val="005E498E"/>
    <w:rsid w:val="005E4CC4"/>
    <w:rsid w:val="005E5040"/>
    <w:rsid w:val="005E6025"/>
    <w:rsid w:val="005E6DCB"/>
    <w:rsid w:val="005E7364"/>
    <w:rsid w:val="005F01F8"/>
    <w:rsid w:val="005F1239"/>
    <w:rsid w:val="005F17D7"/>
    <w:rsid w:val="005F22D1"/>
    <w:rsid w:val="005F2E47"/>
    <w:rsid w:val="005F341B"/>
    <w:rsid w:val="005F3E33"/>
    <w:rsid w:val="005F4C13"/>
    <w:rsid w:val="005F4FE8"/>
    <w:rsid w:val="005F54BC"/>
    <w:rsid w:val="005F625C"/>
    <w:rsid w:val="005F68E6"/>
    <w:rsid w:val="005F6C94"/>
    <w:rsid w:val="005F71BD"/>
    <w:rsid w:val="005F7623"/>
    <w:rsid w:val="005F7CF9"/>
    <w:rsid w:val="005F7D96"/>
    <w:rsid w:val="005F7F7A"/>
    <w:rsid w:val="00601048"/>
    <w:rsid w:val="006010A2"/>
    <w:rsid w:val="006012A7"/>
    <w:rsid w:val="00604C67"/>
    <w:rsid w:val="00604FD6"/>
    <w:rsid w:val="006057F4"/>
    <w:rsid w:val="00605937"/>
    <w:rsid w:val="00606E77"/>
    <w:rsid w:val="00606FD1"/>
    <w:rsid w:val="006071E2"/>
    <w:rsid w:val="006076D7"/>
    <w:rsid w:val="006103FA"/>
    <w:rsid w:val="00610950"/>
    <w:rsid w:val="00611E7A"/>
    <w:rsid w:val="00612083"/>
    <w:rsid w:val="00612228"/>
    <w:rsid w:val="00612590"/>
    <w:rsid w:val="006127E2"/>
    <w:rsid w:val="006138CF"/>
    <w:rsid w:val="00613A3F"/>
    <w:rsid w:val="00613E96"/>
    <w:rsid w:val="0061458F"/>
    <w:rsid w:val="00615413"/>
    <w:rsid w:val="006161A9"/>
    <w:rsid w:val="006166DB"/>
    <w:rsid w:val="00617ADA"/>
    <w:rsid w:val="00621721"/>
    <w:rsid w:val="00621783"/>
    <w:rsid w:val="006217F9"/>
    <w:rsid w:val="00621A7D"/>
    <w:rsid w:val="00622798"/>
    <w:rsid w:val="006241F1"/>
    <w:rsid w:val="0062446D"/>
    <w:rsid w:val="00624A32"/>
    <w:rsid w:val="00625062"/>
    <w:rsid w:val="00626920"/>
    <w:rsid w:val="006274BC"/>
    <w:rsid w:val="00630ACC"/>
    <w:rsid w:val="00630F09"/>
    <w:rsid w:val="00631693"/>
    <w:rsid w:val="00632C6D"/>
    <w:rsid w:val="00633F28"/>
    <w:rsid w:val="0063440F"/>
    <w:rsid w:val="006345F5"/>
    <w:rsid w:val="006348CB"/>
    <w:rsid w:val="00635B6F"/>
    <w:rsid w:val="00636165"/>
    <w:rsid w:val="006368CF"/>
    <w:rsid w:val="0063785F"/>
    <w:rsid w:val="00637AE9"/>
    <w:rsid w:val="0064009F"/>
    <w:rsid w:val="00641A55"/>
    <w:rsid w:val="006420EB"/>
    <w:rsid w:val="00642DC9"/>
    <w:rsid w:val="00642E0C"/>
    <w:rsid w:val="006431BB"/>
    <w:rsid w:val="00643686"/>
    <w:rsid w:val="006439E7"/>
    <w:rsid w:val="006445F9"/>
    <w:rsid w:val="00644D79"/>
    <w:rsid w:val="00644E6B"/>
    <w:rsid w:val="0064591B"/>
    <w:rsid w:val="00645A97"/>
    <w:rsid w:val="00646992"/>
    <w:rsid w:val="0065092F"/>
    <w:rsid w:val="00651DB2"/>
    <w:rsid w:val="00652125"/>
    <w:rsid w:val="00652437"/>
    <w:rsid w:val="006528D8"/>
    <w:rsid w:val="006536DE"/>
    <w:rsid w:val="00653AB7"/>
    <w:rsid w:val="00653E24"/>
    <w:rsid w:val="00653FD5"/>
    <w:rsid w:val="00654501"/>
    <w:rsid w:val="00654D9B"/>
    <w:rsid w:val="0065526D"/>
    <w:rsid w:val="00655C75"/>
    <w:rsid w:val="00655C79"/>
    <w:rsid w:val="00656770"/>
    <w:rsid w:val="0065682C"/>
    <w:rsid w:val="00656A1D"/>
    <w:rsid w:val="00657CCE"/>
    <w:rsid w:val="00657EE2"/>
    <w:rsid w:val="006613A7"/>
    <w:rsid w:val="006614CF"/>
    <w:rsid w:val="0066153E"/>
    <w:rsid w:val="00661D52"/>
    <w:rsid w:val="006621A1"/>
    <w:rsid w:val="00662AC5"/>
    <w:rsid w:val="006632E8"/>
    <w:rsid w:val="00664460"/>
    <w:rsid w:val="00664E70"/>
    <w:rsid w:val="00665E29"/>
    <w:rsid w:val="00666015"/>
    <w:rsid w:val="006660F0"/>
    <w:rsid w:val="006663D3"/>
    <w:rsid w:val="006669D1"/>
    <w:rsid w:val="00666B10"/>
    <w:rsid w:val="00666F6F"/>
    <w:rsid w:val="00666FE3"/>
    <w:rsid w:val="00667868"/>
    <w:rsid w:val="0066BF0E"/>
    <w:rsid w:val="00670516"/>
    <w:rsid w:val="00670848"/>
    <w:rsid w:val="00672283"/>
    <w:rsid w:val="006727F5"/>
    <w:rsid w:val="00673868"/>
    <w:rsid w:val="00674903"/>
    <w:rsid w:val="0067494D"/>
    <w:rsid w:val="00675643"/>
    <w:rsid w:val="00676263"/>
    <w:rsid w:val="006768C4"/>
    <w:rsid w:val="00676D15"/>
    <w:rsid w:val="00676E0F"/>
    <w:rsid w:val="00677835"/>
    <w:rsid w:val="00677A8E"/>
    <w:rsid w:val="00677AFA"/>
    <w:rsid w:val="00677B9B"/>
    <w:rsid w:val="006800DF"/>
    <w:rsid w:val="006813BB"/>
    <w:rsid w:val="00681C2D"/>
    <w:rsid w:val="00681FB5"/>
    <w:rsid w:val="0068243B"/>
    <w:rsid w:val="00685310"/>
    <w:rsid w:val="00685655"/>
    <w:rsid w:val="00686EE1"/>
    <w:rsid w:val="0069116C"/>
    <w:rsid w:val="00691951"/>
    <w:rsid w:val="006924A3"/>
    <w:rsid w:val="00692D2C"/>
    <w:rsid w:val="00693079"/>
    <w:rsid w:val="00693C2D"/>
    <w:rsid w:val="00693DD1"/>
    <w:rsid w:val="006943F1"/>
    <w:rsid w:val="0069459E"/>
    <w:rsid w:val="00694AA9"/>
    <w:rsid w:val="00694C84"/>
    <w:rsid w:val="00695199"/>
    <w:rsid w:val="00695810"/>
    <w:rsid w:val="006958D5"/>
    <w:rsid w:val="006964DC"/>
    <w:rsid w:val="006969DD"/>
    <w:rsid w:val="00697819"/>
    <w:rsid w:val="006A024E"/>
    <w:rsid w:val="006A04A0"/>
    <w:rsid w:val="006A0B8E"/>
    <w:rsid w:val="006A10C5"/>
    <w:rsid w:val="006A1596"/>
    <w:rsid w:val="006A1B1B"/>
    <w:rsid w:val="006A1BD4"/>
    <w:rsid w:val="006A1EAC"/>
    <w:rsid w:val="006A2A95"/>
    <w:rsid w:val="006A2ABD"/>
    <w:rsid w:val="006A3561"/>
    <w:rsid w:val="006A3C3B"/>
    <w:rsid w:val="006A3E29"/>
    <w:rsid w:val="006A5C41"/>
    <w:rsid w:val="006A5EB2"/>
    <w:rsid w:val="006A60A7"/>
    <w:rsid w:val="006A68A0"/>
    <w:rsid w:val="006A6C63"/>
    <w:rsid w:val="006A6DF6"/>
    <w:rsid w:val="006A73F5"/>
    <w:rsid w:val="006A76DF"/>
    <w:rsid w:val="006A7E3C"/>
    <w:rsid w:val="006A7EDA"/>
    <w:rsid w:val="006B0181"/>
    <w:rsid w:val="006B0440"/>
    <w:rsid w:val="006B07A8"/>
    <w:rsid w:val="006B0F55"/>
    <w:rsid w:val="006B1543"/>
    <w:rsid w:val="006B15B4"/>
    <w:rsid w:val="006B1A76"/>
    <w:rsid w:val="006B1CD8"/>
    <w:rsid w:val="006B29B9"/>
    <w:rsid w:val="006B2E0B"/>
    <w:rsid w:val="006B2F4A"/>
    <w:rsid w:val="006B45E8"/>
    <w:rsid w:val="006B63F8"/>
    <w:rsid w:val="006B64B5"/>
    <w:rsid w:val="006B6986"/>
    <w:rsid w:val="006B6E73"/>
    <w:rsid w:val="006B7869"/>
    <w:rsid w:val="006B78DB"/>
    <w:rsid w:val="006B7FAD"/>
    <w:rsid w:val="006C02CE"/>
    <w:rsid w:val="006C0CC6"/>
    <w:rsid w:val="006C0DEC"/>
    <w:rsid w:val="006C0EEF"/>
    <w:rsid w:val="006C137C"/>
    <w:rsid w:val="006C16FA"/>
    <w:rsid w:val="006C239B"/>
    <w:rsid w:val="006C3315"/>
    <w:rsid w:val="006C33C1"/>
    <w:rsid w:val="006C4096"/>
    <w:rsid w:val="006C58B1"/>
    <w:rsid w:val="006C5966"/>
    <w:rsid w:val="006C6FAE"/>
    <w:rsid w:val="006D0189"/>
    <w:rsid w:val="006D10CD"/>
    <w:rsid w:val="006D12E1"/>
    <w:rsid w:val="006D15BE"/>
    <w:rsid w:val="006D1EBA"/>
    <w:rsid w:val="006D1F4E"/>
    <w:rsid w:val="006D20C2"/>
    <w:rsid w:val="006D221F"/>
    <w:rsid w:val="006D22F6"/>
    <w:rsid w:val="006D24BC"/>
    <w:rsid w:val="006D2666"/>
    <w:rsid w:val="006D2CE9"/>
    <w:rsid w:val="006D3D21"/>
    <w:rsid w:val="006D40E5"/>
    <w:rsid w:val="006D4897"/>
    <w:rsid w:val="006D52ED"/>
    <w:rsid w:val="006D6101"/>
    <w:rsid w:val="006D6647"/>
    <w:rsid w:val="006E0426"/>
    <w:rsid w:val="006E0BBC"/>
    <w:rsid w:val="006E0E48"/>
    <w:rsid w:val="006E1261"/>
    <w:rsid w:val="006E14B4"/>
    <w:rsid w:val="006E287A"/>
    <w:rsid w:val="006E2E11"/>
    <w:rsid w:val="006E3458"/>
    <w:rsid w:val="006E35FA"/>
    <w:rsid w:val="006E3D12"/>
    <w:rsid w:val="006E4A89"/>
    <w:rsid w:val="006E4B45"/>
    <w:rsid w:val="006E4E01"/>
    <w:rsid w:val="006E4EB3"/>
    <w:rsid w:val="006E5471"/>
    <w:rsid w:val="006E63AA"/>
    <w:rsid w:val="006E67A2"/>
    <w:rsid w:val="006E6ACD"/>
    <w:rsid w:val="006E7537"/>
    <w:rsid w:val="006E78BB"/>
    <w:rsid w:val="006E7C58"/>
    <w:rsid w:val="006F10EF"/>
    <w:rsid w:val="006F1BA3"/>
    <w:rsid w:val="006F2B38"/>
    <w:rsid w:val="006F2C6F"/>
    <w:rsid w:val="006F3591"/>
    <w:rsid w:val="006F40FC"/>
    <w:rsid w:val="006F4466"/>
    <w:rsid w:val="006F4736"/>
    <w:rsid w:val="006F5016"/>
    <w:rsid w:val="006F5712"/>
    <w:rsid w:val="006F5810"/>
    <w:rsid w:val="006F59B7"/>
    <w:rsid w:val="006F5F89"/>
    <w:rsid w:val="006F6A8E"/>
    <w:rsid w:val="006F77CE"/>
    <w:rsid w:val="007007B1"/>
    <w:rsid w:val="00700B4A"/>
    <w:rsid w:val="00702BAD"/>
    <w:rsid w:val="00703D88"/>
    <w:rsid w:val="00704090"/>
    <w:rsid w:val="00704571"/>
    <w:rsid w:val="0070457C"/>
    <w:rsid w:val="007062FE"/>
    <w:rsid w:val="00706C21"/>
    <w:rsid w:val="00706D13"/>
    <w:rsid w:val="00707DA1"/>
    <w:rsid w:val="007101A5"/>
    <w:rsid w:val="00711778"/>
    <w:rsid w:val="00711ADE"/>
    <w:rsid w:val="00711B63"/>
    <w:rsid w:val="00711C23"/>
    <w:rsid w:val="007121A2"/>
    <w:rsid w:val="00714641"/>
    <w:rsid w:val="00715039"/>
    <w:rsid w:val="00715289"/>
    <w:rsid w:val="0071647B"/>
    <w:rsid w:val="00716F62"/>
    <w:rsid w:val="00717366"/>
    <w:rsid w:val="007178F9"/>
    <w:rsid w:val="00717F15"/>
    <w:rsid w:val="00720669"/>
    <w:rsid w:val="00720942"/>
    <w:rsid w:val="0072097F"/>
    <w:rsid w:val="00720A6C"/>
    <w:rsid w:val="00720CB5"/>
    <w:rsid w:val="00722430"/>
    <w:rsid w:val="0072270F"/>
    <w:rsid w:val="00724011"/>
    <w:rsid w:val="007242FE"/>
    <w:rsid w:val="00724DBF"/>
    <w:rsid w:val="00724E5F"/>
    <w:rsid w:val="0072500C"/>
    <w:rsid w:val="007250E5"/>
    <w:rsid w:val="0072567D"/>
    <w:rsid w:val="00725DF2"/>
    <w:rsid w:val="007260E7"/>
    <w:rsid w:val="00726151"/>
    <w:rsid w:val="007261F1"/>
    <w:rsid w:val="00727A36"/>
    <w:rsid w:val="00727D33"/>
    <w:rsid w:val="00727DAC"/>
    <w:rsid w:val="007300C6"/>
    <w:rsid w:val="00730F47"/>
    <w:rsid w:val="007314E0"/>
    <w:rsid w:val="00731D42"/>
    <w:rsid w:val="00732089"/>
    <w:rsid w:val="0073244B"/>
    <w:rsid w:val="0073249F"/>
    <w:rsid w:val="007329DC"/>
    <w:rsid w:val="00733099"/>
    <w:rsid w:val="007342A3"/>
    <w:rsid w:val="00734DD2"/>
    <w:rsid w:val="00734DF2"/>
    <w:rsid w:val="00736120"/>
    <w:rsid w:val="00736F9D"/>
    <w:rsid w:val="00737764"/>
    <w:rsid w:val="00740C29"/>
    <w:rsid w:val="00741450"/>
    <w:rsid w:val="00741553"/>
    <w:rsid w:val="00741DC2"/>
    <w:rsid w:val="0074369E"/>
    <w:rsid w:val="007436D7"/>
    <w:rsid w:val="0074372C"/>
    <w:rsid w:val="0074385D"/>
    <w:rsid w:val="00744F06"/>
    <w:rsid w:val="007454C9"/>
    <w:rsid w:val="00745612"/>
    <w:rsid w:val="0074659C"/>
    <w:rsid w:val="00746EBD"/>
    <w:rsid w:val="00747029"/>
    <w:rsid w:val="00747908"/>
    <w:rsid w:val="00747D99"/>
    <w:rsid w:val="00750583"/>
    <w:rsid w:val="00750A56"/>
    <w:rsid w:val="00750E29"/>
    <w:rsid w:val="007519B0"/>
    <w:rsid w:val="00751E60"/>
    <w:rsid w:val="00752191"/>
    <w:rsid w:val="00753D48"/>
    <w:rsid w:val="007552E7"/>
    <w:rsid w:val="00755700"/>
    <w:rsid w:val="007557E5"/>
    <w:rsid w:val="007574A6"/>
    <w:rsid w:val="00760AD4"/>
    <w:rsid w:val="00761CE5"/>
    <w:rsid w:val="00761CFD"/>
    <w:rsid w:val="00762063"/>
    <w:rsid w:val="0076375B"/>
    <w:rsid w:val="007639EA"/>
    <w:rsid w:val="00765949"/>
    <w:rsid w:val="00765A69"/>
    <w:rsid w:val="00765B2E"/>
    <w:rsid w:val="00765D51"/>
    <w:rsid w:val="007668C6"/>
    <w:rsid w:val="00766F54"/>
    <w:rsid w:val="00767218"/>
    <w:rsid w:val="007677A0"/>
    <w:rsid w:val="00767950"/>
    <w:rsid w:val="00770AC4"/>
    <w:rsid w:val="0077146B"/>
    <w:rsid w:val="007719E9"/>
    <w:rsid w:val="00775C5D"/>
    <w:rsid w:val="0077639E"/>
    <w:rsid w:val="0077641D"/>
    <w:rsid w:val="00776984"/>
    <w:rsid w:val="00776CF8"/>
    <w:rsid w:val="00777972"/>
    <w:rsid w:val="00780E14"/>
    <w:rsid w:val="00781786"/>
    <w:rsid w:val="007825F1"/>
    <w:rsid w:val="0078295E"/>
    <w:rsid w:val="00783276"/>
    <w:rsid w:val="007839FB"/>
    <w:rsid w:val="00784489"/>
    <w:rsid w:val="007855F1"/>
    <w:rsid w:val="007856CE"/>
    <w:rsid w:val="00785BEF"/>
    <w:rsid w:val="0078670A"/>
    <w:rsid w:val="00786DDD"/>
    <w:rsid w:val="007901B7"/>
    <w:rsid w:val="0079053E"/>
    <w:rsid w:val="007906F1"/>
    <w:rsid w:val="00790761"/>
    <w:rsid w:val="00790924"/>
    <w:rsid w:val="007912C0"/>
    <w:rsid w:val="00791382"/>
    <w:rsid w:val="00791C44"/>
    <w:rsid w:val="00792317"/>
    <w:rsid w:val="00792390"/>
    <w:rsid w:val="0079294C"/>
    <w:rsid w:val="007932B0"/>
    <w:rsid w:val="0079337B"/>
    <w:rsid w:val="00793984"/>
    <w:rsid w:val="007947ED"/>
    <w:rsid w:val="00794E8A"/>
    <w:rsid w:val="00795236"/>
    <w:rsid w:val="00795416"/>
    <w:rsid w:val="007954CE"/>
    <w:rsid w:val="00795740"/>
    <w:rsid w:val="00795936"/>
    <w:rsid w:val="00795C1F"/>
    <w:rsid w:val="00795C73"/>
    <w:rsid w:val="00796258"/>
    <w:rsid w:val="007967D4"/>
    <w:rsid w:val="007967DD"/>
    <w:rsid w:val="00797192"/>
    <w:rsid w:val="007979AA"/>
    <w:rsid w:val="00797F2F"/>
    <w:rsid w:val="007A0271"/>
    <w:rsid w:val="007A10BF"/>
    <w:rsid w:val="007A232A"/>
    <w:rsid w:val="007A258E"/>
    <w:rsid w:val="007A25AB"/>
    <w:rsid w:val="007A275C"/>
    <w:rsid w:val="007A3189"/>
    <w:rsid w:val="007A31F1"/>
    <w:rsid w:val="007A4185"/>
    <w:rsid w:val="007A4A0C"/>
    <w:rsid w:val="007A4D51"/>
    <w:rsid w:val="007A5B1C"/>
    <w:rsid w:val="007A5DED"/>
    <w:rsid w:val="007A5F2B"/>
    <w:rsid w:val="007A77E1"/>
    <w:rsid w:val="007A7D5D"/>
    <w:rsid w:val="007A7DBF"/>
    <w:rsid w:val="007B00A1"/>
    <w:rsid w:val="007B1593"/>
    <w:rsid w:val="007B1768"/>
    <w:rsid w:val="007B2911"/>
    <w:rsid w:val="007B325D"/>
    <w:rsid w:val="007B35E5"/>
    <w:rsid w:val="007B3A31"/>
    <w:rsid w:val="007B4019"/>
    <w:rsid w:val="007B5017"/>
    <w:rsid w:val="007B5B2A"/>
    <w:rsid w:val="007B610A"/>
    <w:rsid w:val="007B78DB"/>
    <w:rsid w:val="007B7E17"/>
    <w:rsid w:val="007B9052"/>
    <w:rsid w:val="007C0C55"/>
    <w:rsid w:val="007C1174"/>
    <w:rsid w:val="007C1369"/>
    <w:rsid w:val="007C1A08"/>
    <w:rsid w:val="007C2322"/>
    <w:rsid w:val="007C23A7"/>
    <w:rsid w:val="007C3E61"/>
    <w:rsid w:val="007C3EA9"/>
    <w:rsid w:val="007C43FE"/>
    <w:rsid w:val="007C4446"/>
    <w:rsid w:val="007C5744"/>
    <w:rsid w:val="007C5F35"/>
    <w:rsid w:val="007D0F9C"/>
    <w:rsid w:val="007D1374"/>
    <w:rsid w:val="007D183C"/>
    <w:rsid w:val="007D1E8F"/>
    <w:rsid w:val="007D2558"/>
    <w:rsid w:val="007D2821"/>
    <w:rsid w:val="007D2C05"/>
    <w:rsid w:val="007D2C85"/>
    <w:rsid w:val="007D2FEE"/>
    <w:rsid w:val="007D3956"/>
    <w:rsid w:val="007D40DA"/>
    <w:rsid w:val="007D4F58"/>
    <w:rsid w:val="007D52EE"/>
    <w:rsid w:val="007D683E"/>
    <w:rsid w:val="007D69C5"/>
    <w:rsid w:val="007D7B80"/>
    <w:rsid w:val="007E0424"/>
    <w:rsid w:val="007E0FD4"/>
    <w:rsid w:val="007E1177"/>
    <w:rsid w:val="007E145B"/>
    <w:rsid w:val="007E1B57"/>
    <w:rsid w:val="007E23F8"/>
    <w:rsid w:val="007E2A26"/>
    <w:rsid w:val="007E2CF5"/>
    <w:rsid w:val="007E2E7A"/>
    <w:rsid w:val="007E358D"/>
    <w:rsid w:val="007E3C12"/>
    <w:rsid w:val="007E483D"/>
    <w:rsid w:val="007E4F66"/>
    <w:rsid w:val="007E56EE"/>
    <w:rsid w:val="007E6260"/>
    <w:rsid w:val="007E6415"/>
    <w:rsid w:val="007E69B0"/>
    <w:rsid w:val="007E6BD7"/>
    <w:rsid w:val="007E73AD"/>
    <w:rsid w:val="007E7B9F"/>
    <w:rsid w:val="007F0E4F"/>
    <w:rsid w:val="007F16F2"/>
    <w:rsid w:val="007F1725"/>
    <w:rsid w:val="007F1A1B"/>
    <w:rsid w:val="007F28C9"/>
    <w:rsid w:val="007F28F6"/>
    <w:rsid w:val="007F370D"/>
    <w:rsid w:val="007F5898"/>
    <w:rsid w:val="007F5DBA"/>
    <w:rsid w:val="007F6E44"/>
    <w:rsid w:val="007F72C3"/>
    <w:rsid w:val="007F7D3F"/>
    <w:rsid w:val="007F7D81"/>
    <w:rsid w:val="008000EB"/>
    <w:rsid w:val="00800BEA"/>
    <w:rsid w:val="00800C3A"/>
    <w:rsid w:val="00801850"/>
    <w:rsid w:val="008021D5"/>
    <w:rsid w:val="008026A3"/>
    <w:rsid w:val="008028DB"/>
    <w:rsid w:val="00803B95"/>
    <w:rsid w:val="00803EC8"/>
    <w:rsid w:val="008041A4"/>
    <w:rsid w:val="0080514B"/>
    <w:rsid w:val="008052BF"/>
    <w:rsid w:val="008052D0"/>
    <w:rsid w:val="008056C8"/>
    <w:rsid w:val="00805D6E"/>
    <w:rsid w:val="00805ED8"/>
    <w:rsid w:val="008062FD"/>
    <w:rsid w:val="00806445"/>
    <w:rsid w:val="00806522"/>
    <w:rsid w:val="00806700"/>
    <w:rsid w:val="00806A3E"/>
    <w:rsid w:val="0081185C"/>
    <w:rsid w:val="0081189C"/>
    <w:rsid w:val="00812AD7"/>
    <w:rsid w:val="008146F6"/>
    <w:rsid w:val="00814C9A"/>
    <w:rsid w:val="00815231"/>
    <w:rsid w:val="00815F71"/>
    <w:rsid w:val="008164AF"/>
    <w:rsid w:val="008164C9"/>
    <w:rsid w:val="008165C3"/>
    <w:rsid w:val="008167A6"/>
    <w:rsid w:val="00816BE0"/>
    <w:rsid w:val="00816E07"/>
    <w:rsid w:val="00817C6E"/>
    <w:rsid w:val="00817E16"/>
    <w:rsid w:val="00820002"/>
    <w:rsid w:val="0082032A"/>
    <w:rsid w:val="008203F1"/>
    <w:rsid w:val="00820D39"/>
    <w:rsid w:val="0082170A"/>
    <w:rsid w:val="008219D6"/>
    <w:rsid w:val="008219DF"/>
    <w:rsid w:val="00821ED1"/>
    <w:rsid w:val="008235C8"/>
    <w:rsid w:val="00823804"/>
    <w:rsid w:val="0082384F"/>
    <w:rsid w:val="008244C4"/>
    <w:rsid w:val="008251BE"/>
    <w:rsid w:val="00826041"/>
    <w:rsid w:val="0082718C"/>
    <w:rsid w:val="008306FD"/>
    <w:rsid w:val="0083197F"/>
    <w:rsid w:val="00831982"/>
    <w:rsid w:val="00832B98"/>
    <w:rsid w:val="008333B3"/>
    <w:rsid w:val="008343D1"/>
    <w:rsid w:val="00834BA0"/>
    <w:rsid w:val="00834F0E"/>
    <w:rsid w:val="00835F4B"/>
    <w:rsid w:val="00836797"/>
    <w:rsid w:val="00837F64"/>
    <w:rsid w:val="0084170B"/>
    <w:rsid w:val="00841736"/>
    <w:rsid w:val="00841A0D"/>
    <w:rsid w:val="00842E8D"/>
    <w:rsid w:val="00843905"/>
    <w:rsid w:val="00843B60"/>
    <w:rsid w:val="00844486"/>
    <w:rsid w:val="008446D0"/>
    <w:rsid w:val="008447AB"/>
    <w:rsid w:val="00845805"/>
    <w:rsid w:val="00845F82"/>
    <w:rsid w:val="00846AA4"/>
    <w:rsid w:val="0084734C"/>
    <w:rsid w:val="0084CD2E"/>
    <w:rsid w:val="00850D44"/>
    <w:rsid w:val="00850DDC"/>
    <w:rsid w:val="00851077"/>
    <w:rsid w:val="00851D0F"/>
    <w:rsid w:val="00851E03"/>
    <w:rsid w:val="00852BA5"/>
    <w:rsid w:val="00852DC6"/>
    <w:rsid w:val="00853357"/>
    <w:rsid w:val="00853BB1"/>
    <w:rsid w:val="00854008"/>
    <w:rsid w:val="00854A01"/>
    <w:rsid w:val="00855597"/>
    <w:rsid w:val="00855ECD"/>
    <w:rsid w:val="00856777"/>
    <w:rsid w:val="00856997"/>
    <w:rsid w:val="008612EF"/>
    <w:rsid w:val="00861721"/>
    <w:rsid w:val="00861AEA"/>
    <w:rsid w:val="00862EFF"/>
    <w:rsid w:val="00863B56"/>
    <w:rsid w:val="00863ED7"/>
    <w:rsid w:val="00864B81"/>
    <w:rsid w:val="00864C02"/>
    <w:rsid w:val="00864FBB"/>
    <w:rsid w:val="0086527C"/>
    <w:rsid w:val="0086629B"/>
    <w:rsid w:val="00866501"/>
    <w:rsid w:val="00866D4B"/>
    <w:rsid w:val="00866F13"/>
    <w:rsid w:val="0086786F"/>
    <w:rsid w:val="00867AE2"/>
    <w:rsid w:val="0087045A"/>
    <w:rsid w:val="0087050D"/>
    <w:rsid w:val="00870E66"/>
    <w:rsid w:val="00870F52"/>
    <w:rsid w:val="00872874"/>
    <w:rsid w:val="00872BF7"/>
    <w:rsid w:val="00873970"/>
    <w:rsid w:val="008746ED"/>
    <w:rsid w:val="00874C17"/>
    <w:rsid w:val="008750D1"/>
    <w:rsid w:val="008750F2"/>
    <w:rsid w:val="008759C5"/>
    <w:rsid w:val="0087612D"/>
    <w:rsid w:val="0087668F"/>
    <w:rsid w:val="0088009F"/>
    <w:rsid w:val="00880DAD"/>
    <w:rsid w:val="00880ECA"/>
    <w:rsid w:val="00881184"/>
    <w:rsid w:val="008814D0"/>
    <w:rsid w:val="008827C9"/>
    <w:rsid w:val="008827CA"/>
    <w:rsid w:val="008834FF"/>
    <w:rsid w:val="008835CE"/>
    <w:rsid w:val="008835F2"/>
    <w:rsid w:val="00884268"/>
    <w:rsid w:val="00884474"/>
    <w:rsid w:val="00884E8F"/>
    <w:rsid w:val="0088557E"/>
    <w:rsid w:val="00885F70"/>
    <w:rsid w:val="0088627F"/>
    <w:rsid w:val="0088755D"/>
    <w:rsid w:val="00890016"/>
    <w:rsid w:val="008903C2"/>
    <w:rsid w:val="0089134A"/>
    <w:rsid w:val="00891681"/>
    <w:rsid w:val="0089224D"/>
    <w:rsid w:val="00892347"/>
    <w:rsid w:val="008923E1"/>
    <w:rsid w:val="008927CC"/>
    <w:rsid w:val="00892A46"/>
    <w:rsid w:val="00892DF6"/>
    <w:rsid w:val="00892F46"/>
    <w:rsid w:val="00893D72"/>
    <w:rsid w:val="00894102"/>
    <w:rsid w:val="0089451B"/>
    <w:rsid w:val="008954E2"/>
    <w:rsid w:val="00895F41"/>
    <w:rsid w:val="00896986"/>
    <w:rsid w:val="0089718E"/>
    <w:rsid w:val="00897669"/>
    <w:rsid w:val="00897691"/>
    <w:rsid w:val="008976F0"/>
    <w:rsid w:val="00897A6C"/>
    <w:rsid w:val="008A02AD"/>
    <w:rsid w:val="008A1447"/>
    <w:rsid w:val="008A196E"/>
    <w:rsid w:val="008A1D43"/>
    <w:rsid w:val="008A259B"/>
    <w:rsid w:val="008A276A"/>
    <w:rsid w:val="008A2992"/>
    <w:rsid w:val="008A3041"/>
    <w:rsid w:val="008A414C"/>
    <w:rsid w:val="008A44A2"/>
    <w:rsid w:val="008A523A"/>
    <w:rsid w:val="008A561A"/>
    <w:rsid w:val="008A599A"/>
    <w:rsid w:val="008A5E68"/>
    <w:rsid w:val="008A63F9"/>
    <w:rsid w:val="008A77EA"/>
    <w:rsid w:val="008A7C70"/>
    <w:rsid w:val="008A7CFC"/>
    <w:rsid w:val="008A7EFD"/>
    <w:rsid w:val="008B0129"/>
    <w:rsid w:val="008B047F"/>
    <w:rsid w:val="008B0678"/>
    <w:rsid w:val="008B07C2"/>
    <w:rsid w:val="008B18E9"/>
    <w:rsid w:val="008B2C48"/>
    <w:rsid w:val="008B3211"/>
    <w:rsid w:val="008B3230"/>
    <w:rsid w:val="008B47D5"/>
    <w:rsid w:val="008B4CCE"/>
    <w:rsid w:val="008B4CD6"/>
    <w:rsid w:val="008B4EBB"/>
    <w:rsid w:val="008B4FD0"/>
    <w:rsid w:val="008B50F0"/>
    <w:rsid w:val="008B5EEE"/>
    <w:rsid w:val="008B66D6"/>
    <w:rsid w:val="008B689A"/>
    <w:rsid w:val="008B72ED"/>
    <w:rsid w:val="008B7833"/>
    <w:rsid w:val="008C0442"/>
    <w:rsid w:val="008C0713"/>
    <w:rsid w:val="008C0B0F"/>
    <w:rsid w:val="008C0B65"/>
    <w:rsid w:val="008C0CDF"/>
    <w:rsid w:val="008C148C"/>
    <w:rsid w:val="008C18E0"/>
    <w:rsid w:val="008C1BD7"/>
    <w:rsid w:val="008C1BF9"/>
    <w:rsid w:val="008C301C"/>
    <w:rsid w:val="008C432D"/>
    <w:rsid w:val="008C49CD"/>
    <w:rsid w:val="008C5E71"/>
    <w:rsid w:val="008C6F7E"/>
    <w:rsid w:val="008C758E"/>
    <w:rsid w:val="008C7706"/>
    <w:rsid w:val="008C7FDF"/>
    <w:rsid w:val="008D0978"/>
    <w:rsid w:val="008D1270"/>
    <w:rsid w:val="008D1441"/>
    <w:rsid w:val="008D1A57"/>
    <w:rsid w:val="008D1F93"/>
    <w:rsid w:val="008D2546"/>
    <w:rsid w:val="008D28B3"/>
    <w:rsid w:val="008D3507"/>
    <w:rsid w:val="008D352F"/>
    <w:rsid w:val="008D36BE"/>
    <w:rsid w:val="008D3983"/>
    <w:rsid w:val="008D3B7C"/>
    <w:rsid w:val="008D41FE"/>
    <w:rsid w:val="008D4E30"/>
    <w:rsid w:val="008D52B3"/>
    <w:rsid w:val="008D5BB0"/>
    <w:rsid w:val="008D6A88"/>
    <w:rsid w:val="008D6F8B"/>
    <w:rsid w:val="008D70E7"/>
    <w:rsid w:val="008D762D"/>
    <w:rsid w:val="008D7B2F"/>
    <w:rsid w:val="008D7CC7"/>
    <w:rsid w:val="008E01B2"/>
    <w:rsid w:val="008E0B0A"/>
    <w:rsid w:val="008E118D"/>
    <w:rsid w:val="008E1462"/>
    <w:rsid w:val="008E22D0"/>
    <w:rsid w:val="008E2D4D"/>
    <w:rsid w:val="008E3C20"/>
    <w:rsid w:val="008E3F47"/>
    <w:rsid w:val="008E4277"/>
    <w:rsid w:val="008E46FA"/>
    <w:rsid w:val="008E4CDF"/>
    <w:rsid w:val="008E5524"/>
    <w:rsid w:val="008E5C4E"/>
    <w:rsid w:val="008E62CC"/>
    <w:rsid w:val="008E62E2"/>
    <w:rsid w:val="008E6333"/>
    <w:rsid w:val="008E6E74"/>
    <w:rsid w:val="008E6FE1"/>
    <w:rsid w:val="008E7095"/>
    <w:rsid w:val="008E7BDA"/>
    <w:rsid w:val="008E7EF6"/>
    <w:rsid w:val="008F0708"/>
    <w:rsid w:val="008F23CA"/>
    <w:rsid w:val="008F29F2"/>
    <w:rsid w:val="008F2B4E"/>
    <w:rsid w:val="008F2E3B"/>
    <w:rsid w:val="008F3592"/>
    <w:rsid w:val="008F3CC3"/>
    <w:rsid w:val="008F47D3"/>
    <w:rsid w:val="008F49F6"/>
    <w:rsid w:val="008F5253"/>
    <w:rsid w:val="008F5974"/>
    <w:rsid w:val="008F5E25"/>
    <w:rsid w:val="008F5F65"/>
    <w:rsid w:val="008F5F96"/>
    <w:rsid w:val="008F7BF9"/>
    <w:rsid w:val="00900863"/>
    <w:rsid w:val="00902020"/>
    <w:rsid w:val="0090232F"/>
    <w:rsid w:val="009023B2"/>
    <w:rsid w:val="009024F0"/>
    <w:rsid w:val="00903256"/>
    <w:rsid w:val="00903856"/>
    <w:rsid w:val="00903AEE"/>
    <w:rsid w:val="00904023"/>
    <w:rsid w:val="00904219"/>
    <w:rsid w:val="00904B2A"/>
    <w:rsid w:val="00910047"/>
    <w:rsid w:val="0091039A"/>
    <w:rsid w:val="0091046E"/>
    <w:rsid w:val="009105EF"/>
    <w:rsid w:val="009108C2"/>
    <w:rsid w:val="009109CD"/>
    <w:rsid w:val="0091225A"/>
    <w:rsid w:val="00913100"/>
    <w:rsid w:val="009139DA"/>
    <w:rsid w:val="00914727"/>
    <w:rsid w:val="009148F4"/>
    <w:rsid w:val="009151A6"/>
    <w:rsid w:val="009157B4"/>
    <w:rsid w:val="00915951"/>
    <w:rsid w:val="0091599A"/>
    <w:rsid w:val="00915F66"/>
    <w:rsid w:val="00916482"/>
    <w:rsid w:val="009165B0"/>
    <w:rsid w:val="00916F03"/>
    <w:rsid w:val="009177F2"/>
    <w:rsid w:val="00917894"/>
    <w:rsid w:val="00917BBD"/>
    <w:rsid w:val="00917CE8"/>
    <w:rsid w:val="00917E7C"/>
    <w:rsid w:val="0092020E"/>
    <w:rsid w:val="009202A8"/>
    <w:rsid w:val="009204CB"/>
    <w:rsid w:val="00920954"/>
    <w:rsid w:val="00921B8A"/>
    <w:rsid w:val="00922AAC"/>
    <w:rsid w:val="0092318A"/>
    <w:rsid w:val="00923EC0"/>
    <w:rsid w:val="009244BC"/>
    <w:rsid w:val="00924676"/>
    <w:rsid w:val="009254FC"/>
    <w:rsid w:val="009260D3"/>
    <w:rsid w:val="009265F2"/>
    <w:rsid w:val="00926B3D"/>
    <w:rsid w:val="00927BB4"/>
    <w:rsid w:val="00927FF8"/>
    <w:rsid w:val="00931310"/>
    <w:rsid w:val="00931A95"/>
    <w:rsid w:val="00931E1F"/>
    <w:rsid w:val="009326BD"/>
    <w:rsid w:val="00932921"/>
    <w:rsid w:val="00932AF4"/>
    <w:rsid w:val="00932D4E"/>
    <w:rsid w:val="00932E87"/>
    <w:rsid w:val="0093337C"/>
    <w:rsid w:val="00933683"/>
    <w:rsid w:val="009359DA"/>
    <w:rsid w:val="0093608E"/>
    <w:rsid w:val="00940525"/>
    <w:rsid w:val="009424E5"/>
    <w:rsid w:val="009425CF"/>
    <w:rsid w:val="00942A2A"/>
    <w:rsid w:val="00943D2C"/>
    <w:rsid w:val="0094437F"/>
    <w:rsid w:val="0094459D"/>
    <w:rsid w:val="00945071"/>
    <w:rsid w:val="0094565D"/>
    <w:rsid w:val="00945CA6"/>
    <w:rsid w:val="00945D1F"/>
    <w:rsid w:val="00945EDB"/>
    <w:rsid w:val="0094601B"/>
    <w:rsid w:val="00947F4F"/>
    <w:rsid w:val="009502E1"/>
    <w:rsid w:val="0095046C"/>
    <w:rsid w:val="00952BA4"/>
    <w:rsid w:val="00953BF1"/>
    <w:rsid w:val="00953F79"/>
    <w:rsid w:val="00954EBD"/>
    <w:rsid w:val="009558D3"/>
    <w:rsid w:val="00955B51"/>
    <w:rsid w:val="009567E2"/>
    <w:rsid w:val="0095696E"/>
    <w:rsid w:val="00957302"/>
    <w:rsid w:val="00957951"/>
    <w:rsid w:val="00957A7C"/>
    <w:rsid w:val="0096045E"/>
    <w:rsid w:val="00960B0D"/>
    <w:rsid w:val="00960BAA"/>
    <w:rsid w:val="00960DAC"/>
    <w:rsid w:val="00961868"/>
    <w:rsid w:val="00961EB5"/>
    <w:rsid w:val="00962178"/>
    <w:rsid w:val="0096242B"/>
    <w:rsid w:val="00962576"/>
    <w:rsid w:val="00963A2C"/>
    <w:rsid w:val="00963C03"/>
    <w:rsid w:val="0096484E"/>
    <w:rsid w:val="00965CC6"/>
    <w:rsid w:val="0096610D"/>
    <w:rsid w:val="00966220"/>
    <w:rsid w:val="009665E9"/>
    <w:rsid w:val="009666D2"/>
    <w:rsid w:val="00967740"/>
    <w:rsid w:val="00967A49"/>
    <w:rsid w:val="00967B54"/>
    <w:rsid w:val="00970372"/>
    <w:rsid w:val="00970567"/>
    <w:rsid w:val="0097064F"/>
    <w:rsid w:val="00971D0A"/>
    <w:rsid w:val="00971EB3"/>
    <w:rsid w:val="00971FC4"/>
    <w:rsid w:val="009727E6"/>
    <w:rsid w:val="00972A9D"/>
    <w:rsid w:val="00972E0A"/>
    <w:rsid w:val="0097323E"/>
    <w:rsid w:val="00973DF6"/>
    <w:rsid w:val="00975859"/>
    <w:rsid w:val="00976DED"/>
    <w:rsid w:val="00977E8A"/>
    <w:rsid w:val="00980305"/>
    <w:rsid w:val="00980D43"/>
    <w:rsid w:val="00980F17"/>
    <w:rsid w:val="009816D7"/>
    <w:rsid w:val="00981E4D"/>
    <w:rsid w:val="00981FE3"/>
    <w:rsid w:val="00982160"/>
    <w:rsid w:val="00983B0D"/>
    <w:rsid w:val="00984546"/>
    <w:rsid w:val="009845EA"/>
    <w:rsid w:val="009846D5"/>
    <w:rsid w:val="00985A4C"/>
    <w:rsid w:val="0098638F"/>
    <w:rsid w:val="00986550"/>
    <w:rsid w:val="00987C98"/>
    <w:rsid w:val="00990143"/>
    <w:rsid w:val="00990479"/>
    <w:rsid w:val="00990C70"/>
    <w:rsid w:val="00991588"/>
    <w:rsid w:val="0099284A"/>
    <w:rsid w:val="00992E06"/>
    <w:rsid w:val="0099321B"/>
    <w:rsid w:val="009951F1"/>
    <w:rsid w:val="009954F1"/>
    <w:rsid w:val="009957C6"/>
    <w:rsid w:val="00995CE4"/>
    <w:rsid w:val="00995FD4"/>
    <w:rsid w:val="009967A5"/>
    <w:rsid w:val="00997A86"/>
    <w:rsid w:val="00997AC0"/>
    <w:rsid w:val="009A0348"/>
    <w:rsid w:val="009A051C"/>
    <w:rsid w:val="009A1004"/>
    <w:rsid w:val="009A192C"/>
    <w:rsid w:val="009A1DBD"/>
    <w:rsid w:val="009A2725"/>
    <w:rsid w:val="009A321A"/>
    <w:rsid w:val="009A3D02"/>
    <w:rsid w:val="009A3FF4"/>
    <w:rsid w:val="009A44EB"/>
    <w:rsid w:val="009A53E0"/>
    <w:rsid w:val="009A5BAF"/>
    <w:rsid w:val="009A6C51"/>
    <w:rsid w:val="009A70DA"/>
    <w:rsid w:val="009B014C"/>
    <w:rsid w:val="009B1F2A"/>
    <w:rsid w:val="009B24B6"/>
    <w:rsid w:val="009B27B7"/>
    <w:rsid w:val="009B3355"/>
    <w:rsid w:val="009B3973"/>
    <w:rsid w:val="009B42B1"/>
    <w:rsid w:val="009B43FD"/>
    <w:rsid w:val="009B4DEC"/>
    <w:rsid w:val="009B595C"/>
    <w:rsid w:val="009B71B3"/>
    <w:rsid w:val="009B729B"/>
    <w:rsid w:val="009B776E"/>
    <w:rsid w:val="009B7C24"/>
    <w:rsid w:val="009C1F41"/>
    <w:rsid w:val="009C212A"/>
    <w:rsid w:val="009C2C4C"/>
    <w:rsid w:val="009C3443"/>
    <w:rsid w:val="009C4492"/>
    <w:rsid w:val="009C5823"/>
    <w:rsid w:val="009C5CC6"/>
    <w:rsid w:val="009C5DB6"/>
    <w:rsid w:val="009C62F0"/>
    <w:rsid w:val="009C6699"/>
    <w:rsid w:val="009C7A9A"/>
    <w:rsid w:val="009C7E53"/>
    <w:rsid w:val="009D0245"/>
    <w:rsid w:val="009D0308"/>
    <w:rsid w:val="009D0660"/>
    <w:rsid w:val="009D0D7C"/>
    <w:rsid w:val="009D1687"/>
    <w:rsid w:val="009D1F77"/>
    <w:rsid w:val="009D3CF1"/>
    <w:rsid w:val="009D4087"/>
    <w:rsid w:val="009D4199"/>
    <w:rsid w:val="009D456B"/>
    <w:rsid w:val="009D4D7D"/>
    <w:rsid w:val="009D4DAA"/>
    <w:rsid w:val="009D519A"/>
    <w:rsid w:val="009D53FF"/>
    <w:rsid w:val="009D5733"/>
    <w:rsid w:val="009D62E4"/>
    <w:rsid w:val="009D6DB3"/>
    <w:rsid w:val="009D6ECC"/>
    <w:rsid w:val="009D7255"/>
    <w:rsid w:val="009D7AA4"/>
    <w:rsid w:val="009D7D70"/>
    <w:rsid w:val="009E0517"/>
    <w:rsid w:val="009E1101"/>
    <w:rsid w:val="009E12ED"/>
    <w:rsid w:val="009E2BD8"/>
    <w:rsid w:val="009E2E1F"/>
    <w:rsid w:val="009E32B3"/>
    <w:rsid w:val="009E348C"/>
    <w:rsid w:val="009E43AB"/>
    <w:rsid w:val="009E4E1D"/>
    <w:rsid w:val="009E4E34"/>
    <w:rsid w:val="009E5A1E"/>
    <w:rsid w:val="009E6505"/>
    <w:rsid w:val="009E6A30"/>
    <w:rsid w:val="009E702E"/>
    <w:rsid w:val="009E73B1"/>
    <w:rsid w:val="009F00DA"/>
    <w:rsid w:val="009F0387"/>
    <w:rsid w:val="009F0ACB"/>
    <w:rsid w:val="009F0DF6"/>
    <w:rsid w:val="009F1165"/>
    <w:rsid w:val="009F125B"/>
    <w:rsid w:val="009F1B8F"/>
    <w:rsid w:val="009F2D7A"/>
    <w:rsid w:val="009F387F"/>
    <w:rsid w:val="009F3B22"/>
    <w:rsid w:val="009F5450"/>
    <w:rsid w:val="009F56B4"/>
    <w:rsid w:val="009F5D4D"/>
    <w:rsid w:val="009F6441"/>
    <w:rsid w:val="009F6D79"/>
    <w:rsid w:val="009F6DA4"/>
    <w:rsid w:val="009F6FC3"/>
    <w:rsid w:val="00A01A8B"/>
    <w:rsid w:val="00A020B2"/>
    <w:rsid w:val="00A02289"/>
    <w:rsid w:val="00A04719"/>
    <w:rsid w:val="00A04C71"/>
    <w:rsid w:val="00A04CF1"/>
    <w:rsid w:val="00A050A4"/>
    <w:rsid w:val="00A051E3"/>
    <w:rsid w:val="00A05765"/>
    <w:rsid w:val="00A05DCD"/>
    <w:rsid w:val="00A05F05"/>
    <w:rsid w:val="00A0608E"/>
    <w:rsid w:val="00A06667"/>
    <w:rsid w:val="00A078A3"/>
    <w:rsid w:val="00A10152"/>
    <w:rsid w:val="00A10239"/>
    <w:rsid w:val="00A12523"/>
    <w:rsid w:val="00A1370A"/>
    <w:rsid w:val="00A13A21"/>
    <w:rsid w:val="00A142F9"/>
    <w:rsid w:val="00A14B19"/>
    <w:rsid w:val="00A14C4B"/>
    <w:rsid w:val="00A158A1"/>
    <w:rsid w:val="00A16C3C"/>
    <w:rsid w:val="00A17593"/>
    <w:rsid w:val="00A2060F"/>
    <w:rsid w:val="00A20C41"/>
    <w:rsid w:val="00A20F9F"/>
    <w:rsid w:val="00A21D9E"/>
    <w:rsid w:val="00A222B7"/>
    <w:rsid w:val="00A222C6"/>
    <w:rsid w:val="00A22510"/>
    <w:rsid w:val="00A22A3B"/>
    <w:rsid w:val="00A22AEA"/>
    <w:rsid w:val="00A23136"/>
    <w:rsid w:val="00A237E8"/>
    <w:rsid w:val="00A24B45"/>
    <w:rsid w:val="00A24E43"/>
    <w:rsid w:val="00A24F28"/>
    <w:rsid w:val="00A252C6"/>
    <w:rsid w:val="00A26283"/>
    <w:rsid w:val="00A26622"/>
    <w:rsid w:val="00A27155"/>
    <w:rsid w:val="00A30066"/>
    <w:rsid w:val="00A3099F"/>
    <w:rsid w:val="00A30C3E"/>
    <w:rsid w:val="00A312C5"/>
    <w:rsid w:val="00A320A4"/>
    <w:rsid w:val="00A32167"/>
    <w:rsid w:val="00A32523"/>
    <w:rsid w:val="00A32AC2"/>
    <w:rsid w:val="00A33C9A"/>
    <w:rsid w:val="00A34B20"/>
    <w:rsid w:val="00A35245"/>
    <w:rsid w:val="00A35568"/>
    <w:rsid w:val="00A35F1E"/>
    <w:rsid w:val="00A362C7"/>
    <w:rsid w:val="00A36624"/>
    <w:rsid w:val="00A36D5F"/>
    <w:rsid w:val="00A36DE0"/>
    <w:rsid w:val="00A37CE5"/>
    <w:rsid w:val="00A40B75"/>
    <w:rsid w:val="00A412A5"/>
    <w:rsid w:val="00A41618"/>
    <w:rsid w:val="00A41ACF"/>
    <w:rsid w:val="00A41B41"/>
    <w:rsid w:val="00A427C0"/>
    <w:rsid w:val="00A42E3E"/>
    <w:rsid w:val="00A438B8"/>
    <w:rsid w:val="00A43937"/>
    <w:rsid w:val="00A44766"/>
    <w:rsid w:val="00A44A0B"/>
    <w:rsid w:val="00A456EC"/>
    <w:rsid w:val="00A458D0"/>
    <w:rsid w:val="00A46104"/>
    <w:rsid w:val="00A46C84"/>
    <w:rsid w:val="00A47E34"/>
    <w:rsid w:val="00A50535"/>
    <w:rsid w:val="00A50ABE"/>
    <w:rsid w:val="00A51385"/>
    <w:rsid w:val="00A531A4"/>
    <w:rsid w:val="00A532EF"/>
    <w:rsid w:val="00A5363E"/>
    <w:rsid w:val="00A54CCA"/>
    <w:rsid w:val="00A5686C"/>
    <w:rsid w:val="00A57013"/>
    <w:rsid w:val="00A57040"/>
    <w:rsid w:val="00A577F5"/>
    <w:rsid w:val="00A57B78"/>
    <w:rsid w:val="00A601F1"/>
    <w:rsid w:val="00A602DF"/>
    <w:rsid w:val="00A60D3E"/>
    <w:rsid w:val="00A61C5E"/>
    <w:rsid w:val="00A61E59"/>
    <w:rsid w:val="00A62198"/>
    <w:rsid w:val="00A633B2"/>
    <w:rsid w:val="00A6433D"/>
    <w:rsid w:val="00A651A6"/>
    <w:rsid w:val="00A653AA"/>
    <w:rsid w:val="00A65517"/>
    <w:rsid w:val="00A672C5"/>
    <w:rsid w:val="00A67709"/>
    <w:rsid w:val="00A6790E"/>
    <w:rsid w:val="00A700D9"/>
    <w:rsid w:val="00A70C43"/>
    <w:rsid w:val="00A7101C"/>
    <w:rsid w:val="00A7109F"/>
    <w:rsid w:val="00A71105"/>
    <w:rsid w:val="00A712E5"/>
    <w:rsid w:val="00A71718"/>
    <w:rsid w:val="00A71A39"/>
    <w:rsid w:val="00A72BBE"/>
    <w:rsid w:val="00A736CC"/>
    <w:rsid w:val="00A737C5"/>
    <w:rsid w:val="00A737E0"/>
    <w:rsid w:val="00A75767"/>
    <w:rsid w:val="00A7710A"/>
    <w:rsid w:val="00A7791B"/>
    <w:rsid w:val="00A8037B"/>
    <w:rsid w:val="00A803F2"/>
    <w:rsid w:val="00A806D8"/>
    <w:rsid w:val="00A80BDF"/>
    <w:rsid w:val="00A80C45"/>
    <w:rsid w:val="00A81044"/>
    <w:rsid w:val="00A8167F"/>
    <w:rsid w:val="00A81D99"/>
    <w:rsid w:val="00A82674"/>
    <w:rsid w:val="00A82AA7"/>
    <w:rsid w:val="00A82C75"/>
    <w:rsid w:val="00A83484"/>
    <w:rsid w:val="00A84305"/>
    <w:rsid w:val="00A84B2E"/>
    <w:rsid w:val="00A84D53"/>
    <w:rsid w:val="00A84F13"/>
    <w:rsid w:val="00A866EA"/>
    <w:rsid w:val="00A86BCE"/>
    <w:rsid w:val="00A86D5C"/>
    <w:rsid w:val="00A872DA"/>
    <w:rsid w:val="00A8733C"/>
    <w:rsid w:val="00A9026C"/>
    <w:rsid w:val="00A907AB"/>
    <w:rsid w:val="00A925B1"/>
    <w:rsid w:val="00A9373A"/>
    <w:rsid w:val="00A93800"/>
    <w:rsid w:val="00A94D0B"/>
    <w:rsid w:val="00A9553F"/>
    <w:rsid w:val="00A955E3"/>
    <w:rsid w:val="00A95721"/>
    <w:rsid w:val="00A973E8"/>
    <w:rsid w:val="00A978F8"/>
    <w:rsid w:val="00AA0987"/>
    <w:rsid w:val="00AA0EAB"/>
    <w:rsid w:val="00AA190E"/>
    <w:rsid w:val="00AA1B57"/>
    <w:rsid w:val="00AA1F24"/>
    <w:rsid w:val="00AA31AC"/>
    <w:rsid w:val="00AA3510"/>
    <w:rsid w:val="00AA5FB2"/>
    <w:rsid w:val="00AA69E3"/>
    <w:rsid w:val="00AA6B6A"/>
    <w:rsid w:val="00AA6C1D"/>
    <w:rsid w:val="00AA6CB1"/>
    <w:rsid w:val="00AB0461"/>
    <w:rsid w:val="00AB10BF"/>
    <w:rsid w:val="00AB1661"/>
    <w:rsid w:val="00AB1D3C"/>
    <w:rsid w:val="00AB2F40"/>
    <w:rsid w:val="00AB3487"/>
    <w:rsid w:val="00AB383C"/>
    <w:rsid w:val="00AB5030"/>
    <w:rsid w:val="00AB595C"/>
    <w:rsid w:val="00AB6252"/>
    <w:rsid w:val="00AB63EC"/>
    <w:rsid w:val="00AB6C00"/>
    <w:rsid w:val="00AB6F52"/>
    <w:rsid w:val="00AC00F4"/>
    <w:rsid w:val="00AC14BC"/>
    <w:rsid w:val="00AC1661"/>
    <w:rsid w:val="00AC3354"/>
    <w:rsid w:val="00AC3C6D"/>
    <w:rsid w:val="00AC3EC0"/>
    <w:rsid w:val="00AC4888"/>
    <w:rsid w:val="00AC59E6"/>
    <w:rsid w:val="00AC5A16"/>
    <w:rsid w:val="00AC6ED0"/>
    <w:rsid w:val="00AC7080"/>
    <w:rsid w:val="00AC73C9"/>
    <w:rsid w:val="00AC74FD"/>
    <w:rsid w:val="00AC7F70"/>
    <w:rsid w:val="00AD05CD"/>
    <w:rsid w:val="00AD082A"/>
    <w:rsid w:val="00AD1654"/>
    <w:rsid w:val="00AD1C96"/>
    <w:rsid w:val="00AD1D40"/>
    <w:rsid w:val="00AD27B5"/>
    <w:rsid w:val="00AD2C1D"/>
    <w:rsid w:val="00AD3742"/>
    <w:rsid w:val="00AD3B65"/>
    <w:rsid w:val="00AD40E3"/>
    <w:rsid w:val="00AD45A6"/>
    <w:rsid w:val="00AD4F2B"/>
    <w:rsid w:val="00AD55F1"/>
    <w:rsid w:val="00AD5A84"/>
    <w:rsid w:val="00AD6165"/>
    <w:rsid w:val="00AD64CA"/>
    <w:rsid w:val="00AD6584"/>
    <w:rsid w:val="00AD6F40"/>
    <w:rsid w:val="00AD70D2"/>
    <w:rsid w:val="00AD72A0"/>
    <w:rsid w:val="00AD7477"/>
    <w:rsid w:val="00AD78FB"/>
    <w:rsid w:val="00AD7CE6"/>
    <w:rsid w:val="00AE01EB"/>
    <w:rsid w:val="00AE03F6"/>
    <w:rsid w:val="00AE1D26"/>
    <w:rsid w:val="00AE2ADD"/>
    <w:rsid w:val="00AE3771"/>
    <w:rsid w:val="00AE4958"/>
    <w:rsid w:val="00AE5632"/>
    <w:rsid w:val="00AE5DA1"/>
    <w:rsid w:val="00AE61FF"/>
    <w:rsid w:val="00AE63D5"/>
    <w:rsid w:val="00AE7E95"/>
    <w:rsid w:val="00AF05E6"/>
    <w:rsid w:val="00AF1FCD"/>
    <w:rsid w:val="00AF4234"/>
    <w:rsid w:val="00AF449F"/>
    <w:rsid w:val="00AF4A8D"/>
    <w:rsid w:val="00AF4BC6"/>
    <w:rsid w:val="00AF5008"/>
    <w:rsid w:val="00AF51C2"/>
    <w:rsid w:val="00AF5457"/>
    <w:rsid w:val="00AF69C2"/>
    <w:rsid w:val="00AF74C0"/>
    <w:rsid w:val="00AF768B"/>
    <w:rsid w:val="00B001B3"/>
    <w:rsid w:val="00B02823"/>
    <w:rsid w:val="00B02FE0"/>
    <w:rsid w:val="00B030B9"/>
    <w:rsid w:val="00B03755"/>
    <w:rsid w:val="00B03A2D"/>
    <w:rsid w:val="00B0553F"/>
    <w:rsid w:val="00B0749B"/>
    <w:rsid w:val="00B076AE"/>
    <w:rsid w:val="00B07ADC"/>
    <w:rsid w:val="00B07E11"/>
    <w:rsid w:val="00B102D3"/>
    <w:rsid w:val="00B1096D"/>
    <w:rsid w:val="00B10BCB"/>
    <w:rsid w:val="00B10CCD"/>
    <w:rsid w:val="00B112AD"/>
    <w:rsid w:val="00B1147C"/>
    <w:rsid w:val="00B120B2"/>
    <w:rsid w:val="00B127E2"/>
    <w:rsid w:val="00B12A24"/>
    <w:rsid w:val="00B12BAD"/>
    <w:rsid w:val="00B1352A"/>
    <w:rsid w:val="00B135C9"/>
    <w:rsid w:val="00B156A1"/>
    <w:rsid w:val="00B1575B"/>
    <w:rsid w:val="00B15E13"/>
    <w:rsid w:val="00B1667C"/>
    <w:rsid w:val="00B16A51"/>
    <w:rsid w:val="00B16AF1"/>
    <w:rsid w:val="00B16B54"/>
    <w:rsid w:val="00B20201"/>
    <w:rsid w:val="00B20989"/>
    <w:rsid w:val="00B21405"/>
    <w:rsid w:val="00B21539"/>
    <w:rsid w:val="00B21739"/>
    <w:rsid w:val="00B21E92"/>
    <w:rsid w:val="00B21FB9"/>
    <w:rsid w:val="00B22602"/>
    <w:rsid w:val="00B24836"/>
    <w:rsid w:val="00B24C77"/>
    <w:rsid w:val="00B252ED"/>
    <w:rsid w:val="00B253F7"/>
    <w:rsid w:val="00B254AA"/>
    <w:rsid w:val="00B26636"/>
    <w:rsid w:val="00B266C7"/>
    <w:rsid w:val="00B275DC"/>
    <w:rsid w:val="00B27D2F"/>
    <w:rsid w:val="00B27FEB"/>
    <w:rsid w:val="00B30235"/>
    <w:rsid w:val="00B30564"/>
    <w:rsid w:val="00B30769"/>
    <w:rsid w:val="00B30839"/>
    <w:rsid w:val="00B314CC"/>
    <w:rsid w:val="00B31B93"/>
    <w:rsid w:val="00B3219F"/>
    <w:rsid w:val="00B326A6"/>
    <w:rsid w:val="00B32A42"/>
    <w:rsid w:val="00B32CC7"/>
    <w:rsid w:val="00B331D0"/>
    <w:rsid w:val="00B3325D"/>
    <w:rsid w:val="00B33311"/>
    <w:rsid w:val="00B33521"/>
    <w:rsid w:val="00B339E8"/>
    <w:rsid w:val="00B33BFA"/>
    <w:rsid w:val="00B33D29"/>
    <w:rsid w:val="00B348D9"/>
    <w:rsid w:val="00B34947"/>
    <w:rsid w:val="00B352B9"/>
    <w:rsid w:val="00B353E5"/>
    <w:rsid w:val="00B35449"/>
    <w:rsid w:val="00B3602D"/>
    <w:rsid w:val="00B36B36"/>
    <w:rsid w:val="00B36B6F"/>
    <w:rsid w:val="00B36F39"/>
    <w:rsid w:val="00B37A3E"/>
    <w:rsid w:val="00B402A5"/>
    <w:rsid w:val="00B40489"/>
    <w:rsid w:val="00B42803"/>
    <w:rsid w:val="00B42F12"/>
    <w:rsid w:val="00B43645"/>
    <w:rsid w:val="00B43E19"/>
    <w:rsid w:val="00B4545D"/>
    <w:rsid w:val="00B456CD"/>
    <w:rsid w:val="00B456E4"/>
    <w:rsid w:val="00B45774"/>
    <w:rsid w:val="00B46E86"/>
    <w:rsid w:val="00B50760"/>
    <w:rsid w:val="00B509B7"/>
    <w:rsid w:val="00B50B0B"/>
    <w:rsid w:val="00B51325"/>
    <w:rsid w:val="00B51B23"/>
    <w:rsid w:val="00B53177"/>
    <w:rsid w:val="00B53655"/>
    <w:rsid w:val="00B54372"/>
    <w:rsid w:val="00B55123"/>
    <w:rsid w:val="00B56E17"/>
    <w:rsid w:val="00B57271"/>
    <w:rsid w:val="00B5747F"/>
    <w:rsid w:val="00B57C61"/>
    <w:rsid w:val="00B603E9"/>
    <w:rsid w:val="00B61426"/>
    <w:rsid w:val="00B61825"/>
    <w:rsid w:val="00B62DAD"/>
    <w:rsid w:val="00B6344B"/>
    <w:rsid w:val="00B636A1"/>
    <w:rsid w:val="00B638C7"/>
    <w:rsid w:val="00B63CF7"/>
    <w:rsid w:val="00B63DEC"/>
    <w:rsid w:val="00B64B99"/>
    <w:rsid w:val="00B64CFB"/>
    <w:rsid w:val="00B650B1"/>
    <w:rsid w:val="00B6651F"/>
    <w:rsid w:val="00B669DE"/>
    <w:rsid w:val="00B67FF3"/>
    <w:rsid w:val="00B70415"/>
    <w:rsid w:val="00B70AAC"/>
    <w:rsid w:val="00B71908"/>
    <w:rsid w:val="00B72545"/>
    <w:rsid w:val="00B731CE"/>
    <w:rsid w:val="00B73AD7"/>
    <w:rsid w:val="00B74042"/>
    <w:rsid w:val="00B74471"/>
    <w:rsid w:val="00B75AF5"/>
    <w:rsid w:val="00B762AC"/>
    <w:rsid w:val="00B76803"/>
    <w:rsid w:val="00B76C22"/>
    <w:rsid w:val="00B76F41"/>
    <w:rsid w:val="00B773CA"/>
    <w:rsid w:val="00B77EFA"/>
    <w:rsid w:val="00B80680"/>
    <w:rsid w:val="00B806CF"/>
    <w:rsid w:val="00B80A9B"/>
    <w:rsid w:val="00B8247B"/>
    <w:rsid w:val="00B8270C"/>
    <w:rsid w:val="00B8294B"/>
    <w:rsid w:val="00B83152"/>
    <w:rsid w:val="00B83387"/>
    <w:rsid w:val="00B84800"/>
    <w:rsid w:val="00B84821"/>
    <w:rsid w:val="00B84C7B"/>
    <w:rsid w:val="00B86582"/>
    <w:rsid w:val="00B8689A"/>
    <w:rsid w:val="00B86BD7"/>
    <w:rsid w:val="00B8747A"/>
    <w:rsid w:val="00B90FB1"/>
    <w:rsid w:val="00B911B9"/>
    <w:rsid w:val="00B9122A"/>
    <w:rsid w:val="00B91C0E"/>
    <w:rsid w:val="00B92202"/>
    <w:rsid w:val="00B928AD"/>
    <w:rsid w:val="00B9362C"/>
    <w:rsid w:val="00B942E6"/>
    <w:rsid w:val="00B946A0"/>
    <w:rsid w:val="00B946AF"/>
    <w:rsid w:val="00B94A6F"/>
    <w:rsid w:val="00B95190"/>
    <w:rsid w:val="00B9528D"/>
    <w:rsid w:val="00B95A9C"/>
    <w:rsid w:val="00B96586"/>
    <w:rsid w:val="00B965E9"/>
    <w:rsid w:val="00B96DAB"/>
    <w:rsid w:val="00B97533"/>
    <w:rsid w:val="00B97994"/>
    <w:rsid w:val="00B97E27"/>
    <w:rsid w:val="00BA12FB"/>
    <w:rsid w:val="00BA144A"/>
    <w:rsid w:val="00BA24D6"/>
    <w:rsid w:val="00BA4178"/>
    <w:rsid w:val="00BA6BE3"/>
    <w:rsid w:val="00BA7447"/>
    <w:rsid w:val="00BA7613"/>
    <w:rsid w:val="00BA761F"/>
    <w:rsid w:val="00BB017C"/>
    <w:rsid w:val="00BB0C7B"/>
    <w:rsid w:val="00BB1287"/>
    <w:rsid w:val="00BB19EF"/>
    <w:rsid w:val="00BB3D76"/>
    <w:rsid w:val="00BB60F9"/>
    <w:rsid w:val="00BB6883"/>
    <w:rsid w:val="00BC2261"/>
    <w:rsid w:val="00BC2685"/>
    <w:rsid w:val="00BC29FC"/>
    <w:rsid w:val="00BC3B67"/>
    <w:rsid w:val="00BC3DE2"/>
    <w:rsid w:val="00BC4563"/>
    <w:rsid w:val="00BC5699"/>
    <w:rsid w:val="00BC5EF0"/>
    <w:rsid w:val="00BC7EF2"/>
    <w:rsid w:val="00BD06AA"/>
    <w:rsid w:val="00BD0BAC"/>
    <w:rsid w:val="00BD1886"/>
    <w:rsid w:val="00BD18B9"/>
    <w:rsid w:val="00BD1B37"/>
    <w:rsid w:val="00BD1D2E"/>
    <w:rsid w:val="00BD214A"/>
    <w:rsid w:val="00BD242F"/>
    <w:rsid w:val="00BD29F0"/>
    <w:rsid w:val="00BD2C21"/>
    <w:rsid w:val="00BD2CC5"/>
    <w:rsid w:val="00BD35A4"/>
    <w:rsid w:val="00BD4EAF"/>
    <w:rsid w:val="00BD5866"/>
    <w:rsid w:val="00BD651C"/>
    <w:rsid w:val="00BD6812"/>
    <w:rsid w:val="00BD6A11"/>
    <w:rsid w:val="00BD6E01"/>
    <w:rsid w:val="00BD6F8A"/>
    <w:rsid w:val="00BD7339"/>
    <w:rsid w:val="00BD7378"/>
    <w:rsid w:val="00BD77DE"/>
    <w:rsid w:val="00BD7947"/>
    <w:rsid w:val="00BE0747"/>
    <w:rsid w:val="00BE0934"/>
    <w:rsid w:val="00BE18F2"/>
    <w:rsid w:val="00BE21A4"/>
    <w:rsid w:val="00BE27F9"/>
    <w:rsid w:val="00BE34E1"/>
    <w:rsid w:val="00BE3D7F"/>
    <w:rsid w:val="00BE48C8"/>
    <w:rsid w:val="00BE4E81"/>
    <w:rsid w:val="00BE5774"/>
    <w:rsid w:val="00BE73F9"/>
    <w:rsid w:val="00BE7A27"/>
    <w:rsid w:val="00BF0394"/>
    <w:rsid w:val="00BF0A85"/>
    <w:rsid w:val="00BF0D6B"/>
    <w:rsid w:val="00BF1579"/>
    <w:rsid w:val="00BF190F"/>
    <w:rsid w:val="00BF1D2E"/>
    <w:rsid w:val="00BF2A72"/>
    <w:rsid w:val="00BF350C"/>
    <w:rsid w:val="00BF35EB"/>
    <w:rsid w:val="00BF3D03"/>
    <w:rsid w:val="00BF5AB4"/>
    <w:rsid w:val="00BF5B67"/>
    <w:rsid w:val="00BF5C2A"/>
    <w:rsid w:val="00BF5D02"/>
    <w:rsid w:val="00BF5DF8"/>
    <w:rsid w:val="00BF61B8"/>
    <w:rsid w:val="00BF68E0"/>
    <w:rsid w:val="00BF6C41"/>
    <w:rsid w:val="00BF7091"/>
    <w:rsid w:val="00BF73BF"/>
    <w:rsid w:val="00BF7847"/>
    <w:rsid w:val="00C00249"/>
    <w:rsid w:val="00C01D6E"/>
    <w:rsid w:val="00C027AA"/>
    <w:rsid w:val="00C037CF"/>
    <w:rsid w:val="00C038DA"/>
    <w:rsid w:val="00C040E7"/>
    <w:rsid w:val="00C047EB"/>
    <w:rsid w:val="00C04D7D"/>
    <w:rsid w:val="00C04FE5"/>
    <w:rsid w:val="00C05417"/>
    <w:rsid w:val="00C060C2"/>
    <w:rsid w:val="00C0616C"/>
    <w:rsid w:val="00C06432"/>
    <w:rsid w:val="00C066A0"/>
    <w:rsid w:val="00C06E62"/>
    <w:rsid w:val="00C10B31"/>
    <w:rsid w:val="00C12145"/>
    <w:rsid w:val="00C124C8"/>
    <w:rsid w:val="00C14479"/>
    <w:rsid w:val="00C14580"/>
    <w:rsid w:val="00C14831"/>
    <w:rsid w:val="00C14CF9"/>
    <w:rsid w:val="00C1508B"/>
    <w:rsid w:val="00C1539C"/>
    <w:rsid w:val="00C16342"/>
    <w:rsid w:val="00C167D0"/>
    <w:rsid w:val="00C16EAD"/>
    <w:rsid w:val="00C17558"/>
    <w:rsid w:val="00C17AF3"/>
    <w:rsid w:val="00C17C4E"/>
    <w:rsid w:val="00C2066F"/>
    <w:rsid w:val="00C22F6F"/>
    <w:rsid w:val="00C2307A"/>
    <w:rsid w:val="00C23B67"/>
    <w:rsid w:val="00C23CD9"/>
    <w:rsid w:val="00C240E9"/>
    <w:rsid w:val="00C24374"/>
    <w:rsid w:val="00C243E9"/>
    <w:rsid w:val="00C250ED"/>
    <w:rsid w:val="00C254B8"/>
    <w:rsid w:val="00C2552B"/>
    <w:rsid w:val="00C25C93"/>
    <w:rsid w:val="00C25EC8"/>
    <w:rsid w:val="00C26461"/>
    <w:rsid w:val="00C26F7F"/>
    <w:rsid w:val="00C27ADB"/>
    <w:rsid w:val="00C3029E"/>
    <w:rsid w:val="00C302D1"/>
    <w:rsid w:val="00C30DE8"/>
    <w:rsid w:val="00C30EA4"/>
    <w:rsid w:val="00C30ECE"/>
    <w:rsid w:val="00C31245"/>
    <w:rsid w:val="00C314F9"/>
    <w:rsid w:val="00C322F4"/>
    <w:rsid w:val="00C32B64"/>
    <w:rsid w:val="00C32BE3"/>
    <w:rsid w:val="00C33686"/>
    <w:rsid w:val="00C3418F"/>
    <w:rsid w:val="00C346C6"/>
    <w:rsid w:val="00C357CC"/>
    <w:rsid w:val="00C359D9"/>
    <w:rsid w:val="00C3605F"/>
    <w:rsid w:val="00C36371"/>
    <w:rsid w:val="00C365FE"/>
    <w:rsid w:val="00C36C57"/>
    <w:rsid w:val="00C37416"/>
    <w:rsid w:val="00C379BF"/>
    <w:rsid w:val="00C37A20"/>
    <w:rsid w:val="00C40025"/>
    <w:rsid w:val="00C400F5"/>
    <w:rsid w:val="00C40AA2"/>
    <w:rsid w:val="00C413EA"/>
    <w:rsid w:val="00C419AE"/>
    <w:rsid w:val="00C43BEF"/>
    <w:rsid w:val="00C44295"/>
    <w:rsid w:val="00C46A6D"/>
    <w:rsid w:val="00C47193"/>
    <w:rsid w:val="00C51438"/>
    <w:rsid w:val="00C530C8"/>
    <w:rsid w:val="00C532E4"/>
    <w:rsid w:val="00C538C5"/>
    <w:rsid w:val="00C5392F"/>
    <w:rsid w:val="00C5410F"/>
    <w:rsid w:val="00C544BA"/>
    <w:rsid w:val="00C55787"/>
    <w:rsid w:val="00C561D9"/>
    <w:rsid w:val="00C5686E"/>
    <w:rsid w:val="00C56F2A"/>
    <w:rsid w:val="00C57166"/>
    <w:rsid w:val="00C57228"/>
    <w:rsid w:val="00C57756"/>
    <w:rsid w:val="00C57D48"/>
    <w:rsid w:val="00C602F7"/>
    <w:rsid w:val="00C620CA"/>
    <w:rsid w:val="00C62F18"/>
    <w:rsid w:val="00C64732"/>
    <w:rsid w:val="00C64A8C"/>
    <w:rsid w:val="00C65163"/>
    <w:rsid w:val="00C67CE6"/>
    <w:rsid w:val="00C7006D"/>
    <w:rsid w:val="00C70E6D"/>
    <w:rsid w:val="00C71B11"/>
    <w:rsid w:val="00C71C85"/>
    <w:rsid w:val="00C724B2"/>
    <w:rsid w:val="00C73211"/>
    <w:rsid w:val="00C73C84"/>
    <w:rsid w:val="00C73F82"/>
    <w:rsid w:val="00C74900"/>
    <w:rsid w:val="00C74E3C"/>
    <w:rsid w:val="00C74EA4"/>
    <w:rsid w:val="00C75760"/>
    <w:rsid w:val="00C76F7C"/>
    <w:rsid w:val="00C77AC0"/>
    <w:rsid w:val="00C80CA5"/>
    <w:rsid w:val="00C80DE0"/>
    <w:rsid w:val="00C81056"/>
    <w:rsid w:val="00C815E0"/>
    <w:rsid w:val="00C81BD6"/>
    <w:rsid w:val="00C81C33"/>
    <w:rsid w:val="00C8286E"/>
    <w:rsid w:val="00C83A2B"/>
    <w:rsid w:val="00C83CBB"/>
    <w:rsid w:val="00C83D64"/>
    <w:rsid w:val="00C841F8"/>
    <w:rsid w:val="00C84547"/>
    <w:rsid w:val="00C84E6F"/>
    <w:rsid w:val="00C850EC"/>
    <w:rsid w:val="00C86B28"/>
    <w:rsid w:val="00C87253"/>
    <w:rsid w:val="00C90071"/>
    <w:rsid w:val="00C90CEA"/>
    <w:rsid w:val="00C90FC6"/>
    <w:rsid w:val="00C910B4"/>
    <w:rsid w:val="00C91131"/>
    <w:rsid w:val="00C91B5F"/>
    <w:rsid w:val="00C92E65"/>
    <w:rsid w:val="00C93321"/>
    <w:rsid w:val="00C93411"/>
    <w:rsid w:val="00C940BD"/>
    <w:rsid w:val="00C955EC"/>
    <w:rsid w:val="00C95FA2"/>
    <w:rsid w:val="00C96238"/>
    <w:rsid w:val="00C96603"/>
    <w:rsid w:val="00C973D6"/>
    <w:rsid w:val="00C977A0"/>
    <w:rsid w:val="00C977E2"/>
    <w:rsid w:val="00CA0437"/>
    <w:rsid w:val="00CA10D5"/>
    <w:rsid w:val="00CA1370"/>
    <w:rsid w:val="00CA1FF4"/>
    <w:rsid w:val="00CA22EC"/>
    <w:rsid w:val="00CA2C0F"/>
    <w:rsid w:val="00CA3312"/>
    <w:rsid w:val="00CA33BB"/>
    <w:rsid w:val="00CA3748"/>
    <w:rsid w:val="00CA3C38"/>
    <w:rsid w:val="00CA4171"/>
    <w:rsid w:val="00CA49F5"/>
    <w:rsid w:val="00CA5339"/>
    <w:rsid w:val="00CA7B68"/>
    <w:rsid w:val="00CB0055"/>
    <w:rsid w:val="00CB059F"/>
    <w:rsid w:val="00CB0634"/>
    <w:rsid w:val="00CB1158"/>
    <w:rsid w:val="00CB2B1C"/>
    <w:rsid w:val="00CB31CC"/>
    <w:rsid w:val="00CB3DC1"/>
    <w:rsid w:val="00CB48E7"/>
    <w:rsid w:val="00CB49C2"/>
    <w:rsid w:val="00CB4DAC"/>
    <w:rsid w:val="00CB4FD3"/>
    <w:rsid w:val="00CB4FED"/>
    <w:rsid w:val="00CB575C"/>
    <w:rsid w:val="00CB5BC7"/>
    <w:rsid w:val="00CB68F8"/>
    <w:rsid w:val="00CB6BAE"/>
    <w:rsid w:val="00CB7680"/>
    <w:rsid w:val="00CB799D"/>
    <w:rsid w:val="00CC0780"/>
    <w:rsid w:val="00CC0B65"/>
    <w:rsid w:val="00CC1BCF"/>
    <w:rsid w:val="00CC250F"/>
    <w:rsid w:val="00CC2532"/>
    <w:rsid w:val="00CC359C"/>
    <w:rsid w:val="00CC3CE6"/>
    <w:rsid w:val="00CC3FD7"/>
    <w:rsid w:val="00CC588E"/>
    <w:rsid w:val="00CC6051"/>
    <w:rsid w:val="00CC767D"/>
    <w:rsid w:val="00CD0001"/>
    <w:rsid w:val="00CD03EB"/>
    <w:rsid w:val="00CD10B8"/>
    <w:rsid w:val="00CD10BB"/>
    <w:rsid w:val="00CD10E0"/>
    <w:rsid w:val="00CD2556"/>
    <w:rsid w:val="00CD2EB6"/>
    <w:rsid w:val="00CD34BC"/>
    <w:rsid w:val="00CD3E90"/>
    <w:rsid w:val="00CD4B2A"/>
    <w:rsid w:val="00CD4D74"/>
    <w:rsid w:val="00CD4F47"/>
    <w:rsid w:val="00CD581F"/>
    <w:rsid w:val="00CD68F3"/>
    <w:rsid w:val="00CE1C82"/>
    <w:rsid w:val="00CE2AB4"/>
    <w:rsid w:val="00CE3044"/>
    <w:rsid w:val="00CE3215"/>
    <w:rsid w:val="00CE3E08"/>
    <w:rsid w:val="00CE4B00"/>
    <w:rsid w:val="00CE4B72"/>
    <w:rsid w:val="00CE5771"/>
    <w:rsid w:val="00CE629C"/>
    <w:rsid w:val="00CEA53C"/>
    <w:rsid w:val="00CF0B25"/>
    <w:rsid w:val="00CF1DA5"/>
    <w:rsid w:val="00CF213A"/>
    <w:rsid w:val="00CF6686"/>
    <w:rsid w:val="00CF731F"/>
    <w:rsid w:val="00CF7B43"/>
    <w:rsid w:val="00D002C0"/>
    <w:rsid w:val="00D00EB2"/>
    <w:rsid w:val="00D013AF"/>
    <w:rsid w:val="00D015A4"/>
    <w:rsid w:val="00D01BC4"/>
    <w:rsid w:val="00D0254E"/>
    <w:rsid w:val="00D02C30"/>
    <w:rsid w:val="00D037E2"/>
    <w:rsid w:val="00D03BE6"/>
    <w:rsid w:val="00D04192"/>
    <w:rsid w:val="00D04569"/>
    <w:rsid w:val="00D04FB2"/>
    <w:rsid w:val="00D04FD3"/>
    <w:rsid w:val="00D0558B"/>
    <w:rsid w:val="00D060FC"/>
    <w:rsid w:val="00D06ABF"/>
    <w:rsid w:val="00D06BD0"/>
    <w:rsid w:val="00D070EA"/>
    <w:rsid w:val="00D07113"/>
    <w:rsid w:val="00D07BAB"/>
    <w:rsid w:val="00D07D7D"/>
    <w:rsid w:val="00D07DDA"/>
    <w:rsid w:val="00D07DE0"/>
    <w:rsid w:val="00D07EF2"/>
    <w:rsid w:val="00D07F5D"/>
    <w:rsid w:val="00D10ED9"/>
    <w:rsid w:val="00D111DB"/>
    <w:rsid w:val="00D11DAF"/>
    <w:rsid w:val="00D12472"/>
    <w:rsid w:val="00D13100"/>
    <w:rsid w:val="00D14D29"/>
    <w:rsid w:val="00D173AB"/>
    <w:rsid w:val="00D17481"/>
    <w:rsid w:val="00D17625"/>
    <w:rsid w:val="00D177CA"/>
    <w:rsid w:val="00D17F61"/>
    <w:rsid w:val="00D20994"/>
    <w:rsid w:val="00D20E99"/>
    <w:rsid w:val="00D21BD0"/>
    <w:rsid w:val="00D221DC"/>
    <w:rsid w:val="00D23283"/>
    <w:rsid w:val="00D23307"/>
    <w:rsid w:val="00D23353"/>
    <w:rsid w:val="00D242F7"/>
    <w:rsid w:val="00D2447A"/>
    <w:rsid w:val="00D2456C"/>
    <w:rsid w:val="00D24C34"/>
    <w:rsid w:val="00D2584C"/>
    <w:rsid w:val="00D26792"/>
    <w:rsid w:val="00D275AB"/>
    <w:rsid w:val="00D27FE6"/>
    <w:rsid w:val="00D30534"/>
    <w:rsid w:val="00D307E7"/>
    <w:rsid w:val="00D30EED"/>
    <w:rsid w:val="00D31737"/>
    <w:rsid w:val="00D3176C"/>
    <w:rsid w:val="00D322B1"/>
    <w:rsid w:val="00D32307"/>
    <w:rsid w:val="00D328D5"/>
    <w:rsid w:val="00D32CE4"/>
    <w:rsid w:val="00D336AF"/>
    <w:rsid w:val="00D33E62"/>
    <w:rsid w:val="00D33EC7"/>
    <w:rsid w:val="00D3426A"/>
    <w:rsid w:val="00D35B05"/>
    <w:rsid w:val="00D3613F"/>
    <w:rsid w:val="00D36FD2"/>
    <w:rsid w:val="00D401DA"/>
    <w:rsid w:val="00D40466"/>
    <w:rsid w:val="00D404E1"/>
    <w:rsid w:val="00D40AC4"/>
    <w:rsid w:val="00D42864"/>
    <w:rsid w:val="00D43321"/>
    <w:rsid w:val="00D43904"/>
    <w:rsid w:val="00D43EAF"/>
    <w:rsid w:val="00D44B0B"/>
    <w:rsid w:val="00D44CC3"/>
    <w:rsid w:val="00D44D5E"/>
    <w:rsid w:val="00D45538"/>
    <w:rsid w:val="00D45741"/>
    <w:rsid w:val="00D45979"/>
    <w:rsid w:val="00D464B4"/>
    <w:rsid w:val="00D46ACE"/>
    <w:rsid w:val="00D46CE7"/>
    <w:rsid w:val="00D46E89"/>
    <w:rsid w:val="00D471B0"/>
    <w:rsid w:val="00D50446"/>
    <w:rsid w:val="00D50675"/>
    <w:rsid w:val="00D50E12"/>
    <w:rsid w:val="00D515EC"/>
    <w:rsid w:val="00D54783"/>
    <w:rsid w:val="00D55041"/>
    <w:rsid w:val="00D55100"/>
    <w:rsid w:val="00D5515A"/>
    <w:rsid w:val="00D5541B"/>
    <w:rsid w:val="00D560B5"/>
    <w:rsid w:val="00D56B14"/>
    <w:rsid w:val="00D56DB5"/>
    <w:rsid w:val="00D57148"/>
    <w:rsid w:val="00D6022A"/>
    <w:rsid w:val="00D60550"/>
    <w:rsid w:val="00D606BB"/>
    <w:rsid w:val="00D6176A"/>
    <w:rsid w:val="00D621B0"/>
    <w:rsid w:val="00D625AC"/>
    <w:rsid w:val="00D63596"/>
    <w:rsid w:val="00D638C6"/>
    <w:rsid w:val="00D63E40"/>
    <w:rsid w:val="00D652C4"/>
    <w:rsid w:val="00D658AF"/>
    <w:rsid w:val="00D66B10"/>
    <w:rsid w:val="00D66B27"/>
    <w:rsid w:val="00D670E4"/>
    <w:rsid w:val="00D6769E"/>
    <w:rsid w:val="00D67CAC"/>
    <w:rsid w:val="00D67CE7"/>
    <w:rsid w:val="00D709F2"/>
    <w:rsid w:val="00D71870"/>
    <w:rsid w:val="00D718BF"/>
    <w:rsid w:val="00D728B1"/>
    <w:rsid w:val="00D72A49"/>
    <w:rsid w:val="00D72A9F"/>
    <w:rsid w:val="00D73279"/>
    <w:rsid w:val="00D734F3"/>
    <w:rsid w:val="00D7426C"/>
    <w:rsid w:val="00D74A43"/>
    <w:rsid w:val="00D757EC"/>
    <w:rsid w:val="00D76238"/>
    <w:rsid w:val="00D809EC"/>
    <w:rsid w:val="00D80F42"/>
    <w:rsid w:val="00D80FF8"/>
    <w:rsid w:val="00D81351"/>
    <w:rsid w:val="00D815A7"/>
    <w:rsid w:val="00D82344"/>
    <w:rsid w:val="00D8286E"/>
    <w:rsid w:val="00D829A1"/>
    <w:rsid w:val="00D82C05"/>
    <w:rsid w:val="00D82C16"/>
    <w:rsid w:val="00D83C67"/>
    <w:rsid w:val="00D84C36"/>
    <w:rsid w:val="00D851DF"/>
    <w:rsid w:val="00D8548E"/>
    <w:rsid w:val="00D8563F"/>
    <w:rsid w:val="00D85A7A"/>
    <w:rsid w:val="00D85C18"/>
    <w:rsid w:val="00D85F1E"/>
    <w:rsid w:val="00D8624F"/>
    <w:rsid w:val="00D8652A"/>
    <w:rsid w:val="00D867D7"/>
    <w:rsid w:val="00D869C4"/>
    <w:rsid w:val="00D877D3"/>
    <w:rsid w:val="00D89B74"/>
    <w:rsid w:val="00D900C7"/>
    <w:rsid w:val="00D904A3"/>
    <w:rsid w:val="00D906C3"/>
    <w:rsid w:val="00D90892"/>
    <w:rsid w:val="00D908BA"/>
    <w:rsid w:val="00D91DA8"/>
    <w:rsid w:val="00D92A78"/>
    <w:rsid w:val="00D92E1E"/>
    <w:rsid w:val="00D93176"/>
    <w:rsid w:val="00D934F9"/>
    <w:rsid w:val="00D9358F"/>
    <w:rsid w:val="00D93A6D"/>
    <w:rsid w:val="00D93F92"/>
    <w:rsid w:val="00D93F9A"/>
    <w:rsid w:val="00D94448"/>
    <w:rsid w:val="00D94F93"/>
    <w:rsid w:val="00D9639B"/>
    <w:rsid w:val="00D963E1"/>
    <w:rsid w:val="00D967D0"/>
    <w:rsid w:val="00D96EFB"/>
    <w:rsid w:val="00D971D8"/>
    <w:rsid w:val="00D9742A"/>
    <w:rsid w:val="00DA0876"/>
    <w:rsid w:val="00DA1564"/>
    <w:rsid w:val="00DA19E9"/>
    <w:rsid w:val="00DA1D06"/>
    <w:rsid w:val="00DA20B7"/>
    <w:rsid w:val="00DA23B7"/>
    <w:rsid w:val="00DA335E"/>
    <w:rsid w:val="00DA433E"/>
    <w:rsid w:val="00DA4D1D"/>
    <w:rsid w:val="00DA52BC"/>
    <w:rsid w:val="00DA572C"/>
    <w:rsid w:val="00DA5E66"/>
    <w:rsid w:val="00DA6824"/>
    <w:rsid w:val="00DA73E1"/>
    <w:rsid w:val="00DB0144"/>
    <w:rsid w:val="00DB03C5"/>
    <w:rsid w:val="00DB046D"/>
    <w:rsid w:val="00DB0A2E"/>
    <w:rsid w:val="00DB0C6B"/>
    <w:rsid w:val="00DB0CD4"/>
    <w:rsid w:val="00DB17EC"/>
    <w:rsid w:val="00DB2345"/>
    <w:rsid w:val="00DB2560"/>
    <w:rsid w:val="00DB298D"/>
    <w:rsid w:val="00DB2B02"/>
    <w:rsid w:val="00DB3033"/>
    <w:rsid w:val="00DB3117"/>
    <w:rsid w:val="00DB536B"/>
    <w:rsid w:val="00DB5547"/>
    <w:rsid w:val="00DB6154"/>
    <w:rsid w:val="00DB67CE"/>
    <w:rsid w:val="00DB67CF"/>
    <w:rsid w:val="00DB704D"/>
    <w:rsid w:val="00DB70A3"/>
    <w:rsid w:val="00DB70FB"/>
    <w:rsid w:val="00DB7108"/>
    <w:rsid w:val="00DB7CD4"/>
    <w:rsid w:val="00DC076B"/>
    <w:rsid w:val="00DC0AE5"/>
    <w:rsid w:val="00DC0BD7"/>
    <w:rsid w:val="00DC15F1"/>
    <w:rsid w:val="00DC1F04"/>
    <w:rsid w:val="00DC2126"/>
    <w:rsid w:val="00DC2208"/>
    <w:rsid w:val="00DC2950"/>
    <w:rsid w:val="00DC2A81"/>
    <w:rsid w:val="00DC347E"/>
    <w:rsid w:val="00DC364E"/>
    <w:rsid w:val="00DC4467"/>
    <w:rsid w:val="00DC4EC7"/>
    <w:rsid w:val="00DC4EC8"/>
    <w:rsid w:val="00DC5139"/>
    <w:rsid w:val="00DC5A24"/>
    <w:rsid w:val="00DC642C"/>
    <w:rsid w:val="00DC684A"/>
    <w:rsid w:val="00DD03B3"/>
    <w:rsid w:val="00DD1480"/>
    <w:rsid w:val="00DD2069"/>
    <w:rsid w:val="00DD211C"/>
    <w:rsid w:val="00DD2920"/>
    <w:rsid w:val="00DD2A49"/>
    <w:rsid w:val="00DD2EDC"/>
    <w:rsid w:val="00DD3189"/>
    <w:rsid w:val="00DD3199"/>
    <w:rsid w:val="00DD39C4"/>
    <w:rsid w:val="00DD4660"/>
    <w:rsid w:val="00DD46A3"/>
    <w:rsid w:val="00DD48CF"/>
    <w:rsid w:val="00DD5148"/>
    <w:rsid w:val="00DD6171"/>
    <w:rsid w:val="00DD65DA"/>
    <w:rsid w:val="00DD71B4"/>
    <w:rsid w:val="00DD7406"/>
    <w:rsid w:val="00DD7510"/>
    <w:rsid w:val="00DD78F2"/>
    <w:rsid w:val="00DE0693"/>
    <w:rsid w:val="00DE0B6D"/>
    <w:rsid w:val="00DE0CB3"/>
    <w:rsid w:val="00DE1D98"/>
    <w:rsid w:val="00DE243F"/>
    <w:rsid w:val="00DE2FEA"/>
    <w:rsid w:val="00DE3329"/>
    <w:rsid w:val="00DE3D48"/>
    <w:rsid w:val="00DE3D49"/>
    <w:rsid w:val="00DE41E8"/>
    <w:rsid w:val="00DE49FE"/>
    <w:rsid w:val="00DE4A5A"/>
    <w:rsid w:val="00DE52BF"/>
    <w:rsid w:val="00DE55FA"/>
    <w:rsid w:val="00DE5D11"/>
    <w:rsid w:val="00DE66B6"/>
    <w:rsid w:val="00DE6D8F"/>
    <w:rsid w:val="00DE72F4"/>
    <w:rsid w:val="00DE73CC"/>
    <w:rsid w:val="00DF02CB"/>
    <w:rsid w:val="00DF071E"/>
    <w:rsid w:val="00DF0794"/>
    <w:rsid w:val="00DF0882"/>
    <w:rsid w:val="00DF0B31"/>
    <w:rsid w:val="00DF18CA"/>
    <w:rsid w:val="00DF1C44"/>
    <w:rsid w:val="00DF1D13"/>
    <w:rsid w:val="00DF1E37"/>
    <w:rsid w:val="00DF23CF"/>
    <w:rsid w:val="00DF2635"/>
    <w:rsid w:val="00DF2827"/>
    <w:rsid w:val="00DF33BD"/>
    <w:rsid w:val="00DF40D2"/>
    <w:rsid w:val="00DF597D"/>
    <w:rsid w:val="00DF5AD6"/>
    <w:rsid w:val="00DF7206"/>
    <w:rsid w:val="00DF720D"/>
    <w:rsid w:val="00DF7BF8"/>
    <w:rsid w:val="00DF7E19"/>
    <w:rsid w:val="00E002C6"/>
    <w:rsid w:val="00E003D4"/>
    <w:rsid w:val="00E01617"/>
    <w:rsid w:val="00E02E73"/>
    <w:rsid w:val="00E05057"/>
    <w:rsid w:val="00E05BDE"/>
    <w:rsid w:val="00E0604B"/>
    <w:rsid w:val="00E07A26"/>
    <w:rsid w:val="00E102EF"/>
    <w:rsid w:val="00E10764"/>
    <w:rsid w:val="00E10E2C"/>
    <w:rsid w:val="00E10F17"/>
    <w:rsid w:val="00E1128E"/>
    <w:rsid w:val="00E11422"/>
    <w:rsid w:val="00E11B11"/>
    <w:rsid w:val="00E12A37"/>
    <w:rsid w:val="00E1300A"/>
    <w:rsid w:val="00E13B3E"/>
    <w:rsid w:val="00E1437D"/>
    <w:rsid w:val="00E14955"/>
    <w:rsid w:val="00E14E25"/>
    <w:rsid w:val="00E154CC"/>
    <w:rsid w:val="00E159C8"/>
    <w:rsid w:val="00E15C71"/>
    <w:rsid w:val="00E15DE6"/>
    <w:rsid w:val="00E1679A"/>
    <w:rsid w:val="00E169E6"/>
    <w:rsid w:val="00E16A03"/>
    <w:rsid w:val="00E16F4F"/>
    <w:rsid w:val="00E17418"/>
    <w:rsid w:val="00E206F5"/>
    <w:rsid w:val="00E211FF"/>
    <w:rsid w:val="00E213EE"/>
    <w:rsid w:val="00E21435"/>
    <w:rsid w:val="00E22062"/>
    <w:rsid w:val="00E223AE"/>
    <w:rsid w:val="00E2245F"/>
    <w:rsid w:val="00E22B87"/>
    <w:rsid w:val="00E22DFA"/>
    <w:rsid w:val="00E2345F"/>
    <w:rsid w:val="00E234C9"/>
    <w:rsid w:val="00E25917"/>
    <w:rsid w:val="00E25DEB"/>
    <w:rsid w:val="00E260E3"/>
    <w:rsid w:val="00E263AC"/>
    <w:rsid w:val="00E26AF6"/>
    <w:rsid w:val="00E26CDB"/>
    <w:rsid w:val="00E27F20"/>
    <w:rsid w:val="00E304AF"/>
    <w:rsid w:val="00E309A0"/>
    <w:rsid w:val="00E3187B"/>
    <w:rsid w:val="00E32052"/>
    <w:rsid w:val="00E320CA"/>
    <w:rsid w:val="00E325E4"/>
    <w:rsid w:val="00E336F4"/>
    <w:rsid w:val="00E33CAC"/>
    <w:rsid w:val="00E3477D"/>
    <w:rsid w:val="00E34D24"/>
    <w:rsid w:val="00E3604F"/>
    <w:rsid w:val="00E36C6F"/>
    <w:rsid w:val="00E3718A"/>
    <w:rsid w:val="00E40176"/>
    <w:rsid w:val="00E40C02"/>
    <w:rsid w:val="00E414E6"/>
    <w:rsid w:val="00E4175E"/>
    <w:rsid w:val="00E43521"/>
    <w:rsid w:val="00E4367E"/>
    <w:rsid w:val="00E43D1E"/>
    <w:rsid w:val="00E43D89"/>
    <w:rsid w:val="00E448EB"/>
    <w:rsid w:val="00E45017"/>
    <w:rsid w:val="00E45496"/>
    <w:rsid w:val="00E45935"/>
    <w:rsid w:val="00E477E4"/>
    <w:rsid w:val="00E47B4A"/>
    <w:rsid w:val="00E47EDF"/>
    <w:rsid w:val="00E47F01"/>
    <w:rsid w:val="00E51C9E"/>
    <w:rsid w:val="00E51D9D"/>
    <w:rsid w:val="00E52F86"/>
    <w:rsid w:val="00E53830"/>
    <w:rsid w:val="00E53987"/>
    <w:rsid w:val="00E541DD"/>
    <w:rsid w:val="00E5426C"/>
    <w:rsid w:val="00E55BB5"/>
    <w:rsid w:val="00E55EC7"/>
    <w:rsid w:val="00E56C9C"/>
    <w:rsid w:val="00E56D87"/>
    <w:rsid w:val="00E604FF"/>
    <w:rsid w:val="00E60628"/>
    <w:rsid w:val="00E60B92"/>
    <w:rsid w:val="00E60F44"/>
    <w:rsid w:val="00E61F74"/>
    <w:rsid w:val="00E62217"/>
    <w:rsid w:val="00E62CFA"/>
    <w:rsid w:val="00E62EB5"/>
    <w:rsid w:val="00E631F3"/>
    <w:rsid w:val="00E636A3"/>
    <w:rsid w:val="00E64558"/>
    <w:rsid w:val="00E64681"/>
    <w:rsid w:val="00E649E8"/>
    <w:rsid w:val="00E65165"/>
    <w:rsid w:val="00E6725E"/>
    <w:rsid w:val="00E673D5"/>
    <w:rsid w:val="00E677E4"/>
    <w:rsid w:val="00E70FCA"/>
    <w:rsid w:val="00E712C9"/>
    <w:rsid w:val="00E729E6"/>
    <w:rsid w:val="00E72E5E"/>
    <w:rsid w:val="00E732F4"/>
    <w:rsid w:val="00E73851"/>
    <w:rsid w:val="00E740CB"/>
    <w:rsid w:val="00E749ED"/>
    <w:rsid w:val="00E74C5A"/>
    <w:rsid w:val="00E75635"/>
    <w:rsid w:val="00E75B7F"/>
    <w:rsid w:val="00E76C75"/>
    <w:rsid w:val="00E80B36"/>
    <w:rsid w:val="00E80B88"/>
    <w:rsid w:val="00E80DB2"/>
    <w:rsid w:val="00E824CF"/>
    <w:rsid w:val="00E82827"/>
    <w:rsid w:val="00E82837"/>
    <w:rsid w:val="00E82A71"/>
    <w:rsid w:val="00E82C2E"/>
    <w:rsid w:val="00E83E20"/>
    <w:rsid w:val="00E84FE1"/>
    <w:rsid w:val="00E85719"/>
    <w:rsid w:val="00E858A9"/>
    <w:rsid w:val="00E86566"/>
    <w:rsid w:val="00E86AA9"/>
    <w:rsid w:val="00E86C3E"/>
    <w:rsid w:val="00E86CD0"/>
    <w:rsid w:val="00E873A0"/>
    <w:rsid w:val="00E87526"/>
    <w:rsid w:val="00E903F0"/>
    <w:rsid w:val="00E90545"/>
    <w:rsid w:val="00E90D94"/>
    <w:rsid w:val="00E90DD5"/>
    <w:rsid w:val="00E90E68"/>
    <w:rsid w:val="00E90F45"/>
    <w:rsid w:val="00E91D13"/>
    <w:rsid w:val="00E91D96"/>
    <w:rsid w:val="00E92858"/>
    <w:rsid w:val="00E93B1B"/>
    <w:rsid w:val="00E945E1"/>
    <w:rsid w:val="00E94BDF"/>
    <w:rsid w:val="00E958AF"/>
    <w:rsid w:val="00E95ADA"/>
    <w:rsid w:val="00E964EC"/>
    <w:rsid w:val="00E97563"/>
    <w:rsid w:val="00E978D6"/>
    <w:rsid w:val="00EA1477"/>
    <w:rsid w:val="00EA151F"/>
    <w:rsid w:val="00EA2758"/>
    <w:rsid w:val="00EA2A06"/>
    <w:rsid w:val="00EA47A1"/>
    <w:rsid w:val="00EA4A21"/>
    <w:rsid w:val="00EA4DAD"/>
    <w:rsid w:val="00EA5946"/>
    <w:rsid w:val="00EA5BE4"/>
    <w:rsid w:val="00EA69C1"/>
    <w:rsid w:val="00EA6BEA"/>
    <w:rsid w:val="00EA74D0"/>
    <w:rsid w:val="00EA75FB"/>
    <w:rsid w:val="00EA79CD"/>
    <w:rsid w:val="00EB0F4E"/>
    <w:rsid w:val="00EB10EB"/>
    <w:rsid w:val="00EB1765"/>
    <w:rsid w:val="00EB184A"/>
    <w:rsid w:val="00EB1E12"/>
    <w:rsid w:val="00EB3DA9"/>
    <w:rsid w:val="00EB50A0"/>
    <w:rsid w:val="00EB5521"/>
    <w:rsid w:val="00EB6506"/>
    <w:rsid w:val="00EB681D"/>
    <w:rsid w:val="00EB6FDB"/>
    <w:rsid w:val="00EB72F3"/>
    <w:rsid w:val="00EB73C1"/>
    <w:rsid w:val="00EB7C9D"/>
    <w:rsid w:val="00EC0D47"/>
    <w:rsid w:val="00EC1429"/>
    <w:rsid w:val="00EC1D10"/>
    <w:rsid w:val="00EC28DB"/>
    <w:rsid w:val="00EC34B2"/>
    <w:rsid w:val="00EC36A7"/>
    <w:rsid w:val="00EC3D26"/>
    <w:rsid w:val="00EC4AE3"/>
    <w:rsid w:val="00EC4C0F"/>
    <w:rsid w:val="00EC5EAB"/>
    <w:rsid w:val="00EC632A"/>
    <w:rsid w:val="00EC6A58"/>
    <w:rsid w:val="00EC754A"/>
    <w:rsid w:val="00ED0241"/>
    <w:rsid w:val="00ED066D"/>
    <w:rsid w:val="00ED17E0"/>
    <w:rsid w:val="00ED1FC4"/>
    <w:rsid w:val="00ED2589"/>
    <w:rsid w:val="00ED2F5F"/>
    <w:rsid w:val="00ED3A59"/>
    <w:rsid w:val="00ED4155"/>
    <w:rsid w:val="00ED5BB5"/>
    <w:rsid w:val="00ED633F"/>
    <w:rsid w:val="00ED655C"/>
    <w:rsid w:val="00ED6684"/>
    <w:rsid w:val="00ED71B2"/>
    <w:rsid w:val="00EE05C9"/>
    <w:rsid w:val="00EE0D61"/>
    <w:rsid w:val="00EE0FA1"/>
    <w:rsid w:val="00EE15CC"/>
    <w:rsid w:val="00EE1CE7"/>
    <w:rsid w:val="00EE24E5"/>
    <w:rsid w:val="00EE2B26"/>
    <w:rsid w:val="00EE352A"/>
    <w:rsid w:val="00EE3871"/>
    <w:rsid w:val="00EE3B37"/>
    <w:rsid w:val="00EE3CC1"/>
    <w:rsid w:val="00EE4BC7"/>
    <w:rsid w:val="00EE507A"/>
    <w:rsid w:val="00EE51A0"/>
    <w:rsid w:val="00EE52C8"/>
    <w:rsid w:val="00EE5D8B"/>
    <w:rsid w:val="00EE60E0"/>
    <w:rsid w:val="00EE6725"/>
    <w:rsid w:val="00EE688B"/>
    <w:rsid w:val="00EF0A37"/>
    <w:rsid w:val="00EF1237"/>
    <w:rsid w:val="00EF172A"/>
    <w:rsid w:val="00EF235A"/>
    <w:rsid w:val="00EF2501"/>
    <w:rsid w:val="00EF2AE8"/>
    <w:rsid w:val="00EF2C7F"/>
    <w:rsid w:val="00EF2E29"/>
    <w:rsid w:val="00EF3BB2"/>
    <w:rsid w:val="00EF5541"/>
    <w:rsid w:val="00EF5A0A"/>
    <w:rsid w:val="00EF5A1C"/>
    <w:rsid w:val="00EF5AA5"/>
    <w:rsid w:val="00EF5EFB"/>
    <w:rsid w:val="00EF65C6"/>
    <w:rsid w:val="00EF6AA7"/>
    <w:rsid w:val="00EF6B9B"/>
    <w:rsid w:val="00EF6F94"/>
    <w:rsid w:val="00EF71C5"/>
    <w:rsid w:val="00EF75B8"/>
    <w:rsid w:val="00F00124"/>
    <w:rsid w:val="00F022F6"/>
    <w:rsid w:val="00F02763"/>
    <w:rsid w:val="00F0289A"/>
    <w:rsid w:val="00F029A2"/>
    <w:rsid w:val="00F02AF2"/>
    <w:rsid w:val="00F032AE"/>
    <w:rsid w:val="00F034D5"/>
    <w:rsid w:val="00F04128"/>
    <w:rsid w:val="00F04C89"/>
    <w:rsid w:val="00F066D1"/>
    <w:rsid w:val="00F06A14"/>
    <w:rsid w:val="00F0717F"/>
    <w:rsid w:val="00F07379"/>
    <w:rsid w:val="00F07868"/>
    <w:rsid w:val="00F1003C"/>
    <w:rsid w:val="00F10834"/>
    <w:rsid w:val="00F11B38"/>
    <w:rsid w:val="00F11BEF"/>
    <w:rsid w:val="00F12DC9"/>
    <w:rsid w:val="00F13093"/>
    <w:rsid w:val="00F131B8"/>
    <w:rsid w:val="00F13315"/>
    <w:rsid w:val="00F133DF"/>
    <w:rsid w:val="00F13B21"/>
    <w:rsid w:val="00F14256"/>
    <w:rsid w:val="00F147E2"/>
    <w:rsid w:val="00F1563B"/>
    <w:rsid w:val="00F15A6F"/>
    <w:rsid w:val="00F15C0F"/>
    <w:rsid w:val="00F15C11"/>
    <w:rsid w:val="00F169D4"/>
    <w:rsid w:val="00F1732F"/>
    <w:rsid w:val="00F177F1"/>
    <w:rsid w:val="00F21358"/>
    <w:rsid w:val="00F2158B"/>
    <w:rsid w:val="00F21E82"/>
    <w:rsid w:val="00F2233E"/>
    <w:rsid w:val="00F224A0"/>
    <w:rsid w:val="00F22D5B"/>
    <w:rsid w:val="00F22F25"/>
    <w:rsid w:val="00F23278"/>
    <w:rsid w:val="00F240E5"/>
    <w:rsid w:val="00F2544C"/>
    <w:rsid w:val="00F256FD"/>
    <w:rsid w:val="00F25F60"/>
    <w:rsid w:val="00F262C9"/>
    <w:rsid w:val="00F262D3"/>
    <w:rsid w:val="00F26AFF"/>
    <w:rsid w:val="00F26DD0"/>
    <w:rsid w:val="00F27C36"/>
    <w:rsid w:val="00F30277"/>
    <w:rsid w:val="00F30536"/>
    <w:rsid w:val="00F30633"/>
    <w:rsid w:val="00F30D76"/>
    <w:rsid w:val="00F318A0"/>
    <w:rsid w:val="00F32302"/>
    <w:rsid w:val="00F32796"/>
    <w:rsid w:val="00F330B4"/>
    <w:rsid w:val="00F3429F"/>
    <w:rsid w:val="00F3525C"/>
    <w:rsid w:val="00F36D7A"/>
    <w:rsid w:val="00F3BDD7"/>
    <w:rsid w:val="00F40508"/>
    <w:rsid w:val="00F4179B"/>
    <w:rsid w:val="00F41F3A"/>
    <w:rsid w:val="00F41F44"/>
    <w:rsid w:val="00F4283A"/>
    <w:rsid w:val="00F4376A"/>
    <w:rsid w:val="00F43B7E"/>
    <w:rsid w:val="00F43E4C"/>
    <w:rsid w:val="00F446AD"/>
    <w:rsid w:val="00F446BC"/>
    <w:rsid w:val="00F44C53"/>
    <w:rsid w:val="00F45073"/>
    <w:rsid w:val="00F45F95"/>
    <w:rsid w:val="00F4612D"/>
    <w:rsid w:val="00F461D2"/>
    <w:rsid w:val="00F46410"/>
    <w:rsid w:val="00F47264"/>
    <w:rsid w:val="00F50399"/>
    <w:rsid w:val="00F5105D"/>
    <w:rsid w:val="00F52017"/>
    <w:rsid w:val="00F53B1B"/>
    <w:rsid w:val="00F53DE6"/>
    <w:rsid w:val="00F5411D"/>
    <w:rsid w:val="00F54549"/>
    <w:rsid w:val="00F5495C"/>
    <w:rsid w:val="00F54B88"/>
    <w:rsid w:val="00F54C12"/>
    <w:rsid w:val="00F56340"/>
    <w:rsid w:val="00F57430"/>
    <w:rsid w:val="00F57A82"/>
    <w:rsid w:val="00F60A53"/>
    <w:rsid w:val="00F61D42"/>
    <w:rsid w:val="00F6444F"/>
    <w:rsid w:val="00F64BC7"/>
    <w:rsid w:val="00F64E50"/>
    <w:rsid w:val="00F66824"/>
    <w:rsid w:val="00F66988"/>
    <w:rsid w:val="00F66A3C"/>
    <w:rsid w:val="00F66A9B"/>
    <w:rsid w:val="00F66ABD"/>
    <w:rsid w:val="00F67429"/>
    <w:rsid w:val="00F6795F"/>
    <w:rsid w:val="00F704F0"/>
    <w:rsid w:val="00F70AC6"/>
    <w:rsid w:val="00F71F9A"/>
    <w:rsid w:val="00F722EF"/>
    <w:rsid w:val="00F72F40"/>
    <w:rsid w:val="00F73C84"/>
    <w:rsid w:val="00F73D1F"/>
    <w:rsid w:val="00F73F20"/>
    <w:rsid w:val="00F7683C"/>
    <w:rsid w:val="00F76A1E"/>
    <w:rsid w:val="00F76EC1"/>
    <w:rsid w:val="00F775A9"/>
    <w:rsid w:val="00F77B45"/>
    <w:rsid w:val="00F77E5E"/>
    <w:rsid w:val="00F8002E"/>
    <w:rsid w:val="00F8025A"/>
    <w:rsid w:val="00F80426"/>
    <w:rsid w:val="00F81DC8"/>
    <w:rsid w:val="00F81F61"/>
    <w:rsid w:val="00F822C3"/>
    <w:rsid w:val="00F823C6"/>
    <w:rsid w:val="00F832DC"/>
    <w:rsid w:val="00F839C4"/>
    <w:rsid w:val="00F844C8"/>
    <w:rsid w:val="00F84B91"/>
    <w:rsid w:val="00F85EB2"/>
    <w:rsid w:val="00F865AC"/>
    <w:rsid w:val="00F8696E"/>
    <w:rsid w:val="00F86E0E"/>
    <w:rsid w:val="00F87625"/>
    <w:rsid w:val="00F90382"/>
    <w:rsid w:val="00F908F9"/>
    <w:rsid w:val="00F90D9D"/>
    <w:rsid w:val="00F91081"/>
    <w:rsid w:val="00F9176B"/>
    <w:rsid w:val="00F91896"/>
    <w:rsid w:val="00F91E8C"/>
    <w:rsid w:val="00F91F0F"/>
    <w:rsid w:val="00F92466"/>
    <w:rsid w:val="00F9267C"/>
    <w:rsid w:val="00F92904"/>
    <w:rsid w:val="00F92BB7"/>
    <w:rsid w:val="00F94983"/>
    <w:rsid w:val="00F955CC"/>
    <w:rsid w:val="00F960AA"/>
    <w:rsid w:val="00F9647D"/>
    <w:rsid w:val="00F964C8"/>
    <w:rsid w:val="00F96C13"/>
    <w:rsid w:val="00F96F92"/>
    <w:rsid w:val="00F97469"/>
    <w:rsid w:val="00F977C8"/>
    <w:rsid w:val="00F97B34"/>
    <w:rsid w:val="00F97FC7"/>
    <w:rsid w:val="00FA0296"/>
    <w:rsid w:val="00FA0717"/>
    <w:rsid w:val="00FA088E"/>
    <w:rsid w:val="00FA24E1"/>
    <w:rsid w:val="00FA2B3F"/>
    <w:rsid w:val="00FA529D"/>
    <w:rsid w:val="00FA5DB6"/>
    <w:rsid w:val="00FA6FD8"/>
    <w:rsid w:val="00FA7924"/>
    <w:rsid w:val="00FA7E05"/>
    <w:rsid w:val="00FB05F4"/>
    <w:rsid w:val="00FB089C"/>
    <w:rsid w:val="00FB1CA7"/>
    <w:rsid w:val="00FB23BD"/>
    <w:rsid w:val="00FB26CD"/>
    <w:rsid w:val="00FB2AD6"/>
    <w:rsid w:val="00FB2B81"/>
    <w:rsid w:val="00FB364A"/>
    <w:rsid w:val="00FB46BB"/>
    <w:rsid w:val="00FB6007"/>
    <w:rsid w:val="00FB615E"/>
    <w:rsid w:val="00FB685D"/>
    <w:rsid w:val="00FB76E9"/>
    <w:rsid w:val="00FC0593"/>
    <w:rsid w:val="00FC0D45"/>
    <w:rsid w:val="00FC211C"/>
    <w:rsid w:val="00FC2ABA"/>
    <w:rsid w:val="00FC4A90"/>
    <w:rsid w:val="00FC5D3F"/>
    <w:rsid w:val="00FC694D"/>
    <w:rsid w:val="00FC7224"/>
    <w:rsid w:val="00FC7B47"/>
    <w:rsid w:val="00FC7EE4"/>
    <w:rsid w:val="00FD01AC"/>
    <w:rsid w:val="00FD1089"/>
    <w:rsid w:val="00FD1105"/>
    <w:rsid w:val="00FD18F9"/>
    <w:rsid w:val="00FD195C"/>
    <w:rsid w:val="00FD1A06"/>
    <w:rsid w:val="00FD1F3D"/>
    <w:rsid w:val="00FD36A8"/>
    <w:rsid w:val="00FD3A02"/>
    <w:rsid w:val="00FD3B0F"/>
    <w:rsid w:val="00FD3E01"/>
    <w:rsid w:val="00FD5968"/>
    <w:rsid w:val="00FD596E"/>
    <w:rsid w:val="00FD5A91"/>
    <w:rsid w:val="00FD5AEE"/>
    <w:rsid w:val="00FD5E32"/>
    <w:rsid w:val="00FD6061"/>
    <w:rsid w:val="00FD618E"/>
    <w:rsid w:val="00FD6A3F"/>
    <w:rsid w:val="00FD76C5"/>
    <w:rsid w:val="00FD7AAE"/>
    <w:rsid w:val="00FE034E"/>
    <w:rsid w:val="00FE0920"/>
    <w:rsid w:val="00FE0EE1"/>
    <w:rsid w:val="00FE18B9"/>
    <w:rsid w:val="00FE2EBD"/>
    <w:rsid w:val="00FE3277"/>
    <w:rsid w:val="00FE3299"/>
    <w:rsid w:val="00FE3D63"/>
    <w:rsid w:val="00FE4132"/>
    <w:rsid w:val="00FE43B0"/>
    <w:rsid w:val="00FE4F1B"/>
    <w:rsid w:val="00FE6134"/>
    <w:rsid w:val="00FE759D"/>
    <w:rsid w:val="00FE7F60"/>
    <w:rsid w:val="00FF0427"/>
    <w:rsid w:val="00FF1569"/>
    <w:rsid w:val="00FF16CD"/>
    <w:rsid w:val="00FF1900"/>
    <w:rsid w:val="00FF1AAC"/>
    <w:rsid w:val="00FF1E4A"/>
    <w:rsid w:val="00FF1EE0"/>
    <w:rsid w:val="00FF2E5C"/>
    <w:rsid w:val="00FF2F58"/>
    <w:rsid w:val="00FF3B58"/>
    <w:rsid w:val="00FF406E"/>
    <w:rsid w:val="00FF432D"/>
    <w:rsid w:val="00FF4C1E"/>
    <w:rsid w:val="00FF4D73"/>
    <w:rsid w:val="00FF4E1E"/>
    <w:rsid w:val="00FF5471"/>
    <w:rsid w:val="00FF5654"/>
    <w:rsid w:val="00FF5A1D"/>
    <w:rsid w:val="00FF619F"/>
    <w:rsid w:val="00FF6B61"/>
    <w:rsid w:val="00FF706F"/>
    <w:rsid w:val="00FF7424"/>
    <w:rsid w:val="00FF776B"/>
    <w:rsid w:val="0100215B"/>
    <w:rsid w:val="01008968"/>
    <w:rsid w:val="011DDC44"/>
    <w:rsid w:val="01736FAF"/>
    <w:rsid w:val="017793D0"/>
    <w:rsid w:val="01788B05"/>
    <w:rsid w:val="01792487"/>
    <w:rsid w:val="0182E284"/>
    <w:rsid w:val="0186BFD2"/>
    <w:rsid w:val="01A15F20"/>
    <w:rsid w:val="01D890E2"/>
    <w:rsid w:val="01DBEAE1"/>
    <w:rsid w:val="01EB5D72"/>
    <w:rsid w:val="01EDC7C8"/>
    <w:rsid w:val="02098E44"/>
    <w:rsid w:val="0225E55E"/>
    <w:rsid w:val="022F0ECF"/>
    <w:rsid w:val="029B9016"/>
    <w:rsid w:val="029FC03C"/>
    <w:rsid w:val="02B1E5A3"/>
    <w:rsid w:val="02C9A899"/>
    <w:rsid w:val="02DF5514"/>
    <w:rsid w:val="031DEED9"/>
    <w:rsid w:val="033F128F"/>
    <w:rsid w:val="034EE344"/>
    <w:rsid w:val="034F153D"/>
    <w:rsid w:val="0376B79C"/>
    <w:rsid w:val="03B8548C"/>
    <w:rsid w:val="03CE1886"/>
    <w:rsid w:val="03DD1789"/>
    <w:rsid w:val="03EAFD45"/>
    <w:rsid w:val="0414E4FB"/>
    <w:rsid w:val="0427A4E5"/>
    <w:rsid w:val="042CCD0E"/>
    <w:rsid w:val="046987A5"/>
    <w:rsid w:val="048BE4FA"/>
    <w:rsid w:val="04B18A7C"/>
    <w:rsid w:val="04C11883"/>
    <w:rsid w:val="04C35038"/>
    <w:rsid w:val="04CAB968"/>
    <w:rsid w:val="04D843DD"/>
    <w:rsid w:val="04DCF514"/>
    <w:rsid w:val="04EEF13A"/>
    <w:rsid w:val="051287FD"/>
    <w:rsid w:val="05616D70"/>
    <w:rsid w:val="056DFA75"/>
    <w:rsid w:val="057E8B72"/>
    <w:rsid w:val="05992E52"/>
    <w:rsid w:val="059DDE28"/>
    <w:rsid w:val="05A2E676"/>
    <w:rsid w:val="05CB69EC"/>
    <w:rsid w:val="05E88365"/>
    <w:rsid w:val="061B24DD"/>
    <w:rsid w:val="06244478"/>
    <w:rsid w:val="0626AFC8"/>
    <w:rsid w:val="068C5A55"/>
    <w:rsid w:val="06A77F70"/>
    <w:rsid w:val="06B1FB94"/>
    <w:rsid w:val="06C97C95"/>
    <w:rsid w:val="06D458D2"/>
    <w:rsid w:val="06E21BFD"/>
    <w:rsid w:val="06E444A9"/>
    <w:rsid w:val="06F7363D"/>
    <w:rsid w:val="07028E13"/>
    <w:rsid w:val="071AF4F2"/>
    <w:rsid w:val="07245FCE"/>
    <w:rsid w:val="073A470F"/>
    <w:rsid w:val="07409D6C"/>
    <w:rsid w:val="0770B292"/>
    <w:rsid w:val="077664F2"/>
    <w:rsid w:val="0782DBDF"/>
    <w:rsid w:val="0783C05E"/>
    <w:rsid w:val="078453C6"/>
    <w:rsid w:val="07C300BB"/>
    <w:rsid w:val="07C7B5F3"/>
    <w:rsid w:val="07D83BD5"/>
    <w:rsid w:val="07E36D87"/>
    <w:rsid w:val="07E74416"/>
    <w:rsid w:val="07F1E58E"/>
    <w:rsid w:val="080B11E5"/>
    <w:rsid w:val="08188460"/>
    <w:rsid w:val="085DBAED"/>
    <w:rsid w:val="08652B49"/>
    <w:rsid w:val="0869B197"/>
    <w:rsid w:val="087BF907"/>
    <w:rsid w:val="087E82DB"/>
    <w:rsid w:val="088F47BE"/>
    <w:rsid w:val="089D8F39"/>
    <w:rsid w:val="089EB8F3"/>
    <w:rsid w:val="08AE8E85"/>
    <w:rsid w:val="08AEA886"/>
    <w:rsid w:val="08CED8B3"/>
    <w:rsid w:val="08D83855"/>
    <w:rsid w:val="08FC9138"/>
    <w:rsid w:val="08FF92FD"/>
    <w:rsid w:val="0943CE98"/>
    <w:rsid w:val="096240F2"/>
    <w:rsid w:val="0963DD9E"/>
    <w:rsid w:val="0996AF3E"/>
    <w:rsid w:val="099AF4EC"/>
    <w:rsid w:val="099F59B7"/>
    <w:rsid w:val="09D953FD"/>
    <w:rsid w:val="0A1891D2"/>
    <w:rsid w:val="0A3AC614"/>
    <w:rsid w:val="0A5885CE"/>
    <w:rsid w:val="0A5EBD97"/>
    <w:rsid w:val="0A8ABA54"/>
    <w:rsid w:val="0AC1F94A"/>
    <w:rsid w:val="0AC897E8"/>
    <w:rsid w:val="0AE85BEC"/>
    <w:rsid w:val="0AF11C9D"/>
    <w:rsid w:val="0AF49E43"/>
    <w:rsid w:val="0AFE11DD"/>
    <w:rsid w:val="0B0714C1"/>
    <w:rsid w:val="0B1EE4D8"/>
    <w:rsid w:val="0B2B1AA8"/>
    <w:rsid w:val="0B61B70E"/>
    <w:rsid w:val="0B709DE5"/>
    <w:rsid w:val="0B94C79F"/>
    <w:rsid w:val="0BAB260F"/>
    <w:rsid w:val="0BDD8FBA"/>
    <w:rsid w:val="0BE2BF19"/>
    <w:rsid w:val="0BE70A7C"/>
    <w:rsid w:val="0C0512F0"/>
    <w:rsid w:val="0C30FADB"/>
    <w:rsid w:val="0C46B141"/>
    <w:rsid w:val="0C4CA8A5"/>
    <w:rsid w:val="0C70741C"/>
    <w:rsid w:val="0C78C9AB"/>
    <w:rsid w:val="0C8A755F"/>
    <w:rsid w:val="0C9910E5"/>
    <w:rsid w:val="0CA43D48"/>
    <w:rsid w:val="0CD0B69C"/>
    <w:rsid w:val="0CD7D2A0"/>
    <w:rsid w:val="0CE813B0"/>
    <w:rsid w:val="0CFBEC9A"/>
    <w:rsid w:val="0D0CE30E"/>
    <w:rsid w:val="0D35E0AE"/>
    <w:rsid w:val="0D73600C"/>
    <w:rsid w:val="0DD6629D"/>
    <w:rsid w:val="0DE356D6"/>
    <w:rsid w:val="0DE3E6AA"/>
    <w:rsid w:val="0DEDCD0F"/>
    <w:rsid w:val="0DF36621"/>
    <w:rsid w:val="0E3042A2"/>
    <w:rsid w:val="0E4475FC"/>
    <w:rsid w:val="0E5085A9"/>
    <w:rsid w:val="0E66C7A3"/>
    <w:rsid w:val="0E753991"/>
    <w:rsid w:val="0E813BEA"/>
    <w:rsid w:val="0E9A0E0E"/>
    <w:rsid w:val="0EB7D829"/>
    <w:rsid w:val="0EB80450"/>
    <w:rsid w:val="0EBDBF4C"/>
    <w:rsid w:val="0EE78433"/>
    <w:rsid w:val="0EE7F410"/>
    <w:rsid w:val="0EEE3A21"/>
    <w:rsid w:val="0F2B2F34"/>
    <w:rsid w:val="0F63313B"/>
    <w:rsid w:val="0F7A4546"/>
    <w:rsid w:val="0F8BED52"/>
    <w:rsid w:val="0FA5ABDE"/>
    <w:rsid w:val="0FC17EA9"/>
    <w:rsid w:val="0FD97816"/>
    <w:rsid w:val="0FE9A278"/>
    <w:rsid w:val="0FEE1367"/>
    <w:rsid w:val="102CCFAE"/>
    <w:rsid w:val="1032185F"/>
    <w:rsid w:val="103D886C"/>
    <w:rsid w:val="1049E778"/>
    <w:rsid w:val="10581842"/>
    <w:rsid w:val="1078A27D"/>
    <w:rsid w:val="10826EDC"/>
    <w:rsid w:val="10998C73"/>
    <w:rsid w:val="109CA338"/>
    <w:rsid w:val="10A71DD3"/>
    <w:rsid w:val="10A8EED3"/>
    <w:rsid w:val="10B1EC3E"/>
    <w:rsid w:val="10D7107B"/>
    <w:rsid w:val="10E06336"/>
    <w:rsid w:val="10ED0CAB"/>
    <w:rsid w:val="1102C082"/>
    <w:rsid w:val="1174FDFF"/>
    <w:rsid w:val="117A7981"/>
    <w:rsid w:val="11842BF5"/>
    <w:rsid w:val="1195CBDC"/>
    <w:rsid w:val="11C1C25B"/>
    <w:rsid w:val="1207C874"/>
    <w:rsid w:val="120D6CE0"/>
    <w:rsid w:val="124C28B5"/>
    <w:rsid w:val="12503502"/>
    <w:rsid w:val="126A8EE1"/>
    <w:rsid w:val="128DBC91"/>
    <w:rsid w:val="129A3602"/>
    <w:rsid w:val="12D6B643"/>
    <w:rsid w:val="12E1E027"/>
    <w:rsid w:val="12FF3EEF"/>
    <w:rsid w:val="13056B21"/>
    <w:rsid w:val="13101B33"/>
    <w:rsid w:val="1329F6BD"/>
    <w:rsid w:val="13BAC09E"/>
    <w:rsid w:val="13C5FBDA"/>
    <w:rsid w:val="13E54A5A"/>
    <w:rsid w:val="13EE44DC"/>
    <w:rsid w:val="13EE7450"/>
    <w:rsid w:val="14424998"/>
    <w:rsid w:val="14448D03"/>
    <w:rsid w:val="147C7250"/>
    <w:rsid w:val="147CC93D"/>
    <w:rsid w:val="14801E88"/>
    <w:rsid w:val="14ACA020"/>
    <w:rsid w:val="14AE4CE7"/>
    <w:rsid w:val="14BDB1EA"/>
    <w:rsid w:val="14C51577"/>
    <w:rsid w:val="14CE00F8"/>
    <w:rsid w:val="14E0CEBE"/>
    <w:rsid w:val="151C7837"/>
    <w:rsid w:val="1529F20A"/>
    <w:rsid w:val="153B02AC"/>
    <w:rsid w:val="1557968B"/>
    <w:rsid w:val="156B28B3"/>
    <w:rsid w:val="156F006B"/>
    <w:rsid w:val="15744E65"/>
    <w:rsid w:val="158BC1D6"/>
    <w:rsid w:val="15BA51F2"/>
    <w:rsid w:val="15FAE08D"/>
    <w:rsid w:val="162011F0"/>
    <w:rsid w:val="1638CF69"/>
    <w:rsid w:val="164FF987"/>
    <w:rsid w:val="166D701C"/>
    <w:rsid w:val="16756F05"/>
    <w:rsid w:val="167FF167"/>
    <w:rsid w:val="168EE56E"/>
    <w:rsid w:val="16C07B05"/>
    <w:rsid w:val="16CE03D1"/>
    <w:rsid w:val="16FE84D2"/>
    <w:rsid w:val="17066FE6"/>
    <w:rsid w:val="17119273"/>
    <w:rsid w:val="1719A6F3"/>
    <w:rsid w:val="171C6699"/>
    <w:rsid w:val="172811FC"/>
    <w:rsid w:val="17375B62"/>
    <w:rsid w:val="175106A3"/>
    <w:rsid w:val="1764C8FA"/>
    <w:rsid w:val="177BAC78"/>
    <w:rsid w:val="177E1F88"/>
    <w:rsid w:val="178D6766"/>
    <w:rsid w:val="179DF776"/>
    <w:rsid w:val="179F2BDD"/>
    <w:rsid w:val="17A8CF34"/>
    <w:rsid w:val="17B14977"/>
    <w:rsid w:val="1810D863"/>
    <w:rsid w:val="1825BF79"/>
    <w:rsid w:val="1862086A"/>
    <w:rsid w:val="186218E8"/>
    <w:rsid w:val="186C3CAA"/>
    <w:rsid w:val="1882A58E"/>
    <w:rsid w:val="188F50F2"/>
    <w:rsid w:val="18950818"/>
    <w:rsid w:val="18DA5C4A"/>
    <w:rsid w:val="18DA8B44"/>
    <w:rsid w:val="19077AAD"/>
    <w:rsid w:val="1909E312"/>
    <w:rsid w:val="19134257"/>
    <w:rsid w:val="1933AB2E"/>
    <w:rsid w:val="193AE71F"/>
    <w:rsid w:val="1948D079"/>
    <w:rsid w:val="194B0AD4"/>
    <w:rsid w:val="197744EC"/>
    <w:rsid w:val="198C41FB"/>
    <w:rsid w:val="19935FCB"/>
    <w:rsid w:val="1993E8D6"/>
    <w:rsid w:val="19954F4C"/>
    <w:rsid w:val="19A8F42A"/>
    <w:rsid w:val="19A909EA"/>
    <w:rsid w:val="19AA2090"/>
    <w:rsid w:val="19C309F8"/>
    <w:rsid w:val="19C3CE2D"/>
    <w:rsid w:val="19C84B33"/>
    <w:rsid w:val="19EAC6E9"/>
    <w:rsid w:val="1A1C1501"/>
    <w:rsid w:val="1A1DB6DF"/>
    <w:rsid w:val="1A27EECD"/>
    <w:rsid w:val="1A2E8169"/>
    <w:rsid w:val="1A3DC1FA"/>
    <w:rsid w:val="1A3F3380"/>
    <w:rsid w:val="1A55A7B4"/>
    <w:rsid w:val="1A8B6F24"/>
    <w:rsid w:val="1A97C086"/>
    <w:rsid w:val="1AA52F60"/>
    <w:rsid w:val="1AA5F375"/>
    <w:rsid w:val="1AB1C84E"/>
    <w:rsid w:val="1AC9FB7F"/>
    <w:rsid w:val="1AD82DA5"/>
    <w:rsid w:val="1AEDCA81"/>
    <w:rsid w:val="1AF31943"/>
    <w:rsid w:val="1B03C0E0"/>
    <w:rsid w:val="1B06AA4D"/>
    <w:rsid w:val="1B27642A"/>
    <w:rsid w:val="1B805005"/>
    <w:rsid w:val="1B98ED37"/>
    <w:rsid w:val="1BACB2E8"/>
    <w:rsid w:val="1BE21244"/>
    <w:rsid w:val="1BF5EBE5"/>
    <w:rsid w:val="1C01C5B1"/>
    <w:rsid w:val="1C049787"/>
    <w:rsid w:val="1C2943EF"/>
    <w:rsid w:val="1C3578E9"/>
    <w:rsid w:val="1C43FB92"/>
    <w:rsid w:val="1C61B938"/>
    <w:rsid w:val="1CC7BB00"/>
    <w:rsid w:val="1CD9BDC5"/>
    <w:rsid w:val="1D05E2EF"/>
    <w:rsid w:val="1D11783C"/>
    <w:rsid w:val="1D2FC854"/>
    <w:rsid w:val="1D35B90D"/>
    <w:rsid w:val="1D44F572"/>
    <w:rsid w:val="1D4D2D5C"/>
    <w:rsid w:val="1D6ADFB2"/>
    <w:rsid w:val="1D966A98"/>
    <w:rsid w:val="1D9B6F39"/>
    <w:rsid w:val="1DA562BC"/>
    <w:rsid w:val="1DA945BA"/>
    <w:rsid w:val="1DAF7A8B"/>
    <w:rsid w:val="1DC2786E"/>
    <w:rsid w:val="1DCA64AE"/>
    <w:rsid w:val="1DEC64ED"/>
    <w:rsid w:val="1E1C419C"/>
    <w:rsid w:val="1E265CED"/>
    <w:rsid w:val="1E3564C8"/>
    <w:rsid w:val="1E4443A0"/>
    <w:rsid w:val="1E4FF532"/>
    <w:rsid w:val="1E59BC33"/>
    <w:rsid w:val="1E5F9F85"/>
    <w:rsid w:val="1E736F81"/>
    <w:rsid w:val="1EAF2FC1"/>
    <w:rsid w:val="1ECE3530"/>
    <w:rsid w:val="1EDEDA05"/>
    <w:rsid w:val="1F01F613"/>
    <w:rsid w:val="1F1B85DE"/>
    <w:rsid w:val="1F362491"/>
    <w:rsid w:val="1F3A9318"/>
    <w:rsid w:val="1F6A75F8"/>
    <w:rsid w:val="1F76373D"/>
    <w:rsid w:val="1F8B02BB"/>
    <w:rsid w:val="1FAA28A3"/>
    <w:rsid w:val="1FAFA36C"/>
    <w:rsid w:val="1FDB0D15"/>
    <w:rsid w:val="1FFDE961"/>
    <w:rsid w:val="200E5C04"/>
    <w:rsid w:val="200EB2EA"/>
    <w:rsid w:val="2014DFE5"/>
    <w:rsid w:val="2026C391"/>
    <w:rsid w:val="202A0552"/>
    <w:rsid w:val="203707CD"/>
    <w:rsid w:val="20486A02"/>
    <w:rsid w:val="20D0BFFE"/>
    <w:rsid w:val="20DA9663"/>
    <w:rsid w:val="20EF8A07"/>
    <w:rsid w:val="20F2F291"/>
    <w:rsid w:val="218FBA81"/>
    <w:rsid w:val="219D5185"/>
    <w:rsid w:val="21D68279"/>
    <w:rsid w:val="21EF71C7"/>
    <w:rsid w:val="220DB688"/>
    <w:rsid w:val="2232FE19"/>
    <w:rsid w:val="223346E0"/>
    <w:rsid w:val="226884CB"/>
    <w:rsid w:val="22978BA4"/>
    <w:rsid w:val="22B54ACE"/>
    <w:rsid w:val="22C4824F"/>
    <w:rsid w:val="22D726DF"/>
    <w:rsid w:val="22F321D8"/>
    <w:rsid w:val="22F3A501"/>
    <w:rsid w:val="22F56E0A"/>
    <w:rsid w:val="233F325E"/>
    <w:rsid w:val="234180C6"/>
    <w:rsid w:val="2358E672"/>
    <w:rsid w:val="2359E24B"/>
    <w:rsid w:val="23639300"/>
    <w:rsid w:val="2382A5A1"/>
    <w:rsid w:val="239D08F0"/>
    <w:rsid w:val="23BA44E3"/>
    <w:rsid w:val="23C61E75"/>
    <w:rsid w:val="23D73B1D"/>
    <w:rsid w:val="23D772A7"/>
    <w:rsid w:val="23F55FA2"/>
    <w:rsid w:val="240C7CE1"/>
    <w:rsid w:val="2415974C"/>
    <w:rsid w:val="2428437A"/>
    <w:rsid w:val="24291349"/>
    <w:rsid w:val="24578894"/>
    <w:rsid w:val="245794D3"/>
    <w:rsid w:val="247A39B0"/>
    <w:rsid w:val="247D3CA6"/>
    <w:rsid w:val="248CB63C"/>
    <w:rsid w:val="248D46C9"/>
    <w:rsid w:val="24993127"/>
    <w:rsid w:val="249CA7D9"/>
    <w:rsid w:val="24B751B2"/>
    <w:rsid w:val="24C78B6A"/>
    <w:rsid w:val="24EC7444"/>
    <w:rsid w:val="24FC8D0A"/>
    <w:rsid w:val="25003BB7"/>
    <w:rsid w:val="250CC94F"/>
    <w:rsid w:val="2523D162"/>
    <w:rsid w:val="252E00E8"/>
    <w:rsid w:val="25612C68"/>
    <w:rsid w:val="258A2D5C"/>
    <w:rsid w:val="259A2B87"/>
    <w:rsid w:val="25A48ED1"/>
    <w:rsid w:val="25B3B211"/>
    <w:rsid w:val="25B6857E"/>
    <w:rsid w:val="25C814D2"/>
    <w:rsid w:val="25C95658"/>
    <w:rsid w:val="25FB8695"/>
    <w:rsid w:val="25FCACAD"/>
    <w:rsid w:val="2657CB7D"/>
    <w:rsid w:val="2687A5A7"/>
    <w:rsid w:val="26912896"/>
    <w:rsid w:val="269157B6"/>
    <w:rsid w:val="26A3A5FC"/>
    <w:rsid w:val="26A4CE2A"/>
    <w:rsid w:val="26AF7370"/>
    <w:rsid w:val="26B14B09"/>
    <w:rsid w:val="26BA2282"/>
    <w:rsid w:val="26C4CE83"/>
    <w:rsid w:val="26D104CA"/>
    <w:rsid w:val="26E87529"/>
    <w:rsid w:val="26E98022"/>
    <w:rsid w:val="26FCF5E9"/>
    <w:rsid w:val="2700E0CC"/>
    <w:rsid w:val="270D239F"/>
    <w:rsid w:val="270EC402"/>
    <w:rsid w:val="2711C29E"/>
    <w:rsid w:val="272370C8"/>
    <w:rsid w:val="2733AA61"/>
    <w:rsid w:val="275A92D7"/>
    <w:rsid w:val="27A62C44"/>
    <w:rsid w:val="27A9640D"/>
    <w:rsid w:val="27CB1758"/>
    <w:rsid w:val="27D51F33"/>
    <w:rsid w:val="27D7D880"/>
    <w:rsid w:val="27E58782"/>
    <w:rsid w:val="2809E2DF"/>
    <w:rsid w:val="2811B6E2"/>
    <w:rsid w:val="2848979C"/>
    <w:rsid w:val="2852AC37"/>
    <w:rsid w:val="2866021B"/>
    <w:rsid w:val="286BD89A"/>
    <w:rsid w:val="288C981A"/>
    <w:rsid w:val="28B2B081"/>
    <w:rsid w:val="28B7BEEA"/>
    <w:rsid w:val="28C52EF5"/>
    <w:rsid w:val="28D0A179"/>
    <w:rsid w:val="28D301BD"/>
    <w:rsid w:val="28DABC47"/>
    <w:rsid w:val="28E7FC11"/>
    <w:rsid w:val="28EC3589"/>
    <w:rsid w:val="28EDE5FD"/>
    <w:rsid w:val="28FE516E"/>
    <w:rsid w:val="290973CC"/>
    <w:rsid w:val="2939366C"/>
    <w:rsid w:val="2957AF66"/>
    <w:rsid w:val="297DD33E"/>
    <w:rsid w:val="298D3A9B"/>
    <w:rsid w:val="29A6E7F0"/>
    <w:rsid w:val="29C38592"/>
    <w:rsid w:val="29C62B42"/>
    <w:rsid w:val="29F1C344"/>
    <w:rsid w:val="29FBD7CD"/>
    <w:rsid w:val="29FD188B"/>
    <w:rsid w:val="2A03D823"/>
    <w:rsid w:val="2A1EFDEF"/>
    <w:rsid w:val="2A2BA957"/>
    <w:rsid w:val="2A3FD8FF"/>
    <w:rsid w:val="2A89DC72"/>
    <w:rsid w:val="2AA1A215"/>
    <w:rsid w:val="2AAEB24B"/>
    <w:rsid w:val="2AB85D6B"/>
    <w:rsid w:val="2AD99B9D"/>
    <w:rsid w:val="2ADFC0AF"/>
    <w:rsid w:val="2AE3986C"/>
    <w:rsid w:val="2B154801"/>
    <w:rsid w:val="2B39B3A2"/>
    <w:rsid w:val="2B5041AF"/>
    <w:rsid w:val="2B55D123"/>
    <w:rsid w:val="2B6A12CA"/>
    <w:rsid w:val="2B74E69D"/>
    <w:rsid w:val="2B7FCBE8"/>
    <w:rsid w:val="2BA4735C"/>
    <w:rsid w:val="2BAF71B9"/>
    <w:rsid w:val="2BB9DD8C"/>
    <w:rsid w:val="2BCFCD87"/>
    <w:rsid w:val="2BF9292C"/>
    <w:rsid w:val="2BFC12F8"/>
    <w:rsid w:val="2C02446E"/>
    <w:rsid w:val="2C1FFAFF"/>
    <w:rsid w:val="2C27FE02"/>
    <w:rsid w:val="2C38C24A"/>
    <w:rsid w:val="2C392BD9"/>
    <w:rsid w:val="2C3F36E5"/>
    <w:rsid w:val="2C5DF6D4"/>
    <w:rsid w:val="2C71EF3F"/>
    <w:rsid w:val="2C74DD1A"/>
    <w:rsid w:val="2C852EBC"/>
    <w:rsid w:val="2C9DB2A3"/>
    <w:rsid w:val="2CA78FE3"/>
    <w:rsid w:val="2CAA6F60"/>
    <w:rsid w:val="2CB52079"/>
    <w:rsid w:val="2CCBF804"/>
    <w:rsid w:val="2CCD85CA"/>
    <w:rsid w:val="2CD0E45F"/>
    <w:rsid w:val="2CDE83D9"/>
    <w:rsid w:val="2CECAE15"/>
    <w:rsid w:val="2CEEC9A1"/>
    <w:rsid w:val="2CF628B8"/>
    <w:rsid w:val="2D3C6D19"/>
    <w:rsid w:val="2D6405E0"/>
    <w:rsid w:val="2D755A26"/>
    <w:rsid w:val="2DCA8C5C"/>
    <w:rsid w:val="2DD4FC3A"/>
    <w:rsid w:val="2DDD4B72"/>
    <w:rsid w:val="2DE84CC9"/>
    <w:rsid w:val="2E22793A"/>
    <w:rsid w:val="2E44CCBC"/>
    <w:rsid w:val="2E505D89"/>
    <w:rsid w:val="2E615B26"/>
    <w:rsid w:val="2E7709BA"/>
    <w:rsid w:val="2E8DF16E"/>
    <w:rsid w:val="2E90E43D"/>
    <w:rsid w:val="2ED430E5"/>
    <w:rsid w:val="2F2FFA0E"/>
    <w:rsid w:val="2F316AAD"/>
    <w:rsid w:val="2F5DB831"/>
    <w:rsid w:val="2F6B9C52"/>
    <w:rsid w:val="2F6F1771"/>
    <w:rsid w:val="2F88C70A"/>
    <w:rsid w:val="2F9FB3D3"/>
    <w:rsid w:val="2FB374F6"/>
    <w:rsid w:val="2FB9F9E3"/>
    <w:rsid w:val="2FD65523"/>
    <w:rsid w:val="2FE7304A"/>
    <w:rsid w:val="2FEAF1B1"/>
    <w:rsid w:val="2FF63B1B"/>
    <w:rsid w:val="30218255"/>
    <w:rsid w:val="302C7B56"/>
    <w:rsid w:val="3056F749"/>
    <w:rsid w:val="30AB267F"/>
    <w:rsid w:val="30ADD197"/>
    <w:rsid w:val="31020FD9"/>
    <w:rsid w:val="31513DAC"/>
    <w:rsid w:val="315AF565"/>
    <w:rsid w:val="31609321"/>
    <w:rsid w:val="317EF7BF"/>
    <w:rsid w:val="318AC3A9"/>
    <w:rsid w:val="31C6CA71"/>
    <w:rsid w:val="31C74F98"/>
    <w:rsid w:val="31CAB322"/>
    <w:rsid w:val="31FDD499"/>
    <w:rsid w:val="32124834"/>
    <w:rsid w:val="3229092E"/>
    <w:rsid w:val="323A05BC"/>
    <w:rsid w:val="3249BE64"/>
    <w:rsid w:val="325153A1"/>
    <w:rsid w:val="327D453B"/>
    <w:rsid w:val="32856BD3"/>
    <w:rsid w:val="32948246"/>
    <w:rsid w:val="32981BF8"/>
    <w:rsid w:val="329A1C08"/>
    <w:rsid w:val="32D18087"/>
    <w:rsid w:val="32F51FCB"/>
    <w:rsid w:val="32F630D2"/>
    <w:rsid w:val="331B74B7"/>
    <w:rsid w:val="3342C6D8"/>
    <w:rsid w:val="334C8522"/>
    <w:rsid w:val="334D1F98"/>
    <w:rsid w:val="33546954"/>
    <w:rsid w:val="3363D066"/>
    <w:rsid w:val="3379C338"/>
    <w:rsid w:val="338BCE97"/>
    <w:rsid w:val="33AF86B5"/>
    <w:rsid w:val="33C0A7CD"/>
    <w:rsid w:val="33CE30C5"/>
    <w:rsid w:val="3438367C"/>
    <w:rsid w:val="3457620B"/>
    <w:rsid w:val="346453B0"/>
    <w:rsid w:val="34675FF1"/>
    <w:rsid w:val="346BCA51"/>
    <w:rsid w:val="348282B9"/>
    <w:rsid w:val="3483FAFD"/>
    <w:rsid w:val="348D37CB"/>
    <w:rsid w:val="34985ADA"/>
    <w:rsid w:val="349C69DD"/>
    <w:rsid w:val="34DA65B2"/>
    <w:rsid w:val="34DDAB42"/>
    <w:rsid w:val="34F9DA8F"/>
    <w:rsid w:val="35208778"/>
    <w:rsid w:val="35487DA7"/>
    <w:rsid w:val="354F28E8"/>
    <w:rsid w:val="3573F671"/>
    <w:rsid w:val="35961E69"/>
    <w:rsid w:val="359A5ECE"/>
    <w:rsid w:val="359C22E4"/>
    <w:rsid w:val="35A44C16"/>
    <w:rsid w:val="35AD6791"/>
    <w:rsid w:val="35AE5A38"/>
    <w:rsid w:val="35F3B6C9"/>
    <w:rsid w:val="361E531A"/>
    <w:rsid w:val="36990887"/>
    <w:rsid w:val="36BF09BA"/>
    <w:rsid w:val="36BF716B"/>
    <w:rsid w:val="36D047BA"/>
    <w:rsid w:val="36DAB901"/>
    <w:rsid w:val="36E22017"/>
    <w:rsid w:val="36E4B1C1"/>
    <w:rsid w:val="370A06EB"/>
    <w:rsid w:val="37150D49"/>
    <w:rsid w:val="3718C5FF"/>
    <w:rsid w:val="37194E0D"/>
    <w:rsid w:val="374937F2"/>
    <w:rsid w:val="37532C96"/>
    <w:rsid w:val="375665A3"/>
    <w:rsid w:val="375713AB"/>
    <w:rsid w:val="375A87CB"/>
    <w:rsid w:val="37601358"/>
    <w:rsid w:val="3785B5BC"/>
    <w:rsid w:val="3785BC1D"/>
    <w:rsid w:val="37B316EC"/>
    <w:rsid w:val="37BD3B1F"/>
    <w:rsid w:val="37D19398"/>
    <w:rsid w:val="37D19808"/>
    <w:rsid w:val="37D636C3"/>
    <w:rsid w:val="37D67A8D"/>
    <w:rsid w:val="381F5F6E"/>
    <w:rsid w:val="382871D7"/>
    <w:rsid w:val="383E6C7E"/>
    <w:rsid w:val="38447153"/>
    <w:rsid w:val="3866D830"/>
    <w:rsid w:val="3866FB95"/>
    <w:rsid w:val="388D3C68"/>
    <w:rsid w:val="38A94740"/>
    <w:rsid w:val="38BB0D70"/>
    <w:rsid w:val="38CE6B62"/>
    <w:rsid w:val="38D42F82"/>
    <w:rsid w:val="39067CBC"/>
    <w:rsid w:val="3932DE43"/>
    <w:rsid w:val="395E1EC1"/>
    <w:rsid w:val="3991B571"/>
    <w:rsid w:val="39D6B576"/>
    <w:rsid w:val="39D8A25A"/>
    <w:rsid w:val="39E66D7F"/>
    <w:rsid w:val="39EBFA4A"/>
    <w:rsid w:val="3A026E80"/>
    <w:rsid w:val="3A067A0E"/>
    <w:rsid w:val="3A0A243C"/>
    <w:rsid w:val="3A1C90A4"/>
    <w:rsid w:val="3A26F0C6"/>
    <w:rsid w:val="3A281F35"/>
    <w:rsid w:val="3A58E788"/>
    <w:rsid w:val="3A8C35B3"/>
    <w:rsid w:val="3A9B19A3"/>
    <w:rsid w:val="3AA3E6FC"/>
    <w:rsid w:val="3ACA4BC2"/>
    <w:rsid w:val="3AE293C3"/>
    <w:rsid w:val="3AF21E3D"/>
    <w:rsid w:val="3AFE2E71"/>
    <w:rsid w:val="3B00B6E5"/>
    <w:rsid w:val="3B17C4B1"/>
    <w:rsid w:val="3B2334D9"/>
    <w:rsid w:val="3B2AC550"/>
    <w:rsid w:val="3B6F2782"/>
    <w:rsid w:val="3B9C3712"/>
    <w:rsid w:val="3BA79782"/>
    <w:rsid w:val="3BBA32CF"/>
    <w:rsid w:val="3BC9189F"/>
    <w:rsid w:val="3C099229"/>
    <w:rsid w:val="3C101929"/>
    <w:rsid w:val="3C660650"/>
    <w:rsid w:val="3C8F0AC3"/>
    <w:rsid w:val="3C969036"/>
    <w:rsid w:val="3CB32063"/>
    <w:rsid w:val="3CB4A55A"/>
    <w:rsid w:val="3CE76609"/>
    <w:rsid w:val="3CEF95A4"/>
    <w:rsid w:val="3D01B7EB"/>
    <w:rsid w:val="3D08F1EA"/>
    <w:rsid w:val="3D1287D6"/>
    <w:rsid w:val="3D35D0D1"/>
    <w:rsid w:val="3D3CDCF0"/>
    <w:rsid w:val="3D44310A"/>
    <w:rsid w:val="3D54C27A"/>
    <w:rsid w:val="3D7074CF"/>
    <w:rsid w:val="3D76592B"/>
    <w:rsid w:val="3D9B9D42"/>
    <w:rsid w:val="3DA05C80"/>
    <w:rsid w:val="3DAEA2C9"/>
    <w:rsid w:val="3DB94915"/>
    <w:rsid w:val="3DE669F5"/>
    <w:rsid w:val="3DF59257"/>
    <w:rsid w:val="3DF85C16"/>
    <w:rsid w:val="3E0251AC"/>
    <w:rsid w:val="3E12E610"/>
    <w:rsid w:val="3E190645"/>
    <w:rsid w:val="3E5A967E"/>
    <w:rsid w:val="3E5C7FBB"/>
    <w:rsid w:val="3E68342D"/>
    <w:rsid w:val="3E765365"/>
    <w:rsid w:val="3E7789D2"/>
    <w:rsid w:val="3E98B49B"/>
    <w:rsid w:val="3EA52F4A"/>
    <w:rsid w:val="3ECD74F6"/>
    <w:rsid w:val="3EE84471"/>
    <w:rsid w:val="3EF76D07"/>
    <w:rsid w:val="3F0B46FF"/>
    <w:rsid w:val="3F1EEBBE"/>
    <w:rsid w:val="3F303D8A"/>
    <w:rsid w:val="3F754E15"/>
    <w:rsid w:val="3F75A263"/>
    <w:rsid w:val="3F99ABBE"/>
    <w:rsid w:val="3FA6B7B5"/>
    <w:rsid w:val="3FABEC6E"/>
    <w:rsid w:val="3FB0CC14"/>
    <w:rsid w:val="3FB7CDDB"/>
    <w:rsid w:val="3FB981AB"/>
    <w:rsid w:val="3FC93D83"/>
    <w:rsid w:val="3FCED260"/>
    <w:rsid w:val="3FF027A5"/>
    <w:rsid w:val="4011A9FE"/>
    <w:rsid w:val="401230A1"/>
    <w:rsid w:val="4012EEBE"/>
    <w:rsid w:val="402848CF"/>
    <w:rsid w:val="403C14A7"/>
    <w:rsid w:val="404996E9"/>
    <w:rsid w:val="40790C96"/>
    <w:rsid w:val="40970B79"/>
    <w:rsid w:val="40A87C13"/>
    <w:rsid w:val="40AFE45F"/>
    <w:rsid w:val="40BADB5C"/>
    <w:rsid w:val="40C21B55"/>
    <w:rsid w:val="40CC8683"/>
    <w:rsid w:val="40E5B708"/>
    <w:rsid w:val="410D5D14"/>
    <w:rsid w:val="413D4D0C"/>
    <w:rsid w:val="413E31F8"/>
    <w:rsid w:val="41435CF7"/>
    <w:rsid w:val="4148E7E3"/>
    <w:rsid w:val="41557EBD"/>
    <w:rsid w:val="4155A4AA"/>
    <w:rsid w:val="4163292D"/>
    <w:rsid w:val="4165A3D1"/>
    <w:rsid w:val="4175AB5D"/>
    <w:rsid w:val="417C041D"/>
    <w:rsid w:val="417FA153"/>
    <w:rsid w:val="41A2A2B1"/>
    <w:rsid w:val="41AF46F0"/>
    <w:rsid w:val="41CFBDE5"/>
    <w:rsid w:val="41F0CCC2"/>
    <w:rsid w:val="42044B3C"/>
    <w:rsid w:val="420E6EDE"/>
    <w:rsid w:val="420E8DB6"/>
    <w:rsid w:val="4210282B"/>
    <w:rsid w:val="4214E7A5"/>
    <w:rsid w:val="4227F177"/>
    <w:rsid w:val="428BBE19"/>
    <w:rsid w:val="429182BD"/>
    <w:rsid w:val="4299F179"/>
    <w:rsid w:val="42ABD927"/>
    <w:rsid w:val="42D30EBE"/>
    <w:rsid w:val="42F9B4FD"/>
    <w:rsid w:val="42FECEC1"/>
    <w:rsid w:val="430A4DEF"/>
    <w:rsid w:val="4348F7E4"/>
    <w:rsid w:val="4355DF2F"/>
    <w:rsid w:val="4369E2C4"/>
    <w:rsid w:val="437178F9"/>
    <w:rsid w:val="43959391"/>
    <w:rsid w:val="43A16704"/>
    <w:rsid w:val="43A21B23"/>
    <w:rsid w:val="43A9D9CB"/>
    <w:rsid w:val="43AAE370"/>
    <w:rsid w:val="43C85C00"/>
    <w:rsid w:val="43D8BE88"/>
    <w:rsid w:val="43ECA9AC"/>
    <w:rsid w:val="43F0C2CF"/>
    <w:rsid w:val="44265793"/>
    <w:rsid w:val="4428605E"/>
    <w:rsid w:val="4430E15C"/>
    <w:rsid w:val="444ACF10"/>
    <w:rsid w:val="44510826"/>
    <w:rsid w:val="445672B9"/>
    <w:rsid w:val="4468F2DA"/>
    <w:rsid w:val="447AF85D"/>
    <w:rsid w:val="449C7B81"/>
    <w:rsid w:val="44B92B7A"/>
    <w:rsid w:val="44C048F8"/>
    <w:rsid w:val="44E1464F"/>
    <w:rsid w:val="44EF6BB5"/>
    <w:rsid w:val="4517555E"/>
    <w:rsid w:val="45177221"/>
    <w:rsid w:val="45232F1E"/>
    <w:rsid w:val="4547129B"/>
    <w:rsid w:val="45481F87"/>
    <w:rsid w:val="4582810A"/>
    <w:rsid w:val="458EEF8D"/>
    <w:rsid w:val="45986FC2"/>
    <w:rsid w:val="45A1CFC2"/>
    <w:rsid w:val="45C97630"/>
    <w:rsid w:val="45CD9D3B"/>
    <w:rsid w:val="45D78E27"/>
    <w:rsid w:val="45DFBAD1"/>
    <w:rsid w:val="45E0130D"/>
    <w:rsid w:val="45E90ADE"/>
    <w:rsid w:val="45EBF4F4"/>
    <w:rsid w:val="4647F18A"/>
    <w:rsid w:val="46498743"/>
    <w:rsid w:val="465EAD49"/>
    <w:rsid w:val="46642C66"/>
    <w:rsid w:val="466BA9ED"/>
    <w:rsid w:val="466BB44A"/>
    <w:rsid w:val="4670A1A4"/>
    <w:rsid w:val="4696CEE3"/>
    <w:rsid w:val="46A6400B"/>
    <w:rsid w:val="46AC7ADD"/>
    <w:rsid w:val="46B35795"/>
    <w:rsid w:val="46D30BB7"/>
    <w:rsid w:val="46D92EB0"/>
    <w:rsid w:val="470D856A"/>
    <w:rsid w:val="470FFAE9"/>
    <w:rsid w:val="4725A0AB"/>
    <w:rsid w:val="473F45D2"/>
    <w:rsid w:val="4753ED3F"/>
    <w:rsid w:val="475671B8"/>
    <w:rsid w:val="4760C856"/>
    <w:rsid w:val="479322B2"/>
    <w:rsid w:val="479E52BC"/>
    <w:rsid w:val="47AAE423"/>
    <w:rsid w:val="47B2C5B9"/>
    <w:rsid w:val="47C6C6BD"/>
    <w:rsid w:val="47F67D1A"/>
    <w:rsid w:val="47F9D41A"/>
    <w:rsid w:val="48101024"/>
    <w:rsid w:val="482E3B47"/>
    <w:rsid w:val="483DC8B7"/>
    <w:rsid w:val="48916FD9"/>
    <w:rsid w:val="49015891"/>
    <w:rsid w:val="4925B34F"/>
    <w:rsid w:val="494C0664"/>
    <w:rsid w:val="495D4BE6"/>
    <w:rsid w:val="4965ED77"/>
    <w:rsid w:val="4990FD53"/>
    <w:rsid w:val="49C7E19F"/>
    <w:rsid w:val="49DF36FB"/>
    <w:rsid w:val="4A0BF3DC"/>
    <w:rsid w:val="4A2844B1"/>
    <w:rsid w:val="4A2C18FD"/>
    <w:rsid w:val="4A340F58"/>
    <w:rsid w:val="4A4C2CC3"/>
    <w:rsid w:val="4A5CC9C6"/>
    <w:rsid w:val="4A60DA09"/>
    <w:rsid w:val="4A6D3BB7"/>
    <w:rsid w:val="4A782014"/>
    <w:rsid w:val="4A936B6C"/>
    <w:rsid w:val="4AB094A6"/>
    <w:rsid w:val="4AB18D60"/>
    <w:rsid w:val="4AE1CE54"/>
    <w:rsid w:val="4B26D0ED"/>
    <w:rsid w:val="4B3C6D6D"/>
    <w:rsid w:val="4B44DD76"/>
    <w:rsid w:val="4B469821"/>
    <w:rsid w:val="4B4A397E"/>
    <w:rsid w:val="4B6AD437"/>
    <w:rsid w:val="4B9477BA"/>
    <w:rsid w:val="4BB4FBDF"/>
    <w:rsid w:val="4BBEF28F"/>
    <w:rsid w:val="4BDE99A8"/>
    <w:rsid w:val="4BEFA4B4"/>
    <w:rsid w:val="4BF9295B"/>
    <w:rsid w:val="4C0F9509"/>
    <w:rsid w:val="4C1242FF"/>
    <w:rsid w:val="4C2603A7"/>
    <w:rsid w:val="4C399310"/>
    <w:rsid w:val="4C7FFEAB"/>
    <w:rsid w:val="4C8276FA"/>
    <w:rsid w:val="4CA37807"/>
    <w:rsid w:val="4CA3D0CE"/>
    <w:rsid w:val="4CACFC2D"/>
    <w:rsid w:val="4CBDFA80"/>
    <w:rsid w:val="4CEB7A22"/>
    <w:rsid w:val="4CEBA090"/>
    <w:rsid w:val="4CF5041F"/>
    <w:rsid w:val="4D08D2D9"/>
    <w:rsid w:val="4D0F12AD"/>
    <w:rsid w:val="4D230268"/>
    <w:rsid w:val="4D47F8E8"/>
    <w:rsid w:val="4D4DE4C7"/>
    <w:rsid w:val="4D6613A6"/>
    <w:rsid w:val="4D67C2CE"/>
    <w:rsid w:val="4D797CD2"/>
    <w:rsid w:val="4D8DC464"/>
    <w:rsid w:val="4DF83C7C"/>
    <w:rsid w:val="4E14DEA0"/>
    <w:rsid w:val="4E450CFF"/>
    <w:rsid w:val="4E58AA3B"/>
    <w:rsid w:val="4E5C81EB"/>
    <w:rsid w:val="4E60C5D9"/>
    <w:rsid w:val="4E728519"/>
    <w:rsid w:val="4E752B5C"/>
    <w:rsid w:val="4E8DB413"/>
    <w:rsid w:val="4E8E72C0"/>
    <w:rsid w:val="4E9087B8"/>
    <w:rsid w:val="4EA66B46"/>
    <w:rsid w:val="4EDA8926"/>
    <w:rsid w:val="4EE07424"/>
    <w:rsid w:val="4EE59307"/>
    <w:rsid w:val="4EF9697B"/>
    <w:rsid w:val="4EFF26F1"/>
    <w:rsid w:val="4F17C319"/>
    <w:rsid w:val="4F1A3872"/>
    <w:rsid w:val="4F1BA729"/>
    <w:rsid w:val="4F1C0D7F"/>
    <w:rsid w:val="4F2D1A17"/>
    <w:rsid w:val="4F48D9F9"/>
    <w:rsid w:val="4F50174F"/>
    <w:rsid w:val="4F626156"/>
    <w:rsid w:val="4F8A542E"/>
    <w:rsid w:val="4F94A35A"/>
    <w:rsid w:val="4FE9983A"/>
    <w:rsid w:val="4FF5636D"/>
    <w:rsid w:val="4FF62A7C"/>
    <w:rsid w:val="4FF676D8"/>
    <w:rsid w:val="5011B498"/>
    <w:rsid w:val="5026191C"/>
    <w:rsid w:val="502F0F39"/>
    <w:rsid w:val="5040002F"/>
    <w:rsid w:val="504083A1"/>
    <w:rsid w:val="504337E8"/>
    <w:rsid w:val="505E1E0C"/>
    <w:rsid w:val="50AA852C"/>
    <w:rsid w:val="50D2556A"/>
    <w:rsid w:val="510015CE"/>
    <w:rsid w:val="5106F0FB"/>
    <w:rsid w:val="5114C1A1"/>
    <w:rsid w:val="514E9446"/>
    <w:rsid w:val="515D6F1C"/>
    <w:rsid w:val="51672106"/>
    <w:rsid w:val="516EAFB0"/>
    <w:rsid w:val="5182CA02"/>
    <w:rsid w:val="5183A4C6"/>
    <w:rsid w:val="51875A60"/>
    <w:rsid w:val="5190DED9"/>
    <w:rsid w:val="51913A25"/>
    <w:rsid w:val="519212CC"/>
    <w:rsid w:val="51D0B455"/>
    <w:rsid w:val="51EAA2E3"/>
    <w:rsid w:val="5202346F"/>
    <w:rsid w:val="521FF227"/>
    <w:rsid w:val="522D4C4A"/>
    <w:rsid w:val="524826A4"/>
    <w:rsid w:val="526E8FB4"/>
    <w:rsid w:val="52802888"/>
    <w:rsid w:val="528ECE85"/>
    <w:rsid w:val="5293B1FD"/>
    <w:rsid w:val="52A48001"/>
    <w:rsid w:val="52AFCE38"/>
    <w:rsid w:val="52D4D31A"/>
    <w:rsid w:val="531FA7C7"/>
    <w:rsid w:val="5340E7E6"/>
    <w:rsid w:val="534E622B"/>
    <w:rsid w:val="5381EB94"/>
    <w:rsid w:val="539C9542"/>
    <w:rsid w:val="53C284C2"/>
    <w:rsid w:val="53CC05D4"/>
    <w:rsid w:val="53CC180C"/>
    <w:rsid w:val="53EE6B04"/>
    <w:rsid w:val="53F7DC70"/>
    <w:rsid w:val="53FA2959"/>
    <w:rsid w:val="5407152C"/>
    <w:rsid w:val="54095EB4"/>
    <w:rsid w:val="54265853"/>
    <w:rsid w:val="543DFF98"/>
    <w:rsid w:val="545ED8D5"/>
    <w:rsid w:val="545FD74F"/>
    <w:rsid w:val="54854BED"/>
    <w:rsid w:val="54C6F27F"/>
    <w:rsid w:val="54CB3774"/>
    <w:rsid w:val="54DBB364"/>
    <w:rsid w:val="54F4E5A5"/>
    <w:rsid w:val="54F649C7"/>
    <w:rsid w:val="550EC7EF"/>
    <w:rsid w:val="552B91E8"/>
    <w:rsid w:val="5539DD19"/>
    <w:rsid w:val="553C4BAB"/>
    <w:rsid w:val="553FA897"/>
    <w:rsid w:val="556FB740"/>
    <w:rsid w:val="55AF55D6"/>
    <w:rsid w:val="55B27644"/>
    <w:rsid w:val="55BD8D29"/>
    <w:rsid w:val="55BE718A"/>
    <w:rsid w:val="55CF5B42"/>
    <w:rsid w:val="560BCA7C"/>
    <w:rsid w:val="560E5DE4"/>
    <w:rsid w:val="562FDEE7"/>
    <w:rsid w:val="5647DFAE"/>
    <w:rsid w:val="564C960F"/>
    <w:rsid w:val="565E890D"/>
    <w:rsid w:val="5674AB5A"/>
    <w:rsid w:val="5676AA9D"/>
    <w:rsid w:val="568B2B87"/>
    <w:rsid w:val="56B9A249"/>
    <w:rsid w:val="56C33192"/>
    <w:rsid w:val="56CB58F3"/>
    <w:rsid w:val="56D250D1"/>
    <w:rsid w:val="56E10CC5"/>
    <w:rsid w:val="5747EFE2"/>
    <w:rsid w:val="575DB3A8"/>
    <w:rsid w:val="5770D347"/>
    <w:rsid w:val="577BDEE0"/>
    <w:rsid w:val="57CA32FB"/>
    <w:rsid w:val="57CF4372"/>
    <w:rsid w:val="5812356A"/>
    <w:rsid w:val="583376D3"/>
    <w:rsid w:val="583F819B"/>
    <w:rsid w:val="5867283D"/>
    <w:rsid w:val="58A3FD42"/>
    <w:rsid w:val="58B20E90"/>
    <w:rsid w:val="58BB675D"/>
    <w:rsid w:val="58DDD138"/>
    <w:rsid w:val="58E36719"/>
    <w:rsid w:val="58E399EA"/>
    <w:rsid w:val="5900703F"/>
    <w:rsid w:val="592420E8"/>
    <w:rsid w:val="59274C1D"/>
    <w:rsid w:val="594BD55A"/>
    <w:rsid w:val="594F8256"/>
    <w:rsid w:val="595D5CDA"/>
    <w:rsid w:val="595F8BD7"/>
    <w:rsid w:val="5961CC5C"/>
    <w:rsid w:val="598F80C4"/>
    <w:rsid w:val="599AC128"/>
    <w:rsid w:val="59A5906C"/>
    <w:rsid w:val="59B2414C"/>
    <w:rsid w:val="59E8BEA7"/>
    <w:rsid w:val="59F2EBD4"/>
    <w:rsid w:val="5A0E5904"/>
    <w:rsid w:val="5A13502E"/>
    <w:rsid w:val="5A1431D6"/>
    <w:rsid w:val="5A1850B2"/>
    <w:rsid w:val="5A52A15A"/>
    <w:rsid w:val="5A54B3B8"/>
    <w:rsid w:val="5A579EBF"/>
    <w:rsid w:val="5A75F0BE"/>
    <w:rsid w:val="5A84C183"/>
    <w:rsid w:val="5A94BCF2"/>
    <w:rsid w:val="5AAA1BA0"/>
    <w:rsid w:val="5ABC15E8"/>
    <w:rsid w:val="5AD52665"/>
    <w:rsid w:val="5AE6CF54"/>
    <w:rsid w:val="5AEF4AA4"/>
    <w:rsid w:val="5B026D42"/>
    <w:rsid w:val="5B1E8E14"/>
    <w:rsid w:val="5B22478A"/>
    <w:rsid w:val="5B7E12C9"/>
    <w:rsid w:val="5B908285"/>
    <w:rsid w:val="5BAB5E46"/>
    <w:rsid w:val="5BB060FF"/>
    <w:rsid w:val="5BE3DD1C"/>
    <w:rsid w:val="5BE73287"/>
    <w:rsid w:val="5BFD6DE7"/>
    <w:rsid w:val="5C0C156E"/>
    <w:rsid w:val="5C171571"/>
    <w:rsid w:val="5C1AA334"/>
    <w:rsid w:val="5C1AFB4F"/>
    <w:rsid w:val="5C1CDF28"/>
    <w:rsid w:val="5C42D384"/>
    <w:rsid w:val="5C46774A"/>
    <w:rsid w:val="5C537EDA"/>
    <w:rsid w:val="5C757234"/>
    <w:rsid w:val="5C7EE8A3"/>
    <w:rsid w:val="5C8605BF"/>
    <w:rsid w:val="5C8F6D8B"/>
    <w:rsid w:val="5C926A4A"/>
    <w:rsid w:val="5CB41E07"/>
    <w:rsid w:val="5CC93010"/>
    <w:rsid w:val="5CE67DD0"/>
    <w:rsid w:val="5CF825A1"/>
    <w:rsid w:val="5CFE5E34"/>
    <w:rsid w:val="5D014767"/>
    <w:rsid w:val="5D35DD43"/>
    <w:rsid w:val="5D3D19E4"/>
    <w:rsid w:val="5D529445"/>
    <w:rsid w:val="5D6B7818"/>
    <w:rsid w:val="5D6D9AD5"/>
    <w:rsid w:val="5D72B2BC"/>
    <w:rsid w:val="5D747684"/>
    <w:rsid w:val="5DB9D8B1"/>
    <w:rsid w:val="5DBEB27D"/>
    <w:rsid w:val="5DC42D72"/>
    <w:rsid w:val="5DCA236D"/>
    <w:rsid w:val="5DE128A2"/>
    <w:rsid w:val="5DED2EB4"/>
    <w:rsid w:val="5DFF91F0"/>
    <w:rsid w:val="5E224B96"/>
    <w:rsid w:val="5E36F8DC"/>
    <w:rsid w:val="5E5AB96A"/>
    <w:rsid w:val="5E691E41"/>
    <w:rsid w:val="5E7F0889"/>
    <w:rsid w:val="5E89D4D9"/>
    <w:rsid w:val="5EB68EE9"/>
    <w:rsid w:val="5EB8F655"/>
    <w:rsid w:val="5EDEBE27"/>
    <w:rsid w:val="5F30B2DD"/>
    <w:rsid w:val="5F3F4C85"/>
    <w:rsid w:val="5F44AD9C"/>
    <w:rsid w:val="5F54D719"/>
    <w:rsid w:val="5F7BADBA"/>
    <w:rsid w:val="5F7E8858"/>
    <w:rsid w:val="5F8F4522"/>
    <w:rsid w:val="5F964072"/>
    <w:rsid w:val="5FA15255"/>
    <w:rsid w:val="5FA63062"/>
    <w:rsid w:val="5FB5FD99"/>
    <w:rsid w:val="5FD12047"/>
    <w:rsid w:val="5FD29E42"/>
    <w:rsid w:val="5FE1B842"/>
    <w:rsid w:val="5FF3E57A"/>
    <w:rsid w:val="601206F2"/>
    <w:rsid w:val="601B70FA"/>
    <w:rsid w:val="603BCDE6"/>
    <w:rsid w:val="604E4C9E"/>
    <w:rsid w:val="60618693"/>
    <w:rsid w:val="609096CD"/>
    <w:rsid w:val="60A57A83"/>
    <w:rsid w:val="60BF9467"/>
    <w:rsid w:val="6100C289"/>
    <w:rsid w:val="6103A8F6"/>
    <w:rsid w:val="610A6A98"/>
    <w:rsid w:val="610B5F1C"/>
    <w:rsid w:val="610C8284"/>
    <w:rsid w:val="6118E0D5"/>
    <w:rsid w:val="61229BAC"/>
    <w:rsid w:val="61291BA9"/>
    <w:rsid w:val="61297A54"/>
    <w:rsid w:val="612D3396"/>
    <w:rsid w:val="61743BF0"/>
    <w:rsid w:val="61A360A3"/>
    <w:rsid w:val="61CFD95B"/>
    <w:rsid w:val="61D29640"/>
    <w:rsid w:val="61D7CFDE"/>
    <w:rsid w:val="61F56389"/>
    <w:rsid w:val="6257A9EC"/>
    <w:rsid w:val="62678D6C"/>
    <w:rsid w:val="62B1804C"/>
    <w:rsid w:val="62BC8EB2"/>
    <w:rsid w:val="62EFFBD4"/>
    <w:rsid w:val="633FE070"/>
    <w:rsid w:val="637084A4"/>
    <w:rsid w:val="637DE145"/>
    <w:rsid w:val="639005F5"/>
    <w:rsid w:val="63AF0C80"/>
    <w:rsid w:val="63F2F9C3"/>
    <w:rsid w:val="642A2C4D"/>
    <w:rsid w:val="64402657"/>
    <w:rsid w:val="64414CF3"/>
    <w:rsid w:val="64453AC7"/>
    <w:rsid w:val="64475D70"/>
    <w:rsid w:val="6489C9C2"/>
    <w:rsid w:val="64B66092"/>
    <w:rsid w:val="64CB1CBC"/>
    <w:rsid w:val="64CB4C0D"/>
    <w:rsid w:val="64F3FF19"/>
    <w:rsid w:val="65015CF7"/>
    <w:rsid w:val="6506A618"/>
    <w:rsid w:val="6508DF3D"/>
    <w:rsid w:val="650ED928"/>
    <w:rsid w:val="65126B24"/>
    <w:rsid w:val="6512D1B8"/>
    <w:rsid w:val="6524B319"/>
    <w:rsid w:val="653C87DF"/>
    <w:rsid w:val="653F1743"/>
    <w:rsid w:val="6544674C"/>
    <w:rsid w:val="6548CF62"/>
    <w:rsid w:val="654DDBCA"/>
    <w:rsid w:val="654E0151"/>
    <w:rsid w:val="6566FDAC"/>
    <w:rsid w:val="6575F240"/>
    <w:rsid w:val="657BF6A5"/>
    <w:rsid w:val="659B4F0D"/>
    <w:rsid w:val="65AFC630"/>
    <w:rsid w:val="65C3CDAD"/>
    <w:rsid w:val="65D03FB5"/>
    <w:rsid w:val="65E6ED49"/>
    <w:rsid w:val="65E9D3B1"/>
    <w:rsid w:val="65F7C2A7"/>
    <w:rsid w:val="66281D4C"/>
    <w:rsid w:val="663B087C"/>
    <w:rsid w:val="664DC609"/>
    <w:rsid w:val="66552E77"/>
    <w:rsid w:val="66A06694"/>
    <w:rsid w:val="66C7D080"/>
    <w:rsid w:val="66DB33DB"/>
    <w:rsid w:val="66DDA797"/>
    <w:rsid w:val="66ECEC25"/>
    <w:rsid w:val="6716CDD7"/>
    <w:rsid w:val="672807A0"/>
    <w:rsid w:val="67324733"/>
    <w:rsid w:val="67337DC0"/>
    <w:rsid w:val="674487FF"/>
    <w:rsid w:val="674EB8DE"/>
    <w:rsid w:val="674F1A7F"/>
    <w:rsid w:val="6777DF03"/>
    <w:rsid w:val="6794C6C2"/>
    <w:rsid w:val="67CBC664"/>
    <w:rsid w:val="67CC80D7"/>
    <w:rsid w:val="67E014FF"/>
    <w:rsid w:val="67EA6A11"/>
    <w:rsid w:val="67F8D13C"/>
    <w:rsid w:val="67FB5F79"/>
    <w:rsid w:val="6801FCF3"/>
    <w:rsid w:val="681FD968"/>
    <w:rsid w:val="682BAE44"/>
    <w:rsid w:val="6833C96A"/>
    <w:rsid w:val="68347AD6"/>
    <w:rsid w:val="68543B67"/>
    <w:rsid w:val="685442AB"/>
    <w:rsid w:val="68588FC0"/>
    <w:rsid w:val="6873D457"/>
    <w:rsid w:val="6876081D"/>
    <w:rsid w:val="688AC7DF"/>
    <w:rsid w:val="68A241C1"/>
    <w:rsid w:val="68A589D3"/>
    <w:rsid w:val="68C0B2A1"/>
    <w:rsid w:val="68C61080"/>
    <w:rsid w:val="68DDA11E"/>
    <w:rsid w:val="68F16E6D"/>
    <w:rsid w:val="69155EDE"/>
    <w:rsid w:val="691793A6"/>
    <w:rsid w:val="693B20E5"/>
    <w:rsid w:val="694B26DA"/>
    <w:rsid w:val="695D0673"/>
    <w:rsid w:val="697CD689"/>
    <w:rsid w:val="697D6855"/>
    <w:rsid w:val="699A0791"/>
    <w:rsid w:val="699C8889"/>
    <w:rsid w:val="69A21288"/>
    <w:rsid w:val="69A44302"/>
    <w:rsid w:val="69B6426D"/>
    <w:rsid w:val="69C6FCD7"/>
    <w:rsid w:val="69DC12FF"/>
    <w:rsid w:val="69DFDF85"/>
    <w:rsid w:val="69F09C58"/>
    <w:rsid w:val="69F67F86"/>
    <w:rsid w:val="6A280E65"/>
    <w:rsid w:val="6A335897"/>
    <w:rsid w:val="6A5FA45F"/>
    <w:rsid w:val="6A6A4A83"/>
    <w:rsid w:val="6A6B73AB"/>
    <w:rsid w:val="6A7FA491"/>
    <w:rsid w:val="6AC56C22"/>
    <w:rsid w:val="6AC5DBBF"/>
    <w:rsid w:val="6AE9894F"/>
    <w:rsid w:val="6AFD7203"/>
    <w:rsid w:val="6B088602"/>
    <w:rsid w:val="6B19DE9E"/>
    <w:rsid w:val="6B28778B"/>
    <w:rsid w:val="6B3474D9"/>
    <w:rsid w:val="6B76833A"/>
    <w:rsid w:val="6B7984CE"/>
    <w:rsid w:val="6BA0EDC4"/>
    <w:rsid w:val="6BA3415A"/>
    <w:rsid w:val="6BB41679"/>
    <w:rsid w:val="6BC3656D"/>
    <w:rsid w:val="6BD289C5"/>
    <w:rsid w:val="6BF3A882"/>
    <w:rsid w:val="6BF52572"/>
    <w:rsid w:val="6C28EB4B"/>
    <w:rsid w:val="6C60C89B"/>
    <w:rsid w:val="6C69C4C7"/>
    <w:rsid w:val="6C6F31CA"/>
    <w:rsid w:val="6CA47B9A"/>
    <w:rsid w:val="6CC522C7"/>
    <w:rsid w:val="6CE964C7"/>
    <w:rsid w:val="6CF62FF0"/>
    <w:rsid w:val="6D3554A4"/>
    <w:rsid w:val="6D3917FF"/>
    <w:rsid w:val="6D572CB9"/>
    <w:rsid w:val="6D57865A"/>
    <w:rsid w:val="6D65A333"/>
    <w:rsid w:val="6D6F9648"/>
    <w:rsid w:val="6D7A5AB8"/>
    <w:rsid w:val="6D856CFE"/>
    <w:rsid w:val="6D9BFC58"/>
    <w:rsid w:val="6DA3DB13"/>
    <w:rsid w:val="6DA63936"/>
    <w:rsid w:val="6DB2F010"/>
    <w:rsid w:val="6DBAB401"/>
    <w:rsid w:val="6DC5748B"/>
    <w:rsid w:val="6DCB1AD0"/>
    <w:rsid w:val="6DD2D0C2"/>
    <w:rsid w:val="6DDD4D69"/>
    <w:rsid w:val="6DDF6F67"/>
    <w:rsid w:val="6DF83DCE"/>
    <w:rsid w:val="6DFAE899"/>
    <w:rsid w:val="6DFEBEE5"/>
    <w:rsid w:val="6E4CA6DB"/>
    <w:rsid w:val="6E552239"/>
    <w:rsid w:val="6E5BB677"/>
    <w:rsid w:val="6E7BDA97"/>
    <w:rsid w:val="6E89BCAC"/>
    <w:rsid w:val="6E8B79C3"/>
    <w:rsid w:val="6EBCEA3E"/>
    <w:rsid w:val="6EC5745C"/>
    <w:rsid w:val="6EDF05DD"/>
    <w:rsid w:val="6EE68DC1"/>
    <w:rsid w:val="6EF0EC50"/>
    <w:rsid w:val="6EFE872E"/>
    <w:rsid w:val="6F09A662"/>
    <w:rsid w:val="6F29C188"/>
    <w:rsid w:val="6F73785A"/>
    <w:rsid w:val="6F89C9DA"/>
    <w:rsid w:val="6F91A689"/>
    <w:rsid w:val="6FEA0EF1"/>
    <w:rsid w:val="6FFF22BC"/>
    <w:rsid w:val="701856AC"/>
    <w:rsid w:val="703E7AAA"/>
    <w:rsid w:val="70440923"/>
    <w:rsid w:val="704A1292"/>
    <w:rsid w:val="704ABD0B"/>
    <w:rsid w:val="708D1F0D"/>
    <w:rsid w:val="70A0E354"/>
    <w:rsid w:val="70A155F5"/>
    <w:rsid w:val="70C99893"/>
    <w:rsid w:val="70D095CB"/>
    <w:rsid w:val="712E0880"/>
    <w:rsid w:val="71390181"/>
    <w:rsid w:val="71605AB9"/>
    <w:rsid w:val="71734863"/>
    <w:rsid w:val="717AF122"/>
    <w:rsid w:val="7181A8E8"/>
    <w:rsid w:val="71951EEA"/>
    <w:rsid w:val="719F84BE"/>
    <w:rsid w:val="71B6E43C"/>
    <w:rsid w:val="71B86324"/>
    <w:rsid w:val="71C68239"/>
    <w:rsid w:val="71D1584D"/>
    <w:rsid w:val="71D39A4A"/>
    <w:rsid w:val="71DA8CEE"/>
    <w:rsid w:val="71DDB91C"/>
    <w:rsid w:val="71E31D58"/>
    <w:rsid w:val="721912AB"/>
    <w:rsid w:val="724F8377"/>
    <w:rsid w:val="72543660"/>
    <w:rsid w:val="725BE27B"/>
    <w:rsid w:val="72A234A8"/>
    <w:rsid w:val="72C4DDE8"/>
    <w:rsid w:val="72E0BBC6"/>
    <w:rsid w:val="73035B69"/>
    <w:rsid w:val="730CE637"/>
    <w:rsid w:val="731E28B3"/>
    <w:rsid w:val="732443D8"/>
    <w:rsid w:val="732BB050"/>
    <w:rsid w:val="732CBEFA"/>
    <w:rsid w:val="735C3043"/>
    <w:rsid w:val="736BB05E"/>
    <w:rsid w:val="736BBDD4"/>
    <w:rsid w:val="7379C2BA"/>
    <w:rsid w:val="738E0CE1"/>
    <w:rsid w:val="73900D11"/>
    <w:rsid w:val="7391EF18"/>
    <w:rsid w:val="73DDDE20"/>
    <w:rsid w:val="740B7BA3"/>
    <w:rsid w:val="7420D084"/>
    <w:rsid w:val="7428F88E"/>
    <w:rsid w:val="743BF0A5"/>
    <w:rsid w:val="744B4FB0"/>
    <w:rsid w:val="7459C2D7"/>
    <w:rsid w:val="745D61A1"/>
    <w:rsid w:val="74696260"/>
    <w:rsid w:val="75058734"/>
    <w:rsid w:val="7517B42C"/>
    <w:rsid w:val="754ED03A"/>
    <w:rsid w:val="756B941E"/>
    <w:rsid w:val="75766362"/>
    <w:rsid w:val="75B6E6F6"/>
    <w:rsid w:val="75B85207"/>
    <w:rsid w:val="75CCC073"/>
    <w:rsid w:val="75DB0AF0"/>
    <w:rsid w:val="75E81D7C"/>
    <w:rsid w:val="75ED5142"/>
    <w:rsid w:val="75FFAF07"/>
    <w:rsid w:val="7618B15D"/>
    <w:rsid w:val="76371EFD"/>
    <w:rsid w:val="764A7BC3"/>
    <w:rsid w:val="76516CB4"/>
    <w:rsid w:val="76538628"/>
    <w:rsid w:val="7698B0E1"/>
    <w:rsid w:val="76D4ED71"/>
    <w:rsid w:val="76D5243C"/>
    <w:rsid w:val="76EC7F26"/>
    <w:rsid w:val="7711384A"/>
    <w:rsid w:val="77176F55"/>
    <w:rsid w:val="773DD15F"/>
    <w:rsid w:val="77473F89"/>
    <w:rsid w:val="774B195D"/>
    <w:rsid w:val="774C9CC5"/>
    <w:rsid w:val="774DC5B9"/>
    <w:rsid w:val="775D298B"/>
    <w:rsid w:val="7783B9C7"/>
    <w:rsid w:val="77908AFA"/>
    <w:rsid w:val="7792BCA8"/>
    <w:rsid w:val="77B2A2A0"/>
    <w:rsid w:val="77DF3A6E"/>
    <w:rsid w:val="77EE438E"/>
    <w:rsid w:val="78085031"/>
    <w:rsid w:val="7829D2C0"/>
    <w:rsid w:val="7833239F"/>
    <w:rsid w:val="783B0898"/>
    <w:rsid w:val="784011BB"/>
    <w:rsid w:val="78714B56"/>
    <w:rsid w:val="788E8509"/>
    <w:rsid w:val="78925616"/>
    <w:rsid w:val="78B77EB4"/>
    <w:rsid w:val="78E9E793"/>
    <w:rsid w:val="78F75FF4"/>
    <w:rsid w:val="790F174B"/>
    <w:rsid w:val="791FF46E"/>
    <w:rsid w:val="792A4BBE"/>
    <w:rsid w:val="794CF6E0"/>
    <w:rsid w:val="7958AF62"/>
    <w:rsid w:val="795EE9CC"/>
    <w:rsid w:val="797EC414"/>
    <w:rsid w:val="79990E40"/>
    <w:rsid w:val="79A56ADA"/>
    <w:rsid w:val="79B0D306"/>
    <w:rsid w:val="79B1A809"/>
    <w:rsid w:val="79C7F91D"/>
    <w:rsid w:val="79CFD555"/>
    <w:rsid w:val="79D34E38"/>
    <w:rsid w:val="79EF00D6"/>
    <w:rsid w:val="79F9DFAA"/>
    <w:rsid w:val="7A0EBB97"/>
    <w:rsid w:val="7A2AFDDE"/>
    <w:rsid w:val="7A2B6B77"/>
    <w:rsid w:val="7A3E05C8"/>
    <w:rsid w:val="7A4096EA"/>
    <w:rsid w:val="7A4D8716"/>
    <w:rsid w:val="7A4F634A"/>
    <w:rsid w:val="7A9033A2"/>
    <w:rsid w:val="7A958189"/>
    <w:rsid w:val="7AA12787"/>
    <w:rsid w:val="7AA90642"/>
    <w:rsid w:val="7AD9C673"/>
    <w:rsid w:val="7AF0C84D"/>
    <w:rsid w:val="7B0FF488"/>
    <w:rsid w:val="7B2567CF"/>
    <w:rsid w:val="7B26F74B"/>
    <w:rsid w:val="7B2FDB7D"/>
    <w:rsid w:val="7B4060E0"/>
    <w:rsid w:val="7B510814"/>
    <w:rsid w:val="7B5ADA79"/>
    <w:rsid w:val="7B5D944F"/>
    <w:rsid w:val="7B773997"/>
    <w:rsid w:val="7B945930"/>
    <w:rsid w:val="7BB9BB71"/>
    <w:rsid w:val="7BE78D6F"/>
    <w:rsid w:val="7BF08631"/>
    <w:rsid w:val="7BF46C2B"/>
    <w:rsid w:val="7C01B58B"/>
    <w:rsid w:val="7C09EA87"/>
    <w:rsid w:val="7C0BDE4B"/>
    <w:rsid w:val="7C199A06"/>
    <w:rsid w:val="7C37B410"/>
    <w:rsid w:val="7C5AF06B"/>
    <w:rsid w:val="7C5B03E7"/>
    <w:rsid w:val="7C6FA2A5"/>
    <w:rsid w:val="7C720437"/>
    <w:rsid w:val="7C7E5A09"/>
    <w:rsid w:val="7C9A64E6"/>
    <w:rsid w:val="7CA8C03E"/>
    <w:rsid w:val="7CBCDCF0"/>
    <w:rsid w:val="7CD8CBC2"/>
    <w:rsid w:val="7CE97D21"/>
    <w:rsid w:val="7CF94D98"/>
    <w:rsid w:val="7D1001A1"/>
    <w:rsid w:val="7D1D192B"/>
    <w:rsid w:val="7D1D7DD2"/>
    <w:rsid w:val="7D6519A2"/>
    <w:rsid w:val="7D7E029A"/>
    <w:rsid w:val="7D8ABC0D"/>
    <w:rsid w:val="7DA817CF"/>
    <w:rsid w:val="7DB2052A"/>
    <w:rsid w:val="7DB4386B"/>
    <w:rsid w:val="7DB97C2B"/>
    <w:rsid w:val="7DE6D2F9"/>
    <w:rsid w:val="7E0E817E"/>
    <w:rsid w:val="7E432456"/>
    <w:rsid w:val="7E56AD49"/>
    <w:rsid w:val="7E5E0095"/>
    <w:rsid w:val="7EA34678"/>
    <w:rsid w:val="7EC49DC2"/>
    <w:rsid w:val="7EC926BC"/>
    <w:rsid w:val="7ED028D0"/>
    <w:rsid w:val="7EE9D44F"/>
    <w:rsid w:val="7EF8FEEC"/>
    <w:rsid w:val="7F00D37A"/>
    <w:rsid w:val="7F197925"/>
    <w:rsid w:val="7F1CE5A2"/>
    <w:rsid w:val="7F2895E9"/>
    <w:rsid w:val="7F31110C"/>
    <w:rsid w:val="7F409C6A"/>
    <w:rsid w:val="7F4EF71C"/>
    <w:rsid w:val="7F6F52C8"/>
    <w:rsid w:val="7F71A9E5"/>
    <w:rsid w:val="7F83B6D1"/>
    <w:rsid w:val="7F9429D3"/>
    <w:rsid w:val="7FA3C57B"/>
    <w:rsid w:val="7FAB001F"/>
    <w:rsid w:val="7FAD5F74"/>
    <w:rsid w:val="7FB965EE"/>
    <w:rsid w:val="7FC57813"/>
    <w:rsid w:val="7FC7883B"/>
    <w:rsid w:val="7FDD75BD"/>
    <w:rsid w:val="7FE480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C9D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83C67"/>
    <w:pPr>
      <w:widowControl w:val="0"/>
      <w:spacing w:after="120" w:line="240" w:lineRule="auto"/>
    </w:pPr>
    <w:rPr>
      <w:rFonts w:cs="Arial"/>
      <w:szCs w:val="20"/>
      <w:lang w:val="en-US"/>
    </w:rPr>
  </w:style>
  <w:style w:type="paragraph" w:styleId="Heading1">
    <w:name w:val="heading 1"/>
    <w:basedOn w:val="Normal"/>
    <w:next w:val="Normal"/>
    <w:link w:val="Heading1Char"/>
    <w:uiPriority w:val="9"/>
    <w:qFormat/>
    <w:rsid w:val="00A3099F"/>
    <w:pPr>
      <w:keepNext/>
      <w:keepLines/>
      <w:spacing w:before="240"/>
      <w:outlineLvl w:val="0"/>
    </w:pPr>
    <w:rPr>
      <w:rFonts w:ascii="Corbel" w:eastAsiaTheme="majorEastAsia" w:hAnsi="Corbel"/>
      <w:b/>
      <w:bCs/>
      <w:color w:val="1F4E79" w:themeColor="accent1" w:themeShade="80"/>
      <w:sz w:val="32"/>
      <w:szCs w:val="32"/>
    </w:rPr>
  </w:style>
  <w:style w:type="paragraph" w:styleId="Heading2">
    <w:name w:val="heading 2"/>
    <w:basedOn w:val="Normal"/>
    <w:next w:val="Normal"/>
    <w:link w:val="Heading2Char"/>
    <w:uiPriority w:val="9"/>
    <w:unhideWhenUsed/>
    <w:qFormat/>
    <w:rsid w:val="00A3099F"/>
    <w:pPr>
      <w:outlineLvl w:val="1"/>
    </w:pPr>
    <w:rPr>
      <w:b/>
      <w:bCs/>
      <w:sz w:val="24"/>
      <w:szCs w:val="24"/>
    </w:rPr>
  </w:style>
  <w:style w:type="paragraph" w:styleId="Heading9">
    <w:name w:val="heading 9"/>
    <w:basedOn w:val="Normal"/>
    <w:next w:val="Normal"/>
    <w:link w:val="Heading9Char"/>
    <w:uiPriority w:val="9"/>
    <w:unhideWhenUsed/>
    <w:qFormat/>
    <w:rsid w:val="00C91B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C91B5F"/>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aliases w:val="Body text,Bullet Point,Bullet point,Bullet- First level,Bulletr List Paragraph,Content descriptions,Figure_name,List NUmber,List Paragraph1,List Paragraph11,List Paragraph2,Listenabsatz1,Numbered Indented Text,Recommendation,lp1,Bullets,L"/>
    <w:basedOn w:val="Normal"/>
    <w:link w:val="ListParagraphChar"/>
    <w:uiPriority w:val="34"/>
    <w:qFormat/>
    <w:rsid w:val="00C91B5F"/>
  </w:style>
  <w:style w:type="paragraph" w:styleId="Header">
    <w:name w:val="header"/>
    <w:basedOn w:val="Normal"/>
    <w:link w:val="HeaderChar"/>
    <w:uiPriority w:val="99"/>
    <w:unhideWhenUsed/>
    <w:rsid w:val="00C91B5F"/>
    <w:pPr>
      <w:tabs>
        <w:tab w:val="center" w:pos="4513"/>
        <w:tab w:val="right" w:pos="9026"/>
      </w:tabs>
    </w:pPr>
  </w:style>
  <w:style w:type="character" w:customStyle="1" w:styleId="HeaderChar">
    <w:name w:val="Header Char"/>
    <w:basedOn w:val="DefaultParagraphFont"/>
    <w:link w:val="Header"/>
    <w:uiPriority w:val="99"/>
    <w:rsid w:val="00C91B5F"/>
    <w:rPr>
      <w:lang w:val="en-US"/>
    </w:rPr>
  </w:style>
  <w:style w:type="paragraph" w:styleId="Footer">
    <w:name w:val="footer"/>
    <w:basedOn w:val="Normal"/>
    <w:link w:val="FooterChar"/>
    <w:uiPriority w:val="99"/>
    <w:unhideWhenUsed/>
    <w:rsid w:val="00C91B5F"/>
    <w:pPr>
      <w:tabs>
        <w:tab w:val="center" w:pos="4513"/>
        <w:tab w:val="right" w:pos="9026"/>
      </w:tabs>
    </w:pPr>
  </w:style>
  <w:style w:type="character" w:customStyle="1" w:styleId="FooterChar">
    <w:name w:val="Footer Char"/>
    <w:basedOn w:val="DefaultParagraphFont"/>
    <w:link w:val="Footer"/>
    <w:uiPriority w:val="99"/>
    <w:rsid w:val="00C91B5F"/>
    <w:rPr>
      <w:lang w:val="en-US"/>
    </w:rPr>
  </w:style>
  <w:style w:type="paragraph" w:customStyle="1" w:styleId="SingleParagraph">
    <w:name w:val="Single Paragraph"/>
    <w:basedOn w:val="Normal"/>
    <w:rsid w:val="00C91B5F"/>
    <w:pPr>
      <w:widowControl/>
      <w:spacing w:line="260" w:lineRule="exact"/>
      <w:jc w:val="both"/>
    </w:pPr>
    <w:rPr>
      <w:rFonts w:ascii="Corbel" w:eastAsia="Times New Roman" w:hAnsi="Corbel" w:cs="Times New Roman"/>
      <w:color w:val="000000"/>
      <w:sz w:val="23"/>
      <w:lang w:val="en-AU" w:eastAsia="en-AU"/>
    </w:rPr>
  </w:style>
  <w:style w:type="character" w:customStyle="1" w:styleId="Bold">
    <w:name w:val="Bold"/>
    <w:rsid w:val="00C91B5F"/>
    <w:rPr>
      <w:b/>
    </w:rPr>
  </w:style>
  <w:style w:type="paragraph" w:customStyle="1" w:styleId="FooterEven">
    <w:name w:val="Footer Even"/>
    <w:basedOn w:val="Footer"/>
    <w:rsid w:val="00C91B5F"/>
    <w:pPr>
      <w:widowControl/>
      <w:tabs>
        <w:tab w:val="clear" w:pos="4513"/>
        <w:tab w:val="clear" w:pos="9026"/>
      </w:tabs>
    </w:pPr>
    <w:rPr>
      <w:rFonts w:ascii="Corbel" w:eastAsia="Times New Roman" w:hAnsi="Corbel" w:cs="Times New Roman"/>
      <w:color w:val="3D4B67"/>
      <w:sz w:val="18"/>
      <w:lang w:val="en-AU" w:eastAsia="en-AU"/>
    </w:rPr>
  </w:style>
  <w:style w:type="paragraph" w:customStyle="1" w:styleId="HeaderOdd">
    <w:name w:val="Header Odd"/>
    <w:basedOn w:val="Header"/>
    <w:rsid w:val="00C91B5F"/>
    <w:pPr>
      <w:keepNext/>
      <w:widowControl/>
      <w:tabs>
        <w:tab w:val="clear" w:pos="4513"/>
        <w:tab w:val="clear" w:pos="9026"/>
      </w:tabs>
      <w:jc w:val="right"/>
    </w:pPr>
    <w:rPr>
      <w:rFonts w:ascii="Corbel" w:eastAsia="Times New Roman" w:hAnsi="Corbel" w:cs="Times New Roman"/>
      <w:color w:val="3D4B67"/>
      <w:sz w:val="18"/>
      <w:lang w:val="en-AU" w:eastAsia="en-AU"/>
    </w:rPr>
  </w:style>
  <w:style w:type="paragraph" w:styleId="Subtitle">
    <w:name w:val="Subtitle"/>
    <w:basedOn w:val="Normal"/>
    <w:link w:val="SubtitleChar"/>
    <w:uiPriority w:val="11"/>
    <w:qFormat/>
    <w:rsid w:val="00C91B5F"/>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C91B5F"/>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C91B5F"/>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C91B5F"/>
    <w:rPr>
      <w:rFonts w:ascii="Corbel" w:eastAsia="Times New Roman" w:hAnsi="Corbel" w:cs="Times New Roman"/>
      <w:color w:val="3D4B67"/>
      <w:sz w:val="40"/>
      <w:szCs w:val="40"/>
      <w:lang w:eastAsia="ja-JP"/>
    </w:rPr>
  </w:style>
  <w:style w:type="paragraph" w:customStyle="1" w:styleId="Signed">
    <w:name w:val="Signed"/>
    <w:basedOn w:val="Normal"/>
    <w:rsid w:val="00C91B5F"/>
    <w:pPr>
      <w:widowControl/>
      <w:jc w:val="both"/>
    </w:pPr>
    <w:rPr>
      <w:rFonts w:ascii="Book Antiqua" w:eastAsia="Times New Roman" w:hAnsi="Book Antiqua" w:cs="Times New Roman"/>
      <w:bCs/>
      <w:i/>
      <w:color w:val="000000"/>
      <w:lang w:val="en-AU" w:eastAsia="en-AU"/>
    </w:rPr>
  </w:style>
  <w:style w:type="paragraph" w:customStyle="1" w:styleId="Position">
    <w:name w:val="Position"/>
    <w:basedOn w:val="Normal"/>
    <w:rsid w:val="00C91B5F"/>
    <w:pPr>
      <w:widowControl/>
      <w:spacing w:line="260" w:lineRule="exact"/>
      <w:jc w:val="both"/>
    </w:pPr>
    <w:rPr>
      <w:rFonts w:ascii="Corbel" w:eastAsia="Times New Roman" w:hAnsi="Corbel" w:cs="Times New Roman"/>
      <w:bCs/>
      <w:color w:val="000000"/>
      <w:sz w:val="20"/>
      <w:lang w:val="en-AU" w:eastAsia="en-AU"/>
    </w:rPr>
  </w:style>
  <w:style w:type="character" w:customStyle="1" w:styleId="SignedBold">
    <w:name w:val="SignedBold"/>
    <w:rsid w:val="00C91B5F"/>
    <w:rPr>
      <w:b/>
      <w:i/>
    </w:rPr>
  </w:style>
  <w:style w:type="paragraph" w:customStyle="1" w:styleId="LineForSignature">
    <w:name w:val="LineForSignature"/>
    <w:basedOn w:val="Normal"/>
    <w:rsid w:val="00C91B5F"/>
    <w:pPr>
      <w:widowControl/>
      <w:tabs>
        <w:tab w:val="left" w:leader="underscore" w:pos="3686"/>
      </w:tabs>
      <w:spacing w:before="360" w:after="60" w:line="260" w:lineRule="exact"/>
      <w:jc w:val="both"/>
    </w:pPr>
    <w:rPr>
      <w:rFonts w:ascii="Book Antiqua" w:eastAsia="Times New Roman" w:hAnsi="Book Antiqua" w:cs="Times New Roman"/>
      <w:color w:val="C0C0C0"/>
      <w:sz w:val="23"/>
      <w:lang w:val="en-GB" w:eastAsia="en-AU"/>
    </w:rPr>
  </w:style>
  <w:style w:type="paragraph" w:customStyle="1" w:styleId="Paragraphnumbering">
    <w:name w:val="Paragraph numbering"/>
    <w:basedOn w:val="Normal"/>
    <w:link w:val="ParagraphnumberingChar"/>
    <w:qFormat/>
    <w:rsid w:val="00C91B5F"/>
    <w:pPr>
      <w:widowControl/>
      <w:numPr>
        <w:numId w:val="1"/>
      </w:numPr>
      <w:spacing w:after="240" w:line="260" w:lineRule="exact"/>
      <w:jc w:val="both"/>
    </w:pPr>
    <w:rPr>
      <w:rFonts w:ascii="Corbel" w:eastAsia="Times New Roman" w:hAnsi="Corbel" w:cs="Times New Roman"/>
      <w:color w:val="000000"/>
      <w:sz w:val="23"/>
      <w:lang w:val="en-AU" w:eastAsia="en-AU"/>
    </w:rPr>
  </w:style>
  <w:style w:type="character" w:customStyle="1" w:styleId="ParagraphnumberingChar">
    <w:name w:val="Paragraph numbering Char"/>
    <w:basedOn w:val="DefaultParagraphFont"/>
    <w:link w:val="Paragraphnumbering"/>
    <w:rsid w:val="00C91B5F"/>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C91B5F"/>
    <w:pPr>
      <w:widowControl/>
      <w:spacing w:before="80" w:after="80"/>
    </w:pPr>
    <w:rPr>
      <w:rFonts w:ascii="Corbel" w:eastAsia="Times New Roman" w:hAnsi="Corbel"/>
      <w:iCs/>
      <w:lang w:eastAsia="en-AU"/>
    </w:rPr>
  </w:style>
  <w:style w:type="character" w:customStyle="1" w:styleId="TableformatChar">
    <w:name w:val="Table format Char"/>
    <w:basedOn w:val="Heading2Char"/>
    <w:link w:val="Tableformat"/>
    <w:rsid w:val="00C91B5F"/>
    <w:rPr>
      <w:rFonts w:ascii="Corbel" w:eastAsia="Times New Roman" w:hAnsi="Corbel" w:cs="Arial"/>
      <w:b/>
      <w:bCs/>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C91B5F"/>
    <w:pPr>
      <w:spacing w:before="60" w:after="60"/>
    </w:pPr>
    <w:rPr>
      <w:sz w:val="20"/>
      <w:szCs w:val="20"/>
    </w:rPr>
  </w:style>
  <w:style w:type="character" w:customStyle="1" w:styleId="MilestonetableChar">
    <w:name w:val="Milestone table Char"/>
    <w:basedOn w:val="TableformatChar"/>
    <w:link w:val="Milestonetable"/>
    <w:rsid w:val="00C91B5F"/>
    <w:rPr>
      <w:rFonts w:ascii="Corbel" w:eastAsia="Times New Roman" w:hAnsi="Corbel" w:cs="Arial"/>
      <w:b/>
      <w:bCs/>
      <w:iCs/>
      <w:color w:val="2E74B5" w:themeColor="accent1" w:themeShade="BF"/>
      <w:sz w:val="20"/>
      <w:szCs w:val="20"/>
      <w:lang w:val="en-US" w:eastAsia="en-AU"/>
    </w:rPr>
  </w:style>
  <w:style w:type="character" w:customStyle="1" w:styleId="Heading2Char">
    <w:name w:val="Heading 2 Char"/>
    <w:basedOn w:val="DefaultParagraphFont"/>
    <w:link w:val="Heading2"/>
    <w:uiPriority w:val="9"/>
    <w:rsid w:val="00A3099F"/>
    <w:rPr>
      <w:rFonts w:cs="Arial"/>
      <w:b/>
      <w:bCs/>
      <w:sz w:val="24"/>
      <w:szCs w:val="24"/>
      <w:lang w:val="en-US"/>
    </w:rPr>
  </w:style>
  <w:style w:type="paragraph" w:styleId="BalloonText">
    <w:name w:val="Balloon Text"/>
    <w:basedOn w:val="Normal"/>
    <w:link w:val="BalloonTextChar"/>
    <w:uiPriority w:val="99"/>
    <w:semiHidden/>
    <w:unhideWhenUsed/>
    <w:rsid w:val="00655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26D"/>
    <w:rPr>
      <w:rFonts w:ascii="Segoe UI" w:hAnsi="Segoe UI" w:cs="Segoe UI"/>
      <w:sz w:val="18"/>
      <w:szCs w:val="18"/>
      <w:lang w:val="en-US"/>
    </w:rPr>
  </w:style>
  <w:style w:type="character" w:styleId="CommentReference">
    <w:name w:val="annotation reference"/>
    <w:basedOn w:val="DefaultParagraphFont"/>
    <w:uiPriority w:val="99"/>
    <w:semiHidden/>
    <w:unhideWhenUsed/>
    <w:rsid w:val="009F6441"/>
    <w:rPr>
      <w:sz w:val="16"/>
      <w:szCs w:val="16"/>
    </w:rPr>
  </w:style>
  <w:style w:type="paragraph" w:styleId="CommentText">
    <w:name w:val="annotation text"/>
    <w:basedOn w:val="Normal"/>
    <w:link w:val="CommentTextChar"/>
    <w:uiPriority w:val="99"/>
    <w:unhideWhenUsed/>
    <w:rsid w:val="009F6441"/>
    <w:rPr>
      <w:sz w:val="20"/>
    </w:rPr>
  </w:style>
  <w:style w:type="character" w:customStyle="1" w:styleId="CommentTextChar">
    <w:name w:val="Comment Text Char"/>
    <w:basedOn w:val="DefaultParagraphFont"/>
    <w:link w:val="CommentText"/>
    <w:uiPriority w:val="99"/>
    <w:rsid w:val="009F6441"/>
    <w:rPr>
      <w:sz w:val="20"/>
      <w:szCs w:val="20"/>
      <w:lang w:val="en-US"/>
    </w:rPr>
  </w:style>
  <w:style w:type="paragraph" w:styleId="CommentSubject">
    <w:name w:val="annotation subject"/>
    <w:basedOn w:val="CommentText"/>
    <w:next w:val="CommentText"/>
    <w:link w:val="CommentSubjectChar"/>
    <w:uiPriority w:val="99"/>
    <w:semiHidden/>
    <w:unhideWhenUsed/>
    <w:rsid w:val="009F6441"/>
    <w:rPr>
      <w:b/>
      <w:bCs/>
    </w:rPr>
  </w:style>
  <w:style w:type="character" w:customStyle="1" w:styleId="CommentSubjectChar">
    <w:name w:val="Comment Subject Char"/>
    <w:basedOn w:val="CommentTextChar"/>
    <w:link w:val="CommentSubject"/>
    <w:uiPriority w:val="99"/>
    <w:semiHidden/>
    <w:rsid w:val="009F6441"/>
    <w:rPr>
      <w:b/>
      <w:bCs/>
      <w:sz w:val="20"/>
      <w:szCs w:val="20"/>
      <w:lang w:val="en-US"/>
    </w:rPr>
  </w:style>
  <w:style w:type="character" w:styleId="Hyperlink">
    <w:name w:val="Hyperlink"/>
    <w:basedOn w:val="DefaultParagraphFont"/>
    <w:uiPriority w:val="99"/>
    <w:unhideWhenUsed/>
    <w:rsid w:val="008E7095"/>
    <w:rPr>
      <w:color w:val="0563C1"/>
      <w:u w:val="single"/>
    </w:rPr>
  </w:style>
  <w:style w:type="character" w:customStyle="1" w:styleId="NormalnumberedChar">
    <w:name w:val="Normal numbered Char"/>
    <w:link w:val="Normalnumbered"/>
    <w:locked/>
    <w:rsid w:val="005F7F7A"/>
    <w:rPr>
      <w:rFonts w:ascii="Corbel" w:hAnsi="Corbel" w:cs="Arial"/>
      <w:color w:val="000000"/>
      <w:sz w:val="23"/>
      <w:szCs w:val="20"/>
    </w:rPr>
  </w:style>
  <w:style w:type="paragraph" w:customStyle="1" w:styleId="Normalnumbered">
    <w:name w:val="Normal numbered"/>
    <w:basedOn w:val="Normal"/>
    <w:link w:val="NormalnumberedChar"/>
    <w:rsid w:val="005F7F7A"/>
    <w:pPr>
      <w:widowControl/>
      <w:numPr>
        <w:numId w:val="3"/>
      </w:numPr>
      <w:spacing w:after="240" w:line="260" w:lineRule="exact"/>
      <w:jc w:val="both"/>
    </w:pPr>
    <w:rPr>
      <w:rFonts w:ascii="Corbel" w:hAnsi="Corbel"/>
      <w:color w:val="000000"/>
      <w:sz w:val="23"/>
      <w:lang w:val="en-AU"/>
    </w:rPr>
  </w:style>
  <w:style w:type="paragraph" w:customStyle="1" w:styleId="AlphaParagraph">
    <w:name w:val="Alpha Paragraph"/>
    <w:basedOn w:val="Normal"/>
    <w:link w:val="AlphaParagraphCharChar"/>
    <w:rsid w:val="006E6ACD"/>
    <w:pPr>
      <w:widowControl/>
      <w:tabs>
        <w:tab w:val="num" w:pos="0"/>
        <w:tab w:val="num" w:pos="283"/>
        <w:tab w:val="num" w:pos="567"/>
        <w:tab w:val="num" w:pos="1134"/>
        <w:tab w:val="num" w:pos="1418"/>
        <w:tab w:val="num" w:pos="1701"/>
      </w:tabs>
      <w:spacing w:after="240" w:line="260" w:lineRule="exact"/>
      <w:ind w:left="567" w:hanging="363"/>
      <w:jc w:val="both"/>
    </w:pPr>
    <w:rPr>
      <w:rFonts w:ascii="Corbel" w:eastAsia="Times New Roman" w:hAnsi="Corbel" w:cs="Times New Roman"/>
      <w:color w:val="000000"/>
      <w:sz w:val="23"/>
      <w:lang w:val="en-AU" w:eastAsia="en-AU"/>
    </w:rPr>
  </w:style>
  <w:style w:type="character" w:customStyle="1" w:styleId="AlphaParagraphCharChar">
    <w:name w:val="Alpha Paragraph Char Char"/>
    <w:link w:val="AlphaParagraph"/>
    <w:locked/>
    <w:rsid w:val="006E6ACD"/>
    <w:rPr>
      <w:rFonts w:ascii="Corbel" w:eastAsia="Times New Roman" w:hAnsi="Corbel" w:cs="Times New Roman"/>
      <w:color w:val="000000"/>
      <w:sz w:val="23"/>
      <w:szCs w:val="20"/>
      <w:lang w:eastAsia="en-AU"/>
    </w:rPr>
  </w:style>
  <w:style w:type="paragraph" w:styleId="Revision">
    <w:name w:val="Revision"/>
    <w:hidden/>
    <w:uiPriority w:val="99"/>
    <w:semiHidden/>
    <w:rsid w:val="0065682C"/>
    <w:pPr>
      <w:spacing w:after="0" w:line="240" w:lineRule="auto"/>
    </w:pPr>
    <w:rPr>
      <w:lang w:val="en-US"/>
    </w:rPr>
  </w:style>
  <w:style w:type="character" w:customStyle="1" w:styleId="ListParagraphChar">
    <w:name w:val="List Paragraph Char"/>
    <w:aliases w:val="Body text Char,Bullet Point Char,Bullet point Char,Bullet- First level Char,Bulletr List Paragraph Char,Content descriptions Char,Figure_name Char,List NUmber Char,List Paragraph1 Char,List Paragraph11 Char,List Paragraph2 Char"/>
    <w:link w:val="ListParagraph"/>
    <w:uiPriority w:val="34"/>
    <w:qFormat/>
    <w:locked/>
    <w:rsid w:val="0041575E"/>
    <w:rPr>
      <w:lang w:val="en-US"/>
    </w:rPr>
  </w:style>
  <w:style w:type="character" w:customStyle="1" w:styleId="Heading1Char">
    <w:name w:val="Heading 1 Char"/>
    <w:basedOn w:val="DefaultParagraphFont"/>
    <w:link w:val="Heading1"/>
    <w:uiPriority w:val="9"/>
    <w:rsid w:val="00A3099F"/>
    <w:rPr>
      <w:rFonts w:ascii="Corbel" w:eastAsiaTheme="majorEastAsia" w:hAnsi="Corbel" w:cs="Arial"/>
      <w:b/>
      <w:bCs/>
      <w:color w:val="1F4E79" w:themeColor="accent1" w:themeShade="80"/>
      <w:sz w:val="32"/>
      <w:szCs w:val="32"/>
      <w:lang w:val="en-US"/>
    </w:rPr>
  </w:style>
  <w:style w:type="paragraph" w:styleId="NormalWeb">
    <w:name w:val="Normal (Web)"/>
    <w:basedOn w:val="Normal"/>
    <w:uiPriority w:val="99"/>
    <w:unhideWhenUsed/>
    <w:rsid w:val="00EA74D0"/>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UnresolvedMention1">
    <w:name w:val="Unresolved Mention1"/>
    <w:basedOn w:val="DefaultParagraphFont"/>
    <w:uiPriority w:val="99"/>
    <w:semiHidden/>
    <w:unhideWhenUsed/>
    <w:rsid w:val="002B6DD1"/>
    <w:rPr>
      <w:color w:val="605E5C"/>
      <w:shd w:val="clear" w:color="auto" w:fill="E1DFDD"/>
    </w:rPr>
  </w:style>
  <w:style w:type="paragraph" w:customStyle="1" w:styleId="RecommendationBullet">
    <w:name w:val="Recommendation Bullet"/>
    <w:basedOn w:val="Normal"/>
    <w:rsid w:val="00A82AA7"/>
    <w:pPr>
      <w:widowControl/>
      <w:numPr>
        <w:numId w:val="7"/>
      </w:numPr>
      <w:spacing w:after="240" w:line="260" w:lineRule="exact"/>
      <w:jc w:val="both"/>
    </w:pPr>
    <w:rPr>
      <w:rFonts w:ascii="Corbel" w:eastAsia="Times New Roman" w:hAnsi="Corbel" w:cs="Times New Roman"/>
      <w:i/>
      <w:color w:val="000000"/>
      <w:sz w:val="23"/>
      <w:lang w:val="en-AU" w:eastAsia="en-AU"/>
    </w:rPr>
  </w:style>
  <w:style w:type="paragraph" w:customStyle="1" w:styleId="RecommendationDash">
    <w:name w:val="Recommendation Dash"/>
    <w:basedOn w:val="Normal"/>
    <w:rsid w:val="00A82AA7"/>
    <w:pPr>
      <w:widowControl/>
      <w:numPr>
        <w:ilvl w:val="1"/>
        <w:numId w:val="7"/>
      </w:numPr>
      <w:spacing w:after="240" w:line="260" w:lineRule="exact"/>
      <w:jc w:val="both"/>
    </w:pPr>
    <w:rPr>
      <w:rFonts w:ascii="Corbel" w:eastAsia="Times New Roman" w:hAnsi="Corbel" w:cs="Times New Roman"/>
      <w:i/>
      <w:color w:val="000000"/>
      <w:sz w:val="23"/>
      <w:lang w:val="en-AU" w:eastAsia="en-AU"/>
    </w:rPr>
  </w:style>
  <w:style w:type="paragraph" w:customStyle="1" w:styleId="RecommendationDoubleDot">
    <w:name w:val="Recommendation Double Dot"/>
    <w:basedOn w:val="Normal"/>
    <w:rsid w:val="00A82AA7"/>
    <w:pPr>
      <w:widowControl/>
      <w:numPr>
        <w:ilvl w:val="2"/>
        <w:numId w:val="7"/>
      </w:numPr>
      <w:spacing w:after="240" w:line="260" w:lineRule="exact"/>
      <w:jc w:val="both"/>
    </w:pPr>
    <w:rPr>
      <w:rFonts w:ascii="Corbel" w:eastAsia="Times New Roman" w:hAnsi="Corbel" w:cs="Times New Roman"/>
      <w:i/>
      <w:color w:val="000000"/>
      <w:sz w:val="23"/>
      <w:lang w:val="en-AU" w:eastAsia="en-AU"/>
    </w:rPr>
  </w:style>
  <w:style w:type="table" w:styleId="TableGrid">
    <w:name w:val="Table Grid"/>
    <w:basedOn w:val="TableNormal"/>
    <w:uiPriority w:val="39"/>
    <w:rsid w:val="00805D6E"/>
    <w:pPr>
      <w:spacing w:after="0" w:line="240" w:lineRule="auto"/>
    </w:pPr>
    <w:tblPr/>
  </w:style>
  <w:style w:type="character" w:customStyle="1" w:styleId="UnresolvedMention2">
    <w:name w:val="Unresolved Mention2"/>
    <w:basedOn w:val="DefaultParagraphFont"/>
    <w:uiPriority w:val="99"/>
    <w:unhideWhenUsed/>
    <w:rsid w:val="007E2A26"/>
    <w:rPr>
      <w:color w:val="605E5C"/>
      <w:shd w:val="clear" w:color="auto" w:fill="E1DFDD"/>
    </w:rPr>
  </w:style>
  <w:style w:type="character" w:customStyle="1" w:styleId="Mention1">
    <w:name w:val="Mention1"/>
    <w:basedOn w:val="DefaultParagraphFont"/>
    <w:uiPriority w:val="99"/>
    <w:unhideWhenUsed/>
    <w:rsid w:val="007E2A26"/>
    <w:rPr>
      <w:color w:val="2B579A"/>
      <w:shd w:val="clear" w:color="auto" w:fill="E1DFDD"/>
    </w:rPr>
  </w:style>
  <w:style w:type="character" w:customStyle="1" w:styleId="normaltextrun">
    <w:name w:val="normaltextrun"/>
    <w:basedOn w:val="DefaultParagraphFont"/>
    <w:rsid w:val="008A561A"/>
  </w:style>
  <w:style w:type="paragraph" w:customStyle="1" w:styleId="Body">
    <w:name w:val="Body"/>
    <w:link w:val="BodyChar"/>
    <w:qFormat/>
    <w:rsid w:val="00E13B3E"/>
    <w:pPr>
      <w:spacing w:after="120" w:line="280" w:lineRule="atLeast"/>
    </w:pPr>
    <w:rPr>
      <w:rFonts w:ascii="Arial" w:eastAsia="Times" w:hAnsi="Arial" w:cs="Times New Roman"/>
      <w:sz w:val="21"/>
      <w:szCs w:val="20"/>
    </w:rPr>
  </w:style>
  <w:style w:type="paragraph" w:customStyle="1" w:styleId="Bullet1">
    <w:name w:val="Bullet 1"/>
    <w:basedOn w:val="Body"/>
    <w:qFormat/>
    <w:rsid w:val="00F823C6"/>
    <w:pPr>
      <w:numPr>
        <w:numId w:val="11"/>
      </w:numPr>
      <w:spacing w:after="40"/>
    </w:pPr>
  </w:style>
  <w:style w:type="paragraph" w:customStyle="1" w:styleId="Tabletext">
    <w:name w:val="Table text"/>
    <w:uiPriority w:val="3"/>
    <w:qFormat/>
    <w:rsid w:val="00E13B3E"/>
    <w:pPr>
      <w:spacing w:before="80" w:after="60" w:line="240" w:lineRule="auto"/>
    </w:pPr>
    <w:rPr>
      <w:rFonts w:ascii="Arial" w:eastAsia="Times New Roman" w:hAnsi="Arial" w:cs="Times New Roman"/>
      <w:sz w:val="21"/>
      <w:szCs w:val="20"/>
    </w:rPr>
  </w:style>
  <w:style w:type="paragraph" w:customStyle="1" w:styleId="Tablecaption">
    <w:name w:val="Table caption"/>
    <w:next w:val="Body"/>
    <w:uiPriority w:val="3"/>
    <w:qFormat/>
    <w:rsid w:val="00E13B3E"/>
    <w:pPr>
      <w:keepNext/>
      <w:keepLines/>
      <w:spacing w:before="240" w:after="120" w:line="250" w:lineRule="atLeast"/>
    </w:pPr>
    <w:rPr>
      <w:rFonts w:ascii="Arial" w:eastAsia="Times New Roman" w:hAnsi="Arial" w:cs="Times New Roman"/>
      <w:b/>
      <w:sz w:val="21"/>
      <w:szCs w:val="20"/>
    </w:rPr>
  </w:style>
  <w:style w:type="character" w:styleId="FootnoteReference">
    <w:name w:val="footnote reference"/>
    <w:uiPriority w:val="8"/>
    <w:rsid w:val="00E13B3E"/>
    <w:rPr>
      <w:vertAlign w:val="superscript"/>
    </w:rPr>
  </w:style>
  <w:style w:type="paragraph" w:customStyle="1" w:styleId="Bullet2">
    <w:name w:val="Bullet 2"/>
    <w:basedOn w:val="Body"/>
    <w:uiPriority w:val="2"/>
    <w:qFormat/>
    <w:rsid w:val="00F823C6"/>
    <w:pPr>
      <w:numPr>
        <w:ilvl w:val="1"/>
        <w:numId w:val="11"/>
      </w:numPr>
      <w:spacing w:after="40"/>
    </w:pPr>
  </w:style>
  <w:style w:type="paragraph" w:customStyle="1" w:styleId="Bulletafternumbers1">
    <w:name w:val="Bullet after numbers 1"/>
    <w:basedOn w:val="Body"/>
    <w:uiPriority w:val="4"/>
    <w:rsid w:val="00F823C6"/>
    <w:pPr>
      <w:numPr>
        <w:ilvl w:val="2"/>
        <w:numId w:val="10"/>
      </w:numPr>
    </w:pPr>
  </w:style>
  <w:style w:type="paragraph" w:styleId="FootnoteText">
    <w:name w:val="footnote text"/>
    <w:basedOn w:val="Normal"/>
    <w:link w:val="FootnoteTextChar"/>
    <w:uiPriority w:val="8"/>
    <w:rsid w:val="00E13B3E"/>
    <w:pPr>
      <w:widowControl/>
      <w:spacing w:before="60" w:after="60" w:line="220" w:lineRule="atLeast"/>
    </w:pPr>
    <w:rPr>
      <w:rFonts w:ascii="Arial" w:eastAsia="MS Gothic" w:hAnsi="Arial"/>
      <w:sz w:val="18"/>
      <w:szCs w:val="16"/>
      <w:lang w:val="en-AU"/>
    </w:rPr>
  </w:style>
  <w:style w:type="character" w:customStyle="1" w:styleId="FootnoteTextChar">
    <w:name w:val="Footnote Text Char"/>
    <w:basedOn w:val="DefaultParagraphFont"/>
    <w:link w:val="FootnoteText"/>
    <w:uiPriority w:val="8"/>
    <w:rsid w:val="00E13B3E"/>
    <w:rPr>
      <w:rFonts w:ascii="Arial" w:eastAsia="MS Gothic" w:hAnsi="Arial" w:cs="Arial"/>
      <w:sz w:val="18"/>
      <w:szCs w:val="16"/>
    </w:rPr>
  </w:style>
  <w:style w:type="numbering" w:customStyle="1" w:styleId="ZZBullets">
    <w:name w:val="ZZ Bullets"/>
    <w:rsid w:val="00E13B3E"/>
    <w:pPr>
      <w:numPr>
        <w:numId w:val="11"/>
      </w:numPr>
    </w:pPr>
  </w:style>
  <w:style w:type="numbering" w:customStyle="1" w:styleId="ZZNumbersdigit">
    <w:name w:val="ZZ Numbers digit"/>
    <w:rsid w:val="00E13B3E"/>
    <w:pPr>
      <w:numPr>
        <w:numId w:val="9"/>
      </w:numPr>
    </w:pPr>
  </w:style>
  <w:style w:type="paragraph" w:customStyle="1" w:styleId="Numberdigit">
    <w:name w:val="Number digit"/>
    <w:basedOn w:val="Body"/>
    <w:uiPriority w:val="2"/>
    <w:rsid w:val="00F823C6"/>
    <w:pPr>
      <w:numPr>
        <w:numId w:val="10"/>
      </w:numPr>
      <w:tabs>
        <w:tab w:val="clear" w:pos="397"/>
      </w:tabs>
    </w:pPr>
  </w:style>
  <w:style w:type="paragraph" w:customStyle="1" w:styleId="Numberdigitindent">
    <w:name w:val="Number digit indent"/>
    <w:basedOn w:val="Normal"/>
    <w:uiPriority w:val="3"/>
    <w:rsid w:val="00E13B3E"/>
    <w:pPr>
      <w:widowControl/>
      <w:numPr>
        <w:ilvl w:val="1"/>
        <w:numId w:val="10"/>
      </w:numPr>
      <w:spacing w:line="280" w:lineRule="atLeast"/>
    </w:pPr>
    <w:rPr>
      <w:rFonts w:ascii="Arial" w:eastAsia="Times" w:hAnsi="Arial" w:cs="Times New Roman"/>
      <w:sz w:val="21"/>
      <w:lang w:val="en-AU"/>
    </w:rPr>
  </w:style>
  <w:style w:type="paragraph" w:customStyle="1" w:styleId="Bulletafternumbers2">
    <w:name w:val="Bullet after numbers 2"/>
    <w:basedOn w:val="Body"/>
    <w:rsid w:val="00F823C6"/>
    <w:pPr>
      <w:numPr>
        <w:ilvl w:val="3"/>
        <w:numId w:val="10"/>
      </w:numPr>
    </w:pPr>
  </w:style>
  <w:style w:type="character" w:customStyle="1" w:styleId="BodyChar">
    <w:name w:val="Body Char"/>
    <w:basedOn w:val="DefaultParagraphFont"/>
    <w:link w:val="Body"/>
    <w:rsid w:val="00E13B3E"/>
    <w:rPr>
      <w:rFonts w:ascii="Arial" w:eastAsia="Times" w:hAnsi="Arial" w:cs="Times New Roman"/>
      <w:sz w:val="21"/>
      <w:szCs w:val="20"/>
    </w:rPr>
  </w:style>
  <w:style w:type="paragraph" w:styleId="NoSpacing">
    <w:name w:val="No Spacing"/>
    <w:uiPriority w:val="1"/>
    <w:qFormat/>
    <w:rsid w:val="00624A32"/>
    <w:pPr>
      <w:widowControl w:val="0"/>
      <w:spacing w:after="0" w:line="240" w:lineRule="auto"/>
    </w:pPr>
    <w:rPr>
      <w:rFonts w:cs="Arial"/>
      <w:szCs w:val="20"/>
      <w:lang w:val="en-US"/>
    </w:rPr>
  </w:style>
  <w:style w:type="character" w:customStyle="1" w:styleId="null1">
    <w:name w:val="null1"/>
    <w:basedOn w:val="DefaultParagraphFont"/>
    <w:rsid w:val="0074659C"/>
  </w:style>
  <w:style w:type="paragraph" w:customStyle="1" w:styleId="TableParagraph">
    <w:name w:val="Table Paragraph"/>
    <w:basedOn w:val="Normal"/>
    <w:uiPriority w:val="1"/>
    <w:rsid w:val="004B360E"/>
    <w:pPr>
      <w:widowControl/>
      <w:autoSpaceDE w:val="0"/>
      <w:autoSpaceDN w:val="0"/>
      <w:spacing w:before="1" w:after="0"/>
    </w:pPr>
    <w:rPr>
      <w:rFonts w:ascii="Calibri" w:hAnsi="Calibri" w:cs="Calibri"/>
      <w:szCs w:val="22"/>
      <w:lang w:val="en-AU"/>
    </w:rPr>
  </w:style>
  <w:style w:type="table" w:styleId="PlainTable2">
    <w:name w:val="Plain Table 2"/>
    <w:basedOn w:val="TableNormal"/>
    <w:uiPriority w:val="42"/>
    <w:rsid w:val="00E82837"/>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6D22F6"/>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D22F6"/>
  </w:style>
  <w:style w:type="character" w:customStyle="1" w:styleId="contentcontrolboundarysink">
    <w:name w:val="contentcontrolboundarysink"/>
    <w:basedOn w:val="DefaultParagraphFont"/>
    <w:rsid w:val="006D22F6"/>
  </w:style>
  <w:style w:type="character" w:customStyle="1" w:styleId="scxw114721043">
    <w:name w:val="scxw114721043"/>
    <w:basedOn w:val="DefaultParagraphFont"/>
    <w:rsid w:val="006D22F6"/>
  </w:style>
  <w:style w:type="character" w:customStyle="1" w:styleId="tabchar">
    <w:name w:val="tabchar"/>
    <w:basedOn w:val="DefaultParagraphFont"/>
    <w:rsid w:val="006D22F6"/>
  </w:style>
  <w:style w:type="character" w:customStyle="1" w:styleId="wacimagecontainer">
    <w:name w:val="wacimagecontainer"/>
    <w:basedOn w:val="DefaultParagraphFont"/>
    <w:rsid w:val="00970372"/>
  </w:style>
  <w:style w:type="character" w:styleId="UnresolvedMention">
    <w:name w:val="Unresolved Mention"/>
    <w:basedOn w:val="DefaultParagraphFont"/>
    <w:uiPriority w:val="99"/>
    <w:semiHidden/>
    <w:unhideWhenUsed/>
    <w:rsid w:val="00326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954">
      <w:bodyDiv w:val="1"/>
      <w:marLeft w:val="0"/>
      <w:marRight w:val="0"/>
      <w:marTop w:val="0"/>
      <w:marBottom w:val="0"/>
      <w:divBdr>
        <w:top w:val="none" w:sz="0" w:space="0" w:color="auto"/>
        <w:left w:val="none" w:sz="0" w:space="0" w:color="auto"/>
        <w:bottom w:val="none" w:sz="0" w:space="0" w:color="auto"/>
        <w:right w:val="none" w:sz="0" w:space="0" w:color="auto"/>
      </w:divBdr>
    </w:div>
    <w:div w:id="58669930">
      <w:bodyDiv w:val="1"/>
      <w:marLeft w:val="0"/>
      <w:marRight w:val="0"/>
      <w:marTop w:val="0"/>
      <w:marBottom w:val="0"/>
      <w:divBdr>
        <w:top w:val="none" w:sz="0" w:space="0" w:color="auto"/>
        <w:left w:val="none" w:sz="0" w:space="0" w:color="auto"/>
        <w:bottom w:val="none" w:sz="0" w:space="0" w:color="auto"/>
        <w:right w:val="none" w:sz="0" w:space="0" w:color="auto"/>
      </w:divBdr>
    </w:div>
    <w:div w:id="84617505">
      <w:bodyDiv w:val="1"/>
      <w:marLeft w:val="0"/>
      <w:marRight w:val="0"/>
      <w:marTop w:val="0"/>
      <w:marBottom w:val="0"/>
      <w:divBdr>
        <w:top w:val="none" w:sz="0" w:space="0" w:color="auto"/>
        <w:left w:val="none" w:sz="0" w:space="0" w:color="auto"/>
        <w:bottom w:val="none" w:sz="0" w:space="0" w:color="auto"/>
        <w:right w:val="none" w:sz="0" w:space="0" w:color="auto"/>
      </w:divBdr>
    </w:div>
    <w:div w:id="104693432">
      <w:bodyDiv w:val="1"/>
      <w:marLeft w:val="0"/>
      <w:marRight w:val="0"/>
      <w:marTop w:val="0"/>
      <w:marBottom w:val="0"/>
      <w:divBdr>
        <w:top w:val="none" w:sz="0" w:space="0" w:color="auto"/>
        <w:left w:val="none" w:sz="0" w:space="0" w:color="auto"/>
        <w:bottom w:val="none" w:sz="0" w:space="0" w:color="auto"/>
        <w:right w:val="none" w:sz="0" w:space="0" w:color="auto"/>
      </w:divBdr>
    </w:div>
    <w:div w:id="133067305">
      <w:bodyDiv w:val="1"/>
      <w:marLeft w:val="0"/>
      <w:marRight w:val="0"/>
      <w:marTop w:val="0"/>
      <w:marBottom w:val="0"/>
      <w:divBdr>
        <w:top w:val="none" w:sz="0" w:space="0" w:color="auto"/>
        <w:left w:val="none" w:sz="0" w:space="0" w:color="auto"/>
        <w:bottom w:val="none" w:sz="0" w:space="0" w:color="auto"/>
        <w:right w:val="none" w:sz="0" w:space="0" w:color="auto"/>
      </w:divBdr>
    </w:div>
    <w:div w:id="137305616">
      <w:bodyDiv w:val="1"/>
      <w:marLeft w:val="0"/>
      <w:marRight w:val="0"/>
      <w:marTop w:val="0"/>
      <w:marBottom w:val="0"/>
      <w:divBdr>
        <w:top w:val="none" w:sz="0" w:space="0" w:color="auto"/>
        <w:left w:val="none" w:sz="0" w:space="0" w:color="auto"/>
        <w:bottom w:val="none" w:sz="0" w:space="0" w:color="auto"/>
        <w:right w:val="none" w:sz="0" w:space="0" w:color="auto"/>
      </w:divBdr>
    </w:div>
    <w:div w:id="180818869">
      <w:bodyDiv w:val="1"/>
      <w:marLeft w:val="0"/>
      <w:marRight w:val="0"/>
      <w:marTop w:val="0"/>
      <w:marBottom w:val="0"/>
      <w:divBdr>
        <w:top w:val="none" w:sz="0" w:space="0" w:color="auto"/>
        <w:left w:val="none" w:sz="0" w:space="0" w:color="auto"/>
        <w:bottom w:val="none" w:sz="0" w:space="0" w:color="auto"/>
        <w:right w:val="none" w:sz="0" w:space="0" w:color="auto"/>
      </w:divBdr>
      <w:divsChild>
        <w:div w:id="985209459">
          <w:marLeft w:val="274"/>
          <w:marRight w:val="0"/>
          <w:marTop w:val="0"/>
          <w:marBottom w:val="0"/>
          <w:divBdr>
            <w:top w:val="none" w:sz="0" w:space="0" w:color="auto"/>
            <w:left w:val="none" w:sz="0" w:space="0" w:color="auto"/>
            <w:bottom w:val="none" w:sz="0" w:space="0" w:color="auto"/>
            <w:right w:val="none" w:sz="0" w:space="0" w:color="auto"/>
          </w:divBdr>
        </w:div>
        <w:div w:id="1155144943">
          <w:marLeft w:val="274"/>
          <w:marRight w:val="0"/>
          <w:marTop w:val="0"/>
          <w:marBottom w:val="0"/>
          <w:divBdr>
            <w:top w:val="none" w:sz="0" w:space="0" w:color="auto"/>
            <w:left w:val="none" w:sz="0" w:space="0" w:color="auto"/>
            <w:bottom w:val="none" w:sz="0" w:space="0" w:color="auto"/>
            <w:right w:val="none" w:sz="0" w:space="0" w:color="auto"/>
          </w:divBdr>
        </w:div>
        <w:div w:id="1672758437">
          <w:marLeft w:val="274"/>
          <w:marRight w:val="0"/>
          <w:marTop w:val="0"/>
          <w:marBottom w:val="0"/>
          <w:divBdr>
            <w:top w:val="none" w:sz="0" w:space="0" w:color="auto"/>
            <w:left w:val="none" w:sz="0" w:space="0" w:color="auto"/>
            <w:bottom w:val="none" w:sz="0" w:space="0" w:color="auto"/>
            <w:right w:val="none" w:sz="0" w:space="0" w:color="auto"/>
          </w:divBdr>
        </w:div>
      </w:divsChild>
    </w:div>
    <w:div w:id="225727030">
      <w:bodyDiv w:val="1"/>
      <w:marLeft w:val="0"/>
      <w:marRight w:val="0"/>
      <w:marTop w:val="0"/>
      <w:marBottom w:val="0"/>
      <w:divBdr>
        <w:top w:val="none" w:sz="0" w:space="0" w:color="auto"/>
        <w:left w:val="none" w:sz="0" w:space="0" w:color="auto"/>
        <w:bottom w:val="none" w:sz="0" w:space="0" w:color="auto"/>
        <w:right w:val="none" w:sz="0" w:space="0" w:color="auto"/>
      </w:divBdr>
    </w:div>
    <w:div w:id="286664397">
      <w:bodyDiv w:val="1"/>
      <w:marLeft w:val="0"/>
      <w:marRight w:val="0"/>
      <w:marTop w:val="0"/>
      <w:marBottom w:val="0"/>
      <w:divBdr>
        <w:top w:val="none" w:sz="0" w:space="0" w:color="auto"/>
        <w:left w:val="none" w:sz="0" w:space="0" w:color="auto"/>
        <w:bottom w:val="none" w:sz="0" w:space="0" w:color="auto"/>
        <w:right w:val="none" w:sz="0" w:space="0" w:color="auto"/>
      </w:divBdr>
    </w:div>
    <w:div w:id="406926453">
      <w:bodyDiv w:val="1"/>
      <w:marLeft w:val="0"/>
      <w:marRight w:val="0"/>
      <w:marTop w:val="0"/>
      <w:marBottom w:val="0"/>
      <w:divBdr>
        <w:top w:val="none" w:sz="0" w:space="0" w:color="auto"/>
        <w:left w:val="none" w:sz="0" w:space="0" w:color="auto"/>
        <w:bottom w:val="none" w:sz="0" w:space="0" w:color="auto"/>
        <w:right w:val="none" w:sz="0" w:space="0" w:color="auto"/>
      </w:divBdr>
    </w:div>
    <w:div w:id="472210903">
      <w:bodyDiv w:val="1"/>
      <w:marLeft w:val="0"/>
      <w:marRight w:val="0"/>
      <w:marTop w:val="0"/>
      <w:marBottom w:val="0"/>
      <w:divBdr>
        <w:top w:val="none" w:sz="0" w:space="0" w:color="auto"/>
        <w:left w:val="none" w:sz="0" w:space="0" w:color="auto"/>
        <w:bottom w:val="none" w:sz="0" w:space="0" w:color="auto"/>
        <w:right w:val="none" w:sz="0" w:space="0" w:color="auto"/>
      </w:divBdr>
    </w:div>
    <w:div w:id="515510055">
      <w:bodyDiv w:val="1"/>
      <w:marLeft w:val="0"/>
      <w:marRight w:val="0"/>
      <w:marTop w:val="0"/>
      <w:marBottom w:val="0"/>
      <w:divBdr>
        <w:top w:val="none" w:sz="0" w:space="0" w:color="auto"/>
        <w:left w:val="none" w:sz="0" w:space="0" w:color="auto"/>
        <w:bottom w:val="none" w:sz="0" w:space="0" w:color="auto"/>
        <w:right w:val="none" w:sz="0" w:space="0" w:color="auto"/>
      </w:divBdr>
    </w:div>
    <w:div w:id="539246760">
      <w:bodyDiv w:val="1"/>
      <w:marLeft w:val="0"/>
      <w:marRight w:val="0"/>
      <w:marTop w:val="0"/>
      <w:marBottom w:val="0"/>
      <w:divBdr>
        <w:top w:val="none" w:sz="0" w:space="0" w:color="auto"/>
        <w:left w:val="none" w:sz="0" w:space="0" w:color="auto"/>
        <w:bottom w:val="none" w:sz="0" w:space="0" w:color="auto"/>
        <w:right w:val="none" w:sz="0" w:space="0" w:color="auto"/>
      </w:divBdr>
    </w:div>
    <w:div w:id="551423440">
      <w:bodyDiv w:val="1"/>
      <w:marLeft w:val="0"/>
      <w:marRight w:val="0"/>
      <w:marTop w:val="0"/>
      <w:marBottom w:val="0"/>
      <w:divBdr>
        <w:top w:val="none" w:sz="0" w:space="0" w:color="auto"/>
        <w:left w:val="none" w:sz="0" w:space="0" w:color="auto"/>
        <w:bottom w:val="none" w:sz="0" w:space="0" w:color="auto"/>
        <w:right w:val="none" w:sz="0" w:space="0" w:color="auto"/>
      </w:divBdr>
      <w:divsChild>
        <w:div w:id="1362053246">
          <w:marLeft w:val="360"/>
          <w:marRight w:val="0"/>
          <w:marTop w:val="200"/>
          <w:marBottom w:val="0"/>
          <w:divBdr>
            <w:top w:val="none" w:sz="0" w:space="0" w:color="auto"/>
            <w:left w:val="none" w:sz="0" w:space="0" w:color="auto"/>
            <w:bottom w:val="none" w:sz="0" w:space="0" w:color="auto"/>
            <w:right w:val="none" w:sz="0" w:space="0" w:color="auto"/>
          </w:divBdr>
        </w:div>
      </w:divsChild>
    </w:div>
    <w:div w:id="576868619">
      <w:bodyDiv w:val="1"/>
      <w:marLeft w:val="0"/>
      <w:marRight w:val="0"/>
      <w:marTop w:val="0"/>
      <w:marBottom w:val="0"/>
      <w:divBdr>
        <w:top w:val="none" w:sz="0" w:space="0" w:color="auto"/>
        <w:left w:val="none" w:sz="0" w:space="0" w:color="auto"/>
        <w:bottom w:val="none" w:sz="0" w:space="0" w:color="auto"/>
        <w:right w:val="none" w:sz="0" w:space="0" w:color="auto"/>
      </w:divBdr>
    </w:div>
    <w:div w:id="766997105">
      <w:bodyDiv w:val="1"/>
      <w:marLeft w:val="0"/>
      <w:marRight w:val="0"/>
      <w:marTop w:val="0"/>
      <w:marBottom w:val="0"/>
      <w:divBdr>
        <w:top w:val="none" w:sz="0" w:space="0" w:color="auto"/>
        <w:left w:val="none" w:sz="0" w:space="0" w:color="auto"/>
        <w:bottom w:val="none" w:sz="0" w:space="0" w:color="auto"/>
        <w:right w:val="none" w:sz="0" w:space="0" w:color="auto"/>
      </w:divBdr>
    </w:div>
    <w:div w:id="833910902">
      <w:bodyDiv w:val="1"/>
      <w:marLeft w:val="0"/>
      <w:marRight w:val="0"/>
      <w:marTop w:val="0"/>
      <w:marBottom w:val="0"/>
      <w:divBdr>
        <w:top w:val="none" w:sz="0" w:space="0" w:color="auto"/>
        <w:left w:val="none" w:sz="0" w:space="0" w:color="auto"/>
        <w:bottom w:val="none" w:sz="0" w:space="0" w:color="auto"/>
        <w:right w:val="none" w:sz="0" w:space="0" w:color="auto"/>
      </w:divBdr>
    </w:div>
    <w:div w:id="866606207">
      <w:bodyDiv w:val="1"/>
      <w:marLeft w:val="0"/>
      <w:marRight w:val="0"/>
      <w:marTop w:val="0"/>
      <w:marBottom w:val="0"/>
      <w:divBdr>
        <w:top w:val="none" w:sz="0" w:space="0" w:color="auto"/>
        <w:left w:val="none" w:sz="0" w:space="0" w:color="auto"/>
        <w:bottom w:val="none" w:sz="0" w:space="0" w:color="auto"/>
        <w:right w:val="none" w:sz="0" w:space="0" w:color="auto"/>
      </w:divBdr>
    </w:div>
    <w:div w:id="886382534">
      <w:bodyDiv w:val="1"/>
      <w:marLeft w:val="0"/>
      <w:marRight w:val="0"/>
      <w:marTop w:val="0"/>
      <w:marBottom w:val="0"/>
      <w:divBdr>
        <w:top w:val="none" w:sz="0" w:space="0" w:color="auto"/>
        <w:left w:val="none" w:sz="0" w:space="0" w:color="auto"/>
        <w:bottom w:val="none" w:sz="0" w:space="0" w:color="auto"/>
        <w:right w:val="none" w:sz="0" w:space="0" w:color="auto"/>
      </w:divBdr>
      <w:divsChild>
        <w:div w:id="1797985521">
          <w:marLeft w:val="0"/>
          <w:marRight w:val="0"/>
          <w:marTop w:val="0"/>
          <w:marBottom w:val="0"/>
          <w:divBdr>
            <w:top w:val="none" w:sz="0" w:space="0" w:color="auto"/>
            <w:left w:val="none" w:sz="0" w:space="0" w:color="auto"/>
            <w:bottom w:val="none" w:sz="0" w:space="0" w:color="auto"/>
            <w:right w:val="none" w:sz="0" w:space="0" w:color="auto"/>
          </w:divBdr>
        </w:div>
        <w:div w:id="1667827454">
          <w:marLeft w:val="0"/>
          <w:marRight w:val="0"/>
          <w:marTop w:val="0"/>
          <w:marBottom w:val="0"/>
          <w:divBdr>
            <w:top w:val="none" w:sz="0" w:space="0" w:color="auto"/>
            <w:left w:val="none" w:sz="0" w:space="0" w:color="auto"/>
            <w:bottom w:val="none" w:sz="0" w:space="0" w:color="auto"/>
            <w:right w:val="none" w:sz="0" w:space="0" w:color="auto"/>
          </w:divBdr>
        </w:div>
        <w:div w:id="1499421962">
          <w:marLeft w:val="0"/>
          <w:marRight w:val="0"/>
          <w:marTop w:val="0"/>
          <w:marBottom w:val="0"/>
          <w:divBdr>
            <w:top w:val="none" w:sz="0" w:space="0" w:color="auto"/>
            <w:left w:val="none" w:sz="0" w:space="0" w:color="auto"/>
            <w:bottom w:val="none" w:sz="0" w:space="0" w:color="auto"/>
            <w:right w:val="none" w:sz="0" w:space="0" w:color="auto"/>
          </w:divBdr>
        </w:div>
        <w:div w:id="1974751709">
          <w:marLeft w:val="0"/>
          <w:marRight w:val="0"/>
          <w:marTop w:val="0"/>
          <w:marBottom w:val="0"/>
          <w:divBdr>
            <w:top w:val="none" w:sz="0" w:space="0" w:color="auto"/>
            <w:left w:val="none" w:sz="0" w:space="0" w:color="auto"/>
            <w:bottom w:val="none" w:sz="0" w:space="0" w:color="auto"/>
            <w:right w:val="none" w:sz="0" w:space="0" w:color="auto"/>
          </w:divBdr>
        </w:div>
      </w:divsChild>
    </w:div>
    <w:div w:id="945889163">
      <w:bodyDiv w:val="1"/>
      <w:marLeft w:val="0"/>
      <w:marRight w:val="0"/>
      <w:marTop w:val="0"/>
      <w:marBottom w:val="0"/>
      <w:divBdr>
        <w:top w:val="none" w:sz="0" w:space="0" w:color="auto"/>
        <w:left w:val="none" w:sz="0" w:space="0" w:color="auto"/>
        <w:bottom w:val="none" w:sz="0" w:space="0" w:color="auto"/>
        <w:right w:val="none" w:sz="0" w:space="0" w:color="auto"/>
      </w:divBdr>
      <w:divsChild>
        <w:div w:id="908728487">
          <w:marLeft w:val="0"/>
          <w:marRight w:val="0"/>
          <w:marTop w:val="0"/>
          <w:marBottom w:val="0"/>
          <w:divBdr>
            <w:top w:val="none" w:sz="0" w:space="0" w:color="auto"/>
            <w:left w:val="none" w:sz="0" w:space="0" w:color="auto"/>
            <w:bottom w:val="none" w:sz="0" w:space="0" w:color="auto"/>
            <w:right w:val="none" w:sz="0" w:space="0" w:color="auto"/>
          </w:divBdr>
        </w:div>
        <w:div w:id="1206217048">
          <w:marLeft w:val="0"/>
          <w:marRight w:val="0"/>
          <w:marTop w:val="0"/>
          <w:marBottom w:val="0"/>
          <w:divBdr>
            <w:top w:val="none" w:sz="0" w:space="0" w:color="auto"/>
            <w:left w:val="none" w:sz="0" w:space="0" w:color="auto"/>
            <w:bottom w:val="none" w:sz="0" w:space="0" w:color="auto"/>
            <w:right w:val="none" w:sz="0" w:space="0" w:color="auto"/>
          </w:divBdr>
        </w:div>
        <w:div w:id="1927807633">
          <w:marLeft w:val="0"/>
          <w:marRight w:val="0"/>
          <w:marTop w:val="0"/>
          <w:marBottom w:val="0"/>
          <w:divBdr>
            <w:top w:val="none" w:sz="0" w:space="0" w:color="auto"/>
            <w:left w:val="none" w:sz="0" w:space="0" w:color="auto"/>
            <w:bottom w:val="none" w:sz="0" w:space="0" w:color="auto"/>
            <w:right w:val="none" w:sz="0" w:space="0" w:color="auto"/>
          </w:divBdr>
        </w:div>
        <w:div w:id="1946225132">
          <w:marLeft w:val="0"/>
          <w:marRight w:val="0"/>
          <w:marTop w:val="0"/>
          <w:marBottom w:val="0"/>
          <w:divBdr>
            <w:top w:val="none" w:sz="0" w:space="0" w:color="auto"/>
            <w:left w:val="none" w:sz="0" w:space="0" w:color="auto"/>
            <w:bottom w:val="none" w:sz="0" w:space="0" w:color="auto"/>
            <w:right w:val="none" w:sz="0" w:space="0" w:color="auto"/>
          </w:divBdr>
        </w:div>
      </w:divsChild>
    </w:div>
    <w:div w:id="973755347">
      <w:bodyDiv w:val="1"/>
      <w:marLeft w:val="0"/>
      <w:marRight w:val="0"/>
      <w:marTop w:val="0"/>
      <w:marBottom w:val="0"/>
      <w:divBdr>
        <w:top w:val="none" w:sz="0" w:space="0" w:color="auto"/>
        <w:left w:val="none" w:sz="0" w:space="0" w:color="auto"/>
        <w:bottom w:val="none" w:sz="0" w:space="0" w:color="auto"/>
        <w:right w:val="none" w:sz="0" w:space="0" w:color="auto"/>
      </w:divBdr>
    </w:div>
    <w:div w:id="1012296339">
      <w:bodyDiv w:val="1"/>
      <w:marLeft w:val="0"/>
      <w:marRight w:val="0"/>
      <w:marTop w:val="0"/>
      <w:marBottom w:val="0"/>
      <w:divBdr>
        <w:top w:val="none" w:sz="0" w:space="0" w:color="auto"/>
        <w:left w:val="none" w:sz="0" w:space="0" w:color="auto"/>
        <w:bottom w:val="none" w:sz="0" w:space="0" w:color="auto"/>
        <w:right w:val="none" w:sz="0" w:space="0" w:color="auto"/>
      </w:divBdr>
    </w:div>
    <w:div w:id="1084956779">
      <w:bodyDiv w:val="1"/>
      <w:marLeft w:val="0"/>
      <w:marRight w:val="0"/>
      <w:marTop w:val="0"/>
      <w:marBottom w:val="0"/>
      <w:divBdr>
        <w:top w:val="none" w:sz="0" w:space="0" w:color="auto"/>
        <w:left w:val="none" w:sz="0" w:space="0" w:color="auto"/>
        <w:bottom w:val="none" w:sz="0" w:space="0" w:color="auto"/>
        <w:right w:val="none" w:sz="0" w:space="0" w:color="auto"/>
      </w:divBdr>
    </w:div>
    <w:div w:id="1113285003">
      <w:bodyDiv w:val="1"/>
      <w:marLeft w:val="0"/>
      <w:marRight w:val="0"/>
      <w:marTop w:val="0"/>
      <w:marBottom w:val="0"/>
      <w:divBdr>
        <w:top w:val="none" w:sz="0" w:space="0" w:color="auto"/>
        <w:left w:val="none" w:sz="0" w:space="0" w:color="auto"/>
        <w:bottom w:val="none" w:sz="0" w:space="0" w:color="auto"/>
        <w:right w:val="none" w:sz="0" w:space="0" w:color="auto"/>
      </w:divBdr>
    </w:div>
    <w:div w:id="1194878026">
      <w:bodyDiv w:val="1"/>
      <w:marLeft w:val="0"/>
      <w:marRight w:val="0"/>
      <w:marTop w:val="0"/>
      <w:marBottom w:val="0"/>
      <w:divBdr>
        <w:top w:val="none" w:sz="0" w:space="0" w:color="auto"/>
        <w:left w:val="none" w:sz="0" w:space="0" w:color="auto"/>
        <w:bottom w:val="none" w:sz="0" w:space="0" w:color="auto"/>
        <w:right w:val="none" w:sz="0" w:space="0" w:color="auto"/>
      </w:divBdr>
    </w:div>
    <w:div w:id="1213538506">
      <w:bodyDiv w:val="1"/>
      <w:marLeft w:val="0"/>
      <w:marRight w:val="0"/>
      <w:marTop w:val="0"/>
      <w:marBottom w:val="0"/>
      <w:divBdr>
        <w:top w:val="none" w:sz="0" w:space="0" w:color="auto"/>
        <w:left w:val="none" w:sz="0" w:space="0" w:color="auto"/>
        <w:bottom w:val="none" w:sz="0" w:space="0" w:color="auto"/>
        <w:right w:val="none" w:sz="0" w:space="0" w:color="auto"/>
      </w:divBdr>
      <w:divsChild>
        <w:div w:id="139470779">
          <w:marLeft w:val="0"/>
          <w:marRight w:val="0"/>
          <w:marTop w:val="0"/>
          <w:marBottom w:val="0"/>
          <w:divBdr>
            <w:top w:val="none" w:sz="0" w:space="0" w:color="auto"/>
            <w:left w:val="none" w:sz="0" w:space="0" w:color="auto"/>
            <w:bottom w:val="none" w:sz="0" w:space="0" w:color="auto"/>
            <w:right w:val="none" w:sz="0" w:space="0" w:color="auto"/>
          </w:divBdr>
          <w:divsChild>
            <w:div w:id="1192065892">
              <w:marLeft w:val="0"/>
              <w:marRight w:val="0"/>
              <w:marTop w:val="0"/>
              <w:marBottom w:val="0"/>
              <w:divBdr>
                <w:top w:val="none" w:sz="0" w:space="0" w:color="auto"/>
                <w:left w:val="none" w:sz="0" w:space="0" w:color="auto"/>
                <w:bottom w:val="none" w:sz="0" w:space="0" w:color="auto"/>
                <w:right w:val="none" w:sz="0" w:space="0" w:color="auto"/>
              </w:divBdr>
            </w:div>
            <w:div w:id="1595557339">
              <w:marLeft w:val="0"/>
              <w:marRight w:val="0"/>
              <w:marTop w:val="0"/>
              <w:marBottom w:val="0"/>
              <w:divBdr>
                <w:top w:val="none" w:sz="0" w:space="0" w:color="auto"/>
                <w:left w:val="none" w:sz="0" w:space="0" w:color="auto"/>
                <w:bottom w:val="none" w:sz="0" w:space="0" w:color="auto"/>
                <w:right w:val="none" w:sz="0" w:space="0" w:color="auto"/>
              </w:divBdr>
            </w:div>
            <w:div w:id="235668413">
              <w:marLeft w:val="0"/>
              <w:marRight w:val="0"/>
              <w:marTop w:val="0"/>
              <w:marBottom w:val="0"/>
              <w:divBdr>
                <w:top w:val="none" w:sz="0" w:space="0" w:color="auto"/>
                <w:left w:val="none" w:sz="0" w:space="0" w:color="auto"/>
                <w:bottom w:val="none" w:sz="0" w:space="0" w:color="auto"/>
                <w:right w:val="none" w:sz="0" w:space="0" w:color="auto"/>
              </w:divBdr>
            </w:div>
            <w:div w:id="1882091514">
              <w:marLeft w:val="0"/>
              <w:marRight w:val="0"/>
              <w:marTop w:val="0"/>
              <w:marBottom w:val="0"/>
              <w:divBdr>
                <w:top w:val="none" w:sz="0" w:space="0" w:color="auto"/>
                <w:left w:val="none" w:sz="0" w:space="0" w:color="auto"/>
                <w:bottom w:val="none" w:sz="0" w:space="0" w:color="auto"/>
                <w:right w:val="none" w:sz="0" w:space="0" w:color="auto"/>
              </w:divBdr>
            </w:div>
            <w:div w:id="1969119624">
              <w:marLeft w:val="0"/>
              <w:marRight w:val="0"/>
              <w:marTop w:val="0"/>
              <w:marBottom w:val="0"/>
              <w:divBdr>
                <w:top w:val="none" w:sz="0" w:space="0" w:color="auto"/>
                <w:left w:val="none" w:sz="0" w:space="0" w:color="auto"/>
                <w:bottom w:val="none" w:sz="0" w:space="0" w:color="auto"/>
                <w:right w:val="none" w:sz="0" w:space="0" w:color="auto"/>
              </w:divBdr>
            </w:div>
            <w:div w:id="1031800703">
              <w:marLeft w:val="0"/>
              <w:marRight w:val="0"/>
              <w:marTop w:val="0"/>
              <w:marBottom w:val="0"/>
              <w:divBdr>
                <w:top w:val="none" w:sz="0" w:space="0" w:color="auto"/>
                <w:left w:val="none" w:sz="0" w:space="0" w:color="auto"/>
                <w:bottom w:val="none" w:sz="0" w:space="0" w:color="auto"/>
                <w:right w:val="none" w:sz="0" w:space="0" w:color="auto"/>
              </w:divBdr>
            </w:div>
            <w:div w:id="623921956">
              <w:marLeft w:val="0"/>
              <w:marRight w:val="0"/>
              <w:marTop w:val="0"/>
              <w:marBottom w:val="0"/>
              <w:divBdr>
                <w:top w:val="none" w:sz="0" w:space="0" w:color="auto"/>
                <w:left w:val="none" w:sz="0" w:space="0" w:color="auto"/>
                <w:bottom w:val="none" w:sz="0" w:space="0" w:color="auto"/>
                <w:right w:val="none" w:sz="0" w:space="0" w:color="auto"/>
              </w:divBdr>
            </w:div>
            <w:div w:id="1021667226">
              <w:marLeft w:val="0"/>
              <w:marRight w:val="0"/>
              <w:marTop w:val="0"/>
              <w:marBottom w:val="0"/>
              <w:divBdr>
                <w:top w:val="none" w:sz="0" w:space="0" w:color="auto"/>
                <w:left w:val="none" w:sz="0" w:space="0" w:color="auto"/>
                <w:bottom w:val="none" w:sz="0" w:space="0" w:color="auto"/>
                <w:right w:val="none" w:sz="0" w:space="0" w:color="auto"/>
              </w:divBdr>
            </w:div>
            <w:div w:id="919679062">
              <w:marLeft w:val="0"/>
              <w:marRight w:val="0"/>
              <w:marTop w:val="0"/>
              <w:marBottom w:val="0"/>
              <w:divBdr>
                <w:top w:val="none" w:sz="0" w:space="0" w:color="auto"/>
                <w:left w:val="none" w:sz="0" w:space="0" w:color="auto"/>
                <w:bottom w:val="none" w:sz="0" w:space="0" w:color="auto"/>
                <w:right w:val="none" w:sz="0" w:space="0" w:color="auto"/>
              </w:divBdr>
            </w:div>
            <w:div w:id="2036073100">
              <w:marLeft w:val="0"/>
              <w:marRight w:val="0"/>
              <w:marTop w:val="0"/>
              <w:marBottom w:val="0"/>
              <w:divBdr>
                <w:top w:val="none" w:sz="0" w:space="0" w:color="auto"/>
                <w:left w:val="none" w:sz="0" w:space="0" w:color="auto"/>
                <w:bottom w:val="none" w:sz="0" w:space="0" w:color="auto"/>
                <w:right w:val="none" w:sz="0" w:space="0" w:color="auto"/>
              </w:divBdr>
            </w:div>
            <w:div w:id="1031877825">
              <w:marLeft w:val="0"/>
              <w:marRight w:val="0"/>
              <w:marTop w:val="0"/>
              <w:marBottom w:val="0"/>
              <w:divBdr>
                <w:top w:val="none" w:sz="0" w:space="0" w:color="auto"/>
                <w:left w:val="none" w:sz="0" w:space="0" w:color="auto"/>
                <w:bottom w:val="none" w:sz="0" w:space="0" w:color="auto"/>
                <w:right w:val="none" w:sz="0" w:space="0" w:color="auto"/>
              </w:divBdr>
            </w:div>
            <w:div w:id="1958876106">
              <w:marLeft w:val="0"/>
              <w:marRight w:val="0"/>
              <w:marTop w:val="0"/>
              <w:marBottom w:val="0"/>
              <w:divBdr>
                <w:top w:val="none" w:sz="0" w:space="0" w:color="auto"/>
                <w:left w:val="none" w:sz="0" w:space="0" w:color="auto"/>
                <w:bottom w:val="none" w:sz="0" w:space="0" w:color="auto"/>
                <w:right w:val="none" w:sz="0" w:space="0" w:color="auto"/>
              </w:divBdr>
            </w:div>
            <w:div w:id="1174107185">
              <w:marLeft w:val="0"/>
              <w:marRight w:val="0"/>
              <w:marTop w:val="0"/>
              <w:marBottom w:val="0"/>
              <w:divBdr>
                <w:top w:val="none" w:sz="0" w:space="0" w:color="auto"/>
                <w:left w:val="none" w:sz="0" w:space="0" w:color="auto"/>
                <w:bottom w:val="none" w:sz="0" w:space="0" w:color="auto"/>
                <w:right w:val="none" w:sz="0" w:space="0" w:color="auto"/>
              </w:divBdr>
            </w:div>
            <w:div w:id="866260449">
              <w:marLeft w:val="0"/>
              <w:marRight w:val="0"/>
              <w:marTop w:val="0"/>
              <w:marBottom w:val="0"/>
              <w:divBdr>
                <w:top w:val="none" w:sz="0" w:space="0" w:color="auto"/>
                <w:left w:val="none" w:sz="0" w:space="0" w:color="auto"/>
                <w:bottom w:val="none" w:sz="0" w:space="0" w:color="auto"/>
                <w:right w:val="none" w:sz="0" w:space="0" w:color="auto"/>
              </w:divBdr>
            </w:div>
            <w:div w:id="1431702110">
              <w:marLeft w:val="0"/>
              <w:marRight w:val="0"/>
              <w:marTop w:val="0"/>
              <w:marBottom w:val="0"/>
              <w:divBdr>
                <w:top w:val="none" w:sz="0" w:space="0" w:color="auto"/>
                <w:left w:val="none" w:sz="0" w:space="0" w:color="auto"/>
                <w:bottom w:val="none" w:sz="0" w:space="0" w:color="auto"/>
                <w:right w:val="none" w:sz="0" w:space="0" w:color="auto"/>
              </w:divBdr>
            </w:div>
            <w:div w:id="408582439">
              <w:marLeft w:val="0"/>
              <w:marRight w:val="0"/>
              <w:marTop w:val="0"/>
              <w:marBottom w:val="0"/>
              <w:divBdr>
                <w:top w:val="none" w:sz="0" w:space="0" w:color="auto"/>
                <w:left w:val="none" w:sz="0" w:space="0" w:color="auto"/>
                <w:bottom w:val="none" w:sz="0" w:space="0" w:color="auto"/>
                <w:right w:val="none" w:sz="0" w:space="0" w:color="auto"/>
              </w:divBdr>
            </w:div>
            <w:div w:id="1253970311">
              <w:marLeft w:val="0"/>
              <w:marRight w:val="0"/>
              <w:marTop w:val="0"/>
              <w:marBottom w:val="0"/>
              <w:divBdr>
                <w:top w:val="none" w:sz="0" w:space="0" w:color="auto"/>
                <w:left w:val="none" w:sz="0" w:space="0" w:color="auto"/>
                <w:bottom w:val="none" w:sz="0" w:space="0" w:color="auto"/>
                <w:right w:val="none" w:sz="0" w:space="0" w:color="auto"/>
              </w:divBdr>
            </w:div>
            <w:div w:id="1152139479">
              <w:marLeft w:val="0"/>
              <w:marRight w:val="0"/>
              <w:marTop w:val="0"/>
              <w:marBottom w:val="0"/>
              <w:divBdr>
                <w:top w:val="none" w:sz="0" w:space="0" w:color="auto"/>
                <w:left w:val="none" w:sz="0" w:space="0" w:color="auto"/>
                <w:bottom w:val="none" w:sz="0" w:space="0" w:color="auto"/>
                <w:right w:val="none" w:sz="0" w:space="0" w:color="auto"/>
              </w:divBdr>
            </w:div>
            <w:div w:id="31851261">
              <w:marLeft w:val="0"/>
              <w:marRight w:val="0"/>
              <w:marTop w:val="0"/>
              <w:marBottom w:val="0"/>
              <w:divBdr>
                <w:top w:val="none" w:sz="0" w:space="0" w:color="auto"/>
                <w:left w:val="none" w:sz="0" w:space="0" w:color="auto"/>
                <w:bottom w:val="none" w:sz="0" w:space="0" w:color="auto"/>
                <w:right w:val="none" w:sz="0" w:space="0" w:color="auto"/>
              </w:divBdr>
            </w:div>
            <w:div w:id="614289250">
              <w:marLeft w:val="0"/>
              <w:marRight w:val="0"/>
              <w:marTop w:val="0"/>
              <w:marBottom w:val="0"/>
              <w:divBdr>
                <w:top w:val="none" w:sz="0" w:space="0" w:color="auto"/>
                <w:left w:val="none" w:sz="0" w:space="0" w:color="auto"/>
                <w:bottom w:val="none" w:sz="0" w:space="0" w:color="auto"/>
                <w:right w:val="none" w:sz="0" w:space="0" w:color="auto"/>
              </w:divBdr>
            </w:div>
          </w:divsChild>
        </w:div>
        <w:div w:id="1320381725">
          <w:marLeft w:val="0"/>
          <w:marRight w:val="0"/>
          <w:marTop w:val="0"/>
          <w:marBottom w:val="0"/>
          <w:divBdr>
            <w:top w:val="none" w:sz="0" w:space="0" w:color="auto"/>
            <w:left w:val="none" w:sz="0" w:space="0" w:color="auto"/>
            <w:bottom w:val="none" w:sz="0" w:space="0" w:color="auto"/>
            <w:right w:val="none" w:sz="0" w:space="0" w:color="auto"/>
          </w:divBdr>
          <w:divsChild>
            <w:div w:id="1276520917">
              <w:marLeft w:val="0"/>
              <w:marRight w:val="0"/>
              <w:marTop w:val="0"/>
              <w:marBottom w:val="0"/>
              <w:divBdr>
                <w:top w:val="none" w:sz="0" w:space="0" w:color="auto"/>
                <w:left w:val="none" w:sz="0" w:space="0" w:color="auto"/>
                <w:bottom w:val="none" w:sz="0" w:space="0" w:color="auto"/>
                <w:right w:val="none" w:sz="0" w:space="0" w:color="auto"/>
              </w:divBdr>
            </w:div>
            <w:div w:id="669480038">
              <w:marLeft w:val="0"/>
              <w:marRight w:val="0"/>
              <w:marTop w:val="0"/>
              <w:marBottom w:val="0"/>
              <w:divBdr>
                <w:top w:val="none" w:sz="0" w:space="0" w:color="auto"/>
                <w:left w:val="none" w:sz="0" w:space="0" w:color="auto"/>
                <w:bottom w:val="none" w:sz="0" w:space="0" w:color="auto"/>
                <w:right w:val="none" w:sz="0" w:space="0" w:color="auto"/>
              </w:divBdr>
            </w:div>
            <w:div w:id="182479344">
              <w:marLeft w:val="0"/>
              <w:marRight w:val="0"/>
              <w:marTop w:val="0"/>
              <w:marBottom w:val="0"/>
              <w:divBdr>
                <w:top w:val="none" w:sz="0" w:space="0" w:color="auto"/>
                <w:left w:val="none" w:sz="0" w:space="0" w:color="auto"/>
                <w:bottom w:val="none" w:sz="0" w:space="0" w:color="auto"/>
                <w:right w:val="none" w:sz="0" w:space="0" w:color="auto"/>
              </w:divBdr>
            </w:div>
            <w:div w:id="1143081956">
              <w:marLeft w:val="0"/>
              <w:marRight w:val="0"/>
              <w:marTop w:val="0"/>
              <w:marBottom w:val="0"/>
              <w:divBdr>
                <w:top w:val="none" w:sz="0" w:space="0" w:color="auto"/>
                <w:left w:val="none" w:sz="0" w:space="0" w:color="auto"/>
                <w:bottom w:val="none" w:sz="0" w:space="0" w:color="auto"/>
                <w:right w:val="none" w:sz="0" w:space="0" w:color="auto"/>
              </w:divBdr>
            </w:div>
            <w:div w:id="736365445">
              <w:marLeft w:val="0"/>
              <w:marRight w:val="0"/>
              <w:marTop w:val="0"/>
              <w:marBottom w:val="0"/>
              <w:divBdr>
                <w:top w:val="none" w:sz="0" w:space="0" w:color="auto"/>
                <w:left w:val="none" w:sz="0" w:space="0" w:color="auto"/>
                <w:bottom w:val="none" w:sz="0" w:space="0" w:color="auto"/>
                <w:right w:val="none" w:sz="0" w:space="0" w:color="auto"/>
              </w:divBdr>
            </w:div>
            <w:div w:id="688214829">
              <w:marLeft w:val="0"/>
              <w:marRight w:val="0"/>
              <w:marTop w:val="0"/>
              <w:marBottom w:val="0"/>
              <w:divBdr>
                <w:top w:val="none" w:sz="0" w:space="0" w:color="auto"/>
                <w:left w:val="none" w:sz="0" w:space="0" w:color="auto"/>
                <w:bottom w:val="none" w:sz="0" w:space="0" w:color="auto"/>
                <w:right w:val="none" w:sz="0" w:space="0" w:color="auto"/>
              </w:divBdr>
            </w:div>
            <w:div w:id="1427071288">
              <w:marLeft w:val="0"/>
              <w:marRight w:val="0"/>
              <w:marTop w:val="0"/>
              <w:marBottom w:val="0"/>
              <w:divBdr>
                <w:top w:val="none" w:sz="0" w:space="0" w:color="auto"/>
                <w:left w:val="none" w:sz="0" w:space="0" w:color="auto"/>
                <w:bottom w:val="none" w:sz="0" w:space="0" w:color="auto"/>
                <w:right w:val="none" w:sz="0" w:space="0" w:color="auto"/>
              </w:divBdr>
            </w:div>
            <w:div w:id="491485425">
              <w:marLeft w:val="0"/>
              <w:marRight w:val="0"/>
              <w:marTop w:val="0"/>
              <w:marBottom w:val="0"/>
              <w:divBdr>
                <w:top w:val="none" w:sz="0" w:space="0" w:color="auto"/>
                <w:left w:val="none" w:sz="0" w:space="0" w:color="auto"/>
                <w:bottom w:val="none" w:sz="0" w:space="0" w:color="auto"/>
                <w:right w:val="none" w:sz="0" w:space="0" w:color="auto"/>
              </w:divBdr>
            </w:div>
            <w:div w:id="1564833851">
              <w:marLeft w:val="0"/>
              <w:marRight w:val="0"/>
              <w:marTop w:val="0"/>
              <w:marBottom w:val="0"/>
              <w:divBdr>
                <w:top w:val="none" w:sz="0" w:space="0" w:color="auto"/>
                <w:left w:val="none" w:sz="0" w:space="0" w:color="auto"/>
                <w:bottom w:val="none" w:sz="0" w:space="0" w:color="auto"/>
                <w:right w:val="none" w:sz="0" w:space="0" w:color="auto"/>
              </w:divBdr>
            </w:div>
            <w:div w:id="231280772">
              <w:marLeft w:val="0"/>
              <w:marRight w:val="0"/>
              <w:marTop w:val="0"/>
              <w:marBottom w:val="0"/>
              <w:divBdr>
                <w:top w:val="none" w:sz="0" w:space="0" w:color="auto"/>
                <w:left w:val="none" w:sz="0" w:space="0" w:color="auto"/>
                <w:bottom w:val="none" w:sz="0" w:space="0" w:color="auto"/>
                <w:right w:val="none" w:sz="0" w:space="0" w:color="auto"/>
              </w:divBdr>
            </w:div>
            <w:div w:id="821970806">
              <w:marLeft w:val="0"/>
              <w:marRight w:val="0"/>
              <w:marTop w:val="0"/>
              <w:marBottom w:val="0"/>
              <w:divBdr>
                <w:top w:val="none" w:sz="0" w:space="0" w:color="auto"/>
                <w:left w:val="none" w:sz="0" w:space="0" w:color="auto"/>
                <w:bottom w:val="none" w:sz="0" w:space="0" w:color="auto"/>
                <w:right w:val="none" w:sz="0" w:space="0" w:color="auto"/>
              </w:divBdr>
            </w:div>
            <w:div w:id="440808629">
              <w:marLeft w:val="0"/>
              <w:marRight w:val="0"/>
              <w:marTop w:val="0"/>
              <w:marBottom w:val="0"/>
              <w:divBdr>
                <w:top w:val="none" w:sz="0" w:space="0" w:color="auto"/>
                <w:left w:val="none" w:sz="0" w:space="0" w:color="auto"/>
                <w:bottom w:val="none" w:sz="0" w:space="0" w:color="auto"/>
                <w:right w:val="none" w:sz="0" w:space="0" w:color="auto"/>
              </w:divBdr>
            </w:div>
            <w:div w:id="354963252">
              <w:marLeft w:val="0"/>
              <w:marRight w:val="0"/>
              <w:marTop w:val="0"/>
              <w:marBottom w:val="0"/>
              <w:divBdr>
                <w:top w:val="none" w:sz="0" w:space="0" w:color="auto"/>
                <w:left w:val="none" w:sz="0" w:space="0" w:color="auto"/>
                <w:bottom w:val="none" w:sz="0" w:space="0" w:color="auto"/>
                <w:right w:val="none" w:sz="0" w:space="0" w:color="auto"/>
              </w:divBdr>
            </w:div>
            <w:div w:id="430391882">
              <w:marLeft w:val="0"/>
              <w:marRight w:val="0"/>
              <w:marTop w:val="0"/>
              <w:marBottom w:val="0"/>
              <w:divBdr>
                <w:top w:val="none" w:sz="0" w:space="0" w:color="auto"/>
                <w:left w:val="none" w:sz="0" w:space="0" w:color="auto"/>
                <w:bottom w:val="none" w:sz="0" w:space="0" w:color="auto"/>
                <w:right w:val="none" w:sz="0" w:space="0" w:color="auto"/>
              </w:divBdr>
            </w:div>
            <w:div w:id="631668592">
              <w:marLeft w:val="0"/>
              <w:marRight w:val="0"/>
              <w:marTop w:val="0"/>
              <w:marBottom w:val="0"/>
              <w:divBdr>
                <w:top w:val="none" w:sz="0" w:space="0" w:color="auto"/>
                <w:left w:val="none" w:sz="0" w:space="0" w:color="auto"/>
                <w:bottom w:val="none" w:sz="0" w:space="0" w:color="auto"/>
                <w:right w:val="none" w:sz="0" w:space="0" w:color="auto"/>
              </w:divBdr>
            </w:div>
            <w:div w:id="438530621">
              <w:marLeft w:val="0"/>
              <w:marRight w:val="0"/>
              <w:marTop w:val="0"/>
              <w:marBottom w:val="0"/>
              <w:divBdr>
                <w:top w:val="none" w:sz="0" w:space="0" w:color="auto"/>
                <w:left w:val="none" w:sz="0" w:space="0" w:color="auto"/>
                <w:bottom w:val="none" w:sz="0" w:space="0" w:color="auto"/>
                <w:right w:val="none" w:sz="0" w:space="0" w:color="auto"/>
              </w:divBdr>
            </w:div>
            <w:div w:id="668366918">
              <w:marLeft w:val="0"/>
              <w:marRight w:val="0"/>
              <w:marTop w:val="0"/>
              <w:marBottom w:val="0"/>
              <w:divBdr>
                <w:top w:val="none" w:sz="0" w:space="0" w:color="auto"/>
                <w:left w:val="none" w:sz="0" w:space="0" w:color="auto"/>
                <w:bottom w:val="none" w:sz="0" w:space="0" w:color="auto"/>
                <w:right w:val="none" w:sz="0" w:space="0" w:color="auto"/>
              </w:divBdr>
            </w:div>
            <w:div w:id="1345790944">
              <w:marLeft w:val="0"/>
              <w:marRight w:val="0"/>
              <w:marTop w:val="0"/>
              <w:marBottom w:val="0"/>
              <w:divBdr>
                <w:top w:val="none" w:sz="0" w:space="0" w:color="auto"/>
                <w:left w:val="none" w:sz="0" w:space="0" w:color="auto"/>
                <w:bottom w:val="none" w:sz="0" w:space="0" w:color="auto"/>
                <w:right w:val="none" w:sz="0" w:space="0" w:color="auto"/>
              </w:divBdr>
            </w:div>
            <w:div w:id="1413894713">
              <w:marLeft w:val="0"/>
              <w:marRight w:val="0"/>
              <w:marTop w:val="0"/>
              <w:marBottom w:val="0"/>
              <w:divBdr>
                <w:top w:val="none" w:sz="0" w:space="0" w:color="auto"/>
                <w:left w:val="none" w:sz="0" w:space="0" w:color="auto"/>
                <w:bottom w:val="none" w:sz="0" w:space="0" w:color="auto"/>
                <w:right w:val="none" w:sz="0" w:space="0" w:color="auto"/>
              </w:divBdr>
            </w:div>
            <w:div w:id="20790312">
              <w:marLeft w:val="0"/>
              <w:marRight w:val="0"/>
              <w:marTop w:val="0"/>
              <w:marBottom w:val="0"/>
              <w:divBdr>
                <w:top w:val="none" w:sz="0" w:space="0" w:color="auto"/>
                <w:left w:val="none" w:sz="0" w:space="0" w:color="auto"/>
                <w:bottom w:val="none" w:sz="0" w:space="0" w:color="auto"/>
                <w:right w:val="none" w:sz="0" w:space="0" w:color="auto"/>
              </w:divBdr>
            </w:div>
            <w:div w:id="1846818879">
              <w:marLeft w:val="0"/>
              <w:marRight w:val="0"/>
              <w:marTop w:val="0"/>
              <w:marBottom w:val="0"/>
              <w:divBdr>
                <w:top w:val="none" w:sz="0" w:space="0" w:color="auto"/>
                <w:left w:val="none" w:sz="0" w:space="0" w:color="auto"/>
                <w:bottom w:val="none" w:sz="0" w:space="0" w:color="auto"/>
                <w:right w:val="none" w:sz="0" w:space="0" w:color="auto"/>
              </w:divBdr>
            </w:div>
          </w:divsChild>
        </w:div>
        <w:div w:id="534998423">
          <w:marLeft w:val="0"/>
          <w:marRight w:val="0"/>
          <w:marTop w:val="0"/>
          <w:marBottom w:val="0"/>
          <w:divBdr>
            <w:top w:val="none" w:sz="0" w:space="0" w:color="auto"/>
            <w:left w:val="none" w:sz="0" w:space="0" w:color="auto"/>
            <w:bottom w:val="none" w:sz="0" w:space="0" w:color="auto"/>
            <w:right w:val="none" w:sz="0" w:space="0" w:color="auto"/>
          </w:divBdr>
        </w:div>
        <w:div w:id="1567371602">
          <w:marLeft w:val="0"/>
          <w:marRight w:val="0"/>
          <w:marTop w:val="0"/>
          <w:marBottom w:val="0"/>
          <w:divBdr>
            <w:top w:val="none" w:sz="0" w:space="0" w:color="auto"/>
            <w:left w:val="none" w:sz="0" w:space="0" w:color="auto"/>
            <w:bottom w:val="none" w:sz="0" w:space="0" w:color="auto"/>
            <w:right w:val="none" w:sz="0" w:space="0" w:color="auto"/>
          </w:divBdr>
        </w:div>
        <w:div w:id="814761325">
          <w:marLeft w:val="0"/>
          <w:marRight w:val="0"/>
          <w:marTop w:val="0"/>
          <w:marBottom w:val="0"/>
          <w:divBdr>
            <w:top w:val="none" w:sz="0" w:space="0" w:color="auto"/>
            <w:left w:val="none" w:sz="0" w:space="0" w:color="auto"/>
            <w:bottom w:val="none" w:sz="0" w:space="0" w:color="auto"/>
            <w:right w:val="none" w:sz="0" w:space="0" w:color="auto"/>
          </w:divBdr>
        </w:div>
        <w:div w:id="301665468">
          <w:marLeft w:val="0"/>
          <w:marRight w:val="0"/>
          <w:marTop w:val="0"/>
          <w:marBottom w:val="0"/>
          <w:divBdr>
            <w:top w:val="none" w:sz="0" w:space="0" w:color="auto"/>
            <w:left w:val="none" w:sz="0" w:space="0" w:color="auto"/>
            <w:bottom w:val="none" w:sz="0" w:space="0" w:color="auto"/>
            <w:right w:val="none" w:sz="0" w:space="0" w:color="auto"/>
          </w:divBdr>
        </w:div>
        <w:div w:id="158232509">
          <w:marLeft w:val="0"/>
          <w:marRight w:val="0"/>
          <w:marTop w:val="0"/>
          <w:marBottom w:val="0"/>
          <w:divBdr>
            <w:top w:val="none" w:sz="0" w:space="0" w:color="auto"/>
            <w:left w:val="none" w:sz="0" w:space="0" w:color="auto"/>
            <w:bottom w:val="none" w:sz="0" w:space="0" w:color="auto"/>
            <w:right w:val="none" w:sz="0" w:space="0" w:color="auto"/>
          </w:divBdr>
        </w:div>
        <w:div w:id="1297494410">
          <w:marLeft w:val="0"/>
          <w:marRight w:val="0"/>
          <w:marTop w:val="0"/>
          <w:marBottom w:val="0"/>
          <w:divBdr>
            <w:top w:val="none" w:sz="0" w:space="0" w:color="auto"/>
            <w:left w:val="none" w:sz="0" w:space="0" w:color="auto"/>
            <w:bottom w:val="none" w:sz="0" w:space="0" w:color="auto"/>
            <w:right w:val="none" w:sz="0" w:space="0" w:color="auto"/>
          </w:divBdr>
        </w:div>
        <w:div w:id="340282125">
          <w:marLeft w:val="0"/>
          <w:marRight w:val="0"/>
          <w:marTop w:val="0"/>
          <w:marBottom w:val="0"/>
          <w:divBdr>
            <w:top w:val="none" w:sz="0" w:space="0" w:color="auto"/>
            <w:left w:val="none" w:sz="0" w:space="0" w:color="auto"/>
            <w:bottom w:val="none" w:sz="0" w:space="0" w:color="auto"/>
            <w:right w:val="none" w:sz="0" w:space="0" w:color="auto"/>
          </w:divBdr>
        </w:div>
        <w:div w:id="1143160031">
          <w:marLeft w:val="0"/>
          <w:marRight w:val="0"/>
          <w:marTop w:val="0"/>
          <w:marBottom w:val="0"/>
          <w:divBdr>
            <w:top w:val="none" w:sz="0" w:space="0" w:color="auto"/>
            <w:left w:val="none" w:sz="0" w:space="0" w:color="auto"/>
            <w:bottom w:val="none" w:sz="0" w:space="0" w:color="auto"/>
            <w:right w:val="none" w:sz="0" w:space="0" w:color="auto"/>
          </w:divBdr>
        </w:div>
        <w:div w:id="1083449517">
          <w:marLeft w:val="0"/>
          <w:marRight w:val="0"/>
          <w:marTop w:val="0"/>
          <w:marBottom w:val="0"/>
          <w:divBdr>
            <w:top w:val="none" w:sz="0" w:space="0" w:color="auto"/>
            <w:left w:val="none" w:sz="0" w:space="0" w:color="auto"/>
            <w:bottom w:val="none" w:sz="0" w:space="0" w:color="auto"/>
            <w:right w:val="none" w:sz="0" w:space="0" w:color="auto"/>
          </w:divBdr>
        </w:div>
        <w:div w:id="488862900">
          <w:marLeft w:val="0"/>
          <w:marRight w:val="0"/>
          <w:marTop w:val="0"/>
          <w:marBottom w:val="0"/>
          <w:divBdr>
            <w:top w:val="none" w:sz="0" w:space="0" w:color="auto"/>
            <w:left w:val="none" w:sz="0" w:space="0" w:color="auto"/>
            <w:bottom w:val="none" w:sz="0" w:space="0" w:color="auto"/>
            <w:right w:val="none" w:sz="0" w:space="0" w:color="auto"/>
          </w:divBdr>
        </w:div>
        <w:div w:id="1138644601">
          <w:marLeft w:val="0"/>
          <w:marRight w:val="0"/>
          <w:marTop w:val="0"/>
          <w:marBottom w:val="0"/>
          <w:divBdr>
            <w:top w:val="none" w:sz="0" w:space="0" w:color="auto"/>
            <w:left w:val="none" w:sz="0" w:space="0" w:color="auto"/>
            <w:bottom w:val="none" w:sz="0" w:space="0" w:color="auto"/>
            <w:right w:val="none" w:sz="0" w:space="0" w:color="auto"/>
          </w:divBdr>
        </w:div>
        <w:div w:id="1917326003">
          <w:marLeft w:val="0"/>
          <w:marRight w:val="0"/>
          <w:marTop w:val="0"/>
          <w:marBottom w:val="0"/>
          <w:divBdr>
            <w:top w:val="none" w:sz="0" w:space="0" w:color="auto"/>
            <w:left w:val="none" w:sz="0" w:space="0" w:color="auto"/>
            <w:bottom w:val="none" w:sz="0" w:space="0" w:color="auto"/>
            <w:right w:val="none" w:sz="0" w:space="0" w:color="auto"/>
          </w:divBdr>
        </w:div>
        <w:div w:id="2062707201">
          <w:marLeft w:val="0"/>
          <w:marRight w:val="0"/>
          <w:marTop w:val="0"/>
          <w:marBottom w:val="0"/>
          <w:divBdr>
            <w:top w:val="none" w:sz="0" w:space="0" w:color="auto"/>
            <w:left w:val="none" w:sz="0" w:space="0" w:color="auto"/>
            <w:bottom w:val="none" w:sz="0" w:space="0" w:color="auto"/>
            <w:right w:val="none" w:sz="0" w:space="0" w:color="auto"/>
          </w:divBdr>
        </w:div>
        <w:div w:id="1398742202">
          <w:marLeft w:val="0"/>
          <w:marRight w:val="0"/>
          <w:marTop w:val="0"/>
          <w:marBottom w:val="0"/>
          <w:divBdr>
            <w:top w:val="none" w:sz="0" w:space="0" w:color="auto"/>
            <w:left w:val="none" w:sz="0" w:space="0" w:color="auto"/>
            <w:bottom w:val="none" w:sz="0" w:space="0" w:color="auto"/>
            <w:right w:val="none" w:sz="0" w:space="0" w:color="auto"/>
          </w:divBdr>
        </w:div>
        <w:div w:id="367920956">
          <w:marLeft w:val="0"/>
          <w:marRight w:val="0"/>
          <w:marTop w:val="0"/>
          <w:marBottom w:val="0"/>
          <w:divBdr>
            <w:top w:val="none" w:sz="0" w:space="0" w:color="auto"/>
            <w:left w:val="none" w:sz="0" w:space="0" w:color="auto"/>
            <w:bottom w:val="none" w:sz="0" w:space="0" w:color="auto"/>
            <w:right w:val="none" w:sz="0" w:space="0" w:color="auto"/>
          </w:divBdr>
        </w:div>
        <w:div w:id="2057236">
          <w:marLeft w:val="0"/>
          <w:marRight w:val="0"/>
          <w:marTop w:val="0"/>
          <w:marBottom w:val="0"/>
          <w:divBdr>
            <w:top w:val="none" w:sz="0" w:space="0" w:color="auto"/>
            <w:left w:val="none" w:sz="0" w:space="0" w:color="auto"/>
            <w:bottom w:val="none" w:sz="0" w:space="0" w:color="auto"/>
            <w:right w:val="none" w:sz="0" w:space="0" w:color="auto"/>
          </w:divBdr>
        </w:div>
        <w:div w:id="2144735847">
          <w:marLeft w:val="0"/>
          <w:marRight w:val="0"/>
          <w:marTop w:val="0"/>
          <w:marBottom w:val="0"/>
          <w:divBdr>
            <w:top w:val="none" w:sz="0" w:space="0" w:color="auto"/>
            <w:left w:val="none" w:sz="0" w:space="0" w:color="auto"/>
            <w:bottom w:val="none" w:sz="0" w:space="0" w:color="auto"/>
            <w:right w:val="none" w:sz="0" w:space="0" w:color="auto"/>
          </w:divBdr>
        </w:div>
        <w:div w:id="236064236">
          <w:marLeft w:val="0"/>
          <w:marRight w:val="0"/>
          <w:marTop w:val="0"/>
          <w:marBottom w:val="0"/>
          <w:divBdr>
            <w:top w:val="none" w:sz="0" w:space="0" w:color="auto"/>
            <w:left w:val="none" w:sz="0" w:space="0" w:color="auto"/>
            <w:bottom w:val="none" w:sz="0" w:space="0" w:color="auto"/>
            <w:right w:val="none" w:sz="0" w:space="0" w:color="auto"/>
          </w:divBdr>
        </w:div>
        <w:div w:id="763573517">
          <w:marLeft w:val="0"/>
          <w:marRight w:val="0"/>
          <w:marTop w:val="0"/>
          <w:marBottom w:val="0"/>
          <w:divBdr>
            <w:top w:val="none" w:sz="0" w:space="0" w:color="auto"/>
            <w:left w:val="none" w:sz="0" w:space="0" w:color="auto"/>
            <w:bottom w:val="none" w:sz="0" w:space="0" w:color="auto"/>
            <w:right w:val="none" w:sz="0" w:space="0" w:color="auto"/>
          </w:divBdr>
        </w:div>
        <w:div w:id="1442915136">
          <w:marLeft w:val="0"/>
          <w:marRight w:val="0"/>
          <w:marTop w:val="0"/>
          <w:marBottom w:val="0"/>
          <w:divBdr>
            <w:top w:val="none" w:sz="0" w:space="0" w:color="auto"/>
            <w:left w:val="none" w:sz="0" w:space="0" w:color="auto"/>
            <w:bottom w:val="none" w:sz="0" w:space="0" w:color="auto"/>
            <w:right w:val="none" w:sz="0" w:space="0" w:color="auto"/>
          </w:divBdr>
        </w:div>
        <w:div w:id="1562786906">
          <w:marLeft w:val="0"/>
          <w:marRight w:val="0"/>
          <w:marTop w:val="0"/>
          <w:marBottom w:val="0"/>
          <w:divBdr>
            <w:top w:val="none" w:sz="0" w:space="0" w:color="auto"/>
            <w:left w:val="none" w:sz="0" w:space="0" w:color="auto"/>
            <w:bottom w:val="none" w:sz="0" w:space="0" w:color="auto"/>
            <w:right w:val="none" w:sz="0" w:space="0" w:color="auto"/>
          </w:divBdr>
        </w:div>
        <w:div w:id="1481848257">
          <w:marLeft w:val="0"/>
          <w:marRight w:val="0"/>
          <w:marTop w:val="0"/>
          <w:marBottom w:val="0"/>
          <w:divBdr>
            <w:top w:val="none" w:sz="0" w:space="0" w:color="auto"/>
            <w:left w:val="none" w:sz="0" w:space="0" w:color="auto"/>
            <w:bottom w:val="none" w:sz="0" w:space="0" w:color="auto"/>
            <w:right w:val="none" w:sz="0" w:space="0" w:color="auto"/>
          </w:divBdr>
        </w:div>
        <w:div w:id="1306468519">
          <w:marLeft w:val="0"/>
          <w:marRight w:val="0"/>
          <w:marTop w:val="0"/>
          <w:marBottom w:val="0"/>
          <w:divBdr>
            <w:top w:val="none" w:sz="0" w:space="0" w:color="auto"/>
            <w:left w:val="none" w:sz="0" w:space="0" w:color="auto"/>
            <w:bottom w:val="none" w:sz="0" w:space="0" w:color="auto"/>
            <w:right w:val="none" w:sz="0" w:space="0" w:color="auto"/>
          </w:divBdr>
        </w:div>
      </w:divsChild>
    </w:div>
    <w:div w:id="1243182236">
      <w:bodyDiv w:val="1"/>
      <w:marLeft w:val="0"/>
      <w:marRight w:val="0"/>
      <w:marTop w:val="0"/>
      <w:marBottom w:val="0"/>
      <w:divBdr>
        <w:top w:val="none" w:sz="0" w:space="0" w:color="auto"/>
        <w:left w:val="none" w:sz="0" w:space="0" w:color="auto"/>
        <w:bottom w:val="none" w:sz="0" w:space="0" w:color="auto"/>
        <w:right w:val="none" w:sz="0" w:space="0" w:color="auto"/>
      </w:divBdr>
    </w:div>
    <w:div w:id="1263759260">
      <w:bodyDiv w:val="1"/>
      <w:marLeft w:val="0"/>
      <w:marRight w:val="0"/>
      <w:marTop w:val="0"/>
      <w:marBottom w:val="0"/>
      <w:divBdr>
        <w:top w:val="none" w:sz="0" w:space="0" w:color="auto"/>
        <w:left w:val="none" w:sz="0" w:space="0" w:color="auto"/>
        <w:bottom w:val="none" w:sz="0" w:space="0" w:color="auto"/>
        <w:right w:val="none" w:sz="0" w:space="0" w:color="auto"/>
      </w:divBdr>
      <w:divsChild>
        <w:div w:id="1531261402">
          <w:marLeft w:val="0"/>
          <w:marRight w:val="0"/>
          <w:marTop w:val="0"/>
          <w:marBottom w:val="0"/>
          <w:divBdr>
            <w:top w:val="none" w:sz="0" w:space="0" w:color="auto"/>
            <w:left w:val="none" w:sz="0" w:space="0" w:color="auto"/>
            <w:bottom w:val="none" w:sz="0" w:space="0" w:color="auto"/>
            <w:right w:val="none" w:sz="0" w:space="0" w:color="auto"/>
          </w:divBdr>
        </w:div>
        <w:div w:id="403644680">
          <w:marLeft w:val="0"/>
          <w:marRight w:val="0"/>
          <w:marTop w:val="0"/>
          <w:marBottom w:val="0"/>
          <w:divBdr>
            <w:top w:val="none" w:sz="0" w:space="0" w:color="auto"/>
            <w:left w:val="none" w:sz="0" w:space="0" w:color="auto"/>
            <w:bottom w:val="none" w:sz="0" w:space="0" w:color="auto"/>
            <w:right w:val="none" w:sz="0" w:space="0" w:color="auto"/>
          </w:divBdr>
        </w:div>
        <w:div w:id="1037388858">
          <w:marLeft w:val="0"/>
          <w:marRight w:val="0"/>
          <w:marTop w:val="0"/>
          <w:marBottom w:val="0"/>
          <w:divBdr>
            <w:top w:val="none" w:sz="0" w:space="0" w:color="auto"/>
            <w:left w:val="none" w:sz="0" w:space="0" w:color="auto"/>
            <w:bottom w:val="none" w:sz="0" w:space="0" w:color="auto"/>
            <w:right w:val="none" w:sz="0" w:space="0" w:color="auto"/>
          </w:divBdr>
        </w:div>
        <w:div w:id="2092045055">
          <w:marLeft w:val="0"/>
          <w:marRight w:val="0"/>
          <w:marTop w:val="0"/>
          <w:marBottom w:val="0"/>
          <w:divBdr>
            <w:top w:val="none" w:sz="0" w:space="0" w:color="auto"/>
            <w:left w:val="none" w:sz="0" w:space="0" w:color="auto"/>
            <w:bottom w:val="none" w:sz="0" w:space="0" w:color="auto"/>
            <w:right w:val="none" w:sz="0" w:space="0" w:color="auto"/>
          </w:divBdr>
        </w:div>
      </w:divsChild>
    </w:div>
    <w:div w:id="1385300000">
      <w:bodyDiv w:val="1"/>
      <w:marLeft w:val="0"/>
      <w:marRight w:val="0"/>
      <w:marTop w:val="0"/>
      <w:marBottom w:val="0"/>
      <w:divBdr>
        <w:top w:val="none" w:sz="0" w:space="0" w:color="auto"/>
        <w:left w:val="none" w:sz="0" w:space="0" w:color="auto"/>
        <w:bottom w:val="none" w:sz="0" w:space="0" w:color="auto"/>
        <w:right w:val="none" w:sz="0" w:space="0" w:color="auto"/>
      </w:divBdr>
    </w:div>
    <w:div w:id="1416171127">
      <w:bodyDiv w:val="1"/>
      <w:marLeft w:val="0"/>
      <w:marRight w:val="0"/>
      <w:marTop w:val="0"/>
      <w:marBottom w:val="0"/>
      <w:divBdr>
        <w:top w:val="none" w:sz="0" w:space="0" w:color="auto"/>
        <w:left w:val="none" w:sz="0" w:space="0" w:color="auto"/>
        <w:bottom w:val="none" w:sz="0" w:space="0" w:color="auto"/>
        <w:right w:val="none" w:sz="0" w:space="0" w:color="auto"/>
      </w:divBdr>
    </w:div>
    <w:div w:id="1430001340">
      <w:bodyDiv w:val="1"/>
      <w:marLeft w:val="0"/>
      <w:marRight w:val="0"/>
      <w:marTop w:val="0"/>
      <w:marBottom w:val="0"/>
      <w:divBdr>
        <w:top w:val="none" w:sz="0" w:space="0" w:color="auto"/>
        <w:left w:val="none" w:sz="0" w:space="0" w:color="auto"/>
        <w:bottom w:val="none" w:sz="0" w:space="0" w:color="auto"/>
        <w:right w:val="none" w:sz="0" w:space="0" w:color="auto"/>
      </w:divBdr>
    </w:div>
    <w:div w:id="1462186324">
      <w:bodyDiv w:val="1"/>
      <w:marLeft w:val="0"/>
      <w:marRight w:val="0"/>
      <w:marTop w:val="0"/>
      <w:marBottom w:val="0"/>
      <w:divBdr>
        <w:top w:val="none" w:sz="0" w:space="0" w:color="auto"/>
        <w:left w:val="none" w:sz="0" w:space="0" w:color="auto"/>
        <w:bottom w:val="none" w:sz="0" w:space="0" w:color="auto"/>
        <w:right w:val="none" w:sz="0" w:space="0" w:color="auto"/>
      </w:divBdr>
    </w:div>
    <w:div w:id="1509101760">
      <w:bodyDiv w:val="1"/>
      <w:marLeft w:val="0"/>
      <w:marRight w:val="0"/>
      <w:marTop w:val="0"/>
      <w:marBottom w:val="0"/>
      <w:divBdr>
        <w:top w:val="none" w:sz="0" w:space="0" w:color="auto"/>
        <w:left w:val="none" w:sz="0" w:space="0" w:color="auto"/>
        <w:bottom w:val="none" w:sz="0" w:space="0" w:color="auto"/>
        <w:right w:val="none" w:sz="0" w:space="0" w:color="auto"/>
      </w:divBdr>
    </w:div>
    <w:div w:id="1562248155">
      <w:bodyDiv w:val="1"/>
      <w:marLeft w:val="0"/>
      <w:marRight w:val="0"/>
      <w:marTop w:val="0"/>
      <w:marBottom w:val="0"/>
      <w:divBdr>
        <w:top w:val="none" w:sz="0" w:space="0" w:color="auto"/>
        <w:left w:val="none" w:sz="0" w:space="0" w:color="auto"/>
        <w:bottom w:val="none" w:sz="0" w:space="0" w:color="auto"/>
        <w:right w:val="none" w:sz="0" w:space="0" w:color="auto"/>
      </w:divBdr>
      <w:divsChild>
        <w:div w:id="1524903348">
          <w:marLeft w:val="0"/>
          <w:marRight w:val="0"/>
          <w:marTop w:val="0"/>
          <w:marBottom w:val="0"/>
          <w:divBdr>
            <w:top w:val="none" w:sz="0" w:space="0" w:color="auto"/>
            <w:left w:val="none" w:sz="0" w:space="0" w:color="auto"/>
            <w:bottom w:val="none" w:sz="0" w:space="0" w:color="auto"/>
            <w:right w:val="none" w:sz="0" w:space="0" w:color="auto"/>
          </w:divBdr>
          <w:divsChild>
            <w:div w:id="864756380">
              <w:marLeft w:val="0"/>
              <w:marRight w:val="0"/>
              <w:marTop w:val="0"/>
              <w:marBottom w:val="0"/>
              <w:divBdr>
                <w:top w:val="none" w:sz="0" w:space="0" w:color="auto"/>
                <w:left w:val="none" w:sz="0" w:space="0" w:color="auto"/>
                <w:bottom w:val="none" w:sz="0" w:space="0" w:color="auto"/>
                <w:right w:val="none" w:sz="0" w:space="0" w:color="auto"/>
              </w:divBdr>
              <w:divsChild>
                <w:div w:id="10040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77429">
      <w:bodyDiv w:val="1"/>
      <w:marLeft w:val="0"/>
      <w:marRight w:val="0"/>
      <w:marTop w:val="0"/>
      <w:marBottom w:val="0"/>
      <w:divBdr>
        <w:top w:val="none" w:sz="0" w:space="0" w:color="auto"/>
        <w:left w:val="none" w:sz="0" w:space="0" w:color="auto"/>
        <w:bottom w:val="none" w:sz="0" w:space="0" w:color="auto"/>
        <w:right w:val="none" w:sz="0" w:space="0" w:color="auto"/>
      </w:divBdr>
    </w:div>
    <w:div w:id="1654986486">
      <w:bodyDiv w:val="1"/>
      <w:marLeft w:val="0"/>
      <w:marRight w:val="0"/>
      <w:marTop w:val="0"/>
      <w:marBottom w:val="0"/>
      <w:divBdr>
        <w:top w:val="none" w:sz="0" w:space="0" w:color="auto"/>
        <w:left w:val="none" w:sz="0" w:space="0" w:color="auto"/>
        <w:bottom w:val="none" w:sz="0" w:space="0" w:color="auto"/>
        <w:right w:val="none" w:sz="0" w:space="0" w:color="auto"/>
      </w:divBdr>
    </w:div>
    <w:div w:id="1713991275">
      <w:bodyDiv w:val="1"/>
      <w:marLeft w:val="0"/>
      <w:marRight w:val="0"/>
      <w:marTop w:val="0"/>
      <w:marBottom w:val="0"/>
      <w:divBdr>
        <w:top w:val="none" w:sz="0" w:space="0" w:color="auto"/>
        <w:left w:val="none" w:sz="0" w:space="0" w:color="auto"/>
        <w:bottom w:val="none" w:sz="0" w:space="0" w:color="auto"/>
        <w:right w:val="none" w:sz="0" w:space="0" w:color="auto"/>
      </w:divBdr>
      <w:divsChild>
        <w:div w:id="660080573">
          <w:marLeft w:val="1166"/>
          <w:marRight w:val="0"/>
          <w:marTop w:val="20"/>
          <w:marBottom w:val="20"/>
          <w:divBdr>
            <w:top w:val="none" w:sz="0" w:space="0" w:color="auto"/>
            <w:left w:val="none" w:sz="0" w:space="0" w:color="auto"/>
            <w:bottom w:val="none" w:sz="0" w:space="0" w:color="auto"/>
            <w:right w:val="none" w:sz="0" w:space="0" w:color="auto"/>
          </w:divBdr>
        </w:div>
        <w:div w:id="734200333">
          <w:marLeft w:val="1166"/>
          <w:marRight w:val="0"/>
          <w:marTop w:val="20"/>
          <w:marBottom w:val="20"/>
          <w:divBdr>
            <w:top w:val="none" w:sz="0" w:space="0" w:color="auto"/>
            <w:left w:val="none" w:sz="0" w:space="0" w:color="auto"/>
            <w:bottom w:val="none" w:sz="0" w:space="0" w:color="auto"/>
            <w:right w:val="none" w:sz="0" w:space="0" w:color="auto"/>
          </w:divBdr>
        </w:div>
        <w:div w:id="741411718">
          <w:marLeft w:val="1166"/>
          <w:marRight w:val="0"/>
          <w:marTop w:val="20"/>
          <w:marBottom w:val="20"/>
          <w:divBdr>
            <w:top w:val="none" w:sz="0" w:space="0" w:color="auto"/>
            <w:left w:val="none" w:sz="0" w:space="0" w:color="auto"/>
            <w:bottom w:val="none" w:sz="0" w:space="0" w:color="auto"/>
            <w:right w:val="none" w:sz="0" w:space="0" w:color="auto"/>
          </w:divBdr>
        </w:div>
        <w:div w:id="1289240941">
          <w:marLeft w:val="1166"/>
          <w:marRight w:val="0"/>
          <w:marTop w:val="20"/>
          <w:marBottom w:val="20"/>
          <w:divBdr>
            <w:top w:val="none" w:sz="0" w:space="0" w:color="auto"/>
            <w:left w:val="none" w:sz="0" w:space="0" w:color="auto"/>
            <w:bottom w:val="none" w:sz="0" w:space="0" w:color="auto"/>
            <w:right w:val="none" w:sz="0" w:space="0" w:color="auto"/>
          </w:divBdr>
        </w:div>
        <w:div w:id="1594432710">
          <w:marLeft w:val="1166"/>
          <w:marRight w:val="0"/>
          <w:marTop w:val="20"/>
          <w:marBottom w:val="20"/>
          <w:divBdr>
            <w:top w:val="none" w:sz="0" w:space="0" w:color="auto"/>
            <w:left w:val="none" w:sz="0" w:space="0" w:color="auto"/>
            <w:bottom w:val="none" w:sz="0" w:space="0" w:color="auto"/>
            <w:right w:val="none" w:sz="0" w:space="0" w:color="auto"/>
          </w:divBdr>
        </w:div>
        <w:div w:id="1759980217">
          <w:marLeft w:val="1166"/>
          <w:marRight w:val="0"/>
          <w:marTop w:val="20"/>
          <w:marBottom w:val="20"/>
          <w:divBdr>
            <w:top w:val="none" w:sz="0" w:space="0" w:color="auto"/>
            <w:left w:val="none" w:sz="0" w:space="0" w:color="auto"/>
            <w:bottom w:val="none" w:sz="0" w:space="0" w:color="auto"/>
            <w:right w:val="none" w:sz="0" w:space="0" w:color="auto"/>
          </w:divBdr>
        </w:div>
      </w:divsChild>
    </w:div>
    <w:div w:id="1765375374">
      <w:bodyDiv w:val="1"/>
      <w:marLeft w:val="0"/>
      <w:marRight w:val="0"/>
      <w:marTop w:val="0"/>
      <w:marBottom w:val="0"/>
      <w:divBdr>
        <w:top w:val="none" w:sz="0" w:space="0" w:color="auto"/>
        <w:left w:val="none" w:sz="0" w:space="0" w:color="auto"/>
        <w:bottom w:val="none" w:sz="0" w:space="0" w:color="auto"/>
        <w:right w:val="none" w:sz="0" w:space="0" w:color="auto"/>
      </w:divBdr>
    </w:div>
    <w:div w:id="1777168391">
      <w:bodyDiv w:val="1"/>
      <w:marLeft w:val="0"/>
      <w:marRight w:val="0"/>
      <w:marTop w:val="0"/>
      <w:marBottom w:val="0"/>
      <w:divBdr>
        <w:top w:val="none" w:sz="0" w:space="0" w:color="auto"/>
        <w:left w:val="none" w:sz="0" w:space="0" w:color="auto"/>
        <w:bottom w:val="none" w:sz="0" w:space="0" w:color="auto"/>
        <w:right w:val="none" w:sz="0" w:space="0" w:color="auto"/>
      </w:divBdr>
    </w:div>
    <w:div w:id="1810442584">
      <w:bodyDiv w:val="1"/>
      <w:marLeft w:val="0"/>
      <w:marRight w:val="0"/>
      <w:marTop w:val="0"/>
      <w:marBottom w:val="0"/>
      <w:divBdr>
        <w:top w:val="none" w:sz="0" w:space="0" w:color="auto"/>
        <w:left w:val="none" w:sz="0" w:space="0" w:color="auto"/>
        <w:bottom w:val="none" w:sz="0" w:space="0" w:color="auto"/>
        <w:right w:val="none" w:sz="0" w:space="0" w:color="auto"/>
      </w:divBdr>
      <w:divsChild>
        <w:div w:id="275984171">
          <w:marLeft w:val="274"/>
          <w:marRight w:val="0"/>
          <w:marTop w:val="0"/>
          <w:marBottom w:val="0"/>
          <w:divBdr>
            <w:top w:val="none" w:sz="0" w:space="0" w:color="auto"/>
            <w:left w:val="none" w:sz="0" w:space="0" w:color="auto"/>
            <w:bottom w:val="none" w:sz="0" w:space="0" w:color="auto"/>
            <w:right w:val="none" w:sz="0" w:space="0" w:color="auto"/>
          </w:divBdr>
        </w:div>
        <w:div w:id="401178459">
          <w:marLeft w:val="274"/>
          <w:marRight w:val="0"/>
          <w:marTop w:val="0"/>
          <w:marBottom w:val="0"/>
          <w:divBdr>
            <w:top w:val="none" w:sz="0" w:space="0" w:color="auto"/>
            <w:left w:val="none" w:sz="0" w:space="0" w:color="auto"/>
            <w:bottom w:val="none" w:sz="0" w:space="0" w:color="auto"/>
            <w:right w:val="none" w:sz="0" w:space="0" w:color="auto"/>
          </w:divBdr>
        </w:div>
        <w:div w:id="1071319031">
          <w:marLeft w:val="274"/>
          <w:marRight w:val="0"/>
          <w:marTop w:val="0"/>
          <w:marBottom w:val="0"/>
          <w:divBdr>
            <w:top w:val="none" w:sz="0" w:space="0" w:color="auto"/>
            <w:left w:val="none" w:sz="0" w:space="0" w:color="auto"/>
            <w:bottom w:val="none" w:sz="0" w:space="0" w:color="auto"/>
            <w:right w:val="none" w:sz="0" w:space="0" w:color="auto"/>
          </w:divBdr>
        </w:div>
      </w:divsChild>
    </w:div>
    <w:div w:id="1815946690">
      <w:bodyDiv w:val="1"/>
      <w:marLeft w:val="0"/>
      <w:marRight w:val="0"/>
      <w:marTop w:val="0"/>
      <w:marBottom w:val="0"/>
      <w:divBdr>
        <w:top w:val="none" w:sz="0" w:space="0" w:color="auto"/>
        <w:left w:val="none" w:sz="0" w:space="0" w:color="auto"/>
        <w:bottom w:val="none" w:sz="0" w:space="0" w:color="auto"/>
        <w:right w:val="none" w:sz="0" w:space="0" w:color="auto"/>
      </w:divBdr>
    </w:div>
    <w:div w:id="1829831621">
      <w:bodyDiv w:val="1"/>
      <w:marLeft w:val="0"/>
      <w:marRight w:val="0"/>
      <w:marTop w:val="0"/>
      <w:marBottom w:val="0"/>
      <w:divBdr>
        <w:top w:val="none" w:sz="0" w:space="0" w:color="auto"/>
        <w:left w:val="none" w:sz="0" w:space="0" w:color="auto"/>
        <w:bottom w:val="none" w:sz="0" w:space="0" w:color="auto"/>
        <w:right w:val="none" w:sz="0" w:space="0" w:color="auto"/>
      </w:divBdr>
      <w:divsChild>
        <w:div w:id="410277274">
          <w:marLeft w:val="1166"/>
          <w:marRight w:val="0"/>
          <w:marTop w:val="20"/>
          <w:marBottom w:val="20"/>
          <w:divBdr>
            <w:top w:val="none" w:sz="0" w:space="0" w:color="auto"/>
            <w:left w:val="none" w:sz="0" w:space="0" w:color="auto"/>
            <w:bottom w:val="none" w:sz="0" w:space="0" w:color="auto"/>
            <w:right w:val="none" w:sz="0" w:space="0" w:color="auto"/>
          </w:divBdr>
        </w:div>
        <w:div w:id="720638685">
          <w:marLeft w:val="1166"/>
          <w:marRight w:val="0"/>
          <w:marTop w:val="20"/>
          <w:marBottom w:val="20"/>
          <w:divBdr>
            <w:top w:val="none" w:sz="0" w:space="0" w:color="auto"/>
            <w:left w:val="none" w:sz="0" w:space="0" w:color="auto"/>
            <w:bottom w:val="none" w:sz="0" w:space="0" w:color="auto"/>
            <w:right w:val="none" w:sz="0" w:space="0" w:color="auto"/>
          </w:divBdr>
        </w:div>
        <w:div w:id="760099912">
          <w:marLeft w:val="1166"/>
          <w:marRight w:val="0"/>
          <w:marTop w:val="20"/>
          <w:marBottom w:val="20"/>
          <w:divBdr>
            <w:top w:val="none" w:sz="0" w:space="0" w:color="auto"/>
            <w:left w:val="none" w:sz="0" w:space="0" w:color="auto"/>
            <w:bottom w:val="none" w:sz="0" w:space="0" w:color="auto"/>
            <w:right w:val="none" w:sz="0" w:space="0" w:color="auto"/>
          </w:divBdr>
        </w:div>
        <w:div w:id="902103724">
          <w:marLeft w:val="1166"/>
          <w:marRight w:val="0"/>
          <w:marTop w:val="20"/>
          <w:marBottom w:val="20"/>
          <w:divBdr>
            <w:top w:val="none" w:sz="0" w:space="0" w:color="auto"/>
            <w:left w:val="none" w:sz="0" w:space="0" w:color="auto"/>
            <w:bottom w:val="none" w:sz="0" w:space="0" w:color="auto"/>
            <w:right w:val="none" w:sz="0" w:space="0" w:color="auto"/>
          </w:divBdr>
        </w:div>
        <w:div w:id="923031222">
          <w:marLeft w:val="1166"/>
          <w:marRight w:val="0"/>
          <w:marTop w:val="20"/>
          <w:marBottom w:val="20"/>
          <w:divBdr>
            <w:top w:val="none" w:sz="0" w:space="0" w:color="auto"/>
            <w:left w:val="none" w:sz="0" w:space="0" w:color="auto"/>
            <w:bottom w:val="none" w:sz="0" w:space="0" w:color="auto"/>
            <w:right w:val="none" w:sz="0" w:space="0" w:color="auto"/>
          </w:divBdr>
        </w:div>
        <w:div w:id="1368219898">
          <w:marLeft w:val="1166"/>
          <w:marRight w:val="0"/>
          <w:marTop w:val="20"/>
          <w:marBottom w:val="20"/>
          <w:divBdr>
            <w:top w:val="none" w:sz="0" w:space="0" w:color="auto"/>
            <w:left w:val="none" w:sz="0" w:space="0" w:color="auto"/>
            <w:bottom w:val="none" w:sz="0" w:space="0" w:color="auto"/>
            <w:right w:val="none" w:sz="0" w:space="0" w:color="auto"/>
          </w:divBdr>
        </w:div>
      </w:divsChild>
    </w:div>
    <w:div w:id="1902515916">
      <w:bodyDiv w:val="1"/>
      <w:marLeft w:val="0"/>
      <w:marRight w:val="0"/>
      <w:marTop w:val="0"/>
      <w:marBottom w:val="0"/>
      <w:divBdr>
        <w:top w:val="none" w:sz="0" w:space="0" w:color="auto"/>
        <w:left w:val="none" w:sz="0" w:space="0" w:color="auto"/>
        <w:bottom w:val="none" w:sz="0" w:space="0" w:color="auto"/>
        <w:right w:val="none" w:sz="0" w:space="0" w:color="auto"/>
      </w:divBdr>
    </w:div>
    <w:div w:id="1913075073">
      <w:bodyDiv w:val="1"/>
      <w:marLeft w:val="0"/>
      <w:marRight w:val="0"/>
      <w:marTop w:val="0"/>
      <w:marBottom w:val="0"/>
      <w:divBdr>
        <w:top w:val="none" w:sz="0" w:space="0" w:color="auto"/>
        <w:left w:val="none" w:sz="0" w:space="0" w:color="auto"/>
        <w:bottom w:val="none" w:sz="0" w:space="0" w:color="auto"/>
        <w:right w:val="none" w:sz="0" w:space="0" w:color="auto"/>
      </w:divBdr>
    </w:div>
    <w:div w:id="1926524060">
      <w:bodyDiv w:val="1"/>
      <w:marLeft w:val="0"/>
      <w:marRight w:val="0"/>
      <w:marTop w:val="0"/>
      <w:marBottom w:val="0"/>
      <w:divBdr>
        <w:top w:val="none" w:sz="0" w:space="0" w:color="auto"/>
        <w:left w:val="none" w:sz="0" w:space="0" w:color="auto"/>
        <w:bottom w:val="none" w:sz="0" w:space="0" w:color="auto"/>
        <w:right w:val="none" w:sz="0" w:space="0" w:color="auto"/>
      </w:divBdr>
    </w:div>
    <w:div w:id="1980918847">
      <w:bodyDiv w:val="1"/>
      <w:marLeft w:val="0"/>
      <w:marRight w:val="0"/>
      <w:marTop w:val="0"/>
      <w:marBottom w:val="0"/>
      <w:divBdr>
        <w:top w:val="none" w:sz="0" w:space="0" w:color="auto"/>
        <w:left w:val="none" w:sz="0" w:space="0" w:color="auto"/>
        <w:bottom w:val="none" w:sz="0" w:space="0" w:color="auto"/>
        <w:right w:val="none" w:sz="0" w:space="0" w:color="auto"/>
      </w:divBdr>
    </w:div>
    <w:div w:id="1986667534">
      <w:bodyDiv w:val="1"/>
      <w:marLeft w:val="0"/>
      <w:marRight w:val="0"/>
      <w:marTop w:val="0"/>
      <w:marBottom w:val="0"/>
      <w:divBdr>
        <w:top w:val="none" w:sz="0" w:space="0" w:color="auto"/>
        <w:left w:val="none" w:sz="0" w:space="0" w:color="auto"/>
        <w:bottom w:val="none" w:sz="0" w:space="0" w:color="auto"/>
        <w:right w:val="none" w:sz="0" w:space="0" w:color="auto"/>
      </w:divBdr>
    </w:div>
    <w:div w:id="2040886351">
      <w:bodyDiv w:val="1"/>
      <w:marLeft w:val="0"/>
      <w:marRight w:val="0"/>
      <w:marTop w:val="0"/>
      <w:marBottom w:val="0"/>
      <w:divBdr>
        <w:top w:val="none" w:sz="0" w:space="0" w:color="auto"/>
        <w:left w:val="none" w:sz="0" w:space="0" w:color="auto"/>
        <w:bottom w:val="none" w:sz="0" w:space="0" w:color="auto"/>
        <w:right w:val="none" w:sz="0" w:space="0" w:color="auto"/>
      </w:divBdr>
      <w:divsChild>
        <w:div w:id="267664002">
          <w:marLeft w:val="274"/>
          <w:marRight w:val="0"/>
          <w:marTop w:val="40"/>
          <w:marBottom w:val="40"/>
          <w:divBdr>
            <w:top w:val="none" w:sz="0" w:space="0" w:color="auto"/>
            <w:left w:val="none" w:sz="0" w:space="0" w:color="auto"/>
            <w:bottom w:val="none" w:sz="0" w:space="0" w:color="auto"/>
            <w:right w:val="none" w:sz="0" w:space="0" w:color="auto"/>
          </w:divBdr>
        </w:div>
        <w:div w:id="428549350">
          <w:marLeft w:val="274"/>
          <w:marRight w:val="0"/>
          <w:marTop w:val="40"/>
          <w:marBottom w:val="40"/>
          <w:divBdr>
            <w:top w:val="none" w:sz="0" w:space="0" w:color="auto"/>
            <w:left w:val="none" w:sz="0" w:space="0" w:color="auto"/>
            <w:bottom w:val="none" w:sz="0" w:space="0" w:color="auto"/>
            <w:right w:val="none" w:sz="0" w:space="0" w:color="auto"/>
          </w:divBdr>
        </w:div>
        <w:div w:id="940454995">
          <w:marLeft w:val="274"/>
          <w:marRight w:val="0"/>
          <w:marTop w:val="40"/>
          <w:marBottom w:val="40"/>
          <w:divBdr>
            <w:top w:val="none" w:sz="0" w:space="0" w:color="auto"/>
            <w:left w:val="none" w:sz="0" w:space="0" w:color="auto"/>
            <w:bottom w:val="none" w:sz="0" w:space="0" w:color="auto"/>
            <w:right w:val="none" w:sz="0" w:space="0" w:color="auto"/>
          </w:divBdr>
        </w:div>
        <w:div w:id="1146705243">
          <w:marLeft w:val="274"/>
          <w:marRight w:val="0"/>
          <w:marTop w:val="40"/>
          <w:marBottom w:val="40"/>
          <w:divBdr>
            <w:top w:val="none" w:sz="0" w:space="0" w:color="auto"/>
            <w:left w:val="none" w:sz="0" w:space="0" w:color="auto"/>
            <w:bottom w:val="none" w:sz="0" w:space="0" w:color="auto"/>
            <w:right w:val="none" w:sz="0" w:space="0" w:color="auto"/>
          </w:divBdr>
        </w:div>
        <w:div w:id="1530070308">
          <w:marLeft w:val="274"/>
          <w:marRight w:val="0"/>
          <w:marTop w:val="40"/>
          <w:marBottom w:val="40"/>
          <w:divBdr>
            <w:top w:val="none" w:sz="0" w:space="0" w:color="auto"/>
            <w:left w:val="none" w:sz="0" w:space="0" w:color="auto"/>
            <w:bottom w:val="none" w:sz="0" w:space="0" w:color="auto"/>
            <w:right w:val="none" w:sz="0" w:space="0" w:color="auto"/>
          </w:divBdr>
        </w:div>
        <w:div w:id="1657954134">
          <w:marLeft w:val="274"/>
          <w:marRight w:val="0"/>
          <w:marTop w:val="40"/>
          <w:marBottom w:val="40"/>
          <w:divBdr>
            <w:top w:val="none" w:sz="0" w:space="0" w:color="auto"/>
            <w:left w:val="none" w:sz="0" w:space="0" w:color="auto"/>
            <w:bottom w:val="none" w:sz="0" w:space="0" w:color="auto"/>
            <w:right w:val="none" w:sz="0" w:space="0" w:color="auto"/>
          </w:divBdr>
        </w:div>
      </w:divsChild>
    </w:div>
    <w:div w:id="214723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AF308-4631-40AE-893A-12F348ED66AF}">
  <ds:schemaRefs>
    <ds:schemaRef ds:uri="http://schemas.openxmlformats.org/officeDocument/2006/bibliography"/>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8862</Words>
  <Characters>54329</Characters>
  <Application>Microsoft Office Word</Application>
  <DocSecurity>0</DocSecurity>
  <Lines>953</Lines>
  <Paragraphs>517</Paragraphs>
  <ScaleCrop>false</ScaleCrop>
  <HeadingPairs>
    <vt:vector size="2" baseType="variant">
      <vt:variant>
        <vt:lpstr>Title</vt:lpstr>
      </vt:variant>
      <vt:variant>
        <vt:i4>1</vt:i4>
      </vt:variant>
    </vt:vector>
  </HeadingPairs>
  <TitlesOfParts>
    <vt:vector size="1" baseType="lpstr">
      <vt:lpstr>Bilateral schedule on mental health and suicide prevention: Victoria</vt:lpstr>
    </vt:vector>
  </TitlesOfParts>
  <Company/>
  <LinksUpToDate>false</LinksUpToDate>
  <CharactersWithSpaces>62674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schedule on mental health and suicide prevention: Victoria</dc:title>
  <dc:subject/>
  <dc:creator>Australian Government</dc:creator>
  <cp:keywords/>
  <dc:description/>
  <cp:lastModifiedBy/>
  <cp:revision>1</cp:revision>
  <dcterms:created xsi:type="dcterms:W3CDTF">2026-07-06T04:47:00Z</dcterms:created>
  <dcterms:modified xsi:type="dcterms:W3CDTF">2026-07-06T04:51:00Z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2026-07-06T04:51:27Z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bb345fb4-ff93-4268-be68-f4d1324c30aa</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