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3A5E753D" w14:textId="77777777">
        <w:tc>
          <w:tcPr>
            <w:tcW w:w="5000" w:type="pct"/>
            <w:gridSpan w:val="2"/>
          </w:tcPr>
          <w:p w14:paraId="50A3E394" w14:textId="77777777" w:rsidR="00814667" w:rsidRDefault="00BA4284" w:rsidP="00AA4454">
            <w:pPr>
              <w:pStyle w:val="CoverTitleMain"/>
            </w:pPr>
            <w:r>
              <w:t>Project AGreement</w:t>
            </w:r>
            <w:r w:rsidR="00292587">
              <w:t xml:space="preserve"> FOR </w:t>
            </w:r>
            <w:r w:rsidR="00AA4454" w:rsidRPr="00AA4454">
              <w:t>the North-West Tasmania Job Ready Generation Package</w:t>
            </w:r>
          </w:p>
        </w:tc>
      </w:tr>
      <w:tr w:rsidR="00814667" w14:paraId="4E6CA348" w14:textId="77777777">
        <w:tc>
          <w:tcPr>
            <w:tcW w:w="767" w:type="pct"/>
          </w:tcPr>
          <w:p w14:paraId="54C48225" w14:textId="77777777" w:rsidR="00814667" w:rsidRDefault="00814667">
            <w:pPr>
              <w:pStyle w:val="SingleParagraph"/>
              <w:tabs>
                <w:tab w:val="num" w:pos="1134"/>
              </w:tabs>
              <w:spacing w:after="240"/>
              <w:ind w:left="1134" w:hanging="567"/>
            </w:pPr>
          </w:p>
        </w:tc>
        <w:tc>
          <w:tcPr>
            <w:tcW w:w="4233" w:type="pct"/>
          </w:tcPr>
          <w:p w14:paraId="11C1AF3E" w14:textId="77777777" w:rsidR="00814667" w:rsidRDefault="00814667">
            <w:pPr>
              <w:pStyle w:val="SingleParagraph"/>
              <w:tabs>
                <w:tab w:val="num" w:pos="1134"/>
              </w:tabs>
              <w:spacing w:after="240"/>
              <w:ind w:left="1134" w:hanging="567"/>
            </w:pPr>
          </w:p>
        </w:tc>
      </w:tr>
      <w:tr w:rsidR="00814667" w14:paraId="57508213" w14:textId="77777777">
        <w:tc>
          <w:tcPr>
            <w:tcW w:w="767" w:type="pct"/>
          </w:tcPr>
          <w:p w14:paraId="38C0DF1E" w14:textId="77777777" w:rsidR="00814667" w:rsidRDefault="00814667">
            <w:pPr>
              <w:pStyle w:val="SingleParagraph"/>
              <w:tabs>
                <w:tab w:val="num" w:pos="1134"/>
              </w:tabs>
              <w:spacing w:after="240"/>
              <w:ind w:left="1134" w:hanging="567"/>
            </w:pPr>
          </w:p>
        </w:tc>
        <w:tc>
          <w:tcPr>
            <w:tcW w:w="4233" w:type="pct"/>
          </w:tcPr>
          <w:p w14:paraId="5A3C5332" w14:textId="77777777" w:rsidR="00814667" w:rsidRPr="001E74D0" w:rsidRDefault="00814667">
            <w:pPr>
              <w:pStyle w:val="SingleParagraph"/>
              <w:tabs>
                <w:tab w:val="num" w:pos="1134"/>
              </w:tabs>
              <w:spacing w:after="240"/>
              <w:ind w:left="1134" w:hanging="567"/>
            </w:pPr>
          </w:p>
        </w:tc>
      </w:tr>
      <w:tr w:rsidR="00814667" w14:paraId="41D1F72D" w14:textId="77777777">
        <w:tc>
          <w:tcPr>
            <w:tcW w:w="5000" w:type="pct"/>
            <w:gridSpan w:val="2"/>
          </w:tcPr>
          <w:p w14:paraId="469AF5BC" w14:textId="77777777" w:rsidR="00814667" w:rsidRDefault="00814667">
            <w:pPr>
              <w:pStyle w:val="AgreementHeading"/>
              <w:tabs>
                <w:tab w:val="clear" w:pos="1134"/>
              </w:tabs>
            </w:pPr>
            <w:r>
              <w:t>An agreement between</w:t>
            </w:r>
            <w:r w:rsidR="00697494">
              <w:t>:</w:t>
            </w:r>
          </w:p>
        </w:tc>
      </w:tr>
      <w:tr w:rsidR="00814667" w14:paraId="17B805AE" w14:textId="77777777">
        <w:tc>
          <w:tcPr>
            <w:tcW w:w="767" w:type="pct"/>
          </w:tcPr>
          <w:p w14:paraId="2F0456EF" w14:textId="77777777" w:rsidR="00814667" w:rsidRPr="001E74D0" w:rsidRDefault="00814667">
            <w:pPr>
              <w:pStyle w:val="AgreementHeading"/>
              <w:tabs>
                <w:tab w:val="clear" w:pos="1134"/>
              </w:tabs>
              <w:ind w:left="522"/>
            </w:pPr>
          </w:p>
        </w:tc>
        <w:tc>
          <w:tcPr>
            <w:tcW w:w="4233" w:type="pct"/>
          </w:tcPr>
          <w:p w14:paraId="5487E3A4"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7C34FC17" w14:textId="77777777" w:rsidR="00814667" w:rsidRPr="001E74D0" w:rsidRDefault="00814667" w:rsidP="00AA4454">
            <w:pPr>
              <w:pStyle w:val="AgreementParties"/>
            </w:pPr>
            <w:proofErr w:type="gramStart"/>
            <w:r>
              <w:t>the</w:t>
            </w:r>
            <w:proofErr w:type="gramEnd"/>
            <w:r>
              <w:t xml:space="preserve"> </w:t>
            </w:r>
            <w:r>
              <w:rPr>
                <w:rStyle w:val="Bold"/>
              </w:rPr>
              <w:t>State</w:t>
            </w:r>
            <w:r w:rsidR="00697494">
              <w:rPr>
                <w:rStyle w:val="Bold"/>
              </w:rPr>
              <w:t xml:space="preserve"> </w:t>
            </w:r>
            <w:r w:rsidR="00697494" w:rsidRPr="00DE36EB">
              <w:rPr>
                <w:rStyle w:val="Bold"/>
              </w:rPr>
              <w:t>of</w:t>
            </w:r>
            <w:r w:rsidR="00AF334D">
              <w:rPr>
                <w:rStyle w:val="Bold"/>
              </w:rPr>
              <w:t xml:space="preserve"> Tasmania.</w:t>
            </w:r>
          </w:p>
        </w:tc>
      </w:tr>
      <w:tr w:rsidR="00814667" w14:paraId="48D3AFA8" w14:textId="77777777">
        <w:tc>
          <w:tcPr>
            <w:tcW w:w="767" w:type="pct"/>
          </w:tcPr>
          <w:p w14:paraId="09BE9957" w14:textId="77777777" w:rsidR="00814667" w:rsidRDefault="00814667">
            <w:pPr>
              <w:pStyle w:val="SingleParagraph"/>
              <w:tabs>
                <w:tab w:val="num" w:pos="1134"/>
              </w:tabs>
              <w:spacing w:after="240"/>
              <w:ind w:left="1134" w:hanging="567"/>
            </w:pPr>
          </w:p>
        </w:tc>
        <w:tc>
          <w:tcPr>
            <w:tcW w:w="4233" w:type="pct"/>
            <w:tcBorders>
              <w:left w:val="nil"/>
            </w:tcBorders>
          </w:tcPr>
          <w:p w14:paraId="700D49C3" w14:textId="77777777" w:rsidR="00EB7EDA" w:rsidRPr="00EB7EDA" w:rsidRDefault="00EB7EDA" w:rsidP="00AF334D">
            <w:pPr>
              <w:pStyle w:val="StatesList"/>
              <w:numPr>
                <w:ilvl w:val="0"/>
                <w:numId w:val="0"/>
              </w:numPr>
              <w:rPr>
                <w:i/>
              </w:rPr>
            </w:pPr>
          </w:p>
        </w:tc>
      </w:tr>
      <w:tr w:rsidR="00814667" w14:paraId="23CB5760" w14:textId="77777777">
        <w:tc>
          <w:tcPr>
            <w:tcW w:w="5000" w:type="pct"/>
            <w:gridSpan w:val="2"/>
          </w:tcPr>
          <w:p w14:paraId="7C069692" w14:textId="77777777" w:rsidR="00814667" w:rsidRDefault="00814667">
            <w:pPr>
              <w:pStyle w:val="SingleParagraph"/>
              <w:tabs>
                <w:tab w:val="num" w:pos="1134"/>
              </w:tabs>
              <w:spacing w:after="240"/>
              <w:ind w:left="1134" w:hanging="567"/>
            </w:pPr>
          </w:p>
        </w:tc>
      </w:tr>
      <w:tr w:rsidR="00814667" w14:paraId="2033AC09" w14:textId="77777777">
        <w:tc>
          <w:tcPr>
            <w:tcW w:w="5000" w:type="pct"/>
            <w:gridSpan w:val="2"/>
          </w:tcPr>
          <w:p w14:paraId="4AE3CCC6" w14:textId="3532A08B" w:rsidR="00814667" w:rsidRDefault="00771FFF" w:rsidP="002C6AED">
            <w:pPr>
              <w:pStyle w:val="Abstract"/>
            </w:pPr>
            <w:r>
              <w:t>The output of this project will be</w:t>
            </w:r>
            <w:r w:rsidR="00AA4454">
              <w:t xml:space="preserve"> the delivery of </w:t>
            </w:r>
            <w:r w:rsidR="00E560E2">
              <w:t xml:space="preserve">training, workforce planning and job matching initiatives in North West Tasmania </w:t>
            </w:r>
            <w:bookmarkStart w:id="0" w:name="OLE_LINK3"/>
            <w:bookmarkStart w:id="1" w:name="OLE_LINK4"/>
            <w:r w:rsidR="00E560E2">
              <w:t>that are focused on meeting the skill needs of industry</w:t>
            </w:r>
            <w:bookmarkEnd w:id="0"/>
            <w:bookmarkEnd w:id="1"/>
            <w:r w:rsidR="002813E8">
              <w:t xml:space="preserve"> in the region</w:t>
            </w:r>
            <w:r w:rsidR="00E560E2">
              <w:t>.</w:t>
            </w:r>
            <w:r w:rsidR="00C7093C">
              <w:t xml:space="preserve"> </w:t>
            </w:r>
            <w:bookmarkStart w:id="2" w:name="_GoBack"/>
            <w:bookmarkEnd w:id="2"/>
          </w:p>
        </w:tc>
      </w:tr>
    </w:tbl>
    <w:p w14:paraId="795BA284" w14:textId="0F6220CF"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E80090">
        <w:t>the north-west Tasmania job ready generation p</w:t>
      </w:r>
      <w:r w:rsidR="00AA4454" w:rsidRPr="00AA4454">
        <w:t>ackage</w:t>
      </w:r>
    </w:p>
    <w:p w14:paraId="4B76AC92"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2C7383B" w14:textId="77777777" w:rsidR="00C960AA" w:rsidRPr="0096732C" w:rsidRDefault="00C960AA"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4FC4E515"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F953291" w14:textId="5D0A35CF" w:rsidR="0096732C" w:rsidRDefault="00852ED8"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support the delivery of</w:t>
      </w:r>
      <w:r w:rsidR="00AA4454">
        <w:t xml:space="preserve"> </w:t>
      </w:r>
      <w:r w:rsidR="00AA4454" w:rsidRPr="00606CC2">
        <w:rPr>
          <w:rFonts w:asciiTheme="minorHAnsi" w:hAnsiTheme="minorHAnsi" w:cstheme="minorHAnsi"/>
          <w:sz w:val="22"/>
          <w:szCs w:val="22"/>
        </w:rPr>
        <w:t xml:space="preserve">the </w:t>
      </w:r>
      <w:r w:rsidR="00E80090">
        <w:rPr>
          <w:rFonts w:asciiTheme="minorHAnsi" w:hAnsiTheme="minorHAnsi" w:cstheme="minorHAnsi"/>
          <w:sz w:val="22"/>
          <w:szCs w:val="22"/>
          <w:bdr w:val="nil"/>
        </w:rPr>
        <w:t>n</w:t>
      </w:r>
      <w:r w:rsidR="00AA4454" w:rsidRPr="00606CC2">
        <w:rPr>
          <w:rFonts w:asciiTheme="minorHAnsi" w:hAnsiTheme="minorHAnsi" w:cstheme="minorHAnsi"/>
          <w:sz w:val="22"/>
          <w:szCs w:val="22"/>
          <w:bdr w:val="nil"/>
        </w:rPr>
        <w:t>orth-</w:t>
      </w:r>
      <w:r w:rsidR="00E80090">
        <w:rPr>
          <w:rFonts w:asciiTheme="minorHAnsi" w:hAnsiTheme="minorHAnsi" w:cstheme="minorHAnsi"/>
          <w:sz w:val="22"/>
          <w:szCs w:val="22"/>
          <w:bdr w:val="nil"/>
        </w:rPr>
        <w:t>w</w:t>
      </w:r>
      <w:r w:rsidR="00AA4454" w:rsidRPr="00606CC2">
        <w:rPr>
          <w:rFonts w:asciiTheme="minorHAnsi" w:hAnsiTheme="minorHAnsi" w:cstheme="minorHAnsi"/>
          <w:sz w:val="22"/>
          <w:szCs w:val="22"/>
          <w:bdr w:val="nil"/>
        </w:rPr>
        <w:t xml:space="preserve">est Tasmania </w:t>
      </w:r>
      <w:r w:rsidR="00E80090">
        <w:rPr>
          <w:rFonts w:asciiTheme="minorHAnsi" w:hAnsiTheme="minorHAnsi" w:cstheme="minorHAnsi"/>
          <w:sz w:val="22"/>
          <w:szCs w:val="22"/>
          <w:bdr w:val="nil"/>
        </w:rPr>
        <w:t>j</w:t>
      </w:r>
      <w:r w:rsidR="00AA4454" w:rsidRPr="00606CC2">
        <w:rPr>
          <w:rFonts w:asciiTheme="minorHAnsi" w:hAnsiTheme="minorHAnsi" w:cstheme="minorHAnsi"/>
          <w:sz w:val="22"/>
          <w:szCs w:val="22"/>
          <w:bdr w:val="nil"/>
        </w:rPr>
        <w:t xml:space="preserve">ob </w:t>
      </w:r>
      <w:r w:rsidR="00E80090">
        <w:rPr>
          <w:rFonts w:asciiTheme="minorHAnsi" w:hAnsiTheme="minorHAnsi" w:cstheme="minorHAnsi"/>
          <w:sz w:val="22"/>
          <w:szCs w:val="22"/>
          <w:bdr w:val="nil"/>
        </w:rPr>
        <w:t>r</w:t>
      </w:r>
      <w:r w:rsidR="00AA4454" w:rsidRPr="00606CC2">
        <w:rPr>
          <w:rFonts w:asciiTheme="minorHAnsi" w:hAnsiTheme="minorHAnsi" w:cstheme="minorHAnsi"/>
          <w:sz w:val="22"/>
          <w:szCs w:val="22"/>
          <w:bdr w:val="nil"/>
        </w:rPr>
        <w:t xml:space="preserve">eady </w:t>
      </w:r>
      <w:r w:rsidR="00E80090">
        <w:rPr>
          <w:rFonts w:asciiTheme="minorHAnsi" w:hAnsiTheme="minorHAnsi" w:cstheme="minorHAnsi"/>
          <w:sz w:val="22"/>
          <w:szCs w:val="22"/>
          <w:bdr w:val="nil"/>
        </w:rPr>
        <w:t>generation p</w:t>
      </w:r>
      <w:r w:rsidR="00AA4454" w:rsidRPr="00606CC2">
        <w:rPr>
          <w:rFonts w:asciiTheme="minorHAnsi" w:hAnsiTheme="minorHAnsi" w:cstheme="minorHAnsi"/>
          <w:sz w:val="22"/>
          <w:szCs w:val="22"/>
          <w:bdr w:val="nil"/>
        </w:rPr>
        <w:t>ackage</w:t>
      </w:r>
      <w:r w:rsidR="00AA4454" w:rsidRPr="00606CC2">
        <w:rPr>
          <w:rFonts w:cstheme="minorHAnsi"/>
        </w:rPr>
        <w:t xml:space="preserve"> for the provision of training, workforce planning and job matching </w:t>
      </w:r>
      <w:r w:rsidR="00E560E2">
        <w:rPr>
          <w:rFonts w:cstheme="minorHAnsi"/>
        </w:rPr>
        <w:t xml:space="preserve">initiatives </w:t>
      </w:r>
      <w:r w:rsidR="00AA4454" w:rsidRPr="00606CC2">
        <w:rPr>
          <w:rFonts w:cstheme="minorHAnsi"/>
        </w:rPr>
        <w:t>across a number of sectors in the region</w:t>
      </w:r>
      <w:r w:rsidR="00AA4454" w:rsidRPr="00606CC2">
        <w:rPr>
          <w:rFonts w:asciiTheme="minorHAnsi" w:hAnsiTheme="minorHAnsi" w:cstheme="minorHAnsi"/>
          <w:sz w:val="22"/>
          <w:szCs w:val="22"/>
        </w:rPr>
        <w:t>.</w:t>
      </w:r>
      <w:r w:rsidR="00E560E2">
        <w:rPr>
          <w:rFonts w:asciiTheme="minorHAnsi" w:hAnsiTheme="minorHAnsi" w:cstheme="minorHAnsi"/>
          <w:sz w:val="22"/>
          <w:szCs w:val="22"/>
        </w:rPr>
        <w:t xml:space="preserve"> These </w:t>
      </w:r>
      <w:r w:rsidR="002F2B3A">
        <w:rPr>
          <w:rFonts w:asciiTheme="minorHAnsi" w:hAnsiTheme="minorHAnsi" w:cstheme="minorHAnsi"/>
          <w:sz w:val="22"/>
          <w:szCs w:val="22"/>
        </w:rPr>
        <w:t>initiatives</w:t>
      </w:r>
      <w:r w:rsidR="00E560E2">
        <w:rPr>
          <w:rFonts w:asciiTheme="minorHAnsi" w:hAnsiTheme="minorHAnsi" w:cstheme="minorHAnsi"/>
          <w:sz w:val="22"/>
          <w:szCs w:val="22"/>
        </w:rPr>
        <w:t xml:space="preserve"> are aimed at meeting existing and emerging skill needs </w:t>
      </w:r>
      <w:r w:rsidR="002F2B3A">
        <w:rPr>
          <w:rFonts w:asciiTheme="minorHAnsi" w:hAnsiTheme="minorHAnsi" w:cstheme="minorHAnsi"/>
          <w:sz w:val="22"/>
          <w:szCs w:val="22"/>
        </w:rPr>
        <w:t>across a range of sectors</w:t>
      </w:r>
      <w:r w:rsidR="00E560E2">
        <w:rPr>
          <w:rFonts w:asciiTheme="minorHAnsi" w:hAnsiTheme="minorHAnsi" w:cstheme="minorHAnsi"/>
          <w:sz w:val="22"/>
          <w:szCs w:val="22"/>
        </w:rPr>
        <w:t>.</w:t>
      </w:r>
    </w:p>
    <w:p w14:paraId="29C1B9A5"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07FBC809" w14:textId="77777777" w:rsidR="0096732C" w:rsidRDefault="00AA4454"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w:t>
      </w:r>
      <w:r w:rsidR="0096732C">
        <w:t xml:space="preserve"> will report against the agreed milestones during the operation of this Agreement, as set out in Part 4 – Project Milestones</w:t>
      </w:r>
      <w:r>
        <w:t xml:space="preserve"> and</w:t>
      </w:r>
      <w:r w:rsidR="0096732C">
        <w:t xml:space="preserve"> Reporting. </w:t>
      </w:r>
    </w:p>
    <w:p w14:paraId="6135B39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6438B6FF" w14:textId="77777777" w:rsidR="0096732C" w:rsidRPr="0096732C" w:rsidRDefault="0096732C" w:rsidP="000F25D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 xml:space="preserve">a total </w:t>
      </w:r>
      <w:r w:rsidRPr="007179FE">
        <w:t xml:space="preserve">financial contribution to </w:t>
      </w:r>
      <w:r w:rsidR="00AA4454">
        <w:t>Tasmania</w:t>
      </w:r>
      <w:r w:rsidRPr="007179FE">
        <w:t xml:space="preserve"> </w:t>
      </w:r>
      <w:r>
        <w:t>of $</w:t>
      </w:r>
      <w:r w:rsidR="00AA4454">
        <w:t>3,150,000</w:t>
      </w:r>
      <w:r w:rsidR="00F234AB">
        <w:t>, exclusive of GST</w:t>
      </w:r>
      <w:r w:rsidR="00AA4454">
        <w: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6ED1457A"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6D634849" w14:textId="77777777" w:rsidR="00814667" w:rsidRDefault="00814667">
      <w:pPr>
        <w:pStyle w:val="Heading1"/>
      </w:pPr>
      <w:r>
        <w:t>Part 1 — Formalities</w:t>
      </w:r>
    </w:p>
    <w:p w14:paraId="14D9192D" w14:textId="77777777" w:rsidR="00804105" w:rsidRDefault="00804105" w:rsidP="000F25D5">
      <w:pPr>
        <w:pStyle w:val="Normalnumbered"/>
        <w:numPr>
          <w:ilvl w:val="0"/>
          <w:numId w:val="22"/>
        </w:numPr>
      </w:pPr>
      <w:r>
        <w:t>This Agreement constitutes the entire agreement for this project.</w:t>
      </w:r>
    </w:p>
    <w:p w14:paraId="67A7822D" w14:textId="77777777" w:rsidR="00814667" w:rsidRDefault="00814667">
      <w:pPr>
        <w:pStyle w:val="Heading2"/>
      </w:pPr>
      <w:r>
        <w:t>Parties to this Agreement</w:t>
      </w:r>
    </w:p>
    <w:p w14:paraId="2039E658" w14:textId="77777777" w:rsidR="007B4B03" w:rsidRPr="007B4B03" w:rsidRDefault="00E7195E" w:rsidP="00B619AA">
      <w:pPr>
        <w:pStyle w:val="Normalnumbered"/>
        <w:numPr>
          <w:ilvl w:val="0"/>
          <w:numId w:val="22"/>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AA4454">
        <w:t>Tasmania.</w:t>
      </w:r>
      <w:r w:rsidRPr="003012DA">
        <w:t xml:space="preserve"> </w:t>
      </w:r>
    </w:p>
    <w:p w14:paraId="68468A52" w14:textId="77777777" w:rsidR="00814667" w:rsidRDefault="00814667">
      <w:pPr>
        <w:pStyle w:val="Heading2"/>
      </w:pPr>
      <w:r>
        <w:t>Term of the Agreement</w:t>
      </w:r>
    </w:p>
    <w:p w14:paraId="75354926" w14:textId="7245CB09" w:rsidR="00814667" w:rsidRPr="00DE36EB" w:rsidRDefault="00814667" w:rsidP="00B619AA">
      <w:pPr>
        <w:pStyle w:val="Normalnumbered"/>
        <w:numPr>
          <w:ilvl w:val="0"/>
          <w:numId w:val="22"/>
        </w:numPr>
      </w:pPr>
      <w:r w:rsidRPr="00DE36EB">
        <w:t xml:space="preserve">This Agreement will commence as soon as the Commonwealth and </w:t>
      </w:r>
      <w:r w:rsidR="00AA4454">
        <w:t>Tasmania sign it</w:t>
      </w:r>
      <w:r w:rsidR="0096732C">
        <w:t xml:space="preserve"> </w:t>
      </w:r>
      <w:r w:rsidRPr="00DE36EB">
        <w:t>and will expire on</w:t>
      </w:r>
      <w:r w:rsidR="00C7093C" w:rsidRPr="00DE36EB">
        <w:t xml:space="preserve"> </w:t>
      </w:r>
      <w:r w:rsidR="00AA4454" w:rsidRPr="00CA32E6">
        <w:t xml:space="preserve">30 </w:t>
      </w:r>
      <w:r w:rsidR="002C6AED" w:rsidRPr="00CA32E6">
        <w:t xml:space="preserve">August </w:t>
      </w:r>
      <w:r w:rsidR="00AA4454" w:rsidRPr="00CA32E6">
        <w:t xml:space="preserve">2022 </w:t>
      </w:r>
      <w:r w:rsidR="00284884" w:rsidRPr="00DE36EB">
        <w:t>or on</w:t>
      </w:r>
      <w:r w:rsidR="00FA2EC0" w:rsidRPr="00DE36EB">
        <w:t xml:space="preserve"> complet</w:t>
      </w:r>
      <w:r w:rsidR="00284884" w:rsidRPr="00DE36EB">
        <w:t>ion of the project, including final performance reporting</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8441D16" w14:textId="77777777" w:rsidR="00493018" w:rsidRDefault="00493018">
      <w:pPr>
        <w:spacing w:after="0" w:line="240" w:lineRule="auto"/>
        <w:jc w:val="left"/>
        <w:rPr>
          <w:rFonts w:ascii="Consolas" w:hAnsi="Consolas" w:cs="Arial"/>
          <w:bCs/>
          <w:caps/>
          <w:color w:val="3D4B67"/>
          <w:kern w:val="32"/>
          <w:sz w:val="32"/>
          <w:szCs w:val="36"/>
        </w:rPr>
      </w:pPr>
      <w:r>
        <w:rPr>
          <w:rFonts w:ascii="Consolas" w:hAnsi="Consolas"/>
          <w:b/>
          <w:iCs/>
          <w:caps/>
          <w:kern w:val="32"/>
          <w:sz w:val="32"/>
          <w:szCs w:val="36"/>
        </w:rPr>
        <w:br w:type="page"/>
      </w:r>
    </w:p>
    <w:p w14:paraId="081C8639"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4955F925" w14:textId="77777777" w:rsidR="00814667" w:rsidRDefault="00814667">
      <w:pPr>
        <w:pStyle w:val="Heading2"/>
      </w:pPr>
      <w:r>
        <w:t>Output</w:t>
      </w:r>
      <w:r w:rsidR="006F79D3">
        <w:t>(</w:t>
      </w:r>
      <w:r>
        <w:t>s</w:t>
      </w:r>
      <w:r w:rsidR="009E093C">
        <w:t>)</w:t>
      </w:r>
    </w:p>
    <w:p w14:paraId="0243E260" w14:textId="77777777" w:rsidR="0085738D" w:rsidRDefault="00814667" w:rsidP="009E093C">
      <w:pPr>
        <w:pStyle w:val="Normalnumbered"/>
        <w:numPr>
          <w:ilvl w:val="0"/>
          <w:numId w:val="22"/>
        </w:numPr>
        <w:jc w:val="left"/>
      </w:pPr>
      <w:r w:rsidRPr="0085738D">
        <w:t>The o</w:t>
      </w:r>
      <w:r w:rsidR="006F79D3">
        <w:t>utput(s) of this Agreement will be:</w:t>
      </w:r>
    </w:p>
    <w:p w14:paraId="01503FDD" w14:textId="22876A2D" w:rsidR="00B06097" w:rsidRDefault="00AA4454" w:rsidP="00706E50">
      <w:pPr>
        <w:pStyle w:val="AlphaParagraph"/>
        <w:numPr>
          <w:ilvl w:val="0"/>
          <w:numId w:val="33"/>
        </w:numPr>
        <w:tabs>
          <w:tab w:val="clear" w:pos="567"/>
          <w:tab w:val="clear" w:pos="1418"/>
          <w:tab w:val="clear" w:pos="1701"/>
        </w:tabs>
        <w:ind w:left="1134" w:hanging="567"/>
      </w:pPr>
      <w:r>
        <w:rPr>
          <w:rFonts w:cstheme="minorHAnsi"/>
        </w:rPr>
        <w:t xml:space="preserve">the Building Futures program </w:t>
      </w:r>
      <w:r w:rsidR="001F5676">
        <w:rPr>
          <w:rFonts w:cstheme="minorHAnsi"/>
        </w:rPr>
        <w:t xml:space="preserve">delivered </w:t>
      </w:r>
      <w:r>
        <w:rPr>
          <w:rFonts w:cstheme="minorHAnsi"/>
        </w:rPr>
        <w:t>in North West Tasmania, which will fund 50 pre-apprenticeship and apprenticeship across a range of construction related trades;</w:t>
      </w:r>
    </w:p>
    <w:p w14:paraId="7EAEC398" w14:textId="40010C53"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a New Apprenticeship Scholarships Pilot program which will provide 200 apprentice scholarships in North West Tasmania, each worth $2000;</w:t>
      </w:r>
    </w:p>
    <w:p w14:paraId="1192ABE8" w14:textId="0342AD0A"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 xml:space="preserve">high quality vocational educational videos through the Gaining Authentic Industry Training project to support the development of skills in the </w:t>
      </w:r>
      <w:proofErr w:type="spellStart"/>
      <w:r>
        <w:rPr>
          <w:rFonts w:cstheme="minorHAnsi"/>
        </w:rPr>
        <w:t>Agri</w:t>
      </w:r>
      <w:proofErr w:type="spellEnd"/>
      <w:r>
        <w:rPr>
          <w:rFonts w:cstheme="minorHAnsi"/>
        </w:rPr>
        <w:t>-Tourism sector;</w:t>
      </w:r>
    </w:p>
    <w:p w14:paraId="42D99628" w14:textId="66124907"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a workforce plan for the agricultural sector in North West Tasmania and training for up to 150 workers over two years to meet the identified skills needs;</w:t>
      </w:r>
    </w:p>
    <w:p w14:paraId="3062632F" w14:textId="1BC8920D"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school based pre-apprenticeship and apprenticeship pathways, through the collaboration of key employers and schools in the region;</w:t>
      </w:r>
    </w:p>
    <w:p w14:paraId="4983D612" w14:textId="7897B6CA"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school based pre-apprenticeship and apprenticeship training, with up to 160 students funded over three years;</w:t>
      </w:r>
    </w:p>
    <w:p w14:paraId="61B83BC4" w14:textId="6F4C5AD1"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r>
        <w:rPr>
          <w:rFonts w:cstheme="minorHAnsi"/>
        </w:rPr>
        <w:t xml:space="preserve">learning technology resources, including online materials </w:t>
      </w:r>
      <w:r w:rsidR="002F2B3A">
        <w:rPr>
          <w:rFonts w:cstheme="minorHAnsi"/>
        </w:rPr>
        <w:t>to</w:t>
      </w:r>
      <w:r>
        <w:rPr>
          <w:rFonts w:cstheme="minorHAnsi"/>
        </w:rPr>
        <w:t xml:space="preserve"> support </w:t>
      </w:r>
      <w:r w:rsidR="006E66C9">
        <w:rPr>
          <w:rFonts w:cstheme="minorHAnsi"/>
        </w:rPr>
        <w:t xml:space="preserve">training outcomes for </w:t>
      </w:r>
      <w:r>
        <w:rPr>
          <w:rFonts w:cstheme="minorHAnsi"/>
        </w:rPr>
        <w:t>the agricultural sector; and</w:t>
      </w:r>
    </w:p>
    <w:p w14:paraId="73D9B620" w14:textId="5F44F272" w:rsidR="00AA4454" w:rsidRPr="00AA4454" w:rsidRDefault="00AA4454" w:rsidP="00AA4454">
      <w:pPr>
        <w:pStyle w:val="AlphaParagraph"/>
        <w:numPr>
          <w:ilvl w:val="0"/>
          <w:numId w:val="33"/>
        </w:numPr>
        <w:tabs>
          <w:tab w:val="clear" w:pos="567"/>
          <w:tab w:val="clear" w:pos="1418"/>
          <w:tab w:val="clear" w:pos="1701"/>
        </w:tabs>
        <w:ind w:left="1134" w:hanging="567"/>
        <w:rPr>
          <w:rFonts w:cstheme="minorHAnsi"/>
        </w:rPr>
      </w:pPr>
      <w:proofErr w:type="gramStart"/>
      <w:r>
        <w:rPr>
          <w:rFonts w:cstheme="minorHAnsi"/>
        </w:rPr>
        <w:t>a</w:t>
      </w:r>
      <w:proofErr w:type="gramEnd"/>
      <w:r>
        <w:rPr>
          <w:rFonts w:cstheme="minorHAnsi"/>
        </w:rPr>
        <w:t xml:space="preserve"> mining industry workforce plan </w:t>
      </w:r>
      <w:r w:rsidR="00B309BD">
        <w:rPr>
          <w:rFonts w:cstheme="minorHAnsi"/>
        </w:rPr>
        <w:t xml:space="preserve">developed </w:t>
      </w:r>
      <w:r>
        <w:rPr>
          <w:rFonts w:cstheme="minorHAnsi"/>
        </w:rPr>
        <w:t>in consultation with key employers.</w:t>
      </w:r>
    </w:p>
    <w:p w14:paraId="022CE75C" w14:textId="77777777" w:rsidR="008F44F1" w:rsidRDefault="008F44F1">
      <w:pPr>
        <w:pStyle w:val="Heading1"/>
      </w:pPr>
      <w:r>
        <w:t>Part 3 — roles and responsibilities of each party</w:t>
      </w:r>
    </w:p>
    <w:p w14:paraId="0FB45FF5" w14:textId="77777777" w:rsidR="008F44F1" w:rsidRDefault="008F44F1" w:rsidP="008F44F1">
      <w:pPr>
        <w:pStyle w:val="Heading2"/>
      </w:pPr>
      <w:r w:rsidRPr="00814590">
        <w:t>Role of the Commonwealth</w:t>
      </w:r>
    </w:p>
    <w:p w14:paraId="15D201F1" w14:textId="77777777" w:rsidR="008F44F1" w:rsidRDefault="008F44F1" w:rsidP="009E093C">
      <w:pPr>
        <w:pStyle w:val="Normalnumbered"/>
        <w:numPr>
          <w:ilvl w:val="0"/>
          <w:numId w:val="22"/>
        </w:numPr>
        <w:jc w:val="left"/>
      </w:pPr>
      <w:r>
        <w:t>The Commonwealth will be responsible for:</w:t>
      </w:r>
    </w:p>
    <w:p w14:paraId="34A12D0E" w14:textId="74DF926E" w:rsidR="008F44F1" w:rsidRPr="000614F9" w:rsidRDefault="008F44F1" w:rsidP="009E093C">
      <w:pPr>
        <w:pStyle w:val="AlphaParagraph"/>
        <w:numPr>
          <w:ilvl w:val="0"/>
          <w:numId w:val="35"/>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Pr="000614F9">
        <w:t xml:space="preserve"> </w:t>
      </w:r>
      <w:r w:rsidR="00E80090">
        <w:t>n</w:t>
      </w:r>
      <w:r w:rsidR="002C6AED">
        <w:t>orth</w:t>
      </w:r>
      <w:r w:rsidR="00E80090">
        <w:t>-w</w:t>
      </w:r>
      <w:r w:rsidR="002C6AED">
        <w:t xml:space="preserve">est Tasmania </w:t>
      </w:r>
      <w:r w:rsidR="00E80090">
        <w:t>j</w:t>
      </w:r>
      <w:r w:rsidR="002C6AED">
        <w:t xml:space="preserve">ob </w:t>
      </w:r>
      <w:r w:rsidR="00E80090">
        <w:t>r</w:t>
      </w:r>
      <w:r w:rsidR="002C6AED">
        <w:t xml:space="preserve">eady </w:t>
      </w:r>
      <w:r w:rsidR="00E80090">
        <w:t>g</w:t>
      </w:r>
      <w:r w:rsidR="002C6AED">
        <w:t xml:space="preserve">eneration </w:t>
      </w:r>
      <w:r w:rsidR="00E80090">
        <w:t>p</w:t>
      </w:r>
      <w:r w:rsidR="002C6AED">
        <w:t xml:space="preserve">ackage </w:t>
      </w:r>
      <w:r w:rsidRPr="000614F9">
        <w:rPr>
          <w:color w:val="auto"/>
        </w:rPr>
        <w:t>under</w:t>
      </w:r>
      <w:r w:rsidRPr="004B6083">
        <w:t xml:space="preserve"> this Agreement to ensure that outputs are delivered within the agreed timeframe; </w:t>
      </w:r>
      <w:r w:rsidR="00493018">
        <w:t>and</w:t>
      </w:r>
    </w:p>
    <w:p w14:paraId="264A35E6" w14:textId="40017980" w:rsidR="008F44F1" w:rsidRPr="000614F9" w:rsidRDefault="008F44F1" w:rsidP="009E093C">
      <w:pPr>
        <w:pStyle w:val="AlphaParagraph"/>
        <w:numPr>
          <w:ilvl w:val="0"/>
          <w:numId w:val="27"/>
        </w:numPr>
        <w:tabs>
          <w:tab w:val="clear" w:pos="567"/>
          <w:tab w:val="clear" w:pos="1418"/>
          <w:tab w:val="clear" w:pos="1701"/>
        </w:tabs>
        <w:ind w:left="1134" w:hanging="567"/>
        <w:rPr>
          <w:color w:val="auto"/>
        </w:rPr>
      </w:pPr>
      <w:proofErr w:type="gramStart"/>
      <w:r w:rsidRPr="004B6083">
        <w:rPr>
          <w:color w:val="auto"/>
        </w:rPr>
        <w:t>providing</w:t>
      </w:r>
      <w:proofErr w:type="gramEnd"/>
      <w:r w:rsidRPr="004B6083">
        <w:rPr>
          <w:color w:val="auto"/>
        </w:rPr>
        <w:t xml:space="preserve"> a financial contribution to </w:t>
      </w:r>
      <w:r w:rsidR="00B309BD">
        <w:rPr>
          <w:color w:val="auto"/>
        </w:rPr>
        <w:t>Tasmania</w:t>
      </w:r>
      <w:r w:rsidRPr="004B6083">
        <w:rPr>
          <w:color w:val="auto"/>
        </w:rPr>
        <w:t xml:space="preserve"> to support the </w:t>
      </w:r>
      <w:r w:rsidRPr="000614F9">
        <w:t>implementation</w:t>
      </w:r>
      <w:r w:rsidR="00493018">
        <w:rPr>
          <w:color w:val="auto"/>
        </w:rPr>
        <w:t xml:space="preserve"> of this Agreement.</w:t>
      </w:r>
    </w:p>
    <w:p w14:paraId="08027ACC" w14:textId="5DC0C55A" w:rsidR="008F44F1" w:rsidRPr="00751725" w:rsidRDefault="008F44F1" w:rsidP="008F44F1">
      <w:pPr>
        <w:pStyle w:val="Heading2"/>
      </w:pPr>
      <w:r w:rsidRPr="00751725">
        <w:t>Role of the State</w:t>
      </w:r>
    </w:p>
    <w:p w14:paraId="622D8719" w14:textId="77777777" w:rsidR="008F44F1" w:rsidRPr="00751725" w:rsidRDefault="00493018" w:rsidP="009E093C">
      <w:pPr>
        <w:pStyle w:val="Normalnumbered"/>
        <w:numPr>
          <w:ilvl w:val="0"/>
          <w:numId w:val="22"/>
        </w:numPr>
        <w:jc w:val="left"/>
      </w:pPr>
      <w:r>
        <w:t>Tasmania</w:t>
      </w:r>
      <w:r w:rsidR="00545DF7">
        <w:t xml:space="preserve"> </w:t>
      </w:r>
      <w:r w:rsidR="008F44F1">
        <w:t>will be responsible for</w:t>
      </w:r>
      <w:r w:rsidR="00545DF7">
        <w:t>:</w:t>
      </w:r>
    </w:p>
    <w:p w14:paraId="07A4C39F" w14:textId="476CFFCA" w:rsidR="008F44F1" w:rsidRDefault="008F44F1" w:rsidP="009E093C">
      <w:pPr>
        <w:pStyle w:val="AlphaParagraph"/>
        <w:numPr>
          <w:ilvl w:val="0"/>
          <w:numId w:val="27"/>
        </w:numPr>
        <w:tabs>
          <w:tab w:val="clear" w:pos="567"/>
          <w:tab w:val="clear" w:pos="1418"/>
          <w:tab w:val="clear" w:pos="1701"/>
        </w:tabs>
        <w:ind w:left="1134" w:hanging="567"/>
      </w:pPr>
      <w:r>
        <w:t>all aspects of delivering on the project outputs set out in this Agreement;</w:t>
      </w:r>
      <w:r w:rsidR="004A4E75">
        <w:t xml:space="preserve"> and</w:t>
      </w:r>
    </w:p>
    <w:p w14:paraId="56F14FB3" w14:textId="139F00F0" w:rsidR="00A6719E" w:rsidRDefault="00A6719E" w:rsidP="009E093C">
      <w:pPr>
        <w:pStyle w:val="AlphaParagraph"/>
        <w:numPr>
          <w:ilvl w:val="0"/>
          <w:numId w:val="27"/>
        </w:numPr>
        <w:tabs>
          <w:tab w:val="clear" w:pos="567"/>
          <w:tab w:val="clear" w:pos="1418"/>
          <w:tab w:val="clear" w:pos="1701"/>
        </w:tabs>
        <w:ind w:left="1134" w:hanging="567"/>
      </w:pPr>
      <w:proofErr w:type="gramStart"/>
      <w:r w:rsidRPr="006B4DF0">
        <w:t>reporting</w:t>
      </w:r>
      <w:proofErr w:type="gramEnd"/>
      <w:r w:rsidRPr="006B4DF0">
        <w:t xml:space="preserve"> on the delivery of </w:t>
      </w:r>
      <w:r>
        <w:t>outputs</w:t>
      </w:r>
      <w:r w:rsidRPr="006B4DF0">
        <w:t xml:space="preserve"> </w:t>
      </w:r>
      <w:r>
        <w:t>as set out in Part 4</w:t>
      </w:r>
      <w:r w:rsidRPr="006B4DF0">
        <w:t xml:space="preserve"> – P</w:t>
      </w:r>
      <w:r>
        <w:t>roject Milestones, Reporting and Payments</w:t>
      </w:r>
      <w:r w:rsidR="004A4E75">
        <w:t>.</w:t>
      </w:r>
    </w:p>
    <w:p w14:paraId="028B74ED" w14:textId="77777777" w:rsidR="008F44F1" w:rsidRDefault="008F44F1" w:rsidP="004F5DCD">
      <w:pPr>
        <w:pStyle w:val="Heading2"/>
      </w:pPr>
      <w:r>
        <w:t>Shared roles</w:t>
      </w:r>
    </w:p>
    <w:p w14:paraId="3B1154FB" w14:textId="77777777" w:rsidR="008F44F1" w:rsidRDefault="008F44F1" w:rsidP="00B619AA">
      <w:pPr>
        <w:pStyle w:val="Normalnumbered"/>
        <w:numPr>
          <w:ilvl w:val="0"/>
          <w:numId w:val="22"/>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22F5F376"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089AAEA" w14:textId="1CFA351F" w:rsidR="006E66C9" w:rsidRDefault="00ED2AC4" w:rsidP="006E66C9">
      <w:pPr>
        <w:pStyle w:val="Normalnumbered"/>
        <w:numPr>
          <w:ilvl w:val="0"/>
          <w:numId w:val="22"/>
        </w:numPr>
      </w:pPr>
      <w:r>
        <w:t>The Commonwealth will make</w:t>
      </w:r>
      <w:r w:rsidR="00C15DB3">
        <w:t xml:space="preserve"> a</w:t>
      </w:r>
      <w:r>
        <w:t xml:space="preserve"> payment subject to the </w:t>
      </w:r>
      <w:r w:rsidR="00C15DB3">
        <w:t xml:space="preserve">delivery of the Implementation Plan for the NW Package as set out </w:t>
      </w:r>
      <w:r w:rsidR="00C15DB3">
        <w:rPr>
          <w:szCs w:val="23"/>
        </w:rPr>
        <w:t>in Table 1</w:t>
      </w:r>
      <w:r>
        <w:t>.</w:t>
      </w:r>
      <w:r w:rsidR="00B74048">
        <w:t xml:space="preserve"> </w:t>
      </w:r>
    </w:p>
    <w:p w14:paraId="4C6EC3ED" w14:textId="77777777" w:rsidR="00F3245D" w:rsidRDefault="0095223D" w:rsidP="006E66C9">
      <w:pPr>
        <w:pStyle w:val="Normalnumbered"/>
        <w:numPr>
          <w:ilvl w:val="0"/>
          <w:numId w:val="0"/>
        </w:numPr>
        <w:rPr>
          <w:b/>
        </w:rPr>
      </w:pPr>
      <w:r w:rsidRPr="006E66C9">
        <w:rPr>
          <w:b/>
        </w:rPr>
        <w:t xml:space="preserve">Table </w:t>
      </w:r>
      <w:r w:rsidR="00E204BB" w:rsidRPr="006E66C9">
        <w:rPr>
          <w:b/>
        </w:rPr>
        <w:t>1</w:t>
      </w:r>
      <w:r w:rsidRPr="001D3CAD">
        <w:t xml:space="preserve">: </w:t>
      </w:r>
      <w:r w:rsidR="00806D94" w:rsidRPr="006E66C9">
        <w:rPr>
          <w:b/>
        </w:rPr>
        <w:t>Performance requirements</w:t>
      </w:r>
      <w:r w:rsidRPr="006E66C9">
        <w:rPr>
          <w:b/>
        </w:rPr>
        <w:t>,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4252"/>
        <w:gridCol w:w="1559"/>
        <w:gridCol w:w="1701"/>
      </w:tblGrid>
      <w:tr w:rsidR="007B4F61" w:rsidRPr="00DE36EB" w14:paraId="1647D516" w14:textId="77777777" w:rsidTr="00ED3067">
        <w:trPr>
          <w:trHeight w:val="831"/>
        </w:trPr>
        <w:tc>
          <w:tcPr>
            <w:tcW w:w="2235" w:type="dxa"/>
            <w:tcBorders>
              <w:bottom w:val="single" w:sz="18" w:space="0" w:color="4F81BD"/>
            </w:tcBorders>
          </w:tcPr>
          <w:p w14:paraId="505F2AAC" w14:textId="77777777" w:rsidR="007B4F61" w:rsidRPr="00C26C5B" w:rsidRDefault="007B4F61" w:rsidP="00ED3067">
            <w:pPr>
              <w:pStyle w:val="Heading2"/>
              <w:rPr>
                <w:bCs w:val="0"/>
                <w:sz w:val="24"/>
                <w:szCs w:val="24"/>
              </w:rPr>
            </w:pPr>
            <w:r w:rsidRPr="00C26C5B">
              <w:rPr>
                <w:bCs w:val="0"/>
                <w:sz w:val="24"/>
                <w:szCs w:val="24"/>
              </w:rPr>
              <w:t>Output</w:t>
            </w:r>
            <w:r>
              <w:rPr>
                <w:bCs w:val="0"/>
                <w:sz w:val="24"/>
                <w:szCs w:val="24"/>
              </w:rPr>
              <w:t>s</w:t>
            </w:r>
          </w:p>
        </w:tc>
        <w:tc>
          <w:tcPr>
            <w:tcW w:w="4252" w:type="dxa"/>
            <w:tcBorders>
              <w:bottom w:val="single" w:sz="18" w:space="0" w:color="4F81BD"/>
            </w:tcBorders>
          </w:tcPr>
          <w:p w14:paraId="6DF4DE93" w14:textId="77777777" w:rsidR="007B4F61" w:rsidRPr="00C26C5B" w:rsidRDefault="007B4F61" w:rsidP="00ED3067">
            <w:pPr>
              <w:pStyle w:val="Heading2"/>
              <w:rPr>
                <w:bCs w:val="0"/>
                <w:sz w:val="24"/>
                <w:szCs w:val="24"/>
              </w:rPr>
            </w:pPr>
            <w:r>
              <w:rPr>
                <w:bCs w:val="0"/>
                <w:sz w:val="24"/>
                <w:szCs w:val="24"/>
              </w:rPr>
              <w:t>Performance m</w:t>
            </w:r>
            <w:r w:rsidRPr="00C26C5B">
              <w:rPr>
                <w:bCs w:val="0"/>
                <w:sz w:val="24"/>
                <w:szCs w:val="24"/>
              </w:rPr>
              <w:t>ilestone</w:t>
            </w:r>
            <w:r w:rsidRPr="00A9341B">
              <w:rPr>
                <w:bCs w:val="0"/>
                <w:sz w:val="24"/>
                <w:szCs w:val="24"/>
              </w:rPr>
              <w:t>s</w:t>
            </w:r>
            <w:r>
              <w:rPr>
                <w:bCs w:val="0"/>
                <w:sz w:val="24"/>
                <w:szCs w:val="24"/>
              </w:rPr>
              <w:t xml:space="preserve"> or benchmarks</w:t>
            </w:r>
          </w:p>
        </w:tc>
        <w:tc>
          <w:tcPr>
            <w:tcW w:w="1559" w:type="dxa"/>
            <w:tcBorders>
              <w:bottom w:val="single" w:sz="18" w:space="0" w:color="4F81BD"/>
            </w:tcBorders>
          </w:tcPr>
          <w:p w14:paraId="660BA24A" w14:textId="77777777" w:rsidR="007B4F61" w:rsidRPr="00D0312C" w:rsidRDefault="007B4F61" w:rsidP="00ED3067">
            <w:pPr>
              <w:pStyle w:val="Heading2"/>
              <w:rPr>
                <w:sz w:val="18"/>
                <w:szCs w:val="18"/>
              </w:rPr>
            </w:pPr>
            <w:r w:rsidRPr="00DE36EB">
              <w:rPr>
                <w:bCs w:val="0"/>
                <w:sz w:val="24"/>
                <w:szCs w:val="24"/>
              </w:rPr>
              <w:t>Report due</w:t>
            </w:r>
            <w:r>
              <w:rPr>
                <w:bCs w:val="0"/>
                <w:sz w:val="24"/>
                <w:szCs w:val="24"/>
              </w:rPr>
              <w:t xml:space="preserve"> </w:t>
            </w:r>
          </w:p>
        </w:tc>
        <w:tc>
          <w:tcPr>
            <w:tcW w:w="1701" w:type="dxa"/>
            <w:tcBorders>
              <w:bottom w:val="single" w:sz="18" w:space="0" w:color="4F81BD"/>
            </w:tcBorders>
          </w:tcPr>
          <w:p w14:paraId="675DD882" w14:textId="77777777" w:rsidR="007B4F61" w:rsidRPr="00DE36EB" w:rsidRDefault="007B4F61" w:rsidP="00ED3067">
            <w:pPr>
              <w:pStyle w:val="Heading2"/>
              <w:rPr>
                <w:bCs w:val="0"/>
                <w:sz w:val="24"/>
                <w:szCs w:val="24"/>
              </w:rPr>
            </w:pPr>
            <w:r>
              <w:rPr>
                <w:bCs w:val="0"/>
                <w:sz w:val="24"/>
                <w:szCs w:val="24"/>
              </w:rPr>
              <w:t>Payment</w:t>
            </w:r>
          </w:p>
        </w:tc>
      </w:tr>
      <w:tr w:rsidR="007B4F61" w:rsidRPr="00ED3067" w14:paraId="2DB940BC" w14:textId="77777777" w:rsidTr="00ED3067">
        <w:trPr>
          <w:trHeight w:val="1147"/>
        </w:trPr>
        <w:tc>
          <w:tcPr>
            <w:tcW w:w="2235" w:type="dxa"/>
            <w:shd w:val="clear" w:color="auto" w:fill="DBE5F1" w:themeFill="accent1" w:themeFillTint="33"/>
          </w:tcPr>
          <w:p w14:paraId="5CC66902" w14:textId="11796E77" w:rsidR="007B4F61" w:rsidRPr="00C26C5B" w:rsidRDefault="00C91312" w:rsidP="00C91312">
            <w:pPr>
              <w:pStyle w:val="Heading2"/>
              <w:rPr>
                <w:b w:val="0"/>
                <w:bCs w:val="0"/>
                <w:color w:val="auto"/>
                <w:sz w:val="23"/>
                <w:szCs w:val="23"/>
              </w:rPr>
            </w:pPr>
            <w:r>
              <w:rPr>
                <w:b w:val="0"/>
                <w:color w:val="auto"/>
                <w:sz w:val="23"/>
                <w:szCs w:val="23"/>
              </w:rPr>
              <w:t xml:space="preserve">Implementation Plan </w:t>
            </w:r>
          </w:p>
        </w:tc>
        <w:tc>
          <w:tcPr>
            <w:tcW w:w="4252" w:type="dxa"/>
            <w:shd w:val="clear" w:color="auto" w:fill="DBE5F1" w:themeFill="accent1" w:themeFillTint="33"/>
          </w:tcPr>
          <w:p w14:paraId="5B9DC28B" w14:textId="4CCE3C96" w:rsidR="00C91312" w:rsidRDefault="00980760" w:rsidP="00CA32E6">
            <w:r>
              <w:t xml:space="preserve">The milestone is met when </w:t>
            </w:r>
            <w:r w:rsidR="00C91312">
              <w:t xml:space="preserve">Tasmania </w:t>
            </w:r>
            <w:r>
              <w:t xml:space="preserve">delivers </w:t>
            </w:r>
            <w:r w:rsidR="00C91312">
              <w:t xml:space="preserve">an Implementation Plan </w:t>
            </w:r>
            <w:r w:rsidR="00920208">
              <w:t xml:space="preserve">for the  </w:t>
            </w:r>
            <w:r w:rsidR="00012B34">
              <w:t>north-west Tasmania job ready generation p</w:t>
            </w:r>
            <w:r w:rsidR="00920208">
              <w:t xml:space="preserve">ackage that sets out the </w:t>
            </w:r>
            <w:r w:rsidR="00F471D8">
              <w:t xml:space="preserve">implementation </w:t>
            </w:r>
            <w:r w:rsidR="00920208">
              <w:t>m</w:t>
            </w:r>
            <w:r w:rsidR="00C91312">
              <w:t xml:space="preserve">ilestones </w:t>
            </w:r>
            <w:r w:rsidR="00F471D8">
              <w:t>and performance measures for</w:t>
            </w:r>
            <w:r w:rsidR="00C91312">
              <w:t xml:space="preserve"> each of the</w:t>
            </w:r>
            <w:r w:rsidR="00F471D8">
              <w:t xml:space="preserve"> Project</w:t>
            </w:r>
            <w:r w:rsidR="00C91312">
              <w:t xml:space="preserve"> Outputs outlined in </w:t>
            </w:r>
            <w:r w:rsidR="00895AB6">
              <w:br/>
            </w:r>
            <w:r w:rsidR="00C91312">
              <w:t>Part 2.</w:t>
            </w:r>
          </w:p>
          <w:p w14:paraId="2CDF1805" w14:textId="781A6C97" w:rsidR="00C91312" w:rsidRDefault="00920208" w:rsidP="00C91312">
            <w:r>
              <w:t>Where applicable</w:t>
            </w:r>
            <w:r w:rsidR="00706B6F">
              <w:t xml:space="preserve">, </w:t>
            </w:r>
            <w:r>
              <w:t xml:space="preserve">implementation milestones </w:t>
            </w:r>
            <w:r w:rsidR="00C91312">
              <w:t xml:space="preserve">will include </w:t>
            </w:r>
            <w:r>
              <w:t xml:space="preserve">the </w:t>
            </w:r>
            <w:r w:rsidR="00980760">
              <w:t xml:space="preserve">public </w:t>
            </w:r>
            <w:r w:rsidR="00C91312">
              <w:t xml:space="preserve">announcement of initiatives, consultation with </w:t>
            </w:r>
            <w:r>
              <w:t>stakeholders</w:t>
            </w:r>
            <w:r w:rsidR="00C91312">
              <w:t>, release of grants and contracts</w:t>
            </w:r>
            <w:r>
              <w:t xml:space="preserve"> and publication of documents</w:t>
            </w:r>
            <w:r w:rsidR="00C91312">
              <w:t>.</w:t>
            </w:r>
          </w:p>
          <w:p w14:paraId="42B75E86" w14:textId="3C99DADD" w:rsidR="00CA32E6" w:rsidRPr="00ED3067" w:rsidRDefault="00CA32E6" w:rsidP="00281F59"/>
        </w:tc>
        <w:tc>
          <w:tcPr>
            <w:tcW w:w="1559" w:type="dxa"/>
            <w:shd w:val="clear" w:color="auto" w:fill="DBE5F1" w:themeFill="accent1" w:themeFillTint="33"/>
          </w:tcPr>
          <w:p w14:paraId="0FB20AA2" w14:textId="4DE025A8" w:rsidR="007B4F61" w:rsidRPr="007E7069" w:rsidRDefault="007B4F61" w:rsidP="007B4F61">
            <w:pPr>
              <w:pStyle w:val="Heading2"/>
              <w:rPr>
                <w:b w:val="0"/>
                <w:sz w:val="23"/>
                <w:szCs w:val="23"/>
              </w:rPr>
            </w:pPr>
            <w:r w:rsidRPr="007E7069">
              <w:rPr>
                <w:b w:val="0"/>
                <w:color w:val="auto"/>
                <w:sz w:val="23"/>
                <w:szCs w:val="23"/>
              </w:rPr>
              <w:t>30/04/2019</w:t>
            </w:r>
          </w:p>
        </w:tc>
        <w:tc>
          <w:tcPr>
            <w:tcW w:w="1701" w:type="dxa"/>
            <w:shd w:val="clear" w:color="auto" w:fill="DBE5F1" w:themeFill="accent1" w:themeFillTint="33"/>
          </w:tcPr>
          <w:p w14:paraId="3C4E950F" w14:textId="77777777" w:rsidR="007B4F61" w:rsidRPr="002C6AED" w:rsidRDefault="007B4F61" w:rsidP="002C6AED">
            <w:pPr>
              <w:pStyle w:val="Heading2"/>
              <w:rPr>
                <w:color w:val="auto"/>
                <w:szCs w:val="23"/>
              </w:rPr>
            </w:pPr>
            <w:r>
              <w:rPr>
                <w:b w:val="0"/>
                <w:color w:val="auto"/>
                <w:sz w:val="23"/>
                <w:szCs w:val="23"/>
              </w:rPr>
              <w:t>$</w:t>
            </w:r>
            <w:r w:rsidR="00AD5824">
              <w:rPr>
                <w:b w:val="0"/>
                <w:color w:val="auto"/>
                <w:sz w:val="23"/>
                <w:szCs w:val="23"/>
              </w:rPr>
              <w:t>3.15 million</w:t>
            </w:r>
          </w:p>
        </w:tc>
      </w:tr>
    </w:tbl>
    <w:p w14:paraId="7BFA9109" w14:textId="29148DD1" w:rsidR="00434D71" w:rsidRPr="005E2615" w:rsidRDefault="00434D71" w:rsidP="005E2615">
      <w:pPr>
        <w:pStyle w:val="Normalnumbered"/>
        <w:numPr>
          <w:ilvl w:val="0"/>
          <w:numId w:val="22"/>
        </w:numPr>
        <w:spacing w:before="120" w:line="240" w:lineRule="auto"/>
      </w:pPr>
      <w:r w:rsidRPr="00434D71">
        <w:t>Where a milestone is met in advance of the due date, subject to the relevant performance</w:t>
      </w:r>
      <w:r>
        <w:t xml:space="preserve"> </w:t>
      </w:r>
      <w:r w:rsidRPr="005E2615">
        <w:t>report demonstrating the milestone has been met, the Commonwealth may make the</w:t>
      </w:r>
      <w:r>
        <w:t xml:space="preserve"> </w:t>
      </w:r>
      <w:r w:rsidRPr="005E2615">
        <w:t>associated payment earlier than scheduled provided it falls within the same financial year as the</w:t>
      </w:r>
      <w:r>
        <w:t xml:space="preserve"> </w:t>
      </w:r>
      <w:r w:rsidRPr="005E2615">
        <w:t>original milestone date.</w:t>
      </w:r>
    </w:p>
    <w:p w14:paraId="3E9D0E3D" w14:textId="1851701E" w:rsidR="00F3245D" w:rsidRDefault="00F3245D" w:rsidP="002C6AED">
      <w:pPr>
        <w:pStyle w:val="Heading2"/>
      </w:pPr>
      <w:r>
        <w:t>Reporting arrangements</w:t>
      </w:r>
    </w:p>
    <w:p w14:paraId="64C330A5" w14:textId="4621CEE6" w:rsidR="00ED2AC4" w:rsidRPr="00F32DDC" w:rsidRDefault="00AD5824" w:rsidP="00F32DDC">
      <w:pPr>
        <w:pStyle w:val="Normalnumbered"/>
        <w:numPr>
          <w:ilvl w:val="0"/>
          <w:numId w:val="22"/>
        </w:numPr>
        <w:spacing w:before="120" w:line="240" w:lineRule="auto"/>
        <w:rPr>
          <w:szCs w:val="23"/>
        </w:rPr>
      </w:pPr>
      <w:r>
        <w:t xml:space="preserve">Tasmania will provide an annual performance report </w:t>
      </w:r>
      <w:r w:rsidR="002813E8">
        <w:t>i</w:t>
      </w:r>
      <w:r w:rsidR="00884EF5">
        <w:t xml:space="preserve">n </w:t>
      </w:r>
      <w:r w:rsidR="002813E8">
        <w:t>August</w:t>
      </w:r>
      <w:r w:rsidR="00884EF5">
        <w:t xml:space="preserve"> each year </w:t>
      </w:r>
      <w:r w:rsidR="00F32DDC">
        <w:t xml:space="preserve">during the operation of the agreement </w:t>
      </w:r>
      <w:r>
        <w:t xml:space="preserve">which will </w:t>
      </w:r>
      <w:r w:rsidR="00086E63">
        <w:t xml:space="preserve">report on </w:t>
      </w:r>
      <w:r>
        <w:t xml:space="preserve">activity for </w:t>
      </w:r>
      <w:r w:rsidR="00884EF5">
        <w:t xml:space="preserve">the 12 months to 30 June for the </w:t>
      </w:r>
      <w:r w:rsidR="002813E8">
        <w:t>previous financial year</w:t>
      </w:r>
      <w:r w:rsidR="00884EF5">
        <w:t>.</w:t>
      </w:r>
      <w:r>
        <w:t xml:space="preserve"> Information to be provided in annual performance reports includes</w:t>
      </w:r>
      <w:r w:rsidR="00196C54">
        <w:t xml:space="preserve"> achievement of milestones in the Implementation Plan </w:t>
      </w:r>
      <w:r w:rsidR="00920208">
        <w:t xml:space="preserve">and activity reporting against performance measures </w:t>
      </w:r>
      <w:r w:rsidR="00972F8B">
        <w:t>including</w:t>
      </w:r>
      <w:r w:rsidR="00F32DDC">
        <w:t xml:space="preserve"> the following</w:t>
      </w:r>
      <w:r>
        <w:t>:</w:t>
      </w:r>
    </w:p>
    <w:p w14:paraId="2F2E0C19" w14:textId="77777777" w:rsidR="00AD5824" w:rsidRPr="002C6AED" w:rsidRDefault="00F32DDC" w:rsidP="002C6AED">
      <w:pPr>
        <w:pStyle w:val="Normalnumbered"/>
        <w:numPr>
          <w:ilvl w:val="1"/>
          <w:numId w:val="22"/>
        </w:numPr>
        <w:spacing w:before="120" w:line="240" w:lineRule="auto"/>
        <w:ind w:left="927"/>
        <w:rPr>
          <w:szCs w:val="23"/>
        </w:rPr>
      </w:pPr>
      <w:r w:rsidRPr="004D715B">
        <w:rPr>
          <w:color w:val="auto"/>
          <w:szCs w:val="23"/>
        </w:rPr>
        <w:t>Building Futures program in North West Tasmania</w:t>
      </w:r>
      <w:r>
        <w:rPr>
          <w:color w:val="auto"/>
          <w:szCs w:val="23"/>
        </w:rPr>
        <w:t>:</w:t>
      </w:r>
    </w:p>
    <w:p w14:paraId="1492F2FA" w14:textId="77777777" w:rsidR="00F32DDC" w:rsidRPr="002C6AED" w:rsidRDefault="00F32DDC" w:rsidP="002C6AED">
      <w:pPr>
        <w:pStyle w:val="Normalnumbered"/>
        <w:numPr>
          <w:ilvl w:val="2"/>
          <w:numId w:val="22"/>
        </w:numPr>
        <w:spacing w:before="120" w:line="240" w:lineRule="auto"/>
        <w:ind w:left="1314"/>
        <w:rPr>
          <w:szCs w:val="23"/>
        </w:rPr>
      </w:pPr>
      <w:r>
        <w:rPr>
          <w:color w:val="auto"/>
          <w:szCs w:val="23"/>
        </w:rPr>
        <w:t xml:space="preserve">The number of pre-apprentice and apprentice commencements funded through the </w:t>
      </w:r>
      <w:r w:rsidRPr="004D715B">
        <w:rPr>
          <w:color w:val="auto"/>
          <w:szCs w:val="23"/>
        </w:rPr>
        <w:t>Building Futures program</w:t>
      </w:r>
      <w:r>
        <w:rPr>
          <w:color w:val="auto"/>
          <w:szCs w:val="23"/>
        </w:rPr>
        <w:t xml:space="preserve"> in North West Tasmania.</w:t>
      </w:r>
    </w:p>
    <w:p w14:paraId="648016C4" w14:textId="77777777" w:rsidR="00F32DDC" w:rsidRPr="002C6AED" w:rsidRDefault="00F32DDC" w:rsidP="002C6AED">
      <w:pPr>
        <w:pStyle w:val="Normalnumbered"/>
        <w:numPr>
          <w:ilvl w:val="1"/>
          <w:numId w:val="22"/>
        </w:numPr>
        <w:spacing w:before="120" w:line="240" w:lineRule="auto"/>
        <w:ind w:left="927"/>
        <w:rPr>
          <w:color w:val="auto"/>
          <w:szCs w:val="23"/>
        </w:rPr>
      </w:pPr>
      <w:r w:rsidRPr="006E66C9">
        <w:rPr>
          <w:color w:val="auto"/>
          <w:szCs w:val="23"/>
        </w:rPr>
        <w:t>New Apprenticeship Scholarships Pilot program which will provide 200 apprentice scholarships in North West Tasmania</w:t>
      </w:r>
    </w:p>
    <w:p w14:paraId="20F65504" w14:textId="77777777" w:rsidR="00F32DDC" w:rsidRPr="002C6AED" w:rsidRDefault="00F32DDC" w:rsidP="002C6AED">
      <w:pPr>
        <w:pStyle w:val="Normalnumbered"/>
        <w:numPr>
          <w:ilvl w:val="2"/>
          <w:numId w:val="22"/>
        </w:numPr>
        <w:spacing w:before="120" w:line="240" w:lineRule="auto"/>
        <w:ind w:left="1314"/>
        <w:rPr>
          <w:szCs w:val="23"/>
        </w:rPr>
      </w:pPr>
      <w:r>
        <w:rPr>
          <w:color w:val="auto"/>
          <w:szCs w:val="23"/>
        </w:rPr>
        <w:t>The number of apprentice scholarships commenced in North West Tasmania.</w:t>
      </w:r>
    </w:p>
    <w:p w14:paraId="25283EF1" w14:textId="77777777" w:rsidR="00F32DDC" w:rsidRPr="002C6AED" w:rsidRDefault="00F32DDC" w:rsidP="002C6AED">
      <w:pPr>
        <w:pStyle w:val="Normalnumbered"/>
        <w:numPr>
          <w:ilvl w:val="1"/>
          <w:numId w:val="22"/>
        </w:numPr>
        <w:spacing w:before="120" w:line="240" w:lineRule="auto"/>
        <w:ind w:left="927"/>
        <w:rPr>
          <w:szCs w:val="23"/>
        </w:rPr>
      </w:pPr>
      <w:r w:rsidRPr="002C6AED">
        <w:rPr>
          <w:bCs/>
          <w:color w:val="auto"/>
          <w:szCs w:val="23"/>
        </w:rPr>
        <w:t>H</w:t>
      </w:r>
      <w:r w:rsidRPr="00086E63">
        <w:rPr>
          <w:color w:val="auto"/>
          <w:szCs w:val="23"/>
        </w:rPr>
        <w:t>i</w:t>
      </w:r>
      <w:r w:rsidRPr="006E66C9">
        <w:rPr>
          <w:color w:val="auto"/>
          <w:szCs w:val="23"/>
        </w:rPr>
        <w:t xml:space="preserve">gh quality vocational educational videos to support the development of skills in the </w:t>
      </w:r>
      <w:proofErr w:type="spellStart"/>
      <w:r w:rsidRPr="006E66C9">
        <w:rPr>
          <w:color w:val="auto"/>
          <w:szCs w:val="23"/>
        </w:rPr>
        <w:t>Agri</w:t>
      </w:r>
      <w:proofErr w:type="spellEnd"/>
      <w:r w:rsidRPr="006E66C9">
        <w:rPr>
          <w:color w:val="auto"/>
          <w:szCs w:val="23"/>
        </w:rPr>
        <w:t>-Tourism sector</w:t>
      </w:r>
    </w:p>
    <w:p w14:paraId="140357C7" w14:textId="77777777" w:rsidR="00F32DDC" w:rsidRPr="002C6AED" w:rsidRDefault="00F32DDC" w:rsidP="002C6AED">
      <w:pPr>
        <w:pStyle w:val="Normalnumbered"/>
        <w:numPr>
          <w:ilvl w:val="2"/>
          <w:numId w:val="22"/>
        </w:numPr>
        <w:spacing w:before="120" w:line="240" w:lineRule="auto"/>
        <w:ind w:left="1314"/>
        <w:rPr>
          <w:szCs w:val="23"/>
        </w:rPr>
      </w:pPr>
      <w:r>
        <w:rPr>
          <w:color w:val="auto"/>
          <w:szCs w:val="23"/>
        </w:rPr>
        <w:t>Progress towards completion of high quality vocational educational videos.</w:t>
      </w:r>
    </w:p>
    <w:p w14:paraId="5F4B37EC" w14:textId="77777777" w:rsidR="00F32DDC" w:rsidRPr="002C6AED" w:rsidRDefault="00F32DDC" w:rsidP="002C6AED">
      <w:pPr>
        <w:pStyle w:val="Normalnumbered"/>
        <w:numPr>
          <w:ilvl w:val="1"/>
          <w:numId w:val="22"/>
        </w:numPr>
        <w:spacing w:before="120" w:line="240" w:lineRule="auto"/>
        <w:ind w:left="927"/>
        <w:rPr>
          <w:szCs w:val="23"/>
        </w:rPr>
      </w:pPr>
      <w:r w:rsidRPr="006E66C9">
        <w:rPr>
          <w:color w:val="auto"/>
          <w:szCs w:val="23"/>
        </w:rPr>
        <w:t>workforce plan for the agricultural sector in North West Tasmania and training for up to 150 workers over two years to meet the identified skills needs</w:t>
      </w:r>
    </w:p>
    <w:p w14:paraId="63AD2F46" w14:textId="77777777" w:rsidR="00F32DDC" w:rsidRPr="002C6AED" w:rsidRDefault="00F32DDC" w:rsidP="002C6AED">
      <w:pPr>
        <w:pStyle w:val="Normalnumbered"/>
        <w:numPr>
          <w:ilvl w:val="2"/>
          <w:numId w:val="22"/>
        </w:numPr>
        <w:spacing w:before="120" w:line="240" w:lineRule="auto"/>
        <w:ind w:left="1314"/>
        <w:rPr>
          <w:szCs w:val="23"/>
        </w:rPr>
      </w:pPr>
      <w:r>
        <w:rPr>
          <w:color w:val="auto"/>
          <w:szCs w:val="23"/>
        </w:rPr>
        <w:t>Progress towards the completion of a workforce plan for the agricultural sector in North West Tasmania.</w:t>
      </w:r>
    </w:p>
    <w:p w14:paraId="05FB88C5" w14:textId="77777777" w:rsidR="00F32DDC" w:rsidRPr="00F32DDC" w:rsidRDefault="00F32DDC" w:rsidP="002C6AED">
      <w:pPr>
        <w:pStyle w:val="Normalnumbered"/>
        <w:numPr>
          <w:ilvl w:val="2"/>
          <w:numId w:val="22"/>
        </w:numPr>
        <w:spacing w:before="120" w:line="240" w:lineRule="auto"/>
        <w:ind w:left="1314"/>
        <w:rPr>
          <w:szCs w:val="23"/>
        </w:rPr>
      </w:pPr>
      <w:r>
        <w:t xml:space="preserve">The number of workers who commenced training </w:t>
      </w:r>
      <w:r w:rsidRPr="001D1D4D">
        <w:t>in North West Tasmania</w:t>
      </w:r>
      <w:r>
        <w:t xml:space="preserve"> for the agricultural sector.</w:t>
      </w:r>
    </w:p>
    <w:p w14:paraId="1DBA961B" w14:textId="77777777" w:rsidR="00F32DDC" w:rsidRPr="002C6AED" w:rsidRDefault="00F32DDC" w:rsidP="002C6AED">
      <w:pPr>
        <w:pStyle w:val="Normalnumbered"/>
        <w:numPr>
          <w:ilvl w:val="1"/>
          <w:numId w:val="22"/>
        </w:numPr>
        <w:spacing w:before="120" w:line="240" w:lineRule="auto"/>
        <w:ind w:left="927"/>
        <w:rPr>
          <w:szCs w:val="23"/>
        </w:rPr>
      </w:pPr>
      <w:r>
        <w:rPr>
          <w:color w:val="auto"/>
          <w:szCs w:val="23"/>
        </w:rPr>
        <w:t>E</w:t>
      </w:r>
      <w:r w:rsidRPr="006E66C9">
        <w:rPr>
          <w:color w:val="auto"/>
          <w:szCs w:val="23"/>
        </w:rPr>
        <w:t>stablish school based pre-apprenticeship and apprenticeship pathways</w:t>
      </w:r>
    </w:p>
    <w:p w14:paraId="1A1D478D" w14:textId="77777777" w:rsidR="00F32DDC" w:rsidRPr="002C6AED" w:rsidRDefault="00F32DDC" w:rsidP="002C6AED">
      <w:pPr>
        <w:pStyle w:val="Normalnumbered"/>
        <w:numPr>
          <w:ilvl w:val="2"/>
          <w:numId w:val="22"/>
        </w:numPr>
        <w:spacing w:before="120" w:line="240" w:lineRule="auto"/>
        <w:ind w:left="1314"/>
        <w:rPr>
          <w:szCs w:val="23"/>
        </w:rPr>
      </w:pPr>
      <w:r>
        <w:rPr>
          <w:color w:val="auto"/>
          <w:szCs w:val="23"/>
        </w:rPr>
        <w:t>Progress towards completion of the school based pre-apprenticeship and apprenticeship pathways, developed in collaboration between key employers and schools.</w:t>
      </w:r>
    </w:p>
    <w:p w14:paraId="704EB979" w14:textId="77777777" w:rsidR="00F32DDC" w:rsidRPr="002C6AED" w:rsidRDefault="00F32DDC" w:rsidP="002C6AED">
      <w:pPr>
        <w:pStyle w:val="Normalnumbered"/>
        <w:numPr>
          <w:ilvl w:val="1"/>
          <w:numId w:val="22"/>
        </w:numPr>
        <w:spacing w:before="120" w:line="240" w:lineRule="auto"/>
        <w:ind w:left="927"/>
        <w:rPr>
          <w:szCs w:val="23"/>
        </w:rPr>
      </w:pPr>
      <w:r w:rsidRPr="002C6AED">
        <w:rPr>
          <w:bCs/>
          <w:color w:val="auto"/>
          <w:szCs w:val="23"/>
        </w:rPr>
        <w:t>S</w:t>
      </w:r>
      <w:r w:rsidRPr="00F32DDC">
        <w:rPr>
          <w:color w:val="auto"/>
          <w:szCs w:val="23"/>
        </w:rPr>
        <w:t>ch</w:t>
      </w:r>
      <w:r w:rsidRPr="006E66C9">
        <w:rPr>
          <w:color w:val="auto"/>
          <w:szCs w:val="23"/>
        </w:rPr>
        <w:t>ool based pre-apprenticeship and apprenticeship training, with up to 160 students funded over three years</w:t>
      </w:r>
    </w:p>
    <w:p w14:paraId="172E3B37" w14:textId="77777777" w:rsidR="00F32DDC" w:rsidRPr="002C6AED" w:rsidRDefault="00F32DDC" w:rsidP="002C6AED">
      <w:pPr>
        <w:pStyle w:val="Normalnumbered"/>
        <w:numPr>
          <w:ilvl w:val="2"/>
          <w:numId w:val="22"/>
        </w:numPr>
        <w:spacing w:before="120" w:line="240" w:lineRule="auto"/>
        <w:ind w:left="1314"/>
        <w:rPr>
          <w:szCs w:val="23"/>
        </w:rPr>
      </w:pPr>
      <w:r w:rsidRPr="001D1D4D">
        <w:rPr>
          <w:color w:val="auto"/>
          <w:szCs w:val="23"/>
        </w:rPr>
        <w:t xml:space="preserve">The number of </w:t>
      </w:r>
      <w:r>
        <w:rPr>
          <w:color w:val="auto"/>
          <w:szCs w:val="23"/>
        </w:rPr>
        <w:t>school-based pre-apprentices and apprentices who commenced training in North West Tasmania</w:t>
      </w:r>
      <w:r w:rsidRPr="001D1D4D">
        <w:rPr>
          <w:color w:val="auto"/>
          <w:szCs w:val="23"/>
        </w:rPr>
        <w:t>.</w:t>
      </w:r>
    </w:p>
    <w:p w14:paraId="63A261CE" w14:textId="77777777" w:rsidR="00F32DDC" w:rsidRPr="002C6AED" w:rsidRDefault="00F32DDC" w:rsidP="002C6AED">
      <w:pPr>
        <w:pStyle w:val="Normalnumbered"/>
        <w:numPr>
          <w:ilvl w:val="1"/>
          <w:numId w:val="22"/>
        </w:numPr>
        <w:spacing w:before="120" w:line="240" w:lineRule="auto"/>
        <w:ind w:left="927"/>
        <w:rPr>
          <w:szCs w:val="23"/>
        </w:rPr>
      </w:pPr>
      <w:r w:rsidRPr="002C6AED">
        <w:rPr>
          <w:bCs/>
          <w:color w:val="auto"/>
          <w:szCs w:val="23"/>
        </w:rPr>
        <w:t>L</w:t>
      </w:r>
      <w:r w:rsidRPr="00F32DDC">
        <w:rPr>
          <w:color w:val="auto"/>
          <w:szCs w:val="23"/>
        </w:rPr>
        <w:t>ea</w:t>
      </w:r>
      <w:r w:rsidRPr="006E66C9">
        <w:rPr>
          <w:color w:val="auto"/>
          <w:szCs w:val="23"/>
        </w:rPr>
        <w:t>rning technology resources, including online materials to support</w:t>
      </w:r>
      <w:r>
        <w:rPr>
          <w:color w:val="auto"/>
          <w:szCs w:val="23"/>
        </w:rPr>
        <w:t xml:space="preserve"> training outcomes for the</w:t>
      </w:r>
      <w:r w:rsidRPr="006E66C9">
        <w:rPr>
          <w:color w:val="auto"/>
          <w:szCs w:val="23"/>
        </w:rPr>
        <w:t xml:space="preserve"> agricultural sector</w:t>
      </w:r>
    </w:p>
    <w:p w14:paraId="678EF7D9" w14:textId="77777777" w:rsidR="00F32DDC" w:rsidRPr="002C6AED" w:rsidRDefault="00F32DDC" w:rsidP="002C6AED">
      <w:pPr>
        <w:pStyle w:val="Normalnumbered"/>
        <w:numPr>
          <w:ilvl w:val="2"/>
          <w:numId w:val="22"/>
        </w:numPr>
        <w:spacing w:before="120" w:line="240" w:lineRule="auto"/>
        <w:ind w:left="1314"/>
        <w:rPr>
          <w:szCs w:val="23"/>
        </w:rPr>
      </w:pPr>
      <w:r w:rsidRPr="002C6AED">
        <w:rPr>
          <w:color w:val="auto"/>
          <w:szCs w:val="23"/>
        </w:rPr>
        <w:t>Progress towards c</w:t>
      </w:r>
      <w:r w:rsidRPr="00F32DDC">
        <w:rPr>
          <w:color w:val="auto"/>
          <w:szCs w:val="23"/>
        </w:rPr>
        <w:t>omplet</w:t>
      </w:r>
      <w:r w:rsidRPr="002C6AED">
        <w:rPr>
          <w:color w:val="auto"/>
          <w:szCs w:val="23"/>
        </w:rPr>
        <w:t>ion of</w:t>
      </w:r>
      <w:r w:rsidRPr="00F32DDC">
        <w:rPr>
          <w:color w:val="auto"/>
          <w:szCs w:val="23"/>
        </w:rPr>
        <w:t xml:space="preserve"> learning</w:t>
      </w:r>
      <w:r>
        <w:rPr>
          <w:color w:val="auto"/>
          <w:szCs w:val="23"/>
        </w:rPr>
        <w:t xml:space="preserve"> resources that support training for the agricultural sector in North West Tasmania.</w:t>
      </w:r>
    </w:p>
    <w:p w14:paraId="72C71BC4" w14:textId="77777777" w:rsidR="00F32DDC" w:rsidRPr="002C6AED" w:rsidRDefault="00F32DDC" w:rsidP="002C6AED">
      <w:pPr>
        <w:pStyle w:val="Normalnumbered"/>
        <w:numPr>
          <w:ilvl w:val="1"/>
          <w:numId w:val="22"/>
        </w:numPr>
        <w:spacing w:before="120" w:line="240" w:lineRule="auto"/>
        <w:ind w:left="927"/>
        <w:rPr>
          <w:szCs w:val="23"/>
        </w:rPr>
      </w:pPr>
      <w:r w:rsidRPr="002C6AED">
        <w:rPr>
          <w:bCs/>
          <w:color w:val="auto"/>
          <w:szCs w:val="23"/>
        </w:rPr>
        <w:t>A</w:t>
      </w:r>
      <w:r w:rsidRPr="00F32DDC">
        <w:rPr>
          <w:color w:val="auto"/>
          <w:szCs w:val="23"/>
        </w:rPr>
        <w:t xml:space="preserve"> mining industry workforce plan in consultation with key employers</w:t>
      </w:r>
    </w:p>
    <w:p w14:paraId="5B812989" w14:textId="77777777" w:rsidR="00F32DDC" w:rsidRPr="00F32DDC" w:rsidRDefault="00F32DDC" w:rsidP="002C6AED">
      <w:pPr>
        <w:pStyle w:val="Normalnumbered"/>
        <w:numPr>
          <w:ilvl w:val="2"/>
          <w:numId w:val="22"/>
        </w:numPr>
        <w:spacing w:before="120" w:line="240" w:lineRule="auto"/>
        <w:ind w:left="1314"/>
        <w:rPr>
          <w:szCs w:val="23"/>
        </w:rPr>
      </w:pPr>
      <w:r>
        <w:rPr>
          <w:color w:val="auto"/>
          <w:szCs w:val="23"/>
        </w:rPr>
        <w:t>Progress towards c</w:t>
      </w:r>
      <w:r w:rsidRPr="00F32DDC">
        <w:rPr>
          <w:color w:val="auto"/>
          <w:szCs w:val="23"/>
        </w:rPr>
        <w:t>omplet</w:t>
      </w:r>
      <w:r w:rsidRPr="002C6AED">
        <w:rPr>
          <w:color w:val="auto"/>
          <w:szCs w:val="23"/>
        </w:rPr>
        <w:t>ion</w:t>
      </w:r>
      <w:r w:rsidRPr="00F32DDC">
        <w:rPr>
          <w:color w:val="auto"/>
          <w:szCs w:val="23"/>
        </w:rPr>
        <w:t xml:space="preserve"> </w:t>
      </w:r>
      <w:r w:rsidRPr="002C6AED">
        <w:rPr>
          <w:color w:val="auto"/>
          <w:szCs w:val="23"/>
        </w:rPr>
        <w:t xml:space="preserve">of a </w:t>
      </w:r>
      <w:r w:rsidRPr="00F32DDC">
        <w:rPr>
          <w:color w:val="auto"/>
          <w:szCs w:val="23"/>
        </w:rPr>
        <w:t>workforce plan for the mining industry in North West Tasmania.</w:t>
      </w:r>
    </w:p>
    <w:p w14:paraId="353BE1A3" w14:textId="77777777" w:rsidR="008E7527" w:rsidRDefault="008E7527" w:rsidP="009E093C">
      <w:pPr>
        <w:pStyle w:val="Heading1"/>
      </w:pPr>
      <w:r>
        <w:t>Part 5</w:t>
      </w:r>
      <w:r w:rsidRPr="00751725">
        <w:t xml:space="preserve"> — financial arrangements</w:t>
      </w:r>
    </w:p>
    <w:p w14:paraId="554C0673" w14:textId="7BEE80A6" w:rsidR="008E7527" w:rsidRDefault="008E7527" w:rsidP="009E093C">
      <w:pPr>
        <w:pStyle w:val="Normalnumbered"/>
        <w:numPr>
          <w:ilvl w:val="0"/>
          <w:numId w:val="22"/>
        </w:numPr>
        <w:jc w:val="left"/>
      </w:pPr>
      <w:r w:rsidRPr="000E48C3">
        <w:t xml:space="preserve">The Commonwealth will </w:t>
      </w:r>
      <w:r>
        <w:t>provide</w:t>
      </w:r>
      <w:r w:rsidRPr="000E48C3">
        <w:t xml:space="preserve"> a</w:t>
      </w:r>
      <w:r w:rsidR="00351211">
        <w:t>n estimated</w:t>
      </w:r>
      <w:r>
        <w:t xml:space="preserve"> total</w:t>
      </w:r>
      <w:r w:rsidRPr="000E48C3">
        <w:t xml:space="preserve"> financial contribution to </w:t>
      </w:r>
      <w:r w:rsidR="00F75A1C">
        <w:t>Tasmania</w:t>
      </w:r>
      <w:r>
        <w:t xml:space="preserve"> of </w:t>
      </w:r>
      <w:r w:rsidRPr="00CD526B">
        <w:t>$</w:t>
      </w:r>
      <w:r w:rsidR="00F75A1C">
        <w:t>3.15</w:t>
      </w:r>
      <w:r>
        <w:t>m in respect of this Agreement. All payments are GST exclusive.</w:t>
      </w:r>
    </w:p>
    <w:p w14:paraId="60A05A9E" w14:textId="77777777" w:rsidR="008E7527" w:rsidRDefault="005A5E7A" w:rsidP="00B619AA">
      <w:pPr>
        <w:pStyle w:val="Normalnumbered"/>
        <w:numPr>
          <w:ilvl w:val="0"/>
          <w:numId w:val="22"/>
        </w:numPr>
      </w:pPr>
      <w:r>
        <w:t>T</w:t>
      </w:r>
      <w:r w:rsidR="008E7527" w:rsidRPr="002B7E1B">
        <w:t>he Commonwealth’s funding contribution will not be reduced where the States secure funding from other activity partners</w:t>
      </w:r>
      <w:r w:rsidR="002E144A">
        <w:t>.</w:t>
      </w:r>
    </w:p>
    <w:p w14:paraId="02C14E5F" w14:textId="77777777" w:rsidR="008E7527" w:rsidRPr="00751725" w:rsidRDefault="008E7527" w:rsidP="00B619AA">
      <w:pPr>
        <w:pStyle w:val="Normalnumbered"/>
        <w:keepNext/>
        <w:keepLines/>
        <w:numPr>
          <w:ilvl w:val="0"/>
          <w:numId w:val="22"/>
        </w:numPr>
      </w:pPr>
      <w:r w:rsidRPr="00751725">
        <w:t>The Commonwealth</w:t>
      </w:r>
      <w:r>
        <w:t>’s</w:t>
      </w:r>
      <w:r w:rsidRPr="00751725">
        <w:t xml:space="preserve"> and the </w:t>
      </w:r>
      <w:r w:rsidR="00BD2253">
        <w:t>State’s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338AA28B" w14:textId="77777777" w:rsidR="00435DEC" w:rsidRDefault="00435DEC">
      <w:pPr>
        <w:spacing w:after="0" w:line="240" w:lineRule="auto"/>
        <w:jc w:val="left"/>
        <w:rPr>
          <w:b/>
        </w:rPr>
      </w:pPr>
      <w:r>
        <w:rPr>
          <w:b/>
        </w:rPr>
        <w:br w:type="page"/>
      </w:r>
    </w:p>
    <w:p w14:paraId="4CE8465D" w14:textId="25972C49" w:rsidR="008E7527" w:rsidRPr="00A05C1E" w:rsidRDefault="00E204BB" w:rsidP="00E204BB">
      <w:pPr>
        <w:pStyle w:val="Normalnumbered"/>
        <w:numPr>
          <w:ilvl w:val="0"/>
          <w:numId w:val="0"/>
        </w:numPr>
        <w:rPr>
          <w:b/>
          <w:i/>
        </w:rPr>
      </w:pPr>
      <w:r>
        <w:rPr>
          <w:b/>
        </w:rPr>
        <w:t>Table 2</w:t>
      </w:r>
      <w:r w:rsidR="008E7527" w:rsidRPr="00E204BB">
        <w:rPr>
          <w:b/>
        </w:rPr>
        <w:t>: Estimated financial contributions</w:t>
      </w:r>
    </w:p>
    <w:tbl>
      <w:tblPr>
        <w:tblW w:w="0" w:type="auto"/>
        <w:tblLook w:val="01E0" w:firstRow="1" w:lastRow="1" w:firstColumn="1" w:lastColumn="1" w:noHBand="0" w:noVBand="0"/>
      </w:tblPr>
      <w:tblGrid>
        <w:gridCol w:w="4853"/>
        <w:gridCol w:w="1101"/>
        <w:gridCol w:w="1134"/>
      </w:tblGrid>
      <w:tr w:rsidR="00884EF5" w14:paraId="33D36E87" w14:textId="77777777" w:rsidTr="00884EF5">
        <w:trPr>
          <w:cantSplit/>
        </w:trPr>
        <w:tc>
          <w:tcPr>
            <w:tcW w:w="4853" w:type="dxa"/>
            <w:tcBorders>
              <w:top w:val="single" w:sz="4" w:space="0" w:color="000080"/>
            </w:tcBorders>
          </w:tcPr>
          <w:p w14:paraId="05E02BF1" w14:textId="77777777" w:rsidR="00884EF5" w:rsidRPr="002813E8" w:rsidRDefault="00884EF5" w:rsidP="00AB71A5">
            <w:pPr>
              <w:keepNext/>
              <w:keepLines/>
              <w:spacing w:before="40" w:after="40"/>
              <w:jc w:val="left"/>
              <w:rPr>
                <w:b/>
                <w:color w:val="auto"/>
              </w:rPr>
            </w:pPr>
            <w:r w:rsidRPr="002813E8">
              <w:rPr>
                <w:b/>
                <w:color w:val="auto"/>
              </w:rPr>
              <w:t>($ million)</w:t>
            </w:r>
          </w:p>
        </w:tc>
        <w:tc>
          <w:tcPr>
            <w:tcW w:w="1101" w:type="dxa"/>
            <w:tcBorders>
              <w:top w:val="single" w:sz="4" w:space="0" w:color="000080"/>
              <w:bottom w:val="single" w:sz="4" w:space="0" w:color="000080"/>
            </w:tcBorders>
          </w:tcPr>
          <w:p w14:paraId="040271FB" w14:textId="77777777" w:rsidR="00884EF5" w:rsidRPr="002813E8" w:rsidRDefault="00884EF5" w:rsidP="00AB71A5">
            <w:pPr>
              <w:keepNext/>
              <w:keepLines/>
              <w:spacing w:before="40" w:after="40"/>
              <w:jc w:val="right"/>
              <w:rPr>
                <w:color w:val="auto"/>
              </w:rPr>
            </w:pPr>
            <w:r w:rsidRPr="002813E8">
              <w:rPr>
                <w:color w:val="auto"/>
              </w:rPr>
              <w:t>2018-19</w:t>
            </w:r>
          </w:p>
        </w:tc>
        <w:tc>
          <w:tcPr>
            <w:tcW w:w="1134" w:type="dxa"/>
            <w:tcBorders>
              <w:top w:val="single" w:sz="4" w:space="0" w:color="000080"/>
              <w:bottom w:val="single" w:sz="4" w:space="0" w:color="000080"/>
            </w:tcBorders>
          </w:tcPr>
          <w:p w14:paraId="6CDB4ADA" w14:textId="77777777" w:rsidR="00884EF5" w:rsidRPr="002813E8" w:rsidRDefault="00884EF5" w:rsidP="00AB71A5">
            <w:pPr>
              <w:keepNext/>
              <w:keepLines/>
              <w:spacing w:before="40" w:after="40"/>
              <w:jc w:val="right"/>
              <w:rPr>
                <w:color w:val="auto"/>
              </w:rPr>
            </w:pPr>
            <w:r w:rsidRPr="002813E8">
              <w:rPr>
                <w:color w:val="auto"/>
              </w:rPr>
              <w:t>Total</w:t>
            </w:r>
          </w:p>
        </w:tc>
      </w:tr>
      <w:tr w:rsidR="00884EF5" w14:paraId="56207D26" w14:textId="77777777" w:rsidTr="00884EF5">
        <w:trPr>
          <w:cantSplit/>
        </w:trPr>
        <w:tc>
          <w:tcPr>
            <w:tcW w:w="4853" w:type="dxa"/>
          </w:tcPr>
          <w:p w14:paraId="51440915" w14:textId="77777777" w:rsidR="00884EF5" w:rsidRPr="002813E8" w:rsidRDefault="00884EF5" w:rsidP="00AB71A5">
            <w:pPr>
              <w:keepNext/>
              <w:keepLines/>
              <w:spacing w:before="60" w:after="60"/>
              <w:rPr>
                <w:b/>
                <w:color w:val="auto"/>
              </w:rPr>
            </w:pPr>
            <w:r w:rsidRPr="002813E8">
              <w:rPr>
                <w:b/>
                <w:color w:val="auto"/>
              </w:rPr>
              <w:t>Estimated total budget</w:t>
            </w:r>
          </w:p>
        </w:tc>
        <w:tc>
          <w:tcPr>
            <w:tcW w:w="1101" w:type="dxa"/>
            <w:tcBorders>
              <w:top w:val="single" w:sz="4" w:space="0" w:color="000080"/>
            </w:tcBorders>
          </w:tcPr>
          <w:p w14:paraId="3A1D54E1" w14:textId="62E5F85A" w:rsidR="00884EF5" w:rsidRPr="002813E8" w:rsidRDefault="00C134DF" w:rsidP="00AB71A5">
            <w:pPr>
              <w:keepNext/>
              <w:keepLines/>
              <w:spacing w:before="40" w:after="40"/>
              <w:jc w:val="right"/>
              <w:rPr>
                <w:b/>
                <w:color w:val="auto"/>
              </w:rPr>
            </w:pPr>
            <w:r>
              <w:rPr>
                <w:b/>
                <w:color w:val="auto"/>
              </w:rPr>
              <w:t>3.15</w:t>
            </w:r>
          </w:p>
        </w:tc>
        <w:tc>
          <w:tcPr>
            <w:tcW w:w="1134" w:type="dxa"/>
            <w:tcBorders>
              <w:top w:val="single" w:sz="4" w:space="0" w:color="000080"/>
            </w:tcBorders>
          </w:tcPr>
          <w:p w14:paraId="124E04F2" w14:textId="2B7580E5" w:rsidR="00884EF5" w:rsidRPr="002813E8" w:rsidRDefault="00C134DF" w:rsidP="00AB71A5">
            <w:pPr>
              <w:keepNext/>
              <w:keepLines/>
              <w:spacing w:before="40" w:after="40"/>
              <w:jc w:val="right"/>
              <w:rPr>
                <w:b/>
                <w:color w:val="auto"/>
              </w:rPr>
            </w:pPr>
            <w:r>
              <w:rPr>
                <w:b/>
                <w:color w:val="auto"/>
              </w:rPr>
              <w:t>3.15</w:t>
            </w:r>
          </w:p>
        </w:tc>
      </w:tr>
      <w:tr w:rsidR="00884EF5" w14:paraId="1D6899CB" w14:textId="77777777" w:rsidTr="00884EF5">
        <w:trPr>
          <w:cantSplit/>
        </w:trPr>
        <w:tc>
          <w:tcPr>
            <w:tcW w:w="4853" w:type="dxa"/>
          </w:tcPr>
          <w:p w14:paraId="376DEE5A" w14:textId="77777777" w:rsidR="00884EF5" w:rsidRPr="002813E8" w:rsidRDefault="00884EF5" w:rsidP="00AB71A5">
            <w:pPr>
              <w:keepNext/>
              <w:keepLines/>
              <w:spacing w:before="60" w:after="60"/>
              <w:rPr>
                <w:color w:val="auto"/>
              </w:rPr>
            </w:pPr>
            <w:r w:rsidRPr="002813E8">
              <w:rPr>
                <w:color w:val="auto"/>
              </w:rPr>
              <w:t>Less estimated National Partnership Payments</w:t>
            </w:r>
          </w:p>
        </w:tc>
        <w:tc>
          <w:tcPr>
            <w:tcW w:w="1101" w:type="dxa"/>
            <w:tcBorders>
              <w:bottom w:val="single" w:sz="4" w:space="0" w:color="000080"/>
            </w:tcBorders>
          </w:tcPr>
          <w:p w14:paraId="0F5DBA7B" w14:textId="77777777" w:rsidR="00884EF5" w:rsidRPr="002813E8" w:rsidRDefault="00884EF5" w:rsidP="00884EF5">
            <w:pPr>
              <w:keepNext/>
              <w:keepLines/>
              <w:spacing w:before="40" w:after="40"/>
              <w:jc w:val="right"/>
              <w:rPr>
                <w:color w:val="auto"/>
              </w:rPr>
            </w:pPr>
            <w:r w:rsidRPr="002813E8">
              <w:rPr>
                <w:color w:val="auto"/>
              </w:rPr>
              <w:t>3.15</w:t>
            </w:r>
          </w:p>
        </w:tc>
        <w:tc>
          <w:tcPr>
            <w:tcW w:w="1134" w:type="dxa"/>
            <w:tcBorders>
              <w:bottom w:val="single" w:sz="4" w:space="0" w:color="000080"/>
            </w:tcBorders>
          </w:tcPr>
          <w:p w14:paraId="19C7B49D" w14:textId="77777777" w:rsidR="00884EF5" w:rsidRPr="002813E8" w:rsidRDefault="00884EF5" w:rsidP="00884EF5">
            <w:pPr>
              <w:keepNext/>
              <w:keepLines/>
              <w:spacing w:before="40" w:after="40"/>
              <w:jc w:val="right"/>
              <w:rPr>
                <w:color w:val="auto"/>
              </w:rPr>
            </w:pPr>
            <w:r w:rsidRPr="002813E8">
              <w:rPr>
                <w:color w:val="auto"/>
              </w:rPr>
              <w:t>3.15</w:t>
            </w:r>
          </w:p>
        </w:tc>
      </w:tr>
      <w:tr w:rsidR="00884EF5" w14:paraId="72CF6C66" w14:textId="77777777" w:rsidTr="00884EF5">
        <w:trPr>
          <w:cantSplit/>
        </w:trPr>
        <w:tc>
          <w:tcPr>
            <w:tcW w:w="4853" w:type="dxa"/>
            <w:tcBorders>
              <w:bottom w:val="single" w:sz="4" w:space="0" w:color="000080"/>
            </w:tcBorders>
          </w:tcPr>
          <w:p w14:paraId="50E0C169" w14:textId="77777777" w:rsidR="00884EF5" w:rsidRPr="002813E8" w:rsidRDefault="00884EF5" w:rsidP="00AB71A5">
            <w:pPr>
              <w:keepNext/>
              <w:keepLines/>
              <w:spacing w:before="40" w:after="40"/>
              <w:rPr>
                <w:color w:val="auto"/>
              </w:rPr>
            </w:pPr>
            <w:r w:rsidRPr="002813E8">
              <w:rPr>
                <w:color w:val="auto"/>
              </w:rPr>
              <w:t>Balance of non-Commonwealth contributions</w:t>
            </w:r>
          </w:p>
        </w:tc>
        <w:tc>
          <w:tcPr>
            <w:tcW w:w="1101" w:type="dxa"/>
            <w:tcBorders>
              <w:bottom w:val="single" w:sz="4" w:space="0" w:color="000080"/>
            </w:tcBorders>
          </w:tcPr>
          <w:p w14:paraId="5968A99E" w14:textId="77777777" w:rsidR="00884EF5" w:rsidRPr="002813E8" w:rsidRDefault="00884EF5" w:rsidP="00AB71A5">
            <w:pPr>
              <w:keepNext/>
              <w:keepLines/>
              <w:spacing w:before="40" w:after="40"/>
              <w:jc w:val="right"/>
              <w:rPr>
                <w:color w:val="auto"/>
              </w:rPr>
            </w:pPr>
            <w:r w:rsidRPr="002813E8">
              <w:rPr>
                <w:color w:val="auto"/>
              </w:rPr>
              <w:t>0</w:t>
            </w:r>
          </w:p>
        </w:tc>
        <w:tc>
          <w:tcPr>
            <w:tcW w:w="1134" w:type="dxa"/>
            <w:tcBorders>
              <w:bottom w:val="single" w:sz="4" w:space="0" w:color="000080"/>
            </w:tcBorders>
          </w:tcPr>
          <w:p w14:paraId="1F3FEF63" w14:textId="77777777" w:rsidR="00884EF5" w:rsidRPr="002813E8" w:rsidRDefault="00884EF5" w:rsidP="00AB71A5">
            <w:pPr>
              <w:keepNext/>
              <w:keepLines/>
              <w:spacing w:before="40" w:after="40"/>
              <w:jc w:val="right"/>
              <w:rPr>
                <w:color w:val="auto"/>
              </w:rPr>
            </w:pPr>
            <w:r w:rsidRPr="002813E8">
              <w:rPr>
                <w:color w:val="auto"/>
              </w:rPr>
              <w:t>0</w:t>
            </w:r>
          </w:p>
        </w:tc>
      </w:tr>
    </w:tbl>
    <w:p w14:paraId="1A7E712E" w14:textId="55DE8FC1" w:rsidR="008E7527" w:rsidRDefault="008E7527" w:rsidP="00884EF5">
      <w:pPr>
        <w:pStyle w:val="Normalnumbered"/>
        <w:numPr>
          <w:ilvl w:val="0"/>
          <w:numId w:val="22"/>
        </w:numPr>
        <w:spacing w:before="240"/>
      </w:pPr>
      <w:r w:rsidRPr="00C738BD">
        <w:t xml:space="preserve">Having regard to the agreed estimated costs of projects specified in </w:t>
      </w:r>
      <w:r w:rsidR="006B43AF">
        <w:t>this</w:t>
      </w:r>
      <w:r>
        <w:t xml:space="preserve"> Agreement</w:t>
      </w:r>
      <w:r w:rsidRPr="00C738BD">
        <w:t xml:space="preserve">, </w:t>
      </w:r>
      <w:r w:rsidR="00E94B3C">
        <w:t>Tasmania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E94B3C">
        <w:t>Tasmania</w:t>
      </w:r>
      <w:r>
        <w:t xml:space="preserve"> </w:t>
      </w:r>
      <w:r w:rsidRPr="00C738BD">
        <w:t>bear</w:t>
      </w:r>
      <w:r w:rsidR="002C6AED">
        <w:t>s</w:t>
      </w:r>
      <w:r w:rsidRPr="00C738BD">
        <w:t xml:space="preserve"> all risk should the costs of a project exceed the agreed estimated cost</w:t>
      </w:r>
      <w:r>
        <w:t>s.</w:t>
      </w:r>
    </w:p>
    <w:p w14:paraId="7FC8A961" w14:textId="77777777" w:rsidR="00814667" w:rsidRDefault="003A2157">
      <w:pPr>
        <w:pStyle w:val="Heading1"/>
      </w:pPr>
      <w:bookmarkStart w:id="3" w:name="top"/>
      <w:bookmarkEnd w:id="3"/>
      <w:r>
        <w:t xml:space="preserve">Part </w:t>
      </w:r>
      <w:r w:rsidR="000B4080">
        <w:t>6</w:t>
      </w:r>
      <w:r w:rsidR="00814667">
        <w:t xml:space="preserve"> — governance arrangements</w:t>
      </w:r>
    </w:p>
    <w:p w14:paraId="5016ECDE" w14:textId="77777777" w:rsidR="00BC4728" w:rsidRDefault="00BC4728" w:rsidP="00BC4728">
      <w:pPr>
        <w:pStyle w:val="Heading2"/>
      </w:pPr>
      <w:r w:rsidRPr="006F096A">
        <w:t>Enforceability of the Agreement</w:t>
      </w:r>
    </w:p>
    <w:p w14:paraId="1A89D971" w14:textId="77777777" w:rsidR="00BC4728" w:rsidRPr="00C40EBC" w:rsidRDefault="00BC4728" w:rsidP="00B619AA">
      <w:pPr>
        <w:pStyle w:val="Normalnumbered"/>
        <w:numPr>
          <w:ilvl w:val="0"/>
          <w:numId w:val="22"/>
        </w:numPr>
        <w:spacing w:line="240" w:lineRule="auto"/>
      </w:pPr>
      <w:r>
        <w:rPr>
          <w:szCs w:val="23"/>
        </w:rPr>
        <w:t>The Parties do not intend any of the provisions of this Agreement to be legally enforceable. However, that does not lessen the Parties’ commitment to this Agreement.</w:t>
      </w:r>
    </w:p>
    <w:p w14:paraId="356780E5" w14:textId="77777777" w:rsidR="00814667" w:rsidRDefault="00814667">
      <w:pPr>
        <w:pStyle w:val="Heading2"/>
      </w:pPr>
      <w:r>
        <w:t>Variation of the Agreement</w:t>
      </w:r>
    </w:p>
    <w:p w14:paraId="5EC8978C" w14:textId="77777777" w:rsidR="00814667" w:rsidRPr="00DE36EB" w:rsidRDefault="00607B03" w:rsidP="00B619AA">
      <w:pPr>
        <w:pStyle w:val="Normalnumbered"/>
        <w:numPr>
          <w:ilvl w:val="0"/>
          <w:numId w:val="22"/>
        </w:numPr>
      </w:pPr>
      <w:r>
        <w:t>The A</w:t>
      </w:r>
      <w:r w:rsidR="00814667">
        <w:t xml:space="preserve">greement may be amended at any time by agreement in writing by </w:t>
      </w:r>
      <w:r w:rsidR="002B1C50" w:rsidRPr="00DE36EB">
        <w:t xml:space="preserve">both </w:t>
      </w:r>
      <w:r w:rsidR="00814667" w:rsidRPr="00DE36EB">
        <w:t>the Parties.</w:t>
      </w:r>
    </w:p>
    <w:p w14:paraId="506AC534" w14:textId="77777777" w:rsidR="00292587" w:rsidRDefault="00C2605C" w:rsidP="00B619AA">
      <w:pPr>
        <w:pStyle w:val="Normalnumbered"/>
        <w:numPr>
          <w:ilvl w:val="0"/>
          <w:numId w:val="22"/>
        </w:numPr>
      </w:pPr>
      <w:r w:rsidRPr="00DE36EB">
        <w:t xml:space="preserve">A </w:t>
      </w:r>
      <w:r w:rsidR="00814667" w:rsidRPr="00DE36EB">
        <w:t>Party to the Agreement may terminate their part</w:t>
      </w:r>
      <w:r w:rsidR="00814667">
        <w:t>icipation in the Agreement at any time by notifying the other Part</w:t>
      </w:r>
      <w:r>
        <w:t>y</w:t>
      </w:r>
      <w:r>
        <w:rPr>
          <w:i/>
        </w:rPr>
        <w:t xml:space="preserve"> </w:t>
      </w:r>
      <w:r w:rsidR="00814667">
        <w:t>in writing.</w:t>
      </w:r>
    </w:p>
    <w:p w14:paraId="2B1C3296" w14:textId="77777777" w:rsidR="009526E4" w:rsidRDefault="009526E4" w:rsidP="0036119D">
      <w:pPr>
        <w:pStyle w:val="Heading2"/>
      </w:pPr>
      <w:r>
        <w:t>Delegations</w:t>
      </w:r>
    </w:p>
    <w:p w14:paraId="73CD5E09" w14:textId="77777777" w:rsidR="009526E4" w:rsidRDefault="009526E4" w:rsidP="00244500">
      <w:pPr>
        <w:pStyle w:val="Normalnumbered"/>
        <w:numPr>
          <w:ilvl w:val="0"/>
          <w:numId w:val="22"/>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89D6C4B" w14:textId="77777777" w:rsidR="0036119D" w:rsidRDefault="0036119D" w:rsidP="0036119D">
      <w:pPr>
        <w:pStyle w:val="Heading2"/>
      </w:pPr>
      <w:r>
        <w:t>Dispute resolution</w:t>
      </w:r>
    </w:p>
    <w:p w14:paraId="3A5037D0" w14:textId="77777777" w:rsidR="0036119D" w:rsidRPr="00DE36EB" w:rsidRDefault="00697494" w:rsidP="00244500">
      <w:pPr>
        <w:pStyle w:val="Normalnumbered"/>
        <w:numPr>
          <w:ilvl w:val="0"/>
          <w:numId w:val="22"/>
        </w:numPr>
      </w:pPr>
      <w:r w:rsidRPr="00DE36EB">
        <w:t>E</w:t>
      </w:r>
      <w:r w:rsidR="002B1C50" w:rsidRPr="00DE36EB">
        <w:t xml:space="preserve">ither </w:t>
      </w:r>
      <w:r w:rsidR="0036119D" w:rsidRPr="00DE36EB">
        <w:t xml:space="preserve">Party may give notice to </w:t>
      </w:r>
      <w:r w:rsidR="00493018">
        <w:t xml:space="preserve">the </w:t>
      </w:r>
      <w:r w:rsidR="0036119D" w:rsidRPr="00DE36EB">
        <w:t xml:space="preserve">other </w:t>
      </w:r>
      <w:r w:rsidR="00684EC1" w:rsidRPr="00DE36EB">
        <w:t xml:space="preserve">Party </w:t>
      </w:r>
      <w:r w:rsidR="0036119D" w:rsidRPr="00DE36EB">
        <w:t>of a dispute under this Agreement.</w:t>
      </w:r>
    </w:p>
    <w:p w14:paraId="3279F3BD" w14:textId="77777777" w:rsidR="0036119D" w:rsidRPr="00DE36EB" w:rsidRDefault="0036119D" w:rsidP="00244500">
      <w:pPr>
        <w:pStyle w:val="Normalnumbered"/>
        <w:numPr>
          <w:ilvl w:val="0"/>
          <w:numId w:val="22"/>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0B8876F3" w14:textId="77777777" w:rsidR="0036119D" w:rsidRPr="00DE36EB" w:rsidRDefault="0036119D" w:rsidP="00244500">
      <w:pPr>
        <w:pStyle w:val="Normalnumbered"/>
        <w:numPr>
          <w:ilvl w:val="0"/>
          <w:numId w:val="22"/>
        </w:numPr>
      </w:pPr>
      <w:r w:rsidRPr="00DE36EB">
        <w:t>If a dispute cannot be resolved by officials, it may be escalated to the relevant Ministers.</w:t>
      </w:r>
    </w:p>
    <w:p w14:paraId="0D48013A"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1E63C359"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84EF5" w:rsidRPr="00A50751" w14:paraId="5BCD02D3" w14:textId="77777777" w:rsidTr="00884EF5">
        <w:trPr>
          <w:cantSplit/>
          <w:jc w:val="center"/>
        </w:trPr>
        <w:tc>
          <w:tcPr>
            <w:tcW w:w="9356" w:type="dxa"/>
            <w:gridSpan w:val="3"/>
          </w:tcPr>
          <w:p w14:paraId="7449E66D" w14:textId="77777777" w:rsidR="00884EF5" w:rsidRPr="004A0AE7" w:rsidRDefault="00884EF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219CD2C" w14:textId="77777777" w:rsidR="00884EF5" w:rsidRPr="00A50751" w:rsidRDefault="00884EF5">
            <w:pPr>
              <w:pStyle w:val="LineForSignature"/>
            </w:pPr>
            <w:r>
              <w:tab/>
            </w:r>
          </w:p>
          <w:p w14:paraId="42E0E847" w14:textId="77777777" w:rsidR="00884EF5" w:rsidRDefault="00884EF5">
            <w:pPr>
              <w:pStyle w:val="SingleParagraph"/>
              <w:rPr>
                <w:rStyle w:val="Bold"/>
              </w:rPr>
            </w:pPr>
            <w:r>
              <w:rPr>
                <w:rStyle w:val="Bold"/>
              </w:rPr>
              <w:t>Senator the Honourable Michaelia Cash</w:t>
            </w:r>
          </w:p>
          <w:p w14:paraId="493BB6B9" w14:textId="77777777" w:rsidR="00884EF5" w:rsidRDefault="00884EF5">
            <w:pPr>
              <w:pStyle w:val="Position"/>
              <w:rPr>
                <w:lang w:val="en-GB"/>
              </w:rPr>
            </w:pPr>
            <w:r>
              <w:rPr>
                <w:lang w:val="en-GB"/>
              </w:rPr>
              <w:t>Minister for Small and Family Business, Skills and Vocational Education</w:t>
            </w:r>
          </w:p>
          <w:p w14:paraId="12DDA343" w14:textId="25DEE5D2" w:rsidR="00884EF5" w:rsidRPr="00A50751" w:rsidRDefault="00435DEC" w:rsidP="005E2615">
            <w:pPr>
              <w:ind w:left="604"/>
              <w:rPr>
                <w:rFonts w:ascii="Book Antiqua" w:hAnsi="Book Antiqua"/>
                <w:lang w:val="en-GB"/>
              </w:rPr>
            </w:pPr>
            <w:r>
              <w:rPr>
                <w:lang w:val="en-GB"/>
              </w:rPr>
              <w:t>February 2019</w:t>
            </w:r>
          </w:p>
        </w:tc>
      </w:tr>
      <w:tr w:rsidR="00814667" w:rsidRPr="00A50751" w14:paraId="7B459653" w14:textId="77777777" w:rsidTr="00884EF5">
        <w:trPr>
          <w:cantSplit/>
          <w:jc w:val="center"/>
        </w:trPr>
        <w:tc>
          <w:tcPr>
            <w:tcW w:w="4536" w:type="dxa"/>
          </w:tcPr>
          <w:p w14:paraId="62F24F69"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4DD6B88" w14:textId="77777777" w:rsidR="00814667" w:rsidRPr="00A50751" w:rsidRDefault="00814667">
            <w:pPr>
              <w:pStyle w:val="SingleParagraph"/>
              <w:rPr>
                <w:rFonts w:ascii="Book Antiqua" w:hAnsi="Book Antiqua"/>
                <w:lang w:val="en-GB"/>
              </w:rPr>
            </w:pPr>
          </w:p>
        </w:tc>
        <w:tc>
          <w:tcPr>
            <w:tcW w:w="4536" w:type="dxa"/>
          </w:tcPr>
          <w:p w14:paraId="3D72E19A" w14:textId="77777777" w:rsidR="00814667" w:rsidRPr="00A50751" w:rsidRDefault="00814667">
            <w:pPr>
              <w:pStyle w:val="SingleParagraph"/>
              <w:rPr>
                <w:rFonts w:ascii="Book Antiqua" w:hAnsi="Book Antiqua"/>
                <w:lang w:val="en-GB"/>
              </w:rPr>
            </w:pPr>
          </w:p>
        </w:tc>
      </w:tr>
      <w:tr w:rsidR="00814667" w:rsidRPr="00A50751" w14:paraId="3E4C59F3" w14:textId="77777777" w:rsidTr="00884EF5">
        <w:trPr>
          <w:cantSplit/>
          <w:jc w:val="center"/>
        </w:trPr>
        <w:tc>
          <w:tcPr>
            <w:tcW w:w="4536" w:type="dxa"/>
          </w:tcPr>
          <w:p w14:paraId="37A4F60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E7E1D9D" w14:textId="77777777" w:rsidR="00814667" w:rsidRPr="00A50751" w:rsidRDefault="00814667">
            <w:pPr>
              <w:pStyle w:val="SingleParagraph"/>
              <w:rPr>
                <w:rFonts w:ascii="Book Antiqua" w:hAnsi="Book Antiqua"/>
                <w:lang w:val="en-GB"/>
              </w:rPr>
            </w:pPr>
          </w:p>
        </w:tc>
        <w:tc>
          <w:tcPr>
            <w:tcW w:w="4536" w:type="dxa"/>
          </w:tcPr>
          <w:p w14:paraId="5742F20A" w14:textId="77777777" w:rsidR="00814667" w:rsidRPr="00A50751" w:rsidRDefault="00814667">
            <w:pPr>
              <w:pStyle w:val="SingleParagraph"/>
              <w:rPr>
                <w:rFonts w:ascii="Book Antiqua" w:hAnsi="Book Antiqua"/>
                <w:lang w:val="en-GB"/>
              </w:rPr>
            </w:pPr>
          </w:p>
        </w:tc>
      </w:tr>
      <w:tr w:rsidR="00884EF5" w:rsidRPr="00A50751" w14:paraId="6E461D66" w14:textId="77777777" w:rsidTr="00884EF5">
        <w:trPr>
          <w:cantSplit/>
          <w:trHeight w:val="143"/>
          <w:jc w:val="center"/>
        </w:trPr>
        <w:tc>
          <w:tcPr>
            <w:tcW w:w="9356" w:type="dxa"/>
            <w:gridSpan w:val="3"/>
          </w:tcPr>
          <w:p w14:paraId="1223A3D6" w14:textId="77777777" w:rsidR="00884EF5" w:rsidRPr="004A0AE7" w:rsidRDefault="00884EF5" w:rsidP="00884EF5">
            <w:pPr>
              <w:pStyle w:val="Signed"/>
              <w:jc w:val="left"/>
            </w:pPr>
            <w:r>
              <w:rPr>
                <w:rStyle w:val="SignedBold"/>
              </w:rPr>
              <w:t>Signed</w:t>
            </w:r>
            <w:r w:rsidRPr="004A0AE7">
              <w:t xml:space="preserve"> for and on behalf of the</w:t>
            </w:r>
            <w:r>
              <w:t xml:space="preserve"> </w:t>
            </w:r>
            <w:r w:rsidRPr="004A0AE7">
              <w:t>State of Tasmania by</w:t>
            </w:r>
          </w:p>
          <w:p w14:paraId="7C50F313" w14:textId="77777777" w:rsidR="00884EF5" w:rsidRPr="00A50751" w:rsidRDefault="00884EF5" w:rsidP="00493018">
            <w:pPr>
              <w:pStyle w:val="LineForSignature"/>
            </w:pPr>
            <w:r w:rsidRPr="00A50751">
              <w:tab/>
            </w:r>
          </w:p>
          <w:p w14:paraId="488A11CB" w14:textId="732367DA" w:rsidR="00884EF5" w:rsidRDefault="00884EF5" w:rsidP="00493018">
            <w:pPr>
              <w:pStyle w:val="SingleParagraph"/>
              <w:rPr>
                <w:rStyle w:val="Bold"/>
              </w:rPr>
            </w:pPr>
            <w:r>
              <w:rPr>
                <w:rStyle w:val="Bold"/>
              </w:rPr>
              <w:t xml:space="preserve">The Honourable </w:t>
            </w:r>
            <w:r w:rsidR="00435DEC">
              <w:rPr>
                <w:rStyle w:val="Bold"/>
              </w:rPr>
              <w:t xml:space="preserve">Jeremy Rockliff </w:t>
            </w:r>
            <w:r>
              <w:rPr>
                <w:rStyle w:val="Bold"/>
              </w:rPr>
              <w:t>MP</w:t>
            </w:r>
          </w:p>
          <w:p w14:paraId="73D9762E" w14:textId="305409BC" w:rsidR="00884EF5" w:rsidRDefault="00435DEC" w:rsidP="00493018">
            <w:pPr>
              <w:pStyle w:val="Position"/>
              <w:rPr>
                <w:lang w:val="en-GB"/>
              </w:rPr>
            </w:pPr>
            <w:r>
              <w:rPr>
                <w:lang w:val="en-GB"/>
              </w:rPr>
              <w:t xml:space="preserve">Deputy Premier and </w:t>
            </w:r>
            <w:r w:rsidR="00884EF5">
              <w:rPr>
                <w:lang w:val="en-GB"/>
              </w:rPr>
              <w:t xml:space="preserve">Minister for </w:t>
            </w:r>
            <w:r>
              <w:rPr>
                <w:lang w:val="en-GB"/>
              </w:rPr>
              <w:t>Education and Training</w:t>
            </w:r>
          </w:p>
          <w:p w14:paraId="7897AFF4" w14:textId="23064EBC" w:rsidR="00884EF5" w:rsidRPr="00A50751" w:rsidRDefault="00884EF5">
            <w:pPr>
              <w:pStyle w:val="SingleParagraph"/>
              <w:tabs>
                <w:tab w:val="num" w:pos="1134"/>
              </w:tabs>
              <w:spacing w:after="240"/>
              <w:ind w:left="1134" w:hanging="567"/>
              <w:rPr>
                <w:lang w:val="en-GB"/>
              </w:rPr>
            </w:pPr>
            <w:r w:rsidRPr="00B12190" w:rsidDel="00542A8C">
              <w:rPr>
                <w:bCs/>
                <w:lang w:val="en-GB"/>
              </w:rPr>
              <w:t xml:space="preserve"> </w:t>
            </w:r>
            <w:r w:rsidR="00435DEC">
              <w:rPr>
                <w:lang w:val="en-GB"/>
              </w:rPr>
              <w:t>February 2019</w:t>
            </w:r>
          </w:p>
        </w:tc>
      </w:tr>
      <w:tr w:rsidR="00493018" w:rsidRPr="00A50751" w14:paraId="3E8DDA67" w14:textId="77777777" w:rsidTr="00884EF5">
        <w:trPr>
          <w:cantSplit/>
          <w:jc w:val="center"/>
        </w:trPr>
        <w:tc>
          <w:tcPr>
            <w:tcW w:w="4536" w:type="dxa"/>
          </w:tcPr>
          <w:p w14:paraId="12E2B257" w14:textId="77777777" w:rsidR="00493018" w:rsidRPr="00A50751" w:rsidRDefault="00493018" w:rsidP="00493018">
            <w:pPr>
              <w:pStyle w:val="SingleParagraph"/>
              <w:rPr>
                <w:rFonts w:ascii="Book Antiqua" w:hAnsi="Book Antiqua"/>
                <w:lang w:val="en-GB"/>
              </w:rPr>
            </w:pPr>
          </w:p>
        </w:tc>
        <w:tc>
          <w:tcPr>
            <w:tcW w:w="284" w:type="dxa"/>
            <w:tcMar>
              <w:left w:w="0" w:type="dxa"/>
              <w:right w:w="0" w:type="dxa"/>
            </w:tcMar>
          </w:tcPr>
          <w:p w14:paraId="1DE076D2" w14:textId="77777777" w:rsidR="00493018" w:rsidRPr="00A50751" w:rsidRDefault="00493018" w:rsidP="00493018">
            <w:pPr>
              <w:pStyle w:val="SingleParagraph"/>
              <w:rPr>
                <w:rFonts w:ascii="Book Antiqua" w:hAnsi="Book Antiqua"/>
                <w:lang w:val="en-GB"/>
              </w:rPr>
            </w:pPr>
          </w:p>
        </w:tc>
        <w:tc>
          <w:tcPr>
            <w:tcW w:w="4536" w:type="dxa"/>
          </w:tcPr>
          <w:p w14:paraId="473B0724" w14:textId="77777777" w:rsidR="00493018" w:rsidRPr="00A50751" w:rsidRDefault="00493018" w:rsidP="00493018">
            <w:pPr>
              <w:pStyle w:val="SingleParagraph"/>
              <w:rPr>
                <w:rFonts w:ascii="Book Antiqua" w:hAnsi="Book Antiqua"/>
                <w:lang w:val="en-GB"/>
              </w:rPr>
            </w:pPr>
          </w:p>
        </w:tc>
      </w:tr>
    </w:tbl>
    <w:p w14:paraId="63007197" w14:textId="77777777" w:rsidR="008843EE" w:rsidRDefault="008843EE" w:rsidP="0020144E"/>
    <w:sectPr w:rsidR="008843EE" w:rsidSect="00C606F6">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BC2C" w14:textId="77777777" w:rsidR="00E31CB9" w:rsidRDefault="00E31CB9">
      <w:r>
        <w:separator/>
      </w:r>
    </w:p>
  </w:endnote>
  <w:endnote w:type="continuationSeparator" w:id="0">
    <w:p w14:paraId="60E1057F" w14:textId="77777777" w:rsidR="00E31CB9" w:rsidRDefault="00E3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D1D6" w14:textId="77777777" w:rsidR="00AA4454" w:rsidRDefault="00AA4454">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DACA6B" w14:textId="77777777" w:rsidR="00AA4454" w:rsidRDefault="00AA4454">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6D88" w14:textId="59EA0820" w:rsidR="00AA4454" w:rsidRDefault="00AA4454">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577EAF">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29B" w14:textId="30A482D7" w:rsidR="00AA4454" w:rsidRDefault="00AA4454">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7EAF">
      <w:rPr>
        <w:rStyle w:val="PageNumber"/>
        <w:noProof/>
      </w:rPr>
      <w:t>1</w:t>
    </w:r>
    <w:r>
      <w:rPr>
        <w:rStyle w:val="PageNumber"/>
      </w:rPr>
      <w:fldChar w:fldCharType="end"/>
    </w:r>
  </w:p>
  <w:p w14:paraId="2ACA7DA1" w14:textId="020D39E3" w:rsidR="00AA4454" w:rsidRDefault="00AA4454">
    <w:pPr>
      <w:pStyle w:val="FooterOdd"/>
      <w:keepNext/>
      <w:tabs>
        <w:tab w:val="num" w:pos="567"/>
      </w:tabs>
    </w:pPr>
    <w:r>
      <w:t>Version of template:</w:t>
    </w:r>
    <w:r w:rsidR="00577EAF">
      <w:t xml:space="preserve"> 7/02/2019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D8CB" w14:textId="3C34686A" w:rsidR="00AA4454" w:rsidRDefault="00AA4454" w:rsidP="00751725">
    <w:pPr>
      <w:pStyle w:val="FooterEven"/>
      <w:jc w:val="right"/>
    </w:pPr>
    <w:r>
      <w:t xml:space="preserve">Page </w:t>
    </w:r>
    <w:r w:rsidR="00577EAF">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E9F19" w14:textId="77777777" w:rsidR="00E31CB9" w:rsidRDefault="00E31CB9">
      <w:r>
        <w:separator/>
      </w:r>
    </w:p>
  </w:footnote>
  <w:footnote w:type="continuationSeparator" w:id="0">
    <w:p w14:paraId="18CA987A" w14:textId="77777777" w:rsidR="00E31CB9" w:rsidRDefault="00E3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2611" w14:textId="77777777" w:rsidR="00AA4454" w:rsidRPr="00814590" w:rsidRDefault="00AA4454">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9692" w14:textId="77777777" w:rsidR="00AA4454" w:rsidRPr="00814590" w:rsidRDefault="00AA4454">
    <w:pPr>
      <w:pStyle w:val="HeaderOdd"/>
      <w:tabs>
        <w:tab w:val="num" w:pos="1134"/>
      </w:tabs>
      <w:rPr>
        <w:color w:val="800000"/>
      </w:rPr>
    </w:pPr>
    <w:r>
      <w:rPr>
        <w:color w:val="800000"/>
      </w:rPr>
      <w:t xml:space="preserve">Project Agreement for </w:t>
    </w:r>
    <w:r w:rsidR="002813E8">
      <w:rPr>
        <w:color w:val="800000"/>
      </w:rPr>
      <w:t>the North-West Tasmanian Job Ready Generation Package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0A59" w14:textId="2837198F" w:rsidR="00AA4454" w:rsidRPr="00751725" w:rsidRDefault="00577EAF" w:rsidP="00281874">
    <w:pPr>
      <w:pStyle w:val="Header"/>
      <w:jc w:val="right"/>
    </w:pPr>
    <w:r w:rsidRPr="00577EAF">
      <w:rPr>
        <w:color w:val="800000"/>
      </w:rPr>
      <w:t>Project Agreement for the North-West Tasmanian Job Ready Generation Package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DE8402F"/>
    <w:multiLevelType w:val="hybridMultilevel"/>
    <w:tmpl w:val="D674B242"/>
    <w:lvl w:ilvl="0" w:tplc="3364D086">
      <w:start w:val="1"/>
      <w:numFmt w:val="decimal"/>
      <w:lvlText w:val="%1."/>
      <w:lvlJc w:val="left"/>
      <w:pPr>
        <w:ind w:left="360" w:hanging="360"/>
      </w:pPr>
      <w:rPr>
        <w:b w:val="0"/>
      </w:rPr>
    </w:lvl>
    <w:lvl w:ilvl="1" w:tplc="FF2AB006">
      <w:start w:val="1"/>
      <w:numFmt w:val="lowerLetter"/>
      <w:lvlText w:val="%2."/>
      <w:lvlJc w:val="left"/>
      <w:pPr>
        <w:ind w:left="1080" w:hanging="360"/>
      </w:pPr>
      <w:rPr>
        <w:rFonts w:asciiTheme="minorHAnsi" w:hAnsiTheme="minorHAnsi" w:cstheme="minorHAns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C90A72"/>
    <w:multiLevelType w:val="hybridMultilevel"/>
    <w:tmpl w:val="EAE0479C"/>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4"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6" w15:restartNumberingAfterBreak="0">
    <w:nsid w:val="78854AAC"/>
    <w:multiLevelType w:val="hybridMultilevel"/>
    <w:tmpl w:val="2FCE5CB8"/>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5DA2ADDE">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17"/>
  </w:num>
  <w:num w:numId="15">
    <w:abstractNumId w:val="19"/>
  </w:num>
  <w:num w:numId="16">
    <w:abstractNumId w:val="4"/>
  </w:num>
  <w:num w:numId="17">
    <w:abstractNumId w:val="21"/>
  </w:num>
  <w:num w:numId="18">
    <w:abstractNumId w:val="9"/>
  </w:num>
  <w:num w:numId="19">
    <w:abstractNumId w:val="12"/>
  </w:num>
  <w:num w:numId="20">
    <w:abstractNumId w:val="5"/>
  </w:num>
  <w:num w:numId="21">
    <w:abstractNumId w:val="10"/>
  </w:num>
  <w:num w:numId="22">
    <w:abstractNumId w:val="26"/>
  </w:num>
  <w:num w:numId="23">
    <w:abstractNumId w:val="2"/>
  </w:num>
  <w:num w:numId="24">
    <w:abstractNumId w:val="18"/>
  </w:num>
  <w:num w:numId="25">
    <w:abstractNumId w:val="23"/>
  </w:num>
  <w:num w:numId="26">
    <w:abstractNumId w:val="15"/>
  </w:num>
  <w:num w:numId="27">
    <w:abstractNumId w:val="20"/>
  </w:num>
  <w:num w:numId="28">
    <w:abstractNumId w:val="25"/>
  </w:num>
  <w:num w:numId="29">
    <w:abstractNumId w:val="6"/>
  </w:num>
  <w:num w:numId="30">
    <w:abstractNumId w:val="1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22"/>
  </w:num>
  <w:num w:numId="39">
    <w:abstractNumId w:val="24"/>
  </w:num>
  <w:num w:numId="40">
    <w:abstractNumId w:val="0"/>
  </w:num>
  <w:num w:numId="41">
    <w:abstractNumId w:val="0"/>
  </w:num>
  <w:num w:numId="42">
    <w:abstractNumId w:val="9"/>
  </w:num>
  <w:num w:numId="43">
    <w:abstractNumId w:val="0"/>
  </w:num>
  <w:num w:numId="44">
    <w:abstractNumId w:val="1"/>
  </w:num>
  <w:num w:numId="45">
    <w:abstractNumId w:val="14"/>
  </w:num>
  <w:num w:numId="46">
    <w:abstractNumId w:val="3"/>
  </w:num>
  <w:num w:numId="47">
    <w:abstractNumId w:val="16"/>
  </w:num>
  <w:num w:numId="48">
    <w:abstractNumId w:val="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1307"/>
    <w:rsid w:val="00012B34"/>
    <w:rsid w:val="00021708"/>
    <w:rsid w:val="00024551"/>
    <w:rsid w:val="00030CB2"/>
    <w:rsid w:val="000343F1"/>
    <w:rsid w:val="00044700"/>
    <w:rsid w:val="0006051B"/>
    <w:rsid w:val="000614F9"/>
    <w:rsid w:val="0006451A"/>
    <w:rsid w:val="0006551D"/>
    <w:rsid w:val="00065679"/>
    <w:rsid w:val="0007004C"/>
    <w:rsid w:val="000724F6"/>
    <w:rsid w:val="00074611"/>
    <w:rsid w:val="00074A62"/>
    <w:rsid w:val="00086712"/>
    <w:rsid w:val="00086E63"/>
    <w:rsid w:val="00091DF8"/>
    <w:rsid w:val="00093CB6"/>
    <w:rsid w:val="00093DD8"/>
    <w:rsid w:val="000953F4"/>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09EB"/>
    <w:rsid w:val="000F25D5"/>
    <w:rsid w:val="000F6CF6"/>
    <w:rsid w:val="00103FD6"/>
    <w:rsid w:val="0010554C"/>
    <w:rsid w:val="001065EE"/>
    <w:rsid w:val="00110F5D"/>
    <w:rsid w:val="001134AC"/>
    <w:rsid w:val="00115166"/>
    <w:rsid w:val="00115A97"/>
    <w:rsid w:val="00122DBA"/>
    <w:rsid w:val="001262B5"/>
    <w:rsid w:val="00126965"/>
    <w:rsid w:val="00132587"/>
    <w:rsid w:val="001356FB"/>
    <w:rsid w:val="001404A9"/>
    <w:rsid w:val="00140F43"/>
    <w:rsid w:val="00145D5C"/>
    <w:rsid w:val="00151133"/>
    <w:rsid w:val="00160506"/>
    <w:rsid w:val="0016131F"/>
    <w:rsid w:val="001629FA"/>
    <w:rsid w:val="00165CAB"/>
    <w:rsid w:val="00166312"/>
    <w:rsid w:val="00167BB8"/>
    <w:rsid w:val="00172360"/>
    <w:rsid w:val="00172E3A"/>
    <w:rsid w:val="00173F81"/>
    <w:rsid w:val="00174C2A"/>
    <w:rsid w:val="00175FB9"/>
    <w:rsid w:val="00177A0A"/>
    <w:rsid w:val="00180F76"/>
    <w:rsid w:val="00183EAB"/>
    <w:rsid w:val="00185CC1"/>
    <w:rsid w:val="001865E3"/>
    <w:rsid w:val="00187BEB"/>
    <w:rsid w:val="001931E8"/>
    <w:rsid w:val="00194232"/>
    <w:rsid w:val="00194587"/>
    <w:rsid w:val="00196C54"/>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1D4D"/>
    <w:rsid w:val="001D2C27"/>
    <w:rsid w:val="001D3CAD"/>
    <w:rsid w:val="001D6E9A"/>
    <w:rsid w:val="001E20EC"/>
    <w:rsid w:val="001E4479"/>
    <w:rsid w:val="001E7173"/>
    <w:rsid w:val="001E74D0"/>
    <w:rsid w:val="001E7803"/>
    <w:rsid w:val="001F1D48"/>
    <w:rsid w:val="001F5676"/>
    <w:rsid w:val="001F6F39"/>
    <w:rsid w:val="001F6FE8"/>
    <w:rsid w:val="0020144E"/>
    <w:rsid w:val="00205E18"/>
    <w:rsid w:val="00206773"/>
    <w:rsid w:val="002069F9"/>
    <w:rsid w:val="00212869"/>
    <w:rsid w:val="00217805"/>
    <w:rsid w:val="00221308"/>
    <w:rsid w:val="00222C97"/>
    <w:rsid w:val="00225761"/>
    <w:rsid w:val="00233835"/>
    <w:rsid w:val="00241EE9"/>
    <w:rsid w:val="00244500"/>
    <w:rsid w:val="00247D45"/>
    <w:rsid w:val="00252551"/>
    <w:rsid w:val="00261ABA"/>
    <w:rsid w:val="00262E18"/>
    <w:rsid w:val="0026571E"/>
    <w:rsid w:val="0027512B"/>
    <w:rsid w:val="002813E8"/>
    <w:rsid w:val="00281874"/>
    <w:rsid w:val="00281F59"/>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6AED"/>
    <w:rsid w:val="002C7620"/>
    <w:rsid w:val="002D122C"/>
    <w:rsid w:val="002D7CF9"/>
    <w:rsid w:val="002E144A"/>
    <w:rsid w:val="002E2DE2"/>
    <w:rsid w:val="002E4B66"/>
    <w:rsid w:val="002F2B3A"/>
    <w:rsid w:val="002F4134"/>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33506"/>
    <w:rsid w:val="00340987"/>
    <w:rsid w:val="003410AA"/>
    <w:rsid w:val="0034465F"/>
    <w:rsid w:val="00351211"/>
    <w:rsid w:val="00352A6B"/>
    <w:rsid w:val="00352EC1"/>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6BA0"/>
    <w:rsid w:val="003E73DB"/>
    <w:rsid w:val="003F0ADC"/>
    <w:rsid w:val="003F59E6"/>
    <w:rsid w:val="003F5BE6"/>
    <w:rsid w:val="003F6C00"/>
    <w:rsid w:val="004120B1"/>
    <w:rsid w:val="00413E74"/>
    <w:rsid w:val="0041421D"/>
    <w:rsid w:val="0041490D"/>
    <w:rsid w:val="00414A5C"/>
    <w:rsid w:val="00414DEF"/>
    <w:rsid w:val="004156B4"/>
    <w:rsid w:val="0041697F"/>
    <w:rsid w:val="00420235"/>
    <w:rsid w:val="004223AA"/>
    <w:rsid w:val="00423104"/>
    <w:rsid w:val="004267D3"/>
    <w:rsid w:val="00427E2A"/>
    <w:rsid w:val="00433E65"/>
    <w:rsid w:val="00434D71"/>
    <w:rsid w:val="00435DEC"/>
    <w:rsid w:val="004374B2"/>
    <w:rsid w:val="00442AB8"/>
    <w:rsid w:val="004436EA"/>
    <w:rsid w:val="0044456C"/>
    <w:rsid w:val="0044586C"/>
    <w:rsid w:val="00450B39"/>
    <w:rsid w:val="00453BC6"/>
    <w:rsid w:val="00454498"/>
    <w:rsid w:val="00456C59"/>
    <w:rsid w:val="00477931"/>
    <w:rsid w:val="00490198"/>
    <w:rsid w:val="00490E28"/>
    <w:rsid w:val="00493018"/>
    <w:rsid w:val="00497362"/>
    <w:rsid w:val="00497C77"/>
    <w:rsid w:val="004A0AE7"/>
    <w:rsid w:val="004A4E75"/>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D715B"/>
    <w:rsid w:val="004F5DCD"/>
    <w:rsid w:val="004F6B2B"/>
    <w:rsid w:val="005005DF"/>
    <w:rsid w:val="00505045"/>
    <w:rsid w:val="00510B96"/>
    <w:rsid w:val="00511501"/>
    <w:rsid w:val="00511B5B"/>
    <w:rsid w:val="00515AF2"/>
    <w:rsid w:val="0051640E"/>
    <w:rsid w:val="00516741"/>
    <w:rsid w:val="0051684E"/>
    <w:rsid w:val="005206EF"/>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77EAF"/>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2615"/>
    <w:rsid w:val="005E4143"/>
    <w:rsid w:val="005E724B"/>
    <w:rsid w:val="00601F7C"/>
    <w:rsid w:val="00602A48"/>
    <w:rsid w:val="00602EF7"/>
    <w:rsid w:val="00606F11"/>
    <w:rsid w:val="00607B03"/>
    <w:rsid w:val="0061059D"/>
    <w:rsid w:val="0061326F"/>
    <w:rsid w:val="00614393"/>
    <w:rsid w:val="006146F2"/>
    <w:rsid w:val="00614C00"/>
    <w:rsid w:val="00623567"/>
    <w:rsid w:val="006412B5"/>
    <w:rsid w:val="00641932"/>
    <w:rsid w:val="00644083"/>
    <w:rsid w:val="0064429B"/>
    <w:rsid w:val="0064477C"/>
    <w:rsid w:val="00650903"/>
    <w:rsid w:val="00653596"/>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E66C9"/>
    <w:rsid w:val="006E7188"/>
    <w:rsid w:val="006F096A"/>
    <w:rsid w:val="006F22E3"/>
    <w:rsid w:val="006F3095"/>
    <w:rsid w:val="006F5455"/>
    <w:rsid w:val="006F5CB6"/>
    <w:rsid w:val="006F79D3"/>
    <w:rsid w:val="00703194"/>
    <w:rsid w:val="00706B6F"/>
    <w:rsid w:val="00706E50"/>
    <w:rsid w:val="0070737C"/>
    <w:rsid w:val="00711229"/>
    <w:rsid w:val="00715018"/>
    <w:rsid w:val="007179FE"/>
    <w:rsid w:val="00717F25"/>
    <w:rsid w:val="007201B1"/>
    <w:rsid w:val="007201D7"/>
    <w:rsid w:val="00724E14"/>
    <w:rsid w:val="00725AD5"/>
    <w:rsid w:val="00726DB5"/>
    <w:rsid w:val="00726EB4"/>
    <w:rsid w:val="00731945"/>
    <w:rsid w:val="00732EFE"/>
    <w:rsid w:val="007363DE"/>
    <w:rsid w:val="0073698D"/>
    <w:rsid w:val="00736C0B"/>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B4F61"/>
    <w:rsid w:val="007C4F31"/>
    <w:rsid w:val="007E5257"/>
    <w:rsid w:val="007E5391"/>
    <w:rsid w:val="007E7069"/>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5C4"/>
    <w:rsid w:val="00864DD3"/>
    <w:rsid w:val="008708D6"/>
    <w:rsid w:val="00874608"/>
    <w:rsid w:val="008760D0"/>
    <w:rsid w:val="00881317"/>
    <w:rsid w:val="00881513"/>
    <w:rsid w:val="008843EE"/>
    <w:rsid w:val="00884EF5"/>
    <w:rsid w:val="00892CA4"/>
    <w:rsid w:val="00895AB6"/>
    <w:rsid w:val="00896477"/>
    <w:rsid w:val="00896BD6"/>
    <w:rsid w:val="00896F5A"/>
    <w:rsid w:val="008A3C37"/>
    <w:rsid w:val="008B1840"/>
    <w:rsid w:val="008B363D"/>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0208"/>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2F8B"/>
    <w:rsid w:val="00975EB5"/>
    <w:rsid w:val="00980760"/>
    <w:rsid w:val="00983979"/>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3C24"/>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454"/>
    <w:rsid w:val="00AA4F6C"/>
    <w:rsid w:val="00AB16AE"/>
    <w:rsid w:val="00AB392A"/>
    <w:rsid w:val="00AB5801"/>
    <w:rsid w:val="00AB5A64"/>
    <w:rsid w:val="00AB71A5"/>
    <w:rsid w:val="00AB76C6"/>
    <w:rsid w:val="00AB79E9"/>
    <w:rsid w:val="00AC5567"/>
    <w:rsid w:val="00AD04F4"/>
    <w:rsid w:val="00AD576C"/>
    <w:rsid w:val="00AD5824"/>
    <w:rsid w:val="00AD670F"/>
    <w:rsid w:val="00AD6C71"/>
    <w:rsid w:val="00AE1E4B"/>
    <w:rsid w:val="00AE1E54"/>
    <w:rsid w:val="00AE2AFD"/>
    <w:rsid w:val="00AE4372"/>
    <w:rsid w:val="00AE478A"/>
    <w:rsid w:val="00AF0C8D"/>
    <w:rsid w:val="00AF334D"/>
    <w:rsid w:val="00B00778"/>
    <w:rsid w:val="00B04E8C"/>
    <w:rsid w:val="00B050C0"/>
    <w:rsid w:val="00B05642"/>
    <w:rsid w:val="00B06097"/>
    <w:rsid w:val="00B10045"/>
    <w:rsid w:val="00B100DF"/>
    <w:rsid w:val="00B10CAE"/>
    <w:rsid w:val="00B12190"/>
    <w:rsid w:val="00B1294B"/>
    <w:rsid w:val="00B137C3"/>
    <w:rsid w:val="00B171BB"/>
    <w:rsid w:val="00B2247A"/>
    <w:rsid w:val="00B309BD"/>
    <w:rsid w:val="00B36551"/>
    <w:rsid w:val="00B36E9E"/>
    <w:rsid w:val="00B40E38"/>
    <w:rsid w:val="00B45C9E"/>
    <w:rsid w:val="00B51ACE"/>
    <w:rsid w:val="00B619AA"/>
    <w:rsid w:val="00B623D7"/>
    <w:rsid w:val="00B66E7A"/>
    <w:rsid w:val="00B74048"/>
    <w:rsid w:val="00B8096A"/>
    <w:rsid w:val="00B91564"/>
    <w:rsid w:val="00B9206A"/>
    <w:rsid w:val="00B9279E"/>
    <w:rsid w:val="00BA1CFA"/>
    <w:rsid w:val="00BA4284"/>
    <w:rsid w:val="00BC1029"/>
    <w:rsid w:val="00BC2720"/>
    <w:rsid w:val="00BC4728"/>
    <w:rsid w:val="00BC4BF4"/>
    <w:rsid w:val="00BC60B3"/>
    <w:rsid w:val="00BD2253"/>
    <w:rsid w:val="00BD7496"/>
    <w:rsid w:val="00BE042D"/>
    <w:rsid w:val="00BE4802"/>
    <w:rsid w:val="00BE7212"/>
    <w:rsid w:val="00BF0D7C"/>
    <w:rsid w:val="00BF331F"/>
    <w:rsid w:val="00BF5BA2"/>
    <w:rsid w:val="00C053A4"/>
    <w:rsid w:val="00C05CC6"/>
    <w:rsid w:val="00C068C7"/>
    <w:rsid w:val="00C073C2"/>
    <w:rsid w:val="00C134DF"/>
    <w:rsid w:val="00C13C12"/>
    <w:rsid w:val="00C15DB3"/>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1312"/>
    <w:rsid w:val="00C92F94"/>
    <w:rsid w:val="00C95D81"/>
    <w:rsid w:val="00C960AA"/>
    <w:rsid w:val="00CA121E"/>
    <w:rsid w:val="00CA32E6"/>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312C"/>
    <w:rsid w:val="00D04614"/>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532B"/>
    <w:rsid w:val="00D85463"/>
    <w:rsid w:val="00D973A5"/>
    <w:rsid w:val="00DA205D"/>
    <w:rsid w:val="00DA7233"/>
    <w:rsid w:val="00DC4D62"/>
    <w:rsid w:val="00DC50E5"/>
    <w:rsid w:val="00DC76C7"/>
    <w:rsid w:val="00DE311A"/>
    <w:rsid w:val="00DE36EB"/>
    <w:rsid w:val="00DE4A6C"/>
    <w:rsid w:val="00DE64C1"/>
    <w:rsid w:val="00DF5BAB"/>
    <w:rsid w:val="00E10555"/>
    <w:rsid w:val="00E11087"/>
    <w:rsid w:val="00E16E0A"/>
    <w:rsid w:val="00E1712E"/>
    <w:rsid w:val="00E204BB"/>
    <w:rsid w:val="00E21BA5"/>
    <w:rsid w:val="00E220BC"/>
    <w:rsid w:val="00E2641E"/>
    <w:rsid w:val="00E31096"/>
    <w:rsid w:val="00E31CB9"/>
    <w:rsid w:val="00E33938"/>
    <w:rsid w:val="00E33F03"/>
    <w:rsid w:val="00E354D8"/>
    <w:rsid w:val="00E3658A"/>
    <w:rsid w:val="00E3706A"/>
    <w:rsid w:val="00E3738B"/>
    <w:rsid w:val="00E37446"/>
    <w:rsid w:val="00E37730"/>
    <w:rsid w:val="00E4099E"/>
    <w:rsid w:val="00E456AA"/>
    <w:rsid w:val="00E5201F"/>
    <w:rsid w:val="00E560E2"/>
    <w:rsid w:val="00E579FF"/>
    <w:rsid w:val="00E6698B"/>
    <w:rsid w:val="00E7195E"/>
    <w:rsid w:val="00E72F4A"/>
    <w:rsid w:val="00E7467D"/>
    <w:rsid w:val="00E80090"/>
    <w:rsid w:val="00E82115"/>
    <w:rsid w:val="00E832FF"/>
    <w:rsid w:val="00E83448"/>
    <w:rsid w:val="00E838D3"/>
    <w:rsid w:val="00E90BF8"/>
    <w:rsid w:val="00E92C8A"/>
    <w:rsid w:val="00E9346D"/>
    <w:rsid w:val="00E94B3C"/>
    <w:rsid w:val="00EA21BF"/>
    <w:rsid w:val="00EA594C"/>
    <w:rsid w:val="00EA7329"/>
    <w:rsid w:val="00EA7A1C"/>
    <w:rsid w:val="00EB5170"/>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0390F"/>
    <w:rsid w:val="00F11A23"/>
    <w:rsid w:val="00F11DDE"/>
    <w:rsid w:val="00F120E6"/>
    <w:rsid w:val="00F12ACD"/>
    <w:rsid w:val="00F16589"/>
    <w:rsid w:val="00F2068C"/>
    <w:rsid w:val="00F234AB"/>
    <w:rsid w:val="00F24478"/>
    <w:rsid w:val="00F314C1"/>
    <w:rsid w:val="00F31DE0"/>
    <w:rsid w:val="00F3245D"/>
    <w:rsid w:val="00F32B9C"/>
    <w:rsid w:val="00F32DDC"/>
    <w:rsid w:val="00F34E70"/>
    <w:rsid w:val="00F4377A"/>
    <w:rsid w:val="00F46237"/>
    <w:rsid w:val="00F471D8"/>
    <w:rsid w:val="00F47765"/>
    <w:rsid w:val="00F501C6"/>
    <w:rsid w:val="00F630DB"/>
    <w:rsid w:val="00F630EF"/>
    <w:rsid w:val="00F6403E"/>
    <w:rsid w:val="00F71346"/>
    <w:rsid w:val="00F715F2"/>
    <w:rsid w:val="00F730C7"/>
    <w:rsid w:val="00F75A1C"/>
    <w:rsid w:val="00F76C87"/>
    <w:rsid w:val="00F8684A"/>
    <w:rsid w:val="00F94C3D"/>
    <w:rsid w:val="00F95D26"/>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1165EC"/>
  <w14:defaultImageDpi w14:val="0"/>
  <w15:docId w15:val="{167DEE66-530E-422B-A7D0-E8453200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6"/>
      </w:numPr>
      <w:tabs>
        <w:tab w:val="num" w:pos="567"/>
        <w:tab w:val="num" w:pos="850"/>
      </w:tabs>
      <w:ind w:left="850" w:hanging="284"/>
    </w:pPr>
  </w:style>
  <w:style w:type="paragraph" w:customStyle="1" w:styleId="DoubleDot">
    <w:name w:val="Double Dot"/>
    <w:basedOn w:val="Normal"/>
    <w:rsid w:val="00D51386"/>
    <w:pPr>
      <w:numPr>
        <w:ilvl w:val="2"/>
        <w:numId w:val="16"/>
      </w:numPr>
      <w:tabs>
        <w:tab w:val="num" w:pos="850"/>
        <w:tab w:val="num" w:pos="1133"/>
      </w:tabs>
      <w:ind w:left="1133" w:hanging="283"/>
    </w:pPr>
  </w:style>
  <w:style w:type="paragraph" w:customStyle="1" w:styleId="OutlineNumbered1">
    <w:name w:val="Outline Numbered 1"/>
    <w:basedOn w:val="Normal"/>
    <w:rsid w:val="00D51386"/>
    <w:pPr>
      <w:numPr>
        <w:numId w:val="13"/>
      </w:numPr>
    </w:pPr>
  </w:style>
  <w:style w:type="paragraph" w:customStyle="1" w:styleId="OutlineNumbered2">
    <w:name w:val="Outline Numbered 2"/>
    <w:basedOn w:val="Normal"/>
    <w:rsid w:val="00D51386"/>
    <w:pPr>
      <w:numPr>
        <w:ilvl w:val="1"/>
        <w:numId w:val="13"/>
      </w:numPr>
    </w:pPr>
  </w:style>
  <w:style w:type="paragraph" w:customStyle="1" w:styleId="OutlineNumbered3">
    <w:name w:val="Outline Numbered 3"/>
    <w:basedOn w:val="Normal"/>
    <w:rsid w:val="00D51386"/>
    <w:pPr>
      <w:numPr>
        <w:ilvl w:val="2"/>
        <w:numId w:val="13"/>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5"/>
      </w:numPr>
    </w:pPr>
  </w:style>
  <w:style w:type="paragraph" w:customStyle="1" w:styleId="BoxDash">
    <w:name w:val="Box Dash"/>
    <w:basedOn w:val="Normal"/>
    <w:uiPriority w:val="99"/>
    <w:rsid w:val="00D51386"/>
    <w:pPr>
      <w:numPr>
        <w:ilvl w:val="1"/>
        <w:numId w:val="15"/>
      </w:numPr>
    </w:pPr>
  </w:style>
  <w:style w:type="paragraph" w:customStyle="1" w:styleId="BoxDoubleDot">
    <w:name w:val="Box Double Dot"/>
    <w:basedOn w:val="BoxTextBase"/>
    <w:uiPriority w:val="99"/>
    <w:rsid w:val="00D51386"/>
    <w:pPr>
      <w:numPr>
        <w:ilvl w:val="2"/>
        <w:numId w:val="15"/>
      </w:numPr>
    </w:pPr>
  </w:style>
  <w:style w:type="paragraph" w:customStyle="1" w:styleId="RecommendationBullet">
    <w:name w:val="Recommendation Bullet"/>
    <w:basedOn w:val="RecommendationTextBase"/>
    <w:rsid w:val="00D51386"/>
    <w:pPr>
      <w:numPr>
        <w:numId w:val="17"/>
      </w:numPr>
    </w:pPr>
  </w:style>
  <w:style w:type="paragraph" w:customStyle="1" w:styleId="RecommendationDash">
    <w:name w:val="Recommendation Dash"/>
    <w:basedOn w:val="RecommendationTextBase"/>
    <w:rsid w:val="00D51386"/>
    <w:pPr>
      <w:numPr>
        <w:ilvl w:val="1"/>
        <w:numId w:val="17"/>
      </w:numPr>
    </w:pPr>
  </w:style>
  <w:style w:type="paragraph" w:customStyle="1" w:styleId="RecommendationDoubleDot">
    <w:name w:val="Recommendation Double Dot"/>
    <w:basedOn w:val="RecommendationTextBase"/>
    <w:rsid w:val="00D51386"/>
    <w:pPr>
      <w:numPr>
        <w:ilvl w:val="2"/>
        <w:numId w:val="1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5"/>
      </w:numPr>
    </w:pPr>
  </w:style>
  <w:style w:type="paragraph" w:customStyle="1" w:styleId="Romannumeral">
    <w:name w:val="Roman numeral"/>
    <w:basedOn w:val="Normal"/>
    <w:rsid w:val="00D51386"/>
    <w:pPr>
      <w:numPr>
        <w:numId w:val="2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6"/>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6"/>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1"/>
      </w:numPr>
    </w:pPr>
  </w:style>
  <w:style w:type="paragraph" w:customStyle="1" w:styleId="AgreementParties">
    <w:name w:val="AgreementParties"/>
    <w:rsid w:val="00D51386"/>
    <w:pPr>
      <w:numPr>
        <w:numId w:val="2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qFormat/>
    <w:rsid w:val="002C6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287">
      <w:bodyDiv w:val="1"/>
      <w:marLeft w:val="0"/>
      <w:marRight w:val="0"/>
      <w:marTop w:val="0"/>
      <w:marBottom w:val="0"/>
      <w:divBdr>
        <w:top w:val="none" w:sz="0" w:space="0" w:color="auto"/>
        <w:left w:val="none" w:sz="0" w:space="0" w:color="auto"/>
        <w:bottom w:val="none" w:sz="0" w:space="0" w:color="auto"/>
        <w:right w:val="none" w:sz="0" w:space="0" w:color="auto"/>
      </w:divBdr>
    </w:div>
    <w:div w:id="876814564">
      <w:marLeft w:val="0"/>
      <w:marRight w:val="0"/>
      <w:marTop w:val="0"/>
      <w:marBottom w:val="0"/>
      <w:divBdr>
        <w:top w:val="none" w:sz="0" w:space="0" w:color="auto"/>
        <w:left w:val="none" w:sz="0" w:space="0" w:color="auto"/>
        <w:bottom w:val="none" w:sz="0" w:space="0" w:color="auto"/>
        <w:right w:val="none" w:sz="0" w:space="0" w:color="auto"/>
      </w:divBdr>
    </w:div>
    <w:div w:id="876814565">
      <w:marLeft w:val="0"/>
      <w:marRight w:val="0"/>
      <w:marTop w:val="0"/>
      <w:marBottom w:val="0"/>
      <w:divBdr>
        <w:top w:val="none" w:sz="0" w:space="0" w:color="auto"/>
        <w:left w:val="none" w:sz="0" w:space="0" w:color="auto"/>
        <w:bottom w:val="none" w:sz="0" w:space="0" w:color="auto"/>
        <w:right w:val="none" w:sz="0" w:space="0" w:color="auto"/>
      </w:divBdr>
    </w:div>
    <w:div w:id="876814566">
      <w:marLeft w:val="0"/>
      <w:marRight w:val="0"/>
      <w:marTop w:val="0"/>
      <w:marBottom w:val="0"/>
      <w:divBdr>
        <w:top w:val="none" w:sz="0" w:space="0" w:color="auto"/>
        <w:left w:val="none" w:sz="0" w:space="0" w:color="auto"/>
        <w:bottom w:val="none" w:sz="0" w:space="0" w:color="auto"/>
        <w:right w:val="none" w:sz="0" w:space="0" w:color="auto"/>
      </w:divBdr>
    </w:div>
    <w:div w:id="20265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304" ma:contentTypeDescription=" " ma:contentTypeScope="" ma:versionID="4f24165cfa50e088c5a58b672b968b8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2020FG-64-73594</_dlc_DocId>
    <_dlc_DocIdUrl xmlns="0f563589-9cf9-4143-b1eb-fb0534803d38">
      <Url>http://tweb/sites/fg/csrd/_layouts/15/DocIdRedir.aspx?ID=2020FG-64-73594</Url>
      <Description>2020FG-64-73594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C1B3E016-6462-412D-8335-316D616F5C4F}">
  <ds:schemaRefs>
    <ds:schemaRef ds:uri="office.server.policy"/>
  </ds:schemaRefs>
</ds:datastoreItem>
</file>

<file path=customXml/itemProps5.xml><?xml version="1.0" encoding="utf-8"?>
<ds:datastoreItem xmlns:ds="http://schemas.openxmlformats.org/officeDocument/2006/customXml" ds:itemID="{A5EDAAD9-5166-4045-86FE-2B96576F8831}"/>
</file>

<file path=customXml/itemProps6.xml><?xml version="1.0" encoding="utf-8"?>
<ds:datastoreItem xmlns:ds="http://schemas.openxmlformats.org/officeDocument/2006/customXml" ds:itemID="{CA9C104C-6E4E-4DDD-A48E-1B9BE7F0012B}">
  <ds:schemaRefs>
    <ds:schemaRef ds:uri="e544e5cc-ab70-42e1-849e-1a0f8bb1f4ef"/>
    <ds:schemaRef ds:uri="http://schemas.microsoft.com/office/2006/documentManagement/types"/>
    <ds:schemaRef ds:uri="http://purl.org/dc/elements/1.1/"/>
    <ds:schemaRef ds:uri="http://schemas.microsoft.com/office/infopath/2007/PartnerControls"/>
    <ds:schemaRef ds:uri="http://schemas.microsoft.com/sharepoint/v4"/>
    <ds:schemaRef ds:uri="http://schemas.openxmlformats.org/package/2006/metadata/core-properties"/>
    <ds:schemaRef ds:uri="http://schemas.microsoft.com/sharepoint/v3"/>
    <ds:schemaRef ds:uri="http://schemas.microsoft.com/office/2006/metadata/properties"/>
    <ds:schemaRef ds:uri="http://purl.org/dc/terms/"/>
    <ds:schemaRef ds:uri="0f563589-9cf9-4143-b1eb-fb0534803d38"/>
    <ds:schemaRef ds:uri="http://www.w3.org/XML/1998/namespace"/>
    <ds:schemaRef ds:uri="http://purl.org/dc/dcmitype/"/>
  </ds:schemaRefs>
</ds:datastoreItem>
</file>

<file path=customXml/itemProps7.xml><?xml version="1.0" encoding="utf-8"?>
<ds:datastoreItem xmlns:ds="http://schemas.openxmlformats.org/officeDocument/2006/customXml" ds:itemID="{C9857583-AE29-4D4E-8BF5-D33A8F98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15</TotalTime>
  <Pages>7</Pages>
  <Words>1521</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VAN AALST,Robert</cp:lastModifiedBy>
  <cp:revision>4</cp:revision>
  <cp:lastPrinted>2015-08-13T02:13:00Z</cp:lastPrinted>
  <dcterms:created xsi:type="dcterms:W3CDTF">2019-03-21T04:58:00Z</dcterms:created>
  <dcterms:modified xsi:type="dcterms:W3CDTF">2019-03-21T21:58:00Z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_dlc_DocIdItemGuid">
    <vt:lpwstr>2af2b6ec-0e6c-4b29-83e8-046a9b157b95</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{4435c73b-6585-4bc2-a76a-5d21b1a02e06}</vt:lpwstr>
  </property>
  <property fmtid="{D5CDD505-2E9C-101B-9397-08002B2CF9AE}" pid="9" name="RecordPoint_ActiveItemUniqueId">
    <vt:lpwstr>{2af2b6ec-0e6c-4b29-83e8-046a9b157b95}</vt:lpwstr>
  </property>
  <property fmtid="{D5CDD505-2E9C-101B-9397-08002B2CF9AE}" pid="10" name="RecordPoint_ActiveItemWebId">
    <vt:lpwstr>{a4589788-615f-4b8b-8296-7f9f6dfbab44}</vt:lpwstr>
  </property>
  <property fmtid="{D5CDD505-2E9C-101B-9397-08002B2CF9AE}" pid="11" name="RecordPoint_SubmissionDate">
    <vt:lpwstr/>
  </property>
  <property fmtid="{D5CDD505-2E9C-101B-9397-08002B2CF9AE}" pid="12" name="RecordPoint_RecordNumberSubmitted">
    <vt:lpwstr>R0002257747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2020-04-28T20:56:25.7398341+10:00</vt:lpwstr>
  </property>
</Properties>
</file>