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615CAE" w14:paraId="5C660D4F" w14:textId="77777777">
        <w:tc>
          <w:tcPr>
            <w:tcW w:w="5000" w:type="pct"/>
            <w:gridSpan w:val="2"/>
          </w:tcPr>
          <w:p w14:paraId="436D8A79" w14:textId="77777777" w:rsidR="00A372C3" w:rsidRDefault="00A372C3" w:rsidP="00A372C3">
            <w:pPr>
              <w:pStyle w:val="CoverTitleMain"/>
            </w:pPr>
            <w:r>
              <w:t xml:space="preserve">National partnership </w:t>
            </w:r>
            <w:r w:rsidRPr="00AB33EE">
              <w:t>agreement on</w:t>
            </w:r>
            <w:r>
              <w:t xml:space="preserve"> IMPLEMENTING WATER REFORM IN THE MURRAY-DARLING BASIN</w:t>
            </w:r>
          </w:p>
        </w:tc>
      </w:tr>
      <w:tr w:rsidR="00615CAE" w14:paraId="350243FA" w14:textId="77777777">
        <w:tc>
          <w:tcPr>
            <w:tcW w:w="767" w:type="pct"/>
          </w:tcPr>
          <w:p w14:paraId="5219893B" w14:textId="77777777" w:rsidR="00A372C3" w:rsidRDefault="00A372C3">
            <w:pPr>
              <w:pStyle w:val="SingleParagraph"/>
              <w:tabs>
                <w:tab w:val="num" w:pos="1134"/>
              </w:tabs>
              <w:spacing w:after="240"/>
              <w:ind w:left="1134" w:hanging="567"/>
            </w:pPr>
          </w:p>
        </w:tc>
        <w:tc>
          <w:tcPr>
            <w:tcW w:w="4233" w:type="pct"/>
          </w:tcPr>
          <w:p w14:paraId="38B28E1A" w14:textId="77777777" w:rsidR="00A372C3" w:rsidRDefault="00A372C3">
            <w:pPr>
              <w:pStyle w:val="SingleParagraph"/>
              <w:tabs>
                <w:tab w:val="num" w:pos="1134"/>
              </w:tabs>
              <w:spacing w:after="240"/>
              <w:ind w:left="1134" w:hanging="567"/>
            </w:pPr>
          </w:p>
        </w:tc>
      </w:tr>
      <w:tr w:rsidR="00615CAE" w14:paraId="6F288F2F" w14:textId="77777777">
        <w:trPr>
          <w:trHeight w:val="748"/>
        </w:trPr>
        <w:tc>
          <w:tcPr>
            <w:tcW w:w="767" w:type="pct"/>
            <w:tcBorders>
              <w:right w:val="single" w:sz="48" w:space="0" w:color="FFFFFF"/>
            </w:tcBorders>
            <w:shd w:val="clear" w:color="auto" w:fill="C7823E"/>
            <w:vAlign w:val="center"/>
          </w:tcPr>
          <w:p w14:paraId="32F6A111" w14:textId="77777777" w:rsidR="00A372C3" w:rsidRDefault="00A372C3">
            <w:pPr>
              <w:spacing w:before="120" w:after="120"/>
              <w:jc w:val="center"/>
              <w:rPr>
                <w:color w:val="FFFFFF"/>
              </w:rPr>
            </w:pPr>
            <w:r>
              <w:rPr>
                <w:color w:val="FFFFFF"/>
              </w:rPr>
              <w:t>Council of Australian Governments</w:t>
            </w:r>
          </w:p>
        </w:tc>
        <w:tc>
          <w:tcPr>
            <w:tcW w:w="4233" w:type="pct"/>
            <w:tcBorders>
              <w:left w:val="single" w:sz="48" w:space="0" w:color="FFFFFF"/>
            </w:tcBorders>
            <w:shd w:val="clear" w:color="auto" w:fill="980033"/>
          </w:tcPr>
          <w:p w14:paraId="3A8DDB73" w14:textId="77777777" w:rsidR="00A372C3" w:rsidRDefault="00A372C3">
            <w:pPr>
              <w:pStyle w:val="CoverTitleSub"/>
            </w:pPr>
          </w:p>
        </w:tc>
      </w:tr>
      <w:tr w:rsidR="00615CAE" w14:paraId="298C48B3" w14:textId="77777777">
        <w:tc>
          <w:tcPr>
            <w:tcW w:w="767" w:type="pct"/>
          </w:tcPr>
          <w:p w14:paraId="0209F810" w14:textId="77777777" w:rsidR="00A372C3" w:rsidRDefault="00A372C3">
            <w:pPr>
              <w:pStyle w:val="SingleParagraph"/>
              <w:tabs>
                <w:tab w:val="num" w:pos="1134"/>
              </w:tabs>
              <w:spacing w:after="240"/>
              <w:ind w:left="1134" w:hanging="567"/>
            </w:pPr>
          </w:p>
        </w:tc>
        <w:tc>
          <w:tcPr>
            <w:tcW w:w="4233" w:type="pct"/>
          </w:tcPr>
          <w:p w14:paraId="537E2633" w14:textId="77777777" w:rsidR="00A372C3" w:rsidRPr="001E74D0" w:rsidRDefault="00A372C3">
            <w:pPr>
              <w:pStyle w:val="SingleParagraph"/>
              <w:tabs>
                <w:tab w:val="num" w:pos="1134"/>
              </w:tabs>
              <w:spacing w:after="240"/>
              <w:ind w:left="1134" w:hanging="567"/>
            </w:pPr>
          </w:p>
        </w:tc>
      </w:tr>
      <w:tr w:rsidR="00615CAE" w14:paraId="41781C55" w14:textId="77777777">
        <w:tc>
          <w:tcPr>
            <w:tcW w:w="5000" w:type="pct"/>
            <w:gridSpan w:val="2"/>
          </w:tcPr>
          <w:p w14:paraId="05CDC12A" w14:textId="77777777" w:rsidR="00A372C3" w:rsidRDefault="00A372C3">
            <w:pPr>
              <w:pStyle w:val="AgreementHeading"/>
              <w:tabs>
                <w:tab w:val="clear" w:pos="1134"/>
              </w:tabs>
            </w:pPr>
            <w:r>
              <w:t>An agreement between</w:t>
            </w:r>
          </w:p>
        </w:tc>
      </w:tr>
      <w:tr w:rsidR="00615CAE" w14:paraId="11125223" w14:textId="77777777">
        <w:tc>
          <w:tcPr>
            <w:tcW w:w="767" w:type="pct"/>
          </w:tcPr>
          <w:p w14:paraId="37E3CBEF" w14:textId="77777777" w:rsidR="00A372C3" w:rsidRPr="001E74D0" w:rsidRDefault="00A372C3">
            <w:pPr>
              <w:pStyle w:val="AgreementHeading"/>
              <w:tabs>
                <w:tab w:val="clear" w:pos="1134"/>
              </w:tabs>
              <w:ind w:left="522"/>
            </w:pPr>
          </w:p>
        </w:tc>
        <w:tc>
          <w:tcPr>
            <w:tcW w:w="4233" w:type="pct"/>
          </w:tcPr>
          <w:p w14:paraId="39136E9C" w14:textId="77777777" w:rsidR="00A372C3" w:rsidRDefault="00A372C3">
            <w:pPr>
              <w:pStyle w:val="AgreementParties"/>
            </w:pPr>
            <w:r>
              <w:t xml:space="preserve">the </w:t>
            </w:r>
            <w:r>
              <w:rPr>
                <w:rStyle w:val="Bold"/>
              </w:rPr>
              <w:t>Commonwealth of Australia</w:t>
            </w:r>
            <w:r>
              <w:t xml:space="preserve"> and</w:t>
            </w:r>
          </w:p>
          <w:p w14:paraId="398727E5" w14:textId="77777777" w:rsidR="00A372C3" w:rsidRPr="001E74D0" w:rsidRDefault="00A372C3" w:rsidP="00A372C3">
            <w:pPr>
              <w:pStyle w:val="AgreementParties"/>
            </w:pPr>
            <w:r>
              <w:t xml:space="preserve">the </w:t>
            </w:r>
            <w:r>
              <w:rPr>
                <w:rStyle w:val="Bold"/>
              </w:rPr>
              <w:t>Basin States</w:t>
            </w:r>
            <w:r>
              <w:t>, being:</w:t>
            </w:r>
          </w:p>
        </w:tc>
      </w:tr>
      <w:tr w:rsidR="00615CAE" w14:paraId="1115D1D8" w14:textId="77777777">
        <w:tc>
          <w:tcPr>
            <w:tcW w:w="767" w:type="pct"/>
          </w:tcPr>
          <w:p w14:paraId="06E5C94F" w14:textId="77777777" w:rsidR="00A372C3" w:rsidRDefault="00A372C3">
            <w:pPr>
              <w:pStyle w:val="SingleParagraph"/>
              <w:tabs>
                <w:tab w:val="num" w:pos="1134"/>
              </w:tabs>
              <w:spacing w:after="240"/>
              <w:ind w:left="1134" w:hanging="567"/>
            </w:pPr>
          </w:p>
        </w:tc>
        <w:tc>
          <w:tcPr>
            <w:tcW w:w="4233" w:type="pct"/>
            <w:tcBorders>
              <w:left w:val="nil"/>
            </w:tcBorders>
          </w:tcPr>
          <w:p w14:paraId="38687ED7" w14:textId="77777777" w:rsidR="00A372C3" w:rsidRDefault="00A372C3" w:rsidP="00A372C3">
            <w:pPr>
              <w:pStyle w:val="StatesList"/>
              <w:numPr>
                <w:ilvl w:val="0"/>
                <w:numId w:val="7"/>
              </w:numPr>
            </w:pPr>
            <w:r>
              <w:t>New South Wales;</w:t>
            </w:r>
          </w:p>
          <w:p w14:paraId="1BD6DF37" w14:textId="77777777" w:rsidR="00A372C3" w:rsidRDefault="00A372C3" w:rsidP="00A372C3">
            <w:pPr>
              <w:pStyle w:val="StatesList"/>
              <w:numPr>
                <w:ilvl w:val="0"/>
                <w:numId w:val="7"/>
              </w:numPr>
            </w:pPr>
            <w:r>
              <w:t>Victoria;</w:t>
            </w:r>
          </w:p>
          <w:p w14:paraId="1D3E040B" w14:textId="77777777" w:rsidR="00A372C3" w:rsidRDefault="00A372C3" w:rsidP="00A372C3">
            <w:pPr>
              <w:pStyle w:val="StatesList"/>
              <w:numPr>
                <w:ilvl w:val="0"/>
                <w:numId w:val="7"/>
              </w:numPr>
            </w:pPr>
            <w:r>
              <w:t xml:space="preserve">Queensland; </w:t>
            </w:r>
          </w:p>
          <w:p w14:paraId="6F2DE346" w14:textId="77777777" w:rsidR="00A372C3" w:rsidRDefault="00A372C3" w:rsidP="00A372C3">
            <w:pPr>
              <w:pStyle w:val="StatesList"/>
              <w:numPr>
                <w:ilvl w:val="0"/>
                <w:numId w:val="7"/>
              </w:numPr>
            </w:pPr>
            <w:r>
              <w:t>South Australia; and</w:t>
            </w:r>
          </w:p>
          <w:p w14:paraId="4E74E6FF" w14:textId="77777777" w:rsidR="00A372C3" w:rsidRDefault="00A372C3" w:rsidP="00A372C3">
            <w:pPr>
              <w:pStyle w:val="StatesList"/>
              <w:numPr>
                <w:ilvl w:val="0"/>
                <w:numId w:val="7"/>
              </w:numPr>
            </w:pPr>
            <w:r>
              <w:t>Australian Capital Territory</w:t>
            </w:r>
          </w:p>
          <w:p w14:paraId="75CE9422" w14:textId="77777777" w:rsidR="00A372C3" w:rsidRDefault="00A372C3" w:rsidP="00A372C3">
            <w:pPr>
              <w:pStyle w:val="StatesList"/>
              <w:numPr>
                <w:ilvl w:val="0"/>
                <w:numId w:val="0"/>
              </w:numPr>
              <w:tabs>
                <w:tab w:val="clear" w:pos="1134"/>
              </w:tabs>
              <w:ind w:left="1134"/>
              <w:rPr>
                <w:i/>
              </w:rPr>
            </w:pPr>
          </w:p>
        </w:tc>
      </w:tr>
      <w:tr w:rsidR="00615CAE" w14:paraId="1E706801" w14:textId="77777777">
        <w:tc>
          <w:tcPr>
            <w:tcW w:w="5000" w:type="pct"/>
            <w:gridSpan w:val="2"/>
          </w:tcPr>
          <w:p w14:paraId="0D1FF7C1" w14:textId="77777777" w:rsidR="00A372C3" w:rsidRPr="006009CD" w:rsidRDefault="00A372C3" w:rsidP="00A372C3">
            <w:pPr>
              <w:pStyle w:val="Abstract"/>
              <w:rPr>
                <w:i/>
              </w:rPr>
            </w:pPr>
            <w:r>
              <w:t>This Agreement will contribute</w:t>
            </w:r>
            <w:r w:rsidRPr="00F87203">
              <w:t xml:space="preserve"> to ensur</w:t>
            </w:r>
            <w:r>
              <w:t>ing</w:t>
            </w:r>
            <w:r w:rsidRPr="00F87203">
              <w:t xml:space="preserve"> that Murray-Darling Basin water reforms</w:t>
            </w:r>
            <w:r>
              <w:t xml:space="preserve">, including the Murray-Darling Basin Plan, </w:t>
            </w:r>
            <w:r w:rsidRPr="00F87203">
              <w:t>are implemented in the national interest of a healthy working river system, strong communities, and sustainable food and fibre production, while providing certainty for affected communities and water users.</w:t>
            </w:r>
          </w:p>
        </w:tc>
      </w:tr>
    </w:tbl>
    <w:p w14:paraId="5952AD60" w14:textId="77777777" w:rsidR="00A372C3" w:rsidRDefault="00A372C3">
      <w:pPr>
        <w:pStyle w:val="Title"/>
        <w:pageBreakBefore/>
      </w:pPr>
      <w:r>
        <w:lastRenderedPageBreak/>
        <w:t>National Partnership</w:t>
      </w:r>
      <w:r>
        <w:br/>
        <w:t xml:space="preserve">agreement on </w:t>
      </w:r>
      <w:r>
        <w:br/>
        <w:t>Implementing Water Reform in the Murray-Darling Basin</w:t>
      </w:r>
    </w:p>
    <w:p w14:paraId="53D232DC" w14:textId="77777777" w:rsidR="00A372C3" w:rsidRDefault="00A372C3">
      <w:pPr>
        <w:pStyle w:val="Subtitle"/>
      </w:pPr>
      <w:r>
        <w:t>Intergovernmental Agreement</w:t>
      </w:r>
      <w:r>
        <w:br/>
        <w:t>On federal financial relations</w:t>
      </w:r>
    </w:p>
    <w:p w14:paraId="41F60CD8" w14:textId="77777777" w:rsidR="00A372C3" w:rsidRPr="00592BBF" w:rsidRDefault="00A372C3">
      <w:pPr>
        <w:pStyle w:val="Heading1"/>
      </w:pPr>
      <w:r w:rsidRPr="00592BBF">
        <w:t>preliminaries</w:t>
      </w:r>
    </w:p>
    <w:p w14:paraId="17579C07" w14:textId="77777777" w:rsidR="00A372C3" w:rsidRPr="00336F12" w:rsidRDefault="00A372C3" w:rsidP="00A372C3">
      <w:pPr>
        <w:pStyle w:val="Normalnumbered"/>
        <w:numPr>
          <w:ilvl w:val="0"/>
          <w:numId w:val="10"/>
        </w:numPr>
        <w:tabs>
          <w:tab w:val="clear" w:pos="1134"/>
        </w:tabs>
        <w:jc w:val="left"/>
        <w:rPr>
          <w:color w:val="auto"/>
        </w:rPr>
      </w:pPr>
      <w:r w:rsidRPr="00336F12">
        <w:rPr>
          <w:color w:val="auto"/>
        </w:rPr>
        <w:t xml:space="preserve">This National Partnership agreement (the Agreement) is created subject to the provisions of the Intergovernmental Agreement on Federal Financial Relations </w:t>
      </w:r>
      <w:r>
        <w:rPr>
          <w:color w:val="auto"/>
        </w:rPr>
        <w:t xml:space="preserve">(IGA FFR) </w:t>
      </w:r>
      <w:r w:rsidRPr="00336F12">
        <w:rPr>
          <w:color w:val="auto"/>
        </w:rPr>
        <w:t>and should be read in conjunction with that Agreement and its Schedules, which provide information in relation to performance reporting and payment arrangements under the IGA</w:t>
      </w:r>
      <w:r>
        <w:rPr>
          <w:color w:val="auto"/>
        </w:rPr>
        <w:t xml:space="preserve"> FFR</w:t>
      </w:r>
      <w:r w:rsidRPr="00336F12">
        <w:rPr>
          <w:color w:val="auto"/>
        </w:rPr>
        <w:t>.</w:t>
      </w:r>
      <w:r>
        <w:rPr>
          <w:color w:val="auto"/>
        </w:rPr>
        <w:t xml:space="preserve"> </w:t>
      </w:r>
      <w:r w:rsidRPr="0083155E">
        <w:rPr>
          <w:color w:val="auto"/>
        </w:rPr>
        <w:t xml:space="preserve">This Agreement should also be read in conjunction with the </w:t>
      </w:r>
      <w:r w:rsidR="00011EBA" w:rsidRPr="008704E0">
        <w:rPr>
          <w:color w:val="auto"/>
        </w:rPr>
        <w:t>Intergovernmental Agreement on Implementing Water Reform in the Murray-Darling Basin</w:t>
      </w:r>
      <w:r w:rsidRPr="0083155E">
        <w:rPr>
          <w:color w:val="auto"/>
        </w:rPr>
        <w:t>.</w:t>
      </w:r>
    </w:p>
    <w:p w14:paraId="17097F0E" w14:textId="77777777" w:rsidR="00A372C3" w:rsidRPr="00592BBF" w:rsidRDefault="00A372C3" w:rsidP="00A372C3">
      <w:pPr>
        <w:pStyle w:val="Normalnumbered"/>
        <w:numPr>
          <w:ilvl w:val="0"/>
          <w:numId w:val="10"/>
        </w:numPr>
        <w:tabs>
          <w:tab w:val="clear" w:pos="1134"/>
        </w:tabs>
        <w:jc w:val="left"/>
        <w:rPr>
          <w:color w:val="auto"/>
        </w:rPr>
      </w:pPr>
      <w:r w:rsidRPr="00592BBF">
        <w:rPr>
          <w:color w:val="auto"/>
        </w:rPr>
        <w:t xml:space="preserve">In entering this Agreement, the Commonwealth and </w:t>
      </w:r>
      <w:r>
        <w:rPr>
          <w:color w:val="auto"/>
        </w:rPr>
        <w:t>the participating Murray-Darling Basin State Governments</w:t>
      </w:r>
      <w:r w:rsidR="00283608">
        <w:rPr>
          <w:rStyle w:val="FootnoteReference"/>
          <w:color w:val="auto"/>
        </w:rPr>
        <w:footnoteReference w:id="1"/>
      </w:r>
      <w:r>
        <w:rPr>
          <w:color w:val="auto"/>
        </w:rPr>
        <w:t xml:space="preserve"> </w:t>
      </w:r>
      <w:r w:rsidRPr="00592BBF">
        <w:rPr>
          <w:color w:val="auto"/>
        </w:rPr>
        <w:t>recognise that they have a mutual interest in working together to deliver</w:t>
      </w:r>
      <w:r>
        <w:rPr>
          <w:color w:val="auto"/>
        </w:rPr>
        <w:t xml:space="preserve"> water</w:t>
      </w:r>
      <w:r w:rsidRPr="00592BBF">
        <w:rPr>
          <w:color w:val="auto"/>
        </w:rPr>
        <w:t xml:space="preserve"> reform outcomes</w:t>
      </w:r>
      <w:r>
        <w:rPr>
          <w:color w:val="auto"/>
        </w:rPr>
        <w:t xml:space="preserve"> in the </w:t>
      </w:r>
      <w:r w:rsidRPr="00592BBF">
        <w:rPr>
          <w:color w:val="auto"/>
        </w:rPr>
        <w:t xml:space="preserve">Murray-Darling Basin (the Basin).  </w:t>
      </w:r>
    </w:p>
    <w:p w14:paraId="625BECA3" w14:textId="77777777" w:rsidR="00A372C3" w:rsidRDefault="00A372C3" w:rsidP="00A372C3">
      <w:pPr>
        <w:pStyle w:val="Normalnumbered"/>
        <w:numPr>
          <w:ilvl w:val="0"/>
          <w:numId w:val="10"/>
        </w:numPr>
        <w:tabs>
          <w:tab w:val="clear" w:pos="1134"/>
        </w:tabs>
        <w:jc w:val="left"/>
        <w:rPr>
          <w:color w:val="auto"/>
        </w:rPr>
      </w:pPr>
      <w:r w:rsidRPr="00592BBF">
        <w:rPr>
          <w:color w:val="auto"/>
        </w:rPr>
        <w:t>This Agreement will</w:t>
      </w:r>
      <w:r>
        <w:rPr>
          <w:color w:val="auto"/>
        </w:rPr>
        <w:t>:</w:t>
      </w:r>
    </w:p>
    <w:p w14:paraId="7B921E06" w14:textId="77777777" w:rsidR="00A372C3" w:rsidRDefault="00A372C3" w:rsidP="00EF4EBC">
      <w:pPr>
        <w:pStyle w:val="Normalnumbered"/>
        <w:numPr>
          <w:ilvl w:val="0"/>
          <w:numId w:val="28"/>
        </w:numPr>
        <w:tabs>
          <w:tab w:val="clear" w:pos="567"/>
          <w:tab w:val="clear" w:pos="1134"/>
        </w:tabs>
        <w:ind w:left="1134" w:hanging="567"/>
        <w:jc w:val="left"/>
        <w:rPr>
          <w:color w:val="auto"/>
        </w:rPr>
      </w:pPr>
      <w:r w:rsidRPr="00592BBF">
        <w:rPr>
          <w:color w:val="auto"/>
        </w:rPr>
        <w:t>contribute to</w:t>
      </w:r>
      <w:r w:rsidRPr="00592BBF">
        <w:t xml:space="preserve"> a healthy working Basin, which includes a healthy environment, strong communities and a productive economy, through implementation of the Murray-Darling Basin Plan (the Basin Plan) and associated reforms and initiatives</w:t>
      </w:r>
      <w:r>
        <w:t>; and</w:t>
      </w:r>
      <w:r w:rsidRPr="00592BBF">
        <w:rPr>
          <w:color w:val="auto"/>
        </w:rPr>
        <w:t xml:space="preserve">  </w:t>
      </w:r>
    </w:p>
    <w:p w14:paraId="2F96D334" w14:textId="77777777" w:rsidR="00A372C3" w:rsidRPr="00592BBF" w:rsidRDefault="00A372C3" w:rsidP="00EF4EBC">
      <w:pPr>
        <w:pStyle w:val="Normalnumbered"/>
        <w:numPr>
          <w:ilvl w:val="0"/>
          <w:numId w:val="28"/>
        </w:numPr>
        <w:tabs>
          <w:tab w:val="clear" w:pos="567"/>
          <w:tab w:val="clear" w:pos="1134"/>
        </w:tabs>
        <w:ind w:left="1134" w:hanging="567"/>
        <w:jc w:val="left"/>
        <w:rPr>
          <w:color w:val="auto"/>
        </w:rPr>
      </w:pPr>
      <w:r w:rsidRPr="000A2EC6">
        <w:t>support</w:t>
      </w:r>
      <w:r>
        <w:rPr>
          <w:color w:val="auto"/>
        </w:rPr>
        <w:t xml:space="preserve"> the implementation of the </w:t>
      </w:r>
      <w:r>
        <w:rPr>
          <w:i/>
          <w:color w:val="auto"/>
        </w:rPr>
        <w:t>Intergovernmental Agreement on Implementing Water Reform in the Murray-Darling Basin.</w:t>
      </w:r>
    </w:p>
    <w:p w14:paraId="48313181" w14:textId="77777777" w:rsidR="001E33B1" w:rsidRDefault="00A372C3" w:rsidP="001E33B1">
      <w:pPr>
        <w:pStyle w:val="Normalnumbered"/>
        <w:numPr>
          <w:ilvl w:val="0"/>
          <w:numId w:val="10"/>
        </w:numPr>
        <w:tabs>
          <w:tab w:val="clear" w:pos="1134"/>
        </w:tabs>
        <w:jc w:val="left"/>
        <w:rPr>
          <w:color w:val="auto"/>
        </w:rPr>
      </w:pPr>
      <w:r>
        <w:rPr>
          <w:color w:val="auto"/>
        </w:rPr>
        <w:t xml:space="preserve">By </w:t>
      </w:r>
      <w:r w:rsidRPr="0083155E">
        <w:rPr>
          <w:color w:val="auto"/>
        </w:rPr>
        <w:t xml:space="preserve">signing this Agreement Basin States agree to replace the No Additional Net Costs provision of the </w:t>
      </w:r>
      <w:r w:rsidRPr="004E1199">
        <w:rPr>
          <w:i/>
          <w:color w:val="auto"/>
        </w:rPr>
        <w:t>Agreement on Murray-Darling Basin Reform (2008)</w:t>
      </w:r>
      <w:r w:rsidRPr="0083155E">
        <w:rPr>
          <w:color w:val="auto"/>
        </w:rPr>
        <w:t xml:space="preserve"> and any resulting liabilities under the No Additional Net Costs provision.</w:t>
      </w:r>
    </w:p>
    <w:p w14:paraId="224503DF" w14:textId="77777777" w:rsidR="00283608" w:rsidRPr="001E33B1" w:rsidRDefault="00A372C3" w:rsidP="001E33B1">
      <w:pPr>
        <w:pStyle w:val="Normalnumbered"/>
        <w:numPr>
          <w:ilvl w:val="0"/>
          <w:numId w:val="10"/>
        </w:numPr>
        <w:tabs>
          <w:tab w:val="clear" w:pos="1134"/>
        </w:tabs>
        <w:jc w:val="left"/>
        <w:rPr>
          <w:color w:val="auto"/>
        </w:rPr>
      </w:pPr>
      <w:r w:rsidRPr="001E33B1">
        <w:rPr>
          <w:color w:val="auto"/>
        </w:rPr>
        <w:t>This Agreement will be implemented consistently with the objectives and outcomes of all National Agreements and National Partnerships agreed by the Parties. In particular, the Parties are committed to addressing the issue of social inclusion, including responding to Indigenous disadvantage (for example, the reform commitments provided in the National Indigenous Reform Agreement) and those commitments are embodied in the objectives and outcomes of this Agreement</w:t>
      </w:r>
      <w:r w:rsidR="00283608" w:rsidRPr="001E33B1">
        <w:rPr>
          <w:sz w:val="20"/>
        </w:rPr>
        <w:t>.</w:t>
      </w:r>
    </w:p>
    <w:p w14:paraId="4CB24BF7" w14:textId="77777777" w:rsidR="00A372C3" w:rsidRPr="00592BBF" w:rsidRDefault="00A372C3" w:rsidP="00A372C3">
      <w:pPr>
        <w:pStyle w:val="Heading1"/>
      </w:pPr>
      <w:r w:rsidRPr="00592BBF">
        <w:lastRenderedPageBreak/>
        <w:t xml:space="preserve">Part 1 — </w:t>
      </w:r>
      <w:r w:rsidRPr="00726FBD">
        <w:t>Formalities</w:t>
      </w:r>
    </w:p>
    <w:p w14:paraId="6F192748" w14:textId="77777777" w:rsidR="00A372C3" w:rsidRPr="00592BBF" w:rsidRDefault="00A372C3">
      <w:pPr>
        <w:pStyle w:val="Heading2"/>
      </w:pPr>
      <w:r w:rsidRPr="00592BBF">
        <w:t>Parties to this Agreement</w:t>
      </w:r>
    </w:p>
    <w:p w14:paraId="3304EC38" w14:textId="77777777" w:rsidR="00A372C3" w:rsidRDefault="00A372C3" w:rsidP="00A372C3">
      <w:pPr>
        <w:pStyle w:val="Normalnumbered"/>
        <w:numPr>
          <w:ilvl w:val="0"/>
          <w:numId w:val="10"/>
        </w:numPr>
        <w:tabs>
          <w:tab w:val="clear" w:pos="1134"/>
        </w:tabs>
        <w:jc w:val="left"/>
      </w:pPr>
      <w:r w:rsidRPr="00592BBF">
        <w:t xml:space="preserve">This Agreement is between the Commonwealth of Australia (the Commonwealth) and </w:t>
      </w:r>
      <w:r>
        <w:t>the participating Basin State Governments</w:t>
      </w:r>
      <w:r w:rsidRPr="00592BBF">
        <w:t xml:space="preserve">. </w:t>
      </w:r>
    </w:p>
    <w:p w14:paraId="5EE6EBF2" w14:textId="77777777" w:rsidR="00A372C3" w:rsidRPr="006848C8" w:rsidRDefault="00A372C3">
      <w:pPr>
        <w:pStyle w:val="Heading2"/>
      </w:pPr>
      <w:r w:rsidRPr="006848C8">
        <w:t>Term of the Agreement</w:t>
      </w:r>
    </w:p>
    <w:p w14:paraId="5BF68751" w14:textId="61EA80FB" w:rsidR="00A372C3" w:rsidRPr="00982767" w:rsidRDefault="00A372C3" w:rsidP="00A372C3">
      <w:pPr>
        <w:pStyle w:val="Normalnumbered"/>
        <w:numPr>
          <w:ilvl w:val="0"/>
          <w:numId w:val="10"/>
        </w:numPr>
        <w:tabs>
          <w:tab w:val="clear" w:pos="1134"/>
        </w:tabs>
        <w:jc w:val="left"/>
      </w:pPr>
      <w:r w:rsidRPr="00982767">
        <w:t xml:space="preserve">This Agreement will commence as soon as the Commonwealth and one other Party signs the Agreement and will expire on 30 June 2020, or on the acceptance of final performance reporting and processing of final payments against performance benchmarks or project milestones.  The Agreement may be terminated earlier or extended as agreed in writing by the Parties.  </w:t>
      </w:r>
      <w:r w:rsidR="00D26DD9" w:rsidRPr="006B4BC9">
        <w:t xml:space="preserve">This Agreement supersedes the </w:t>
      </w:r>
      <w:r w:rsidR="00011EBA" w:rsidRPr="00EF4EBC">
        <w:rPr>
          <w:i/>
        </w:rPr>
        <w:t xml:space="preserve">National Partnership Agreement on Implementing Water Reform in the Murray-Darling Basin </w:t>
      </w:r>
      <w:r w:rsidR="00D26DD9" w:rsidRPr="006B4BC9">
        <w:t>signed by</w:t>
      </w:r>
      <w:r w:rsidR="006B4BC9">
        <w:t xml:space="preserve"> Victoria, South Australia and the Australian Capital Territory</w:t>
      </w:r>
      <w:r w:rsidR="00D26DD9" w:rsidRPr="006B4BC9">
        <w:t xml:space="preserve"> in June 2013</w:t>
      </w:r>
      <w:r w:rsidR="00862E89">
        <w:t>.</w:t>
      </w:r>
      <w:r w:rsidR="008D596E">
        <w:t xml:space="preserve"> </w:t>
      </w:r>
      <w:r w:rsidR="00862E89">
        <w:t>V</w:t>
      </w:r>
      <w:r w:rsidR="008D596E">
        <w:t xml:space="preserve">ariations </w:t>
      </w:r>
      <w:r w:rsidR="00862E89">
        <w:t xml:space="preserve">to this Agreement </w:t>
      </w:r>
      <w:r w:rsidR="008D596E">
        <w:t>are set out at Schedule B</w:t>
      </w:r>
      <w:r w:rsidR="00D26DD9" w:rsidRPr="006B4BC9">
        <w:t>.</w:t>
      </w:r>
    </w:p>
    <w:p w14:paraId="1BB2178D" w14:textId="77777777" w:rsidR="00A372C3" w:rsidRPr="00592BBF" w:rsidRDefault="00A372C3" w:rsidP="00A372C3">
      <w:pPr>
        <w:pStyle w:val="Heading1"/>
      </w:pPr>
      <w:r w:rsidRPr="00592BBF">
        <w:t xml:space="preserve">Part </w:t>
      </w:r>
      <w:r>
        <w:t>2 – objectives, outcomes and outputs</w:t>
      </w:r>
    </w:p>
    <w:p w14:paraId="1A3E4FFF" w14:textId="77777777" w:rsidR="00A372C3" w:rsidRPr="00592BBF" w:rsidRDefault="00A372C3" w:rsidP="00A372C3">
      <w:pPr>
        <w:pStyle w:val="Heading2"/>
      </w:pPr>
      <w:r w:rsidRPr="00592BBF">
        <w:t>Objectives</w:t>
      </w:r>
    </w:p>
    <w:p w14:paraId="638F9FF5" w14:textId="77777777" w:rsidR="00A372C3" w:rsidRPr="00F87203" w:rsidRDefault="00A372C3" w:rsidP="00A372C3">
      <w:pPr>
        <w:pStyle w:val="Normalnumbered"/>
        <w:numPr>
          <w:ilvl w:val="0"/>
          <w:numId w:val="10"/>
        </w:numPr>
        <w:tabs>
          <w:tab w:val="clear" w:pos="1134"/>
        </w:tabs>
        <w:jc w:val="left"/>
      </w:pPr>
      <w:r w:rsidRPr="00F87203">
        <w:t>The objective of this Agreement is to ensure that Murray-Darling Basin water reforms are implemented in the national interest of a healthy working river system, strong communities and sustainable food and fibre production</w:t>
      </w:r>
      <w:r>
        <w:t>.</w:t>
      </w:r>
    </w:p>
    <w:p w14:paraId="17F86E4C" w14:textId="77777777" w:rsidR="00A372C3" w:rsidRPr="00592BBF" w:rsidRDefault="00A372C3">
      <w:pPr>
        <w:pStyle w:val="Heading2"/>
      </w:pPr>
      <w:r w:rsidRPr="00592BBF">
        <w:t>Outcomes</w:t>
      </w:r>
    </w:p>
    <w:p w14:paraId="30AC097D" w14:textId="77777777" w:rsidR="00A372C3" w:rsidRDefault="00A372C3" w:rsidP="00A372C3">
      <w:pPr>
        <w:pStyle w:val="Normalnumbered"/>
        <w:numPr>
          <w:ilvl w:val="0"/>
          <w:numId w:val="10"/>
        </w:numPr>
        <w:tabs>
          <w:tab w:val="clear" w:pos="1134"/>
        </w:tabs>
      </w:pPr>
      <w:r>
        <w:t>This Agreement will facilitate the achievement of the following outcomes:</w:t>
      </w:r>
    </w:p>
    <w:p w14:paraId="52F4DCDF" w14:textId="77777777" w:rsidR="00A372C3" w:rsidRDefault="00A372C3" w:rsidP="00A372C3">
      <w:pPr>
        <w:pStyle w:val="AlphaParagraph"/>
        <w:numPr>
          <w:ilvl w:val="0"/>
          <w:numId w:val="15"/>
        </w:numPr>
        <w:ind w:left="1134"/>
      </w:pPr>
      <w:r>
        <w:t>sustainable water extraction in the Murray-Darling Basin;</w:t>
      </w:r>
    </w:p>
    <w:p w14:paraId="16CA3666" w14:textId="77777777" w:rsidR="00A372C3" w:rsidRDefault="00A372C3" w:rsidP="00A372C3">
      <w:pPr>
        <w:pStyle w:val="AlphaParagraph"/>
        <w:numPr>
          <w:ilvl w:val="0"/>
          <w:numId w:val="15"/>
        </w:numPr>
        <w:ind w:left="1134"/>
      </w:pPr>
      <w:r>
        <w:t>water resource plans that operate efficiently and effectively and provide greater certainty of access to Basin water resources;</w:t>
      </w:r>
      <w:r>
        <w:tab/>
      </w:r>
    </w:p>
    <w:p w14:paraId="6695A34C" w14:textId="77777777" w:rsidR="00A372C3" w:rsidRDefault="00A372C3" w:rsidP="00A372C3">
      <w:pPr>
        <w:pStyle w:val="AlphaParagraph"/>
        <w:numPr>
          <w:ilvl w:val="0"/>
          <w:numId w:val="15"/>
        </w:numPr>
        <w:ind w:left="1134"/>
      </w:pPr>
      <w:r>
        <w:t>greater certainty for all water users regarding the characteristics of held water entitlements and transition to sustainable diversion limits (SDLs) consistent with Basin Plan requirements; and</w:t>
      </w:r>
    </w:p>
    <w:p w14:paraId="15A675F3" w14:textId="77777777" w:rsidR="00A372C3" w:rsidRDefault="00A372C3" w:rsidP="00A372C3">
      <w:pPr>
        <w:pStyle w:val="AlphaParagraph"/>
        <w:numPr>
          <w:ilvl w:val="0"/>
          <w:numId w:val="15"/>
        </w:numPr>
        <w:ind w:left="1134"/>
      </w:pPr>
      <w:r>
        <w:t>efficient and effective delivery of environmental water to maximise environmental outcomes at a Basin and local level.</w:t>
      </w:r>
    </w:p>
    <w:p w14:paraId="2E07AEDD" w14:textId="77777777" w:rsidR="00A372C3" w:rsidRPr="00592BBF" w:rsidRDefault="00A372C3">
      <w:pPr>
        <w:pStyle w:val="Heading2"/>
      </w:pPr>
      <w:r w:rsidRPr="00592BBF">
        <w:t>Outputs</w:t>
      </w:r>
    </w:p>
    <w:p w14:paraId="77CC27FA" w14:textId="77777777" w:rsidR="00A372C3" w:rsidRPr="00592BBF" w:rsidRDefault="00A372C3" w:rsidP="00A372C3">
      <w:pPr>
        <w:pStyle w:val="Normalnumbered"/>
        <w:numPr>
          <w:ilvl w:val="0"/>
          <w:numId w:val="10"/>
        </w:numPr>
        <w:tabs>
          <w:tab w:val="clear" w:pos="1134"/>
        </w:tabs>
        <w:jc w:val="left"/>
      </w:pPr>
      <w:r w:rsidRPr="00592BBF">
        <w:t>The objectives and outcomes of this Agreement will be achieved by</w:t>
      </w:r>
      <w:r>
        <w:t xml:space="preserve"> the Parties fully implementing the requirements of the Basin Plan and the </w:t>
      </w:r>
      <w:r>
        <w:rPr>
          <w:i/>
        </w:rPr>
        <w:t>Intergovernmental Agreement on Implementing Water Reform in the Murray-Darling Basin</w:t>
      </w:r>
      <w:r>
        <w:t>, in particular by Basin States</w:t>
      </w:r>
      <w:r w:rsidRPr="00592BBF">
        <w:t>:</w:t>
      </w:r>
    </w:p>
    <w:p w14:paraId="6E269DE6" w14:textId="77777777" w:rsidR="00A372C3" w:rsidRDefault="00A372C3" w:rsidP="00EF4EBC">
      <w:pPr>
        <w:pStyle w:val="AlphaParagraph"/>
        <w:numPr>
          <w:ilvl w:val="0"/>
          <w:numId w:val="21"/>
        </w:numPr>
        <w:ind w:left="1134"/>
      </w:pPr>
      <w:r>
        <w:t>enabling the Commonwealth to meet its commitment to ‘bridge the gap’ between baseline diversion limits and SDLs, including by removing barriers to trade that are inconsistent with the Basin Plan, processing water entitlement trade applications within agreed timeframes, unbundling water entitlements from land where the benefits exceed the costs, and agree to enable groundwater and overland flow recovery through market-based approaches;</w:t>
      </w:r>
    </w:p>
    <w:p w14:paraId="5A8478F7" w14:textId="77777777" w:rsidR="00A372C3" w:rsidRDefault="00A372C3" w:rsidP="00EF4EBC">
      <w:pPr>
        <w:pStyle w:val="AlphaParagraph"/>
        <w:numPr>
          <w:ilvl w:val="0"/>
          <w:numId w:val="21"/>
        </w:numPr>
        <w:ind w:left="1134"/>
      </w:pPr>
      <w:r>
        <w:t>cooperatively identifying and agreeing on initiatives to be considered by the Murray-Darling Basin Authority under the Surface Water SDL adjustment mechanism;</w:t>
      </w:r>
    </w:p>
    <w:p w14:paraId="272171AD" w14:textId="77777777" w:rsidR="00A372C3" w:rsidRDefault="00A372C3" w:rsidP="00EF4EBC">
      <w:pPr>
        <w:pStyle w:val="AlphaParagraph"/>
        <w:numPr>
          <w:ilvl w:val="0"/>
          <w:numId w:val="21"/>
        </w:numPr>
        <w:ind w:left="1134"/>
      </w:pPr>
      <w:r>
        <w:t xml:space="preserve">implementing the Basin Plan, including preparing Water Resource Plans consistent with Basin Plan requirements to provide certainty for water users;  </w:t>
      </w:r>
    </w:p>
    <w:p w14:paraId="4912BA70" w14:textId="77777777" w:rsidR="00A372C3" w:rsidRDefault="00A372C3" w:rsidP="00EF4EBC">
      <w:pPr>
        <w:pStyle w:val="AlphaParagraph"/>
        <w:numPr>
          <w:ilvl w:val="0"/>
          <w:numId w:val="21"/>
        </w:numPr>
        <w:ind w:left="1134"/>
      </w:pPr>
      <w:r>
        <w:t xml:space="preserve">ensuring </w:t>
      </w:r>
      <w:r w:rsidRPr="00862339">
        <w:t>the characteristics of licensed entitlements held for environmental use will not be enhanced or diminished</w:t>
      </w:r>
      <w:r>
        <w:t>,</w:t>
      </w:r>
      <w:r w:rsidRPr="00862339">
        <w:t xml:space="preserve"> relative to like entitlements held and used for other purposes</w:t>
      </w:r>
      <w:r>
        <w:t>, e</w:t>
      </w:r>
      <w:r w:rsidRPr="00862339">
        <w:t>xcept as otherwise agreed between the Commonwealth and the relevant State(s) to facilitate improved environmental watering</w:t>
      </w:r>
      <w:r>
        <w:t xml:space="preserve">; and </w:t>
      </w:r>
    </w:p>
    <w:p w14:paraId="6E872431" w14:textId="77777777" w:rsidR="00A372C3" w:rsidRDefault="00A372C3" w:rsidP="00EF4EBC">
      <w:pPr>
        <w:pStyle w:val="AlphaParagraph"/>
        <w:numPr>
          <w:ilvl w:val="0"/>
          <w:numId w:val="21"/>
        </w:numPr>
        <w:ind w:left="1134"/>
      </w:pPr>
      <w:r>
        <w:t>working collaboratively with the Commonwealth and each other in exercising their environmental watering and planning responsibilities in accordance with the Basin Plan Environmental Watering Plan, and have regard to the Basin annual environmental watering priorities, as prepared by the Murray-Darling Basin Authority.</w:t>
      </w:r>
    </w:p>
    <w:p w14:paraId="51844CE8" w14:textId="77777777" w:rsidR="00A372C3" w:rsidRPr="00592BBF" w:rsidRDefault="00A372C3">
      <w:pPr>
        <w:pStyle w:val="Heading1"/>
      </w:pPr>
      <w:r w:rsidRPr="00592BBF">
        <w:t>Part 3 — roles and responsibilities of each party</w:t>
      </w:r>
    </w:p>
    <w:p w14:paraId="5B8749B4" w14:textId="77777777" w:rsidR="00A372C3" w:rsidRPr="00592BBF" w:rsidRDefault="00A372C3" w:rsidP="00A372C3">
      <w:pPr>
        <w:pStyle w:val="Normalnumbered"/>
        <w:numPr>
          <w:ilvl w:val="0"/>
          <w:numId w:val="10"/>
        </w:numPr>
        <w:tabs>
          <w:tab w:val="clear" w:pos="1134"/>
        </w:tabs>
        <w:jc w:val="left"/>
      </w:pPr>
      <w:r w:rsidRPr="00592BBF">
        <w:t>To realise the objectives and commitments in this Agreement, each Party has specific roles and responsibilities, as outlined below.</w:t>
      </w:r>
    </w:p>
    <w:p w14:paraId="70236E08" w14:textId="77777777" w:rsidR="00A372C3" w:rsidRPr="00592BBF" w:rsidRDefault="00A372C3">
      <w:pPr>
        <w:pStyle w:val="Heading2"/>
      </w:pPr>
      <w:r w:rsidRPr="00592BBF">
        <w:t>Role of the Commonwealth</w:t>
      </w:r>
    </w:p>
    <w:p w14:paraId="1A411B79" w14:textId="77777777" w:rsidR="00A372C3" w:rsidRPr="00592BBF" w:rsidRDefault="00A372C3" w:rsidP="00A372C3">
      <w:pPr>
        <w:pStyle w:val="Normalnumbered"/>
        <w:numPr>
          <w:ilvl w:val="0"/>
          <w:numId w:val="10"/>
        </w:numPr>
        <w:tabs>
          <w:tab w:val="clear" w:pos="1134"/>
        </w:tabs>
        <w:jc w:val="left"/>
        <w:rPr>
          <w:color w:val="auto"/>
        </w:rPr>
      </w:pPr>
      <w:r w:rsidRPr="00592BBF">
        <w:rPr>
          <w:color w:val="auto"/>
        </w:rPr>
        <w:t>The Commonwealth agrees to be accountable for the following roles and responsibilities:</w:t>
      </w:r>
    </w:p>
    <w:p w14:paraId="4EC7C075" w14:textId="77777777" w:rsidR="00A372C3" w:rsidRPr="00ED063B" w:rsidRDefault="00A372C3" w:rsidP="00A372C3">
      <w:pPr>
        <w:pStyle w:val="AlphaParagraph"/>
        <w:numPr>
          <w:ilvl w:val="0"/>
          <w:numId w:val="19"/>
        </w:numPr>
        <w:ind w:left="1134"/>
      </w:pPr>
      <w:r>
        <w:t>meeting its</w:t>
      </w:r>
      <w:r w:rsidRPr="00592BBF">
        <w:t xml:space="preserve"> </w:t>
      </w:r>
      <w:r>
        <w:t xml:space="preserve">responsibilities under the </w:t>
      </w:r>
      <w:r w:rsidRPr="000D5793">
        <w:rPr>
          <w:i/>
        </w:rPr>
        <w:t>Water Act 2007</w:t>
      </w:r>
      <w:r>
        <w:t xml:space="preserve"> and Basin Plan</w:t>
      </w:r>
      <w:r w:rsidRPr="007F0385">
        <w:t>;</w:t>
      </w:r>
      <w:r>
        <w:t xml:space="preserve"> </w:t>
      </w:r>
    </w:p>
    <w:p w14:paraId="602F17A0" w14:textId="77777777" w:rsidR="00A372C3" w:rsidRDefault="00A372C3" w:rsidP="00A372C3">
      <w:pPr>
        <w:pStyle w:val="AlphaParagraph"/>
        <w:numPr>
          <w:ilvl w:val="0"/>
          <w:numId w:val="19"/>
        </w:numPr>
        <w:ind w:left="1134"/>
      </w:pPr>
      <w:r>
        <w:t>providing financial contribution</w:t>
      </w:r>
      <w:r w:rsidRPr="00592BBF">
        <w:t xml:space="preserve"> to Basin States</w:t>
      </w:r>
      <w:r>
        <w:t xml:space="preserve"> to support implementation of this Agreement</w:t>
      </w:r>
      <w:r w:rsidRPr="00592BBF">
        <w:t>;</w:t>
      </w:r>
      <w:r>
        <w:t xml:space="preserve"> </w:t>
      </w:r>
    </w:p>
    <w:p w14:paraId="09AA4E23" w14:textId="4DA620E1" w:rsidR="00A372C3" w:rsidRDefault="00A372C3" w:rsidP="00A372C3">
      <w:pPr>
        <w:pStyle w:val="AlphaParagraph"/>
        <w:numPr>
          <w:ilvl w:val="0"/>
          <w:numId w:val="19"/>
        </w:numPr>
        <w:ind w:left="1134"/>
      </w:pPr>
      <w:r w:rsidRPr="006B4DF0">
        <w:t>monitoring and assessing the performance in the delivery of</w:t>
      </w:r>
      <w:r w:rsidRPr="00335C8A">
        <w:t xml:space="preserve"> </w:t>
      </w:r>
      <w:r>
        <w:t>milestones</w:t>
      </w:r>
      <w:r w:rsidRPr="00335C8A">
        <w:t xml:space="preserve"> </w:t>
      </w:r>
      <w:r w:rsidRPr="00896477">
        <w:t>under this Agreement</w:t>
      </w:r>
      <w:r w:rsidR="00C65B8E">
        <w:t xml:space="preserve"> in accordance with Part 4 – Performance Monitoring and Reporting</w:t>
      </w:r>
      <w:r>
        <w:t>, to ensure that outputs are delivered and outcomes are achieved within the agreed timeframe</w:t>
      </w:r>
      <w:r w:rsidRPr="00896477">
        <w:t>;</w:t>
      </w:r>
      <w:r>
        <w:t xml:space="preserve"> and</w:t>
      </w:r>
    </w:p>
    <w:p w14:paraId="6584559A" w14:textId="77777777" w:rsidR="00A372C3" w:rsidRDefault="00A372C3" w:rsidP="00A372C3">
      <w:pPr>
        <w:pStyle w:val="AlphaParagraph"/>
        <w:numPr>
          <w:ilvl w:val="0"/>
          <w:numId w:val="19"/>
        </w:numPr>
        <w:ind w:left="1134"/>
        <w:rPr>
          <w:i/>
        </w:rPr>
      </w:pPr>
      <w:r>
        <w:t>facilitating implementation of this Agreement, as per its obligations outlined in Part 4 - Performance Monitoring and Reporting and Schedule A.</w:t>
      </w:r>
    </w:p>
    <w:p w14:paraId="20D4DA53" w14:textId="77777777" w:rsidR="00A372C3" w:rsidRPr="00592BBF" w:rsidRDefault="00A372C3">
      <w:pPr>
        <w:pStyle w:val="Heading2"/>
      </w:pPr>
      <w:r w:rsidRPr="00592BBF">
        <w:t xml:space="preserve">Role of the </w:t>
      </w:r>
      <w:r>
        <w:t xml:space="preserve">Basin </w:t>
      </w:r>
      <w:r w:rsidRPr="00592BBF">
        <w:t xml:space="preserve">States </w:t>
      </w:r>
    </w:p>
    <w:p w14:paraId="20C872C7" w14:textId="77777777" w:rsidR="00A372C3" w:rsidRPr="00592BBF" w:rsidRDefault="00A372C3" w:rsidP="00A372C3">
      <w:pPr>
        <w:pStyle w:val="Normalnumbered"/>
        <w:numPr>
          <w:ilvl w:val="0"/>
          <w:numId w:val="10"/>
        </w:numPr>
        <w:tabs>
          <w:tab w:val="clear" w:pos="1134"/>
        </w:tabs>
        <w:jc w:val="left"/>
      </w:pPr>
      <w:r w:rsidRPr="00592BBF">
        <w:t xml:space="preserve">The </w:t>
      </w:r>
      <w:r>
        <w:t xml:space="preserve">Basin </w:t>
      </w:r>
      <w:r w:rsidRPr="00592BBF">
        <w:t>States agree to be accountable for the following roles and responsibilities:</w:t>
      </w:r>
    </w:p>
    <w:p w14:paraId="44E800DA" w14:textId="77777777" w:rsidR="00A372C3" w:rsidRDefault="00A372C3" w:rsidP="00EF4EBC">
      <w:pPr>
        <w:pStyle w:val="AlphaParagraph"/>
        <w:numPr>
          <w:ilvl w:val="0"/>
          <w:numId w:val="22"/>
        </w:numPr>
        <w:ind w:left="1134"/>
      </w:pPr>
      <w:r w:rsidRPr="00592BBF">
        <w:t>implement</w:t>
      </w:r>
      <w:r>
        <w:t xml:space="preserve">ing </w:t>
      </w:r>
      <w:r w:rsidRPr="00592BBF">
        <w:t xml:space="preserve">this </w:t>
      </w:r>
      <w:r w:rsidRPr="00B34D7A">
        <w:rPr>
          <w:szCs w:val="23"/>
        </w:rPr>
        <w:t xml:space="preserve">Agreement </w:t>
      </w:r>
      <w:r w:rsidRPr="00B34D7A">
        <w:rPr>
          <w:rFonts w:cs="Calibri"/>
          <w:szCs w:val="23"/>
        </w:rPr>
        <w:t>in accordance with the milestones at</w:t>
      </w:r>
      <w:r>
        <w:rPr>
          <w:rFonts w:ascii="Calibri" w:hAnsi="Calibri" w:cs="Calibri"/>
          <w:szCs w:val="23"/>
        </w:rPr>
        <w:t xml:space="preserve"> </w:t>
      </w:r>
      <w:r>
        <w:t>Schedule A</w:t>
      </w:r>
      <w:r w:rsidRPr="00592BBF">
        <w:t>;</w:t>
      </w:r>
      <w:r>
        <w:t xml:space="preserve"> and</w:t>
      </w:r>
    </w:p>
    <w:p w14:paraId="13758CC1" w14:textId="77777777" w:rsidR="00A372C3" w:rsidRPr="0088537E" w:rsidRDefault="00A372C3" w:rsidP="00EF4EBC">
      <w:pPr>
        <w:pStyle w:val="AlphaParagraph"/>
        <w:numPr>
          <w:ilvl w:val="0"/>
          <w:numId w:val="22"/>
        </w:numPr>
        <w:ind w:left="1134"/>
      </w:pPr>
      <w:r>
        <w:t xml:space="preserve">reporting on milestone progress, as per </w:t>
      </w:r>
      <w:r w:rsidRPr="00592BBF">
        <w:t>Part 4 – Perfo</w:t>
      </w:r>
      <w:r>
        <w:t>rmance Monitoring and Reporting</w:t>
      </w:r>
      <w:r w:rsidRPr="00592BBF">
        <w:t xml:space="preserve"> </w:t>
      </w:r>
      <w:r>
        <w:t>and Schedule A</w:t>
      </w:r>
      <w:r w:rsidRPr="0088537E">
        <w:t>.</w:t>
      </w:r>
    </w:p>
    <w:p w14:paraId="6D8721A9" w14:textId="77777777" w:rsidR="00A372C3" w:rsidRPr="00592BBF" w:rsidRDefault="00A372C3" w:rsidP="00A372C3">
      <w:pPr>
        <w:pStyle w:val="Heading2"/>
      </w:pPr>
      <w:r w:rsidRPr="00592BBF">
        <w:t>Shared roles and responsibilities</w:t>
      </w:r>
    </w:p>
    <w:p w14:paraId="7423310D" w14:textId="77777777" w:rsidR="00A372C3" w:rsidRPr="00592BBF" w:rsidRDefault="00A372C3" w:rsidP="00A372C3">
      <w:pPr>
        <w:pStyle w:val="Normalnumbered"/>
        <w:keepNext/>
        <w:numPr>
          <w:ilvl w:val="0"/>
          <w:numId w:val="10"/>
        </w:numPr>
        <w:tabs>
          <w:tab w:val="clear" w:pos="1134"/>
        </w:tabs>
      </w:pPr>
      <w:r w:rsidRPr="00592BBF">
        <w:t xml:space="preserve">The Commonwealth and the </w:t>
      </w:r>
      <w:r>
        <w:t xml:space="preserve">Basin </w:t>
      </w:r>
      <w:r w:rsidRPr="00592BBF">
        <w:t>States share the following roles and responsibilities:</w:t>
      </w:r>
    </w:p>
    <w:p w14:paraId="051DA5B4" w14:textId="77777777" w:rsidR="00A372C3" w:rsidRDefault="00A372C3" w:rsidP="00EF4EBC">
      <w:pPr>
        <w:pStyle w:val="AlphaParagraph"/>
        <w:numPr>
          <w:ilvl w:val="0"/>
          <w:numId w:val="23"/>
        </w:numPr>
        <w:ind w:left="1134"/>
      </w:pPr>
      <w:r w:rsidRPr="00592BBF">
        <w:t>participating in consultations as appropriate regarding the implementation of this Agreement;</w:t>
      </w:r>
    </w:p>
    <w:p w14:paraId="5D6AA61B" w14:textId="77777777" w:rsidR="00A372C3" w:rsidRDefault="00A372C3" w:rsidP="00EF4EBC">
      <w:pPr>
        <w:pStyle w:val="AlphaParagraph"/>
        <w:numPr>
          <w:ilvl w:val="0"/>
          <w:numId w:val="23"/>
        </w:numPr>
        <w:ind w:left="1134"/>
      </w:pPr>
      <w:r w:rsidRPr="00592BBF">
        <w:t>negotiating new or revised Schedules to this Agreement as appropriate;</w:t>
      </w:r>
    </w:p>
    <w:p w14:paraId="5F735118" w14:textId="77777777" w:rsidR="00A372C3" w:rsidRPr="00BA0533" w:rsidRDefault="00A372C3" w:rsidP="00EF4EBC">
      <w:pPr>
        <w:pStyle w:val="AlphaParagraph"/>
        <w:numPr>
          <w:ilvl w:val="0"/>
          <w:numId w:val="23"/>
        </w:numPr>
        <w:ind w:left="1134"/>
      </w:pPr>
      <w:r w:rsidRPr="001B75FE">
        <w:rPr>
          <w:color w:val="auto"/>
        </w:rPr>
        <w:t>co-operating with evaluations and reviews of services and outputs under this Agreement</w:t>
      </w:r>
      <w:r>
        <w:rPr>
          <w:color w:val="auto"/>
        </w:rPr>
        <w:t>; and</w:t>
      </w:r>
    </w:p>
    <w:p w14:paraId="65FAE626" w14:textId="77777777" w:rsidR="00A372C3" w:rsidRPr="00197AB1" w:rsidRDefault="00A372C3" w:rsidP="00EF4EBC">
      <w:pPr>
        <w:pStyle w:val="AlphaParagraph"/>
        <w:numPr>
          <w:ilvl w:val="0"/>
          <w:numId w:val="23"/>
        </w:numPr>
        <w:ind w:left="1134"/>
      </w:pPr>
      <w:r w:rsidRPr="00197AB1">
        <w:t>co-</w:t>
      </w:r>
      <w:r w:rsidRPr="00BA0533">
        <w:t>operating</w:t>
      </w:r>
      <w:r w:rsidRPr="00197AB1">
        <w:t xml:space="preserve"> in the delivery of commitments under the </w:t>
      </w:r>
      <w:r w:rsidRPr="00DD5006">
        <w:rPr>
          <w:i/>
        </w:rPr>
        <w:t>Intergovernmental Agreement on Implementing Water Reform in the Murray-Darling Basin</w:t>
      </w:r>
      <w:r w:rsidRPr="00197AB1">
        <w:t>, where these relate to the implementation of this Agreement.</w:t>
      </w:r>
    </w:p>
    <w:p w14:paraId="655C373D" w14:textId="77777777" w:rsidR="00A372C3" w:rsidRDefault="00A372C3" w:rsidP="00A372C3">
      <w:pPr>
        <w:pStyle w:val="Normalnumbered"/>
        <w:numPr>
          <w:ilvl w:val="0"/>
          <w:numId w:val="10"/>
        </w:numPr>
        <w:tabs>
          <w:tab w:val="clear" w:pos="1134"/>
        </w:tabs>
        <w:rPr>
          <w:color w:val="auto"/>
        </w:rPr>
      </w:pPr>
      <w:r w:rsidRPr="00592BBF">
        <w:rPr>
          <w:color w:val="auto"/>
        </w:rPr>
        <w:t xml:space="preserve">The Parties will meet the requirements of Schedule E, Clause 26 of the </w:t>
      </w:r>
      <w:r>
        <w:rPr>
          <w:color w:val="auto"/>
        </w:rPr>
        <w:t>IGA FFR</w:t>
      </w:r>
      <w:r w:rsidRPr="00592BBF">
        <w:rPr>
          <w:color w:val="auto"/>
        </w:rPr>
        <w:t xml:space="preserve">, by ensuring that prior agreement is reached on the nature and content of any events, announcements, promotional material or publicity relating to activities </w:t>
      </w:r>
      <w:r>
        <w:rPr>
          <w:color w:val="auto"/>
        </w:rPr>
        <w:t>under</w:t>
      </w:r>
      <w:r w:rsidRPr="00592BBF">
        <w:rPr>
          <w:color w:val="auto"/>
        </w:rPr>
        <w:t xml:space="preserve"> this Agreement and that the roles of both Parties will be acknowledged and recognised appropriately.</w:t>
      </w:r>
    </w:p>
    <w:p w14:paraId="1DC00D88" w14:textId="77777777" w:rsidR="00A372C3" w:rsidRPr="00592BBF" w:rsidRDefault="00A372C3">
      <w:pPr>
        <w:pStyle w:val="Heading1"/>
      </w:pPr>
      <w:r w:rsidRPr="00592BBF">
        <w:t>Part 4 — Performance monitoring and reporting</w:t>
      </w:r>
    </w:p>
    <w:p w14:paraId="6BD3E33C" w14:textId="77777777" w:rsidR="00A372C3" w:rsidRPr="00592BBF" w:rsidRDefault="00A372C3" w:rsidP="00A372C3">
      <w:pPr>
        <w:pStyle w:val="Heading2"/>
      </w:pPr>
      <w:r w:rsidRPr="00592BBF">
        <w:t>Performance indicators</w:t>
      </w:r>
    </w:p>
    <w:p w14:paraId="3AC163EB" w14:textId="77777777" w:rsidR="00A372C3" w:rsidRPr="00592BBF" w:rsidRDefault="00A372C3" w:rsidP="00A372C3">
      <w:pPr>
        <w:pStyle w:val="Normalnumbered"/>
        <w:numPr>
          <w:ilvl w:val="0"/>
          <w:numId w:val="10"/>
        </w:numPr>
        <w:tabs>
          <w:tab w:val="clear" w:pos="1134"/>
        </w:tabs>
        <w:jc w:val="left"/>
      </w:pPr>
      <w:r w:rsidRPr="00592BBF">
        <w:t xml:space="preserve">Achievement of the outcomes in this Agreement will be </w:t>
      </w:r>
      <w:r>
        <w:t xml:space="preserve">measured by milestones </w:t>
      </w:r>
      <w:r w:rsidRPr="00592BBF">
        <w:t xml:space="preserve">at Schedule </w:t>
      </w:r>
      <w:r>
        <w:t>A</w:t>
      </w:r>
      <w:r w:rsidRPr="00592BBF">
        <w:t xml:space="preserve"> to this Agreement</w:t>
      </w:r>
      <w:r>
        <w:t>.</w:t>
      </w:r>
    </w:p>
    <w:p w14:paraId="2822F03C" w14:textId="77777777" w:rsidR="00A372C3" w:rsidRPr="006848C8" w:rsidRDefault="00A372C3" w:rsidP="00A372C3">
      <w:pPr>
        <w:pStyle w:val="Heading2"/>
      </w:pPr>
      <w:r w:rsidRPr="006848C8">
        <w:t>Reporting arrangements</w:t>
      </w:r>
    </w:p>
    <w:p w14:paraId="5F66FAAC" w14:textId="2786663E" w:rsidR="00A372C3" w:rsidRPr="006848C8" w:rsidRDefault="00A372C3" w:rsidP="00A372C3">
      <w:pPr>
        <w:pStyle w:val="AlphaParagraph"/>
        <w:spacing w:before="120" w:line="240" w:lineRule="auto"/>
        <w:jc w:val="left"/>
        <w:rPr>
          <w:szCs w:val="23"/>
        </w:rPr>
      </w:pPr>
      <w:bookmarkStart w:id="0" w:name="_____replySeparator"/>
      <w:bookmarkEnd w:id="0"/>
      <w:r w:rsidRPr="006848C8">
        <w:rPr>
          <w:szCs w:val="23"/>
        </w:rPr>
        <w:t>Other than as specified in clauses 2</w:t>
      </w:r>
      <w:r w:rsidR="002053B6">
        <w:rPr>
          <w:szCs w:val="23"/>
        </w:rPr>
        <w:t>0</w:t>
      </w:r>
      <w:r w:rsidRPr="006848C8">
        <w:rPr>
          <w:szCs w:val="23"/>
        </w:rPr>
        <w:t xml:space="preserve"> and 2</w:t>
      </w:r>
      <w:r w:rsidR="002053B6">
        <w:rPr>
          <w:szCs w:val="23"/>
        </w:rPr>
        <w:t>7</w:t>
      </w:r>
      <w:r w:rsidRPr="006848C8">
        <w:rPr>
          <w:szCs w:val="23"/>
        </w:rPr>
        <w:t xml:space="preserve">, payments to be made to Basin States under this Agreement are in recognition that Basin States agree to replace the ‘no additional net costs’ provision under the </w:t>
      </w:r>
      <w:r w:rsidRPr="006848C8">
        <w:rPr>
          <w:i/>
          <w:szCs w:val="23"/>
        </w:rPr>
        <w:t>Agreement on Murray-Darling Basin Reform</w:t>
      </w:r>
      <w:r w:rsidRPr="006848C8">
        <w:rPr>
          <w:szCs w:val="23"/>
        </w:rPr>
        <w:t xml:space="preserve"> (2008) and void any existing claims under that provision. </w:t>
      </w:r>
    </w:p>
    <w:p w14:paraId="3300937C" w14:textId="798DE73E" w:rsidR="00862E89" w:rsidRPr="00406029" w:rsidRDefault="00862E89" w:rsidP="00406029">
      <w:pPr>
        <w:pStyle w:val="Normalnumbered"/>
        <w:numPr>
          <w:ilvl w:val="0"/>
          <w:numId w:val="10"/>
        </w:numPr>
        <w:tabs>
          <w:tab w:val="clear" w:pos="1134"/>
        </w:tabs>
        <w:spacing w:before="120" w:line="240" w:lineRule="auto"/>
        <w:jc w:val="left"/>
        <w:rPr>
          <w:szCs w:val="23"/>
        </w:rPr>
      </w:pPr>
      <w:r w:rsidRPr="006848C8">
        <w:t>The Head of the Basin State water agency will submit</w:t>
      </w:r>
      <w:r>
        <w:t>:</w:t>
      </w:r>
    </w:p>
    <w:p w14:paraId="223B033B" w14:textId="2B6DB09F" w:rsidR="00862E89" w:rsidRDefault="00406029" w:rsidP="00EF4EBC">
      <w:pPr>
        <w:pStyle w:val="AlphaParagraph"/>
        <w:numPr>
          <w:ilvl w:val="0"/>
          <w:numId w:val="24"/>
        </w:numPr>
        <w:ind w:left="1134"/>
      </w:pPr>
      <w:r>
        <w:t>the first annual Statement of Assurance to the National Water Commission (NWC) by 28 February 2014, covering the period of the 2012-13 financial year;</w:t>
      </w:r>
    </w:p>
    <w:p w14:paraId="6EEA9A0B" w14:textId="349A4CB8" w:rsidR="00406029" w:rsidRDefault="00406029" w:rsidP="00EF4EBC">
      <w:pPr>
        <w:pStyle w:val="AlphaParagraph"/>
        <w:numPr>
          <w:ilvl w:val="0"/>
          <w:numId w:val="24"/>
        </w:numPr>
        <w:ind w:left="1134"/>
      </w:pPr>
      <w:r>
        <w:t>the second annual Statement of Assurance to the NWC by 31 August 2014 (or the first working day thereafter), covering the period of the 2013-14 financial year; and</w:t>
      </w:r>
    </w:p>
    <w:p w14:paraId="6529D358" w14:textId="1E7DFBF3" w:rsidR="00406029" w:rsidRDefault="00406029" w:rsidP="00EF4EBC">
      <w:pPr>
        <w:pStyle w:val="AlphaParagraph"/>
        <w:numPr>
          <w:ilvl w:val="0"/>
          <w:numId w:val="24"/>
        </w:numPr>
        <w:ind w:left="1134"/>
      </w:pPr>
      <w:r>
        <w:t>all subsequent annual Statements of Assurance to the Commonwealth Department with policy responsibility for water (the Department) by 31 August (or the first working day thereafter), covering all subsequent assessment periods.</w:t>
      </w:r>
    </w:p>
    <w:p w14:paraId="2A6453C5" w14:textId="77777777" w:rsidR="00A372C3" w:rsidRDefault="00A372C3" w:rsidP="00A372C3">
      <w:pPr>
        <w:pStyle w:val="Normalnumbered"/>
        <w:numPr>
          <w:ilvl w:val="0"/>
          <w:numId w:val="10"/>
        </w:numPr>
        <w:tabs>
          <w:tab w:val="clear" w:pos="1134"/>
        </w:tabs>
        <w:spacing w:before="120" w:line="240" w:lineRule="auto"/>
        <w:jc w:val="left"/>
        <w:rPr>
          <w:szCs w:val="23"/>
        </w:rPr>
      </w:pPr>
      <w:r>
        <w:t xml:space="preserve">The Statement of Assurance will: </w:t>
      </w:r>
    </w:p>
    <w:p w14:paraId="65EE86B4" w14:textId="77777777" w:rsidR="00A372C3" w:rsidRDefault="00A372C3" w:rsidP="00EF4EBC">
      <w:pPr>
        <w:pStyle w:val="AlphaParagraph"/>
        <w:numPr>
          <w:ilvl w:val="0"/>
          <w:numId w:val="33"/>
        </w:numPr>
        <w:ind w:left="1134" w:hanging="360"/>
      </w:pPr>
      <w:r w:rsidRPr="00463D2C">
        <w:t>state</w:t>
      </w:r>
      <w:r>
        <w:rPr>
          <w:szCs w:val="23"/>
        </w:rPr>
        <w:t xml:space="preserve"> which</w:t>
      </w:r>
      <w:r w:rsidRPr="005F177A">
        <w:t xml:space="preserve"> milestones applicable to that reporting year</w:t>
      </w:r>
      <w:r>
        <w:t xml:space="preserve"> have been achieved</w:t>
      </w:r>
      <w:r w:rsidRPr="005F177A">
        <w:t>, as</w:t>
      </w:r>
      <w:r>
        <w:t xml:space="preserve"> outlined in Schedule A</w:t>
      </w:r>
      <w:r w:rsidRPr="005F177A">
        <w:t>;</w:t>
      </w:r>
      <w:r>
        <w:t xml:space="preserve"> and</w:t>
      </w:r>
    </w:p>
    <w:p w14:paraId="0AB294F0" w14:textId="77777777" w:rsidR="00A372C3" w:rsidRDefault="00A372C3" w:rsidP="00EF4EBC">
      <w:pPr>
        <w:pStyle w:val="AlphaParagraph"/>
        <w:numPr>
          <w:ilvl w:val="0"/>
          <w:numId w:val="33"/>
        </w:numPr>
        <w:ind w:left="1134"/>
      </w:pPr>
      <w:r>
        <w:rPr>
          <w:szCs w:val="23"/>
        </w:rPr>
        <w:t>state</w:t>
      </w:r>
      <w:r w:rsidRPr="005B2484">
        <w:rPr>
          <w:szCs w:val="23"/>
        </w:rPr>
        <w:t xml:space="preserve"> which</w:t>
      </w:r>
      <w:r w:rsidRPr="005F177A">
        <w:t xml:space="preserve"> milestones applicable to that reporting year</w:t>
      </w:r>
      <w:r>
        <w:t xml:space="preserve"> have not been achieved</w:t>
      </w:r>
      <w:r w:rsidRPr="005F177A">
        <w:t>, as</w:t>
      </w:r>
      <w:r>
        <w:t xml:space="preserve"> outlined in Schedule A, and the reason/s for non-achievement, and any steps and activities that were undertaken by the Basin State in an effort to meet the milestone</w:t>
      </w:r>
      <w:r w:rsidRPr="005F177A">
        <w:t>;</w:t>
      </w:r>
      <w:r>
        <w:t xml:space="preserve"> and</w:t>
      </w:r>
    </w:p>
    <w:p w14:paraId="00088419" w14:textId="77777777" w:rsidR="00A372C3" w:rsidRDefault="00A372C3" w:rsidP="00EF4EBC">
      <w:pPr>
        <w:pStyle w:val="AlphaParagraph"/>
        <w:numPr>
          <w:ilvl w:val="0"/>
          <w:numId w:val="33"/>
        </w:numPr>
        <w:ind w:left="1134"/>
      </w:pPr>
      <w:r>
        <w:rPr>
          <w:szCs w:val="23"/>
        </w:rPr>
        <w:t xml:space="preserve">state which </w:t>
      </w:r>
      <w:r w:rsidRPr="005F177A">
        <w:t xml:space="preserve">milestones </w:t>
      </w:r>
      <w:r>
        <w:t xml:space="preserve">identified as </w:t>
      </w:r>
      <w:r>
        <w:rPr>
          <w:szCs w:val="23"/>
        </w:rPr>
        <w:t xml:space="preserve">not achieved </w:t>
      </w:r>
      <w:r>
        <w:t>in</w:t>
      </w:r>
      <w:r w:rsidRPr="005F177A">
        <w:t xml:space="preserve"> </w:t>
      </w:r>
      <w:r>
        <w:t>preceding years have been achieved</w:t>
      </w:r>
      <w:r w:rsidRPr="005F177A">
        <w:t>;</w:t>
      </w:r>
      <w:r>
        <w:t xml:space="preserve"> and</w:t>
      </w:r>
    </w:p>
    <w:p w14:paraId="61C05C71" w14:textId="687414EB" w:rsidR="00A372C3" w:rsidRDefault="00A372C3" w:rsidP="00EF4EBC">
      <w:pPr>
        <w:pStyle w:val="AlphaParagraph"/>
        <w:numPr>
          <w:ilvl w:val="0"/>
          <w:numId w:val="33"/>
        </w:numPr>
        <w:ind w:left="1134"/>
      </w:pPr>
      <w:r>
        <w:t>be accompanied by any additional supporting documentation relating to Milestones 2 to 9 in Schedule A that a state deems to be relevant to meeting a milestone; and</w:t>
      </w:r>
    </w:p>
    <w:p w14:paraId="2BA73F15" w14:textId="67EEDE4C" w:rsidR="00A372C3" w:rsidRDefault="00A372C3" w:rsidP="00EF4EBC">
      <w:pPr>
        <w:pStyle w:val="AlphaParagraph"/>
        <w:numPr>
          <w:ilvl w:val="0"/>
          <w:numId w:val="33"/>
        </w:numPr>
        <w:ind w:left="1134"/>
      </w:pPr>
      <w:r>
        <w:t xml:space="preserve">be accompanied by a brief description of supply measure projects </w:t>
      </w:r>
      <w:r w:rsidRPr="00787514">
        <w:t>for which feasibility and business cases are being developed for consideration under the SDL adjustment mechanism</w:t>
      </w:r>
      <w:r>
        <w:t>, as referred to in Schedule A. This only applies to New South Wales, Victoria and South Australia for the statements of assurance submitted in 2013, 2014 and 2015.</w:t>
      </w:r>
    </w:p>
    <w:p w14:paraId="4A2BDC8C" w14:textId="0CA2F854" w:rsidR="00A372C3" w:rsidRPr="006848C8" w:rsidRDefault="00A372C3" w:rsidP="00A372C3">
      <w:pPr>
        <w:pStyle w:val="Normalnumbered"/>
        <w:numPr>
          <w:ilvl w:val="0"/>
          <w:numId w:val="10"/>
        </w:numPr>
        <w:tabs>
          <w:tab w:val="clear" w:pos="1134"/>
        </w:tabs>
        <w:spacing w:before="120" w:line="240" w:lineRule="auto"/>
        <w:jc w:val="left"/>
        <w:rPr>
          <w:szCs w:val="23"/>
        </w:rPr>
      </w:pPr>
      <w:r w:rsidRPr="006848C8">
        <w:rPr>
          <w:szCs w:val="23"/>
        </w:rPr>
        <w:t xml:space="preserve">In relation to the initial (2013-14) contribution for supply measures, by 28 February 2014, New South Wales, Victoria and South Australia will provide to the </w:t>
      </w:r>
      <w:r w:rsidRPr="006848C8">
        <w:t xml:space="preserve">Department </w:t>
      </w:r>
      <w:r w:rsidRPr="006848C8">
        <w:rPr>
          <w:szCs w:val="23"/>
        </w:rPr>
        <w:t>a brief description of supply measure projects in that State for which feasibility and business cases are being developed for consideration under th</w:t>
      </w:r>
      <w:bookmarkStart w:id="1" w:name="_GoBack"/>
      <w:bookmarkEnd w:id="1"/>
      <w:r w:rsidRPr="006848C8">
        <w:rPr>
          <w:szCs w:val="23"/>
        </w:rPr>
        <w:t>e SDL adjustment mechanism</w:t>
      </w:r>
      <w:r w:rsidRPr="006848C8">
        <w:t xml:space="preserve"> (the report), consistent with Milestone 1 in Schedule A. Payment </w:t>
      </w:r>
      <w:r w:rsidRPr="006848C8">
        <w:rPr>
          <w:szCs w:val="23"/>
        </w:rPr>
        <w:t xml:space="preserve"> will only be made on the acceptance </w:t>
      </w:r>
      <w:r w:rsidRPr="006848C8">
        <w:t xml:space="preserve">by the Commonwealth Minister with portfolio responsibility for water </w:t>
      </w:r>
      <w:r w:rsidR="00D50317">
        <w:t xml:space="preserve">(the Commonwealth Minister) </w:t>
      </w:r>
      <w:r w:rsidRPr="006848C8">
        <w:t>of a report the Minister considers to be satisfactory</w:t>
      </w:r>
      <w:r w:rsidRPr="006848C8">
        <w:rPr>
          <w:szCs w:val="23"/>
        </w:rPr>
        <w:t xml:space="preserve">. </w:t>
      </w:r>
    </w:p>
    <w:p w14:paraId="0FB8D17C" w14:textId="163FE19C" w:rsidR="00A372C3" w:rsidRDefault="00A372C3" w:rsidP="00A372C3">
      <w:pPr>
        <w:pStyle w:val="Normalnumbered"/>
        <w:numPr>
          <w:ilvl w:val="0"/>
          <w:numId w:val="10"/>
        </w:numPr>
        <w:tabs>
          <w:tab w:val="clear" w:pos="1134"/>
        </w:tabs>
        <w:spacing w:before="120" w:line="240" w:lineRule="auto"/>
        <w:jc w:val="left"/>
        <w:rPr>
          <w:szCs w:val="23"/>
        </w:rPr>
      </w:pPr>
      <w:r>
        <w:t xml:space="preserve">Using the Statement of Assurance and any supporting documentation, the </w:t>
      </w:r>
      <w:r w:rsidR="00C07025">
        <w:t>Department</w:t>
      </w:r>
      <w:r>
        <w:t xml:space="preserve"> </w:t>
      </w:r>
      <w:r w:rsidRPr="00592BBF">
        <w:t xml:space="preserve">will conduct </w:t>
      </w:r>
      <w:r>
        <w:t>an</w:t>
      </w:r>
      <w:r w:rsidRPr="00592BBF">
        <w:t xml:space="preserve"> assessment of </w:t>
      </w:r>
      <w:r>
        <w:t>each Basin State’s</w:t>
      </w:r>
      <w:r w:rsidRPr="00592BBF">
        <w:t xml:space="preserve"> performance against the </w:t>
      </w:r>
      <w:r>
        <w:t>milestones</w:t>
      </w:r>
      <w:r w:rsidRPr="00592BBF">
        <w:t xml:space="preserve"> </w:t>
      </w:r>
      <w:r>
        <w:t xml:space="preserve">set out </w:t>
      </w:r>
      <w:r w:rsidRPr="00592BBF">
        <w:t xml:space="preserve">in </w:t>
      </w:r>
      <w:r>
        <w:t>Schedule A.</w:t>
      </w:r>
      <w:r w:rsidRPr="00C97E9E">
        <w:rPr>
          <w:szCs w:val="23"/>
        </w:rPr>
        <w:t xml:space="preserve"> </w:t>
      </w:r>
      <w:r w:rsidRPr="00592BBF">
        <w:t xml:space="preserve"> </w:t>
      </w:r>
      <w:r>
        <w:t xml:space="preserve">The </w:t>
      </w:r>
      <w:r w:rsidR="00C07025">
        <w:t>Department</w:t>
      </w:r>
      <w:r>
        <w:t xml:space="preserve">’s performance assessment </w:t>
      </w:r>
      <w:r w:rsidRPr="00592BBF">
        <w:t>report</w:t>
      </w:r>
      <w:r>
        <w:t>s</w:t>
      </w:r>
      <w:r w:rsidRPr="00592BBF">
        <w:t xml:space="preserve"> will indicate:</w:t>
      </w:r>
    </w:p>
    <w:p w14:paraId="404947BB" w14:textId="77777777" w:rsidR="00A372C3" w:rsidRDefault="00A372C3" w:rsidP="00EF4EBC">
      <w:pPr>
        <w:pStyle w:val="AlphaParagraph"/>
        <w:numPr>
          <w:ilvl w:val="0"/>
          <w:numId w:val="32"/>
        </w:numPr>
      </w:pPr>
      <w:r>
        <w:t>whether the</w:t>
      </w:r>
      <w:r w:rsidRPr="00592BBF">
        <w:t xml:space="preserve"> </w:t>
      </w:r>
      <w:r>
        <w:t xml:space="preserve">Basin </w:t>
      </w:r>
      <w:r w:rsidRPr="00592BBF">
        <w:t xml:space="preserve">State has met the performance </w:t>
      </w:r>
      <w:r>
        <w:t>milestones</w:t>
      </w:r>
      <w:r w:rsidRPr="00592BBF">
        <w:t xml:space="preserve"> </w:t>
      </w:r>
      <w:r>
        <w:t>outlined in Schedule A for the applicable reporting year, and the extent to which they have been met</w:t>
      </w:r>
      <w:r w:rsidRPr="00592BBF">
        <w:t>; and</w:t>
      </w:r>
    </w:p>
    <w:p w14:paraId="5651A7ED" w14:textId="77777777" w:rsidR="00A372C3" w:rsidRDefault="00A372C3" w:rsidP="00EF4EBC">
      <w:pPr>
        <w:pStyle w:val="AlphaParagraph"/>
        <w:numPr>
          <w:ilvl w:val="0"/>
          <w:numId w:val="32"/>
        </w:numPr>
      </w:pPr>
      <w:r>
        <w:t xml:space="preserve">where a Basin State has not met a </w:t>
      </w:r>
      <w:r w:rsidRPr="00592BBF">
        <w:t xml:space="preserve">performance </w:t>
      </w:r>
      <w:r>
        <w:t>milestone, any steps and activities that were undertake</w:t>
      </w:r>
      <w:r w:rsidRPr="009A0E71">
        <w:t>n by</w:t>
      </w:r>
      <w:r>
        <w:t xml:space="preserve"> the Basin State to meet the milestone.</w:t>
      </w:r>
    </w:p>
    <w:p w14:paraId="15A40485" w14:textId="2B680774" w:rsidR="00A372C3" w:rsidRPr="006848C8" w:rsidRDefault="009F37E5" w:rsidP="00A372C3">
      <w:pPr>
        <w:pStyle w:val="Normalnumbered"/>
        <w:numPr>
          <w:ilvl w:val="0"/>
          <w:numId w:val="10"/>
        </w:numPr>
        <w:tabs>
          <w:tab w:val="clear" w:pos="1134"/>
        </w:tabs>
        <w:spacing w:before="120" w:line="240" w:lineRule="auto"/>
        <w:jc w:val="left"/>
        <w:rPr>
          <w:szCs w:val="23"/>
        </w:rPr>
      </w:pPr>
      <w:r>
        <w:t xml:space="preserve">The </w:t>
      </w:r>
      <w:r w:rsidR="00C07025">
        <w:t>Department</w:t>
      </w:r>
      <w:r w:rsidR="00A372C3">
        <w:t xml:space="preserve"> may make one formal request for a Basin State to provide additional information to </w:t>
      </w:r>
      <w:r w:rsidR="00A372C3" w:rsidRPr="006848C8">
        <w:t xml:space="preserve">help inform their annual assessment report. </w:t>
      </w:r>
    </w:p>
    <w:p w14:paraId="504E187D" w14:textId="2E9EF667" w:rsidR="00A372C3" w:rsidRDefault="00A372C3" w:rsidP="00A372C3">
      <w:pPr>
        <w:pStyle w:val="Normalnumbered"/>
        <w:numPr>
          <w:ilvl w:val="0"/>
          <w:numId w:val="10"/>
        </w:numPr>
        <w:tabs>
          <w:tab w:val="clear" w:pos="1134"/>
        </w:tabs>
        <w:spacing w:before="120" w:line="240" w:lineRule="auto"/>
        <w:jc w:val="left"/>
      </w:pPr>
      <w:r w:rsidRPr="006848C8">
        <w:t xml:space="preserve">The </w:t>
      </w:r>
      <w:r w:rsidR="00C07025">
        <w:t>Department</w:t>
      </w:r>
      <w:r w:rsidR="00C07025" w:rsidRPr="006848C8">
        <w:t xml:space="preserve"> </w:t>
      </w:r>
      <w:r w:rsidRPr="006848C8">
        <w:t>will provide its annual assessment report on each Basin State’s performance against milestones to the Commonwealth Minister, by 31 October, or the first working day thereafter.</w:t>
      </w:r>
      <w:bookmarkStart w:id="2" w:name="_Ref336271506"/>
      <w:r w:rsidRPr="006848C8">
        <w:t xml:space="preserve"> </w:t>
      </w:r>
      <w:bookmarkEnd w:id="2"/>
      <w:r w:rsidRPr="006848C8">
        <w:t xml:space="preserve">The </w:t>
      </w:r>
      <w:r w:rsidR="00C07025">
        <w:t>Department</w:t>
      </w:r>
      <w:r w:rsidRPr="006848C8">
        <w:t xml:space="preserve"> will then provide a copy to the relevant Basin State.</w:t>
      </w:r>
      <w:r w:rsidR="008E6E04" w:rsidDel="003F41A2">
        <w:rPr>
          <w:rStyle w:val="FootnoteReference"/>
        </w:rPr>
        <w:footnoteReference w:id="2"/>
      </w:r>
    </w:p>
    <w:p w14:paraId="5F0E59C3" w14:textId="281707BE" w:rsidR="00A372C3" w:rsidRDefault="00A372C3" w:rsidP="00A372C3">
      <w:pPr>
        <w:pStyle w:val="Normalnumbered"/>
        <w:numPr>
          <w:ilvl w:val="0"/>
          <w:numId w:val="10"/>
        </w:numPr>
        <w:tabs>
          <w:tab w:val="clear" w:pos="1134"/>
        </w:tabs>
        <w:spacing w:before="120" w:line="240" w:lineRule="auto"/>
        <w:jc w:val="left"/>
      </w:pPr>
      <w:bookmarkStart w:id="3" w:name="_Ref336271508"/>
      <w:r w:rsidRPr="005451EB">
        <w:t>The Commonwealth Minister will authorise, based upon the funding and performance reporting arrangements set out in this</w:t>
      </w:r>
      <w:r>
        <w:t xml:space="preserve"> Agreement</w:t>
      </w:r>
      <w:r w:rsidRPr="005451EB">
        <w:t xml:space="preserve">, whether payment should be made to </w:t>
      </w:r>
      <w:r>
        <w:t>a Basin State</w:t>
      </w:r>
      <w:r w:rsidRPr="005451EB">
        <w:t xml:space="preserve"> having regard to </w:t>
      </w:r>
      <w:r>
        <w:t xml:space="preserve">that Basin State’s </w:t>
      </w:r>
      <w:r w:rsidRPr="005451EB">
        <w:t>assessment report</w:t>
      </w:r>
      <w:r>
        <w:t xml:space="preserve"> and completion of its milestones </w:t>
      </w:r>
      <w:r w:rsidRPr="00CE7234">
        <w:rPr>
          <w:color w:val="auto"/>
        </w:rPr>
        <w:t>and, in the circumstance of any adverse finding assessed by the Commonwealth as being not material to that state’s cooperation with the reforms.</w:t>
      </w:r>
      <w:bookmarkEnd w:id="3"/>
      <w:r w:rsidRPr="005451EB">
        <w:t xml:space="preserve"> </w:t>
      </w:r>
    </w:p>
    <w:p w14:paraId="44966C53" w14:textId="7FC96111" w:rsidR="00A372C3" w:rsidRDefault="00F27414" w:rsidP="00A372C3">
      <w:pPr>
        <w:pStyle w:val="Normalnumbered"/>
        <w:numPr>
          <w:ilvl w:val="0"/>
          <w:numId w:val="10"/>
        </w:numPr>
        <w:tabs>
          <w:tab w:val="clear" w:pos="1134"/>
        </w:tabs>
        <w:spacing w:before="120" w:line="240" w:lineRule="auto"/>
        <w:jc w:val="left"/>
      </w:pPr>
      <w:r>
        <w:t>F</w:t>
      </w:r>
      <w:r w:rsidR="00A372C3">
        <w:t xml:space="preserve">ollowing a decision by the Commonwealth Minister and release of the report to the Basin State, the </w:t>
      </w:r>
      <w:r w:rsidR="00C07025">
        <w:t>Department</w:t>
      </w:r>
      <w:r w:rsidR="00A372C3">
        <w:t xml:space="preserve"> will publish a copy of each Basin State’s annual assessment report on its website.</w:t>
      </w:r>
    </w:p>
    <w:p w14:paraId="59C687DD" w14:textId="77777777" w:rsidR="00A372C3" w:rsidRPr="00592BBF" w:rsidRDefault="00A372C3" w:rsidP="00191D00">
      <w:pPr>
        <w:pStyle w:val="Heading1"/>
        <w:spacing w:before="360"/>
      </w:pPr>
      <w:r w:rsidRPr="00592BBF">
        <w:t>Part 5 — financial arrangements</w:t>
      </w:r>
    </w:p>
    <w:p w14:paraId="30570FB7" w14:textId="77777777" w:rsidR="00A372C3" w:rsidRPr="00191D00" w:rsidRDefault="00A372C3" w:rsidP="00191D00">
      <w:pPr>
        <w:pStyle w:val="Heading2"/>
      </w:pPr>
      <w:r w:rsidRPr="00592BBF">
        <w:t>Financial contributions</w:t>
      </w:r>
    </w:p>
    <w:p w14:paraId="17029E93" w14:textId="77777777" w:rsidR="00A372C3" w:rsidRDefault="00A372C3" w:rsidP="00A372C3">
      <w:pPr>
        <w:pStyle w:val="Normalnumbered"/>
        <w:numPr>
          <w:ilvl w:val="0"/>
          <w:numId w:val="10"/>
        </w:numPr>
        <w:tabs>
          <w:tab w:val="clear" w:pos="1134"/>
        </w:tabs>
        <w:jc w:val="left"/>
      </w:pPr>
      <w:r w:rsidRPr="00592BBF">
        <w:t xml:space="preserve">The Commonwealth will provide a total financial contribution to the </w:t>
      </w:r>
      <w:r>
        <w:t xml:space="preserve">participating </w:t>
      </w:r>
      <w:r w:rsidRPr="00592BBF">
        <w:t xml:space="preserve">Basin States of </w:t>
      </w:r>
      <w:r>
        <w:t xml:space="preserve">up to </w:t>
      </w:r>
      <w:r w:rsidRPr="008542C4">
        <w:t>$139.5 million  from 2012-13 to 2019-20 in respect of this Agreement, through</w:t>
      </w:r>
      <w:r w:rsidRPr="00592BBF">
        <w:t xml:space="preserve"> payment</w:t>
      </w:r>
      <w:r w:rsidRPr="00592BBF">
        <w:rPr>
          <w:i/>
        </w:rPr>
        <w:t>s</w:t>
      </w:r>
      <w:r w:rsidRPr="00592BBF">
        <w:t xml:space="preserve"> to the </w:t>
      </w:r>
      <w:r>
        <w:t xml:space="preserve">Basin </w:t>
      </w:r>
      <w:r w:rsidRPr="00592BBF">
        <w:t xml:space="preserve">States to support the reforms covered by this Agreement.  </w:t>
      </w:r>
      <w:r>
        <w:t>All payments are GST exclusive.</w:t>
      </w:r>
    </w:p>
    <w:p w14:paraId="5A8A1EA1" w14:textId="6B9DCC39" w:rsidR="00A372C3" w:rsidRDefault="00A372C3" w:rsidP="00A372C3">
      <w:pPr>
        <w:pStyle w:val="Normalnumbered"/>
        <w:numPr>
          <w:ilvl w:val="0"/>
          <w:numId w:val="10"/>
        </w:numPr>
        <w:tabs>
          <w:tab w:val="clear" w:pos="1134"/>
        </w:tabs>
        <w:jc w:val="left"/>
      </w:pPr>
      <w:r>
        <w:t>The Commonwealth will also provide a total financial contribution of up to $34.5</w:t>
      </w:r>
      <w:r w:rsidRPr="00DE2D4C">
        <w:t xml:space="preserve"> </w:t>
      </w:r>
      <w:r>
        <w:t xml:space="preserve">million from 2013-14 to 2015-16 for the purposes of preparing supply measure business case development </w:t>
      </w:r>
      <w:r w:rsidRPr="00592BBF">
        <w:t>through project payment</w:t>
      </w:r>
      <w:r w:rsidRPr="00592BBF">
        <w:rPr>
          <w:i/>
        </w:rPr>
        <w:t>s</w:t>
      </w:r>
      <w:r w:rsidRPr="00592BBF">
        <w:t xml:space="preserve"> to </w:t>
      </w:r>
      <w:r>
        <w:t xml:space="preserve">New South Wales, Victoria and South Australia </w:t>
      </w:r>
      <w:r w:rsidRPr="00592BBF">
        <w:t xml:space="preserve">to support the reforms covered by this Agreement.  </w:t>
      </w:r>
      <w:r>
        <w:t>All payments are GST exclusive.</w:t>
      </w:r>
    </w:p>
    <w:p w14:paraId="7FC5ED49" w14:textId="77777777" w:rsidR="00A372C3" w:rsidRDefault="00A372C3" w:rsidP="00191D00">
      <w:pPr>
        <w:pStyle w:val="Normalnumbered"/>
        <w:numPr>
          <w:ilvl w:val="0"/>
          <w:numId w:val="10"/>
        </w:numPr>
        <w:tabs>
          <w:tab w:val="clear" w:pos="1134"/>
        </w:tabs>
        <w:spacing w:after="480"/>
        <w:jc w:val="left"/>
        <w:rPr>
          <w:b/>
        </w:rPr>
      </w:pPr>
      <w:r w:rsidRPr="00336F12">
        <w:rPr>
          <w:color w:val="auto"/>
        </w:rPr>
        <w:t xml:space="preserve">The Commonwealth’s estimated financial contribution to the operation of this Agreement, including through National Partnership payments to the </w:t>
      </w:r>
      <w:r>
        <w:rPr>
          <w:color w:val="auto"/>
        </w:rPr>
        <w:t xml:space="preserve">Basin </w:t>
      </w:r>
      <w:r w:rsidRPr="00336F12">
        <w:rPr>
          <w:color w:val="auto"/>
        </w:rPr>
        <w:t xml:space="preserve">States paid in accordance with </w:t>
      </w:r>
      <w:r w:rsidRPr="00336F12">
        <w:rPr>
          <w:i/>
          <w:color w:val="auto"/>
        </w:rPr>
        <w:t>Schedule D — Payment Arrangements</w:t>
      </w:r>
      <w:r w:rsidRPr="00336F12">
        <w:rPr>
          <w:color w:val="auto"/>
        </w:rPr>
        <w:t xml:space="preserve"> of the </w:t>
      </w:r>
      <w:r>
        <w:rPr>
          <w:color w:val="auto"/>
        </w:rPr>
        <w:t>IGA FFR</w:t>
      </w:r>
      <w:r w:rsidRPr="00336F12">
        <w:rPr>
          <w:color w:val="auto"/>
        </w:rPr>
        <w:t>, are shown in Table 1.</w:t>
      </w:r>
    </w:p>
    <w:p w14:paraId="672D11D0" w14:textId="77777777" w:rsidR="00A372C3" w:rsidRDefault="00A372C3" w:rsidP="00191D00">
      <w:pPr>
        <w:pStyle w:val="Normalnumbered"/>
        <w:tabs>
          <w:tab w:val="clear" w:pos="283"/>
          <w:tab w:val="clear" w:pos="567"/>
          <w:tab w:val="clear" w:pos="1134"/>
        </w:tabs>
        <w:spacing w:before="240"/>
        <w:ind w:left="0" w:firstLine="0"/>
        <w:jc w:val="left"/>
        <w:rPr>
          <w:b/>
        </w:rPr>
      </w:pPr>
      <w:r w:rsidRPr="00327B45">
        <w:rPr>
          <w:b/>
        </w:rPr>
        <w:t>Table 1: Estimated financial contributions</w:t>
      </w:r>
    </w:p>
    <w:tbl>
      <w:tblPr>
        <w:tblW w:w="9371" w:type="dxa"/>
        <w:tblInd w:w="93" w:type="dxa"/>
        <w:tblLayout w:type="fixed"/>
        <w:tblLook w:val="04A0" w:firstRow="1" w:lastRow="0" w:firstColumn="1" w:lastColumn="0" w:noHBand="0" w:noVBand="1"/>
      </w:tblPr>
      <w:tblGrid>
        <w:gridCol w:w="1008"/>
        <w:gridCol w:w="1360"/>
        <w:gridCol w:w="1361"/>
        <w:gridCol w:w="1361"/>
        <w:gridCol w:w="1361"/>
        <w:gridCol w:w="1361"/>
        <w:gridCol w:w="1559"/>
      </w:tblGrid>
      <w:tr w:rsidR="00615CAE" w14:paraId="32C4703B" w14:textId="77777777" w:rsidTr="00283608">
        <w:trPr>
          <w:trHeight w:val="300"/>
        </w:trPr>
        <w:tc>
          <w:tcPr>
            <w:tcW w:w="1008" w:type="dxa"/>
            <w:vMerge w:val="restart"/>
            <w:tcBorders>
              <w:top w:val="single" w:sz="8" w:space="0" w:color="auto"/>
              <w:left w:val="nil"/>
              <w:bottom w:val="single" w:sz="8" w:space="0" w:color="000000"/>
              <w:right w:val="nil"/>
            </w:tcBorders>
            <w:shd w:val="clear" w:color="auto" w:fill="auto"/>
            <w:hideMark/>
          </w:tcPr>
          <w:p w14:paraId="471141FD" w14:textId="77777777" w:rsidR="00A372C3" w:rsidRPr="004876F1" w:rsidRDefault="00A372C3" w:rsidP="00A372C3">
            <w:pPr>
              <w:spacing w:after="0" w:line="240" w:lineRule="auto"/>
              <w:jc w:val="left"/>
              <w:rPr>
                <w:b/>
                <w:bCs/>
                <w:szCs w:val="23"/>
              </w:rPr>
            </w:pPr>
            <w:r w:rsidRPr="004876F1">
              <w:rPr>
                <w:b/>
                <w:bCs/>
                <w:szCs w:val="23"/>
              </w:rPr>
              <w:t xml:space="preserve">Basin State  </w:t>
            </w:r>
            <w:r w:rsidR="00283608">
              <w:rPr>
                <w:b/>
                <w:bCs/>
                <w:szCs w:val="23"/>
              </w:rPr>
              <w:br/>
            </w:r>
            <w:r w:rsidRPr="004876F1">
              <w:rPr>
                <w:b/>
                <w:bCs/>
                <w:szCs w:val="23"/>
              </w:rPr>
              <w:t>Year</w:t>
            </w:r>
          </w:p>
        </w:tc>
        <w:tc>
          <w:tcPr>
            <w:tcW w:w="1360" w:type="dxa"/>
            <w:tcBorders>
              <w:top w:val="single" w:sz="8" w:space="0" w:color="auto"/>
              <w:left w:val="nil"/>
              <w:bottom w:val="nil"/>
              <w:right w:val="nil"/>
            </w:tcBorders>
            <w:shd w:val="clear" w:color="auto" w:fill="auto"/>
            <w:hideMark/>
          </w:tcPr>
          <w:p w14:paraId="7C1D5030" w14:textId="77777777" w:rsidR="00A372C3" w:rsidRPr="004876F1" w:rsidRDefault="00A372C3" w:rsidP="00A372C3">
            <w:pPr>
              <w:spacing w:after="0" w:line="240" w:lineRule="auto"/>
              <w:jc w:val="center"/>
              <w:rPr>
                <w:b/>
                <w:bCs/>
                <w:szCs w:val="23"/>
              </w:rPr>
            </w:pPr>
            <w:r w:rsidRPr="004876F1">
              <w:rPr>
                <w:b/>
                <w:bCs/>
                <w:szCs w:val="23"/>
              </w:rPr>
              <w:t>NSW</w:t>
            </w:r>
          </w:p>
        </w:tc>
        <w:tc>
          <w:tcPr>
            <w:tcW w:w="1361" w:type="dxa"/>
            <w:tcBorders>
              <w:top w:val="single" w:sz="8" w:space="0" w:color="auto"/>
              <w:left w:val="nil"/>
              <w:bottom w:val="nil"/>
              <w:right w:val="nil"/>
            </w:tcBorders>
            <w:shd w:val="clear" w:color="auto" w:fill="auto"/>
            <w:hideMark/>
          </w:tcPr>
          <w:p w14:paraId="0B9A3402" w14:textId="77777777" w:rsidR="00A372C3" w:rsidRPr="004876F1" w:rsidRDefault="00A372C3" w:rsidP="00A372C3">
            <w:pPr>
              <w:spacing w:after="0" w:line="240" w:lineRule="auto"/>
              <w:jc w:val="center"/>
              <w:rPr>
                <w:b/>
                <w:bCs/>
                <w:szCs w:val="23"/>
              </w:rPr>
            </w:pPr>
            <w:r w:rsidRPr="004876F1">
              <w:rPr>
                <w:b/>
                <w:bCs/>
                <w:szCs w:val="23"/>
              </w:rPr>
              <w:t>Vic</w:t>
            </w:r>
          </w:p>
        </w:tc>
        <w:tc>
          <w:tcPr>
            <w:tcW w:w="1361" w:type="dxa"/>
            <w:tcBorders>
              <w:top w:val="single" w:sz="8" w:space="0" w:color="auto"/>
              <w:left w:val="nil"/>
              <w:bottom w:val="nil"/>
              <w:right w:val="nil"/>
            </w:tcBorders>
            <w:shd w:val="clear" w:color="auto" w:fill="auto"/>
            <w:hideMark/>
          </w:tcPr>
          <w:p w14:paraId="35C9D9DD" w14:textId="77777777" w:rsidR="00A372C3" w:rsidRPr="004876F1" w:rsidRDefault="00A372C3" w:rsidP="00A372C3">
            <w:pPr>
              <w:spacing w:after="0" w:line="240" w:lineRule="auto"/>
              <w:jc w:val="center"/>
              <w:rPr>
                <w:b/>
                <w:bCs/>
                <w:szCs w:val="23"/>
              </w:rPr>
            </w:pPr>
            <w:r w:rsidRPr="004876F1">
              <w:rPr>
                <w:b/>
                <w:bCs/>
                <w:szCs w:val="23"/>
              </w:rPr>
              <w:t>Qld</w:t>
            </w:r>
          </w:p>
        </w:tc>
        <w:tc>
          <w:tcPr>
            <w:tcW w:w="1361" w:type="dxa"/>
            <w:tcBorders>
              <w:top w:val="single" w:sz="8" w:space="0" w:color="auto"/>
              <w:left w:val="nil"/>
              <w:bottom w:val="nil"/>
              <w:right w:val="nil"/>
            </w:tcBorders>
            <w:shd w:val="clear" w:color="auto" w:fill="auto"/>
            <w:hideMark/>
          </w:tcPr>
          <w:p w14:paraId="1BB7C269" w14:textId="77777777" w:rsidR="00A372C3" w:rsidRPr="004876F1" w:rsidRDefault="00A372C3" w:rsidP="00A372C3">
            <w:pPr>
              <w:spacing w:after="0" w:line="240" w:lineRule="auto"/>
              <w:jc w:val="center"/>
              <w:rPr>
                <w:b/>
                <w:bCs/>
                <w:szCs w:val="23"/>
              </w:rPr>
            </w:pPr>
            <w:r w:rsidRPr="004876F1">
              <w:rPr>
                <w:b/>
                <w:bCs/>
                <w:szCs w:val="23"/>
              </w:rPr>
              <w:t>SA</w:t>
            </w:r>
          </w:p>
        </w:tc>
        <w:tc>
          <w:tcPr>
            <w:tcW w:w="1361" w:type="dxa"/>
            <w:tcBorders>
              <w:top w:val="single" w:sz="8" w:space="0" w:color="auto"/>
              <w:left w:val="nil"/>
              <w:bottom w:val="nil"/>
              <w:right w:val="nil"/>
            </w:tcBorders>
            <w:shd w:val="clear" w:color="auto" w:fill="auto"/>
            <w:hideMark/>
          </w:tcPr>
          <w:p w14:paraId="73AA08CA" w14:textId="77777777" w:rsidR="00A372C3" w:rsidRPr="004876F1" w:rsidRDefault="00A372C3" w:rsidP="00A372C3">
            <w:pPr>
              <w:spacing w:after="0" w:line="240" w:lineRule="auto"/>
              <w:jc w:val="center"/>
              <w:rPr>
                <w:b/>
                <w:bCs/>
                <w:szCs w:val="23"/>
              </w:rPr>
            </w:pPr>
            <w:r w:rsidRPr="004876F1">
              <w:rPr>
                <w:b/>
                <w:bCs/>
                <w:szCs w:val="23"/>
              </w:rPr>
              <w:t>ACT</w:t>
            </w:r>
          </w:p>
        </w:tc>
        <w:tc>
          <w:tcPr>
            <w:tcW w:w="1559" w:type="dxa"/>
            <w:tcBorders>
              <w:top w:val="single" w:sz="8" w:space="0" w:color="auto"/>
              <w:left w:val="nil"/>
              <w:bottom w:val="nil"/>
              <w:right w:val="nil"/>
            </w:tcBorders>
            <w:shd w:val="clear" w:color="auto" w:fill="auto"/>
            <w:hideMark/>
          </w:tcPr>
          <w:p w14:paraId="5D2014A2" w14:textId="77777777" w:rsidR="00A372C3" w:rsidRPr="004876F1" w:rsidRDefault="00A372C3" w:rsidP="00A372C3">
            <w:pPr>
              <w:spacing w:after="0" w:line="240" w:lineRule="auto"/>
              <w:jc w:val="center"/>
              <w:rPr>
                <w:b/>
                <w:bCs/>
                <w:szCs w:val="23"/>
              </w:rPr>
            </w:pPr>
            <w:r w:rsidRPr="004876F1">
              <w:rPr>
                <w:b/>
                <w:bCs/>
                <w:szCs w:val="23"/>
              </w:rPr>
              <w:t>Total</w:t>
            </w:r>
          </w:p>
        </w:tc>
      </w:tr>
      <w:tr w:rsidR="00615CAE" w14:paraId="28EEAC9C" w14:textId="77777777" w:rsidTr="00283608">
        <w:trPr>
          <w:trHeight w:val="315"/>
        </w:trPr>
        <w:tc>
          <w:tcPr>
            <w:tcW w:w="1008" w:type="dxa"/>
            <w:vMerge/>
            <w:tcBorders>
              <w:top w:val="single" w:sz="8" w:space="0" w:color="auto"/>
              <w:left w:val="nil"/>
              <w:bottom w:val="single" w:sz="8" w:space="0" w:color="000000"/>
              <w:right w:val="nil"/>
            </w:tcBorders>
            <w:vAlign w:val="center"/>
            <w:hideMark/>
          </w:tcPr>
          <w:p w14:paraId="3512580F" w14:textId="77777777" w:rsidR="00A372C3" w:rsidRPr="004876F1" w:rsidRDefault="00A372C3" w:rsidP="00A372C3">
            <w:pPr>
              <w:spacing w:after="0" w:line="240" w:lineRule="auto"/>
              <w:jc w:val="left"/>
              <w:rPr>
                <w:b/>
                <w:bCs/>
                <w:szCs w:val="23"/>
              </w:rPr>
            </w:pPr>
          </w:p>
        </w:tc>
        <w:tc>
          <w:tcPr>
            <w:tcW w:w="1360" w:type="dxa"/>
            <w:tcBorders>
              <w:top w:val="nil"/>
              <w:left w:val="nil"/>
              <w:bottom w:val="single" w:sz="8" w:space="0" w:color="auto"/>
              <w:right w:val="nil"/>
            </w:tcBorders>
            <w:shd w:val="clear" w:color="auto" w:fill="auto"/>
            <w:hideMark/>
          </w:tcPr>
          <w:p w14:paraId="1BC8FC03" w14:textId="77777777" w:rsidR="00A372C3" w:rsidRPr="004876F1" w:rsidRDefault="00A372C3" w:rsidP="00A372C3">
            <w:pPr>
              <w:spacing w:after="0" w:line="240" w:lineRule="auto"/>
              <w:jc w:val="center"/>
              <w:rPr>
                <w:b/>
                <w:bCs/>
                <w:szCs w:val="23"/>
              </w:rPr>
            </w:pPr>
            <w:r w:rsidRPr="004876F1">
              <w:rPr>
                <w:b/>
                <w:bCs/>
                <w:szCs w:val="23"/>
              </w:rPr>
              <w:t>$</w:t>
            </w:r>
          </w:p>
        </w:tc>
        <w:tc>
          <w:tcPr>
            <w:tcW w:w="1361" w:type="dxa"/>
            <w:tcBorders>
              <w:top w:val="nil"/>
              <w:left w:val="nil"/>
              <w:bottom w:val="single" w:sz="8" w:space="0" w:color="auto"/>
              <w:right w:val="nil"/>
            </w:tcBorders>
            <w:shd w:val="clear" w:color="auto" w:fill="auto"/>
            <w:hideMark/>
          </w:tcPr>
          <w:p w14:paraId="0878BA49" w14:textId="77777777" w:rsidR="00A372C3" w:rsidRPr="004876F1" w:rsidRDefault="00A372C3" w:rsidP="00A372C3">
            <w:pPr>
              <w:spacing w:after="0" w:line="240" w:lineRule="auto"/>
              <w:jc w:val="center"/>
              <w:rPr>
                <w:b/>
                <w:bCs/>
                <w:szCs w:val="23"/>
              </w:rPr>
            </w:pPr>
            <w:r w:rsidRPr="004876F1">
              <w:rPr>
                <w:b/>
                <w:bCs/>
                <w:szCs w:val="23"/>
              </w:rPr>
              <w:t>$</w:t>
            </w:r>
          </w:p>
        </w:tc>
        <w:tc>
          <w:tcPr>
            <w:tcW w:w="1361" w:type="dxa"/>
            <w:tcBorders>
              <w:top w:val="nil"/>
              <w:left w:val="nil"/>
              <w:bottom w:val="single" w:sz="8" w:space="0" w:color="auto"/>
              <w:right w:val="nil"/>
            </w:tcBorders>
            <w:shd w:val="clear" w:color="auto" w:fill="auto"/>
            <w:hideMark/>
          </w:tcPr>
          <w:p w14:paraId="1A8F4908" w14:textId="77777777" w:rsidR="00A372C3" w:rsidRPr="004876F1" w:rsidRDefault="00A372C3" w:rsidP="00A372C3">
            <w:pPr>
              <w:spacing w:after="0" w:line="240" w:lineRule="auto"/>
              <w:jc w:val="center"/>
              <w:rPr>
                <w:b/>
                <w:bCs/>
                <w:szCs w:val="23"/>
              </w:rPr>
            </w:pPr>
            <w:r w:rsidRPr="004876F1">
              <w:rPr>
                <w:b/>
                <w:bCs/>
                <w:szCs w:val="23"/>
              </w:rPr>
              <w:t>$</w:t>
            </w:r>
          </w:p>
        </w:tc>
        <w:tc>
          <w:tcPr>
            <w:tcW w:w="1361" w:type="dxa"/>
            <w:tcBorders>
              <w:top w:val="nil"/>
              <w:left w:val="nil"/>
              <w:bottom w:val="single" w:sz="8" w:space="0" w:color="auto"/>
              <w:right w:val="nil"/>
            </w:tcBorders>
            <w:shd w:val="clear" w:color="auto" w:fill="auto"/>
            <w:hideMark/>
          </w:tcPr>
          <w:p w14:paraId="05F16877" w14:textId="77777777" w:rsidR="00A372C3" w:rsidRPr="004876F1" w:rsidRDefault="00A372C3" w:rsidP="00A372C3">
            <w:pPr>
              <w:spacing w:after="0" w:line="240" w:lineRule="auto"/>
              <w:jc w:val="center"/>
              <w:rPr>
                <w:b/>
                <w:bCs/>
                <w:szCs w:val="23"/>
              </w:rPr>
            </w:pPr>
            <w:r w:rsidRPr="004876F1">
              <w:rPr>
                <w:b/>
                <w:bCs/>
                <w:szCs w:val="23"/>
              </w:rPr>
              <w:t>$</w:t>
            </w:r>
          </w:p>
        </w:tc>
        <w:tc>
          <w:tcPr>
            <w:tcW w:w="1361" w:type="dxa"/>
            <w:tcBorders>
              <w:top w:val="nil"/>
              <w:left w:val="nil"/>
              <w:bottom w:val="single" w:sz="8" w:space="0" w:color="auto"/>
              <w:right w:val="nil"/>
            </w:tcBorders>
            <w:shd w:val="clear" w:color="auto" w:fill="auto"/>
            <w:hideMark/>
          </w:tcPr>
          <w:p w14:paraId="19414552" w14:textId="77777777" w:rsidR="00A372C3" w:rsidRPr="004876F1" w:rsidRDefault="00A372C3" w:rsidP="00A372C3">
            <w:pPr>
              <w:spacing w:after="0" w:line="240" w:lineRule="auto"/>
              <w:jc w:val="center"/>
              <w:rPr>
                <w:b/>
                <w:bCs/>
                <w:szCs w:val="23"/>
              </w:rPr>
            </w:pPr>
            <w:r w:rsidRPr="004876F1">
              <w:rPr>
                <w:b/>
                <w:bCs/>
                <w:szCs w:val="23"/>
              </w:rPr>
              <w:t>$</w:t>
            </w:r>
          </w:p>
        </w:tc>
        <w:tc>
          <w:tcPr>
            <w:tcW w:w="1559" w:type="dxa"/>
            <w:tcBorders>
              <w:top w:val="nil"/>
              <w:left w:val="nil"/>
              <w:bottom w:val="single" w:sz="8" w:space="0" w:color="auto"/>
              <w:right w:val="nil"/>
            </w:tcBorders>
            <w:shd w:val="clear" w:color="auto" w:fill="auto"/>
            <w:hideMark/>
          </w:tcPr>
          <w:p w14:paraId="780D1515" w14:textId="77777777" w:rsidR="00A372C3" w:rsidRPr="004876F1" w:rsidRDefault="00A372C3" w:rsidP="00A372C3">
            <w:pPr>
              <w:spacing w:after="0" w:line="240" w:lineRule="auto"/>
              <w:jc w:val="center"/>
              <w:rPr>
                <w:b/>
                <w:bCs/>
                <w:szCs w:val="23"/>
              </w:rPr>
            </w:pPr>
            <w:r w:rsidRPr="004876F1">
              <w:rPr>
                <w:b/>
                <w:bCs/>
                <w:szCs w:val="23"/>
              </w:rPr>
              <w:t>$</w:t>
            </w:r>
          </w:p>
        </w:tc>
      </w:tr>
      <w:tr w:rsidR="00615CAE" w14:paraId="15012FA4" w14:textId="77777777" w:rsidTr="00283608">
        <w:trPr>
          <w:trHeight w:val="315"/>
        </w:trPr>
        <w:tc>
          <w:tcPr>
            <w:tcW w:w="1008" w:type="dxa"/>
            <w:tcBorders>
              <w:top w:val="nil"/>
              <w:left w:val="nil"/>
              <w:bottom w:val="single" w:sz="8" w:space="0" w:color="auto"/>
              <w:right w:val="nil"/>
            </w:tcBorders>
            <w:shd w:val="clear" w:color="auto" w:fill="D9D9D9" w:themeFill="background1" w:themeFillShade="D9"/>
            <w:hideMark/>
          </w:tcPr>
          <w:p w14:paraId="67609863" w14:textId="77777777" w:rsidR="00A372C3" w:rsidRPr="004876F1" w:rsidRDefault="00A372C3" w:rsidP="00A372C3">
            <w:pPr>
              <w:spacing w:after="0" w:line="240" w:lineRule="auto"/>
              <w:jc w:val="left"/>
              <w:rPr>
                <w:szCs w:val="23"/>
              </w:rPr>
            </w:pPr>
            <w:r w:rsidRPr="004876F1">
              <w:rPr>
                <w:szCs w:val="23"/>
              </w:rPr>
              <w:t>2012-13</w:t>
            </w:r>
          </w:p>
        </w:tc>
        <w:tc>
          <w:tcPr>
            <w:tcW w:w="1360" w:type="dxa"/>
            <w:tcBorders>
              <w:top w:val="nil"/>
              <w:left w:val="nil"/>
              <w:bottom w:val="single" w:sz="8" w:space="0" w:color="auto"/>
              <w:right w:val="nil"/>
            </w:tcBorders>
            <w:shd w:val="clear" w:color="auto" w:fill="D9D9D9" w:themeFill="background1" w:themeFillShade="D9"/>
            <w:hideMark/>
          </w:tcPr>
          <w:p w14:paraId="7FC3053F" w14:textId="77777777" w:rsidR="00A372C3" w:rsidRPr="002A64D3" w:rsidRDefault="00A372C3" w:rsidP="00283608">
            <w:pPr>
              <w:spacing w:after="0" w:line="240" w:lineRule="auto"/>
              <w:jc w:val="left"/>
              <w:rPr>
                <w:szCs w:val="23"/>
                <w:vertAlign w:val="subscript"/>
              </w:rPr>
            </w:pPr>
            <w:r w:rsidRPr="004876F1">
              <w:rPr>
                <w:szCs w:val="23"/>
              </w:rPr>
              <w:t>2,820,630</w:t>
            </w:r>
          </w:p>
        </w:tc>
        <w:tc>
          <w:tcPr>
            <w:tcW w:w="1361" w:type="dxa"/>
            <w:tcBorders>
              <w:top w:val="nil"/>
              <w:left w:val="nil"/>
              <w:bottom w:val="single" w:sz="8" w:space="0" w:color="auto"/>
              <w:right w:val="nil"/>
            </w:tcBorders>
            <w:shd w:val="clear" w:color="auto" w:fill="D9D9D9" w:themeFill="background1" w:themeFillShade="D9"/>
            <w:hideMark/>
          </w:tcPr>
          <w:p w14:paraId="77AD48AE" w14:textId="77777777" w:rsidR="00A372C3" w:rsidRDefault="00A372C3">
            <w:pPr>
              <w:spacing w:after="0" w:line="240" w:lineRule="auto"/>
              <w:jc w:val="left"/>
              <w:rPr>
                <w:szCs w:val="23"/>
              </w:rPr>
            </w:pPr>
            <w:r w:rsidRPr="004876F1">
              <w:rPr>
                <w:szCs w:val="23"/>
              </w:rPr>
              <w:t>2,039,997</w:t>
            </w:r>
            <w:r w:rsidR="00283608">
              <w:rPr>
                <w:szCs w:val="23"/>
              </w:rPr>
              <w:t xml:space="preserve"> </w:t>
            </w:r>
            <w:r w:rsidR="002A64D3" w:rsidRPr="002A64D3">
              <w:rPr>
                <w:szCs w:val="23"/>
                <w:vertAlign w:val="superscript"/>
              </w:rPr>
              <w:t>1</w:t>
            </w:r>
          </w:p>
        </w:tc>
        <w:tc>
          <w:tcPr>
            <w:tcW w:w="1361" w:type="dxa"/>
            <w:tcBorders>
              <w:top w:val="nil"/>
              <w:left w:val="nil"/>
              <w:bottom w:val="single" w:sz="8" w:space="0" w:color="auto"/>
              <w:right w:val="nil"/>
            </w:tcBorders>
            <w:shd w:val="clear" w:color="auto" w:fill="D9D9D9" w:themeFill="background1" w:themeFillShade="D9"/>
            <w:hideMark/>
          </w:tcPr>
          <w:p w14:paraId="4DCA32B9" w14:textId="77777777" w:rsidR="00A372C3" w:rsidRDefault="00A372C3">
            <w:pPr>
              <w:spacing w:after="0" w:line="240" w:lineRule="auto"/>
              <w:jc w:val="left"/>
              <w:rPr>
                <w:szCs w:val="23"/>
              </w:rPr>
            </w:pPr>
            <w:r w:rsidRPr="004876F1">
              <w:rPr>
                <w:szCs w:val="23"/>
              </w:rPr>
              <w:t>595,452</w:t>
            </w:r>
          </w:p>
        </w:tc>
        <w:tc>
          <w:tcPr>
            <w:tcW w:w="1361" w:type="dxa"/>
            <w:tcBorders>
              <w:top w:val="nil"/>
              <w:left w:val="nil"/>
              <w:bottom w:val="single" w:sz="8" w:space="0" w:color="auto"/>
              <w:right w:val="nil"/>
            </w:tcBorders>
            <w:shd w:val="clear" w:color="auto" w:fill="D9D9D9" w:themeFill="background1" w:themeFillShade="D9"/>
            <w:hideMark/>
          </w:tcPr>
          <w:p w14:paraId="6108B241" w14:textId="77777777" w:rsidR="00A372C3" w:rsidRDefault="00A372C3">
            <w:pPr>
              <w:spacing w:after="0" w:line="240" w:lineRule="auto"/>
              <w:jc w:val="left"/>
              <w:rPr>
                <w:szCs w:val="23"/>
              </w:rPr>
            </w:pPr>
            <w:r w:rsidRPr="004876F1">
              <w:rPr>
                <w:szCs w:val="23"/>
              </w:rPr>
              <w:t>445,863</w:t>
            </w:r>
            <w:r w:rsidR="00283608">
              <w:rPr>
                <w:szCs w:val="23"/>
              </w:rPr>
              <w:t xml:space="preserve"> </w:t>
            </w:r>
            <w:r w:rsidR="002A64D3" w:rsidRPr="002A64D3">
              <w:rPr>
                <w:szCs w:val="23"/>
                <w:vertAlign w:val="superscript"/>
              </w:rPr>
              <w:t>1</w:t>
            </w:r>
          </w:p>
        </w:tc>
        <w:tc>
          <w:tcPr>
            <w:tcW w:w="1361" w:type="dxa"/>
            <w:tcBorders>
              <w:top w:val="nil"/>
              <w:left w:val="nil"/>
              <w:bottom w:val="single" w:sz="8" w:space="0" w:color="auto"/>
              <w:right w:val="nil"/>
            </w:tcBorders>
            <w:shd w:val="clear" w:color="auto" w:fill="D9D9D9" w:themeFill="background1" w:themeFillShade="D9"/>
            <w:hideMark/>
          </w:tcPr>
          <w:p w14:paraId="25AB59A8" w14:textId="77777777" w:rsidR="00A372C3" w:rsidRDefault="00A372C3">
            <w:pPr>
              <w:spacing w:after="0" w:line="240" w:lineRule="auto"/>
              <w:jc w:val="left"/>
              <w:rPr>
                <w:szCs w:val="23"/>
              </w:rPr>
            </w:pPr>
            <w:r w:rsidRPr="004876F1">
              <w:rPr>
                <w:szCs w:val="23"/>
              </w:rPr>
              <w:t>98,058</w:t>
            </w:r>
            <w:r w:rsidR="00283608">
              <w:rPr>
                <w:szCs w:val="23"/>
              </w:rPr>
              <w:t xml:space="preserve"> </w:t>
            </w:r>
            <w:r w:rsidR="00283608" w:rsidRPr="002A64D3">
              <w:rPr>
                <w:szCs w:val="23"/>
                <w:vertAlign w:val="superscript"/>
              </w:rPr>
              <w:t>1</w:t>
            </w:r>
          </w:p>
        </w:tc>
        <w:tc>
          <w:tcPr>
            <w:tcW w:w="1559" w:type="dxa"/>
            <w:tcBorders>
              <w:top w:val="nil"/>
              <w:left w:val="nil"/>
              <w:bottom w:val="single" w:sz="8" w:space="0" w:color="auto"/>
              <w:right w:val="nil"/>
            </w:tcBorders>
            <w:shd w:val="clear" w:color="auto" w:fill="D9D9D9" w:themeFill="background1" w:themeFillShade="D9"/>
            <w:hideMark/>
          </w:tcPr>
          <w:p w14:paraId="399B470A" w14:textId="77777777" w:rsidR="00A372C3" w:rsidRPr="004876F1" w:rsidRDefault="00A372C3" w:rsidP="00A372C3">
            <w:pPr>
              <w:spacing w:after="0" w:line="240" w:lineRule="auto"/>
              <w:jc w:val="left"/>
              <w:rPr>
                <w:szCs w:val="23"/>
              </w:rPr>
            </w:pPr>
            <w:r w:rsidRPr="004876F1">
              <w:rPr>
                <w:szCs w:val="23"/>
              </w:rPr>
              <w:t>6,000,000</w:t>
            </w:r>
          </w:p>
        </w:tc>
      </w:tr>
      <w:tr w:rsidR="00615CAE" w14:paraId="244C63C5" w14:textId="77777777" w:rsidTr="00283608">
        <w:trPr>
          <w:trHeight w:val="360"/>
        </w:trPr>
        <w:tc>
          <w:tcPr>
            <w:tcW w:w="1008" w:type="dxa"/>
            <w:tcBorders>
              <w:top w:val="nil"/>
              <w:left w:val="nil"/>
              <w:bottom w:val="single" w:sz="8" w:space="0" w:color="auto"/>
              <w:right w:val="nil"/>
            </w:tcBorders>
            <w:shd w:val="clear" w:color="auto" w:fill="auto"/>
            <w:hideMark/>
          </w:tcPr>
          <w:p w14:paraId="698D545B" w14:textId="77777777" w:rsidR="00A372C3" w:rsidRPr="004876F1" w:rsidRDefault="00A372C3" w:rsidP="00A372C3">
            <w:pPr>
              <w:spacing w:after="0" w:line="240" w:lineRule="auto"/>
              <w:jc w:val="left"/>
              <w:rPr>
                <w:szCs w:val="23"/>
              </w:rPr>
            </w:pPr>
            <w:r w:rsidRPr="004876F1">
              <w:rPr>
                <w:szCs w:val="23"/>
              </w:rPr>
              <w:t xml:space="preserve">2013-14 </w:t>
            </w:r>
          </w:p>
        </w:tc>
        <w:tc>
          <w:tcPr>
            <w:tcW w:w="1360" w:type="dxa"/>
            <w:tcBorders>
              <w:top w:val="nil"/>
              <w:left w:val="nil"/>
              <w:bottom w:val="single" w:sz="8" w:space="0" w:color="auto"/>
              <w:right w:val="nil"/>
            </w:tcBorders>
            <w:shd w:val="clear" w:color="auto" w:fill="auto"/>
            <w:hideMark/>
          </w:tcPr>
          <w:p w14:paraId="6DEA2696" w14:textId="77777777" w:rsidR="00A372C3" w:rsidRDefault="00A372C3" w:rsidP="00283608">
            <w:pPr>
              <w:spacing w:after="0" w:line="240" w:lineRule="auto"/>
              <w:jc w:val="left"/>
              <w:rPr>
                <w:szCs w:val="23"/>
              </w:rPr>
            </w:pPr>
            <w:r w:rsidRPr="004876F1">
              <w:rPr>
                <w:szCs w:val="23"/>
              </w:rPr>
              <w:t>3,481,462</w:t>
            </w:r>
            <w:r w:rsidR="00283608">
              <w:rPr>
                <w:szCs w:val="23"/>
              </w:rPr>
              <w:t xml:space="preserve"> </w:t>
            </w:r>
            <w:r w:rsidR="002A64D3">
              <w:rPr>
                <w:szCs w:val="23"/>
                <w:vertAlign w:val="superscript"/>
              </w:rPr>
              <w:t>2</w:t>
            </w:r>
          </w:p>
        </w:tc>
        <w:tc>
          <w:tcPr>
            <w:tcW w:w="1361" w:type="dxa"/>
            <w:tcBorders>
              <w:top w:val="nil"/>
              <w:left w:val="nil"/>
              <w:bottom w:val="single" w:sz="8" w:space="0" w:color="auto"/>
              <w:right w:val="nil"/>
            </w:tcBorders>
            <w:shd w:val="clear" w:color="auto" w:fill="auto"/>
            <w:hideMark/>
          </w:tcPr>
          <w:p w14:paraId="4AD7282D" w14:textId="77777777" w:rsidR="00A372C3" w:rsidRPr="004876F1" w:rsidRDefault="00A372C3" w:rsidP="002A64D3">
            <w:pPr>
              <w:spacing w:after="0" w:line="240" w:lineRule="auto"/>
              <w:jc w:val="left"/>
              <w:rPr>
                <w:szCs w:val="23"/>
              </w:rPr>
            </w:pPr>
            <w:r w:rsidRPr="004876F1">
              <w:rPr>
                <w:szCs w:val="23"/>
              </w:rPr>
              <w:t>2,861,453</w:t>
            </w:r>
            <w:r w:rsidRPr="00771697">
              <w:rPr>
                <w:szCs w:val="23"/>
              </w:rPr>
              <w:t xml:space="preserve"> </w:t>
            </w:r>
            <w:r w:rsidR="002A64D3">
              <w:rPr>
                <w:szCs w:val="23"/>
                <w:vertAlign w:val="superscript"/>
              </w:rPr>
              <w:t>2</w:t>
            </w:r>
          </w:p>
        </w:tc>
        <w:tc>
          <w:tcPr>
            <w:tcW w:w="1361" w:type="dxa"/>
            <w:tcBorders>
              <w:top w:val="nil"/>
              <w:left w:val="nil"/>
              <w:bottom w:val="single" w:sz="8" w:space="0" w:color="auto"/>
              <w:right w:val="nil"/>
            </w:tcBorders>
            <w:shd w:val="clear" w:color="auto" w:fill="auto"/>
            <w:hideMark/>
          </w:tcPr>
          <w:p w14:paraId="3B2D1E8A" w14:textId="77777777" w:rsidR="00A372C3" w:rsidRPr="004876F1" w:rsidRDefault="00A372C3" w:rsidP="00A372C3">
            <w:pPr>
              <w:spacing w:after="0" w:line="240" w:lineRule="auto"/>
              <w:jc w:val="center"/>
              <w:rPr>
                <w:szCs w:val="23"/>
              </w:rPr>
            </w:pPr>
            <w:r w:rsidRPr="004876F1">
              <w:rPr>
                <w:szCs w:val="23"/>
              </w:rPr>
              <w:t>0</w:t>
            </w:r>
          </w:p>
        </w:tc>
        <w:tc>
          <w:tcPr>
            <w:tcW w:w="1361" w:type="dxa"/>
            <w:tcBorders>
              <w:top w:val="nil"/>
              <w:left w:val="nil"/>
              <w:bottom w:val="single" w:sz="8" w:space="0" w:color="auto"/>
              <w:right w:val="nil"/>
            </w:tcBorders>
            <w:shd w:val="clear" w:color="auto" w:fill="auto"/>
            <w:hideMark/>
          </w:tcPr>
          <w:p w14:paraId="4CF965F4" w14:textId="77777777" w:rsidR="00A372C3" w:rsidRPr="004876F1" w:rsidRDefault="00A372C3" w:rsidP="002A64D3">
            <w:pPr>
              <w:spacing w:after="0" w:line="240" w:lineRule="auto"/>
              <w:jc w:val="left"/>
              <w:rPr>
                <w:szCs w:val="23"/>
              </w:rPr>
            </w:pPr>
            <w:r w:rsidRPr="004876F1">
              <w:rPr>
                <w:szCs w:val="23"/>
              </w:rPr>
              <w:t>557,085</w:t>
            </w:r>
            <w:r w:rsidRPr="00771697">
              <w:rPr>
                <w:szCs w:val="23"/>
              </w:rPr>
              <w:t xml:space="preserve"> </w:t>
            </w:r>
            <w:r w:rsidR="002A64D3">
              <w:rPr>
                <w:szCs w:val="23"/>
                <w:vertAlign w:val="superscript"/>
              </w:rPr>
              <w:t>2</w:t>
            </w:r>
          </w:p>
        </w:tc>
        <w:tc>
          <w:tcPr>
            <w:tcW w:w="1361" w:type="dxa"/>
            <w:tcBorders>
              <w:top w:val="nil"/>
              <w:left w:val="nil"/>
              <w:bottom w:val="single" w:sz="8" w:space="0" w:color="auto"/>
              <w:right w:val="nil"/>
            </w:tcBorders>
            <w:shd w:val="clear" w:color="auto" w:fill="auto"/>
            <w:hideMark/>
          </w:tcPr>
          <w:p w14:paraId="16C928F8" w14:textId="77777777" w:rsidR="00A372C3" w:rsidRPr="004876F1" w:rsidRDefault="00A372C3" w:rsidP="00A372C3">
            <w:pPr>
              <w:spacing w:after="0" w:line="240" w:lineRule="auto"/>
              <w:jc w:val="center"/>
              <w:rPr>
                <w:szCs w:val="23"/>
              </w:rPr>
            </w:pPr>
            <w:r w:rsidRPr="004876F1">
              <w:rPr>
                <w:szCs w:val="23"/>
              </w:rPr>
              <w:t>0</w:t>
            </w:r>
          </w:p>
        </w:tc>
        <w:tc>
          <w:tcPr>
            <w:tcW w:w="1559" w:type="dxa"/>
            <w:tcBorders>
              <w:top w:val="nil"/>
              <w:left w:val="nil"/>
              <w:bottom w:val="single" w:sz="8" w:space="0" w:color="auto"/>
              <w:right w:val="nil"/>
            </w:tcBorders>
            <w:shd w:val="clear" w:color="auto" w:fill="auto"/>
            <w:hideMark/>
          </w:tcPr>
          <w:p w14:paraId="3E357814" w14:textId="77777777" w:rsidR="00A372C3" w:rsidRPr="004876F1" w:rsidRDefault="00A372C3" w:rsidP="00A372C3">
            <w:pPr>
              <w:spacing w:after="0" w:line="240" w:lineRule="auto"/>
              <w:jc w:val="left"/>
              <w:rPr>
                <w:szCs w:val="23"/>
              </w:rPr>
            </w:pPr>
            <w:r w:rsidRPr="004876F1">
              <w:rPr>
                <w:szCs w:val="23"/>
              </w:rPr>
              <w:t>6,900,000</w:t>
            </w:r>
          </w:p>
        </w:tc>
      </w:tr>
      <w:tr w:rsidR="00615CAE" w14:paraId="5CDC14A4" w14:textId="77777777" w:rsidTr="00283608">
        <w:trPr>
          <w:trHeight w:val="360"/>
        </w:trPr>
        <w:tc>
          <w:tcPr>
            <w:tcW w:w="1008" w:type="dxa"/>
            <w:tcBorders>
              <w:top w:val="nil"/>
              <w:left w:val="nil"/>
              <w:bottom w:val="single" w:sz="8" w:space="0" w:color="auto"/>
              <w:right w:val="nil"/>
            </w:tcBorders>
            <w:shd w:val="clear" w:color="auto" w:fill="auto"/>
            <w:hideMark/>
          </w:tcPr>
          <w:p w14:paraId="219C4181" w14:textId="77777777" w:rsidR="00A372C3" w:rsidRPr="004876F1" w:rsidRDefault="00A372C3" w:rsidP="00A372C3">
            <w:pPr>
              <w:spacing w:after="0" w:line="240" w:lineRule="auto"/>
              <w:jc w:val="left"/>
              <w:rPr>
                <w:szCs w:val="23"/>
              </w:rPr>
            </w:pPr>
            <w:r w:rsidRPr="004876F1">
              <w:rPr>
                <w:szCs w:val="23"/>
              </w:rPr>
              <w:t>2013-14</w:t>
            </w:r>
          </w:p>
        </w:tc>
        <w:tc>
          <w:tcPr>
            <w:tcW w:w="1360" w:type="dxa"/>
            <w:tcBorders>
              <w:top w:val="nil"/>
              <w:left w:val="nil"/>
              <w:bottom w:val="single" w:sz="8" w:space="0" w:color="auto"/>
              <w:right w:val="nil"/>
            </w:tcBorders>
            <w:shd w:val="clear" w:color="auto" w:fill="auto"/>
            <w:hideMark/>
          </w:tcPr>
          <w:p w14:paraId="0289A98A" w14:textId="77777777" w:rsidR="00A372C3" w:rsidRPr="004876F1" w:rsidRDefault="00A372C3" w:rsidP="002A64D3">
            <w:pPr>
              <w:spacing w:after="0" w:line="240" w:lineRule="auto"/>
              <w:jc w:val="left"/>
              <w:rPr>
                <w:szCs w:val="23"/>
              </w:rPr>
            </w:pPr>
            <w:r w:rsidRPr="004876F1">
              <w:rPr>
                <w:szCs w:val="23"/>
              </w:rPr>
              <w:t>11,568,609</w:t>
            </w:r>
            <w:r w:rsidR="00283608" w:rsidRPr="00283608">
              <w:rPr>
                <w:szCs w:val="23"/>
                <w:vertAlign w:val="superscript"/>
              </w:rPr>
              <w:t xml:space="preserve"> 3</w:t>
            </w:r>
          </w:p>
        </w:tc>
        <w:tc>
          <w:tcPr>
            <w:tcW w:w="1361" w:type="dxa"/>
            <w:tcBorders>
              <w:top w:val="nil"/>
              <w:left w:val="nil"/>
              <w:bottom w:val="single" w:sz="8" w:space="0" w:color="auto"/>
              <w:right w:val="nil"/>
            </w:tcBorders>
            <w:shd w:val="clear" w:color="auto" w:fill="auto"/>
            <w:hideMark/>
          </w:tcPr>
          <w:p w14:paraId="7639C508" w14:textId="77777777" w:rsidR="00A372C3" w:rsidRPr="004876F1" w:rsidRDefault="00A372C3" w:rsidP="002A64D3">
            <w:pPr>
              <w:spacing w:after="0" w:line="240" w:lineRule="auto"/>
              <w:jc w:val="left"/>
              <w:rPr>
                <w:szCs w:val="23"/>
              </w:rPr>
            </w:pPr>
            <w:r w:rsidRPr="004876F1">
              <w:rPr>
                <w:szCs w:val="23"/>
              </w:rPr>
              <w:t>8,882,173</w:t>
            </w:r>
            <w:r w:rsidR="00283608" w:rsidRPr="00283608">
              <w:rPr>
                <w:szCs w:val="23"/>
                <w:vertAlign w:val="superscript"/>
              </w:rPr>
              <w:t xml:space="preserve"> 3</w:t>
            </w:r>
          </w:p>
        </w:tc>
        <w:tc>
          <w:tcPr>
            <w:tcW w:w="1361" w:type="dxa"/>
            <w:tcBorders>
              <w:top w:val="nil"/>
              <w:left w:val="nil"/>
              <w:bottom w:val="single" w:sz="8" w:space="0" w:color="auto"/>
              <w:right w:val="nil"/>
            </w:tcBorders>
            <w:shd w:val="clear" w:color="auto" w:fill="auto"/>
            <w:hideMark/>
          </w:tcPr>
          <w:p w14:paraId="2148C310" w14:textId="77777777" w:rsidR="00A372C3" w:rsidRPr="004876F1" w:rsidRDefault="00A372C3" w:rsidP="00A372C3">
            <w:pPr>
              <w:spacing w:after="0" w:line="240" w:lineRule="auto"/>
              <w:jc w:val="left"/>
              <w:rPr>
                <w:szCs w:val="23"/>
              </w:rPr>
            </w:pPr>
            <w:r w:rsidRPr="004876F1">
              <w:rPr>
                <w:szCs w:val="23"/>
              </w:rPr>
              <w:t>1,339,767</w:t>
            </w:r>
          </w:p>
        </w:tc>
        <w:tc>
          <w:tcPr>
            <w:tcW w:w="1361" w:type="dxa"/>
            <w:tcBorders>
              <w:top w:val="nil"/>
              <w:left w:val="nil"/>
              <w:bottom w:val="single" w:sz="8" w:space="0" w:color="auto"/>
              <w:right w:val="nil"/>
            </w:tcBorders>
            <w:shd w:val="clear" w:color="auto" w:fill="auto"/>
            <w:hideMark/>
          </w:tcPr>
          <w:p w14:paraId="7F7010A7" w14:textId="77777777" w:rsidR="00A372C3" w:rsidRPr="004876F1" w:rsidRDefault="00A372C3" w:rsidP="002A64D3">
            <w:pPr>
              <w:spacing w:after="0" w:line="240" w:lineRule="auto"/>
              <w:jc w:val="left"/>
              <w:rPr>
                <w:szCs w:val="23"/>
              </w:rPr>
            </w:pPr>
            <w:r w:rsidRPr="004876F1">
              <w:rPr>
                <w:szCs w:val="23"/>
              </w:rPr>
              <w:t>1,838,819</w:t>
            </w:r>
            <w:r w:rsidR="00283608" w:rsidRPr="00283608">
              <w:rPr>
                <w:szCs w:val="23"/>
                <w:vertAlign w:val="superscript"/>
              </w:rPr>
              <w:t xml:space="preserve"> 3</w:t>
            </w:r>
          </w:p>
        </w:tc>
        <w:tc>
          <w:tcPr>
            <w:tcW w:w="1361" w:type="dxa"/>
            <w:tcBorders>
              <w:top w:val="nil"/>
              <w:left w:val="nil"/>
              <w:bottom w:val="single" w:sz="8" w:space="0" w:color="auto"/>
              <w:right w:val="nil"/>
            </w:tcBorders>
            <w:shd w:val="clear" w:color="auto" w:fill="auto"/>
            <w:hideMark/>
          </w:tcPr>
          <w:p w14:paraId="093BE0B1" w14:textId="77777777" w:rsidR="00A372C3" w:rsidRPr="004876F1" w:rsidRDefault="00A372C3" w:rsidP="00A372C3">
            <w:pPr>
              <w:spacing w:after="0" w:line="240" w:lineRule="auto"/>
              <w:jc w:val="left"/>
              <w:rPr>
                <w:szCs w:val="23"/>
              </w:rPr>
            </w:pPr>
            <w:r w:rsidRPr="004876F1">
              <w:rPr>
                <w:szCs w:val="23"/>
              </w:rPr>
              <w:t>220,632</w:t>
            </w:r>
          </w:p>
        </w:tc>
        <w:tc>
          <w:tcPr>
            <w:tcW w:w="1559" w:type="dxa"/>
            <w:tcBorders>
              <w:top w:val="nil"/>
              <w:left w:val="nil"/>
              <w:bottom w:val="single" w:sz="8" w:space="0" w:color="auto"/>
              <w:right w:val="nil"/>
            </w:tcBorders>
            <w:shd w:val="clear" w:color="auto" w:fill="auto"/>
            <w:hideMark/>
          </w:tcPr>
          <w:p w14:paraId="592789BE" w14:textId="77777777" w:rsidR="00A372C3" w:rsidRPr="004876F1" w:rsidRDefault="00A372C3" w:rsidP="00A372C3">
            <w:pPr>
              <w:spacing w:after="0" w:line="240" w:lineRule="auto"/>
              <w:jc w:val="left"/>
              <w:rPr>
                <w:szCs w:val="23"/>
              </w:rPr>
            </w:pPr>
            <w:r w:rsidRPr="004876F1">
              <w:rPr>
                <w:szCs w:val="23"/>
              </w:rPr>
              <w:t>23,850,000</w:t>
            </w:r>
          </w:p>
        </w:tc>
      </w:tr>
      <w:tr w:rsidR="00615CAE" w14:paraId="762763AE" w14:textId="77777777" w:rsidTr="00283608">
        <w:trPr>
          <w:trHeight w:val="315"/>
        </w:trPr>
        <w:tc>
          <w:tcPr>
            <w:tcW w:w="1008" w:type="dxa"/>
            <w:tcBorders>
              <w:top w:val="nil"/>
              <w:left w:val="nil"/>
              <w:bottom w:val="single" w:sz="8" w:space="0" w:color="auto"/>
              <w:right w:val="nil"/>
            </w:tcBorders>
            <w:shd w:val="clear" w:color="auto" w:fill="auto"/>
            <w:hideMark/>
          </w:tcPr>
          <w:p w14:paraId="0210B086" w14:textId="77777777" w:rsidR="00A372C3" w:rsidRPr="004876F1" w:rsidRDefault="00A372C3" w:rsidP="00A372C3">
            <w:pPr>
              <w:spacing w:after="0" w:line="240" w:lineRule="auto"/>
              <w:jc w:val="left"/>
              <w:rPr>
                <w:szCs w:val="23"/>
              </w:rPr>
            </w:pPr>
            <w:r w:rsidRPr="004876F1">
              <w:rPr>
                <w:szCs w:val="23"/>
              </w:rPr>
              <w:t>2014-15</w:t>
            </w:r>
          </w:p>
        </w:tc>
        <w:tc>
          <w:tcPr>
            <w:tcW w:w="1360" w:type="dxa"/>
            <w:tcBorders>
              <w:top w:val="nil"/>
              <w:left w:val="nil"/>
              <w:bottom w:val="single" w:sz="8" w:space="0" w:color="auto"/>
              <w:right w:val="nil"/>
            </w:tcBorders>
            <w:shd w:val="clear" w:color="auto" w:fill="auto"/>
            <w:hideMark/>
          </w:tcPr>
          <w:p w14:paraId="5550A918" w14:textId="77777777" w:rsidR="00A372C3" w:rsidRPr="004876F1" w:rsidRDefault="00A372C3" w:rsidP="00A372C3">
            <w:pPr>
              <w:spacing w:after="0" w:line="240" w:lineRule="auto"/>
              <w:jc w:val="left"/>
              <w:rPr>
                <w:szCs w:val="23"/>
              </w:rPr>
            </w:pPr>
            <w:r w:rsidRPr="004876F1">
              <w:rPr>
                <w:szCs w:val="23"/>
              </w:rPr>
              <w:t>14,624,291</w:t>
            </w:r>
          </w:p>
        </w:tc>
        <w:tc>
          <w:tcPr>
            <w:tcW w:w="1361" w:type="dxa"/>
            <w:tcBorders>
              <w:top w:val="nil"/>
              <w:left w:val="nil"/>
              <w:bottom w:val="single" w:sz="8" w:space="0" w:color="auto"/>
              <w:right w:val="nil"/>
            </w:tcBorders>
            <w:shd w:val="clear" w:color="auto" w:fill="auto"/>
            <w:hideMark/>
          </w:tcPr>
          <w:p w14:paraId="1273E234" w14:textId="77777777" w:rsidR="00A372C3" w:rsidRPr="004876F1" w:rsidRDefault="00A372C3" w:rsidP="00A372C3">
            <w:pPr>
              <w:spacing w:after="0" w:line="240" w:lineRule="auto"/>
              <w:jc w:val="left"/>
              <w:rPr>
                <w:szCs w:val="23"/>
              </w:rPr>
            </w:pPr>
            <w:r w:rsidRPr="004876F1">
              <w:rPr>
                <w:szCs w:val="23"/>
              </w:rPr>
              <w:t>11,092,169</w:t>
            </w:r>
          </w:p>
        </w:tc>
        <w:tc>
          <w:tcPr>
            <w:tcW w:w="1361" w:type="dxa"/>
            <w:tcBorders>
              <w:top w:val="nil"/>
              <w:left w:val="nil"/>
              <w:bottom w:val="single" w:sz="8" w:space="0" w:color="auto"/>
              <w:right w:val="nil"/>
            </w:tcBorders>
            <w:shd w:val="clear" w:color="auto" w:fill="auto"/>
            <w:hideMark/>
          </w:tcPr>
          <w:p w14:paraId="02B99F44" w14:textId="77777777" w:rsidR="00A372C3" w:rsidRPr="004876F1" w:rsidRDefault="00A372C3" w:rsidP="00A372C3">
            <w:pPr>
              <w:spacing w:after="0" w:line="240" w:lineRule="auto"/>
              <w:jc w:val="left"/>
              <w:rPr>
                <w:szCs w:val="23"/>
              </w:rPr>
            </w:pPr>
            <w:r w:rsidRPr="004876F1">
              <w:rPr>
                <w:szCs w:val="23"/>
              </w:rPr>
              <w:t>1,984,841</w:t>
            </w:r>
          </w:p>
        </w:tc>
        <w:tc>
          <w:tcPr>
            <w:tcW w:w="1361" w:type="dxa"/>
            <w:tcBorders>
              <w:top w:val="nil"/>
              <w:left w:val="nil"/>
              <w:bottom w:val="single" w:sz="8" w:space="0" w:color="auto"/>
              <w:right w:val="nil"/>
            </w:tcBorders>
            <w:shd w:val="clear" w:color="auto" w:fill="auto"/>
            <w:hideMark/>
          </w:tcPr>
          <w:p w14:paraId="261F93ED" w14:textId="77777777" w:rsidR="00A372C3" w:rsidRPr="004876F1" w:rsidRDefault="00A372C3" w:rsidP="00A372C3">
            <w:pPr>
              <w:spacing w:after="0" w:line="240" w:lineRule="auto"/>
              <w:jc w:val="left"/>
              <w:rPr>
                <w:szCs w:val="23"/>
              </w:rPr>
            </w:pPr>
            <w:r w:rsidRPr="004876F1">
              <w:rPr>
                <w:szCs w:val="23"/>
              </w:rPr>
              <w:t>2,321,837</w:t>
            </w:r>
          </w:p>
        </w:tc>
        <w:tc>
          <w:tcPr>
            <w:tcW w:w="1361" w:type="dxa"/>
            <w:tcBorders>
              <w:top w:val="nil"/>
              <w:left w:val="nil"/>
              <w:bottom w:val="single" w:sz="8" w:space="0" w:color="auto"/>
              <w:right w:val="nil"/>
            </w:tcBorders>
            <w:shd w:val="clear" w:color="auto" w:fill="auto"/>
            <w:hideMark/>
          </w:tcPr>
          <w:p w14:paraId="247AA2A0" w14:textId="77777777" w:rsidR="00A372C3" w:rsidRPr="004876F1" w:rsidRDefault="00A372C3" w:rsidP="00A372C3">
            <w:pPr>
              <w:spacing w:after="0" w:line="240" w:lineRule="auto"/>
              <w:jc w:val="left"/>
              <w:rPr>
                <w:szCs w:val="23"/>
              </w:rPr>
            </w:pPr>
            <w:r w:rsidRPr="004876F1">
              <w:rPr>
                <w:szCs w:val="23"/>
              </w:rPr>
              <w:t>326,862</w:t>
            </w:r>
          </w:p>
        </w:tc>
        <w:tc>
          <w:tcPr>
            <w:tcW w:w="1559" w:type="dxa"/>
            <w:tcBorders>
              <w:top w:val="nil"/>
              <w:left w:val="nil"/>
              <w:bottom w:val="single" w:sz="8" w:space="0" w:color="auto"/>
              <w:right w:val="nil"/>
            </w:tcBorders>
            <w:shd w:val="clear" w:color="auto" w:fill="auto"/>
            <w:hideMark/>
          </w:tcPr>
          <w:p w14:paraId="0FBD8F19" w14:textId="77777777" w:rsidR="00A372C3" w:rsidRPr="004876F1" w:rsidRDefault="00A372C3" w:rsidP="00A372C3">
            <w:pPr>
              <w:spacing w:after="0" w:line="240" w:lineRule="auto"/>
              <w:jc w:val="left"/>
              <w:rPr>
                <w:szCs w:val="23"/>
              </w:rPr>
            </w:pPr>
            <w:r w:rsidRPr="004876F1">
              <w:rPr>
                <w:szCs w:val="23"/>
              </w:rPr>
              <w:t>30,350,000</w:t>
            </w:r>
          </w:p>
        </w:tc>
      </w:tr>
      <w:tr w:rsidR="00615CAE" w14:paraId="72AC9713" w14:textId="77777777" w:rsidTr="00283608">
        <w:trPr>
          <w:trHeight w:val="315"/>
        </w:trPr>
        <w:tc>
          <w:tcPr>
            <w:tcW w:w="1008" w:type="dxa"/>
            <w:tcBorders>
              <w:top w:val="nil"/>
              <w:left w:val="nil"/>
              <w:bottom w:val="single" w:sz="8" w:space="0" w:color="auto"/>
              <w:right w:val="nil"/>
            </w:tcBorders>
            <w:shd w:val="clear" w:color="auto" w:fill="auto"/>
            <w:hideMark/>
          </w:tcPr>
          <w:p w14:paraId="602813DA" w14:textId="77777777" w:rsidR="00A372C3" w:rsidRPr="004876F1" w:rsidRDefault="00A372C3" w:rsidP="00A372C3">
            <w:pPr>
              <w:spacing w:after="0" w:line="240" w:lineRule="auto"/>
              <w:jc w:val="left"/>
              <w:rPr>
                <w:szCs w:val="23"/>
              </w:rPr>
            </w:pPr>
            <w:r w:rsidRPr="004876F1">
              <w:rPr>
                <w:szCs w:val="23"/>
              </w:rPr>
              <w:t>2015-16</w:t>
            </w:r>
          </w:p>
        </w:tc>
        <w:tc>
          <w:tcPr>
            <w:tcW w:w="1360" w:type="dxa"/>
            <w:tcBorders>
              <w:top w:val="nil"/>
              <w:left w:val="nil"/>
              <w:bottom w:val="single" w:sz="8" w:space="0" w:color="auto"/>
              <w:right w:val="nil"/>
            </w:tcBorders>
            <w:shd w:val="clear" w:color="auto" w:fill="auto"/>
            <w:hideMark/>
          </w:tcPr>
          <w:p w14:paraId="7C8E85F5" w14:textId="77777777" w:rsidR="00A372C3" w:rsidRPr="004876F1" w:rsidRDefault="00A372C3" w:rsidP="00A372C3">
            <w:pPr>
              <w:spacing w:after="0" w:line="240" w:lineRule="auto"/>
              <w:jc w:val="left"/>
              <w:rPr>
                <w:szCs w:val="23"/>
              </w:rPr>
            </w:pPr>
            <w:r w:rsidRPr="004876F1">
              <w:rPr>
                <w:szCs w:val="23"/>
              </w:rPr>
              <w:t>12,883,561</w:t>
            </w:r>
          </w:p>
        </w:tc>
        <w:tc>
          <w:tcPr>
            <w:tcW w:w="1361" w:type="dxa"/>
            <w:tcBorders>
              <w:top w:val="nil"/>
              <w:left w:val="nil"/>
              <w:bottom w:val="single" w:sz="8" w:space="0" w:color="auto"/>
              <w:right w:val="nil"/>
            </w:tcBorders>
            <w:shd w:val="clear" w:color="auto" w:fill="auto"/>
            <w:hideMark/>
          </w:tcPr>
          <w:p w14:paraId="02B5FA33" w14:textId="77777777" w:rsidR="00A372C3" w:rsidRPr="004876F1" w:rsidRDefault="00A372C3" w:rsidP="00A372C3">
            <w:pPr>
              <w:spacing w:after="0" w:line="240" w:lineRule="auto"/>
              <w:jc w:val="left"/>
              <w:rPr>
                <w:szCs w:val="23"/>
              </w:rPr>
            </w:pPr>
            <w:r w:rsidRPr="004876F1">
              <w:rPr>
                <w:szCs w:val="23"/>
              </w:rPr>
              <w:t>9,661,442</w:t>
            </w:r>
          </w:p>
        </w:tc>
        <w:tc>
          <w:tcPr>
            <w:tcW w:w="1361" w:type="dxa"/>
            <w:tcBorders>
              <w:top w:val="nil"/>
              <w:left w:val="nil"/>
              <w:bottom w:val="single" w:sz="8" w:space="0" w:color="auto"/>
              <w:right w:val="nil"/>
            </w:tcBorders>
            <w:shd w:val="clear" w:color="auto" w:fill="auto"/>
            <w:hideMark/>
          </w:tcPr>
          <w:p w14:paraId="1A4C231D" w14:textId="77777777" w:rsidR="00A372C3" w:rsidRPr="004876F1" w:rsidRDefault="00A372C3" w:rsidP="00A372C3">
            <w:pPr>
              <w:spacing w:after="0" w:line="240" w:lineRule="auto"/>
              <w:jc w:val="left"/>
              <w:rPr>
                <w:szCs w:val="23"/>
              </w:rPr>
            </w:pPr>
            <w:r w:rsidRPr="004876F1">
              <w:rPr>
                <w:szCs w:val="23"/>
              </w:rPr>
              <w:t>1,984,840</w:t>
            </w:r>
          </w:p>
        </w:tc>
        <w:tc>
          <w:tcPr>
            <w:tcW w:w="1361" w:type="dxa"/>
            <w:tcBorders>
              <w:top w:val="nil"/>
              <w:left w:val="nil"/>
              <w:bottom w:val="single" w:sz="8" w:space="0" w:color="auto"/>
              <w:right w:val="nil"/>
            </w:tcBorders>
            <w:shd w:val="clear" w:color="auto" w:fill="auto"/>
            <w:hideMark/>
          </w:tcPr>
          <w:p w14:paraId="75EBC5EF" w14:textId="77777777" w:rsidR="00A372C3" w:rsidRPr="004876F1" w:rsidRDefault="00A372C3" w:rsidP="00A372C3">
            <w:pPr>
              <w:spacing w:after="0" w:line="240" w:lineRule="auto"/>
              <w:jc w:val="left"/>
              <w:rPr>
                <w:szCs w:val="23"/>
              </w:rPr>
            </w:pPr>
            <w:r w:rsidRPr="004876F1">
              <w:rPr>
                <w:szCs w:val="23"/>
              </w:rPr>
              <w:t>2,043,295</w:t>
            </w:r>
          </w:p>
        </w:tc>
        <w:tc>
          <w:tcPr>
            <w:tcW w:w="1361" w:type="dxa"/>
            <w:tcBorders>
              <w:top w:val="nil"/>
              <w:left w:val="nil"/>
              <w:bottom w:val="single" w:sz="8" w:space="0" w:color="auto"/>
              <w:right w:val="nil"/>
            </w:tcBorders>
            <w:shd w:val="clear" w:color="auto" w:fill="auto"/>
            <w:hideMark/>
          </w:tcPr>
          <w:p w14:paraId="71154DB8" w14:textId="77777777" w:rsidR="00A372C3" w:rsidRPr="004876F1" w:rsidRDefault="00A372C3" w:rsidP="00A372C3">
            <w:pPr>
              <w:spacing w:after="0" w:line="240" w:lineRule="auto"/>
              <w:jc w:val="left"/>
              <w:rPr>
                <w:szCs w:val="23"/>
              </w:rPr>
            </w:pPr>
            <w:r w:rsidRPr="004876F1">
              <w:rPr>
                <w:szCs w:val="23"/>
              </w:rPr>
              <w:t>326,862</w:t>
            </w:r>
          </w:p>
        </w:tc>
        <w:tc>
          <w:tcPr>
            <w:tcW w:w="1559" w:type="dxa"/>
            <w:tcBorders>
              <w:top w:val="nil"/>
              <w:left w:val="nil"/>
              <w:bottom w:val="single" w:sz="8" w:space="0" w:color="auto"/>
              <w:right w:val="nil"/>
            </w:tcBorders>
            <w:shd w:val="clear" w:color="auto" w:fill="auto"/>
            <w:hideMark/>
          </w:tcPr>
          <w:p w14:paraId="59537B43" w14:textId="77777777" w:rsidR="00A372C3" w:rsidRPr="004876F1" w:rsidRDefault="00A372C3" w:rsidP="00A372C3">
            <w:pPr>
              <w:spacing w:after="0" w:line="240" w:lineRule="auto"/>
              <w:jc w:val="left"/>
              <w:rPr>
                <w:szCs w:val="23"/>
              </w:rPr>
            </w:pPr>
            <w:r w:rsidRPr="004876F1">
              <w:rPr>
                <w:szCs w:val="23"/>
              </w:rPr>
              <w:t>26,900,000</w:t>
            </w:r>
          </w:p>
        </w:tc>
      </w:tr>
      <w:tr w:rsidR="00615CAE" w14:paraId="589ED1D7" w14:textId="77777777" w:rsidTr="00283608">
        <w:trPr>
          <w:trHeight w:val="315"/>
        </w:trPr>
        <w:tc>
          <w:tcPr>
            <w:tcW w:w="1008" w:type="dxa"/>
            <w:tcBorders>
              <w:top w:val="nil"/>
              <w:left w:val="nil"/>
              <w:bottom w:val="single" w:sz="8" w:space="0" w:color="auto"/>
              <w:right w:val="nil"/>
            </w:tcBorders>
            <w:shd w:val="clear" w:color="auto" w:fill="auto"/>
            <w:hideMark/>
          </w:tcPr>
          <w:p w14:paraId="622C96A8" w14:textId="77777777" w:rsidR="00A372C3" w:rsidRPr="004876F1" w:rsidRDefault="00A372C3" w:rsidP="00A372C3">
            <w:pPr>
              <w:spacing w:after="0" w:line="240" w:lineRule="auto"/>
              <w:jc w:val="left"/>
              <w:rPr>
                <w:szCs w:val="23"/>
              </w:rPr>
            </w:pPr>
            <w:r w:rsidRPr="004876F1">
              <w:rPr>
                <w:szCs w:val="23"/>
              </w:rPr>
              <w:t>2016-17</w:t>
            </w:r>
          </w:p>
        </w:tc>
        <w:tc>
          <w:tcPr>
            <w:tcW w:w="1360" w:type="dxa"/>
            <w:tcBorders>
              <w:top w:val="nil"/>
              <w:left w:val="nil"/>
              <w:bottom w:val="single" w:sz="8" w:space="0" w:color="auto"/>
              <w:right w:val="nil"/>
            </w:tcBorders>
            <w:shd w:val="clear" w:color="auto" w:fill="auto"/>
            <w:hideMark/>
          </w:tcPr>
          <w:p w14:paraId="639C944E" w14:textId="77777777" w:rsidR="00A372C3" w:rsidRPr="004876F1" w:rsidRDefault="00A372C3" w:rsidP="00A372C3">
            <w:pPr>
              <w:spacing w:after="0" w:line="240" w:lineRule="auto"/>
              <w:jc w:val="left"/>
              <w:rPr>
                <w:szCs w:val="23"/>
              </w:rPr>
            </w:pPr>
            <w:r w:rsidRPr="004876F1">
              <w:rPr>
                <w:szCs w:val="23"/>
              </w:rPr>
              <w:t>9,402,099</w:t>
            </w:r>
          </w:p>
        </w:tc>
        <w:tc>
          <w:tcPr>
            <w:tcW w:w="1361" w:type="dxa"/>
            <w:tcBorders>
              <w:top w:val="nil"/>
              <w:left w:val="nil"/>
              <w:bottom w:val="single" w:sz="8" w:space="0" w:color="auto"/>
              <w:right w:val="nil"/>
            </w:tcBorders>
            <w:shd w:val="clear" w:color="auto" w:fill="auto"/>
            <w:hideMark/>
          </w:tcPr>
          <w:p w14:paraId="08F2560C" w14:textId="77777777" w:rsidR="00A372C3" w:rsidRPr="004876F1" w:rsidRDefault="00A372C3" w:rsidP="00A372C3">
            <w:pPr>
              <w:spacing w:after="0" w:line="240" w:lineRule="auto"/>
              <w:jc w:val="left"/>
              <w:rPr>
                <w:szCs w:val="23"/>
              </w:rPr>
            </w:pPr>
            <w:r w:rsidRPr="004876F1">
              <w:rPr>
                <w:szCs w:val="23"/>
              </w:rPr>
              <w:t>6,799,989</w:t>
            </w:r>
          </w:p>
        </w:tc>
        <w:tc>
          <w:tcPr>
            <w:tcW w:w="1361" w:type="dxa"/>
            <w:tcBorders>
              <w:top w:val="nil"/>
              <w:left w:val="nil"/>
              <w:bottom w:val="single" w:sz="8" w:space="0" w:color="auto"/>
              <w:right w:val="nil"/>
            </w:tcBorders>
            <w:shd w:val="clear" w:color="auto" w:fill="auto"/>
            <w:hideMark/>
          </w:tcPr>
          <w:p w14:paraId="53DBB870" w14:textId="77777777" w:rsidR="00A372C3" w:rsidRPr="004876F1" w:rsidRDefault="00A372C3" w:rsidP="00A372C3">
            <w:pPr>
              <w:spacing w:after="0" w:line="240" w:lineRule="auto"/>
              <w:jc w:val="left"/>
              <w:rPr>
                <w:szCs w:val="23"/>
              </w:rPr>
            </w:pPr>
            <w:r w:rsidRPr="004876F1">
              <w:rPr>
                <w:szCs w:val="23"/>
              </w:rPr>
              <w:t>1,984,840</w:t>
            </w:r>
          </w:p>
        </w:tc>
        <w:tc>
          <w:tcPr>
            <w:tcW w:w="1361" w:type="dxa"/>
            <w:tcBorders>
              <w:top w:val="nil"/>
              <w:left w:val="nil"/>
              <w:bottom w:val="single" w:sz="8" w:space="0" w:color="auto"/>
              <w:right w:val="nil"/>
            </w:tcBorders>
            <w:shd w:val="clear" w:color="auto" w:fill="auto"/>
            <w:hideMark/>
          </w:tcPr>
          <w:p w14:paraId="2F3F95BA" w14:textId="77777777" w:rsidR="00A372C3" w:rsidRPr="004876F1" w:rsidRDefault="00A372C3" w:rsidP="00A372C3">
            <w:pPr>
              <w:spacing w:after="0" w:line="240" w:lineRule="auto"/>
              <w:jc w:val="left"/>
              <w:rPr>
                <w:szCs w:val="23"/>
              </w:rPr>
            </w:pPr>
            <w:r w:rsidRPr="004876F1">
              <w:rPr>
                <w:szCs w:val="23"/>
              </w:rPr>
              <w:t>1,486,209</w:t>
            </w:r>
          </w:p>
        </w:tc>
        <w:tc>
          <w:tcPr>
            <w:tcW w:w="1361" w:type="dxa"/>
            <w:tcBorders>
              <w:top w:val="nil"/>
              <w:left w:val="nil"/>
              <w:bottom w:val="single" w:sz="8" w:space="0" w:color="auto"/>
              <w:right w:val="nil"/>
            </w:tcBorders>
            <w:shd w:val="clear" w:color="auto" w:fill="auto"/>
            <w:hideMark/>
          </w:tcPr>
          <w:p w14:paraId="355FCFC5" w14:textId="77777777" w:rsidR="00A372C3" w:rsidRPr="004876F1" w:rsidRDefault="00A372C3" w:rsidP="00A372C3">
            <w:pPr>
              <w:spacing w:after="0" w:line="240" w:lineRule="auto"/>
              <w:jc w:val="left"/>
              <w:rPr>
                <w:szCs w:val="23"/>
              </w:rPr>
            </w:pPr>
            <w:r w:rsidRPr="004876F1">
              <w:rPr>
                <w:szCs w:val="23"/>
              </w:rPr>
              <w:t>326,863</w:t>
            </w:r>
          </w:p>
        </w:tc>
        <w:tc>
          <w:tcPr>
            <w:tcW w:w="1559" w:type="dxa"/>
            <w:tcBorders>
              <w:top w:val="nil"/>
              <w:left w:val="nil"/>
              <w:bottom w:val="single" w:sz="8" w:space="0" w:color="auto"/>
              <w:right w:val="nil"/>
            </w:tcBorders>
            <w:shd w:val="clear" w:color="auto" w:fill="auto"/>
            <w:hideMark/>
          </w:tcPr>
          <w:p w14:paraId="37B2922E" w14:textId="77777777" w:rsidR="00A372C3" w:rsidRPr="004876F1" w:rsidRDefault="00A372C3" w:rsidP="00A372C3">
            <w:pPr>
              <w:spacing w:after="0" w:line="240" w:lineRule="auto"/>
              <w:jc w:val="left"/>
              <w:rPr>
                <w:szCs w:val="23"/>
              </w:rPr>
            </w:pPr>
            <w:r w:rsidRPr="004876F1">
              <w:rPr>
                <w:szCs w:val="23"/>
              </w:rPr>
              <w:t>20,000,000</w:t>
            </w:r>
          </w:p>
        </w:tc>
      </w:tr>
      <w:tr w:rsidR="00615CAE" w14:paraId="3C222C08" w14:textId="77777777" w:rsidTr="00283608">
        <w:trPr>
          <w:trHeight w:val="315"/>
        </w:trPr>
        <w:tc>
          <w:tcPr>
            <w:tcW w:w="1008" w:type="dxa"/>
            <w:tcBorders>
              <w:top w:val="nil"/>
              <w:left w:val="nil"/>
              <w:bottom w:val="single" w:sz="8" w:space="0" w:color="auto"/>
              <w:right w:val="nil"/>
            </w:tcBorders>
            <w:shd w:val="clear" w:color="auto" w:fill="auto"/>
            <w:hideMark/>
          </w:tcPr>
          <w:p w14:paraId="5FE50ADB" w14:textId="77777777" w:rsidR="00A372C3" w:rsidRPr="004876F1" w:rsidRDefault="00A372C3" w:rsidP="00A372C3">
            <w:pPr>
              <w:spacing w:after="0" w:line="240" w:lineRule="auto"/>
              <w:jc w:val="left"/>
              <w:rPr>
                <w:szCs w:val="23"/>
              </w:rPr>
            </w:pPr>
            <w:r w:rsidRPr="004876F1">
              <w:rPr>
                <w:szCs w:val="23"/>
              </w:rPr>
              <w:t>2017-18</w:t>
            </w:r>
          </w:p>
        </w:tc>
        <w:tc>
          <w:tcPr>
            <w:tcW w:w="1360" w:type="dxa"/>
            <w:tcBorders>
              <w:top w:val="nil"/>
              <w:left w:val="nil"/>
              <w:bottom w:val="single" w:sz="8" w:space="0" w:color="auto"/>
              <w:right w:val="nil"/>
            </w:tcBorders>
            <w:shd w:val="clear" w:color="auto" w:fill="auto"/>
            <w:hideMark/>
          </w:tcPr>
          <w:p w14:paraId="70DE6705" w14:textId="77777777" w:rsidR="00A372C3" w:rsidRPr="004876F1" w:rsidRDefault="00A372C3" w:rsidP="00A372C3">
            <w:pPr>
              <w:spacing w:after="0" w:line="240" w:lineRule="auto"/>
              <w:jc w:val="left"/>
              <w:rPr>
                <w:szCs w:val="23"/>
              </w:rPr>
            </w:pPr>
            <w:r w:rsidRPr="004876F1">
              <w:rPr>
                <w:szCs w:val="23"/>
              </w:rPr>
              <w:t>9,402,099</w:t>
            </w:r>
          </w:p>
        </w:tc>
        <w:tc>
          <w:tcPr>
            <w:tcW w:w="1361" w:type="dxa"/>
            <w:tcBorders>
              <w:top w:val="nil"/>
              <w:left w:val="nil"/>
              <w:bottom w:val="single" w:sz="8" w:space="0" w:color="auto"/>
              <w:right w:val="nil"/>
            </w:tcBorders>
            <w:shd w:val="clear" w:color="auto" w:fill="auto"/>
            <w:hideMark/>
          </w:tcPr>
          <w:p w14:paraId="1F232780" w14:textId="77777777" w:rsidR="00A372C3" w:rsidRPr="004876F1" w:rsidRDefault="00A372C3" w:rsidP="00A372C3">
            <w:pPr>
              <w:spacing w:after="0" w:line="240" w:lineRule="auto"/>
              <w:jc w:val="left"/>
              <w:rPr>
                <w:szCs w:val="23"/>
              </w:rPr>
            </w:pPr>
            <w:r w:rsidRPr="004876F1">
              <w:rPr>
                <w:szCs w:val="23"/>
              </w:rPr>
              <w:t>6,799,989</w:t>
            </w:r>
          </w:p>
        </w:tc>
        <w:tc>
          <w:tcPr>
            <w:tcW w:w="1361" w:type="dxa"/>
            <w:tcBorders>
              <w:top w:val="nil"/>
              <w:left w:val="nil"/>
              <w:bottom w:val="single" w:sz="8" w:space="0" w:color="auto"/>
              <w:right w:val="nil"/>
            </w:tcBorders>
            <w:shd w:val="clear" w:color="auto" w:fill="auto"/>
            <w:hideMark/>
          </w:tcPr>
          <w:p w14:paraId="22AF1692" w14:textId="77777777" w:rsidR="00A372C3" w:rsidRPr="004876F1" w:rsidRDefault="00A372C3" w:rsidP="00A372C3">
            <w:pPr>
              <w:spacing w:after="0" w:line="240" w:lineRule="auto"/>
              <w:jc w:val="left"/>
              <w:rPr>
                <w:szCs w:val="23"/>
              </w:rPr>
            </w:pPr>
            <w:r w:rsidRPr="004876F1">
              <w:rPr>
                <w:szCs w:val="23"/>
              </w:rPr>
              <w:t>1,984,840</w:t>
            </w:r>
          </w:p>
        </w:tc>
        <w:tc>
          <w:tcPr>
            <w:tcW w:w="1361" w:type="dxa"/>
            <w:tcBorders>
              <w:top w:val="nil"/>
              <w:left w:val="nil"/>
              <w:bottom w:val="single" w:sz="8" w:space="0" w:color="auto"/>
              <w:right w:val="nil"/>
            </w:tcBorders>
            <w:shd w:val="clear" w:color="auto" w:fill="auto"/>
            <w:hideMark/>
          </w:tcPr>
          <w:p w14:paraId="320193F1" w14:textId="77777777" w:rsidR="00A372C3" w:rsidRPr="004876F1" w:rsidRDefault="00A372C3" w:rsidP="00A372C3">
            <w:pPr>
              <w:spacing w:after="0" w:line="240" w:lineRule="auto"/>
              <w:jc w:val="left"/>
              <w:rPr>
                <w:szCs w:val="23"/>
              </w:rPr>
            </w:pPr>
            <w:r w:rsidRPr="004876F1">
              <w:rPr>
                <w:szCs w:val="23"/>
              </w:rPr>
              <w:t>1,486,210</w:t>
            </w:r>
          </w:p>
        </w:tc>
        <w:tc>
          <w:tcPr>
            <w:tcW w:w="1361" w:type="dxa"/>
            <w:tcBorders>
              <w:top w:val="nil"/>
              <w:left w:val="nil"/>
              <w:bottom w:val="single" w:sz="8" w:space="0" w:color="auto"/>
              <w:right w:val="nil"/>
            </w:tcBorders>
            <w:shd w:val="clear" w:color="auto" w:fill="auto"/>
            <w:hideMark/>
          </w:tcPr>
          <w:p w14:paraId="0195412C" w14:textId="77777777" w:rsidR="00A372C3" w:rsidRPr="004876F1" w:rsidRDefault="00A372C3" w:rsidP="00A372C3">
            <w:pPr>
              <w:spacing w:after="0" w:line="240" w:lineRule="auto"/>
              <w:jc w:val="left"/>
              <w:rPr>
                <w:szCs w:val="23"/>
              </w:rPr>
            </w:pPr>
            <w:r w:rsidRPr="004876F1">
              <w:rPr>
                <w:szCs w:val="23"/>
              </w:rPr>
              <w:t>326,862</w:t>
            </w:r>
          </w:p>
        </w:tc>
        <w:tc>
          <w:tcPr>
            <w:tcW w:w="1559" w:type="dxa"/>
            <w:tcBorders>
              <w:top w:val="nil"/>
              <w:left w:val="nil"/>
              <w:bottom w:val="single" w:sz="8" w:space="0" w:color="auto"/>
              <w:right w:val="nil"/>
            </w:tcBorders>
            <w:shd w:val="clear" w:color="auto" w:fill="auto"/>
            <w:hideMark/>
          </w:tcPr>
          <w:p w14:paraId="55F1E670" w14:textId="77777777" w:rsidR="00A372C3" w:rsidRPr="004876F1" w:rsidRDefault="00A372C3" w:rsidP="00A372C3">
            <w:pPr>
              <w:spacing w:after="0" w:line="240" w:lineRule="auto"/>
              <w:jc w:val="left"/>
              <w:rPr>
                <w:szCs w:val="23"/>
              </w:rPr>
            </w:pPr>
            <w:r w:rsidRPr="004876F1">
              <w:rPr>
                <w:szCs w:val="23"/>
              </w:rPr>
              <w:t>20,000,000</w:t>
            </w:r>
          </w:p>
        </w:tc>
      </w:tr>
      <w:tr w:rsidR="00615CAE" w14:paraId="7704AEB0" w14:textId="77777777" w:rsidTr="00283608">
        <w:trPr>
          <w:trHeight w:val="315"/>
        </w:trPr>
        <w:tc>
          <w:tcPr>
            <w:tcW w:w="1008" w:type="dxa"/>
            <w:tcBorders>
              <w:top w:val="nil"/>
              <w:left w:val="nil"/>
              <w:bottom w:val="single" w:sz="8" w:space="0" w:color="auto"/>
              <w:right w:val="nil"/>
            </w:tcBorders>
            <w:shd w:val="clear" w:color="auto" w:fill="auto"/>
            <w:hideMark/>
          </w:tcPr>
          <w:p w14:paraId="06000FF1" w14:textId="77777777" w:rsidR="00A372C3" w:rsidRPr="004876F1" w:rsidRDefault="00A372C3" w:rsidP="00A372C3">
            <w:pPr>
              <w:spacing w:after="0" w:line="240" w:lineRule="auto"/>
              <w:jc w:val="left"/>
              <w:rPr>
                <w:szCs w:val="23"/>
              </w:rPr>
            </w:pPr>
            <w:r w:rsidRPr="004876F1">
              <w:rPr>
                <w:szCs w:val="23"/>
              </w:rPr>
              <w:t>2018-19</w:t>
            </w:r>
          </w:p>
        </w:tc>
        <w:tc>
          <w:tcPr>
            <w:tcW w:w="1360" w:type="dxa"/>
            <w:tcBorders>
              <w:top w:val="nil"/>
              <w:left w:val="nil"/>
              <w:bottom w:val="single" w:sz="8" w:space="0" w:color="auto"/>
              <w:right w:val="nil"/>
            </w:tcBorders>
            <w:shd w:val="clear" w:color="auto" w:fill="auto"/>
            <w:hideMark/>
          </w:tcPr>
          <w:p w14:paraId="4B704CA5" w14:textId="77777777" w:rsidR="00A372C3" w:rsidRPr="004876F1" w:rsidRDefault="00A372C3" w:rsidP="00A372C3">
            <w:pPr>
              <w:spacing w:after="0" w:line="240" w:lineRule="auto"/>
              <w:jc w:val="left"/>
              <w:rPr>
                <w:szCs w:val="23"/>
              </w:rPr>
            </w:pPr>
            <w:r w:rsidRPr="004876F1">
              <w:rPr>
                <w:szCs w:val="23"/>
              </w:rPr>
              <w:t>9,402,099</w:t>
            </w:r>
          </w:p>
        </w:tc>
        <w:tc>
          <w:tcPr>
            <w:tcW w:w="1361" w:type="dxa"/>
            <w:tcBorders>
              <w:top w:val="nil"/>
              <w:left w:val="nil"/>
              <w:bottom w:val="single" w:sz="8" w:space="0" w:color="auto"/>
              <w:right w:val="nil"/>
            </w:tcBorders>
            <w:shd w:val="clear" w:color="auto" w:fill="auto"/>
            <w:hideMark/>
          </w:tcPr>
          <w:p w14:paraId="2E392358" w14:textId="77777777" w:rsidR="00A372C3" w:rsidRPr="004876F1" w:rsidRDefault="00A372C3" w:rsidP="00A372C3">
            <w:pPr>
              <w:spacing w:after="0" w:line="240" w:lineRule="auto"/>
              <w:jc w:val="left"/>
              <w:rPr>
                <w:szCs w:val="23"/>
              </w:rPr>
            </w:pPr>
            <w:r w:rsidRPr="004876F1">
              <w:rPr>
                <w:szCs w:val="23"/>
              </w:rPr>
              <w:t>6,799,989</w:t>
            </w:r>
          </w:p>
        </w:tc>
        <w:tc>
          <w:tcPr>
            <w:tcW w:w="1361" w:type="dxa"/>
            <w:tcBorders>
              <w:top w:val="nil"/>
              <w:left w:val="nil"/>
              <w:bottom w:val="single" w:sz="8" w:space="0" w:color="auto"/>
              <w:right w:val="nil"/>
            </w:tcBorders>
            <w:shd w:val="clear" w:color="auto" w:fill="auto"/>
            <w:hideMark/>
          </w:tcPr>
          <w:p w14:paraId="610DB2CB" w14:textId="77777777" w:rsidR="00A372C3" w:rsidRPr="004876F1" w:rsidRDefault="00A372C3" w:rsidP="00A372C3">
            <w:pPr>
              <w:spacing w:after="0" w:line="240" w:lineRule="auto"/>
              <w:jc w:val="left"/>
              <w:rPr>
                <w:szCs w:val="23"/>
              </w:rPr>
            </w:pPr>
            <w:r w:rsidRPr="004876F1">
              <w:rPr>
                <w:szCs w:val="23"/>
              </w:rPr>
              <w:t>1,984,840</w:t>
            </w:r>
          </w:p>
        </w:tc>
        <w:tc>
          <w:tcPr>
            <w:tcW w:w="1361" w:type="dxa"/>
            <w:tcBorders>
              <w:top w:val="nil"/>
              <w:left w:val="nil"/>
              <w:bottom w:val="single" w:sz="8" w:space="0" w:color="auto"/>
              <w:right w:val="nil"/>
            </w:tcBorders>
            <w:shd w:val="clear" w:color="auto" w:fill="auto"/>
            <w:hideMark/>
          </w:tcPr>
          <w:p w14:paraId="65910F0E" w14:textId="77777777" w:rsidR="00A372C3" w:rsidRPr="004876F1" w:rsidRDefault="00A372C3" w:rsidP="00A372C3">
            <w:pPr>
              <w:spacing w:after="0" w:line="240" w:lineRule="auto"/>
              <w:jc w:val="left"/>
              <w:rPr>
                <w:szCs w:val="23"/>
              </w:rPr>
            </w:pPr>
            <w:r w:rsidRPr="004876F1">
              <w:rPr>
                <w:szCs w:val="23"/>
              </w:rPr>
              <w:t>1,486,210</w:t>
            </w:r>
          </w:p>
        </w:tc>
        <w:tc>
          <w:tcPr>
            <w:tcW w:w="1361" w:type="dxa"/>
            <w:tcBorders>
              <w:top w:val="nil"/>
              <w:left w:val="nil"/>
              <w:bottom w:val="single" w:sz="8" w:space="0" w:color="auto"/>
              <w:right w:val="nil"/>
            </w:tcBorders>
            <w:shd w:val="clear" w:color="auto" w:fill="auto"/>
            <w:hideMark/>
          </w:tcPr>
          <w:p w14:paraId="08FB68DA" w14:textId="77777777" w:rsidR="00A372C3" w:rsidRPr="004876F1" w:rsidRDefault="00A372C3" w:rsidP="00A372C3">
            <w:pPr>
              <w:spacing w:after="0" w:line="240" w:lineRule="auto"/>
              <w:jc w:val="left"/>
              <w:rPr>
                <w:szCs w:val="23"/>
              </w:rPr>
            </w:pPr>
            <w:r w:rsidRPr="004876F1">
              <w:rPr>
                <w:szCs w:val="23"/>
              </w:rPr>
              <w:t>326,862</w:t>
            </w:r>
          </w:p>
        </w:tc>
        <w:tc>
          <w:tcPr>
            <w:tcW w:w="1559" w:type="dxa"/>
            <w:tcBorders>
              <w:top w:val="nil"/>
              <w:left w:val="nil"/>
              <w:bottom w:val="single" w:sz="8" w:space="0" w:color="auto"/>
              <w:right w:val="nil"/>
            </w:tcBorders>
            <w:shd w:val="clear" w:color="auto" w:fill="auto"/>
            <w:hideMark/>
          </w:tcPr>
          <w:p w14:paraId="2FF221BA" w14:textId="77777777" w:rsidR="00A372C3" w:rsidRPr="004876F1" w:rsidRDefault="00A372C3" w:rsidP="00A372C3">
            <w:pPr>
              <w:spacing w:after="0" w:line="240" w:lineRule="auto"/>
              <w:jc w:val="left"/>
              <w:rPr>
                <w:szCs w:val="23"/>
              </w:rPr>
            </w:pPr>
            <w:r w:rsidRPr="004876F1">
              <w:rPr>
                <w:szCs w:val="23"/>
              </w:rPr>
              <w:t>20,000,000</w:t>
            </w:r>
          </w:p>
        </w:tc>
      </w:tr>
      <w:tr w:rsidR="00615CAE" w14:paraId="111F5F71" w14:textId="77777777" w:rsidTr="00283608">
        <w:trPr>
          <w:trHeight w:val="315"/>
        </w:trPr>
        <w:tc>
          <w:tcPr>
            <w:tcW w:w="1008" w:type="dxa"/>
            <w:tcBorders>
              <w:top w:val="nil"/>
              <w:left w:val="nil"/>
              <w:bottom w:val="single" w:sz="8" w:space="0" w:color="auto"/>
              <w:right w:val="nil"/>
            </w:tcBorders>
            <w:shd w:val="clear" w:color="auto" w:fill="auto"/>
            <w:hideMark/>
          </w:tcPr>
          <w:p w14:paraId="09AE9924" w14:textId="77777777" w:rsidR="00A372C3" w:rsidRPr="004876F1" w:rsidRDefault="00A372C3" w:rsidP="00A372C3">
            <w:pPr>
              <w:spacing w:after="0" w:line="240" w:lineRule="auto"/>
              <w:jc w:val="left"/>
              <w:rPr>
                <w:szCs w:val="23"/>
              </w:rPr>
            </w:pPr>
            <w:r w:rsidRPr="004876F1">
              <w:rPr>
                <w:szCs w:val="23"/>
              </w:rPr>
              <w:t>2019-20</w:t>
            </w:r>
          </w:p>
        </w:tc>
        <w:tc>
          <w:tcPr>
            <w:tcW w:w="1360" w:type="dxa"/>
            <w:tcBorders>
              <w:top w:val="nil"/>
              <w:left w:val="nil"/>
              <w:bottom w:val="single" w:sz="8" w:space="0" w:color="auto"/>
              <w:right w:val="nil"/>
            </w:tcBorders>
            <w:shd w:val="clear" w:color="auto" w:fill="auto"/>
            <w:hideMark/>
          </w:tcPr>
          <w:p w14:paraId="0A35AFA8" w14:textId="77777777" w:rsidR="00A372C3" w:rsidRPr="004876F1" w:rsidRDefault="00A372C3" w:rsidP="00A372C3">
            <w:pPr>
              <w:spacing w:after="0" w:line="240" w:lineRule="auto"/>
              <w:jc w:val="left"/>
              <w:rPr>
                <w:szCs w:val="23"/>
              </w:rPr>
            </w:pPr>
            <w:r w:rsidRPr="004876F1">
              <w:rPr>
                <w:szCs w:val="23"/>
              </w:rPr>
              <w:t>9,402,100</w:t>
            </w:r>
          </w:p>
        </w:tc>
        <w:tc>
          <w:tcPr>
            <w:tcW w:w="1361" w:type="dxa"/>
            <w:tcBorders>
              <w:top w:val="nil"/>
              <w:left w:val="nil"/>
              <w:bottom w:val="single" w:sz="8" w:space="0" w:color="auto"/>
              <w:right w:val="nil"/>
            </w:tcBorders>
            <w:shd w:val="clear" w:color="auto" w:fill="auto"/>
            <w:hideMark/>
          </w:tcPr>
          <w:p w14:paraId="48A06EA3" w14:textId="77777777" w:rsidR="00A372C3" w:rsidRPr="004876F1" w:rsidRDefault="00A372C3" w:rsidP="00A372C3">
            <w:pPr>
              <w:spacing w:after="0" w:line="240" w:lineRule="auto"/>
              <w:jc w:val="left"/>
              <w:rPr>
                <w:szCs w:val="23"/>
              </w:rPr>
            </w:pPr>
            <w:r w:rsidRPr="004876F1">
              <w:rPr>
                <w:szCs w:val="23"/>
              </w:rPr>
              <w:t>6,799,989</w:t>
            </w:r>
          </w:p>
        </w:tc>
        <w:tc>
          <w:tcPr>
            <w:tcW w:w="1361" w:type="dxa"/>
            <w:tcBorders>
              <w:top w:val="nil"/>
              <w:left w:val="nil"/>
              <w:bottom w:val="single" w:sz="8" w:space="0" w:color="auto"/>
              <w:right w:val="nil"/>
            </w:tcBorders>
            <w:shd w:val="clear" w:color="auto" w:fill="auto"/>
            <w:hideMark/>
          </w:tcPr>
          <w:p w14:paraId="4DC13C4E" w14:textId="77777777" w:rsidR="00A372C3" w:rsidRPr="004876F1" w:rsidRDefault="00A372C3" w:rsidP="00A372C3">
            <w:pPr>
              <w:spacing w:after="0" w:line="240" w:lineRule="auto"/>
              <w:jc w:val="left"/>
              <w:rPr>
                <w:szCs w:val="23"/>
              </w:rPr>
            </w:pPr>
            <w:r w:rsidRPr="004876F1">
              <w:rPr>
                <w:szCs w:val="23"/>
              </w:rPr>
              <w:t>1,984,840</w:t>
            </w:r>
          </w:p>
        </w:tc>
        <w:tc>
          <w:tcPr>
            <w:tcW w:w="1361" w:type="dxa"/>
            <w:tcBorders>
              <w:top w:val="nil"/>
              <w:left w:val="nil"/>
              <w:bottom w:val="single" w:sz="8" w:space="0" w:color="auto"/>
              <w:right w:val="nil"/>
            </w:tcBorders>
            <w:shd w:val="clear" w:color="auto" w:fill="auto"/>
            <w:hideMark/>
          </w:tcPr>
          <w:p w14:paraId="0933550E" w14:textId="77777777" w:rsidR="00A372C3" w:rsidRPr="004876F1" w:rsidRDefault="00A372C3" w:rsidP="00A372C3">
            <w:pPr>
              <w:spacing w:after="0" w:line="240" w:lineRule="auto"/>
              <w:jc w:val="left"/>
              <w:rPr>
                <w:szCs w:val="23"/>
              </w:rPr>
            </w:pPr>
            <w:r w:rsidRPr="004876F1">
              <w:rPr>
                <w:szCs w:val="23"/>
              </w:rPr>
              <w:t>1,486,209</w:t>
            </w:r>
          </w:p>
        </w:tc>
        <w:tc>
          <w:tcPr>
            <w:tcW w:w="1361" w:type="dxa"/>
            <w:tcBorders>
              <w:top w:val="nil"/>
              <w:left w:val="nil"/>
              <w:bottom w:val="single" w:sz="8" w:space="0" w:color="auto"/>
              <w:right w:val="nil"/>
            </w:tcBorders>
            <w:shd w:val="clear" w:color="auto" w:fill="auto"/>
            <w:hideMark/>
          </w:tcPr>
          <w:p w14:paraId="1152AFF6" w14:textId="77777777" w:rsidR="00A372C3" w:rsidRPr="004876F1" w:rsidRDefault="00A372C3" w:rsidP="00A372C3">
            <w:pPr>
              <w:spacing w:after="0" w:line="240" w:lineRule="auto"/>
              <w:jc w:val="left"/>
              <w:rPr>
                <w:szCs w:val="23"/>
              </w:rPr>
            </w:pPr>
            <w:r w:rsidRPr="004876F1">
              <w:rPr>
                <w:szCs w:val="23"/>
              </w:rPr>
              <w:t>326,862</w:t>
            </w:r>
          </w:p>
        </w:tc>
        <w:tc>
          <w:tcPr>
            <w:tcW w:w="1559" w:type="dxa"/>
            <w:tcBorders>
              <w:top w:val="nil"/>
              <w:left w:val="nil"/>
              <w:bottom w:val="single" w:sz="8" w:space="0" w:color="auto"/>
              <w:right w:val="nil"/>
            </w:tcBorders>
            <w:shd w:val="clear" w:color="auto" w:fill="auto"/>
            <w:hideMark/>
          </w:tcPr>
          <w:p w14:paraId="2C353AD9" w14:textId="77777777" w:rsidR="00A372C3" w:rsidRPr="004876F1" w:rsidRDefault="00A372C3" w:rsidP="00A372C3">
            <w:pPr>
              <w:spacing w:after="0" w:line="240" w:lineRule="auto"/>
              <w:jc w:val="left"/>
              <w:rPr>
                <w:szCs w:val="23"/>
              </w:rPr>
            </w:pPr>
            <w:r w:rsidRPr="004876F1">
              <w:rPr>
                <w:szCs w:val="23"/>
              </w:rPr>
              <w:t>20,000,000</w:t>
            </w:r>
          </w:p>
        </w:tc>
      </w:tr>
      <w:tr w:rsidR="00615CAE" w14:paraId="1E9D8E14" w14:textId="77777777" w:rsidTr="00283608">
        <w:trPr>
          <w:trHeight w:val="315"/>
        </w:trPr>
        <w:tc>
          <w:tcPr>
            <w:tcW w:w="1008" w:type="dxa"/>
            <w:tcBorders>
              <w:top w:val="nil"/>
              <w:left w:val="nil"/>
              <w:bottom w:val="single" w:sz="8" w:space="0" w:color="auto"/>
              <w:right w:val="nil"/>
            </w:tcBorders>
            <w:shd w:val="clear" w:color="auto" w:fill="auto"/>
            <w:hideMark/>
          </w:tcPr>
          <w:p w14:paraId="7B9D25E6" w14:textId="77777777" w:rsidR="00A372C3" w:rsidRPr="004876F1" w:rsidRDefault="00A372C3" w:rsidP="00A372C3">
            <w:pPr>
              <w:spacing w:after="0" w:line="240" w:lineRule="auto"/>
              <w:jc w:val="left"/>
              <w:rPr>
                <w:b/>
                <w:bCs/>
                <w:szCs w:val="23"/>
              </w:rPr>
            </w:pPr>
            <w:r w:rsidRPr="004876F1">
              <w:rPr>
                <w:b/>
                <w:bCs/>
                <w:szCs w:val="23"/>
              </w:rPr>
              <w:t>Total</w:t>
            </w:r>
          </w:p>
        </w:tc>
        <w:tc>
          <w:tcPr>
            <w:tcW w:w="1360" w:type="dxa"/>
            <w:tcBorders>
              <w:top w:val="nil"/>
              <w:left w:val="nil"/>
              <w:bottom w:val="single" w:sz="8" w:space="0" w:color="auto"/>
              <w:right w:val="nil"/>
            </w:tcBorders>
            <w:shd w:val="clear" w:color="auto" w:fill="auto"/>
            <w:hideMark/>
          </w:tcPr>
          <w:p w14:paraId="56C3DD11" w14:textId="77777777" w:rsidR="00A372C3" w:rsidRPr="004876F1" w:rsidRDefault="00A372C3" w:rsidP="00A372C3">
            <w:pPr>
              <w:spacing w:after="0" w:line="240" w:lineRule="auto"/>
              <w:jc w:val="left"/>
              <w:rPr>
                <w:b/>
                <w:bCs/>
                <w:szCs w:val="23"/>
              </w:rPr>
            </w:pPr>
            <w:r w:rsidRPr="004876F1">
              <w:rPr>
                <w:b/>
                <w:bCs/>
                <w:szCs w:val="23"/>
              </w:rPr>
              <w:t>82,986,950</w:t>
            </w:r>
          </w:p>
        </w:tc>
        <w:tc>
          <w:tcPr>
            <w:tcW w:w="1361" w:type="dxa"/>
            <w:tcBorders>
              <w:top w:val="nil"/>
              <w:left w:val="nil"/>
              <w:bottom w:val="single" w:sz="8" w:space="0" w:color="auto"/>
              <w:right w:val="nil"/>
            </w:tcBorders>
            <w:shd w:val="clear" w:color="auto" w:fill="auto"/>
            <w:hideMark/>
          </w:tcPr>
          <w:p w14:paraId="3304C066" w14:textId="77777777" w:rsidR="00A372C3" w:rsidRPr="004876F1" w:rsidRDefault="00A372C3" w:rsidP="00A372C3">
            <w:pPr>
              <w:spacing w:after="0" w:line="240" w:lineRule="auto"/>
              <w:jc w:val="left"/>
              <w:rPr>
                <w:b/>
                <w:bCs/>
                <w:szCs w:val="23"/>
              </w:rPr>
            </w:pPr>
            <w:r w:rsidRPr="004876F1">
              <w:rPr>
                <w:b/>
                <w:bCs/>
                <w:szCs w:val="23"/>
              </w:rPr>
              <w:t>61,737,190</w:t>
            </w:r>
          </w:p>
        </w:tc>
        <w:tc>
          <w:tcPr>
            <w:tcW w:w="1361" w:type="dxa"/>
            <w:tcBorders>
              <w:top w:val="nil"/>
              <w:left w:val="nil"/>
              <w:bottom w:val="single" w:sz="8" w:space="0" w:color="auto"/>
              <w:right w:val="nil"/>
            </w:tcBorders>
            <w:shd w:val="clear" w:color="auto" w:fill="auto"/>
            <w:hideMark/>
          </w:tcPr>
          <w:p w14:paraId="5855E01F" w14:textId="77777777" w:rsidR="00A372C3" w:rsidRPr="004876F1" w:rsidRDefault="00A372C3" w:rsidP="00A372C3">
            <w:pPr>
              <w:spacing w:after="0" w:line="240" w:lineRule="auto"/>
              <w:jc w:val="left"/>
              <w:rPr>
                <w:b/>
                <w:bCs/>
                <w:szCs w:val="23"/>
              </w:rPr>
            </w:pPr>
            <w:r w:rsidRPr="004876F1">
              <w:rPr>
                <w:b/>
                <w:bCs/>
                <w:szCs w:val="23"/>
              </w:rPr>
              <w:t>13,844,260</w:t>
            </w:r>
          </w:p>
        </w:tc>
        <w:tc>
          <w:tcPr>
            <w:tcW w:w="1361" w:type="dxa"/>
            <w:tcBorders>
              <w:top w:val="nil"/>
              <w:left w:val="nil"/>
              <w:bottom w:val="single" w:sz="8" w:space="0" w:color="auto"/>
              <w:right w:val="nil"/>
            </w:tcBorders>
            <w:shd w:val="clear" w:color="auto" w:fill="auto"/>
            <w:hideMark/>
          </w:tcPr>
          <w:p w14:paraId="7183E1A5" w14:textId="77777777" w:rsidR="00A372C3" w:rsidRPr="004876F1" w:rsidRDefault="00A372C3" w:rsidP="00A372C3">
            <w:pPr>
              <w:spacing w:after="0" w:line="240" w:lineRule="auto"/>
              <w:jc w:val="left"/>
              <w:rPr>
                <w:b/>
                <w:bCs/>
                <w:szCs w:val="23"/>
              </w:rPr>
            </w:pPr>
            <w:r w:rsidRPr="004876F1">
              <w:rPr>
                <w:b/>
                <w:bCs/>
                <w:szCs w:val="23"/>
              </w:rPr>
              <w:t>13,151,737</w:t>
            </w:r>
          </w:p>
        </w:tc>
        <w:tc>
          <w:tcPr>
            <w:tcW w:w="1361" w:type="dxa"/>
            <w:tcBorders>
              <w:top w:val="nil"/>
              <w:left w:val="nil"/>
              <w:bottom w:val="single" w:sz="8" w:space="0" w:color="auto"/>
              <w:right w:val="nil"/>
            </w:tcBorders>
            <w:shd w:val="clear" w:color="auto" w:fill="auto"/>
            <w:hideMark/>
          </w:tcPr>
          <w:p w14:paraId="6B7475B8" w14:textId="77777777" w:rsidR="00A372C3" w:rsidRPr="004876F1" w:rsidRDefault="00A372C3" w:rsidP="00A372C3">
            <w:pPr>
              <w:spacing w:after="0" w:line="240" w:lineRule="auto"/>
              <w:jc w:val="left"/>
              <w:rPr>
                <w:b/>
                <w:bCs/>
                <w:szCs w:val="23"/>
              </w:rPr>
            </w:pPr>
            <w:r w:rsidRPr="004876F1">
              <w:rPr>
                <w:b/>
                <w:bCs/>
                <w:szCs w:val="23"/>
              </w:rPr>
              <w:t>2,279,863</w:t>
            </w:r>
          </w:p>
        </w:tc>
        <w:tc>
          <w:tcPr>
            <w:tcW w:w="1559" w:type="dxa"/>
            <w:tcBorders>
              <w:top w:val="nil"/>
              <w:left w:val="nil"/>
              <w:bottom w:val="single" w:sz="8" w:space="0" w:color="auto"/>
              <w:right w:val="nil"/>
            </w:tcBorders>
            <w:shd w:val="clear" w:color="auto" w:fill="auto"/>
            <w:hideMark/>
          </w:tcPr>
          <w:p w14:paraId="6DD4FA91" w14:textId="77777777" w:rsidR="00A372C3" w:rsidRPr="004876F1" w:rsidRDefault="00A372C3" w:rsidP="00A372C3">
            <w:pPr>
              <w:spacing w:after="0" w:line="240" w:lineRule="auto"/>
              <w:jc w:val="left"/>
              <w:rPr>
                <w:szCs w:val="23"/>
              </w:rPr>
            </w:pPr>
            <w:r w:rsidRPr="004876F1">
              <w:rPr>
                <w:szCs w:val="23"/>
              </w:rPr>
              <w:t>174,000,000</w:t>
            </w:r>
          </w:p>
        </w:tc>
      </w:tr>
    </w:tbl>
    <w:p w14:paraId="1D60636B" w14:textId="77777777" w:rsidR="00D26DD9" w:rsidRPr="003B4D3C" w:rsidRDefault="00A372C3" w:rsidP="00191D00">
      <w:pPr>
        <w:pStyle w:val="Normalnumbered"/>
        <w:tabs>
          <w:tab w:val="clear" w:pos="283"/>
          <w:tab w:val="clear" w:pos="567"/>
          <w:tab w:val="clear" w:pos="1134"/>
          <w:tab w:val="left" w:pos="142"/>
        </w:tabs>
        <w:spacing w:before="120" w:after="120"/>
        <w:ind w:left="142" w:firstLine="0"/>
        <w:jc w:val="left"/>
        <w:rPr>
          <w:color w:val="auto"/>
        </w:rPr>
      </w:pPr>
      <w:r w:rsidRPr="003B4D3C">
        <w:rPr>
          <w:color w:val="auto"/>
          <w:vertAlign w:val="superscript"/>
        </w:rPr>
        <w:t xml:space="preserve">1 </w:t>
      </w:r>
      <w:r w:rsidR="00D26DD9" w:rsidRPr="00191D00">
        <w:rPr>
          <w:color w:val="auto"/>
          <w:sz w:val="22"/>
          <w:szCs w:val="22"/>
        </w:rPr>
        <w:t>Victoria, South Australia and the ACT received their 2012-13 payment</w:t>
      </w:r>
      <w:r w:rsidR="008C102E" w:rsidRPr="00191D00">
        <w:rPr>
          <w:color w:val="auto"/>
          <w:sz w:val="22"/>
          <w:szCs w:val="22"/>
        </w:rPr>
        <w:t xml:space="preserve"> under the now superseded National Partnership Agreement (see clause 7)</w:t>
      </w:r>
      <w:r w:rsidR="00D26DD9" w:rsidRPr="00191D00">
        <w:rPr>
          <w:color w:val="auto"/>
          <w:sz w:val="22"/>
          <w:szCs w:val="22"/>
        </w:rPr>
        <w:t>.</w:t>
      </w:r>
      <w:r w:rsidR="00D26DD9" w:rsidRPr="003B4D3C">
        <w:rPr>
          <w:color w:val="auto"/>
        </w:rPr>
        <w:t xml:space="preserve"> </w:t>
      </w:r>
    </w:p>
    <w:p w14:paraId="15D2C4A8" w14:textId="77777777" w:rsidR="00A372C3" w:rsidRPr="00D37E64" w:rsidRDefault="00D26DD9" w:rsidP="00191D00">
      <w:pPr>
        <w:pStyle w:val="Normalnumbered"/>
        <w:tabs>
          <w:tab w:val="clear" w:pos="283"/>
          <w:tab w:val="clear" w:pos="567"/>
          <w:tab w:val="clear" w:pos="1134"/>
          <w:tab w:val="left" w:pos="142"/>
        </w:tabs>
        <w:spacing w:after="120"/>
        <w:ind w:left="142" w:right="-143" w:firstLine="0"/>
        <w:jc w:val="left"/>
        <w:rPr>
          <w:color w:val="auto"/>
        </w:rPr>
      </w:pPr>
      <w:r>
        <w:rPr>
          <w:color w:val="auto"/>
          <w:vertAlign w:val="superscript"/>
        </w:rPr>
        <w:t>2</w:t>
      </w:r>
      <w:r w:rsidR="00D37E64">
        <w:rPr>
          <w:color w:val="auto"/>
          <w:vertAlign w:val="superscript"/>
        </w:rPr>
        <w:t xml:space="preserve"> </w:t>
      </w:r>
      <w:r w:rsidR="00A372C3" w:rsidRPr="00191D00">
        <w:rPr>
          <w:color w:val="auto"/>
          <w:sz w:val="22"/>
          <w:szCs w:val="22"/>
        </w:rPr>
        <w:t>Payment in recognition of40% of the supply measure project funding component for 2013-14 for which feasibility and business cases are being prepared for consideration under the SDL adjustment mechanism.</w:t>
      </w:r>
    </w:p>
    <w:p w14:paraId="51CF3121" w14:textId="77777777" w:rsidR="00A372C3" w:rsidRPr="00D37E64" w:rsidRDefault="00D26DD9" w:rsidP="00D37E64">
      <w:pPr>
        <w:pStyle w:val="Normalnumbered"/>
        <w:tabs>
          <w:tab w:val="clear" w:pos="283"/>
          <w:tab w:val="clear" w:pos="567"/>
          <w:tab w:val="clear" w:pos="1134"/>
          <w:tab w:val="left" w:pos="142"/>
        </w:tabs>
        <w:ind w:left="142" w:firstLine="0"/>
        <w:jc w:val="left"/>
        <w:rPr>
          <w:color w:val="auto"/>
        </w:rPr>
      </w:pPr>
      <w:r w:rsidRPr="003B4D3C">
        <w:rPr>
          <w:color w:val="auto"/>
          <w:vertAlign w:val="superscript"/>
        </w:rPr>
        <w:t>3</w:t>
      </w:r>
      <w:r w:rsidR="00D37E64">
        <w:rPr>
          <w:color w:val="auto"/>
          <w:vertAlign w:val="superscript"/>
        </w:rPr>
        <w:t xml:space="preserve"> </w:t>
      </w:r>
      <w:r w:rsidR="00A372C3" w:rsidRPr="00191D00">
        <w:rPr>
          <w:color w:val="auto"/>
          <w:sz w:val="22"/>
          <w:szCs w:val="22"/>
        </w:rPr>
        <w:t>Payment in recognition of Basin State implementation payment component of 2013-14 financial contribution and the remaining 60% of the business case development funding for 2013-14.</w:t>
      </w:r>
      <w:r w:rsidR="00A372C3" w:rsidRPr="00D37E64">
        <w:rPr>
          <w:color w:val="auto"/>
        </w:rPr>
        <w:t xml:space="preserve"> </w:t>
      </w:r>
    </w:p>
    <w:p w14:paraId="149C9F80" w14:textId="77777777" w:rsidR="00A372C3" w:rsidRDefault="00A372C3" w:rsidP="00A372C3">
      <w:pPr>
        <w:pStyle w:val="Normalnumbered"/>
        <w:numPr>
          <w:ilvl w:val="0"/>
          <w:numId w:val="10"/>
        </w:numPr>
        <w:tabs>
          <w:tab w:val="clear" w:pos="1134"/>
        </w:tabs>
        <w:jc w:val="left"/>
      </w:pPr>
      <w:r w:rsidRPr="00592BBF">
        <w:t xml:space="preserve">The Commonwealth’s funding contribution will not be reduced where the </w:t>
      </w:r>
      <w:r>
        <w:t xml:space="preserve">Basin </w:t>
      </w:r>
      <w:r w:rsidRPr="00592BBF">
        <w:t>States secure funding from other activity partners through innovative and collaborative partnerships.</w:t>
      </w:r>
    </w:p>
    <w:p w14:paraId="579FA32D" w14:textId="77777777" w:rsidR="00A372C3" w:rsidRPr="007939DD" w:rsidRDefault="00A372C3" w:rsidP="00A372C3">
      <w:pPr>
        <w:pStyle w:val="Normalnumbered"/>
        <w:numPr>
          <w:ilvl w:val="0"/>
          <w:numId w:val="10"/>
        </w:numPr>
        <w:tabs>
          <w:tab w:val="clear" w:pos="1134"/>
        </w:tabs>
        <w:jc w:val="left"/>
      </w:pPr>
      <w:r w:rsidRPr="007939DD">
        <w:rPr>
          <w:iCs/>
        </w:rPr>
        <w:t>Basin States that sign this Agreement after 7 June 2013 but before 30 June 2013 are not guaranteed to receive the 2012-13 payment in 2012-13.</w:t>
      </w:r>
      <w:r w:rsidRPr="007939DD">
        <w:rPr>
          <w:i/>
          <w:iCs/>
        </w:rPr>
        <w:t xml:space="preserve"> </w:t>
      </w:r>
      <w:r w:rsidRPr="007939DD">
        <w:t xml:space="preserve">Any Basin State that does not sign this Agreement by 30 June 2013 will not be eligible for its 2012-13 payment. </w:t>
      </w:r>
    </w:p>
    <w:p w14:paraId="2243DF99" w14:textId="77777777" w:rsidR="00A372C3" w:rsidRPr="006848C8" w:rsidRDefault="00A372C3" w:rsidP="00A372C3">
      <w:pPr>
        <w:pStyle w:val="Normalnumbered"/>
        <w:numPr>
          <w:ilvl w:val="0"/>
          <w:numId w:val="10"/>
        </w:numPr>
        <w:tabs>
          <w:tab w:val="clear" w:pos="1134"/>
        </w:tabs>
        <w:jc w:val="left"/>
      </w:pPr>
      <w:r w:rsidRPr="006848C8">
        <w:t>If a Basin State has not signed this Agreement and completed all milestone reporting requirements required for that reporting year as outlined in Part 4 of this Agreement, the Basin State will not be eligible to receive payment for the previous financial year.</w:t>
      </w:r>
    </w:p>
    <w:p w14:paraId="20E5B9CA" w14:textId="77777777" w:rsidR="00A372C3" w:rsidRPr="00A6541F" w:rsidRDefault="00A372C3" w:rsidP="00A372C3">
      <w:pPr>
        <w:pStyle w:val="Heading2"/>
      </w:pPr>
      <w:r w:rsidRPr="00A6541F">
        <w:t>Project management risk</w:t>
      </w:r>
    </w:p>
    <w:p w14:paraId="28153F9E" w14:textId="77777777" w:rsidR="00A372C3" w:rsidRPr="00A6541F" w:rsidRDefault="00A372C3" w:rsidP="00A372C3">
      <w:pPr>
        <w:pStyle w:val="Normalnumbered"/>
        <w:numPr>
          <w:ilvl w:val="0"/>
          <w:numId w:val="10"/>
        </w:numPr>
        <w:tabs>
          <w:tab w:val="clear" w:pos="1134"/>
        </w:tabs>
        <w:jc w:val="left"/>
      </w:pPr>
      <w:r w:rsidRPr="00A6541F">
        <w:t xml:space="preserve">Having regard to the </w:t>
      </w:r>
      <w:r>
        <w:t>funding provided under this Agreement</w:t>
      </w:r>
      <w:r w:rsidRPr="00A6541F">
        <w:t xml:space="preserve">, a Basin State will not be required to pay a refund to the Commonwealth if the actual costs </w:t>
      </w:r>
      <w:r>
        <w:t xml:space="preserve">of achieving the outputs of this Agreement </w:t>
      </w:r>
      <w:r w:rsidRPr="00A6541F">
        <w:t xml:space="preserve">are less than the </w:t>
      </w:r>
      <w:r>
        <w:t>funding provided under this Agreement</w:t>
      </w:r>
      <w:r w:rsidRPr="00A6541F">
        <w:t xml:space="preserve">. Similarly, the Basin States bear all risk should </w:t>
      </w:r>
      <w:r>
        <w:t xml:space="preserve">the cost of </w:t>
      </w:r>
      <w:r w:rsidRPr="00A6541F">
        <w:t xml:space="preserve">implementation exceed the </w:t>
      </w:r>
      <w:r>
        <w:t>funding provided under this Agreement</w:t>
      </w:r>
      <w:r w:rsidRPr="00A6541F">
        <w:t>. The Parties acknowledge that this arrangement provides the maximum incentive for the Basin States to deliver the outputs of this Agreement cost effectively and efficiently.</w:t>
      </w:r>
    </w:p>
    <w:p w14:paraId="523663F1" w14:textId="77777777" w:rsidR="00A372C3" w:rsidRPr="00592BBF" w:rsidRDefault="00A372C3" w:rsidP="00A372C3">
      <w:pPr>
        <w:pStyle w:val="Heading1"/>
        <w:spacing w:before="180"/>
      </w:pPr>
      <w:r w:rsidRPr="00592BBF">
        <w:t>Part 6 — governance arrangements</w:t>
      </w:r>
    </w:p>
    <w:p w14:paraId="0BA502B3" w14:textId="77777777" w:rsidR="00A372C3" w:rsidRPr="00592BBF" w:rsidRDefault="00A372C3" w:rsidP="00A372C3">
      <w:pPr>
        <w:pStyle w:val="Heading2"/>
      </w:pPr>
      <w:r w:rsidRPr="00592BBF">
        <w:t>Enforceability of the Agreement</w:t>
      </w:r>
    </w:p>
    <w:p w14:paraId="546540F4" w14:textId="77777777" w:rsidR="00A372C3" w:rsidRPr="00592BBF" w:rsidRDefault="00A372C3" w:rsidP="00A372C3">
      <w:pPr>
        <w:pStyle w:val="Normalnumbered"/>
        <w:numPr>
          <w:ilvl w:val="0"/>
          <w:numId w:val="10"/>
        </w:numPr>
        <w:tabs>
          <w:tab w:val="clear" w:pos="1134"/>
        </w:tabs>
        <w:spacing w:line="240" w:lineRule="auto"/>
        <w:jc w:val="left"/>
      </w:pPr>
      <w:r w:rsidRPr="00592BBF">
        <w:rPr>
          <w:szCs w:val="23"/>
        </w:rPr>
        <w:t>The Parties do not intend any of the provisions of this Agreement to be legally enforceable. However, that does not lessen the Parties’ commitment to this Agreement.</w:t>
      </w:r>
    </w:p>
    <w:p w14:paraId="4B79A5C2" w14:textId="77777777" w:rsidR="00A372C3" w:rsidRPr="00592BBF" w:rsidRDefault="00A372C3" w:rsidP="00A372C3">
      <w:pPr>
        <w:pStyle w:val="Heading2"/>
      </w:pPr>
      <w:r w:rsidRPr="00592BBF">
        <w:t>Review of the Agreement</w:t>
      </w:r>
    </w:p>
    <w:p w14:paraId="14D8EA82" w14:textId="77777777" w:rsidR="00A372C3" w:rsidRPr="00592BBF" w:rsidRDefault="00A372C3" w:rsidP="00A372C3">
      <w:pPr>
        <w:pStyle w:val="Normalnumbered"/>
        <w:numPr>
          <w:ilvl w:val="0"/>
          <w:numId w:val="10"/>
        </w:numPr>
        <w:tabs>
          <w:tab w:val="clear" w:pos="1134"/>
        </w:tabs>
        <w:jc w:val="left"/>
      </w:pPr>
      <w:r w:rsidRPr="00592BBF">
        <w:t xml:space="preserve">The Agreement will be reviewed with regard to progress made by the Parties in respect of achieving the agreed outcomes, </w:t>
      </w:r>
      <w:r>
        <w:t>at July 2016 and 12 months before the end of the agreement in 2020.</w:t>
      </w:r>
    </w:p>
    <w:p w14:paraId="60A92756" w14:textId="77777777" w:rsidR="00A372C3" w:rsidRPr="00592BBF" w:rsidRDefault="00A372C3" w:rsidP="00A372C3">
      <w:pPr>
        <w:pStyle w:val="Heading2"/>
      </w:pPr>
      <w:r w:rsidRPr="00592BBF">
        <w:t>Variation of the Agreement</w:t>
      </w:r>
    </w:p>
    <w:p w14:paraId="5456EB3A" w14:textId="77777777" w:rsidR="00A372C3" w:rsidRPr="00592BBF" w:rsidRDefault="00A372C3" w:rsidP="00A372C3">
      <w:pPr>
        <w:pStyle w:val="Normalnumbered"/>
        <w:numPr>
          <w:ilvl w:val="0"/>
          <w:numId w:val="10"/>
        </w:numPr>
        <w:tabs>
          <w:tab w:val="clear" w:pos="1134"/>
        </w:tabs>
        <w:jc w:val="left"/>
      </w:pPr>
      <w:r w:rsidRPr="00592BBF">
        <w:t>The Agreement may be amended at any time by agreement in writing by all the Parties.</w:t>
      </w:r>
    </w:p>
    <w:p w14:paraId="258AF9DF" w14:textId="77777777" w:rsidR="00A372C3" w:rsidRPr="00592BBF" w:rsidRDefault="00A372C3" w:rsidP="00A372C3">
      <w:pPr>
        <w:pStyle w:val="Normalnumbered"/>
        <w:numPr>
          <w:ilvl w:val="0"/>
          <w:numId w:val="10"/>
        </w:numPr>
        <w:tabs>
          <w:tab w:val="clear" w:pos="1134"/>
        </w:tabs>
        <w:jc w:val="left"/>
      </w:pPr>
      <w:r w:rsidRPr="00592BBF">
        <w:t>A Party to the Agreement may terminate their participation in the Agreement at any time by notifying all the other Parties in writing.</w:t>
      </w:r>
    </w:p>
    <w:p w14:paraId="5FA0A5C5" w14:textId="77777777" w:rsidR="00A372C3" w:rsidRPr="00592BBF" w:rsidRDefault="00A372C3" w:rsidP="00A372C3">
      <w:pPr>
        <w:pStyle w:val="Heading2"/>
      </w:pPr>
      <w:r w:rsidRPr="00592BBF">
        <w:t>Delegations</w:t>
      </w:r>
    </w:p>
    <w:p w14:paraId="31045487" w14:textId="5A3E7001" w:rsidR="00A372C3" w:rsidRPr="00592BBF" w:rsidRDefault="00A372C3" w:rsidP="00A372C3">
      <w:pPr>
        <w:pStyle w:val="Normalnumbered"/>
        <w:numPr>
          <w:ilvl w:val="0"/>
          <w:numId w:val="10"/>
        </w:numPr>
        <w:tabs>
          <w:tab w:val="clear" w:pos="1134"/>
        </w:tabs>
        <w:jc w:val="left"/>
      </w:pPr>
      <w:r w:rsidRPr="00592BBF">
        <w:t xml:space="preserve">The Commonwealth Minister is authorised to agree and amend Schedules to this Agreement and to certify that performance benchmarks specified under this Agreement have been achieved, so that payments may be made. </w:t>
      </w:r>
    </w:p>
    <w:p w14:paraId="0E2B9058" w14:textId="77777777" w:rsidR="00A372C3" w:rsidRPr="00592BBF" w:rsidRDefault="00A372C3" w:rsidP="00A372C3">
      <w:pPr>
        <w:pStyle w:val="Normalnumbered"/>
        <w:numPr>
          <w:ilvl w:val="0"/>
          <w:numId w:val="10"/>
        </w:numPr>
        <w:tabs>
          <w:tab w:val="clear" w:pos="1134"/>
        </w:tabs>
        <w:jc w:val="left"/>
      </w:pPr>
      <w:r w:rsidRPr="00592BBF">
        <w:t xml:space="preserve">Respective State and Territory Ministers with portfolio responsibility for </w:t>
      </w:r>
      <w:r>
        <w:t>w</w:t>
      </w:r>
      <w:r w:rsidRPr="00592BBF">
        <w:t>ater</w:t>
      </w:r>
      <w:r>
        <w:t>, or their delegates,</w:t>
      </w:r>
      <w:r w:rsidRPr="00592BBF">
        <w:t xml:space="preserve"> are authorised to agree and amend Schedules</w:t>
      </w:r>
      <w:r>
        <w:t xml:space="preserve"> </w:t>
      </w:r>
      <w:r w:rsidRPr="00592BBF">
        <w:t xml:space="preserve">to this Agreement. </w:t>
      </w:r>
    </w:p>
    <w:p w14:paraId="384D3684" w14:textId="77777777" w:rsidR="00A372C3" w:rsidRPr="00592BBF" w:rsidRDefault="00A372C3" w:rsidP="00A372C3">
      <w:pPr>
        <w:pStyle w:val="Heading2"/>
      </w:pPr>
      <w:r w:rsidRPr="00592BBF">
        <w:t>Dispute resolution</w:t>
      </w:r>
    </w:p>
    <w:p w14:paraId="053148CA" w14:textId="77777777" w:rsidR="00A372C3" w:rsidRPr="00592BBF" w:rsidRDefault="00A372C3" w:rsidP="00A372C3">
      <w:pPr>
        <w:pStyle w:val="Normalnumbered"/>
        <w:numPr>
          <w:ilvl w:val="0"/>
          <w:numId w:val="10"/>
        </w:numPr>
        <w:tabs>
          <w:tab w:val="clear" w:pos="1134"/>
        </w:tabs>
        <w:jc w:val="left"/>
      </w:pPr>
      <w:r w:rsidRPr="00592BBF">
        <w:t>Any Party may give notice to other Parties of a dispute under this Agreement.</w:t>
      </w:r>
    </w:p>
    <w:p w14:paraId="4EC210E6" w14:textId="77777777" w:rsidR="00A372C3" w:rsidRPr="00592BBF" w:rsidRDefault="00A372C3" w:rsidP="00A372C3">
      <w:pPr>
        <w:pStyle w:val="Normalnumbered"/>
        <w:numPr>
          <w:ilvl w:val="0"/>
          <w:numId w:val="10"/>
        </w:numPr>
        <w:tabs>
          <w:tab w:val="clear" w:pos="1134"/>
        </w:tabs>
        <w:jc w:val="left"/>
      </w:pPr>
      <w:r w:rsidRPr="00592BBF">
        <w:t>Officials of relevant Parties will attempt to resolve any dispute in the first instance.</w:t>
      </w:r>
    </w:p>
    <w:p w14:paraId="060F2525" w14:textId="77777777" w:rsidR="00A372C3" w:rsidRPr="00592BBF" w:rsidRDefault="00A372C3" w:rsidP="00A372C3">
      <w:pPr>
        <w:pStyle w:val="Normalnumbered"/>
        <w:numPr>
          <w:ilvl w:val="0"/>
          <w:numId w:val="10"/>
        </w:numPr>
        <w:tabs>
          <w:tab w:val="clear" w:pos="1134"/>
        </w:tabs>
        <w:jc w:val="left"/>
      </w:pPr>
      <w:r w:rsidRPr="00592BBF">
        <w:t>If a dispute cannot be resolved by officials, it may be escalated to the relevant Ministers from the jurisdictions concerned, and if necessary, the Murray-Darling Basin Ministerial Council.</w:t>
      </w:r>
    </w:p>
    <w:p w14:paraId="0E10AAE6" w14:textId="77777777" w:rsidR="00A372C3" w:rsidRPr="00592BBF" w:rsidRDefault="00A372C3" w:rsidP="00A372C3">
      <w:pPr>
        <w:pStyle w:val="Normalnumbered"/>
        <w:numPr>
          <w:ilvl w:val="0"/>
          <w:numId w:val="10"/>
        </w:numPr>
        <w:tabs>
          <w:tab w:val="clear" w:pos="1134"/>
        </w:tabs>
        <w:jc w:val="left"/>
      </w:pPr>
      <w:r w:rsidRPr="00592BBF">
        <w:t>If a dispute cannot be resolved by the relevant Ministers, it may be referred by a Party to COAG for consideration.</w:t>
      </w:r>
    </w:p>
    <w:p w14:paraId="307904B6" w14:textId="77777777" w:rsidR="00A372C3" w:rsidRPr="00592BBF" w:rsidRDefault="00A372C3" w:rsidP="00A372C3">
      <w:pPr>
        <w:pStyle w:val="Normalnumbered"/>
        <w:tabs>
          <w:tab w:val="clear" w:pos="283"/>
          <w:tab w:val="clear" w:pos="567"/>
          <w:tab w:val="clear" w:pos="1134"/>
        </w:tabs>
        <w:ind w:firstLine="0"/>
        <w:jc w:val="left"/>
      </w:pPr>
    </w:p>
    <w:p w14:paraId="2DB674B6" w14:textId="77777777" w:rsidR="00A372C3" w:rsidRPr="00592BBF" w:rsidRDefault="00A372C3" w:rsidP="00A372C3">
      <w:pPr>
        <w:pStyle w:val="AlphaParagraph"/>
        <w:numPr>
          <w:ilvl w:val="0"/>
          <w:numId w:val="0"/>
        </w:numPr>
      </w:pPr>
      <w:r w:rsidRPr="00592BBF">
        <w:br w:type="page"/>
      </w:r>
      <w:r w:rsidRPr="00592BBF">
        <w:rPr>
          <w:lang w:val="en-GB"/>
        </w:rPr>
        <w:t xml:space="preserve">The </w:t>
      </w:r>
      <w:r w:rsidRPr="00592BBF">
        <w:rPr>
          <w:sz w:val="24"/>
          <w:szCs w:val="24"/>
        </w:rPr>
        <w:t>Parties</w:t>
      </w:r>
      <w:r w:rsidRPr="00592BBF">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615CAE" w14:paraId="268F37D0" w14:textId="77777777" w:rsidTr="00A372C3">
        <w:trPr>
          <w:cantSplit/>
          <w:jc w:val="center"/>
        </w:trPr>
        <w:tc>
          <w:tcPr>
            <w:tcW w:w="4536" w:type="dxa"/>
          </w:tcPr>
          <w:p w14:paraId="4BA8459B" w14:textId="77777777" w:rsidR="00A372C3" w:rsidRPr="00592BBF" w:rsidRDefault="00A372C3" w:rsidP="00A372C3">
            <w:pPr>
              <w:pStyle w:val="Signed"/>
            </w:pPr>
            <w:r w:rsidRPr="00592BBF">
              <w:rPr>
                <w:rStyle w:val="SignedBold"/>
              </w:rPr>
              <w:t>Signed</w:t>
            </w:r>
            <w:r w:rsidRPr="00592BBF">
              <w:t xml:space="preserve"> for and on behalf of the Commonwealth of Australia by</w:t>
            </w:r>
          </w:p>
          <w:p w14:paraId="11831CD5" w14:textId="77777777" w:rsidR="00A372C3" w:rsidRPr="00592BBF" w:rsidRDefault="00A372C3" w:rsidP="00A372C3">
            <w:pPr>
              <w:pStyle w:val="LineForSignature"/>
            </w:pPr>
            <w:r w:rsidRPr="00592BBF">
              <w:tab/>
            </w:r>
          </w:p>
          <w:p w14:paraId="6DF5E2D4" w14:textId="77777777" w:rsidR="00A372C3" w:rsidRPr="00592BBF" w:rsidRDefault="00A372C3" w:rsidP="00A372C3">
            <w:pPr>
              <w:pStyle w:val="SingleParagraph"/>
              <w:rPr>
                <w:rStyle w:val="Bold"/>
              </w:rPr>
            </w:pPr>
            <w:r>
              <w:rPr>
                <w:rStyle w:val="Bold"/>
              </w:rPr>
              <w:t>The Honourable Tony Abbott</w:t>
            </w:r>
            <w:r w:rsidRPr="00592BBF">
              <w:rPr>
                <w:rStyle w:val="Bold"/>
              </w:rPr>
              <w:t xml:space="preserve"> MP</w:t>
            </w:r>
          </w:p>
          <w:p w14:paraId="0D0BDBD9" w14:textId="77777777" w:rsidR="00A372C3" w:rsidRPr="00592BBF" w:rsidRDefault="00A372C3" w:rsidP="00A372C3">
            <w:pPr>
              <w:pStyle w:val="Position"/>
              <w:rPr>
                <w:lang w:val="en-GB"/>
              </w:rPr>
            </w:pPr>
            <w:r w:rsidRPr="00592BBF">
              <w:rPr>
                <w:lang w:val="en-GB"/>
              </w:rPr>
              <w:t>Prime Minister of the Commonwealth of Australia</w:t>
            </w:r>
          </w:p>
          <w:p w14:paraId="1AFDDED6" w14:textId="77777777" w:rsidR="00A372C3" w:rsidRPr="00592BBF" w:rsidRDefault="00A372C3" w:rsidP="00A372C3">
            <w:pPr>
              <w:pStyle w:val="SingleParagraph"/>
              <w:tabs>
                <w:tab w:val="num" w:pos="1134"/>
              </w:tabs>
              <w:spacing w:after="240"/>
              <w:ind w:left="1134" w:hanging="567"/>
              <w:rPr>
                <w:b/>
                <w:lang w:val="en-GB"/>
              </w:rPr>
            </w:pPr>
            <w:r w:rsidRPr="00592BBF">
              <w:rPr>
                <w:lang w:val="en-GB"/>
              </w:rPr>
              <w:t>[Day]  [Month]  [Year]</w:t>
            </w:r>
          </w:p>
        </w:tc>
        <w:tc>
          <w:tcPr>
            <w:tcW w:w="284" w:type="dxa"/>
            <w:tcMar>
              <w:left w:w="0" w:type="dxa"/>
              <w:right w:w="0" w:type="dxa"/>
            </w:tcMar>
          </w:tcPr>
          <w:p w14:paraId="185A8AC4" w14:textId="77777777" w:rsidR="00A372C3" w:rsidRPr="00592BBF" w:rsidRDefault="00A372C3" w:rsidP="00A372C3">
            <w:pPr>
              <w:rPr>
                <w:rFonts w:ascii="Book Antiqua" w:hAnsi="Book Antiqua"/>
                <w:lang w:val="en-GB"/>
              </w:rPr>
            </w:pPr>
          </w:p>
        </w:tc>
        <w:tc>
          <w:tcPr>
            <w:tcW w:w="4536" w:type="dxa"/>
          </w:tcPr>
          <w:p w14:paraId="648A3E91" w14:textId="77777777" w:rsidR="00A372C3" w:rsidRPr="00592BBF" w:rsidRDefault="00A372C3" w:rsidP="00A372C3">
            <w:pPr>
              <w:rPr>
                <w:rFonts w:ascii="Book Antiqua" w:hAnsi="Book Antiqua"/>
                <w:lang w:val="en-GB"/>
              </w:rPr>
            </w:pPr>
          </w:p>
        </w:tc>
      </w:tr>
      <w:tr w:rsidR="00615CAE" w14:paraId="40FD01BE" w14:textId="77777777" w:rsidTr="00A372C3">
        <w:trPr>
          <w:cantSplit/>
          <w:jc w:val="center"/>
        </w:trPr>
        <w:tc>
          <w:tcPr>
            <w:tcW w:w="4536" w:type="dxa"/>
          </w:tcPr>
          <w:p w14:paraId="5F5CF90F" w14:textId="77777777" w:rsidR="00A372C3" w:rsidRPr="00592BBF" w:rsidRDefault="00A372C3" w:rsidP="00A372C3">
            <w:pPr>
              <w:pStyle w:val="SingleParagraph"/>
              <w:rPr>
                <w:rFonts w:ascii="Book Antiqua" w:hAnsi="Book Antiqua"/>
                <w:lang w:val="en-GB"/>
              </w:rPr>
            </w:pPr>
          </w:p>
        </w:tc>
        <w:tc>
          <w:tcPr>
            <w:tcW w:w="284" w:type="dxa"/>
            <w:tcMar>
              <w:left w:w="0" w:type="dxa"/>
              <w:right w:w="0" w:type="dxa"/>
            </w:tcMar>
          </w:tcPr>
          <w:p w14:paraId="0CCB8DC4" w14:textId="77777777" w:rsidR="00A372C3" w:rsidRPr="00592BBF" w:rsidRDefault="00A372C3" w:rsidP="00A372C3">
            <w:pPr>
              <w:pStyle w:val="SingleParagraph"/>
              <w:rPr>
                <w:rFonts w:ascii="Book Antiqua" w:hAnsi="Book Antiqua"/>
                <w:lang w:val="en-GB"/>
              </w:rPr>
            </w:pPr>
          </w:p>
        </w:tc>
        <w:tc>
          <w:tcPr>
            <w:tcW w:w="4536" w:type="dxa"/>
          </w:tcPr>
          <w:p w14:paraId="780A5F75" w14:textId="77777777" w:rsidR="00A372C3" w:rsidRPr="00592BBF" w:rsidRDefault="00A372C3" w:rsidP="00A372C3">
            <w:pPr>
              <w:pStyle w:val="SingleParagraph"/>
              <w:rPr>
                <w:rFonts w:ascii="Book Antiqua" w:hAnsi="Book Antiqua"/>
                <w:lang w:val="en-GB"/>
              </w:rPr>
            </w:pPr>
          </w:p>
        </w:tc>
      </w:tr>
      <w:tr w:rsidR="00615CAE" w14:paraId="1A94D262" w14:textId="77777777" w:rsidTr="00A372C3">
        <w:trPr>
          <w:cantSplit/>
          <w:jc w:val="center"/>
        </w:trPr>
        <w:tc>
          <w:tcPr>
            <w:tcW w:w="4536" w:type="dxa"/>
          </w:tcPr>
          <w:p w14:paraId="4538A1A0" w14:textId="77777777" w:rsidR="00A372C3" w:rsidRPr="00592BBF" w:rsidRDefault="00A372C3" w:rsidP="00A372C3">
            <w:pPr>
              <w:pStyle w:val="Signed"/>
            </w:pPr>
            <w:r w:rsidRPr="00592BBF">
              <w:rPr>
                <w:rStyle w:val="SignedBold"/>
              </w:rPr>
              <w:t>Signed</w:t>
            </w:r>
            <w:r w:rsidRPr="00592BBF">
              <w:t xml:space="preserve"> for and on behalf of the </w:t>
            </w:r>
            <w:r w:rsidRPr="00592BBF">
              <w:br/>
              <w:t>State of New South Wales by</w:t>
            </w:r>
          </w:p>
          <w:p w14:paraId="289D5B88" w14:textId="77777777" w:rsidR="00A372C3" w:rsidRPr="00592BBF" w:rsidRDefault="00A372C3" w:rsidP="00A372C3">
            <w:pPr>
              <w:pStyle w:val="LineForSignature"/>
            </w:pPr>
            <w:r w:rsidRPr="00592BBF">
              <w:tab/>
            </w:r>
          </w:p>
          <w:p w14:paraId="37CD332B" w14:textId="2831B014" w:rsidR="00A372C3" w:rsidRPr="00592BBF" w:rsidRDefault="00A372C3" w:rsidP="00A372C3">
            <w:pPr>
              <w:pStyle w:val="SingleParagraph"/>
              <w:rPr>
                <w:rStyle w:val="Bold"/>
              </w:rPr>
            </w:pPr>
            <w:r w:rsidRPr="00592BBF">
              <w:rPr>
                <w:rStyle w:val="Bold"/>
              </w:rPr>
              <w:t xml:space="preserve">The Honourable </w:t>
            </w:r>
            <w:r w:rsidR="00E214E5">
              <w:rPr>
                <w:rStyle w:val="Bold"/>
              </w:rPr>
              <w:t>Mike Baird MP</w:t>
            </w:r>
          </w:p>
          <w:p w14:paraId="5630CC64" w14:textId="77777777" w:rsidR="00A372C3" w:rsidRPr="00592BBF" w:rsidRDefault="00A372C3" w:rsidP="00A372C3">
            <w:pPr>
              <w:pStyle w:val="Position"/>
              <w:rPr>
                <w:rFonts w:ascii="Book Antiqua" w:hAnsi="Book Antiqua"/>
                <w:bCs w:val="0"/>
                <w:lang w:val="en-GB"/>
              </w:rPr>
            </w:pPr>
            <w:r w:rsidRPr="00592BBF">
              <w:rPr>
                <w:bCs w:val="0"/>
                <w:lang w:val="en-GB"/>
              </w:rPr>
              <w:t xml:space="preserve">Premier of the State of New </w:t>
            </w:r>
            <w:r w:rsidRPr="00592BBF">
              <w:rPr>
                <w:lang w:val="en-GB"/>
              </w:rPr>
              <w:t>South</w:t>
            </w:r>
            <w:r w:rsidRPr="00592BBF">
              <w:rPr>
                <w:bCs w:val="0"/>
                <w:lang w:val="en-GB"/>
              </w:rPr>
              <w:t xml:space="preserve"> Wales</w:t>
            </w:r>
          </w:p>
          <w:p w14:paraId="291DF504" w14:textId="77777777" w:rsidR="00A372C3" w:rsidRPr="00592BBF" w:rsidRDefault="00A372C3" w:rsidP="00A372C3">
            <w:pPr>
              <w:pStyle w:val="SingleParagraph"/>
              <w:tabs>
                <w:tab w:val="num" w:pos="1134"/>
              </w:tabs>
              <w:spacing w:after="240"/>
              <w:ind w:left="1134" w:hanging="567"/>
              <w:rPr>
                <w:szCs w:val="22"/>
                <w:lang w:val="en-GB"/>
              </w:rPr>
            </w:pPr>
            <w:r w:rsidRPr="00592BBF">
              <w:rPr>
                <w:lang w:val="en-GB"/>
              </w:rPr>
              <w:t>[Day]  [Month]  [Year]</w:t>
            </w:r>
          </w:p>
        </w:tc>
        <w:tc>
          <w:tcPr>
            <w:tcW w:w="284" w:type="dxa"/>
            <w:tcMar>
              <w:left w:w="0" w:type="dxa"/>
              <w:right w:w="0" w:type="dxa"/>
            </w:tcMar>
          </w:tcPr>
          <w:p w14:paraId="7D4D6860" w14:textId="77777777" w:rsidR="00A372C3" w:rsidRPr="00592BBF" w:rsidRDefault="00A372C3" w:rsidP="00A372C3">
            <w:pPr>
              <w:rPr>
                <w:rFonts w:ascii="Book Antiqua" w:hAnsi="Book Antiqua"/>
                <w:lang w:val="en-GB"/>
              </w:rPr>
            </w:pPr>
          </w:p>
        </w:tc>
        <w:tc>
          <w:tcPr>
            <w:tcW w:w="4536" w:type="dxa"/>
          </w:tcPr>
          <w:p w14:paraId="1DAA277C" w14:textId="77777777" w:rsidR="00A372C3" w:rsidRPr="00592BBF" w:rsidRDefault="00A372C3" w:rsidP="00A372C3">
            <w:pPr>
              <w:pStyle w:val="Signed"/>
            </w:pPr>
            <w:r w:rsidRPr="00592BBF">
              <w:rPr>
                <w:rStyle w:val="SignedBold"/>
              </w:rPr>
              <w:t>Signed</w:t>
            </w:r>
            <w:r w:rsidRPr="00592BBF">
              <w:t xml:space="preserve"> for and on behalf of the</w:t>
            </w:r>
            <w:r w:rsidRPr="00592BBF">
              <w:br/>
              <w:t>State of Victoria by</w:t>
            </w:r>
          </w:p>
          <w:p w14:paraId="23B97639" w14:textId="77777777" w:rsidR="00A372C3" w:rsidRPr="00592BBF" w:rsidRDefault="00A372C3" w:rsidP="00A372C3">
            <w:pPr>
              <w:pStyle w:val="LineForSignature"/>
            </w:pPr>
            <w:r w:rsidRPr="00592BBF">
              <w:tab/>
            </w:r>
          </w:p>
          <w:p w14:paraId="1CF928B3" w14:textId="1AC4AC92" w:rsidR="00A372C3" w:rsidRPr="00592BBF" w:rsidRDefault="00A372C3" w:rsidP="00A372C3">
            <w:pPr>
              <w:pStyle w:val="SingleParagraph"/>
              <w:rPr>
                <w:rStyle w:val="Bold"/>
              </w:rPr>
            </w:pPr>
            <w:r w:rsidRPr="00592BBF">
              <w:rPr>
                <w:rStyle w:val="Bold"/>
              </w:rPr>
              <w:t xml:space="preserve">The Honourable </w:t>
            </w:r>
            <w:r w:rsidR="00DD4D08">
              <w:rPr>
                <w:rStyle w:val="Bold"/>
              </w:rPr>
              <w:t>Daniel Andrews</w:t>
            </w:r>
            <w:r w:rsidR="00E214E5">
              <w:rPr>
                <w:rStyle w:val="Bold"/>
              </w:rPr>
              <w:t xml:space="preserve"> MP</w:t>
            </w:r>
          </w:p>
          <w:p w14:paraId="1D9B1327" w14:textId="77777777" w:rsidR="00A372C3" w:rsidRPr="00592BBF" w:rsidRDefault="00A372C3" w:rsidP="00A372C3">
            <w:pPr>
              <w:pStyle w:val="Position"/>
              <w:rPr>
                <w:rFonts w:ascii="Book Antiqua" w:hAnsi="Book Antiqua"/>
                <w:bCs w:val="0"/>
                <w:lang w:val="en-GB"/>
              </w:rPr>
            </w:pPr>
            <w:r w:rsidRPr="00592BBF">
              <w:rPr>
                <w:bCs w:val="0"/>
                <w:lang w:val="en-GB"/>
              </w:rPr>
              <w:t>Premier of the State of Victoria</w:t>
            </w:r>
          </w:p>
          <w:p w14:paraId="613A7484" w14:textId="77777777" w:rsidR="00A372C3" w:rsidRPr="00592BBF" w:rsidRDefault="00A372C3" w:rsidP="00A372C3">
            <w:pPr>
              <w:pStyle w:val="SingleParagraph"/>
              <w:tabs>
                <w:tab w:val="num" w:pos="1134"/>
              </w:tabs>
              <w:spacing w:after="240"/>
              <w:ind w:left="1134" w:hanging="567"/>
              <w:rPr>
                <w:lang w:val="en-GB"/>
              </w:rPr>
            </w:pPr>
            <w:r w:rsidRPr="00592BBF">
              <w:rPr>
                <w:lang w:val="en-GB"/>
              </w:rPr>
              <w:t>[Day]  [Month]  [Year]</w:t>
            </w:r>
          </w:p>
        </w:tc>
      </w:tr>
      <w:tr w:rsidR="00615CAE" w14:paraId="2FCBCC6C" w14:textId="77777777" w:rsidTr="00A372C3">
        <w:trPr>
          <w:cantSplit/>
          <w:jc w:val="center"/>
        </w:trPr>
        <w:tc>
          <w:tcPr>
            <w:tcW w:w="4536" w:type="dxa"/>
          </w:tcPr>
          <w:p w14:paraId="5A57B8B1" w14:textId="77777777" w:rsidR="00A372C3" w:rsidRPr="00592BBF" w:rsidRDefault="00A372C3" w:rsidP="00A372C3">
            <w:pPr>
              <w:pStyle w:val="SingleParagraph"/>
              <w:rPr>
                <w:rFonts w:ascii="Book Antiqua" w:hAnsi="Book Antiqua"/>
                <w:lang w:val="en-GB"/>
              </w:rPr>
            </w:pPr>
          </w:p>
        </w:tc>
        <w:tc>
          <w:tcPr>
            <w:tcW w:w="284" w:type="dxa"/>
            <w:tcMar>
              <w:left w:w="0" w:type="dxa"/>
              <w:right w:w="0" w:type="dxa"/>
            </w:tcMar>
          </w:tcPr>
          <w:p w14:paraId="725535E4" w14:textId="77777777" w:rsidR="00A372C3" w:rsidRPr="00592BBF" w:rsidRDefault="00A372C3" w:rsidP="00A372C3">
            <w:pPr>
              <w:pStyle w:val="SingleParagraph"/>
              <w:rPr>
                <w:rFonts w:ascii="Book Antiqua" w:hAnsi="Book Antiqua"/>
                <w:lang w:val="en-GB"/>
              </w:rPr>
            </w:pPr>
          </w:p>
        </w:tc>
        <w:tc>
          <w:tcPr>
            <w:tcW w:w="4536" w:type="dxa"/>
          </w:tcPr>
          <w:p w14:paraId="4A0152A1" w14:textId="77777777" w:rsidR="00A372C3" w:rsidRPr="00592BBF" w:rsidRDefault="00A372C3" w:rsidP="00A372C3">
            <w:pPr>
              <w:pStyle w:val="SingleParagraph"/>
              <w:rPr>
                <w:rFonts w:ascii="Book Antiqua" w:hAnsi="Book Antiqua"/>
                <w:lang w:val="en-GB"/>
              </w:rPr>
            </w:pPr>
          </w:p>
        </w:tc>
      </w:tr>
      <w:tr w:rsidR="00615CAE" w14:paraId="79B382AE" w14:textId="77777777" w:rsidTr="00A372C3">
        <w:trPr>
          <w:cantSplit/>
          <w:jc w:val="center"/>
        </w:trPr>
        <w:tc>
          <w:tcPr>
            <w:tcW w:w="4536" w:type="dxa"/>
          </w:tcPr>
          <w:p w14:paraId="386E0E39" w14:textId="77777777" w:rsidR="00A372C3" w:rsidRPr="00592BBF" w:rsidRDefault="00A372C3" w:rsidP="00A372C3">
            <w:pPr>
              <w:pStyle w:val="Signed"/>
            </w:pPr>
            <w:r w:rsidRPr="00592BBF">
              <w:rPr>
                <w:rStyle w:val="SignedBold"/>
              </w:rPr>
              <w:t>Signed</w:t>
            </w:r>
            <w:r w:rsidRPr="00592BBF">
              <w:t xml:space="preserve"> for and on behalf of the</w:t>
            </w:r>
            <w:r w:rsidRPr="00592BBF">
              <w:br/>
              <w:t>State of Queensland by</w:t>
            </w:r>
          </w:p>
          <w:p w14:paraId="71246304" w14:textId="77777777" w:rsidR="00A372C3" w:rsidRPr="00592BBF" w:rsidRDefault="00A372C3" w:rsidP="00A372C3">
            <w:pPr>
              <w:pStyle w:val="LineForSignature"/>
            </w:pPr>
            <w:r w:rsidRPr="00592BBF">
              <w:tab/>
            </w:r>
          </w:p>
          <w:p w14:paraId="1BF78724" w14:textId="599D1D9A" w:rsidR="00A372C3" w:rsidRPr="00592BBF" w:rsidRDefault="00A372C3" w:rsidP="00A372C3">
            <w:pPr>
              <w:pStyle w:val="SingleParagraph"/>
              <w:rPr>
                <w:rStyle w:val="Bold"/>
              </w:rPr>
            </w:pPr>
            <w:r w:rsidRPr="00592BBF">
              <w:rPr>
                <w:rStyle w:val="Bold"/>
              </w:rPr>
              <w:t xml:space="preserve">The Honourable </w:t>
            </w:r>
            <w:r w:rsidR="00DD4D08" w:rsidRPr="00DD4D08">
              <w:rPr>
                <w:rStyle w:val="Bold"/>
              </w:rPr>
              <w:t>Annastacia Palaszczuk</w:t>
            </w:r>
            <w:r w:rsidR="00E214E5">
              <w:rPr>
                <w:rStyle w:val="Bold"/>
              </w:rPr>
              <w:t xml:space="preserve"> MP</w:t>
            </w:r>
          </w:p>
          <w:p w14:paraId="02083F22" w14:textId="77777777" w:rsidR="00A372C3" w:rsidRPr="00592BBF" w:rsidRDefault="00A372C3" w:rsidP="00A372C3">
            <w:pPr>
              <w:pStyle w:val="Position"/>
              <w:rPr>
                <w:rFonts w:ascii="Book Antiqua" w:hAnsi="Book Antiqua"/>
                <w:bCs w:val="0"/>
                <w:lang w:val="en-GB"/>
              </w:rPr>
            </w:pPr>
            <w:r w:rsidRPr="00592BBF">
              <w:rPr>
                <w:bCs w:val="0"/>
                <w:lang w:val="en-GB"/>
              </w:rPr>
              <w:t xml:space="preserve">Premier of the State of </w:t>
            </w:r>
            <w:r w:rsidRPr="00592BBF">
              <w:rPr>
                <w:lang w:val="en-GB"/>
              </w:rPr>
              <w:t>Queensland</w:t>
            </w:r>
          </w:p>
          <w:p w14:paraId="116AA0AB" w14:textId="77777777" w:rsidR="00A372C3" w:rsidRPr="00592BBF" w:rsidRDefault="00A372C3" w:rsidP="00A372C3">
            <w:pPr>
              <w:pStyle w:val="SingleParagraph"/>
              <w:tabs>
                <w:tab w:val="num" w:pos="1134"/>
              </w:tabs>
              <w:spacing w:after="240"/>
              <w:ind w:left="1134" w:hanging="567"/>
              <w:rPr>
                <w:lang w:val="en-GB"/>
              </w:rPr>
            </w:pPr>
            <w:r w:rsidRPr="00592BBF">
              <w:rPr>
                <w:lang w:val="en-GB"/>
              </w:rPr>
              <w:t>[Day]  [Month]  [Year]</w:t>
            </w:r>
          </w:p>
        </w:tc>
        <w:tc>
          <w:tcPr>
            <w:tcW w:w="284" w:type="dxa"/>
            <w:tcMar>
              <w:left w:w="0" w:type="dxa"/>
              <w:right w:w="0" w:type="dxa"/>
            </w:tcMar>
          </w:tcPr>
          <w:p w14:paraId="42A28522" w14:textId="77777777" w:rsidR="00A372C3" w:rsidRPr="00592BBF" w:rsidRDefault="00A372C3" w:rsidP="00A372C3">
            <w:pPr>
              <w:rPr>
                <w:rFonts w:ascii="Book Antiqua" w:hAnsi="Book Antiqua"/>
                <w:lang w:val="en-GB"/>
              </w:rPr>
            </w:pPr>
          </w:p>
        </w:tc>
        <w:tc>
          <w:tcPr>
            <w:tcW w:w="4536" w:type="dxa"/>
          </w:tcPr>
          <w:p w14:paraId="6FDA3EFE" w14:textId="77777777" w:rsidR="00A372C3" w:rsidRPr="00592BBF" w:rsidRDefault="00A372C3" w:rsidP="00A372C3">
            <w:pPr>
              <w:pStyle w:val="Signed"/>
            </w:pPr>
            <w:r w:rsidRPr="00592BBF">
              <w:rPr>
                <w:rStyle w:val="SignedBold"/>
              </w:rPr>
              <w:t>Signed</w:t>
            </w:r>
            <w:r w:rsidRPr="00592BBF">
              <w:t xml:space="preserve"> for and on behalf of the</w:t>
            </w:r>
            <w:r w:rsidRPr="00592BBF">
              <w:br/>
              <w:t>State of South Australia by</w:t>
            </w:r>
          </w:p>
          <w:p w14:paraId="22AF87B8" w14:textId="77777777" w:rsidR="00A372C3" w:rsidRPr="00592BBF" w:rsidRDefault="00A372C3" w:rsidP="00A372C3">
            <w:pPr>
              <w:pStyle w:val="LineForSignature"/>
            </w:pPr>
            <w:r w:rsidRPr="00592BBF">
              <w:tab/>
            </w:r>
          </w:p>
          <w:p w14:paraId="42F65178" w14:textId="64DB8F80" w:rsidR="00A372C3" w:rsidRPr="00592BBF" w:rsidRDefault="00A372C3" w:rsidP="00A372C3">
            <w:pPr>
              <w:pStyle w:val="SingleParagraph"/>
              <w:rPr>
                <w:rStyle w:val="Bold"/>
              </w:rPr>
            </w:pPr>
            <w:r w:rsidRPr="00592BBF">
              <w:rPr>
                <w:rStyle w:val="Bold"/>
              </w:rPr>
              <w:t xml:space="preserve">The Honourable </w:t>
            </w:r>
            <w:r w:rsidR="00DD4D08">
              <w:rPr>
                <w:rStyle w:val="Bold"/>
              </w:rPr>
              <w:t>Jay Weatherill</w:t>
            </w:r>
            <w:r w:rsidR="00E214E5">
              <w:rPr>
                <w:rStyle w:val="Bold"/>
              </w:rPr>
              <w:t xml:space="preserve"> MP</w:t>
            </w:r>
          </w:p>
          <w:p w14:paraId="7EA04833" w14:textId="77777777" w:rsidR="00A372C3" w:rsidRPr="00592BBF" w:rsidRDefault="00A372C3" w:rsidP="00A372C3">
            <w:pPr>
              <w:pStyle w:val="Position"/>
              <w:rPr>
                <w:rFonts w:ascii="Book Antiqua" w:hAnsi="Book Antiqua"/>
                <w:bCs w:val="0"/>
                <w:lang w:val="en-GB"/>
              </w:rPr>
            </w:pPr>
            <w:r w:rsidRPr="00592BBF">
              <w:rPr>
                <w:bCs w:val="0"/>
                <w:lang w:val="en-GB"/>
              </w:rPr>
              <w:t xml:space="preserve">Premier of the State of </w:t>
            </w:r>
            <w:r w:rsidRPr="00592BBF">
              <w:rPr>
                <w:lang w:val="en-GB"/>
              </w:rPr>
              <w:t>South</w:t>
            </w:r>
            <w:r w:rsidRPr="00592BBF">
              <w:rPr>
                <w:bCs w:val="0"/>
                <w:lang w:val="en-GB"/>
              </w:rPr>
              <w:t xml:space="preserve"> Australia</w:t>
            </w:r>
          </w:p>
          <w:p w14:paraId="65FEC409" w14:textId="77777777" w:rsidR="00A372C3" w:rsidRPr="00592BBF" w:rsidRDefault="00A372C3" w:rsidP="00A372C3">
            <w:pPr>
              <w:pStyle w:val="SingleParagraph"/>
              <w:tabs>
                <w:tab w:val="num" w:pos="1134"/>
              </w:tabs>
              <w:spacing w:after="240"/>
              <w:ind w:left="1134" w:hanging="567"/>
              <w:rPr>
                <w:lang w:val="en-GB"/>
              </w:rPr>
            </w:pPr>
            <w:r w:rsidRPr="00592BBF">
              <w:rPr>
                <w:lang w:val="en-GB"/>
              </w:rPr>
              <w:t>[Day]  [Month]  [Year]</w:t>
            </w:r>
          </w:p>
        </w:tc>
      </w:tr>
      <w:tr w:rsidR="00615CAE" w14:paraId="618AD58A" w14:textId="77777777" w:rsidTr="00A372C3">
        <w:trPr>
          <w:cantSplit/>
          <w:jc w:val="center"/>
        </w:trPr>
        <w:tc>
          <w:tcPr>
            <w:tcW w:w="4536" w:type="dxa"/>
          </w:tcPr>
          <w:p w14:paraId="76A93F40" w14:textId="77777777" w:rsidR="00A372C3" w:rsidRPr="00A50751" w:rsidRDefault="00A372C3" w:rsidP="00A372C3">
            <w:pPr>
              <w:pStyle w:val="Signed"/>
            </w:pPr>
            <w:r>
              <w:rPr>
                <w:rStyle w:val="SignedBold"/>
              </w:rPr>
              <w:t>Signed</w:t>
            </w:r>
            <w:r w:rsidRPr="004A0AE7">
              <w:rPr>
                <w:i w:val="0"/>
              </w:rPr>
              <w:t xml:space="preserve"> for and on behalf of the </w:t>
            </w:r>
            <w:smartTag w:uri="urn:schemas-microsoft-com:office:smarttags" w:element="place">
              <w:smartTag w:uri="urn:schemas-microsoft-com:office:smarttags" w:element="State">
                <w:r w:rsidRPr="004A0AE7">
                  <w:t>Australian Capital Territory</w:t>
                </w:r>
              </w:smartTag>
            </w:smartTag>
            <w:r w:rsidRPr="004A0AE7">
              <w:t xml:space="preserve"> by</w:t>
            </w:r>
          </w:p>
          <w:p w14:paraId="55EC659F" w14:textId="77777777" w:rsidR="00A372C3" w:rsidRPr="00592BBF" w:rsidRDefault="00A372C3" w:rsidP="00A372C3">
            <w:pPr>
              <w:pStyle w:val="LineForSignature"/>
            </w:pPr>
            <w:r w:rsidRPr="00592BBF">
              <w:tab/>
            </w:r>
          </w:p>
          <w:p w14:paraId="690369D6" w14:textId="7B8573EF" w:rsidR="00A372C3" w:rsidRDefault="00DD4D08" w:rsidP="00A372C3">
            <w:pPr>
              <w:pStyle w:val="SingleParagraph"/>
              <w:rPr>
                <w:rStyle w:val="Bold"/>
              </w:rPr>
            </w:pPr>
            <w:r>
              <w:rPr>
                <w:rStyle w:val="Bold"/>
              </w:rPr>
              <w:t>Andrew Barr</w:t>
            </w:r>
            <w:r w:rsidR="00A372C3">
              <w:rPr>
                <w:rStyle w:val="Bold"/>
              </w:rPr>
              <w:t xml:space="preserve"> MLA</w:t>
            </w:r>
          </w:p>
          <w:p w14:paraId="43003838" w14:textId="77777777" w:rsidR="00A372C3" w:rsidRPr="00A50751" w:rsidRDefault="00A372C3" w:rsidP="00A372C3">
            <w:pPr>
              <w:pStyle w:val="Position"/>
              <w:rPr>
                <w:rFonts w:ascii="Book Antiqua" w:hAnsi="Book Antiqua"/>
                <w:bCs w:val="0"/>
                <w:lang w:val="en-GB"/>
              </w:rPr>
            </w:pPr>
            <w:r w:rsidRPr="00B12190">
              <w:rPr>
                <w:lang w:val="en-GB"/>
              </w:rPr>
              <w:t xml:space="preserve">Chief Minister of the </w:t>
            </w:r>
            <w:smartTag w:uri="urn:schemas-microsoft-com:office:smarttags" w:element="place">
              <w:smartTag w:uri="urn:schemas-microsoft-com:office:smarttags" w:element="State">
                <w:r w:rsidRPr="00B12190">
                  <w:rPr>
                    <w:lang w:val="en-GB"/>
                  </w:rPr>
                  <w:t>Australian Capital Territory</w:t>
                </w:r>
              </w:smartTag>
            </w:smartTag>
          </w:p>
          <w:p w14:paraId="7A799162" w14:textId="77777777" w:rsidR="00A372C3" w:rsidRPr="00592BBF" w:rsidRDefault="00A372C3" w:rsidP="00A372C3">
            <w:pPr>
              <w:pStyle w:val="Signed"/>
              <w:rPr>
                <w:rStyle w:val="SignedBold"/>
              </w:rPr>
            </w:pPr>
            <w:r>
              <w:rPr>
                <w:lang w:val="en-GB"/>
              </w:rPr>
              <w:t>[Day]  [Month]  [Year]</w:t>
            </w:r>
          </w:p>
        </w:tc>
        <w:tc>
          <w:tcPr>
            <w:tcW w:w="284" w:type="dxa"/>
            <w:tcMar>
              <w:left w:w="0" w:type="dxa"/>
              <w:right w:w="0" w:type="dxa"/>
            </w:tcMar>
          </w:tcPr>
          <w:p w14:paraId="24CB6306" w14:textId="77777777" w:rsidR="00A372C3" w:rsidRPr="00592BBF" w:rsidRDefault="00A372C3" w:rsidP="00A372C3">
            <w:pPr>
              <w:rPr>
                <w:rFonts w:ascii="Book Antiqua" w:hAnsi="Book Antiqua"/>
                <w:lang w:val="en-GB"/>
              </w:rPr>
            </w:pPr>
          </w:p>
        </w:tc>
        <w:tc>
          <w:tcPr>
            <w:tcW w:w="4536" w:type="dxa"/>
          </w:tcPr>
          <w:p w14:paraId="29A2B1C7" w14:textId="77777777" w:rsidR="00A372C3" w:rsidRPr="00592BBF" w:rsidRDefault="00A372C3" w:rsidP="00A372C3">
            <w:pPr>
              <w:pStyle w:val="Signed"/>
              <w:rPr>
                <w:rStyle w:val="SignedBold"/>
              </w:rPr>
            </w:pPr>
          </w:p>
        </w:tc>
      </w:tr>
    </w:tbl>
    <w:p w14:paraId="262EFC75" w14:textId="77777777" w:rsidR="00A372C3" w:rsidRDefault="00A372C3" w:rsidP="00A372C3">
      <w:pPr>
        <w:pStyle w:val="AlphaParagraph"/>
        <w:numPr>
          <w:ilvl w:val="0"/>
          <w:numId w:val="0"/>
        </w:numPr>
      </w:pPr>
    </w:p>
    <w:p w14:paraId="7397C880" w14:textId="77777777" w:rsidR="00A372C3" w:rsidRDefault="00A372C3" w:rsidP="00A372C3">
      <w:pPr>
        <w:pStyle w:val="AlphaParagraph"/>
        <w:numPr>
          <w:ilvl w:val="0"/>
          <w:numId w:val="0"/>
        </w:numPr>
        <w:sectPr w:rsidR="00A372C3" w:rsidSect="00A372C3">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cols w:space="708"/>
          <w:titlePg/>
          <w:docGrid w:linePitch="360"/>
        </w:sectPr>
      </w:pPr>
    </w:p>
    <w:p w14:paraId="20F3D8F4" w14:textId="77777777" w:rsidR="00A372C3" w:rsidRPr="00592BBF" w:rsidRDefault="00A372C3">
      <w:pPr>
        <w:pStyle w:val="Heading9"/>
      </w:pPr>
    </w:p>
    <w:p w14:paraId="45D6C542" w14:textId="77777777" w:rsidR="00A372C3" w:rsidRPr="00592BBF" w:rsidRDefault="00A372C3">
      <w:pPr>
        <w:pStyle w:val="Title"/>
      </w:pPr>
      <w:r>
        <w:t>Project Milestones</w:t>
      </w:r>
    </w:p>
    <w:p w14:paraId="5B5A4CCB" w14:textId="77777777" w:rsidR="00A372C3" w:rsidRPr="00BF67CC" w:rsidRDefault="00A372C3" w:rsidP="00EF4EBC">
      <w:pPr>
        <w:pStyle w:val="AlphaParagraph"/>
        <w:numPr>
          <w:ilvl w:val="0"/>
          <w:numId w:val="27"/>
        </w:numPr>
        <w:jc w:val="left"/>
      </w:pPr>
      <w:r w:rsidRPr="00BF67CC">
        <w:t xml:space="preserve">The Parties agree to meet the performance milestones set out in </w:t>
      </w:r>
      <w:r>
        <w:t>Schedule A - Table A</w:t>
      </w:r>
      <w:r w:rsidRPr="00BF67CC">
        <w:t>.</w:t>
      </w:r>
    </w:p>
    <w:p w14:paraId="3240DD17" w14:textId="77777777" w:rsidR="00A372C3" w:rsidRPr="00BF67CC" w:rsidRDefault="00A372C3" w:rsidP="00A372C3">
      <w:pPr>
        <w:pStyle w:val="Normalnumbered"/>
        <w:tabs>
          <w:tab w:val="clear" w:pos="283"/>
        </w:tabs>
        <w:ind w:left="0" w:firstLine="0"/>
        <w:jc w:val="left"/>
        <w:rPr>
          <w:rFonts w:ascii="Consolas" w:hAnsi="Consolas"/>
          <w:b/>
          <w:color w:val="3D4B67"/>
          <w:sz w:val="24"/>
        </w:rPr>
      </w:pPr>
      <w:r>
        <w:rPr>
          <w:rFonts w:ascii="Consolas" w:hAnsi="Consolas"/>
          <w:b/>
          <w:color w:val="3D4B67"/>
          <w:sz w:val="24"/>
        </w:rPr>
        <w:t xml:space="preserve">Schedule A - </w:t>
      </w:r>
      <w:r w:rsidRPr="00BF67CC">
        <w:rPr>
          <w:rFonts w:ascii="Consolas" w:hAnsi="Consolas"/>
          <w:b/>
          <w:color w:val="3D4B67"/>
          <w:sz w:val="24"/>
        </w:rPr>
        <w:t xml:space="preserve">Table </w:t>
      </w:r>
      <w:r>
        <w:rPr>
          <w:rFonts w:ascii="Consolas" w:hAnsi="Consolas"/>
          <w:b/>
          <w:color w:val="3D4B67"/>
          <w:sz w:val="24"/>
        </w:rPr>
        <w:t>A</w:t>
      </w:r>
      <w:r w:rsidRPr="00BF67CC">
        <w:rPr>
          <w:rFonts w:ascii="Consolas" w:hAnsi="Consolas"/>
          <w:b/>
          <w:color w:val="3D4B67"/>
          <w:sz w:val="24"/>
        </w:rPr>
        <w:t>: Performance Milestones</w:t>
      </w:r>
    </w:p>
    <w:tbl>
      <w:tblPr>
        <w:tblStyle w:val="TableGrid"/>
        <w:tblW w:w="0" w:type="auto"/>
        <w:tblInd w:w="108" w:type="dxa"/>
        <w:tblLook w:val="04A0" w:firstRow="1" w:lastRow="0" w:firstColumn="1" w:lastColumn="0" w:noHBand="0" w:noVBand="1"/>
      </w:tblPr>
      <w:tblGrid>
        <w:gridCol w:w="1936"/>
        <w:gridCol w:w="6261"/>
        <w:gridCol w:w="1549"/>
      </w:tblGrid>
      <w:tr w:rsidR="00615CAE" w14:paraId="422039E4" w14:textId="77777777" w:rsidTr="00A372C3">
        <w:trPr>
          <w:trHeight w:val="744"/>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E90EC" w14:textId="77777777" w:rsidR="00A372C3" w:rsidRPr="00BF67CC" w:rsidRDefault="00A372C3" w:rsidP="00A372C3">
            <w:pPr>
              <w:tabs>
                <w:tab w:val="center" w:pos="2781"/>
              </w:tabs>
              <w:spacing w:after="80"/>
              <w:rPr>
                <w:b/>
                <w:sz w:val="20"/>
              </w:rPr>
            </w:pPr>
            <w:r w:rsidRPr="00BF67CC">
              <w:rPr>
                <w:b/>
                <w:sz w:val="20"/>
              </w:rPr>
              <w:t>Date Due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A9836" w14:textId="77777777" w:rsidR="00A372C3" w:rsidRPr="00BF67CC" w:rsidRDefault="00A372C3" w:rsidP="00A372C3">
            <w:pPr>
              <w:tabs>
                <w:tab w:val="center" w:pos="2781"/>
              </w:tabs>
              <w:spacing w:after="80"/>
              <w:rPr>
                <w:b/>
                <w:sz w:val="20"/>
              </w:rPr>
            </w:pPr>
            <w:r w:rsidRPr="00BF67CC">
              <w:rPr>
                <w:b/>
                <w:sz w:val="20"/>
              </w:rPr>
              <w:t>Milestones</w:t>
            </w:r>
            <w:r w:rsidRPr="00BF67CC">
              <w:rPr>
                <w:b/>
                <w:sz w:val="20"/>
              </w:rPr>
              <w:tab/>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E0771" w14:textId="77777777" w:rsidR="00A372C3" w:rsidRPr="00BF67CC" w:rsidRDefault="00A372C3" w:rsidP="00A372C3">
            <w:pPr>
              <w:tabs>
                <w:tab w:val="center" w:pos="2781"/>
              </w:tabs>
              <w:spacing w:after="80"/>
              <w:rPr>
                <w:b/>
                <w:sz w:val="20"/>
              </w:rPr>
            </w:pPr>
            <w:r>
              <w:rPr>
                <w:b/>
                <w:sz w:val="20"/>
              </w:rPr>
              <w:t xml:space="preserve">Proportion </w:t>
            </w:r>
            <w:r w:rsidRPr="00996808">
              <w:rPr>
                <w:b/>
                <w:sz w:val="20"/>
              </w:rPr>
              <w:t>of annual payment</w:t>
            </w:r>
          </w:p>
        </w:tc>
      </w:tr>
      <w:tr w:rsidR="00615CAE" w14:paraId="30D036D5" w14:textId="77777777" w:rsidTr="00A372C3">
        <w:trPr>
          <w:trHeight w:val="156"/>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9B060" w14:textId="77777777" w:rsidR="00A372C3" w:rsidRPr="006848C8" w:rsidRDefault="00A372C3" w:rsidP="00A372C3">
            <w:pPr>
              <w:spacing w:after="80"/>
              <w:jc w:val="center"/>
              <w:rPr>
                <w:rFonts w:eastAsia="MS Mincho"/>
                <w:b/>
                <w:sz w:val="20"/>
              </w:rPr>
            </w:pPr>
            <w:r w:rsidRPr="006848C8">
              <w:rPr>
                <w:rFonts w:eastAsia="MS Mincho"/>
                <w:b/>
                <w:sz w:val="20"/>
              </w:rPr>
              <w:t>2013-14 only</w:t>
            </w:r>
          </w:p>
        </w:tc>
      </w:tr>
      <w:tr w:rsidR="00615CAE" w14:paraId="557803FD" w14:textId="77777777" w:rsidTr="00A372C3">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D448B2" w14:textId="77777777" w:rsidR="00A372C3" w:rsidRPr="006848C8" w:rsidRDefault="00A372C3" w:rsidP="00A372C3">
            <w:pPr>
              <w:spacing w:after="80"/>
              <w:jc w:val="center"/>
              <w:rPr>
                <w:rFonts w:eastAsia="MS Mincho"/>
                <w:sz w:val="20"/>
              </w:rPr>
            </w:pPr>
            <w:r w:rsidRPr="006848C8">
              <w:rPr>
                <w:rFonts w:eastAsia="MS Mincho"/>
                <w:sz w:val="20"/>
              </w:rPr>
              <w:t>By 28 February 2014 (or first working day thereafter)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59ACB" w14:textId="77777777" w:rsidR="00A372C3" w:rsidRPr="006848C8" w:rsidRDefault="00A372C3" w:rsidP="00A372C3">
            <w:pPr>
              <w:spacing w:after="80"/>
              <w:jc w:val="left"/>
              <w:rPr>
                <w:rFonts w:eastAsia="MS Mincho"/>
                <w:sz w:val="20"/>
              </w:rPr>
            </w:pPr>
            <w:r w:rsidRPr="006848C8">
              <w:rPr>
                <w:sz w:val="20"/>
              </w:rPr>
              <w:t>1. For New South Wales, Victoria and South Australia only, the State has provided a brief description of supply measure projects for which feasibility and business cases are being developed for consideration under the SDL adjustment mechanism.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05E8D" w14:textId="77777777" w:rsidR="00A372C3" w:rsidRPr="00C40EB6" w:rsidRDefault="00A372C3" w:rsidP="00A372C3">
            <w:pPr>
              <w:spacing w:after="80"/>
              <w:jc w:val="left"/>
              <w:rPr>
                <w:rFonts w:eastAsia="MS Mincho"/>
                <w:sz w:val="20"/>
              </w:rPr>
            </w:pPr>
            <w:r w:rsidRPr="00C40EB6">
              <w:rPr>
                <w:rFonts w:eastAsia="MS Mincho"/>
                <w:sz w:val="20"/>
              </w:rPr>
              <w:t>100%</w:t>
            </w:r>
            <w:r>
              <w:rPr>
                <w:rFonts w:eastAsia="MS Mincho"/>
                <w:sz w:val="20"/>
              </w:rPr>
              <w:t xml:space="preserve"> of Payment 1 for 2013-14 (Table 1 refers)</w:t>
            </w:r>
          </w:p>
        </w:tc>
      </w:tr>
      <w:tr w:rsidR="00615CAE" w14:paraId="79C6D4DB" w14:textId="77777777" w:rsidTr="00A372C3">
        <w:trPr>
          <w:trHeight w:val="156"/>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DE6A9" w14:textId="77777777" w:rsidR="00A372C3" w:rsidRPr="006848C8" w:rsidRDefault="00A372C3" w:rsidP="00A372C3">
            <w:pPr>
              <w:spacing w:after="80"/>
              <w:jc w:val="center"/>
              <w:rPr>
                <w:rFonts w:eastAsia="MS Mincho"/>
                <w:b/>
                <w:sz w:val="20"/>
              </w:rPr>
            </w:pPr>
            <w:r w:rsidRPr="006848C8">
              <w:rPr>
                <w:rFonts w:eastAsia="MS Mincho"/>
                <w:b/>
                <w:sz w:val="20"/>
              </w:rPr>
              <w:t>2013-14 only</w:t>
            </w:r>
          </w:p>
        </w:tc>
      </w:tr>
      <w:tr w:rsidR="00615CAE" w14:paraId="6C58BF18" w14:textId="77777777" w:rsidTr="00A372C3">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E0D250" w14:textId="77777777" w:rsidR="00A372C3" w:rsidRPr="006848C8" w:rsidRDefault="00A372C3" w:rsidP="00A372C3">
            <w:pPr>
              <w:spacing w:after="80"/>
              <w:jc w:val="center"/>
              <w:rPr>
                <w:rFonts w:eastAsia="MS Mincho"/>
                <w:b/>
                <w:sz w:val="20"/>
              </w:rPr>
            </w:pPr>
            <w:r w:rsidRPr="006848C8">
              <w:rPr>
                <w:sz w:val="20"/>
              </w:rPr>
              <w:t>By 28 February 2014 (or first working day thereafter)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3189" w14:textId="77777777" w:rsidR="00A372C3" w:rsidRPr="006848C8" w:rsidRDefault="00A372C3" w:rsidP="00A372C3">
            <w:pPr>
              <w:spacing w:after="120" w:line="240" w:lineRule="auto"/>
              <w:jc w:val="left"/>
              <w:rPr>
                <w:sz w:val="20"/>
              </w:rPr>
            </w:pPr>
            <w:r w:rsidRPr="006848C8">
              <w:rPr>
                <w:sz w:val="20"/>
              </w:rPr>
              <w:t>2. The State has supported the Commonwealth in Bridging the Gap, as measured by:</w:t>
            </w:r>
          </w:p>
          <w:p w14:paraId="720632E0" w14:textId="77777777" w:rsidR="00A372C3" w:rsidRPr="006848C8" w:rsidRDefault="00A372C3" w:rsidP="00EF4EBC">
            <w:pPr>
              <w:pStyle w:val="ListParagraph"/>
              <w:numPr>
                <w:ilvl w:val="0"/>
                <w:numId w:val="25"/>
              </w:numPr>
              <w:spacing w:after="120"/>
              <w:rPr>
                <w:rFonts w:ascii="Corbel" w:hAnsi="Corbel"/>
                <w:sz w:val="20"/>
                <w:szCs w:val="20"/>
              </w:rPr>
            </w:pPr>
            <w:r w:rsidRPr="006848C8">
              <w:rPr>
                <w:rFonts w:ascii="Corbel" w:hAnsi="Corbel"/>
                <w:sz w:val="20"/>
                <w:szCs w:val="20"/>
              </w:rPr>
              <w:t>confirmation that no restrictions were introduced on the trade of water access entitlement, except where consistent with the Basin Plan water trading rules; and</w:t>
            </w:r>
          </w:p>
          <w:p w14:paraId="72DAC0F8" w14:textId="77777777" w:rsidR="00A372C3" w:rsidRPr="006848C8" w:rsidRDefault="00A372C3" w:rsidP="00EF4EBC">
            <w:pPr>
              <w:pStyle w:val="ListParagraph"/>
              <w:numPr>
                <w:ilvl w:val="0"/>
                <w:numId w:val="25"/>
              </w:numPr>
              <w:spacing w:after="120"/>
              <w:rPr>
                <w:rFonts w:ascii="Corbel" w:hAnsi="Corbel"/>
                <w:sz w:val="20"/>
                <w:szCs w:val="20"/>
              </w:rPr>
            </w:pPr>
            <w:r w:rsidRPr="006848C8">
              <w:rPr>
                <w:rFonts w:ascii="Corbel" w:hAnsi="Corbel"/>
                <w:sz w:val="20"/>
                <w:szCs w:val="20"/>
              </w:rPr>
              <w:t xml:space="preserve">confirmation that no action has been taken to impede Commonwealth measures to acquire water for environmental purposes; and </w:t>
            </w:r>
          </w:p>
          <w:p w14:paraId="4D29E533" w14:textId="77777777" w:rsidR="00A372C3" w:rsidRPr="006848C8" w:rsidRDefault="00A372C3" w:rsidP="00EF4EBC">
            <w:pPr>
              <w:pStyle w:val="ListParagraph"/>
              <w:numPr>
                <w:ilvl w:val="0"/>
                <w:numId w:val="25"/>
              </w:numPr>
              <w:spacing w:after="120"/>
              <w:rPr>
                <w:rFonts w:ascii="Corbel" w:hAnsi="Corbel"/>
                <w:sz w:val="20"/>
                <w:szCs w:val="20"/>
              </w:rPr>
            </w:pPr>
            <w:r w:rsidRPr="006848C8">
              <w:rPr>
                <w:rFonts w:ascii="Corbel" w:hAnsi="Corbel"/>
                <w:sz w:val="20"/>
                <w:szCs w:val="20"/>
              </w:rPr>
              <w:t>confirmation that applications for water entitlement and allocation trades, to which the Commonwealth is a party, were processed consistent with the agreed service standards relating to trade processing times for State approval agencies; and</w:t>
            </w:r>
          </w:p>
          <w:p w14:paraId="5B4AC026" w14:textId="77777777" w:rsidR="00A372C3" w:rsidRPr="006848C8" w:rsidRDefault="00A372C3" w:rsidP="00EF4EBC">
            <w:pPr>
              <w:pStyle w:val="ListParagraph"/>
              <w:numPr>
                <w:ilvl w:val="0"/>
                <w:numId w:val="25"/>
              </w:numPr>
              <w:spacing w:after="120"/>
              <w:rPr>
                <w:rFonts w:ascii="Corbel" w:hAnsi="Corbel"/>
                <w:sz w:val="20"/>
                <w:szCs w:val="20"/>
              </w:rPr>
            </w:pPr>
            <w:r w:rsidRPr="006848C8">
              <w:rPr>
                <w:rFonts w:ascii="Corbel" w:hAnsi="Corbel"/>
                <w:sz w:val="20"/>
                <w:szCs w:val="20"/>
              </w:rPr>
              <w:t>specification of entitlements in regulated surface water systems, consistent with clauses 28 to 32 of the National Water Initiative in the timeframe agreed in the IGA, unless where otherwise agreed; and</w:t>
            </w:r>
          </w:p>
          <w:p w14:paraId="5DBA5DDA" w14:textId="77777777" w:rsidR="00A372C3" w:rsidRPr="006848C8" w:rsidRDefault="00A372C3" w:rsidP="00A372C3">
            <w:pPr>
              <w:spacing w:after="80"/>
              <w:rPr>
                <w:rFonts w:eastAsia="MS Mincho"/>
                <w:sz w:val="20"/>
              </w:rPr>
            </w:pPr>
            <w:r w:rsidRPr="006848C8">
              <w:rPr>
                <w:rFonts w:eastAsia="MS Mincho"/>
                <w:sz w:val="20"/>
              </w:rPr>
              <w:t>3. Following publication of the Constraints Management Strategy by the Authority, confirmation that any actions taken by the state to remove or address constraints are consistent with the measures agreed through the inter-jurisdictional governance procedure for the SDL adjustment mechanism; and</w:t>
            </w:r>
          </w:p>
          <w:p w14:paraId="51AF4B30" w14:textId="77777777" w:rsidR="00A372C3" w:rsidRPr="006848C8" w:rsidRDefault="00A372C3" w:rsidP="00A372C3">
            <w:pPr>
              <w:spacing w:after="80"/>
              <w:rPr>
                <w:rFonts w:eastAsia="MS Mincho"/>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445DB" w14:textId="77777777" w:rsidR="00A372C3" w:rsidRDefault="00A372C3">
            <w:pPr>
              <w:spacing w:after="80"/>
              <w:jc w:val="left"/>
              <w:rPr>
                <w:rFonts w:eastAsia="MS Mincho"/>
                <w:sz w:val="20"/>
              </w:rPr>
            </w:pPr>
            <w:r w:rsidRPr="006711A1">
              <w:rPr>
                <w:rFonts w:eastAsia="MS Mincho"/>
                <w:sz w:val="20"/>
              </w:rPr>
              <w:t>100%</w:t>
            </w:r>
            <w:r>
              <w:rPr>
                <w:rFonts w:eastAsia="MS Mincho"/>
                <w:sz w:val="20"/>
              </w:rPr>
              <w:t xml:space="preserve"> of Payment 2 for 2013-14 (Table 1 refers)</w:t>
            </w:r>
          </w:p>
        </w:tc>
      </w:tr>
      <w:tr w:rsidR="00615CAE" w14:paraId="17B2C48C" w14:textId="77777777" w:rsidTr="00A372C3">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7E213" w14:textId="77777777" w:rsidR="00A372C3" w:rsidRPr="00BF67CC" w:rsidRDefault="00A372C3" w:rsidP="00A372C3">
            <w:pPr>
              <w:spacing w:after="80"/>
              <w:jc w:val="center"/>
              <w:rPr>
                <w:rFonts w:eastAsia="MS Mincho"/>
                <w:b/>
                <w:sz w:val="20"/>
              </w:rPr>
            </w:pPr>
            <w:r>
              <w:br w:type="page"/>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8AB05" w14:textId="77777777" w:rsidR="00A372C3" w:rsidRPr="006711A1" w:rsidRDefault="00A372C3" w:rsidP="00A372C3">
            <w:pPr>
              <w:spacing w:after="120" w:line="240" w:lineRule="auto"/>
              <w:jc w:val="left"/>
              <w:rPr>
                <w:sz w:val="20"/>
              </w:rPr>
            </w:pPr>
            <w:r>
              <w:rPr>
                <w:sz w:val="20"/>
              </w:rPr>
              <w:t>4</w:t>
            </w:r>
            <w:r w:rsidRPr="006711A1">
              <w:rPr>
                <w:sz w:val="20"/>
              </w:rPr>
              <w:t xml:space="preserve">. The State has </w:t>
            </w:r>
            <w:r>
              <w:rPr>
                <w:sz w:val="20"/>
              </w:rPr>
              <w:t xml:space="preserve">cooperated in arrangements for </w:t>
            </w:r>
            <w:r w:rsidRPr="006711A1">
              <w:rPr>
                <w:sz w:val="20"/>
              </w:rPr>
              <w:t>Basin Plan environmental watering, as measured by:</w:t>
            </w:r>
          </w:p>
          <w:p w14:paraId="4DE5E0E4" w14:textId="77777777" w:rsidR="00A372C3" w:rsidRPr="006711A1" w:rsidRDefault="00A372C3" w:rsidP="00EF4EBC">
            <w:pPr>
              <w:pStyle w:val="ListParagraph"/>
              <w:numPr>
                <w:ilvl w:val="0"/>
                <w:numId w:val="26"/>
              </w:numPr>
              <w:spacing w:after="120"/>
              <w:rPr>
                <w:rFonts w:ascii="Corbel" w:hAnsi="Corbel"/>
                <w:sz w:val="20"/>
              </w:rPr>
            </w:pPr>
            <w:r w:rsidRPr="00F8693E">
              <w:rPr>
                <w:rFonts w:ascii="Corbel" w:hAnsi="Corbel"/>
                <w:sz w:val="20"/>
              </w:rPr>
              <w:t xml:space="preserve">Except </w:t>
            </w:r>
            <w:r>
              <w:rPr>
                <w:rFonts w:ascii="Corbel" w:hAnsi="Corbel"/>
                <w:sz w:val="20"/>
              </w:rPr>
              <w:t>as</w:t>
            </w:r>
            <w:r w:rsidRPr="00F8693E">
              <w:rPr>
                <w:rFonts w:ascii="Corbel" w:hAnsi="Corbel"/>
                <w:sz w:val="20"/>
              </w:rPr>
              <w:t xml:space="preserve"> otherwise agreed between the Commonwealth and the relevant State(s) to facilitate improved environmental watering, confirmation that the characteristics of licensed entitlements held for environmental use have not been enhanced or diminished relative to like entitlements held and used for other purposes</w:t>
            </w:r>
            <w:r w:rsidRPr="006711A1">
              <w:rPr>
                <w:rFonts w:ascii="Corbel" w:hAnsi="Corbel"/>
                <w:sz w:val="20"/>
              </w:rPr>
              <w:t>; and</w:t>
            </w:r>
          </w:p>
          <w:p w14:paraId="06F17142" w14:textId="77777777" w:rsidR="00A372C3" w:rsidRPr="00F8693E" w:rsidRDefault="00A372C3" w:rsidP="00EF4EBC">
            <w:pPr>
              <w:pStyle w:val="ListParagraph"/>
              <w:numPr>
                <w:ilvl w:val="0"/>
                <w:numId w:val="26"/>
              </w:numPr>
              <w:rPr>
                <w:rFonts w:ascii="Corbel" w:hAnsi="Corbel"/>
                <w:sz w:val="20"/>
              </w:rPr>
            </w:pPr>
            <w:r w:rsidRPr="00F8693E">
              <w:rPr>
                <w:rFonts w:ascii="Corbel" w:hAnsi="Corbel"/>
                <w:sz w:val="20"/>
              </w:rPr>
              <w:t xml:space="preserve">Where feasible and agreed by the relevant </w:t>
            </w:r>
            <w:r>
              <w:rPr>
                <w:rFonts w:ascii="Corbel" w:hAnsi="Corbel"/>
                <w:sz w:val="20"/>
              </w:rPr>
              <w:t xml:space="preserve">Basin </w:t>
            </w:r>
            <w:r w:rsidRPr="00F8693E">
              <w:rPr>
                <w:rFonts w:ascii="Corbel" w:hAnsi="Corbel"/>
                <w:sz w:val="20"/>
              </w:rPr>
              <w:t>State, and where associated third party impacts have been considered, confirmation that measures have been implemented to facilitate the use of environmental water by protecting environmental water in-stream and on land through:</w:t>
            </w:r>
          </w:p>
          <w:p w14:paraId="7792B010" w14:textId="77777777" w:rsidR="00A372C3" w:rsidRPr="00F8693E" w:rsidRDefault="00A372C3" w:rsidP="00A372C3">
            <w:pPr>
              <w:pStyle w:val="ListParagraph"/>
              <w:rPr>
                <w:rFonts w:ascii="Corbel" w:hAnsi="Corbel"/>
                <w:sz w:val="20"/>
              </w:rPr>
            </w:pPr>
            <w:r>
              <w:rPr>
                <w:rFonts w:ascii="Corbel" w:hAnsi="Corbel"/>
                <w:sz w:val="20"/>
              </w:rPr>
              <w:t xml:space="preserve">(i) </w:t>
            </w:r>
            <w:r w:rsidRPr="00F8693E">
              <w:rPr>
                <w:rFonts w:ascii="Corbel" w:hAnsi="Corbel"/>
                <w:sz w:val="20"/>
              </w:rPr>
              <w:t xml:space="preserve">the delivery of held environmental water in-stream though arrangements such as water shepherding to facilitate environmental flows; </w:t>
            </w:r>
            <w:r>
              <w:rPr>
                <w:rFonts w:ascii="Corbel" w:hAnsi="Corbel"/>
                <w:sz w:val="20"/>
              </w:rPr>
              <w:t>and</w:t>
            </w:r>
          </w:p>
          <w:p w14:paraId="517953C4" w14:textId="77777777" w:rsidR="00A372C3" w:rsidRPr="006711A1" w:rsidRDefault="00A372C3" w:rsidP="00A372C3">
            <w:pPr>
              <w:pStyle w:val="ListParagraph"/>
              <w:spacing w:after="120"/>
              <w:rPr>
                <w:rFonts w:ascii="Corbel" w:hAnsi="Corbel"/>
                <w:sz w:val="20"/>
              </w:rPr>
            </w:pPr>
            <w:r>
              <w:rPr>
                <w:rFonts w:ascii="Corbel" w:hAnsi="Corbel"/>
                <w:sz w:val="20"/>
              </w:rPr>
              <w:t>(ii</w:t>
            </w:r>
            <w:r w:rsidRPr="00F8693E">
              <w:rPr>
                <w:rFonts w:ascii="Corbel" w:hAnsi="Corbel"/>
                <w:sz w:val="20"/>
              </w:rPr>
              <w:t>)</w:t>
            </w:r>
            <w:r>
              <w:rPr>
                <w:rFonts w:ascii="Corbel" w:hAnsi="Corbel"/>
                <w:sz w:val="20"/>
              </w:rPr>
              <w:t xml:space="preserve"> </w:t>
            </w:r>
            <w:r w:rsidRPr="00F8693E">
              <w:rPr>
                <w:rFonts w:ascii="Corbel" w:hAnsi="Corbel"/>
                <w:sz w:val="20"/>
              </w:rPr>
              <w:t>further use of environmental water at multiple locations along the river, such as through return flow provisions; and</w:t>
            </w:r>
          </w:p>
          <w:p w14:paraId="368F6D15" w14:textId="77777777" w:rsidR="00A372C3" w:rsidRPr="006711A1" w:rsidRDefault="00A372C3" w:rsidP="00EF4EBC">
            <w:pPr>
              <w:pStyle w:val="ListParagraph"/>
              <w:numPr>
                <w:ilvl w:val="0"/>
                <w:numId w:val="26"/>
              </w:numPr>
              <w:spacing w:after="120"/>
              <w:rPr>
                <w:rFonts w:ascii="Corbel" w:hAnsi="Corbel"/>
                <w:sz w:val="20"/>
              </w:rPr>
            </w:pPr>
            <w:r w:rsidRPr="006711A1">
              <w:rPr>
                <w:rFonts w:ascii="Corbel" w:hAnsi="Corbel"/>
                <w:sz w:val="20"/>
              </w:rPr>
              <w:t>confirmation that the Authority has been provided with annual environmental watering priorities, consistent with the Basin Plan;</w:t>
            </w:r>
            <w:r>
              <w:rPr>
                <w:rFonts w:ascii="Corbel" w:hAnsi="Corbel"/>
                <w:sz w:val="20"/>
              </w:rPr>
              <w:t xml:space="preserve"> and</w:t>
            </w:r>
          </w:p>
          <w:p w14:paraId="3758812B" w14:textId="77777777" w:rsidR="00A372C3" w:rsidRPr="006711A1" w:rsidRDefault="00A372C3" w:rsidP="00EF4EBC">
            <w:pPr>
              <w:pStyle w:val="ListParagraph"/>
              <w:numPr>
                <w:ilvl w:val="0"/>
                <w:numId w:val="26"/>
              </w:numPr>
              <w:rPr>
                <w:rFonts w:ascii="Corbel" w:hAnsi="Corbel"/>
                <w:sz w:val="20"/>
              </w:rPr>
            </w:pPr>
            <w:r w:rsidRPr="006711A1">
              <w:rPr>
                <w:rFonts w:ascii="Corbel" w:hAnsi="Corbel"/>
                <w:sz w:val="20"/>
              </w:rPr>
              <w:t>confirmation that the management and  delivery of planned and held environmental water is consistent with the Basin Plan; including:</w:t>
            </w:r>
          </w:p>
          <w:p w14:paraId="59600D7C" w14:textId="77777777" w:rsidR="00A372C3" w:rsidRPr="006711A1" w:rsidRDefault="00A372C3" w:rsidP="00EF4EBC">
            <w:pPr>
              <w:pStyle w:val="ListParagraph"/>
              <w:numPr>
                <w:ilvl w:val="1"/>
                <w:numId w:val="26"/>
              </w:numPr>
              <w:ind w:left="1169" w:hanging="283"/>
              <w:rPr>
                <w:rFonts w:ascii="Corbel" w:hAnsi="Corbel"/>
                <w:sz w:val="20"/>
              </w:rPr>
            </w:pPr>
            <w:r w:rsidRPr="006711A1">
              <w:rPr>
                <w:rFonts w:ascii="Corbel" w:hAnsi="Corbel"/>
                <w:sz w:val="20"/>
              </w:rPr>
              <w:t xml:space="preserve">the environmental watering plan’s </w:t>
            </w:r>
            <w:r w:rsidRPr="006711A1">
              <w:rPr>
                <w:rFonts w:ascii="Corbel" w:hAnsi="Corbel"/>
                <w:i/>
                <w:sz w:val="20"/>
              </w:rPr>
              <w:t>Principles to be applied to environmental watering</w:t>
            </w:r>
            <w:r w:rsidRPr="006711A1">
              <w:rPr>
                <w:rFonts w:ascii="Corbel" w:hAnsi="Corbel"/>
                <w:sz w:val="20"/>
              </w:rPr>
              <w:t>; and</w:t>
            </w:r>
          </w:p>
          <w:p w14:paraId="54F23718" w14:textId="77777777" w:rsidR="00A372C3" w:rsidRPr="006711A1" w:rsidRDefault="00A372C3" w:rsidP="00EF4EBC">
            <w:pPr>
              <w:pStyle w:val="ListParagraph"/>
              <w:numPr>
                <w:ilvl w:val="1"/>
                <w:numId w:val="26"/>
              </w:numPr>
              <w:spacing w:after="120"/>
              <w:ind w:left="1169" w:hanging="283"/>
              <w:rPr>
                <w:rFonts w:ascii="Corbel" w:hAnsi="Corbel"/>
                <w:sz w:val="20"/>
              </w:rPr>
            </w:pPr>
            <w:r w:rsidRPr="006711A1">
              <w:rPr>
                <w:rFonts w:ascii="Corbel" w:hAnsi="Corbel"/>
                <w:sz w:val="20"/>
              </w:rPr>
              <w:t>that a statement of reasons has been provided to the Authority for any environmental watering undertaken that was not in accordance with the Basin annual environmental watering priorities; and</w:t>
            </w:r>
          </w:p>
          <w:p w14:paraId="6B3886E2" w14:textId="77777777" w:rsidR="00A372C3" w:rsidRPr="006711A1" w:rsidRDefault="00A372C3" w:rsidP="00EF4EBC">
            <w:pPr>
              <w:pStyle w:val="ListParagraph"/>
              <w:numPr>
                <w:ilvl w:val="0"/>
                <w:numId w:val="26"/>
              </w:numPr>
              <w:spacing w:after="120"/>
              <w:rPr>
                <w:rFonts w:ascii="Corbel" w:hAnsi="Corbel"/>
                <w:sz w:val="20"/>
              </w:rPr>
            </w:pPr>
            <w:r w:rsidRPr="006711A1">
              <w:rPr>
                <w:rFonts w:ascii="Corbel" w:hAnsi="Corbel"/>
                <w:sz w:val="20"/>
              </w:rPr>
              <w:t>confirmation that environmental watering in regulated catchments has occurred having regard to the views of local communities and persons materially affected by the management of environmental water; and</w:t>
            </w:r>
          </w:p>
          <w:p w14:paraId="729B6CE8" w14:textId="77777777" w:rsidR="00A372C3" w:rsidRPr="002124AF" w:rsidRDefault="00A372C3" w:rsidP="00EF4EBC">
            <w:pPr>
              <w:pStyle w:val="ListParagraph"/>
              <w:numPr>
                <w:ilvl w:val="0"/>
                <w:numId w:val="26"/>
              </w:numPr>
              <w:spacing w:after="120"/>
              <w:rPr>
                <w:rFonts w:ascii="Corbel" w:hAnsi="Corbel"/>
                <w:sz w:val="20"/>
              </w:rPr>
            </w:pPr>
            <w:r w:rsidRPr="006711A1">
              <w:rPr>
                <w:rFonts w:ascii="Corbel" w:hAnsi="Corbel"/>
                <w:sz w:val="20"/>
              </w:rPr>
              <w:t xml:space="preserve">12 months after the Authority has made the Basin-wide Environmental Watering Strategy, </w:t>
            </w:r>
            <w:r w:rsidRPr="00F4032C">
              <w:rPr>
                <w:rFonts w:ascii="Corbel" w:hAnsi="Corbel"/>
                <w:sz w:val="20"/>
              </w:rPr>
              <w:t>or within another timeframe agreed between the Authority and Basin State,</w:t>
            </w:r>
            <w:r>
              <w:rPr>
                <w:rFonts w:ascii="Corbel" w:hAnsi="Corbel"/>
                <w:sz w:val="20"/>
              </w:rPr>
              <w:t xml:space="preserve"> </w:t>
            </w:r>
            <w:r w:rsidRPr="006711A1">
              <w:rPr>
                <w:rFonts w:ascii="Corbel" w:hAnsi="Corbel"/>
                <w:sz w:val="20"/>
              </w:rPr>
              <w:t>confirmation that long-term environmental watering plans for surface water resource plan areas have been developed consistent with the requirements of the Basin Plan</w:t>
            </w:r>
            <w:r>
              <w:rPr>
                <w:rFonts w:ascii="Corbel" w:hAnsi="Corbel"/>
                <w:sz w:val="20"/>
              </w:rPr>
              <w:t>; and</w:t>
            </w:r>
          </w:p>
          <w:p w14:paraId="4FADF432" w14:textId="77777777" w:rsidR="00A372C3" w:rsidRDefault="00A372C3" w:rsidP="00A372C3">
            <w:pPr>
              <w:spacing w:after="80"/>
              <w:rPr>
                <w:rFonts w:eastAsia="MS Mincho"/>
                <w:b/>
                <w:sz w:val="20"/>
              </w:rPr>
            </w:pPr>
            <w:r>
              <w:rPr>
                <w:sz w:val="20"/>
              </w:rPr>
              <w:t>5. For New South Wales, Victoria and South Australia only, the State has provided a brief description of supply measure projects for which feasibility and business cases are being developed for consideration under the SDL adjustment mechanism.</w:t>
            </w:r>
          </w:p>
          <w:p w14:paraId="5F7DFC00" w14:textId="77777777" w:rsidR="00A372C3" w:rsidRDefault="00A372C3" w:rsidP="00A372C3">
            <w:pPr>
              <w:spacing w:after="80"/>
              <w:rPr>
                <w:rFonts w:eastAsia="MS Mincho"/>
                <w:b/>
                <w:sz w:val="20"/>
              </w:rPr>
            </w:pPr>
          </w:p>
          <w:p w14:paraId="7F398408" w14:textId="77777777" w:rsidR="00A372C3" w:rsidRDefault="00A372C3" w:rsidP="00A372C3">
            <w:pPr>
              <w:spacing w:after="80"/>
              <w:rPr>
                <w:rFonts w:eastAsia="MS Mincho"/>
                <w:b/>
                <w:sz w:val="20"/>
              </w:rPr>
            </w:pPr>
          </w:p>
          <w:p w14:paraId="5C8B26A8" w14:textId="77777777" w:rsidR="00A372C3" w:rsidRDefault="00A372C3" w:rsidP="00A372C3">
            <w:pPr>
              <w:spacing w:after="80"/>
              <w:rPr>
                <w:rFonts w:eastAsia="MS Mincho"/>
                <w:b/>
                <w:sz w:val="20"/>
              </w:rPr>
            </w:pPr>
          </w:p>
          <w:p w14:paraId="6156EFB1" w14:textId="77777777" w:rsidR="00A372C3" w:rsidRDefault="00A372C3" w:rsidP="00A372C3">
            <w:pPr>
              <w:spacing w:after="80"/>
              <w:rPr>
                <w:rFonts w:eastAsia="MS Mincho"/>
                <w:b/>
                <w:sz w:val="20"/>
              </w:rPr>
            </w:pPr>
          </w:p>
          <w:p w14:paraId="5F365262" w14:textId="77777777" w:rsidR="00A372C3" w:rsidRPr="00BF67CC" w:rsidRDefault="00A372C3" w:rsidP="00A372C3">
            <w:pPr>
              <w:spacing w:after="80"/>
              <w:rPr>
                <w:rFonts w:eastAsia="MS Mincho"/>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367D2" w14:textId="77777777" w:rsidR="00A372C3" w:rsidRPr="00CF26A5" w:rsidRDefault="00A372C3" w:rsidP="00A372C3">
            <w:pPr>
              <w:spacing w:after="80"/>
              <w:jc w:val="center"/>
              <w:rPr>
                <w:rFonts w:eastAsia="MS Mincho"/>
                <w:sz w:val="20"/>
              </w:rPr>
            </w:pPr>
          </w:p>
        </w:tc>
      </w:tr>
      <w:tr w:rsidR="00615CAE" w14:paraId="4CA65BF6" w14:textId="77777777" w:rsidTr="00A372C3">
        <w:trPr>
          <w:trHeight w:val="156"/>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AFFDB" w14:textId="77777777" w:rsidR="00A372C3" w:rsidRPr="00BF67CC" w:rsidRDefault="00A372C3" w:rsidP="00A372C3">
            <w:pPr>
              <w:spacing w:after="80"/>
              <w:jc w:val="center"/>
              <w:rPr>
                <w:rFonts w:eastAsia="MS Mincho"/>
                <w:b/>
                <w:sz w:val="20"/>
              </w:rPr>
            </w:pPr>
            <w:r w:rsidRPr="00BF67CC">
              <w:rPr>
                <w:rFonts w:eastAsia="MS Mincho"/>
                <w:b/>
                <w:sz w:val="20"/>
              </w:rPr>
              <w:t>201</w:t>
            </w:r>
            <w:r>
              <w:rPr>
                <w:rFonts w:eastAsia="MS Mincho"/>
                <w:b/>
                <w:sz w:val="20"/>
              </w:rPr>
              <w:t>4</w:t>
            </w:r>
            <w:r w:rsidRPr="00BF67CC">
              <w:rPr>
                <w:rFonts w:eastAsia="MS Mincho"/>
                <w:b/>
                <w:sz w:val="20"/>
              </w:rPr>
              <w:t>-1</w:t>
            </w:r>
            <w:r>
              <w:rPr>
                <w:rFonts w:eastAsia="MS Mincho"/>
                <w:b/>
                <w:sz w:val="20"/>
              </w:rPr>
              <w:t>5</w:t>
            </w:r>
            <w:r w:rsidRPr="00BF67CC">
              <w:rPr>
                <w:rFonts w:eastAsia="MS Mincho"/>
                <w:b/>
                <w:sz w:val="20"/>
              </w:rPr>
              <w:t xml:space="preserve"> to 2019-20</w:t>
            </w:r>
          </w:p>
        </w:tc>
      </w:tr>
      <w:tr w:rsidR="00615CAE" w14:paraId="572232C8" w14:textId="77777777" w:rsidTr="00A372C3">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22B952" w14:textId="77777777" w:rsidR="00A372C3" w:rsidRPr="00BF67CC" w:rsidRDefault="00A372C3" w:rsidP="00A372C3">
            <w:pPr>
              <w:spacing w:after="80"/>
              <w:jc w:val="center"/>
              <w:rPr>
                <w:rFonts w:eastAsia="MS Mincho"/>
                <w:b/>
                <w:sz w:val="20"/>
              </w:rPr>
            </w:pPr>
            <w:r>
              <w:rPr>
                <w:sz w:val="20"/>
              </w:rPr>
              <w:t xml:space="preserve">By </w:t>
            </w:r>
            <w:r w:rsidRPr="00BF67CC">
              <w:rPr>
                <w:sz w:val="20"/>
              </w:rPr>
              <w:t xml:space="preserve">31 </w:t>
            </w:r>
            <w:r>
              <w:rPr>
                <w:sz w:val="20"/>
              </w:rPr>
              <w:t>August</w:t>
            </w:r>
            <w:r w:rsidRPr="00BF67CC">
              <w:rPr>
                <w:sz w:val="20"/>
              </w:rPr>
              <w:t xml:space="preserve">  201</w:t>
            </w:r>
            <w:r>
              <w:rPr>
                <w:sz w:val="20"/>
              </w:rPr>
              <w:t>4, 2015, 2016, 2017, 2018 and</w:t>
            </w:r>
            <w:r w:rsidR="00E214E5">
              <w:rPr>
                <w:sz w:val="20"/>
              </w:rPr>
              <w:t xml:space="preserve"> </w:t>
            </w:r>
            <w:r w:rsidRPr="00BF67CC">
              <w:rPr>
                <w:sz w:val="20"/>
              </w:rPr>
              <w:t>2019</w:t>
            </w:r>
            <w:r>
              <w:rPr>
                <w:sz w:val="20"/>
              </w:rPr>
              <w:t xml:space="preserve"> (or first working day thereafter)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C472C" w14:textId="77777777" w:rsidR="00A372C3" w:rsidRPr="006711A1" w:rsidRDefault="00A372C3" w:rsidP="00A372C3">
            <w:pPr>
              <w:spacing w:after="120" w:line="240" w:lineRule="auto"/>
              <w:jc w:val="left"/>
              <w:rPr>
                <w:sz w:val="20"/>
              </w:rPr>
            </w:pPr>
            <w:r>
              <w:rPr>
                <w:sz w:val="20"/>
              </w:rPr>
              <w:t>6</w:t>
            </w:r>
            <w:r w:rsidRPr="006711A1">
              <w:rPr>
                <w:sz w:val="20"/>
              </w:rPr>
              <w:t>. The State has supported the Commonwealth in Bridging the Gap, as measured by:</w:t>
            </w:r>
          </w:p>
          <w:p w14:paraId="7DB3284A" w14:textId="77777777" w:rsidR="00A372C3" w:rsidRDefault="00A372C3" w:rsidP="00EF4EBC">
            <w:pPr>
              <w:pStyle w:val="ListParagraph"/>
              <w:numPr>
                <w:ilvl w:val="0"/>
                <w:numId w:val="29"/>
              </w:numPr>
              <w:spacing w:after="120" w:line="260" w:lineRule="exact"/>
              <w:rPr>
                <w:rFonts w:ascii="Corbel" w:hAnsi="Corbel"/>
                <w:sz w:val="20"/>
              </w:rPr>
            </w:pPr>
            <w:r w:rsidRPr="006711A1">
              <w:rPr>
                <w:rFonts w:ascii="Corbel" w:hAnsi="Corbel"/>
                <w:sz w:val="20"/>
              </w:rPr>
              <w:t>after the Basin Plan Trade Rules come into effect, confirmation of the removal of volumetric or other barriers to permanent trade out of water irrigation areas that are inconsistent with the Basin Plan water trading rules; and</w:t>
            </w:r>
          </w:p>
          <w:p w14:paraId="5D1D9FC2" w14:textId="77777777" w:rsidR="00A372C3" w:rsidRPr="00F4032C" w:rsidRDefault="00A372C3" w:rsidP="00EF4EBC">
            <w:pPr>
              <w:pStyle w:val="ListParagraph"/>
              <w:numPr>
                <w:ilvl w:val="0"/>
                <w:numId w:val="29"/>
              </w:numPr>
              <w:spacing w:after="120" w:line="260" w:lineRule="exact"/>
              <w:rPr>
                <w:rFonts w:ascii="Corbel" w:hAnsi="Corbel"/>
                <w:sz w:val="20"/>
              </w:rPr>
            </w:pPr>
            <w:r w:rsidRPr="00F4032C">
              <w:rPr>
                <w:rFonts w:ascii="Corbel" w:hAnsi="Corbel"/>
                <w:sz w:val="20"/>
              </w:rPr>
              <w:t>confirmation that no restrictions were introduced on the trade of water access entitlements, except where consistent with the Basin Plan water trading rules; and</w:t>
            </w:r>
          </w:p>
          <w:p w14:paraId="5486BF80" w14:textId="77777777" w:rsidR="00A372C3" w:rsidRPr="006711A1" w:rsidRDefault="00A372C3" w:rsidP="00EF4EBC">
            <w:pPr>
              <w:pStyle w:val="ListParagraph"/>
              <w:numPr>
                <w:ilvl w:val="0"/>
                <w:numId w:val="29"/>
              </w:numPr>
              <w:spacing w:after="120"/>
              <w:rPr>
                <w:rFonts w:ascii="Corbel" w:hAnsi="Corbel"/>
                <w:sz w:val="20"/>
              </w:rPr>
            </w:pPr>
            <w:r w:rsidRPr="00F4032C">
              <w:rPr>
                <w:rFonts w:ascii="Corbel" w:hAnsi="Corbel"/>
                <w:sz w:val="20"/>
              </w:rPr>
              <w:t>confirmation that no action has been taken to impede Commonwealth measures to acquire water for environmental purposes</w:t>
            </w:r>
            <w:r>
              <w:rPr>
                <w:rFonts w:ascii="Corbel" w:hAnsi="Corbel"/>
                <w:sz w:val="20"/>
              </w:rPr>
              <w:t xml:space="preserve">, </w:t>
            </w:r>
            <w:r>
              <w:rPr>
                <w:rFonts w:ascii="Corbel" w:hAnsi="Corbel"/>
                <w:sz w:val="20"/>
                <w:szCs w:val="20"/>
              </w:rPr>
              <w:t>except where consistent with the Basin Plan water trading rules</w:t>
            </w:r>
            <w:r w:rsidRPr="006711A1">
              <w:rPr>
                <w:rFonts w:ascii="Corbel" w:hAnsi="Corbel"/>
                <w:sz w:val="20"/>
              </w:rPr>
              <w:t xml:space="preserve">; and </w:t>
            </w:r>
          </w:p>
          <w:p w14:paraId="506D6C2A" w14:textId="77777777" w:rsidR="00A372C3" w:rsidRPr="006711A1" w:rsidRDefault="00A372C3" w:rsidP="00EF4EBC">
            <w:pPr>
              <w:pStyle w:val="ListParagraph"/>
              <w:numPr>
                <w:ilvl w:val="0"/>
                <w:numId w:val="29"/>
              </w:numPr>
              <w:spacing w:after="120"/>
              <w:rPr>
                <w:rFonts w:ascii="Corbel" w:hAnsi="Corbel"/>
                <w:sz w:val="20"/>
              </w:rPr>
            </w:pPr>
            <w:r w:rsidRPr="006711A1">
              <w:rPr>
                <w:rFonts w:ascii="Corbel" w:hAnsi="Corbel"/>
                <w:sz w:val="20"/>
              </w:rPr>
              <w:t>confirmation that applications for water entitlement and allocation trades, to which the Commonwealth is a party, were processed consistent with the agreed service standards relating to trade processing times</w:t>
            </w:r>
            <w:r w:rsidRPr="004B110C">
              <w:rPr>
                <w:rFonts w:ascii="Corbel" w:hAnsi="Corbel"/>
                <w:color w:val="000000"/>
                <w:sz w:val="20"/>
                <w:szCs w:val="20"/>
              </w:rPr>
              <w:t xml:space="preserve"> </w:t>
            </w:r>
            <w:r w:rsidRPr="004B110C">
              <w:rPr>
                <w:rFonts w:ascii="Corbel" w:hAnsi="Corbel"/>
                <w:sz w:val="20"/>
              </w:rPr>
              <w:t>for State approval agencies</w:t>
            </w:r>
            <w:r w:rsidRPr="006711A1">
              <w:rPr>
                <w:rFonts w:ascii="Corbel" w:hAnsi="Corbel"/>
                <w:sz w:val="20"/>
              </w:rPr>
              <w:t>; and</w:t>
            </w:r>
          </w:p>
          <w:p w14:paraId="10DB58DC" w14:textId="77777777" w:rsidR="00A372C3" w:rsidRPr="006711A1" w:rsidRDefault="00A372C3" w:rsidP="00EF4EBC">
            <w:pPr>
              <w:pStyle w:val="ListParagraph"/>
              <w:numPr>
                <w:ilvl w:val="0"/>
                <w:numId w:val="29"/>
              </w:numPr>
              <w:spacing w:after="120"/>
              <w:rPr>
                <w:rFonts w:ascii="Corbel" w:hAnsi="Corbel"/>
                <w:sz w:val="20"/>
              </w:rPr>
            </w:pPr>
            <w:r w:rsidRPr="006711A1">
              <w:rPr>
                <w:rFonts w:ascii="Corbel" w:hAnsi="Corbel"/>
                <w:sz w:val="20"/>
              </w:rPr>
              <w:t>specification of entitlements in regulated surface water systems, consistent with clauses 28 to 32 of the National Water Initiative in the timeframe agreed in the IGA, unless where otherwise agreed</w:t>
            </w:r>
            <w:r>
              <w:rPr>
                <w:rFonts w:ascii="Corbel" w:hAnsi="Corbel"/>
                <w:sz w:val="20"/>
              </w:rPr>
              <w:t>; and</w:t>
            </w:r>
          </w:p>
          <w:p w14:paraId="49EC9BFB" w14:textId="77777777" w:rsidR="00A372C3" w:rsidRPr="00BF67CC" w:rsidRDefault="00A372C3" w:rsidP="00A372C3">
            <w:pPr>
              <w:spacing w:after="120" w:line="240" w:lineRule="auto"/>
              <w:jc w:val="left"/>
              <w:rPr>
                <w:rFonts w:eastAsia="MS Mincho"/>
                <w:b/>
                <w:sz w:val="20"/>
              </w:rPr>
            </w:pPr>
            <w:r>
              <w:rPr>
                <w:sz w:val="20"/>
                <w:shd w:val="clear" w:color="auto" w:fill="FFFFFF" w:themeFill="background1"/>
              </w:rPr>
              <w:t>7</w:t>
            </w:r>
            <w:r w:rsidRPr="006711A1">
              <w:rPr>
                <w:sz w:val="20"/>
                <w:shd w:val="clear" w:color="auto" w:fill="FFFFFF" w:themeFill="background1"/>
              </w:rPr>
              <w:t xml:space="preserve">. Following publication of the Constraints Management Strategy by the Authority, </w:t>
            </w:r>
            <w:r w:rsidRPr="001E4FC4">
              <w:rPr>
                <w:sz w:val="20"/>
              </w:rPr>
              <w:t>confirmation</w:t>
            </w:r>
            <w:r w:rsidRPr="006711A1">
              <w:rPr>
                <w:sz w:val="20"/>
                <w:shd w:val="clear" w:color="auto" w:fill="FFFFFF" w:themeFill="background1"/>
              </w:rPr>
              <w:t xml:space="preserve"> that any actions taken by </w:t>
            </w:r>
            <w:r w:rsidRPr="006711A1">
              <w:rPr>
                <w:sz w:val="20"/>
              </w:rPr>
              <w:t>the state to remove or address constraints are consistent with the measures agreed through the inter-jurisdictional governance procedure for the SDL adjustment mechanism.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8BE88" w14:textId="77777777" w:rsidR="00A372C3" w:rsidRPr="00BF67CC" w:rsidRDefault="00A372C3" w:rsidP="00A372C3">
            <w:pPr>
              <w:spacing w:after="80"/>
              <w:jc w:val="center"/>
              <w:rPr>
                <w:rFonts w:eastAsia="MS Mincho"/>
                <w:b/>
                <w:sz w:val="20"/>
              </w:rPr>
            </w:pPr>
            <w:r>
              <w:rPr>
                <w:rFonts w:eastAsia="MS Mincho"/>
                <w:b/>
                <w:sz w:val="20"/>
              </w:rPr>
              <w:t>100%</w:t>
            </w:r>
          </w:p>
        </w:tc>
      </w:tr>
      <w:tr w:rsidR="00615CAE" w14:paraId="4A1A84C9" w14:textId="77777777" w:rsidTr="00A372C3">
        <w:trPr>
          <w:trHeight w:val="3349"/>
        </w:trPr>
        <w:tc>
          <w:tcPr>
            <w:tcW w:w="0" w:type="auto"/>
            <w:tcBorders>
              <w:top w:val="single" w:sz="4" w:space="0" w:color="auto"/>
              <w:left w:val="single" w:sz="4" w:space="0" w:color="auto"/>
              <w:bottom w:val="single" w:sz="4" w:space="0" w:color="auto"/>
              <w:right w:val="single" w:sz="4" w:space="0" w:color="auto"/>
            </w:tcBorders>
          </w:tcPr>
          <w:p w14:paraId="56031884" w14:textId="77777777" w:rsidR="00A372C3" w:rsidRPr="00BF67CC" w:rsidRDefault="00A372C3" w:rsidP="00A372C3">
            <w:pPr>
              <w:spacing w:after="80"/>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07571" w14:textId="77777777" w:rsidR="00A372C3" w:rsidRPr="00856334" w:rsidRDefault="00A372C3" w:rsidP="00A372C3">
            <w:pPr>
              <w:spacing w:after="120" w:line="240" w:lineRule="auto"/>
              <w:ind w:left="369" w:hanging="369"/>
              <w:jc w:val="left"/>
              <w:rPr>
                <w:sz w:val="20"/>
              </w:rPr>
            </w:pPr>
            <w:r>
              <w:rPr>
                <w:sz w:val="20"/>
              </w:rPr>
              <w:t>8</w:t>
            </w:r>
            <w:r w:rsidRPr="00856334">
              <w:rPr>
                <w:sz w:val="20"/>
              </w:rPr>
              <w:t xml:space="preserve">. The State has </w:t>
            </w:r>
            <w:r w:rsidRPr="0058357B">
              <w:rPr>
                <w:sz w:val="20"/>
              </w:rPr>
              <w:t xml:space="preserve">cooperated in arrangements for </w:t>
            </w:r>
            <w:r w:rsidRPr="00856334">
              <w:rPr>
                <w:sz w:val="20"/>
              </w:rPr>
              <w:t>Basin Plan environmental watering, as measured by:</w:t>
            </w:r>
          </w:p>
          <w:p w14:paraId="0B3642B3" w14:textId="77777777" w:rsidR="00A372C3" w:rsidRDefault="00A372C3" w:rsidP="00EF4EBC">
            <w:pPr>
              <w:pStyle w:val="ListParagraph"/>
              <w:numPr>
                <w:ilvl w:val="0"/>
                <w:numId w:val="30"/>
              </w:numPr>
              <w:spacing w:after="120"/>
              <w:rPr>
                <w:rFonts w:ascii="Corbel" w:hAnsi="Corbel"/>
                <w:sz w:val="20"/>
              </w:rPr>
            </w:pPr>
            <w:r w:rsidRPr="00786934">
              <w:rPr>
                <w:rFonts w:ascii="Corbel" w:hAnsi="Corbel"/>
                <w:sz w:val="20"/>
              </w:rPr>
              <w:t xml:space="preserve">Except </w:t>
            </w:r>
            <w:r>
              <w:rPr>
                <w:rFonts w:ascii="Corbel" w:hAnsi="Corbel"/>
                <w:sz w:val="20"/>
              </w:rPr>
              <w:t>as</w:t>
            </w:r>
            <w:r w:rsidRPr="00786934">
              <w:rPr>
                <w:rFonts w:ascii="Corbel" w:hAnsi="Corbel"/>
                <w:sz w:val="20"/>
              </w:rPr>
              <w:t xml:space="preserve"> otherwise agreed between the Commonwealth and the relevant State(s) to facilitate improved environmental watering, confirmation that the characteristics of licensed entitlements held for environmental use have not been enhanced or diminished relative to like entitlements held and used for other purposes</w:t>
            </w:r>
          </w:p>
          <w:p w14:paraId="3BA98DEA" w14:textId="77777777" w:rsidR="00A372C3" w:rsidRPr="00786934" w:rsidRDefault="00A372C3" w:rsidP="00EF4EBC">
            <w:pPr>
              <w:pStyle w:val="ListParagraph"/>
              <w:numPr>
                <w:ilvl w:val="0"/>
                <w:numId w:val="30"/>
              </w:numPr>
              <w:spacing w:after="120"/>
              <w:rPr>
                <w:rFonts w:ascii="Corbel" w:hAnsi="Corbel"/>
                <w:sz w:val="20"/>
              </w:rPr>
            </w:pPr>
            <w:r w:rsidRPr="00786934">
              <w:rPr>
                <w:rFonts w:ascii="Corbel" w:hAnsi="Corbel"/>
                <w:sz w:val="20"/>
              </w:rPr>
              <w:t xml:space="preserve">Where feasible and agreed by the relevant </w:t>
            </w:r>
            <w:r>
              <w:rPr>
                <w:rFonts w:ascii="Corbel" w:hAnsi="Corbel"/>
                <w:sz w:val="20"/>
              </w:rPr>
              <w:t xml:space="preserve">Basin </w:t>
            </w:r>
            <w:r w:rsidRPr="00786934">
              <w:rPr>
                <w:rFonts w:ascii="Corbel" w:hAnsi="Corbel"/>
                <w:sz w:val="20"/>
              </w:rPr>
              <w:t>State, and where associated third party impacts have been considered, confirmation that measures have been implemented to facilitate the use of environmental water by protecting environmental water in-stream and on land through:</w:t>
            </w:r>
          </w:p>
          <w:p w14:paraId="72B62F62" w14:textId="77777777" w:rsidR="00A372C3" w:rsidRPr="00F4032C" w:rsidRDefault="00A372C3" w:rsidP="00A372C3">
            <w:pPr>
              <w:pStyle w:val="ListParagraph"/>
              <w:spacing w:after="120"/>
              <w:rPr>
                <w:rFonts w:ascii="Corbel" w:hAnsi="Corbel"/>
                <w:sz w:val="20"/>
              </w:rPr>
            </w:pPr>
            <w:r w:rsidRPr="00F4032C">
              <w:rPr>
                <w:rFonts w:ascii="Corbel" w:hAnsi="Corbel"/>
                <w:sz w:val="20"/>
              </w:rPr>
              <w:t>(i) the delivery of held environmental water in-stream though arrangements such as water shepherding to facilitate environmental flows; and</w:t>
            </w:r>
          </w:p>
          <w:p w14:paraId="5244B996" w14:textId="77777777" w:rsidR="00A372C3" w:rsidRPr="00F4032C" w:rsidRDefault="00A372C3" w:rsidP="00A372C3">
            <w:pPr>
              <w:pStyle w:val="ListParagraph"/>
              <w:spacing w:after="120"/>
              <w:rPr>
                <w:rFonts w:ascii="Corbel" w:hAnsi="Corbel"/>
                <w:sz w:val="20"/>
              </w:rPr>
            </w:pPr>
            <w:r w:rsidRPr="00F4032C">
              <w:rPr>
                <w:rFonts w:ascii="Corbel" w:hAnsi="Corbel"/>
                <w:sz w:val="20"/>
              </w:rPr>
              <w:t>(ii) further use of environmental water at multiple locations along the river, such as through return flow provisions; and</w:t>
            </w:r>
          </w:p>
          <w:p w14:paraId="31909A6B" w14:textId="77777777" w:rsidR="00A372C3" w:rsidRPr="00F4032C" w:rsidRDefault="00A372C3" w:rsidP="00EF4EBC">
            <w:pPr>
              <w:pStyle w:val="ListParagraph"/>
              <w:numPr>
                <w:ilvl w:val="0"/>
                <w:numId w:val="30"/>
              </w:numPr>
              <w:spacing w:after="120"/>
              <w:rPr>
                <w:rFonts w:ascii="Corbel" w:hAnsi="Corbel"/>
                <w:sz w:val="20"/>
              </w:rPr>
            </w:pPr>
            <w:r w:rsidRPr="00F4032C">
              <w:rPr>
                <w:rFonts w:ascii="Corbel" w:hAnsi="Corbel"/>
                <w:sz w:val="20"/>
              </w:rPr>
              <w:t>confirmation that the Authority has been provided with annual environmental watering priorities, consistent with the Basin Plan; and</w:t>
            </w:r>
          </w:p>
          <w:p w14:paraId="1380B611" w14:textId="77777777" w:rsidR="00A372C3" w:rsidRPr="00F4032C" w:rsidRDefault="00A372C3" w:rsidP="00EF4EBC">
            <w:pPr>
              <w:pStyle w:val="ListParagraph"/>
              <w:numPr>
                <w:ilvl w:val="0"/>
                <w:numId w:val="30"/>
              </w:numPr>
              <w:spacing w:after="120"/>
              <w:rPr>
                <w:rFonts w:ascii="Corbel" w:hAnsi="Corbel"/>
                <w:sz w:val="20"/>
              </w:rPr>
            </w:pPr>
            <w:r>
              <w:rPr>
                <w:rFonts w:ascii="Corbel" w:hAnsi="Corbel"/>
                <w:sz w:val="20"/>
              </w:rPr>
              <w:t>confirmation that the management and  delivery of planned and held environmental water is consistent with the Basin Plan; including:</w:t>
            </w:r>
          </w:p>
          <w:p w14:paraId="4BD570AF" w14:textId="77777777" w:rsidR="00A372C3" w:rsidRPr="00F4032C" w:rsidRDefault="00A372C3" w:rsidP="00EF4EBC">
            <w:pPr>
              <w:pStyle w:val="ListParagraph"/>
              <w:numPr>
                <w:ilvl w:val="1"/>
                <w:numId w:val="31"/>
              </w:numPr>
              <w:spacing w:after="120"/>
              <w:ind w:left="1169" w:hanging="283"/>
              <w:rPr>
                <w:rFonts w:ascii="Corbel" w:hAnsi="Corbel"/>
                <w:sz w:val="20"/>
              </w:rPr>
            </w:pPr>
            <w:r>
              <w:rPr>
                <w:rFonts w:ascii="Corbel" w:hAnsi="Corbel"/>
                <w:sz w:val="20"/>
              </w:rPr>
              <w:t xml:space="preserve">the environmental watering plan’s </w:t>
            </w:r>
            <w:r>
              <w:rPr>
                <w:rFonts w:ascii="Corbel" w:hAnsi="Corbel"/>
                <w:i/>
                <w:sz w:val="20"/>
              </w:rPr>
              <w:t>Principles to be applied to environmental watering</w:t>
            </w:r>
            <w:r>
              <w:rPr>
                <w:rFonts w:ascii="Corbel" w:hAnsi="Corbel"/>
                <w:sz w:val="20"/>
              </w:rPr>
              <w:t>; and</w:t>
            </w:r>
          </w:p>
          <w:p w14:paraId="5650C07D" w14:textId="77777777" w:rsidR="00A372C3" w:rsidRPr="006711A1" w:rsidRDefault="00A372C3" w:rsidP="00EF4EBC">
            <w:pPr>
              <w:pStyle w:val="ListParagraph"/>
              <w:numPr>
                <w:ilvl w:val="1"/>
                <w:numId w:val="31"/>
              </w:numPr>
              <w:spacing w:after="120"/>
              <w:ind w:left="1169" w:hanging="283"/>
              <w:rPr>
                <w:rFonts w:ascii="Corbel" w:hAnsi="Corbel"/>
                <w:sz w:val="20"/>
              </w:rPr>
            </w:pPr>
            <w:r>
              <w:rPr>
                <w:rFonts w:ascii="Corbel" w:hAnsi="Corbel"/>
                <w:sz w:val="20"/>
              </w:rPr>
              <w:t>that a statement of reasons has been provided to the Authority for any environmental watering undertaken that was not in accordance with the Basin annual environmental watering priorities; an</w:t>
            </w:r>
            <w:r w:rsidRPr="006711A1">
              <w:rPr>
                <w:rFonts w:ascii="Corbel" w:hAnsi="Corbel"/>
                <w:sz w:val="20"/>
              </w:rPr>
              <w:t>d</w:t>
            </w:r>
          </w:p>
          <w:p w14:paraId="72F57038" w14:textId="77777777" w:rsidR="00A372C3" w:rsidRPr="006711A1" w:rsidRDefault="00A372C3" w:rsidP="00EF4EBC">
            <w:pPr>
              <w:pStyle w:val="ListParagraph"/>
              <w:numPr>
                <w:ilvl w:val="0"/>
                <w:numId w:val="30"/>
              </w:numPr>
              <w:spacing w:after="120"/>
              <w:rPr>
                <w:rFonts w:ascii="Corbel" w:hAnsi="Corbel"/>
                <w:sz w:val="20"/>
              </w:rPr>
            </w:pPr>
            <w:r w:rsidRPr="006711A1">
              <w:rPr>
                <w:rFonts w:ascii="Corbel" w:hAnsi="Corbel"/>
                <w:sz w:val="20"/>
              </w:rPr>
              <w:t>confirmation that environmental watering in regulated catchments has occurred having regard to the views of local communities and persons materially affected by the management of environmental water; and</w:t>
            </w:r>
          </w:p>
          <w:p w14:paraId="4CDF1B5D" w14:textId="77777777" w:rsidR="00A372C3" w:rsidRPr="006711A1" w:rsidRDefault="00A372C3" w:rsidP="00EF4EBC">
            <w:pPr>
              <w:pStyle w:val="ListParagraph"/>
              <w:numPr>
                <w:ilvl w:val="0"/>
                <w:numId w:val="30"/>
              </w:numPr>
              <w:spacing w:after="120" w:line="260" w:lineRule="exact"/>
              <w:rPr>
                <w:rFonts w:ascii="Corbel" w:hAnsi="Corbel"/>
                <w:sz w:val="20"/>
              </w:rPr>
            </w:pPr>
            <w:r w:rsidRPr="006711A1">
              <w:rPr>
                <w:rFonts w:ascii="Corbel" w:hAnsi="Corbel"/>
                <w:sz w:val="20"/>
              </w:rPr>
              <w:t>12 months after the Authority has made the Basin-wide Environmental Watering Strategy,</w:t>
            </w:r>
            <w:r>
              <w:rPr>
                <w:rFonts w:ascii="Corbel" w:hAnsi="Corbel"/>
                <w:sz w:val="20"/>
              </w:rPr>
              <w:t xml:space="preserve"> or within another timeframe agreed between the Authority and Basin State,</w:t>
            </w:r>
            <w:r w:rsidRPr="006711A1">
              <w:rPr>
                <w:rFonts w:ascii="Corbel" w:hAnsi="Corbel"/>
                <w:sz w:val="20"/>
              </w:rPr>
              <w:t xml:space="preserve"> confirmation that long-term environmental watering plans for surface water resource plan areas have been developed consistent with the requirements of the Basin Plan.</w:t>
            </w:r>
          </w:p>
          <w:p w14:paraId="2629A4C4" w14:textId="77777777" w:rsidR="00A372C3" w:rsidRPr="006711A1" w:rsidRDefault="00A372C3" w:rsidP="00A372C3">
            <w:pPr>
              <w:spacing w:after="120" w:line="240" w:lineRule="auto"/>
              <w:ind w:left="369" w:hanging="369"/>
              <w:jc w:val="left"/>
              <w:rPr>
                <w:sz w:val="20"/>
              </w:rPr>
            </w:pPr>
            <w:r>
              <w:rPr>
                <w:sz w:val="20"/>
              </w:rPr>
              <w:t>9</w:t>
            </w:r>
            <w:r w:rsidRPr="006711A1">
              <w:rPr>
                <w:sz w:val="20"/>
              </w:rPr>
              <w:t xml:space="preserve">. For New South Wales, Victoria and South Australia only, and for 2014 </w:t>
            </w:r>
            <w:r>
              <w:rPr>
                <w:sz w:val="20"/>
              </w:rPr>
              <w:t xml:space="preserve">-15 </w:t>
            </w:r>
            <w:r w:rsidRPr="006711A1">
              <w:rPr>
                <w:sz w:val="20"/>
              </w:rPr>
              <w:t>and 2015</w:t>
            </w:r>
            <w:r>
              <w:rPr>
                <w:sz w:val="20"/>
              </w:rPr>
              <w:t>-16</w:t>
            </w:r>
            <w:r w:rsidRPr="006711A1">
              <w:rPr>
                <w:sz w:val="20"/>
              </w:rPr>
              <w:t xml:space="preserve"> only, the State has provided a brief description of supply measure projects for which feasibility and business cases are being developed for consideration under the SDL adjustment mechanism.</w:t>
            </w:r>
          </w:p>
        </w:tc>
        <w:tc>
          <w:tcPr>
            <w:tcW w:w="0" w:type="auto"/>
            <w:tcBorders>
              <w:top w:val="single" w:sz="4" w:space="0" w:color="auto"/>
              <w:left w:val="single" w:sz="4" w:space="0" w:color="auto"/>
              <w:bottom w:val="single" w:sz="4" w:space="0" w:color="auto"/>
              <w:right w:val="single" w:sz="4" w:space="0" w:color="auto"/>
            </w:tcBorders>
          </w:tcPr>
          <w:p w14:paraId="26A2AED9" w14:textId="77777777" w:rsidR="00A372C3" w:rsidRPr="006711A1" w:rsidRDefault="00A372C3" w:rsidP="00A372C3">
            <w:pPr>
              <w:spacing w:after="120" w:line="240" w:lineRule="auto"/>
              <w:jc w:val="left"/>
              <w:rPr>
                <w:sz w:val="20"/>
              </w:rPr>
            </w:pPr>
          </w:p>
        </w:tc>
      </w:tr>
    </w:tbl>
    <w:p w14:paraId="7664F792" w14:textId="77777777" w:rsidR="00A372C3" w:rsidRDefault="00A372C3" w:rsidP="00A372C3"/>
    <w:sectPr w:rsidR="00A372C3" w:rsidSect="00A372C3">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75A5E" w14:textId="77777777" w:rsidR="008D596E" w:rsidRDefault="008D596E" w:rsidP="00615CAE">
      <w:pPr>
        <w:spacing w:after="0" w:line="240" w:lineRule="auto"/>
      </w:pPr>
      <w:r>
        <w:separator/>
      </w:r>
    </w:p>
  </w:endnote>
  <w:endnote w:type="continuationSeparator" w:id="0">
    <w:p w14:paraId="0B538102" w14:textId="77777777" w:rsidR="008D596E" w:rsidRDefault="008D596E" w:rsidP="0061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ZapfDingbats">
    <w:altName w:val="Times New Roman"/>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E6DC1" w14:textId="77777777" w:rsidR="008D596E" w:rsidRDefault="008D596E">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22F55AFC" w14:textId="77777777" w:rsidR="008D596E" w:rsidRDefault="008D596E">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E523F" w14:textId="77777777" w:rsidR="008D596E" w:rsidRDefault="008D596E" w:rsidP="00A372C3">
    <w:pPr>
      <w:pStyle w:val="FooterOdd"/>
      <w:keepNext/>
      <w:tabs>
        <w:tab w:val="num" w:pos="567"/>
        <w:tab w:val="left" w:pos="9309"/>
      </w:tabs>
    </w:pPr>
    <w:r>
      <w:tab/>
      <w:t xml:space="preserve">Page </w:t>
    </w:r>
    <w:r>
      <w:rPr>
        <w:rStyle w:val="PageNumber"/>
      </w:rPr>
      <w:fldChar w:fldCharType="begin"/>
    </w:r>
    <w:r>
      <w:rPr>
        <w:rStyle w:val="PageNumber"/>
      </w:rPr>
      <w:instrText xml:space="preserve"> PAGE </w:instrText>
    </w:r>
    <w:r>
      <w:rPr>
        <w:rStyle w:val="PageNumber"/>
      </w:rPr>
      <w:fldChar w:fldCharType="separate"/>
    </w:r>
    <w:r w:rsidR="00EF4EBC">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C5E3" w14:textId="77777777" w:rsidR="008D596E" w:rsidRDefault="008D596E">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4EBC">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C91F" w14:textId="77777777" w:rsidR="008D596E" w:rsidRDefault="008D596E">
    <w:pPr>
      <w:pStyle w:val="FooterEven"/>
    </w:pPr>
    <w:r>
      <w:t>Page D-2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7002"/>
      <w:docPartObj>
        <w:docPartGallery w:val="Page Numbers (Bottom of Page)"/>
        <w:docPartUnique/>
      </w:docPartObj>
    </w:sdtPr>
    <w:sdtEndPr/>
    <w:sdtContent>
      <w:p w14:paraId="6561F0BC" w14:textId="77777777" w:rsidR="008D596E" w:rsidRDefault="008D596E" w:rsidP="00A372C3">
        <w:pPr>
          <w:pStyle w:val="Footer"/>
          <w:jc w:val="right"/>
        </w:pPr>
        <w:r>
          <w:t xml:space="preserve">Page </w:t>
        </w:r>
        <w:r w:rsidR="001825B6">
          <w:fldChar w:fldCharType="begin"/>
        </w:r>
        <w:r w:rsidR="001825B6">
          <w:instrText xml:space="preserve"> PAGE   \* MERGEFORMAT </w:instrText>
        </w:r>
        <w:r w:rsidR="001825B6">
          <w:fldChar w:fldCharType="separate"/>
        </w:r>
        <w:r w:rsidR="00EF4EBC">
          <w:rPr>
            <w:noProof/>
          </w:rPr>
          <w:t>A-4</w:t>
        </w:r>
        <w:r w:rsidR="001825B6">
          <w:rPr>
            <w:noProof/>
          </w:rPr>
          <w:fldChar w:fldCharType="end"/>
        </w:r>
      </w:p>
    </w:sdtContent>
  </w:sdt>
  <w:p w14:paraId="795D4DBC" w14:textId="77777777" w:rsidR="008D596E" w:rsidRDefault="008D596E">
    <w:pPr>
      <w:pStyle w:val="FooterOd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7001"/>
      <w:docPartObj>
        <w:docPartGallery w:val="Page Numbers (Bottom of Page)"/>
        <w:docPartUnique/>
      </w:docPartObj>
    </w:sdtPr>
    <w:sdtEndPr/>
    <w:sdtContent>
      <w:p w14:paraId="6A450165" w14:textId="77777777" w:rsidR="008D596E" w:rsidRDefault="008D596E" w:rsidP="00A372C3">
        <w:pPr>
          <w:pStyle w:val="Footer"/>
          <w:jc w:val="right"/>
        </w:pPr>
        <w:r>
          <w:t xml:space="preserve">Page </w:t>
        </w:r>
        <w:r w:rsidR="001825B6">
          <w:fldChar w:fldCharType="begin"/>
        </w:r>
        <w:r w:rsidR="001825B6">
          <w:instrText xml:space="preserve"> PAGE   \* MERGEFORMAT </w:instrText>
        </w:r>
        <w:r w:rsidR="001825B6">
          <w:fldChar w:fldCharType="separate"/>
        </w:r>
        <w:r w:rsidR="00EF4EBC">
          <w:rPr>
            <w:noProof/>
          </w:rPr>
          <w:t>A-1</w:t>
        </w:r>
        <w:r w:rsidR="001825B6">
          <w:rPr>
            <w:noProof/>
          </w:rPr>
          <w:fldChar w:fldCharType="end"/>
        </w:r>
      </w:p>
    </w:sdtContent>
  </w:sdt>
  <w:p w14:paraId="74536B23" w14:textId="77777777" w:rsidR="008D596E" w:rsidRDefault="008D596E" w:rsidP="00A372C3">
    <w:pPr>
      <w:pStyle w:val="FooterEven"/>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968C3" w14:textId="77777777" w:rsidR="008D596E" w:rsidRDefault="008D596E" w:rsidP="00615CAE">
      <w:pPr>
        <w:spacing w:after="0" w:line="240" w:lineRule="auto"/>
      </w:pPr>
      <w:r>
        <w:separator/>
      </w:r>
    </w:p>
  </w:footnote>
  <w:footnote w:type="continuationSeparator" w:id="0">
    <w:p w14:paraId="64B07C80" w14:textId="77777777" w:rsidR="008D596E" w:rsidRDefault="008D596E" w:rsidP="00615CAE">
      <w:pPr>
        <w:spacing w:after="0" w:line="240" w:lineRule="auto"/>
      </w:pPr>
      <w:r>
        <w:continuationSeparator/>
      </w:r>
    </w:p>
  </w:footnote>
  <w:footnote w:id="1">
    <w:p w14:paraId="6BE8BAC6" w14:textId="77777777" w:rsidR="008D596E" w:rsidRDefault="008D596E">
      <w:pPr>
        <w:pStyle w:val="FootnoteText"/>
      </w:pPr>
      <w:r>
        <w:rPr>
          <w:rStyle w:val="FootnoteReference"/>
        </w:rPr>
        <w:footnoteRef/>
      </w:r>
      <w:r>
        <w:t xml:space="preserve"> </w:t>
      </w:r>
      <w:r>
        <w:tab/>
      </w:r>
      <w:r w:rsidRPr="00B4063E">
        <w:rPr>
          <w:sz w:val="20"/>
        </w:rPr>
        <w:t>Murray-Darling Basin State Governments are New South Wales, Victoria, Queensland, South Australia and the Australian Capital Territory</w:t>
      </w:r>
      <w:r>
        <w:rPr>
          <w:sz w:val="20"/>
        </w:rPr>
        <w:t xml:space="preserve">. </w:t>
      </w:r>
    </w:p>
  </w:footnote>
  <w:footnote w:id="2">
    <w:p w14:paraId="5A523C55" w14:textId="0432B359" w:rsidR="008D596E" w:rsidRDefault="008D596E">
      <w:pPr>
        <w:pStyle w:val="FootnoteText"/>
      </w:pPr>
      <w:r>
        <w:rPr>
          <w:rStyle w:val="FootnoteReference"/>
        </w:rPr>
        <w:footnoteRef/>
      </w:r>
      <w:r>
        <w:t xml:space="preserve"> </w:t>
      </w:r>
      <w:r>
        <w:tab/>
        <w:t>In the case of 2012-13 Assessment Reports for New South Wales and Queensland, these will be provided by the National Water Commission by 30 April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9BFF" w14:textId="77777777" w:rsidR="008D596E" w:rsidRPr="00814590" w:rsidRDefault="008D596E">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55CA0" w14:textId="77777777" w:rsidR="008D596E" w:rsidRPr="00FA38BC" w:rsidRDefault="008D596E" w:rsidP="00A372C3">
    <w:pPr>
      <w:pStyle w:val="FooterOdd"/>
      <w:keepNext/>
      <w:tabs>
        <w:tab w:val="num" w:pos="567"/>
        <w:tab w:val="left" w:pos="9309"/>
      </w:tabs>
      <w:jc w:val="center"/>
      <w:rPr>
        <w:color w:val="C00000"/>
        <w:sz w:val="24"/>
        <w:szCs w:val="24"/>
      </w:rPr>
    </w:pPr>
  </w:p>
  <w:p w14:paraId="590F1375" w14:textId="77777777" w:rsidR="008D596E" w:rsidRPr="00FA38BC" w:rsidRDefault="008D596E">
    <w:pPr>
      <w:pStyle w:val="HeaderOdd"/>
      <w:tabs>
        <w:tab w:val="num" w:pos="1134"/>
      </w:tabs>
      <w:rPr>
        <w:color w:val="4F81BD" w:themeColor="accent1"/>
      </w:rPr>
    </w:pPr>
    <w:r w:rsidRPr="00FA38BC">
      <w:rPr>
        <w:color w:val="4F81BD" w:themeColor="accent1"/>
      </w:rPr>
      <w:t>National Partnership Agreement on Impleme</w:t>
    </w:r>
    <w:r>
      <w:rPr>
        <w:color w:val="4F81BD" w:themeColor="accent1"/>
      </w:rPr>
      <w:t>nting Water Reform in the Murray-</w:t>
    </w:r>
    <w:r w:rsidRPr="00FA38BC">
      <w:rPr>
        <w:color w:val="4F81BD" w:themeColor="accent1"/>
      </w:rPr>
      <w:t>Darling Basin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6958" w14:textId="77777777" w:rsidR="008D596E" w:rsidRPr="00E064E8" w:rsidRDefault="008D596E" w:rsidP="00A372C3">
    <w:pPr>
      <w:pStyle w:val="Header"/>
      <w:jc w:val="center"/>
      <w:rPr>
        <w:rFonts w:ascii="Calibri" w:hAnsi="Calibri"/>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C897" w14:textId="77777777" w:rsidR="008D596E" w:rsidRDefault="008D59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6BAA" w14:textId="77777777" w:rsidR="008D596E" w:rsidRPr="00FA38BC" w:rsidRDefault="008D596E" w:rsidP="00A372C3">
    <w:pPr>
      <w:pStyle w:val="FooterOdd"/>
      <w:keepNext/>
      <w:tabs>
        <w:tab w:val="num" w:pos="567"/>
        <w:tab w:val="left" w:pos="9309"/>
      </w:tabs>
      <w:jc w:val="center"/>
      <w:rPr>
        <w:color w:val="C00000"/>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30FD" w14:textId="77777777" w:rsidR="008D596E" w:rsidRPr="00FA38BC" w:rsidRDefault="008D596E" w:rsidP="00A372C3">
    <w:pPr>
      <w:pStyle w:val="FooterOdd"/>
      <w:keepNext/>
      <w:tabs>
        <w:tab w:val="num" w:pos="567"/>
        <w:tab w:val="left" w:pos="9309"/>
      </w:tabs>
      <w:jc w:val="center"/>
      <w:rPr>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BDE2786"/>
    <w:lvl w:ilvl="0">
      <w:start w:val="1"/>
      <w:numFmt w:val="decimal"/>
      <w:pStyle w:val="ListNumber"/>
      <w:lvlText w:val="%1."/>
      <w:lvlJc w:val="left"/>
      <w:pPr>
        <w:tabs>
          <w:tab w:val="num" w:pos="360"/>
        </w:tabs>
        <w:ind w:left="360" w:hanging="360"/>
      </w:pPr>
    </w:lvl>
  </w:abstractNum>
  <w:abstractNum w:abstractNumId="1">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C135DD7"/>
    <w:multiLevelType w:val="hybridMultilevel"/>
    <w:tmpl w:val="E1AABEFC"/>
    <w:lvl w:ilvl="0" w:tplc="1EBC586C">
      <w:start w:val="1"/>
      <w:numFmt w:val="lowerLetter"/>
      <w:lvlText w:val="(%1)"/>
      <w:lvlJc w:val="left"/>
      <w:pPr>
        <w:ind w:left="720" w:hanging="360"/>
      </w:pPr>
      <w:rPr>
        <w:rFonts w:hint="default"/>
      </w:rPr>
    </w:lvl>
    <w:lvl w:ilvl="1" w:tplc="9DAC70EC">
      <w:start w:val="1"/>
      <w:numFmt w:val="lowerLetter"/>
      <w:lvlText w:val="%2."/>
      <w:lvlJc w:val="left"/>
      <w:pPr>
        <w:ind w:left="1440" w:hanging="360"/>
      </w:pPr>
    </w:lvl>
    <w:lvl w:ilvl="2" w:tplc="6A54B222">
      <w:start w:val="1"/>
      <w:numFmt w:val="lowerRoman"/>
      <w:lvlText w:val="%3."/>
      <w:lvlJc w:val="right"/>
      <w:pPr>
        <w:ind w:left="2160" w:hanging="180"/>
      </w:pPr>
    </w:lvl>
    <w:lvl w:ilvl="3" w:tplc="46B879FA" w:tentative="1">
      <w:start w:val="1"/>
      <w:numFmt w:val="decimal"/>
      <w:lvlText w:val="%4."/>
      <w:lvlJc w:val="left"/>
      <w:pPr>
        <w:ind w:left="2880" w:hanging="360"/>
      </w:pPr>
    </w:lvl>
    <w:lvl w:ilvl="4" w:tplc="11D69F74" w:tentative="1">
      <w:start w:val="1"/>
      <w:numFmt w:val="lowerLetter"/>
      <w:lvlText w:val="%5."/>
      <w:lvlJc w:val="left"/>
      <w:pPr>
        <w:ind w:left="3600" w:hanging="360"/>
      </w:pPr>
    </w:lvl>
    <w:lvl w:ilvl="5" w:tplc="A002DB66" w:tentative="1">
      <w:start w:val="1"/>
      <w:numFmt w:val="lowerRoman"/>
      <w:lvlText w:val="%6."/>
      <w:lvlJc w:val="right"/>
      <w:pPr>
        <w:ind w:left="4320" w:hanging="180"/>
      </w:pPr>
    </w:lvl>
    <w:lvl w:ilvl="6" w:tplc="5B36A564" w:tentative="1">
      <w:start w:val="1"/>
      <w:numFmt w:val="decimal"/>
      <w:lvlText w:val="%7."/>
      <w:lvlJc w:val="left"/>
      <w:pPr>
        <w:ind w:left="5040" w:hanging="360"/>
      </w:pPr>
    </w:lvl>
    <w:lvl w:ilvl="7" w:tplc="78B8AC90" w:tentative="1">
      <w:start w:val="1"/>
      <w:numFmt w:val="lowerLetter"/>
      <w:lvlText w:val="%8."/>
      <w:lvlJc w:val="left"/>
      <w:pPr>
        <w:ind w:left="5760" w:hanging="360"/>
      </w:pPr>
    </w:lvl>
    <w:lvl w:ilvl="8" w:tplc="ADA8B94C" w:tentative="1">
      <w:start w:val="1"/>
      <w:numFmt w:val="lowerRoman"/>
      <w:lvlText w:val="%9."/>
      <w:lvlJc w:val="right"/>
      <w:pPr>
        <w:ind w:left="6480" w:hanging="180"/>
      </w:pPr>
    </w:lvl>
  </w:abstractNum>
  <w:abstractNum w:abstractNumId="3">
    <w:nsid w:val="0CDC7973"/>
    <w:multiLevelType w:val="multilevel"/>
    <w:tmpl w:val="85DCB1C2"/>
    <w:lvl w:ilvl="0">
      <w:start w:val="1"/>
      <w:numFmt w:val="lowerRoman"/>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
    <w:nsid w:val="100F5523"/>
    <w:multiLevelType w:val="multilevel"/>
    <w:tmpl w:val="22A45432"/>
    <w:lvl w:ilvl="0">
      <w:start w:val="1"/>
      <w:numFmt w:val="lowerLetter"/>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
    <w:nsid w:val="169930BC"/>
    <w:multiLevelType w:val="multilevel"/>
    <w:tmpl w:val="22A45432"/>
    <w:lvl w:ilvl="0">
      <w:start w:val="1"/>
      <w:numFmt w:val="lowerLetter"/>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nsid w:val="19C960FD"/>
    <w:multiLevelType w:val="multilevel"/>
    <w:tmpl w:val="F9EA08CE"/>
    <w:lvl w:ilvl="0">
      <w:start w:val="1"/>
      <w:numFmt w:val="decimal"/>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FAC2E6F"/>
    <w:multiLevelType w:val="hybridMultilevel"/>
    <w:tmpl w:val="469AD774"/>
    <w:name w:val="OneLevelNumberedParagraphList"/>
    <w:lvl w:ilvl="0" w:tplc="512EC3BC">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AEE63F6">
      <w:start w:val="1"/>
      <w:numFmt w:val="lowerLetter"/>
      <w:lvlText w:val="%2."/>
      <w:lvlJc w:val="left"/>
      <w:pPr>
        <w:tabs>
          <w:tab w:val="num" w:pos="1440"/>
        </w:tabs>
        <w:ind w:left="1440" w:hanging="360"/>
      </w:pPr>
      <w:rPr>
        <w:rFonts w:cs="Times New Roman"/>
      </w:rPr>
    </w:lvl>
    <w:lvl w:ilvl="2" w:tplc="522CC946">
      <w:start w:val="1"/>
      <w:numFmt w:val="lowerRoman"/>
      <w:lvlText w:val="%3."/>
      <w:lvlJc w:val="right"/>
      <w:pPr>
        <w:tabs>
          <w:tab w:val="num" w:pos="2160"/>
        </w:tabs>
        <w:ind w:left="2160" w:hanging="180"/>
      </w:pPr>
      <w:rPr>
        <w:rFonts w:cs="Times New Roman"/>
      </w:rPr>
    </w:lvl>
    <w:lvl w:ilvl="3" w:tplc="0AB87FD8">
      <w:start w:val="1"/>
      <w:numFmt w:val="decimal"/>
      <w:lvlText w:val="%4."/>
      <w:lvlJc w:val="left"/>
      <w:pPr>
        <w:tabs>
          <w:tab w:val="num" w:pos="2880"/>
        </w:tabs>
        <w:ind w:left="2880" w:hanging="360"/>
      </w:pPr>
      <w:rPr>
        <w:rFonts w:cs="Times New Roman"/>
      </w:rPr>
    </w:lvl>
    <w:lvl w:ilvl="4" w:tplc="117ADF6C">
      <w:start w:val="1"/>
      <w:numFmt w:val="lowerLetter"/>
      <w:lvlText w:val="%5."/>
      <w:lvlJc w:val="left"/>
      <w:pPr>
        <w:tabs>
          <w:tab w:val="num" w:pos="3600"/>
        </w:tabs>
        <w:ind w:left="3600" w:hanging="360"/>
      </w:pPr>
      <w:rPr>
        <w:rFonts w:cs="Times New Roman"/>
      </w:rPr>
    </w:lvl>
    <w:lvl w:ilvl="5" w:tplc="B05C6D8C">
      <w:start w:val="1"/>
      <w:numFmt w:val="lowerRoman"/>
      <w:lvlText w:val="%6."/>
      <w:lvlJc w:val="right"/>
      <w:pPr>
        <w:tabs>
          <w:tab w:val="num" w:pos="4320"/>
        </w:tabs>
        <w:ind w:left="4320" w:hanging="180"/>
      </w:pPr>
      <w:rPr>
        <w:rFonts w:cs="Times New Roman"/>
      </w:rPr>
    </w:lvl>
    <w:lvl w:ilvl="6" w:tplc="096E2948">
      <w:start w:val="1"/>
      <w:numFmt w:val="decimal"/>
      <w:lvlText w:val="%7."/>
      <w:lvlJc w:val="left"/>
      <w:pPr>
        <w:tabs>
          <w:tab w:val="num" w:pos="5040"/>
        </w:tabs>
        <w:ind w:left="5040" w:hanging="360"/>
      </w:pPr>
      <w:rPr>
        <w:rFonts w:cs="Times New Roman"/>
      </w:rPr>
    </w:lvl>
    <w:lvl w:ilvl="7" w:tplc="14FE915C">
      <w:start w:val="1"/>
      <w:numFmt w:val="lowerLetter"/>
      <w:lvlText w:val="%8."/>
      <w:lvlJc w:val="left"/>
      <w:pPr>
        <w:tabs>
          <w:tab w:val="num" w:pos="5760"/>
        </w:tabs>
        <w:ind w:left="5760" w:hanging="360"/>
      </w:pPr>
      <w:rPr>
        <w:rFonts w:cs="Times New Roman"/>
      </w:rPr>
    </w:lvl>
    <w:lvl w:ilvl="8" w:tplc="1F8A72D8">
      <w:start w:val="1"/>
      <w:numFmt w:val="lowerRoman"/>
      <w:lvlText w:val="%9."/>
      <w:lvlJc w:val="right"/>
      <w:pPr>
        <w:tabs>
          <w:tab w:val="num" w:pos="6480"/>
        </w:tabs>
        <w:ind w:left="6480" w:hanging="180"/>
      </w:pPr>
      <w:rPr>
        <w:rFonts w:cs="Times New Roman"/>
      </w:rPr>
    </w:lvl>
  </w:abstractNum>
  <w:abstractNum w:abstractNumId="9">
    <w:nsid w:val="22B242CC"/>
    <w:multiLevelType w:val="multilevel"/>
    <w:tmpl w:val="E60E4706"/>
    <w:lvl w:ilvl="0">
      <w:start w:val="1"/>
      <w:numFmt w:val="none"/>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nsid w:val="27440C8B"/>
    <w:multiLevelType w:val="multilevel"/>
    <w:tmpl w:val="F2A403A2"/>
    <w:lvl w:ilvl="0">
      <w:start w:val="1"/>
      <w:numFmt w:val="bullet"/>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2">
    <w:nsid w:val="278D78E7"/>
    <w:multiLevelType w:val="multilevel"/>
    <w:tmpl w:val="5C4AE05C"/>
    <w:name w:val="StandardNumberedList"/>
    <w:lvl w:ilvl="0">
      <w:start w:val="1"/>
      <w:numFmt w:val="lowerRoman"/>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3">
    <w:nsid w:val="297A625E"/>
    <w:multiLevelType w:val="multilevel"/>
    <w:tmpl w:val="4412DE6C"/>
    <w:lvl w:ilvl="0">
      <w:start w:val="1"/>
      <w:numFmt w:val="none"/>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4">
    <w:nsid w:val="328B3D39"/>
    <w:multiLevelType w:val="hybridMultilevel"/>
    <w:tmpl w:val="652836B2"/>
    <w:lvl w:ilvl="0" w:tplc="0C3EE35E">
      <w:start w:val="1"/>
      <w:numFmt w:val="bullet"/>
      <w:lvlText w:val=""/>
      <w:lvlJc w:val="left"/>
      <w:pPr>
        <w:tabs>
          <w:tab w:val="num" w:pos="1134"/>
        </w:tabs>
        <w:ind w:left="1134" w:hanging="567"/>
      </w:pPr>
      <w:rPr>
        <w:rFonts w:ascii="ZapfDingbats" w:hAnsi="ZapfDingbats" w:hint="default"/>
        <w:color w:val="000080"/>
        <w:sz w:val="20"/>
      </w:rPr>
    </w:lvl>
    <w:lvl w:ilvl="1" w:tplc="43824722" w:tentative="1">
      <w:start w:val="1"/>
      <w:numFmt w:val="bullet"/>
      <w:lvlText w:val="o"/>
      <w:lvlJc w:val="left"/>
      <w:pPr>
        <w:tabs>
          <w:tab w:val="num" w:pos="2574"/>
        </w:tabs>
        <w:ind w:left="2574" w:hanging="360"/>
      </w:pPr>
      <w:rPr>
        <w:rFonts w:ascii="Courier New" w:hAnsi="Courier New" w:hint="default"/>
      </w:rPr>
    </w:lvl>
    <w:lvl w:ilvl="2" w:tplc="2F543392" w:tentative="1">
      <w:start w:val="1"/>
      <w:numFmt w:val="bullet"/>
      <w:lvlText w:val=""/>
      <w:lvlJc w:val="left"/>
      <w:pPr>
        <w:tabs>
          <w:tab w:val="num" w:pos="3294"/>
        </w:tabs>
        <w:ind w:left="3294" w:hanging="360"/>
      </w:pPr>
      <w:rPr>
        <w:rFonts w:ascii="Wingdings" w:hAnsi="Wingdings" w:hint="default"/>
      </w:rPr>
    </w:lvl>
    <w:lvl w:ilvl="3" w:tplc="DC740400" w:tentative="1">
      <w:start w:val="1"/>
      <w:numFmt w:val="bullet"/>
      <w:lvlText w:val=""/>
      <w:lvlJc w:val="left"/>
      <w:pPr>
        <w:tabs>
          <w:tab w:val="num" w:pos="4014"/>
        </w:tabs>
        <w:ind w:left="4014" w:hanging="360"/>
      </w:pPr>
      <w:rPr>
        <w:rFonts w:ascii="Symbol" w:hAnsi="Symbol" w:hint="default"/>
      </w:rPr>
    </w:lvl>
    <w:lvl w:ilvl="4" w:tplc="E966A978" w:tentative="1">
      <w:start w:val="1"/>
      <w:numFmt w:val="bullet"/>
      <w:lvlText w:val="o"/>
      <w:lvlJc w:val="left"/>
      <w:pPr>
        <w:tabs>
          <w:tab w:val="num" w:pos="4734"/>
        </w:tabs>
        <w:ind w:left="4734" w:hanging="360"/>
      </w:pPr>
      <w:rPr>
        <w:rFonts w:ascii="Courier New" w:hAnsi="Courier New" w:hint="default"/>
      </w:rPr>
    </w:lvl>
    <w:lvl w:ilvl="5" w:tplc="D7E2B3B8" w:tentative="1">
      <w:start w:val="1"/>
      <w:numFmt w:val="bullet"/>
      <w:lvlText w:val=""/>
      <w:lvlJc w:val="left"/>
      <w:pPr>
        <w:tabs>
          <w:tab w:val="num" w:pos="5454"/>
        </w:tabs>
        <w:ind w:left="5454" w:hanging="360"/>
      </w:pPr>
      <w:rPr>
        <w:rFonts w:ascii="Wingdings" w:hAnsi="Wingdings" w:hint="default"/>
      </w:rPr>
    </w:lvl>
    <w:lvl w:ilvl="6" w:tplc="3D683D42" w:tentative="1">
      <w:start w:val="1"/>
      <w:numFmt w:val="bullet"/>
      <w:lvlText w:val=""/>
      <w:lvlJc w:val="left"/>
      <w:pPr>
        <w:tabs>
          <w:tab w:val="num" w:pos="6174"/>
        </w:tabs>
        <w:ind w:left="6174" w:hanging="360"/>
      </w:pPr>
      <w:rPr>
        <w:rFonts w:ascii="Symbol" w:hAnsi="Symbol" w:hint="default"/>
      </w:rPr>
    </w:lvl>
    <w:lvl w:ilvl="7" w:tplc="94BA158C" w:tentative="1">
      <w:start w:val="1"/>
      <w:numFmt w:val="bullet"/>
      <w:lvlText w:val="o"/>
      <w:lvlJc w:val="left"/>
      <w:pPr>
        <w:tabs>
          <w:tab w:val="num" w:pos="6894"/>
        </w:tabs>
        <w:ind w:left="6894" w:hanging="360"/>
      </w:pPr>
      <w:rPr>
        <w:rFonts w:ascii="Courier New" w:hAnsi="Courier New" w:hint="default"/>
      </w:rPr>
    </w:lvl>
    <w:lvl w:ilvl="8" w:tplc="02F85BF6" w:tentative="1">
      <w:start w:val="1"/>
      <w:numFmt w:val="bullet"/>
      <w:lvlText w:val=""/>
      <w:lvlJc w:val="left"/>
      <w:pPr>
        <w:tabs>
          <w:tab w:val="num" w:pos="7614"/>
        </w:tabs>
        <w:ind w:left="7614" w:hanging="360"/>
      </w:pPr>
      <w:rPr>
        <w:rFonts w:ascii="Wingdings" w:hAnsi="Wingdings" w:hint="default"/>
      </w:rPr>
    </w:lvl>
  </w:abstractNum>
  <w:abstractNum w:abstractNumId="15">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nsid w:val="4852450B"/>
    <w:multiLevelType w:val="multilevel"/>
    <w:tmpl w:val="22A45432"/>
    <w:lvl w:ilvl="0">
      <w:start w:val="1"/>
      <w:numFmt w:val="lowerLetter"/>
      <w:lvlText w:val="(%1)"/>
      <w:lvlJc w:val="left"/>
      <w:pPr>
        <w:tabs>
          <w:tab w:val="num" w:pos="1773"/>
        </w:tabs>
        <w:ind w:left="1206"/>
      </w:pPr>
      <w:rPr>
        <w:rFonts w:hint="default"/>
        <w:b w:val="0"/>
        <w:i w:val="0"/>
        <w:color w:val="000000"/>
      </w:rPr>
    </w:lvl>
    <w:lvl w:ilvl="1">
      <w:start w:val="1"/>
      <w:numFmt w:val="decimal"/>
      <w:lvlText w:val="%2"/>
      <w:lvlJc w:val="left"/>
      <w:pPr>
        <w:tabs>
          <w:tab w:val="num" w:pos="1773"/>
        </w:tabs>
        <w:ind w:left="1773" w:hanging="567"/>
      </w:pPr>
      <w:rPr>
        <w:rFonts w:cs="Times New Roman" w:hint="default"/>
        <w:b w:val="0"/>
        <w:i w:val="0"/>
        <w:color w:val="000000"/>
      </w:rPr>
    </w:lvl>
    <w:lvl w:ilvl="2">
      <w:start w:val="1"/>
      <w:numFmt w:val="decimal"/>
      <w:lvlText w:val="%3"/>
      <w:lvlJc w:val="left"/>
      <w:pPr>
        <w:tabs>
          <w:tab w:val="num" w:pos="2340"/>
        </w:tabs>
        <w:ind w:left="2340" w:hanging="567"/>
      </w:pPr>
      <w:rPr>
        <w:rFonts w:cs="Times New Roman" w:hint="default"/>
        <w:b w:val="0"/>
        <w:i w:val="0"/>
        <w:color w:val="000000"/>
      </w:rPr>
    </w:lvl>
    <w:lvl w:ilvl="3">
      <w:start w:val="1"/>
      <w:numFmt w:val="decimal"/>
      <w:lvlText w:val="%4"/>
      <w:lvlJc w:val="left"/>
      <w:pPr>
        <w:tabs>
          <w:tab w:val="num" w:pos="2907"/>
        </w:tabs>
        <w:ind w:left="2907" w:hanging="567"/>
      </w:pPr>
      <w:rPr>
        <w:rFonts w:cs="Times New Roman" w:hint="default"/>
        <w:b w:val="0"/>
        <w:i w:val="0"/>
        <w:color w:val="000000"/>
      </w:rPr>
    </w:lvl>
    <w:lvl w:ilvl="4">
      <w:start w:val="1"/>
      <w:numFmt w:val="decimal"/>
      <w:lvlText w:val="%5"/>
      <w:lvlJc w:val="left"/>
      <w:pPr>
        <w:tabs>
          <w:tab w:val="num" w:pos="3474"/>
        </w:tabs>
        <w:ind w:left="3474" w:hanging="567"/>
      </w:pPr>
      <w:rPr>
        <w:rFonts w:cs="Times New Roman" w:hint="default"/>
        <w:b w:val="0"/>
        <w:i w:val="0"/>
        <w:color w:val="000000"/>
      </w:rPr>
    </w:lvl>
    <w:lvl w:ilvl="5">
      <w:start w:val="1"/>
      <w:numFmt w:val="decimal"/>
      <w:lvlText w:val="%6"/>
      <w:lvlJc w:val="left"/>
      <w:pPr>
        <w:tabs>
          <w:tab w:val="num" w:pos="4041"/>
        </w:tabs>
        <w:ind w:left="4041" w:hanging="567"/>
      </w:pPr>
      <w:rPr>
        <w:rFonts w:cs="Times New Roman" w:hint="default"/>
        <w:b w:val="0"/>
        <w:i w:val="0"/>
        <w:color w:val="000000"/>
      </w:rPr>
    </w:lvl>
    <w:lvl w:ilvl="6">
      <w:start w:val="1"/>
      <w:numFmt w:val="decimal"/>
      <w:lvlText w:val="%7"/>
      <w:lvlJc w:val="left"/>
      <w:pPr>
        <w:tabs>
          <w:tab w:val="num" w:pos="4608"/>
        </w:tabs>
        <w:ind w:left="4608" w:hanging="567"/>
      </w:pPr>
      <w:rPr>
        <w:rFonts w:cs="Times New Roman" w:hint="default"/>
        <w:b w:val="0"/>
        <w:i w:val="0"/>
        <w:color w:val="000000"/>
      </w:rPr>
    </w:lvl>
    <w:lvl w:ilvl="7">
      <w:start w:val="1"/>
      <w:numFmt w:val="decimal"/>
      <w:lvlText w:val="%8"/>
      <w:lvlJc w:val="left"/>
      <w:pPr>
        <w:tabs>
          <w:tab w:val="num" w:pos="5175"/>
        </w:tabs>
        <w:ind w:left="5175" w:hanging="567"/>
      </w:pPr>
      <w:rPr>
        <w:rFonts w:cs="Times New Roman" w:hint="default"/>
        <w:b w:val="0"/>
        <w:i w:val="0"/>
        <w:color w:val="000000"/>
      </w:rPr>
    </w:lvl>
    <w:lvl w:ilvl="8">
      <w:start w:val="1"/>
      <w:numFmt w:val="decimal"/>
      <w:lvlText w:val="%9"/>
      <w:lvlJc w:val="left"/>
      <w:pPr>
        <w:tabs>
          <w:tab w:val="num" w:pos="5742"/>
        </w:tabs>
        <w:ind w:left="5742" w:hanging="567"/>
      </w:pPr>
      <w:rPr>
        <w:rFonts w:cs="Times New Roman" w:hint="default"/>
        <w:b w:val="0"/>
        <w:i w:val="0"/>
        <w:color w:val="000000"/>
      </w:rPr>
    </w:lvl>
  </w:abstractNum>
  <w:abstractNum w:abstractNumId="17">
    <w:nsid w:val="4CE06931"/>
    <w:multiLevelType w:val="singleLevel"/>
    <w:tmpl w:val="4366EF18"/>
    <w:lvl w:ilvl="0">
      <w:start w:val="1"/>
      <w:numFmt w:val="lowerLetter"/>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nsid w:val="554D41FC"/>
    <w:multiLevelType w:val="hybridMultilevel"/>
    <w:tmpl w:val="96244C52"/>
    <w:lvl w:ilvl="0" w:tplc="2F8C7F7A">
      <w:start w:val="1"/>
      <w:numFmt w:val="lowerLetter"/>
      <w:lvlText w:val="(%1)"/>
      <w:lvlJc w:val="left"/>
      <w:pPr>
        <w:ind w:left="1287" w:hanging="360"/>
      </w:pPr>
      <w:rPr>
        <w:rFonts w:hint="default"/>
      </w:rPr>
    </w:lvl>
    <w:lvl w:ilvl="1" w:tplc="CEDECA32" w:tentative="1">
      <w:start w:val="1"/>
      <w:numFmt w:val="lowerLetter"/>
      <w:lvlText w:val="%2."/>
      <w:lvlJc w:val="left"/>
      <w:pPr>
        <w:ind w:left="2007" w:hanging="360"/>
      </w:pPr>
    </w:lvl>
    <w:lvl w:ilvl="2" w:tplc="8A92748A" w:tentative="1">
      <w:start w:val="1"/>
      <w:numFmt w:val="lowerRoman"/>
      <w:lvlText w:val="%3."/>
      <w:lvlJc w:val="right"/>
      <w:pPr>
        <w:ind w:left="2727" w:hanging="180"/>
      </w:pPr>
    </w:lvl>
    <w:lvl w:ilvl="3" w:tplc="4C14F55C" w:tentative="1">
      <w:start w:val="1"/>
      <w:numFmt w:val="decimal"/>
      <w:lvlText w:val="%4."/>
      <w:lvlJc w:val="left"/>
      <w:pPr>
        <w:ind w:left="3447" w:hanging="360"/>
      </w:pPr>
    </w:lvl>
    <w:lvl w:ilvl="4" w:tplc="7458E7CE" w:tentative="1">
      <w:start w:val="1"/>
      <w:numFmt w:val="lowerLetter"/>
      <w:lvlText w:val="%5."/>
      <w:lvlJc w:val="left"/>
      <w:pPr>
        <w:ind w:left="4167" w:hanging="360"/>
      </w:pPr>
    </w:lvl>
    <w:lvl w:ilvl="5" w:tplc="7C8448DA" w:tentative="1">
      <w:start w:val="1"/>
      <w:numFmt w:val="lowerRoman"/>
      <w:lvlText w:val="%6."/>
      <w:lvlJc w:val="right"/>
      <w:pPr>
        <w:ind w:left="4887" w:hanging="180"/>
      </w:pPr>
    </w:lvl>
    <w:lvl w:ilvl="6" w:tplc="37AAF90E" w:tentative="1">
      <w:start w:val="1"/>
      <w:numFmt w:val="decimal"/>
      <w:lvlText w:val="%7."/>
      <w:lvlJc w:val="left"/>
      <w:pPr>
        <w:ind w:left="5607" w:hanging="360"/>
      </w:pPr>
    </w:lvl>
    <w:lvl w:ilvl="7" w:tplc="4656D010" w:tentative="1">
      <w:start w:val="1"/>
      <w:numFmt w:val="lowerLetter"/>
      <w:lvlText w:val="%8."/>
      <w:lvlJc w:val="left"/>
      <w:pPr>
        <w:ind w:left="6327" w:hanging="360"/>
      </w:pPr>
    </w:lvl>
    <w:lvl w:ilvl="8" w:tplc="78525788" w:tentative="1">
      <w:start w:val="1"/>
      <w:numFmt w:val="lowerRoman"/>
      <w:lvlText w:val="%9."/>
      <w:lvlJc w:val="right"/>
      <w:pPr>
        <w:ind w:left="7047" w:hanging="180"/>
      </w:pPr>
    </w:lvl>
  </w:abstractNum>
  <w:abstractNum w:abstractNumId="19">
    <w:nsid w:val="55CE0768"/>
    <w:multiLevelType w:val="hybridMultilevel"/>
    <w:tmpl w:val="9190AFEA"/>
    <w:lvl w:ilvl="0" w:tplc="8062A6FE">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D610CC64" w:tentative="1">
      <w:start w:val="1"/>
      <w:numFmt w:val="bullet"/>
      <w:lvlText w:val="o"/>
      <w:lvlJc w:val="left"/>
      <w:pPr>
        <w:tabs>
          <w:tab w:val="num" w:pos="1440"/>
        </w:tabs>
        <w:ind w:left="1440" w:hanging="360"/>
      </w:pPr>
      <w:rPr>
        <w:rFonts w:ascii="Courier New" w:hAnsi="Courier New" w:hint="default"/>
      </w:rPr>
    </w:lvl>
    <w:lvl w:ilvl="2" w:tplc="9AAE92A6" w:tentative="1">
      <w:start w:val="1"/>
      <w:numFmt w:val="bullet"/>
      <w:lvlText w:val=""/>
      <w:lvlJc w:val="left"/>
      <w:pPr>
        <w:tabs>
          <w:tab w:val="num" w:pos="2160"/>
        </w:tabs>
        <w:ind w:left="2160" w:hanging="360"/>
      </w:pPr>
      <w:rPr>
        <w:rFonts w:ascii="Wingdings" w:hAnsi="Wingdings" w:hint="default"/>
      </w:rPr>
    </w:lvl>
    <w:lvl w:ilvl="3" w:tplc="54DE4442" w:tentative="1">
      <w:start w:val="1"/>
      <w:numFmt w:val="bullet"/>
      <w:lvlText w:val=""/>
      <w:lvlJc w:val="left"/>
      <w:pPr>
        <w:tabs>
          <w:tab w:val="num" w:pos="2880"/>
        </w:tabs>
        <w:ind w:left="2880" w:hanging="360"/>
      </w:pPr>
      <w:rPr>
        <w:rFonts w:ascii="Symbol" w:hAnsi="Symbol" w:hint="default"/>
      </w:rPr>
    </w:lvl>
    <w:lvl w:ilvl="4" w:tplc="F3B64678" w:tentative="1">
      <w:start w:val="1"/>
      <w:numFmt w:val="bullet"/>
      <w:lvlText w:val="o"/>
      <w:lvlJc w:val="left"/>
      <w:pPr>
        <w:tabs>
          <w:tab w:val="num" w:pos="3600"/>
        </w:tabs>
        <w:ind w:left="3600" w:hanging="360"/>
      </w:pPr>
      <w:rPr>
        <w:rFonts w:ascii="Courier New" w:hAnsi="Courier New" w:hint="default"/>
      </w:rPr>
    </w:lvl>
    <w:lvl w:ilvl="5" w:tplc="DC5C5710" w:tentative="1">
      <w:start w:val="1"/>
      <w:numFmt w:val="bullet"/>
      <w:lvlText w:val=""/>
      <w:lvlJc w:val="left"/>
      <w:pPr>
        <w:tabs>
          <w:tab w:val="num" w:pos="4320"/>
        </w:tabs>
        <w:ind w:left="4320" w:hanging="360"/>
      </w:pPr>
      <w:rPr>
        <w:rFonts w:ascii="Wingdings" w:hAnsi="Wingdings" w:hint="default"/>
      </w:rPr>
    </w:lvl>
    <w:lvl w:ilvl="6" w:tplc="775A5E0E" w:tentative="1">
      <w:start w:val="1"/>
      <w:numFmt w:val="bullet"/>
      <w:lvlText w:val=""/>
      <w:lvlJc w:val="left"/>
      <w:pPr>
        <w:tabs>
          <w:tab w:val="num" w:pos="5040"/>
        </w:tabs>
        <w:ind w:left="5040" w:hanging="360"/>
      </w:pPr>
      <w:rPr>
        <w:rFonts w:ascii="Symbol" w:hAnsi="Symbol" w:hint="default"/>
      </w:rPr>
    </w:lvl>
    <w:lvl w:ilvl="7" w:tplc="A18AA74E" w:tentative="1">
      <w:start w:val="1"/>
      <w:numFmt w:val="bullet"/>
      <w:lvlText w:val="o"/>
      <w:lvlJc w:val="left"/>
      <w:pPr>
        <w:tabs>
          <w:tab w:val="num" w:pos="5760"/>
        </w:tabs>
        <w:ind w:left="5760" w:hanging="360"/>
      </w:pPr>
      <w:rPr>
        <w:rFonts w:ascii="Courier New" w:hAnsi="Courier New" w:hint="default"/>
      </w:rPr>
    </w:lvl>
    <w:lvl w:ilvl="8" w:tplc="CFA813A6" w:tentative="1">
      <w:start w:val="1"/>
      <w:numFmt w:val="bullet"/>
      <w:lvlText w:val=""/>
      <w:lvlJc w:val="left"/>
      <w:pPr>
        <w:tabs>
          <w:tab w:val="num" w:pos="6480"/>
        </w:tabs>
        <w:ind w:left="6480" w:hanging="360"/>
      </w:pPr>
      <w:rPr>
        <w:rFonts w:ascii="Wingdings" w:hAnsi="Wingdings" w:hint="default"/>
      </w:rPr>
    </w:lvl>
  </w:abstractNum>
  <w:abstractNum w:abstractNumId="20">
    <w:nsid w:val="58101827"/>
    <w:multiLevelType w:val="multilevel"/>
    <w:tmpl w:val="072C6E52"/>
    <w:lvl w:ilvl="0">
      <w:start w:val="1"/>
      <w:numFmt w:val="bullet"/>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nsid w:val="583E0294"/>
    <w:multiLevelType w:val="hybridMultilevel"/>
    <w:tmpl w:val="28C0B058"/>
    <w:name w:val="AGSDash"/>
    <w:lvl w:ilvl="0" w:tplc="C0680AE4">
      <w:start w:val="1"/>
      <w:numFmt w:val="lowerLetter"/>
      <w:lvlText w:val="(%1)"/>
      <w:lvlJc w:val="left"/>
      <w:pPr>
        <w:ind w:left="720" w:hanging="360"/>
      </w:pPr>
      <w:rPr>
        <w:rFonts w:hint="default"/>
      </w:rPr>
    </w:lvl>
    <w:lvl w:ilvl="1" w:tplc="3A36852E">
      <w:start w:val="1"/>
      <w:numFmt w:val="lowerLetter"/>
      <w:lvlText w:val="%2."/>
      <w:lvlJc w:val="left"/>
      <w:pPr>
        <w:ind w:left="1440" w:hanging="360"/>
      </w:pPr>
    </w:lvl>
    <w:lvl w:ilvl="2" w:tplc="D576B640" w:tentative="1">
      <w:start w:val="1"/>
      <w:numFmt w:val="lowerRoman"/>
      <w:lvlText w:val="%3."/>
      <w:lvlJc w:val="right"/>
      <w:pPr>
        <w:ind w:left="2160" w:hanging="180"/>
      </w:pPr>
    </w:lvl>
    <w:lvl w:ilvl="3" w:tplc="3468037C" w:tentative="1">
      <w:start w:val="1"/>
      <w:numFmt w:val="decimal"/>
      <w:lvlText w:val="%4."/>
      <w:lvlJc w:val="left"/>
      <w:pPr>
        <w:ind w:left="2880" w:hanging="360"/>
      </w:pPr>
    </w:lvl>
    <w:lvl w:ilvl="4" w:tplc="F17CB956" w:tentative="1">
      <w:start w:val="1"/>
      <w:numFmt w:val="lowerLetter"/>
      <w:lvlText w:val="%5."/>
      <w:lvlJc w:val="left"/>
      <w:pPr>
        <w:ind w:left="3600" w:hanging="360"/>
      </w:pPr>
    </w:lvl>
    <w:lvl w:ilvl="5" w:tplc="B1E630E0" w:tentative="1">
      <w:start w:val="1"/>
      <w:numFmt w:val="lowerRoman"/>
      <w:lvlText w:val="%6."/>
      <w:lvlJc w:val="right"/>
      <w:pPr>
        <w:ind w:left="4320" w:hanging="180"/>
      </w:pPr>
    </w:lvl>
    <w:lvl w:ilvl="6" w:tplc="4D54F2C8" w:tentative="1">
      <w:start w:val="1"/>
      <w:numFmt w:val="decimal"/>
      <w:lvlText w:val="%7."/>
      <w:lvlJc w:val="left"/>
      <w:pPr>
        <w:ind w:left="5040" w:hanging="360"/>
      </w:pPr>
    </w:lvl>
    <w:lvl w:ilvl="7" w:tplc="648CAF74" w:tentative="1">
      <w:start w:val="1"/>
      <w:numFmt w:val="lowerLetter"/>
      <w:lvlText w:val="%8."/>
      <w:lvlJc w:val="left"/>
      <w:pPr>
        <w:ind w:left="5760" w:hanging="360"/>
      </w:pPr>
    </w:lvl>
    <w:lvl w:ilvl="8" w:tplc="A05A48EC" w:tentative="1">
      <w:start w:val="1"/>
      <w:numFmt w:val="lowerRoman"/>
      <w:lvlText w:val="%9."/>
      <w:lvlJc w:val="right"/>
      <w:pPr>
        <w:ind w:left="6480" w:hanging="180"/>
      </w:pPr>
    </w:lvl>
  </w:abstractNum>
  <w:abstractNum w:abstractNumId="22">
    <w:nsid w:val="59B70749"/>
    <w:multiLevelType w:val="multilevel"/>
    <w:tmpl w:val="22A45432"/>
    <w:lvl w:ilvl="0">
      <w:start w:val="1"/>
      <w:numFmt w:val="lowerLetter"/>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3">
    <w:nsid w:val="5DD61C00"/>
    <w:multiLevelType w:val="hybridMultilevel"/>
    <w:tmpl w:val="3A2E5ACE"/>
    <w:lvl w:ilvl="0" w:tplc="8868619A">
      <w:start w:val="1"/>
      <w:numFmt w:val="lowerLetter"/>
      <w:lvlText w:val="(%1)"/>
      <w:lvlJc w:val="left"/>
      <w:pPr>
        <w:ind w:left="720" w:hanging="360"/>
      </w:pPr>
      <w:rPr>
        <w:rFonts w:hint="default"/>
      </w:rPr>
    </w:lvl>
    <w:lvl w:ilvl="1" w:tplc="D7545D2A">
      <w:start w:val="1"/>
      <w:numFmt w:val="lowerRoman"/>
      <w:lvlText w:val="%2."/>
      <w:lvlJc w:val="right"/>
      <w:pPr>
        <w:ind w:left="1440" w:hanging="360"/>
      </w:pPr>
    </w:lvl>
    <w:lvl w:ilvl="2" w:tplc="71EABF56" w:tentative="1">
      <w:start w:val="1"/>
      <w:numFmt w:val="lowerRoman"/>
      <w:lvlText w:val="%3."/>
      <w:lvlJc w:val="right"/>
      <w:pPr>
        <w:ind w:left="2160" w:hanging="180"/>
      </w:pPr>
    </w:lvl>
    <w:lvl w:ilvl="3" w:tplc="C802B112" w:tentative="1">
      <w:start w:val="1"/>
      <w:numFmt w:val="decimal"/>
      <w:lvlText w:val="%4."/>
      <w:lvlJc w:val="left"/>
      <w:pPr>
        <w:ind w:left="2880" w:hanging="360"/>
      </w:pPr>
    </w:lvl>
    <w:lvl w:ilvl="4" w:tplc="AEB84AA2" w:tentative="1">
      <w:start w:val="1"/>
      <w:numFmt w:val="lowerLetter"/>
      <w:lvlText w:val="%5."/>
      <w:lvlJc w:val="left"/>
      <w:pPr>
        <w:ind w:left="3600" w:hanging="360"/>
      </w:pPr>
    </w:lvl>
    <w:lvl w:ilvl="5" w:tplc="804EB698" w:tentative="1">
      <w:start w:val="1"/>
      <w:numFmt w:val="lowerRoman"/>
      <w:lvlText w:val="%6."/>
      <w:lvlJc w:val="right"/>
      <w:pPr>
        <w:ind w:left="4320" w:hanging="180"/>
      </w:pPr>
    </w:lvl>
    <w:lvl w:ilvl="6" w:tplc="7DF23420" w:tentative="1">
      <w:start w:val="1"/>
      <w:numFmt w:val="decimal"/>
      <w:lvlText w:val="%7."/>
      <w:lvlJc w:val="left"/>
      <w:pPr>
        <w:ind w:left="5040" w:hanging="360"/>
      </w:pPr>
    </w:lvl>
    <w:lvl w:ilvl="7" w:tplc="FE862248" w:tentative="1">
      <w:start w:val="1"/>
      <w:numFmt w:val="lowerLetter"/>
      <w:lvlText w:val="%8."/>
      <w:lvlJc w:val="left"/>
      <w:pPr>
        <w:ind w:left="5760" w:hanging="360"/>
      </w:pPr>
    </w:lvl>
    <w:lvl w:ilvl="8" w:tplc="6FC8D398" w:tentative="1">
      <w:start w:val="1"/>
      <w:numFmt w:val="lowerRoman"/>
      <w:lvlText w:val="%9."/>
      <w:lvlJc w:val="right"/>
      <w:pPr>
        <w:ind w:left="6480" w:hanging="180"/>
      </w:pPr>
    </w:lvl>
  </w:abstractNum>
  <w:abstractNum w:abstractNumId="24">
    <w:nsid w:val="5E0A6F8D"/>
    <w:multiLevelType w:val="multilevel"/>
    <w:tmpl w:val="51941ED6"/>
    <w:lvl w:ilvl="0">
      <w:start w:val="1"/>
      <w:numFmt w:val="bullet"/>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nsid w:val="654D0B97"/>
    <w:multiLevelType w:val="multilevel"/>
    <w:tmpl w:val="B3401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6C618E8"/>
    <w:multiLevelType w:val="hybridMultilevel"/>
    <w:tmpl w:val="28C0B058"/>
    <w:lvl w:ilvl="0" w:tplc="ADA8BB04">
      <w:start w:val="1"/>
      <w:numFmt w:val="lowerLetter"/>
      <w:lvlText w:val="(%1)"/>
      <w:lvlJc w:val="left"/>
      <w:pPr>
        <w:ind w:left="720" w:hanging="360"/>
      </w:pPr>
      <w:rPr>
        <w:rFonts w:hint="default"/>
      </w:rPr>
    </w:lvl>
    <w:lvl w:ilvl="1" w:tplc="1430DF0C">
      <w:start w:val="1"/>
      <w:numFmt w:val="lowerLetter"/>
      <w:lvlText w:val="%2."/>
      <w:lvlJc w:val="left"/>
      <w:pPr>
        <w:ind w:left="1440" w:hanging="360"/>
      </w:pPr>
    </w:lvl>
    <w:lvl w:ilvl="2" w:tplc="910A9198" w:tentative="1">
      <w:start w:val="1"/>
      <w:numFmt w:val="lowerRoman"/>
      <w:lvlText w:val="%3."/>
      <w:lvlJc w:val="right"/>
      <w:pPr>
        <w:ind w:left="2160" w:hanging="180"/>
      </w:pPr>
    </w:lvl>
    <w:lvl w:ilvl="3" w:tplc="DE3AE754" w:tentative="1">
      <w:start w:val="1"/>
      <w:numFmt w:val="decimal"/>
      <w:lvlText w:val="%4."/>
      <w:lvlJc w:val="left"/>
      <w:pPr>
        <w:ind w:left="2880" w:hanging="360"/>
      </w:pPr>
    </w:lvl>
    <w:lvl w:ilvl="4" w:tplc="0040198C" w:tentative="1">
      <w:start w:val="1"/>
      <w:numFmt w:val="lowerLetter"/>
      <w:lvlText w:val="%5."/>
      <w:lvlJc w:val="left"/>
      <w:pPr>
        <w:ind w:left="3600" w:hanging="360"/>
      </w:pPr>
    </w:lvl>
    <w:lvl w:ilvl="5" w:tplc="84EA6666" w:tentative="1">
      <w:start w:val="1"/>
      <w:numFmt w:val="lowerRoman"/>
      <w:lvlText w:val="%6."/>
      <w:lvlJc w:val="right"/>
      <w:pPr>
        <w:ind w:left="4320" w:hanging="180"/>
      </w:pPr>
    </w:lvl>
    <w:lvl w:ilvl="6" w:tplc="ED0A239C" w:tentative="1">
      <w:start w:val="1"/>
      <w:numFmt w:val="decimal"/>
      <w:lvlText w:val="%7."/>
      <w:lvlJc w:val="left"/>
      <w:pPr>
        <w:ind w:left="5040" w:hanging="360"/>
      </w:pPr>
    </w:lvl>
    <w:lvl w:ilvl="7" w:tplc="6F601D64" w:tentative="1">
      <w:start w:val="1"/>
      <w:numFmt w:val="lowerLetter"/>
      <w:lvlText w:val="%8."/>
      <w:lvlJc w:val="left"/>
      <w:pPr>
        <w:ind w:left="5760" w:hanging="360"/>
      </w:pPr>
    </w:lvl>
    <w:lvl w:ilvl="8" w:tplc="E16EB8E8" w:tentative="1">
      <w:start w:val="1"/>
      <w:numFmt w:val="lowerRoman"/>
      <w:lvlText w:val="%9."/>
      <w:lvlJc w:val="right"/>
      <w:pPr>
        <w:ind w:left="6480" w:hanging="180"/>
      </w:pPr>
    </w:lvl>
  </w:abstractNum>
  <w:abstractNum w:abstractNumId="27">
    <w:nsid w:val="6B8F08F9"/>
    <w:multiLevelType w:val="multilevel"/>
    <w:tmpl w:val="22A45432"/>
    <w:lvl w:ilvl="0">
      <w:start w:val="1"/>
      <w:numFmt w:val="lowerLetter"/>
      <w:lvlText w:val="(%1)"/>
      <w:lvlJc w:val="left"/>
      <w:pPr>
        <w:tabs>
          <w:tab w:val="num" w:pos="1773"/>
        </w:tabs>
        <w:ind w:left="1206"/>
      </w:pPr>
      <w:rPr>
        <w:rFonts w:hint="default"/>
        <w:b w:val="0"/>
        <w:i w:val="0"/>
        <w:color w:val="000000"/>
      </w:rPr>
    </w:lvl>
    <w:lvl w:ilvl="1">
      <w:start w:val="1"/>
      <w:numFmt w:val="decimal"/>
      <w:lvlText w:val="%2"/>
      <w:lvlJc w:val="left"/>
      <w:pPr>
        <w:tabs>
          <w:tab w:val="num" w:pos="1773"/>
        </w:tabs>
        <w:ind w:left="1773" w:hanging="567"/>
      </w:pPr>
      <w:rPr>
        <w:rFonts w:cs="Times New Roman" w:hint="default"/>
        <w:b w:val="0"/>
        <w:i w:val="0"/>
        <w:color w:val="000000"/>
      </w:rPr>
    </w:lvl>
    <w:lvl w:ilvl="2">
      <w:start w:val="1"/>
      <w:numFmt w:val="decimal"/>
      <w:lvlText w:val="%3"/>
      <w:lvlJc w:val="left"/>
      <w:pPr>
        <w:tabs>
          <w:tab w:val="num" w:pos="2340"/>
        </w:tabs>
        <w:ind w:left="2340" w:hanging="567"/>
      </w:pPr>
      <w:rPr>
        <w:rFonts w:cs="Times New Roman" w:hint="default"/>
        <w:b w:val="0"/>
        <w:i w:val="0"/>
        <w:color w:val="000000"/>
      </w:rPr>
    </w:lvl>
    <w:lvl w:ilvl="3">
      <w:start w:val="1"/>
      <w:numFmt w:val="decimal"/>
      <w:lvlText w:val="%4"/>
      <w:lvlJc w:val="left"/>
      <w:pPr>
        <w:tabs>
          <w:tab w:val="num" w:pos="2907"/>
        </w:tabs>
        <w:ind w:left="2907" w:hanging="567"/>
      </w:pPr>
      <w:rPr>
        <w:rFonts w:cs="Times New Roman" w:hint="default"/>
        <w:b w:val="0"/>
        <w:i w:val="0"/>
        <w:color w:val="000000"/>
      </w:rPr>
    </w:lvl>
    <w:lvl w:ilvl="4">
      <w:start w:val="1"/>
      <w:numFmt w:val="decimal"/>
      <w:lvlText w:val="%5"/>
      <w:lvlJc w:val="left"/>
      <w:pPr>
        <w:tabs>
          <w:tab w:val="num" w:pos="3474"/>
        </w:tabs>
        <w:ind w:left="3474" w:hanging="567"/>
      </w:pPr>
      <w:rPr>
        <w:rFonts w:cs="Times New Roman" w:hint="default"/>
        <w:b w:val="0"/>
        <w:i w:val="0"/>
        <w:color w:val="000000"/>
      </w:rPr>
    </w:lvl>
    <w:lvl w:ilvl="5">
      <w:start w:val="1"/>
      <w:numFmt w:val="decimal"/>
      <w:lvlText w:val="%6"/>
      <w:lvlJc w:val="left"/>
      <w:pPr>
        <w:tabs>
          <w:tab w:val="num" w:pos="4041"/>
        </w:tabs>
        <w:ind w:left="4041" w:hanging="567"/>
      </w:pPr>
      <w:rPr>
        <w:rFonts w:cs="Times New Roman" w:hint="default"/>
        <w:b w:val="0"/>
        <w:i w:val="0"/>
        <w:color w:val="000000"/>
      </w:rPr>
    </w:lvl>
    <w:lvl w:ilvl="6">
      <w:start w:val="1"/>
      <w:numFmt w:val="decimal"/>
      <w:lvlText w:val="%7"/>
      <w:lvlJc w:val="left"/>
      <w:pPr>
        <w:tabs>
          <w:tab w:val="num" w:pos="4608"/>
        </w:tabs>
        <w:ind w:left="4608" w:hanging="567"/>
      </w:pPr>
      <w:rPr>
        <w:rFonts w:cs="Times New Roman" w:hint="default"/>
        <w:b w:val="0"/>
        <w:i w:val="0"/>
        <w:color w:val="000000"/>
      </w:rPr>
    </w:lvl>
    <w:lvl w:ilvl="7">
      <w:start w:val="1"/>
      <w:numFmt w:val="decimal"/>
      <w:lvlText w:val="%8"/>
      <w:lvlJc w:val="left"/>
      <w:pPr>
        <w:tabs>
          <w:tab w:val="num" w:pos="5175"/>
        </w:tabs>
        <w:ind w:left="5175" w:hanging="567"/>
      </w:pPr>
      <w:rPr>
        <w:rFonts w:cs="Times New Roman" w:hint="default"/>
        <w:b w:val="0"/>
        <w:i w:val="0"/>
        <w:color w:val="000000"/>
      </w:rPr>
    </w:lvl>
    <w:lvl w:ilvl="8">
      <w:start w:val="1"/>
      <w:numFmt w:val="decimal"/>
      <w:lvlText w:val="%9"/>
      <w:lvlJc w:val="left"/>
      <w:pPr>
        <w:tabs>
          <w:tab w:val="num" w:pos="5742"/>
        </w:tabs>
        <w:ind w:left="5742" w:hanging="567"/>
      </w:pPr>
      <w:rPr>
        <w:rFonts w:cs="Times New Roman" w:hint="default"/>
        <w:b w:val="0"/>
        <w:i w:val="0"/>
        <w:color w:val="000000"/>
      </w:rPr>
    </w:lvl>
  </w:abstractNum>
  <w:abstractNum w:abstractNumId="28">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9">
    <w:nsid w:val="715D516D"/>
    <w:multiLevelType w:val="hybridMultilevel"/>
    <w:tmpl w:val="E1AABEFC"/>
    <w:lvl w:ilvl="0" w:tplc="714CFF86">
      <w:start w:val="1"/>
      <w:numFmt w:val="lowerLetter"/>
      <w:lvlText w:val="(%1)"/>
      <w:lvlJc w:val="left"/>
      <w:pPr>
        <w:ind w:left="720" w:hanging="360"/>
      </w:pPr>
      <w:rPr>
        <w:rFonts w:hint="default"/>
      </w:rPr>
    </w:lvl>
    <w:lvl w:ilvl="1" w:tplc="439039D6">
      <w:start w:val="1"/>
      <w:numFmt w:val="lowerLetter"/>
      <w:lvlText w:val="%2."/>
      <w:lvlJc w:val="left"/>
      <w:pPr>
        <w:ind w:left="1440" w:hanging="360"/>
      </w:pPr>
    </w:lvl>
    <w:lvl w:ilvl="2" w:tplc="4A505AE0">
      <w:start w:val="1"/>
      <w:numFmt w:val="lowerRoman"/>
      <w:lvlText w:val="%3."/>
      <w:lvlJc w:val="right"/>
      <w:pPr>
        <w:ind w:left="2160" w:hanging="180"/>
      </w:pPr>
    </w:lvl>
    <w:lvl w:ilvl="3" w:tplc="D5887DAA" w:tentative="1">
      <w:start w:val="1"/>
      <w:numFmt w:val="decimal"/>
      <w:lvlText w:val="%4."/>
      <w:lvlJc w:val="left"/>
      <w:pPr>
        <w:ind w:left="2880" w:hanging="360"/>
      </w:pPr>
    </w:lvl>
    <w:lvl w:ilvl="4" w:tplc="6C72CA26" w:tentative="1">
      <w:start w:val="1"/>
      <w:numFmt w:val="lowerLetter"/>
      <w:lvlText w:val="%5."/>
      <w:lvlJc w:val="left"/>
      <w:pPr>
        <w:ind w:left="3600" w:hanging="360"/>
      </w:pPr>
    </w:lvl>
    <w:lvl w:ilvl="5" w:tplc="A532D8AC" w:tentative="1">
      <w:start w:val="1"/>
      <w:numFmt w:val="lowerRoman"/>
      <w:lvlText w:val="%6."/>
      <w:lvlJc w:val="right"/>
      <w:pPr>
        <w:ind w:left="4320" w:hanging="180"/>
      </w:pPr>
    </w:lvl>
    <w:lvl w:ilvl="6" w:tplc="E3E8B910" w:tentative="1">
      <w:start w:val="1"/>
      <w:numFmt w:val="decimal"/>
      <w:lvlText w:val="%7."/>
      <w:lvlJc w:val="left"/>
      <w:pPr>
        <w:ind w:left="5040" w:hanging="360"/>
      </w:pPr>
    </w:lvl>
    <w:lvl w:ilvl="7" w:tplc="34227582" w:tentative="1">
      <w:start w:val="1"/>
      <w:numFmt w:val="lowerLetter"/>
      <w:lvlText w:val="%8."/>
      <w:lvlJc w:val="left"/>
      <w:pPr>
        <w:ind w:left="5760" w:hanging="360"/>
      </w:pPr>
    </w:lvl>
    <w:lvl w:ilvl="8" w:tplc="7C44DAE2" w:tentative="1">
      <w:start w:val="1"/>
      <w:numFmt w:val="lowerRoman"/>
      <w:lvlText w:val="%9."/>
      <w:lvlJc w:val="right"/>
      <w:pPr>
        <w:ind w:left="6480" w:hanging="180"/>
      </w:pPr>
    </w:lvl>
  </w:abstractNum>
  <w:abstractNum w:abstractNumId="30">
    <w:nsid w:val="727F459D"/>
    <w:multiLevelType w:val="multilevel"/>
    <w:tmpl w:val="22A45432"/>
    <w:lvl w:ilvl="0">
      <w:start w:val="1"/>
      <w:numFmt w:val="lowerLetter"/>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1">
    <w:nsid w:val="761437B7"/>
    <w:multiLevelType w:val="multilevel"/>
    <w:tmpl w:val="22A45432"/>
    <w:lvl w:ilvl="0">
      <w:start w:val="1"/>
      <w:numFmt w:val="lowerLetter"/>
      <w:lvlText w:val="(%1)"/>
      <w:lvlJc w:val="left"/>
      <w:pPr>
        <w:tabs>
          <w:tab w:val="num" w:pos="1701"/>
        </w:tabs>
        <w:ind w:left="1134"/>
      </w:pPr>
      <w:rPr>
        <w:rFonts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2">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3">
    <w:nsid w:val="78854AAC"/>
    <w:multiLevelType w:val="hybridMultilevel"/>
    <w:tmpl w:val="1EFC19C4"/>
    <w:lvl w:ilvl="0" w:tplc="48CC3BCC">
      <w:start w:val="1"/>
      <w:numFmt w:val="decimal"/>
      <w:pStyle w:val="AlphaParagraph"/>
      <w:lvlText w:val="%1."/>
      <w:lvlJc w:val="left"/>
      <w:pPr>
        <w:tabs>
          <w:tab w:val="num" w:pos="567"/>
        </w:tabs>
        <w:ind w:left="567" w:hanging="567"/>
      </w:pPr>
      <w:rPr>
        <w:rFonts w:cs="Times New Roman" w:hint="default"/>
        <w:b w:val="0"/>
      </w:rPr>
    </w:lvl>
    <w:lvl w:ilvl="1" w:tplc="50346AD0">
      <w:start w:val="1"/>
      <w:numFmt w:val="lowerLetter"/>
      <w:lvlText w:val="%2."/>
      <w:lvlJc w:val="left"/>
      <w:pPr>
        <w:tabs>
          <w:tab w:val="num" w:pos="1440"/>
        </w:tabs>
        <w:ind w:left="1440" w:hanging="360"/>
      </w:pPr>
      <w:rPr>
        <w:rFonts w:cs="Times New Roman"/>
      </w:rPr>
    </w:lvl>
    <w:lvl w:ilvl="2" w:tplc="4DC84144">
      <w:start w:val="1"/>
      <w:numFmt w:val="lowerRoman"/>
      <w:lvlText w:val="%3."/>
      <w:lvlJc w:val="right"/>
      <w:pPr>
        <w:tabs>
          <w:tab w:val="num" w:pos="2160"/>
        </w:tabs>
        <w:ind w:left="2160" w:hanging="180"/>
      </w:pPr>
      <w:rPr>
        <w:rFonts w:cs="Times New Roman"/>
      </w:rPr>
    </w:lvl>
    <w:lvl w:ilvl="3" w:tplc="449A1D28" w:tentative="1">
      <w:start w:val="1"/>
      <w:numFmt w:val="decimal"/>
      <w:lvlText w:val="%4."/>
      <w:lvlJc w:val="left"/>
      <w:pPr>
        <w:tabs>
          <w:tab w:val="num" w:pos="2880"/>
        </w:tabs>
        <w:ind w:left="2880" w:hanging="360"/>
      </w:pPr>
      <w:rPr>
        <w:rFonts w:cs="Times New Roman"/>
      </w:rPr>
    </w:lvl>
    <w:lvl w:ilvl="4" w:tplc="D16835E6" w:tentative="1">
      <w:start w:val="1"/>
      <w:numFmt w:val="lowerLetter"/>
      <w:lvlText w:val="%5."/>
      <w:lvlJc w:val="left"/>
      <w:pPr>
        <w:tabs>
          <w:tab w:val="num" w:pos="3600"/>
        </w:tabs>
        <w:ind w:left="3600" w:hanging="360"/>
      </w:pPr>
      <w:rPr>
        <w:rFonts w:cs="Times New Roman"/>
      </w:rPr>
    </w:lvl>
    <w:lvl w:ilvl="5" w:tplc="2C844468" w:tentative="1">
      <w:start w:val="1"/>
      <w:numFmt w:val="lowerRoman"/>
      <w:lvlText w:val="%6."/>
      <w:lvlJc w:val="right"/>
      <w:pPr>
        <w:tabs>
          <w:tab w:val="num" w:pos="4320"/>
        </w:tabs>
        <w:ind w:left="4320" w:hanging="180"/>
      </w:pPr>
      <w:rPr>
        <w:rFonts w:cs="Times New Roman"/>
      </w:rPr>
    </w:lvl>
    <w:lvl w:ilvl="6" w:tplc="BA2223F6" w:tentative="1">
      <w:start w:val="1"/>
      <w:numFmt w:val="decimal"/>
      <w:lvlText w:val="%7."/>
      <w:lvlJc w:val="left"/>
      <w:pPr>
        <w:tabs>
          <w:tab w:val="num" w:pos="5040"/>
        </w:tabs>
        <w:ind w:left="5040" w:hanging="360"/>
      </w:pPr>
      <w:rPr>
        <w:rFonts w:cs="Times New Roman"/>
      </w:rPr>
    </w:lvl>
    <w:lvl w:ilvl="7" w:tplc="1CCAF8D4" w:tentative="1">
      <w:start w:val="1"/>
      <w:numFmt w:val="lowerLetter"/>
      <w:lvlText w:val="%8."/>
      <w:lvlJc w:val="left"/>
      <w:pPr>
        <w:tabs>
          <w:tab w:val="num" w:pos="5760"/>
        </w:tabs>
        <w:ind w:left="5760" w:hanging="360"/>
      </w:pPr>
      <w:rPr>
        <w:rFonts w:cs="Times New Roman"/>
      </w:rPr>
    </w:lvl>
    <w:lvl w:ilvl="8" w:tplc="9716A66C"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0"/>
  </w:num>
  <w:num w:numId="4">
    <w:abstractNumId w:val="6"/>
  </w:num>
  <w:num w:numId="5">
    <w:abstractNumId w:val="24"/>
  </w:num>
  <w:num w:numId="6">
    <w:abstractNumId w:val="11"/>
  </w:num>
  <w:num w:numId="7">
    <w:abstractNumId w:val="14"/>
  </w:num>
  <w:num w:numId="8">
    <w:abstractNumId w:val="7"/>
  </w:num>
  <w:num w:numId="9">
    <w:abstractNumId w:val="12"/>
  </w:num>
  <w:num w:numId="10">
    <w:abstractNumId w:val="33"/>
  </w:num>
  <w:num w:numId="11">
    <w:abstractNumId w:val="3"/>
  </w:num>
  <w:num w:numId="12">
    <w:abstractNumId w:val="19"/>
  </w:num>
  <w:num w:numId="13">
    <w:abstractNumId w:val="28"/>
  </w:num>
  <w:num w:numId="14">
    <w:abstractNumId w:val="15"/>
  </w:num>
  <w:num w:numId="15">
    <w:abstractNumId w:val="22"/>
  </w:num>
  <w:num w:numId="16">
    <w:abstractNumId w:val="32"/>
  </w:num>
  <w:num w:numId="17">
    <w:abstractNumId w:val="9"/>
  </w:num>
  <w:num w:numId="18">
    <w:abstractNumId w:val="1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30"/>
  </w:num>
  <w:num w:numId="23">
    <w:abstractNumId w:val="5"/>
  </w:num>
  <w:num w:numId="24">
    <w:abstractNumId w:val="27"/>
  </w:num>
  <w:num w:numId="25">
    <w:abstractNumId w:val="29"/>
  </w:num>
  <w:num w:numId="26">
    <w:abstractNumId w:val="21"/>
  </w:num>
  <w:num w:numId="27">
    <w:abstractNumId w:val="33"/>
    <w:lvlOverride w:ilvl="0">
      <w:startOverride w:val="1"/>
    </w:lvlOverride>
  </w:num>
  <w:num w:numId="28">
    <w:abstractNumId w:val="18"/>
  </w:num>
  <w:num w:numId="29">
    <w:abstractNumId w:val="2"/>
  </w:num>
  <w:num w:numId="30">
    <w:abstractNumId w:val="23"/>
  </w:num>
  <w:num w:numId="31">
    <w:abstractNumId w:val="26"/>
  </w:num>
  <w:num w:numId="32">
    <w:abstractNumId w:val="31"/>
  </w:num>
  <w:num w:numId="33">
    <w:abstractNumId w:val="16"/>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AE"/>
    <w:rsid w:val="00011EBA"/>
    <w:rsid w:val="00017A25"/>
    <w:rsid w:val="0005604B"/>
    <w:rsid w:val="00057BD3"/>
    <w:rsid w:val="00071007"/>
    <w:rsid w:val="000759D6"/>
    <w:rsid w:val="000B13A6"/>
    <w:rsid w:val="001436B2"/>
    <w:rsid w:val="001825B6"/>
    <w:rsid w:val="00191D00"/>
    <w:rsid w:val="001E0903"/>
    <w:rsid w:val="001E33B1"/>
    <w:rsid w:val="002053B6"/>
    <w:rsid w:val="00283608"/>
    <w:rsid w:val="00292EFB"/>
    <w:rsid w:val="002A64D3"/>
    <w:rsid w:val="00311934"/>
    <w:rsid w:val="003B4D3C"/>
    <w:rsid w:val="003F41A2"/>
    <w:rsid w:val="00406029"/>
    <w:rsid w:val="00466E91"/>
    <w:rsid w:val="00485224"/>
    <w:rsid w:val="004A7315"/>
    <w:rsid w:val="005003D2"/>
    <w:rsid w:val="00531EC9"/>
    <w:rsid w:val="00573E19"/>
    <w:rsid w:val="005F4A14"/>
    <w:rsid w:val="00615CAE"/>
    <w:rsid w:val="006215CB"/>
    <w:rsid w:val="00624EA2"/>
    <w:rsid w:val="00626B61"/>
    <w:rsid w:val="006937A8"/>
    <w:rsid w:val="006A3987"/>
    <w:rsid w:val="006B4BC9"/>
    <w:rsid w:val="006F5D6B"/>
    <w:rsid w:val="00725696"/>
    <w:rsid w:val="0073128A"/>
    <w:rsid w:val="007848D1"/>
    <w:rsid w:val="007A7DF0"/>
    <w:rsid w:val="007F5BFC"/>
    <w:rsid w:val="008500D3"/>
    <w:rsid w:val="00862E89"/>
    <w:rsid w:val="008704E0"/>
    <w:rsid w:val="008C102E"/>
    <w:rsid w:val="008D596E"/>
    <w:rsid w:val="008E6E04"/>
    <w:rsid w:val="008F0F54"/>
    <w:rsid w:val="00982767"/>
    <w:rsid w:val="009944CD"/>
    <w:rsid w:val="009D27CC"/>
    <w:rsid w:val="009F37E5"/>
    <w:rsid w:val="00A020D1"/>
    <w:rsid w:val="00A372C3"/>
    <w:rsid w:val="00A5716A"/>
    <w:rsid w:val="00A83ED6"/>
    <w:rsid w:val="00AC3D30"/>
    <w:rsid w:val="00B12514"/>
    <w:rsid w:val="00B332B9"/>
    <w:rsid w:val="00B94E0D"/>
    <w:rsid w:val="00C03FE3"/>
    <w:rsid w:val="00C07025"/>
    <w:rsid w:val="00C65B8E"/>
    <w:rsid w:val="00C95401"/>
    <w:rsid w:val="00CF3C8C"/>
    <w:rsid w:val="00D15D24"/>
    <w:rsid w:val="00D26DD9"/>
    <w:rsid w:val="00D37E64"/>
    <w:rsid w:val="00D50317"/>
    <w:rsid w:val="00D86F64"/>
    <w:rsid w:val="00DB0BE7"/>
    <w:rsid w:val="00DD459C"/>
    <w:rsid w:val="00DD4D08"/>
    <w:rsid w:val="00E130B4"/>
    <w:rsid w:val="00E214E5"/>
    <w:rsid w:val="00E5116D"/>
    <w:rsid w:val="00EE6F99"/>
    <w:rsid w:val="00EF4EBC"/>
    <w:rsid w:val="00F27414"/>
    <w:rsid w:val="00F411E0"/>
    <w:rsid w:val="00F44799"/>
    <w:rsid w:val="00F46CA4"/>
    <w:rsid w:val="00F56955"/>
    <w:rsid w:val="00FC4873"/>
    <w:rsid w:val="00FE1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777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BaseChar"/>
    <w:link w:val="Heading1"/>
    <w:uiPriority w:val="9"/>
    <w:locked/>
    <w:rsid w:val="00896F5A"/>
    <w:rPr>
      <w:rFonts w:ascii="Consolas" w:hAnsi="Consolas" w:cs="Arial"/>
      <w:bCs/>
      <w:caps/>
      <w:color w:val="3D4B67"/>
      <w:kern w:val="32"/>
      <w:sz w:val="36"/>
      <w:szCs w:val="36"/>
      <w:lang w:val="en-AU" w:eastAsia="en-AU" w:bidi="ar-SA"/>
    </w:rPr>
  </w:style>
  <w:style w:type="character" w:customStyle="1" w:styleId="Heading2Char">
    <w:name w:val="Heading 2 Char"/>
    <w:basedOn w:val="HeadingBaseChar"/>
    <w:link w:val="Heading2"/>
    <w:uiPriority w:val="9"/>
    <w:locked/>
    <w:rsid w:val="00E220BC"/>
    <w:rPr>
      <w:rFonts w:ascii="Corbel" w:hAnsi="Corbel" w:cs="Arial"/>
      <w:b/>
      <w:bCs/>
      <w:iCs/>
      <w:color w:val="3D4B67"/>
      <w:sz w:val="28"/>
      <w:szCs w:val="28"/>
      <w:lang w:val="en-AU" w:eastAsia="en-AU" w:bidi="ar-SA"/>
    </w:rPr>
  </w:style>
  <w:style w:type="character" w:customStyle="1" w:styleId="Heading3Char">
    <w:name w:val="Heading 3 Char"/>
    <w:basedOn w:val="HeadingBaseChar"/>
    <w:link w:val="Heading3"/>
    <w:uiPriority w:val="9"/>
    <w:locked/>
    <w:rsid w:val="005C5620"/>
    <w:rPr>
      <w:rFonts w:ascii="Corbel" w:hAnsi="Corbel" w:cs="Arial"/>
      <w:b/>
      <w:bCs/>
      <w:color w:val="3D4B67"/>
      <w:spacing w:val="10"/>
      <w:sz w:val="26"/>
      <w:szCs w:val="26"/>
      <w:lang w:val="en-AU" w:eastAsia="en-AU" w:bidi="ar-SA"/>
    </w:rPr>
  </w:style>
  <w:style w:type="character" w:customStyle="1" w:styleId="Heading4Char">
    <w:name w:val="Heading 4 Char"/>
    <w:basedOn w:val="DefaultParagraphFont"/>
    <w:link w:val="Heading4"/>
    <w:uiPriority w:val="9"/>
    <w:semiHidden/>
    <w:locked/>
    <w:rsid w:val="000373D8"/>
    <w:rPr>
      <w:rFonts w:ascii="Calibri" w:hAnsi="Calibri" w:cs="Times New Roman"/>
      <w:b/>
      <w:bCs/>
      <w:color w:val="000000"/>
      <w:sz w:val="28"/>
      <w:szCs w:val="28"/>
    </w:rPr>
  </w:style>
  <w:style w:type="character" w:customStyle="1" w:styleId="Heading5Char">
    <w:name w:val="Heading 5 Char"/>
    <w:basedOn w:val="DefaultParagraphFont"/>
    <w:link w:val="Heading5"/>
    <w:uiPriority w:val="9"/>
    <w:semiHidden/>
    <w:locked/>
    <w:rsid w:val="000373D8"/>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
    <w:semiHidden/>
    <w:locked/>
    <w:rsid w:val="000373D8"/>
    <w:rPr>
      <w:rFonts w:ascii="Calibri" w:hAnsi="Calibri" w:cs="Times New Roman"/>
      <w:b/>
      <w:bCs/>
      <w:color w:val="000000"/>
      <w:sz w:val="22"/>
      <w:szCs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szCs w:val="24"/>
    </w:rPr>
  </w:style>
  <w:style w:type="character" w:customStyle="1" w:styleId="Heading8Char">
    <w:name w:val="Heading 8 Char"/>
    <w:basedOn w:val="DefaultParagraphFont"/>
    <w:link w:val="Heading8"/>
    <w:uiPriority w:val="9"/>
    <w:semiHidden/>
    <w:locked/>
    <w:rsid w:val="000373D8"/>
    <w:rPr>
      <w:rFonts w:ascii="Calibri" w:hAnsi="Calibri" w:cs="Times New Roman"/>
      <w:i/>
      <w:iCs/>
      <w:color w:val="000000"/>
      <w:sz w:val="24"/>
      <w:szCs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basedOn w:val="DefaultParagraphFont"/>
    <w:rsid w:val="000373D8"/>
    <w:rPr>
      <w:rFonts w:ascii="Corbel" w:hAnsi="Corbel" w:cs="Times New Roman"/>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numPr>
        <w:numId w:val="10"/>
      </w:numPr>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basedOn w:val="DefaultParagraphFont"/>
    <w:rsid w:val="000373D8"/>
    <w:rPr>
      <w:rFonts w:cs="Times New Roman"/>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basedOn w:val="DefaultParagraphFont"/>
    <w:rsid w:val="000373D8"/>
    <w:rPr>
      <w:rFonts w:ascii="Arial" w:hAnsi="Arial" w:cs="Times New Roman"/>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basedOn w:val="DefaultParagraphFont"/>
    <w:rsid w:val="000373D8"/>
    <w:rPr>
      <w:rFonts w:cs="Times New Roman"/>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ahoma"/>
      <w:color w:val="000000"/>
      <w:sz w:val="16"/>
      <w:szCs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szCs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bCs/>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ahoma"/>
      <w:color w:val="000000"/>
      <w:sz w:val="16"/>
      <w:szCs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Courier New"/>
      <w:color w:val="000000"/>
      <w:lang w:val="en-AU" w:eastAsia="en-AU" w:bidi="ar-SA"/>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tabs>
        <w:tab w:val="num" w:pos="283"/>
        <w:tab w:val="num" w:pos="567"/>
        <w:tab w:val="num" w:pos="1134"/>
      </w:tabs>
      <w:ind w:left="567" w:hanging="567"/>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szCs w:val="22"/>
      <w:lang w:val="en-AU" w:eastAsia="ja-JP" w:bidi="ar-SA"/>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szCs w:val="48"/>
      <w:lang w:val="en-AU" w:eastAsia="ja-JP" w:bidi="ar-SA"/>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basedOn w:val="DefaultParagraphFont"/>
    <w:rsid w:val="000373D8"/>
    <w:rPr>
      <w:rFonts w:cs="Times New Roman"/>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4"/>
      </w:numPr>
      <w:tabs>
        <w:tab w:val="clear" w:pos="1134"/>
        <w:tab w:val="num" w:pos="2574"/>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basedOn w:val="DefaultParagraphFont"/>
    <w:link w:val="ListBullet"/>
    <w:uiPriority w:val="99"/>
    <w:locked/>
    <w:rsid w:val="00C7093C"/>
    <w:rPr>
      <w:rFonts w:cs="Times New Roman"/>
      <w:sz w:val="22"/>
      <w:szCs w:val="22"/>
      <w:lang w:eastAsia="en-US"/>
    </w:rPr>
  </w:style>
  <w:style w:type="character" w:customStyle="1" w:styleId="NormalnumberedChar">
    <w:name w:val="Normal numbered Char"/>
    <w:basedOn w:val="DefaultParagraphFont"/>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basedOn w:val="DefaultParagraphFont"/>
    <w:link w:val="Bodycopy"/>
    <w:locked/>
    <w:rsid w:val="00F979C5"/>
    <w:rPr>
      <w:rFonts w:cs="Times New Roman"/>
      <w:sz w:val="22"/>
      <w:szCs w:val="22"/>
      <w:lang w:val="en-AU" w:eastAsia="en-US" w:bidi="ar-SA"/>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basedOn w:val="DefaultParagraphFont"/>
    <w:link w:val="Caption"/>
    <w:locked/>
    <w:rsid w:val="00F979C5"/>
    <w:rPr>
      <w:rFonts w:ascii="Corbel" w:hAnsi="Corbel" w:cs="Times New Roman"/>
      <w:b/>
      <w:bCs/>
      <w:color w:val="000000"/>
      <w:sz w:val="23"/>
      <w:lang w:val="en-AU" w:eastAsia="en-AU" w:bidi="ar-SA"/>
    </w:rPr>
  </w:style>
  <w:style w:type="character" w:customStyle="1" w:styleId="HeadingBaseChar">
    <w:name w:val="Heading Base Char"/>
    <w:basedOn w:val="DefaultParagraphFont"/>
    <w:link w:val="HeadingBase"/>
    <w:locked/>
    <w:rsid w:val="00E220BC"/>
    <w:rPr>
      <w:rFonts w:ascii="Corbel" w:hAnsi="Corbel" w:cs="Times New Roman"/>
      <w:color w:val="3D4B67"/>
      <w:lang w:val="en-AU" w:eastAsia="en-AU" w:bidi="ar-SA"/>
    </w:rPr>
  </w:style>
  <w:style w:type="character" w:customStyle="1" w:styleId="AlphaParagraphCharChar">
    <w:name w:val="Alpha Paragraph Char Char"/>
    <w:basedOn w:val="DefaultParagraphFont"/>
    <w:link w:val="AlphaParagraph"/>
    <w:locked/>
    <w:rsid w:val="00725AD5"/>
    <w:rPr>
      <w:rFonts w:ascii="Corbel" w:hAnsi="Corbel"/>
      <w:color w:val="000000"/>
      <w:sz w:val="23"/>
    </w:rPr>
  </w:style>
  <w:style w:type="character" w:customStyle="1" w:styleId="BulletChar">
    <w:name w:val="Bullet Char"/>
    <w:basedOn w:val="DefaultParagraphFont"/>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6"/>
      </w:numPr>
      <w:spacing w:line="240" w:lineRule="auto"/>
      <w:jc w:val="left"/>
    </w:pPr>
    <w:rPr>
      <w:rFonts w:ascii="Times New Roman" w:hAnsi="Times New Roman"/>
      <w:color w:val="auto"/>
      <w:sz w:val="24"/>
    </w:rPr>
  </w:style>
  <w:style w:type="character" w:customStyle="1" w:styleId="CharChar4">
    <w:name w:val="Char Char4"/>
    <w:basedOn w:val="DefaultParagraphFont"/>
    <w:semiHidden/>
    <w:rsid w:val="006F096A"/>
    <w:rPr>
      <w:rFonts w:ascii="Corbel" w:hAnsi="Corbel" w:cs="Arial"/>
      <w:b/>
      <w:bCs/>
      <w:iCs/>
      <w:color w:val="3D4B67"/>
      <w:sz w:val="28"/>
      <w:szCs w:val="28"/>
      <w:lang w:val="en-AU" w:eastAsia="en-AU" w:bidi="ar-SA"/>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basedOn w:val="DefaultParagraphFont"/>
    <w:link w:val="NormalIndent"/>
    <w:locked/>
    <w:rsid w:val="00E354D8"/>
    <w:rPr>
      <w:rFonts w:ascii="Corbel" w:hAnsi="Corbel" w:cs="Times New Roman"/>
      <w:color w:val="000000"/>
      <w:sz w:val="23"/>
      <w:lang w:val="en-AU" w:eastAsia="en-AU" w:bidi="ar-SA"/>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s>
      <w:ind w:left="1440" w:hanging="360"/>
    </w:pPr>
  </w:style>
  <w:style w:type="paragraph" w:customStyle="1" w:styleId="IndentHanging2">
    <w:name w:val="Indent: Hanging 2"/>
    <w:basedOn w:val="IndentHanging1"/>
    <w:semiHidden/>
    <w:rsid w:val="001E7173"/>
    <w:pPr>
      <w:numPr>
        <w:ilvl w:val="2"/>
      </w:numPr>
      <w:tabs>
        <w:tab w:val="num" w:pos="2160"/>
      </w:tabs>
    </w:pPr>
  </w:style>
  <w:style w:type="paragraph" w:customStyle="1" w:styleId="IndentHanging3">
    <w:name w:val="Indent: Hanging 3"/>
    <w:basedOn w:val="IndentHanging2"/>
    <w:semiHidden/>
    <w:rsid w:val="001E7173"/>
    <w:pPr>
      <w:numPr>
        <w:ilvl w:val="3"/>
      </w:numPr>
      <w:tabs>
        <w:tab w:val="num" w:pos="1440"/>
        <w:tab w:val="num" w:pos="2880"/>
      </w:tabs>
    </w:pPr>
  </w:style>
  <w:style w:type="paragraph" w:customStyle="1" w:styleId="IndentHanging4">
    <w:name w:val="Indent: Hanging 4"/>
    <w:basedOn w:val="IndentHanging3"/>
    <w:semiHidden/>
    <w:rsid w:val="001E7173"/>
    <w:pPr>
      <w:numPr>
        <w:ilvl w:val="4"/>
      </w:numPr>
      <w:tabs>
        <w:tab w:val="num" w:pos="1701"/>
        <w:tab w:val="num" w:pos="3600"/>
      </w:tabs>
      <w:ind w:hanging="360"/>
    </w:pPr>
  </w:style>
  <w:style w:type="paragraph" w:customStyle="1" w:styleId="IndentHanging5">
    <w:name w:val="Indent: Hanging 5"/>
    <w:basedOn w:val="IndentHanging4"/>
    <w:semiHidden/>
    <w:rsid w:val="001E7173"/>
    <w:pPr>
      <w:numPr>
        <w:ilvl w:val="5"/>
      </w:numPr>
      <w:tabs>
        <w:tab w:val="num" w:pos="2126"/>
        <w:tab w:val="num" w:pos="4320"/>
      </w:tabs>
      <w:ind w:hanging="360"/>
    </w:pPr>
  </w:style>
  <w:style w:type="paragraph" w:customStyle="1" w:styleId="IndentHanging6">
    <w:name w:val="Indent: Hanging 6"/>
    <w:basedOn w:val="IndentHanging5"/>
    <w:semiHidden/>
    <w:rsid w:val="001E7173"/>
    <w:pPr>
      <w:numPr>
        <w:ilvl w:val="6"/>
      </w:numPr>
      <w:tabs>
        <w:tab w:val="num" w:pos="2160"/>
        <w:tab w:val="num" w:pos="5040"/>
      </w:tabs>
      <w:ind w:hanging="360"/>
    </w:pPr>
  </w:style>
  <w:style w:type="paragraph" w:customStyle="1" w:styleId="IndentHanging7">
    <w:name w:val="Indent: Hanging 7"/>
    <w:basedOn w:val="IndentHanging6"/>
    <w:semiHidden/>
    <w:rsid w:val="001E7173"/>
    <w:pPr>
      <w:numPr>
        <w:ilvl w:val="7"/>
      </w:numPr>
      <w:tabs>
        <w:tab w:val="num" w:pos="2551"/>
        <w:tab w:val="num" w:pos="5760"/>
      </w:tabs>
    </w:pPr>
  </w:style>
  <w:style w:type="paragraph" w:customStyle="1" w:styleId="IndentHanging8">
    <w:name w:val="Indent: Hanging 8"/>
    <w:basedOn w:val="IndentHanging7"/>
    <w:semiHidden/>
    <w:rsid w:val="001E7173"/>
    <w:pPr>
      <w:numPr>
        <w:ilvl w:val="8"/>
      </w:numPr>
      <w:tabs>
        <w:tab w:val="num" w:pos="2880"/>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99"/>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basedOn w:val="NormalnumberedChar"/>
    <w:link w:val="ScheduleNumberedPara"/>
    <w:locked/>
    <w:rsid w:val="00F4377A"/>
    <w:rPr>
      <w:rFonts w:ascii="Corbel" w:hAnsi="Corbel"/>
      <w:color w:val="000000"/>
      <w:sz w:val="23"/>
    </w:rPr>
  </w:style>
  <w:style w:type="character" w:customStyle="1" w:styleId="NumberedParagraphChar">
    <w:name w:val="Numbered Paragraph Char"/>
    <w:basedOn w:val="DefaultParagraphFont"/>
    <w:link w:val="NumberedParagraph"/>
    <w:uiPriority w:val="99"/>
    <w:locked/>
    <w:rsid w:val="00E21E55"/>
    <w:rPr>
      <w:sz w:val="24"/>
    </w:rPr>
  </w:style>
  <w:style w:type="character" w:styleId="Strong">
    <w:name w:val="Strong"/>
    <w:basedOn w:val="DefaultParagraphFont"/>
    <w:uiPriority w:val="22"/>
    <w:qFormat/>
    <w:rsid w:val="00A620C4"/>
    <w:rPr>
      <w:rFonts w:cs="Times New Roman"/>
      <w:b/>
      <w:bCs/>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szCs w:val="21"/>
      <w:lang w:eastAsia="en-US"/>
    </w:rPr>
  </w:style>
  <w:style w:type="character" w:styleId="Emphasis">
    <w:name w:val="Emphasis"/>
    <w:basedOn w:val="DefaultParagraphFont"/>
    <w:uiPriority w:val="20"/>
    <w:qFormat/>
    <w:rsid w:val="00473C96"/>
    <w:rPr>
      <w:rFonts w:cs="Times New Roman"/>
      <w:i/>
      <w:iCs/>
    </w:rPr>
  </w:style>
  <w:style w:type="paragraph" w:styleId="ListNumber">
    <w:name w:val="List Number"/>
    <w:basedOn w:val="Normal"/>
    <w:rsid w:val="00E379DC"/>
    <w:pPr>
      <w:numPr>
        <w:numId w:val="20"/>
      </w:numPr>
      <w:contextualSpacing/>
    </w:pPr>
  </w:style>
  <w:style w:type="paragraph" w:customStyle="1" w:styleId="Num">
    <w:name w:val="Num"/>
    <w:basedOn w:val="Normal"/>
    <w:uiPriority w:val="99"/>
    <w:rsid w:val="00726FBD"/>
    <w:pPr>
      <w:tabs>
        <w:tab w:val="left" w:pos="720"/>
      </w:tabs>
      <w:spacing w:before="120" w:line="240" w:lineRule="auto"/>
      <w:jc w:val="left"/>
    </w:pPr>
    <w:rPr>
      <w:rFonts w:ascii="Arial" w:hAnsi="Arial" w:cs="Arial"/>
      <w:color w:val="auto"/>
      <w:sz w:val="24"/>
      <w:szCs w:val="24"/>
    </w:rPr>
  </w:style>
  <w:style w:type="paragraph" w:customStyle="1" w:styleId="CABBackGround">
    <w:name w:val="CABBackGround"/>
    <w:basedOn w:val="Normal"/>
    <w:link w:val="CABBackGroundChar1"/>
    <w:rsid w:val="00245633"/>
    <w:pPr>
      <w:spacing w:after="0" w:line="360" w:lineRule="auto"/>
      <w:jc w:val="left"/>
    </w:pPr>
    <w:rPr>
      <w:rFonts w:ascii="Times New Roman" w:hAnsi="Times New Roman"/>
      <w:color w:val="auto"/>
      <w:sz w:val="24"/>
    </w:rPr>
  </w:style>
  <w:style w:type="character" w:customStyle="1" w:styleId="CABBackGroundChar1">
    <w:name w:val="CABBackGround Char1"/>
    <w:basedOn w:val="DefaultParagraphFont"/>
    <w:link w:val="CABBackGround"/>
    <w:locked/>
    <w:rsid w:val="00245633"/>
    <w:rPr>
      <w:sz w:val="24"/>
    </w:rPr>
  </w:style>
  <w:style w:type="paragraph" w:styleId="Revision">
    <w:name w:val="Revision"/>
    <w:hidden/>
    <w:uiPriority w:val="99"/>
    <w:semiHidden/>
    <w:rsid w:val="00C70060"/>
    <w:rPr>
      <w:rFonts w:ascii="Corbel" w:hAnsi="Corbel"/>
      <w:color w:val="000000"/>
      <w:sz w:val="23"/>
    </w:rPr>
  </w:style>
  <w:style w:type="table" w:customStyle="1" w:styleId="TableGrid1">
    <w:name w:val="Table Grid1"/>
    <w:basedOn w:val="TableNormal"/>
    <w:next w:val="TableGrid"/>
    <w:uiPriority w:val="59"/>
    <w:rsid w:val="00E90FEC"/>
    <w:rPr>
      <w:rFonts w:ascii="Arial" w:eastAsia="Calibri"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table" w:customStyle="1" w:styleId="TableGrid2">
    <w:name w:val="Table Grid2"/>
    <w:basedOn w:val="TableNormal"/>
    <w:next w:val="TableGrid"/>
    <w:uiPriority w:val="59"/>
    <w:rsid w:val="005E6323"/>
    <w:rPr>
      <w:rFonts w:ascii="Arial" w:eastAsia="Calibri"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BaseChar"/>
    <w:link w:val="Heading1"/>
    <w:uiPriority w:val="9"/>
    <w:locked/>
    <w:rsid w:val="00896F5A"/>
    <w:rPr>
      <w:rFonts w:ascii="Consolas" w:hAnsi="Consolas" w:cs="Arial"/>
      <w:bCs/>
      <w:caps/>
      <w:color w:val="3D4B67"/>
      <w:kern w:val="32"/>
      <w:sz w:val="36"/>
      <w:szCs w:val="36"/>
      <w:lang w:val="en-AU" w:eastAsia="en-AU" w:bidi="ar-SA"/>
    </w:rPr>
  </w:style>
  <w:style w:type="character" w:customStyle="1" w:styleId="Heading2Char">
    <w:name w:val="Heading 2 Char"/>
    <w:basedOn w:val="HeadingBaseChar"/>
    <w:link w:val="Heading2"/>
    <w:uiPriority w:val="9"/>
    <w:locked/>
    <w:rsid w:val="00E220BC"/>
    <w:rPr>
      <w:rFonts w:ascii="Corbel" w:hAnsi="Corbel" w:cs="Arial"/>
      <w:b/>
      <w:bCs/>
      <w:iCs/>
      <w:color w:val="3D4B67"/>
      <w:sz w:val="28"/>
      <w:szCs w:val="28"/>
      <w:lang w:val="en-AU" w:eastAsia="en-AU" w:bidi="ar-SA"/>
    </w:rPr>
  </w:style>
  <w:style w:type="character" w:customStyle="1" w:styleId="Heading3Char">
    <w:name w:val="Heading 3 Char"/>
    <w:basedOn w:val="HeadingBaseChar"/>
    <w:link w:val="Heading3"/>
    <w:uiPriority w:val="9"/>
    <w:locked/>
    <w:rsid w:val="005C5620"/>
    <w:rPr>
      <w:rFonts w:ascii="Corbel" w:hAnsi="Corbel" w:cs="Arial"/>
      <w:b/>
      <w:bCs/>
      <w:color w:val="3D4B67"/>
      <w:spacing w:val="10"/>
      <w:sz w:val="26"/>
      <w:szCs w:val="26"/>
      <w:lang w:val="en-AU" w:eastAsia="en-AU" w:bidi="ar-SA"/>
    </w:rPr>
  </w:style>
  <w:style w:type="character" w:customStyle="1" w:styleId="Heading4Char">
    <w:name w:val="Heading 4 Char"/>
    <w:basedOn w:val="DefaultParagraphFont"/>
    <w:link w:val="Heading4"/>
    <w:uiPriority w:val="9"/>
    <w:semiHidden/>
    <w:locked/>
    <w:rsid w:val="000373D8"/>
    <w:rPr>
      <w:rFonts w:ascii="Calibri" w:hAnsi="Calibri" w:cs="Times New Roman"/>
      <w:b/>
      <w:bCs/>
      <w:color w:val="000000"/>
      <w:sz w:val="28"/>
      <w:szCs w:val="28"/>
    </w:rPr>
  </w:style>
  <w:style w:type="character" w:customStyle="1" w:styleId="Heading5Char">
    <w:name w:val="Heading 5 Char"/>
    <w:basedOn w:val="DefaultParagraphFont"/>
    <w:link w:val="Heading5"/>
    <w:uiPriority w:val="9"/>
    <w:semiHidden/>
    <w:locked/>
    <w:rsid w:val="000373D8"/>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
    <w:semiHidden/>
    <w:locked/>
    <w:rsid w:val="000373D8"/>
    <w:rPr>
      <w:rFonts w:ascii="Calibri" w:hAnsi="Calibri" w:cs="Times New Roman"/>
      <w:b/>
      <w:bCs/>
      <w:color w:val="000000"/>
      <w:sz w:val="22"/>
      <w:szCs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szCs w:val="24"/>
    </w:rPr>
  </w:style>
  <w:style w:type="character" w:customStyle="1" w:styleId="Heading8Char">
    <w:name w:val="Heading 8 Char"/>
    <w:basedOn w:val="DefaultParagraphFont"/>
    <w:link w:val="Heading8"/>
    <w:uiPriority w:val="9"/>
    <w:semiHidden/>
    <w:locked/>
    <w:rsid w:val="000373D8"/>
    <w:rPr>
      <w:rFonts w:ascii="Calibri" w:hAnsi="Calibri" w:cs="Times New Roman"/>
      <w:i/>
      <w:iCs/>
      <w:color w:val="000000"/>
      <w:sz w:val="24"/>
      <w:szCs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basedOn w:val="DefaultParagraphFont"/>
    <w:rsid w:val="000373D8"/>
    <w:rPr>
      <w:rFonts w:ascii="Corbel" w:hAnsi="Corbel" w:cs="Times New Roman"/>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numPr>
        <w:numId w:val="10"/>
      </w:numPr>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basedOn w:val="DefaultParagraphFont"/>
    <w:rsid w:val="000373D8"/>
    <w:rPr>
      <w:rFonts w:cs="Times New Roman"/>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basedOn w:val="DefaultParagraphFont"/>
    <w:rsid w:val="000373D8"/>
    <w:rPr>
      <w:rFonts w:ascii="Arial" w:hAnsi="Arial" w:cs="Times New Roman"/>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basedOn w:val="DefaultParagraphFont"/>
    <w:rsid w:val="000373D8"/>
    <w:rPr>
      <w:rFonts w:cs="Times New Roman"/>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ahoma"/>
      <w:color w:val="000000"/>
      <w:sz w:val="16"/>
      <w:szCs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szCs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bCs/>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ahoma"/>
      <w:color w:val="000000"/>
      <w:sz w:val="16"/>
      <w:szCs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Courier New"/>
      <w:color w:val="000000"/>
      <w:lang w:val="en-AU" w:eastAsia="en-AU" w:bidi="ar-SA"/>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tabs>
        <w:tab w:val="num" w:pos="283"/>
        <w:tab w:val="num" w:pos="567"/>
        <w:tab w:val="num" w:pos="1134"/>
      </w:tabs>
      <w:ind w:left="567" w:hanging="567"/>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szCs w:val="22"/>
      <w:lang w:val="en-AU" w:eastAsia="ja-JP" w:bidi="ar-SA"/>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szCs w:val="48"/>
      <w:lang w:val="en-AU" w:eastAsia="ja-JP" w:bidi="ar-SA"/>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basedOn w:val="DefaultParagraphFont"/>
    <w:rsid w:val="000373D8"/>
    <w:rPr>
      <w:rFonts w:cs="Times New Roman"/>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4"/>
      </w:numPr>
      <w:tabs>
        <w:tab w:val="clear" w:pos="1134"/>
        <w:tab w:val="num" w:pos="2574"/>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basedOn w:val="DefaultParagraphFont"/>
    <w:link w:val="ListBullet"/>
    <w:uiPriority w:val="99"/>
    <w:locked/>
    <w:rsid w:val="00C7093C"/>
    <w:rPr>
      <w:rFonts w:cs="Times New Roman"/>
      <w:sz w:val="22"/>
      <w:szCs w:val="22"/>
      <w:lang w:eastAsia="en-US"/>
    </w:rPr>
  </w:style>
  <w:style w:type="character" w:customStyle="1" w:styleId="NormalnumberedChar">
    <w:name w:val="Normal numbered Char"/>
    <w:basedOn w:val="DefaultParagraphFont"/>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basedOn w:val="DefaultParagraphFont"/>
    <w:link w:val="Bodycopy"/>
    <w:locked/>
    <w:rsid w:val="00F979C5"/>
    <w:rPr>
      <w:rFonts w:cs="Times New Roman"/>
      <w:sz w:val="22"/>
      <w:szCs w:val="22"/>
      <w:lang w:val="en-AU" w:eastAsia="en-US" w:bidi="ar-SA"/>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basedOn w:val="DefaultParagraphFont"/>
    <w:link w:val="Caption"/>
    <w:locked/>
    <w:rsid w:val="00F979C5"/>
    <w:rPr>
      <w:rFonts w:ascii="Corbel" w:hAnsi="Corbel" w:cs="Times New Roman"/>
      <w:b/>
      <w:bCs/>
      <w:color w:val="000000"/>
      <w:sz w:val="23"/>
      <w:lang w:val="en-AU" w:eastAsia="en-AU" w:bidi="ar-SA"/>
    </w:rPr>
  </w:style>
  <w:style w:type="character" w:customStyle="1" w:styleId="HeadingBaseChar">
    <w:name w:val="Heading Base Char"/>
    <w:basedOn w:val="DefaultParagraphFont"/>
    <w:link w:val="HeadingBase"/>
    <w:locked/>
    <w:rsid w:val="00E220BC"/>
    <w:rPr>
      <w:rFonts w:ascii="Corbel" w:hAnsi="Corbel" w:cs="Times New Roman"/>
      <w:color w:val="3D4B67"/>
      <w:lang w:val="en-AU" w:eastAsia="en-AU" w:bidi="ar-SA"/>
    </w:rPr>
  </w:style>
  <w:style w:type="character" w:customStyle="1" w:styleId="AlphaParagraphCharChar">
    <w:name w:val="Alpha Paragraph Char Char"/>
    <w:basedOn w:val="DefaultParagraphFont"/>
    <w:link w:val="AlphaParagraph"/>
    <w:locked/>
    <w:rsid w:val="00725AD5"/>
    <w:rPr>
      <w:rFonts w:ascii="Corbel" w:hAnsi="Corbel"/>
      <w:color w:val="000000"/>
      <w:sz w:val="23"/>
    </w:rPr>
  </w:style>
  <w:style w:type="character" w:customStyle="1" w:styleId="BulletChar">
    <w:name w:val="Bullet Char"/>
    <w:basedOn w:val="DefaultParagraphFont"/>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6"/>
      </w:numPr>
      <w:spacing w:line="240" w:lineRule="auto"/>
      <w:jc w:val="left"/>
    </w:pPr>
    <w:rPr>
      <w:rFonts w:ascii="Times New Roman" w:hAnsi="Times New Roman"/>
      <w:color w:val="auto"/>
      <w:sz w:val="24"/>
    </w:rPr>
  </w:style>
  <w:style w:type="character" w:customStyle="1" w:styleId="CharChar4">
    <w:name w:val="Char Char4"/>
    <w:basedOn w:val="DefaultParagraphFont"/>
    <w:semiHidden/>
    <w:rsid w:val="006F096A"/>
    <w:rPr>
      <w:rFonts w:ascii="Corbel" w:hAnsi="Corbel" w:cs="Arial"/>
      <w:b/>
      <w:bCs/>
      <w:iCs/>
      <w:color w:val="3D4B67"/>
      <w:sz w:val="28"/>
      <w:szCs w:val="28"/>
      <w:lang w:val="en-AU" w:eastAsia="en-AU" w:bidi="ar-SA"/>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basedOn w:val="DefaultParagraphFont"/>
    <w:link w:val="NormalIndent"/>
    <w:locked/>
    <w:rsid w:val="00E354D8"/>
    <w:rPr>
      <w:rFonts w:ascii="Corbel" w:hAnsi="Corbel" w:cs="Times New Roman"/>
      <w:color w:val="000000"/>
      <w:sz w:val="23"/>
      <w:lang w:val="en-AU" w:eastAsia="en-AU" w:bidi="ar-SA"/>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s>
      <w:ind w:left="1440" w:hanging="360"/>
    </w:pPr>
  </w:style>
  <w:style w:type="paragraph" w:customStyle="1" w:styleId="IndentHanging2">
    <w:name w:val="Indent: Hanging 2"/>
    <w:basedOn w:val="IndentHanging1"/>
    <w:semiHidden/>
    <w:rsid w:val="001E7173"/>
    <w:pPr>
      <w:numPr>
        <w:ilvl w:val="2"/>
      </w:numPr>
      <w:tabs>
        <w:tab w:val="num" w:pos="2160"/>
      </w:tabs>
    </w:pPr>
  </w:style>
  <w:style w:type="paragraph" w:customStyle="1" w:styleId="IndentHanging3">
    <w:name w:val="Indent: Hanging 3"/>
    <w:basedOn w:val="IndentHanging2"/>
    <w:semiHidden/>
    <w:rsid w:val="001E7173"/>
    <w:pPr>
      <w:numPr>
        <w:ilvl w:val="3"/>
      </w:numPr>
      <w:tabs>
        <w:tab w:val="num" w:pos="1440"/>
        <w:tab w:val="num" w:pos="2880"/>
      </w:tabs>
    </w:pPr>
  </w:style>
  <w:style w:type="paragraph" w:customStyle="1" w:styleId="IndentHanging4">
    <w:name w:val="Indent: Hanging 4"/>
    <w:basedOn w:val="IndentHanging3"/>
    <w:semiHidden/>
    <w:rsid w:val="001E7173"/>
    <w:pPr>
      <w:numPr>
        <w:ilvl w:val="4"/>
      </w:numPr>
      <w:tabs>
        <w:tab w:val="num" w:pos="1701"/>
        <w:tab w:val="num" w:pos="3600"/>
      </w:tabs>
      <w:ind w:hanging="360"/>
    </w:pPr>
  </w:style>
  <w:style w:type="paragraph" w:customStyle="1" w:styleId="IndentHanging5">
    <w:name w:val="Indent: Hanging 5"/>
    <w:basedOn w:val="IndentHanging4"/>
    <w:semiHidden/>
    <w:rsid w:val="001E7173"/>
    <w:pPr>
      <w:numPr>
        <w:ilvl w:val="5"/>
      </w:numPr>
      <w:tabs>
        <w:tab w:val="num" w:pos="2126"/>
        <w:tab w:val="num" w:pos="4320"/>
      </w:tabs>
      <w:ind w:hanging="360"/>
    </w:pPr>
  </w:style>
  <w:style w:type="paragraph" w:customStyle="1" w:styleId="IndentHanging6">
    <w:name w:val="Indent: Hanging 6"/>
    <w:basedOn w:val="IndentHanging5"/>
    <w:semiHidden/>
    <w:rsid w:val="001E7173"/>
    <w:pPr>
      <w:numPr>
        <w:ilvl w:val="6"/>
      </w:numPr>
      <w:tabs>
        <w:tab w:val="num" w:pos="2160"/>
        <w:tab w:val="num" w:pos="5040"/>
      </w:tabs>
      <w:ind w:hanging="360"/>
    </w:pPr>
  </w:style>
  <w:style w:type="paragraph" w:customStyle="1" w:styleId="IndentHanging7">
    <w:name w:val="Indent: Hanging 7"/>
    <w:basedOn w:val="IndentHanging6"/>
    <w:semiHidden/>
    <w:rsid w:val="001E7173"/>
    <w:pPr>
      <w:numPr>
        <w:ilvl w:val="7"/>
      </w:numPr>
      <w:tabs>
        <w:tab w:val="num" w:pos="2551"/>
        <w:tab w:val="num" w:pos="5760"/>
      </w:tabs>
    </w:pPr>
  </w:style>
  <w:style w:type="paragraph" w:customStyle="1" w:styleId="IndentHanging8">
    <w:name w:val="Indent: Hanging 8"/>
    <w:basedOn w:val="IndentHanging7"/>
    <w:semiHidden/>
    <w:rsid w:val="001E7173"/>
    <w:pPr>
      <w:numPr>
        <w:ilvl w:val="8"/>
      </w:numPr>
      <w:tabs>
        <w:tab w:val="num" w:pos="2880"/>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99"/>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basedOn w:val="NormalnumberedChar"/>
    <w:link w:val="ScheduleNumberedPara"/>
    <w:locked/>
    <w:rsid w:val="00F4377A"/>
    <w:rPr>
      <w:rFonts w:ascii="Corbel" w:hAnsi="Corbel"/>
      <w:color w:val="000000"/>
      <w:sz w:val="23"/>
    </w:rPr>
  </w:style>
  <w:style w:type="character" w:customStyle="1" w:styleId="NumberedParagraphChar">
    <w:name w:val="Numbered Paragraph Char"/>
    <w:basedOn w:val="DefaultParagraphFont"/>
    <w:link w:val="NumberedParagraph"/>
    <w:uiPriority w:val="99"/>
    <w:locked/>
    <w:rsid w:val="00E21E55"/>
    <w:rPr>
      <w:sz w:val="24"/>
    </w:rPr>
  </w:style>
  <w:style w:type="character" w:styleId="Strong">
    <w:name w:val="Strong"/>
    <w:basedOn w:val="DefaultParagraphFont"/>
    <w:uiPriority w:val="22"/>
    <w:qFormat/>
    <w:rsid w:val="00A620C4"/>
    <w:rPr>
      <w:rFonts w:cs="Times New Roman"/>
      <w:b/>
      <w:bCs/>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szCs w:val="21"/>
      <w:lang w:eastAsia="en-US"/>
    </w:rPr>
  </w:style>
  <w:style w:type="character" w:styleId="Emphasis">
    <w:name w:val="Emphasis"/>
    <w:basedOn w:val="DefaultParagraphFont"/>
    <w:uiPriority w:val="20"/>
    <w:qFormat/>
    <w:rsid w:val="00473C96"/>
    <w:rPr>
      <w:rFonts w:cs="Times New Roman"/>
      <w:i/>
      <w:iCs/>
    </w:rPr>
  </w:style>
  <w:style w:type="paragraph" w:styleId="ListNumber">
    <w:name w:val="List Number"/>
    <w:basedOn w:val="Normal"/>
    <w:rsid w:val="00E379DC"/>
    <w:pPr>
      <w:numPr>
        <w:numId w:val="20"/>
      </w:numPr>
      <w:contextualSpacing/>
    </w:pPr>
  </w:style>
  <w:style w:type="paragraph" w:customStyle="1" w:styleId="Num">
    <w:name w:val="Num"/>
    <w:basedOn w:val="Normal"/>
    <w:uiPriority w:val="99"/>
    <w:rsid w:val="00726FBD"/>
    <w:pPr>
      <w:tabs>
        <w:tab w:val="left" w:pos="720"/>
      </w:tabs>
      <w:spacing w:before="120" w:line="240" w:lineRule="auto"/>
      <w:jc w:val="left"/>
    </w:pPr>
    <w:rPr>
      <w:rFonts w:ascii="Arial" w:hAnsi="Arial" w:cs="Arial"/>
      <w:color w:val="auto"/>
      <w:sz w:val="24"/>
      <w:szCs w:val="24"/>
    </w:rPr>
  </w:style>
  <w:style w:type="paragraph" w:customStyle="1" w:styleId="CABBackGround">
    <w:name w:val="CABBackGround"/>
    <w:basedOn w:val="Normal"/>
    <w:link w:val="CABBackGroundChar1"/>
    <w:rsid w:val="00245633"/>
    <w:pPr>
      <w:spacing w:after="0" w:line="360" w:lineRule="auto"/>
      <w:jc w:val="left"/>
    </w:pPr>
    <w:rPr>
      <w:rFonts w:ascii="Times New Roman" w:hAnsi="Times New Roman"/>
      <w:color w:val="auto"/>
      <w:sz w:val="24"/>
    </w:rPr>
  </w:style>
  <w:style w:type="character" w:customStyle="1" w:styleId="CABBackGroundChar1">
    <w:name w:val="CABBackGround Char1"/>
    <w:basedOn w:val="DefaultParagraphFont"/>
    <w:link w:val="CABBackGround"/>
    <w:locked/>
    <w:rsid w:val="00245633"/>
    <w:rPr>
      <w:sz w:val="24"/>
    </w:rPr>
  </w:style>
  <w:style w:type="paragraph" w:styleId="Revision">
    <w:name w:val="Revision"/>
    <w:hidden/>
    <w:uiPriority w:val="99"/>
    <w:semiHidden/>
    <w:rsid w:val="00C70060"/>
    <w:rPr>
      <w:rFonts w:ascii="Corbel" w:hAnsi="Corbel"/>
      <w:color w:val="000000"/>
      <w:sz w:val="23"/>
    </w:rPr>
  </w:style>
  <w:style w:type="table" w:customStyle="1" w:styleId="TableGrid1">
    <w:name w:val="Table Grid1"/>
    <w:basedOn w:val="TableNormal"/>
    <w:next w:val="TableGrid"/>
    <w:uiPriority w:val="59"/>
    <w:rsid w:val="00E90FEC"/>
    <w:rPr>
      <w:rFonts w:ascii="Arial" w:eastAsia="Calibri"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table" w:customStyle="1" w:styleId="TableGrid2">
    <w:name w:val="Table Grid2"/>
    <w:basedOn w:val="TableNormal"/>
    <w:next w:val="TableGrid"/>
    <w:uiPriority w:val="59"/>
    <w:rsid w:val="005E6323"/>
    <w:rPr>
      <w:rFonts w:ascii="Arial" w:eastAsia="Calibri"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2020FG-64-73878</_dlc_DocId>
    <_dlc_DocIdUrl xmlns="0f563589-9cf9-4143-b1eb-fb0534803d38">
      <Url>http://tweb/sites/fg/csrd/_layouts/15/DocIdRedir.aspx?ID=2020FG-64-73878</Url>
      <Description>2020FG-64-73878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49" ma:contentTypeDescription=" " ma:contentTypeScope="" ma:versionID="55e1696c57e414f346c4151edc7cd574">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1FF65-A018-4A13-8B2F-698BD024E839}">
  <ds:schemaRefs>
    <ds:schemaRef ds:uri="http://schemas.microsoft.com/office/2006/documentManagement/types"/>
    <ds:schemaRef ds:uri="http://schemas.microsoft.com/office/2006/metadata/properties"/>
    <ds:schemaRef ds:uri="http://purl.org/dc/elements/1.1/"/>
    <ds:schemaRef ds:uri="http://purl.org/dc/terms/"/>
    <ds:schemaRef ds:uri="http://schemas.microsoft.com/sharepoint/v4"/>
    <ds:schemaRef ds:uri="http://schemas.microsoft.com/office/infopath/2007/PartnerControls"/>
    <ds:schemaRef ds:uri="http://schemas.microsoft.com/sharepoint/v3"/>
    <ds:schemaRef ds:uri="http://schemas.openxmlformats.org/package/2006/metadata/core-properties"/>
    <ds:schemaRef ds:uri="e544e5cc-ab70-42e1-849e-1a0f8bb1f4ef"/>
    <ds:schemaRef ds:uri="http://www.w3.org/XML/1998/namespace"/>
    <ds:schemaRef ds:uri="http://purl.org/dc/dcmitype/"/>
  </ds:schemaRefs>
</ds:datastoreItem>
</file>

<file path=customXml/itemProps2.xml><?xml version="1.0" encoding="utf-8"?>
<ds:datastoreItem xmlns:ds="http://schemas.openxmlformats.org/officeDocument/2006/customXml" ds:itemID="{251050D8-A416-4C87-B3C0-3CEEFFEA0934}">
  <ds:schemaRefs>
    <ds:schemaRef ds:uri="http://schemas.microsoft.com/sharepoint/v3/contenttype/forms"/>
  </ds:schemaRefs>
</ds:datastoreItem>
</file>

<file path=customXml/itemProps3.xml><?xml version="1.0" encoding="utf-8"?>
<ds:datastoreItem xmlns:ds="http://schemas.openxmlformats.org/officeDocument/2006/customXml" ds:itemID="{5E5CFC7C-F68B-4978-B4C4-08E97785682D}">
  <ds:schemaRefs>
    <ds:schemaRef ds:uri="http://schemas.microsoft.com/sharepoint/events"/>
  </ds:schemaRefs>
</ds:datastoreItem>
</file>

<file path=customXml/itemProps4.xml><?xml version="1.0" encoding="utf-8"?>
<ds:datastoreItem xmlns:ds="http://schemas.openxmlformats.org/officeDocument/2006/customXml" ds:itemID="{2684B634-D806-4814-B377-CB882FE22F92}">
  <ds:schemaRefs>
    <ds:schemaRef ds:uri="Microsoft.SharePoint.Taxonomy.ContentTypeSync"/>
  </ds:schemaRefs>
</ds:datastoreItem>
</file>

<file path=customXml/itemProps5.xml><?xml version="1.0" encoding="utf-8"?>
<ds:datastoreItem xmlns:ds="http://schemas.openxmlformats.org/officeDocument/2006/customXml" ds:itemID="{D276DF4A-3495-47F4-8B5A-DD74109673C0}"/>
</file>

<file path=customXml/itemProps6.xml><?xml version="1.0" encoding="utf-8"?>
<ds:datastoreItem xmlns:ds="http://schemas.openxmlformats.org/officeDocument/2006/customXml" ds:itemID="{2CEB3E63-4039-4118-90A3-433576BBCD63}">
  <ds:schemaRefs>
    <ds:schemaRef ds:uri="office.server.policy"/>
  </ds:schemaRefs>
</ds:datastoreItem>
</file>

<file path=customXml/itemProps7.xml><?xml version="1.0" encoding="utf-8"?>
<ds:datastoreItem xmlns:ds="http://schemas.openxmlformats.org/officeDocument/2006/customXml" ds:itemID="{E2E0AC15-7252-4C73-8C99-4952EDAC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Template>
  <TotalTime>45</TotalTime>
  <Pages>13</Pages>
  <Words>3928</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99 20150623 Proposed Changes to NPA</vt:lpstr>
    </vt:vector>
  </TitlesOfParts>
  <Company>The Treasury</Company>
  <LinksUpToDate>false</LinksUpToDate>
  <CharactersWithSpaces>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 20150623 Proposed Changes to NPA</dc:title>
  <dc:subject>Letter to the Prime Minister seeking policy approval to amend the National Partnership Agreement on Implementing Water Reform in the Murray-Darling Basin</dc:subject>
  <dc:creator>Shanyn Sparreboom, 2824</dc:creator>
  <cp:keywords>A</cp:keywords>
  <cp:lastModifiedBy>Staines, Jason</cp:lastModifiedBy>
  <cp:revision>3</cp:revision>
  <cp:lastPrinted>2015-06-29T00:36:00Z</cp:lastPrinted>
  <dcterms:created xsi:type="dcterms:W3CDTF">2017-10-25T04:03:00Z</dcterms:created>
  <dcterms:modified xsi:type="dcterms:W3CDTF">2017-10-25T04:48:00Z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AssignedOrgUnitLevel1">
    <vt:lpwstr>MDB Policy Section</vt:lpwstr>
  </property>
  <property fmtid="{D5CDD505-2E9C-101B-9397-08002B2CF9AE}" pid="4" name="AssignedOrgUnitLevel2">
    <vt:lpwstr/>
  </property>
  <property fmtid="{D5CDD505-2E9C-101B-9397-08002B2CF9AE}" pid="5" name="AssignedOrgUnitLevel3">
    <vt:lpwstr/>
  </property>
  <property fmtid="{D5CDD505-2E9C-101B-9397-08002B2CF9AE}" pid="6" name="AssignedTo">
    <vt:lpwstr>GRANT, Sue</vt:lpwstr>
  </property>
  <property fmtid="{D5CDD505-2E9C-101B-9397-08002B2CF9AE}" pid="7" name="AssociatedGroups">
    <vt:lpwstr>Water Reform Division (WRD)</vt:lpwstr>
  </property>
  <property fmtid="{D5CDD505-2E9C-101B-9397-08002B2CF9AE}" pid="8" name="Caveat">
    <vt:lpwstr/>
  </property>
  <property fmtid="{D5CDD505-2E9C-101B-9397-08002B2CF9AE}" pid="9" name="ClearanceActualDate">
    <vt:lpwstr/>
  </property>
  <property fmtid="{D5CDD505-2E9C-101B-9397-08002B2CF9AE}" pid="10" name="ClearanceDueDate">
    <vt:lpwstr/>
  </property>
  <property fmtid="{D5CDD505-2E9C-101B-9397-08002B2CF9AE}" pid="11" name="CoordinatingGroup">
    <vt:lpwstr>Water Reform Division (WRD)</vt:lpwstr>
  </property>
  <property fmtid="{D5CDD505-2E9C-101B-9397-08002B2CF9AE}" pid="12" name="CurrentUser">
    <vt:lpwstr>GRANT, Sue</vt:lpwstr>
  </property>
  <property fmtid="{D5CDD505-2E9C-101B-9397-08002B2CF9AE}" pid="13" name="DLM">
    <vt:lpwstr/>
  </property>
  <property fmtid="{D5CDD505-2E9C-101B-9397-08002B2CF9AE}" pid="14" name="Electorates">
    <vt:lpwstr> </vt:lpwstr>
  </property>
  <property fmtid="{D5CDD505-2E9C-101B-9397-08002B2CF9AE}" pid="15" name="FileNumber">
    <vt:lpwstr/>
  </property>
  <property fmtid="{D5CDD505-2E9C-101B-9397-08002B2CF9AE}" pid="16" name="GroupResponsible">
    <vt:lpwstr>Water Reform Division (WRD)</vt:lpwstr>
  </property>
  <property fmtid="{D5CDD505-2E9C-101B-9397-08002B2CF9AE}" pid="17" name="HandlingProtocol">
    <vt:lpwstr>Standard</vt:lpwstr>
  </property>
  <property fmtid="{D5CDD505-2E9C-101B-9397-08002B2CF9AE}" pid="18" name="InformationMinister">
    <vt:lpwstr> </vt:lpwstr>
  </property>
  <property fmtid="{D5CDD505-2E9C-101B-9397-08002B2CF9AE}" pid="19" name="IterationNumber">
    <vt:lpwstr>1</vt:lpwstr>
  </property>
  <property fmtid="{D5CDD505-2E9C-101B-9397-08002B2CF9AE}" pid="20" name="LastActionedBy">
    <vt:lpwstr>GRANT, Sue</vt:lpwstr>
  </property>
  <property fmtid="{D5CDD505-2E9C-101B-9397-08002B2CF9AE}" pid="21" name="LastActionedDate">
    <vt:lpwstr>02 December 2013</vt:lpwstr>
  </property>
  <property fmtid="{D5CDD505-2E9C-101B-9397-08002B2CF9AE}" pid="22" name="LastClearingOfficer">
    <vt:lpwstr> </vt:lpwstr>
  </property>
  <property fmtid="{D5CDD505-2E9C-101B-9397-08002B2CF9AE}" pid="23" name="Ministers">
    <vt:lpwstr>Simon Birmingham</vt:lpwstr>
  </property>
  <property fmtid="{D5CDD505-2E9C-101B-9397-08002B2CF9AE}" pid="24" name="MOActionActualDate">
    <vt:lpwstr/>
  </property>
  <property fmtid="{D5CDD505-2E9C-101B-9397-08002B2CF9AE}" pid="25" name="MOActionDueDate">
    <vt:lpwstr/>
  </property>
  <property fmtid="{D5CDD505-2E9C-101B-9397-08002B2CF9AE}" pid="26" name="NominatedUser">
    <vt:lpwstr>GRANT, Sue</vt:lpwstr>
  </property>
  <property fmtid="{D5CDD505-2E9C-101B-9397-08002B2CF9AE}" pid="27" name="PdrAcl">
    <vt:lpwstr>Water Reform Division (WRD), Water Reform Division (WRD), Parliamentary Coordinator MS, DLO, Ministerial Staff - Coalition 2013, Business Administrator, Limited Distribution MS</vt:lpwstr>
  </property>
  <property fmtid="{D5CDD505-2E9C-101B-9397-08002B2CF9AE}" pid="28" name="PdrId">
    <vt:lpwstr>MS13-001060</vt:lpwstr>
  </property>
  <property fmtid="{D5CDD505-2E9C-101B-9397-08002B2CF9AE}" pid="29" name="Principal">
    <vt:lpwstr>Parliamentary Secretary</vt:lpwstr>
  </property>
  <property fmtid="{D5CDD505-2E9C-101B-9397-08002B2CF9AE}" pid="30" name="ProcessingInstructions">
    <vt:lpwstr/>
  </property>
  <property fmtid="{D5CDD505-2E9C-101B-9397-08002B2CF9AE}" pid="31" name="QualityCheckActualDate">
    <vt:lpwstr/>
  </property>
  <property fmtid="{D5CDD505-2E9C-101B-9397-08002B2CF9AE}" pid="32" name="QualityCheckDueDate">
    <vt:lpwstr/>
  </property>
  <property fmtid="{D5CDD505-2E9C-101B-9397-08002B2CF9AE}" pid="33" name="ReasonForRedrafting">
    <vt:lpwstr/>
  </property>
  <property fmtid="{D5CDD505-2E9C-101B-9397-08002B2CF9AE}" pid="34" name="ReasonForSensitivity">
    <vt:lpwstr/>
  </property>
  <property fmtid="{D5CDD505-2E9C-101B-9397-08002B2CF9AE}" pid="35" name="ReasonForSuspension">
    <vt:lpwstr/>
  </property>
  <property fmtid="{D5CDD505-2E9C-101B-9397-08002B2CF9AE}" pid="36" name="RegisteredDate">
    <vt:lpwstr>02 December 2013</vt:lpwstr>
  </property>
  <property fmtid="{D5CDD505-2E9C-101B-9397-08002B2CF9AE}" pid="37" name="RequestedAction">
    <vt:lpwstr>For Decision</vt:lpwstr>
  </property>
  <property fmtid="{D5CDD505-2E9C-101B-9397-08002B2CF9AE}" pid="38" name="ResponsibleMinister">
    <vt:lpwstr>Simon Birmingham</vt:lpwstr>
  </property>
  <property fmtid="{D5CDD505-2E9C-101B-9397-08002B2CF9AE}" pid="39" name="RetainAsNationalArchive">
    <vt:lpwstr>True</vt:lpwstr>
  </property>
  <property fmtid="{D5CDD505-2E9C-101B-9397-08002B2CF9AE}" pid="40" name="SecurityClassification">
    <vt:lpwstr>UNCLASSIFIED</vt:lpwstr>
  </property>
  <property fmtid="{D5CDD505-2E9C-101B-9397-08002B2CF9AE}" pid="41" name="SignedDate">
    <vt:lpwstr/>
  </property>
  <property fmtid="{D5CDD505-2E9C-101B-9397-08002B2CF9AE}" pid="42" name="Status">
    <vt:lpwstr>Editing</vt:lpwstr>
  </property>
  <property fmtid="{D5CDD505-2E9C-101B-9397-08002B2CF9AE}" pid="43" name="Subject">
    <vt:lpwstr>Letter to the Prime Minister seeking policy approval to amend the National Partnership Agreement on Implementing Water Reform in the Murray-Darling Basin</vt:lpwstr>
  </property>
  <property fmtid="{D5CDD505-2E9C-101B-9397-08002B2CF9AE}" pid="44" name="Superseded">
    <vt:lpwstr>True</vt:lpwstr>
  </property>
  <property fmtid="{D5CDD505-2E9C-101B-9397-08002B2CF9AE}" pid="45" name="TaskSeqNo">
    <vt:lpwstr>1</vt:lpwstr>
  </property>
  <property fmtid="{D5CDD505-2E9C-101B-9397-08002B2CF9AE}" pid="46" name="TemplateSubType">
    <vt:lpwstr>Standard With Letter</vt:lpwstr>
  </property>
  <property fmtid="{D5CDD505-2E9C-101B-9397-08002B2CF9AE}" pid="47" name="TemplateType">
    <vt:lpwstr>Decision Submission</vt:lpwstr>
  </property>
  <property fmtid="{D5CDD505-2E9C-101B-9397-08002B2CF9AE}" pid="48" name="TrustedGroups">
    <vt:lpwstr>Parliamentary Coordinator MS, DLO, Ministerial Staff - Coalition 2013, Business Administrator, Limited Distribution MS</vt:lpwstr>
  </property>
  <property fmtid="{D5CDD505-2E9C-101B-9397-08002B2CF9AE}" pid="49" name="Zone">
    <vt:lpwstr>Edit</vt:lpwstr>
  </property>
  <property fmtid="{D5CDD505-2E9C-101B-9397-08002B2CF9AE}" pid="50" name="_NewReviewCycle">
    <vt:lpwstr/>
  </property>
  <property fmtid="{D5CDD505-2E9C-101B-9397-08002B2CF9AE}" pid="51" name="ContentTypeId">
    <vt:lpwstr>0x010100348D01E61E107C4DA4B97E380EA20D47005CDF45B49E80F24CAD80DFC012154DA9</vt:lpwstr>
  </property>
  <property fmtid="{D5CDD505-2E9C-101B-9397-08002B2CF9AE}" pid="52" name="IsPrimary">
    <vt:bool>true</vt:bool>
  </property>
  <property fmtid="{D5CDD505-2E9C-101B-9397-08002B2CF9AE}" pid="53" name="IncludeInPackage">
    <vt:bool>true</vt:bool>
  </property>
  <property fmtid="{D5CDD505-2E9C-101B-9397-08002B2CF9AE}" pid="54" name="RecordPoint_WorkflowType">
    <vt:lpwstr>ActiveSubmitStub</vt:lpwstr>
  </property>
  <property fmtid="{D5CDD505-2E9C-101B-9397-08002B2CF9AE}" pid="55" name="RecordPoint_ActiveItemWebId">
    <vt:lpwstr>{a4589788-615f-4b8b-8296-7f9f6dfbab44}</vt:lpwstr>
  </property>
  <property fmtid="{D5CDD505-2E9C-101B-9397-08002B2CF9AE}" pid="56" name="RecordPoint_ActiveItemSiteId">
    <vt:lpwstr>{a3a280d1-e8f1-4ce7-94f0-aaa2322da0dd}</vt:lpwstr>
  </property>
  <property fmtid="{D5CDD505-2E9C-101B-9397-08002B2CF9AE}" pid="57" name="RecordPoint_ActiveItemListId">
    <vt:lpwstr>{4435c73b-6585-4bc2-a76a-5d21b1a02e06}</vt:lpwstr>
  </property>
  <property fmtid="{D5CDD505-2E9C-101B-9397-08002B2CF9AE}" pid="58" name="RecordPoint_ActiveItemUniqueId">
    <vt:lpwstr>{c36fcc0e-9493-4a58-9647-66459d2cfbdc}</vt:lpwstr>
  </property>
  <property fmtid="{D5CDD505-2E9C-101B-9397-08002B2CF9AE}" pid="59" name="RecordPoint_SubmissionDate">
    <vt:lpwstr/>
  </property>
  <property fmtid="{D5CDD505-2E9C-101B-9397-08002B2CF9AE}" pid="60" name="RecordPoint_RecordNumberSubmitted">
    <vt:lpwstr>R0002260070</vt:lpwstr>
  </property>
  <property fmtid="{D5CDD505-2E9C-101B-9397-08002B2CF9AE}" pid="61" name="RecordPoint_RecordFormat">
    <vt:lpwstr/>
  </property>
  <property fmtid="{D5CDD505-2E9C-101B-9397-08002B2CF9AE}" pid="62" name="RecordPoint_SubmissionCompleted">
    <vt:lpwstr>2020-05-04T08:47:18.3910010+10:00</vt:lpwstr>
  </property>
  <property fmtid="{D5CDD505-2E9C-101B-9397-08002B2CF9AE}" pid="63" name="RecordPoint_ActiveItemMoved">
    <vt:lpwstr/>
  </property>
  <property fmtid="{D5CDD505-2E9C-101B-9397-08002B2CF9AE}" pid="64" name="TSYRecordClass">
    <vt:lpwstr>2;#TSY RA-8748 - Retain as national archives|243f2231-dbfc-4282-b24a-c9b768286bd0</vt:lpwstr>
  </property>
  <property fmtid="{D5CDD505-2E9C-101B-9397-08002B2CF9AE}" pid="65" name="_dlc_DocIdItemGuid">
    <vt:lpwstr>c36fcc0e-9493-4a58-9647-66459d2cfbdc</vt:lpwstr>
  </property>
</Properties>
</file>